
<file path=[Content_Types].xml><?xml version="1.0" encoding="utf-8"?>
<Types xmlns="http://schemas.openxmlformats.org/package/2006/content-types">
  <Default Extension="xml" ContentType="application/xml"/>
  <Default Extension="bin" ContentType="application/vnd.ms-word.attachedToolbars"/>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11594" w14:textId="3CA43741" w:rsidR="00F85C87" w:rsidRPr="0057415D" w:rsidRDefault="0002119C" w:rsidP="0002119C">
      <w:pPr>
        <w:tabs>
          <w:tab w:val="left" w:pos="142"/>
        </w:tabs>
        <w:spacing w:line="480" w:lineRule="auto"/>
        <w:rPr>
          <w:rFonts w:asciiTheme="majorHAnsi" w:hAnsiTheme="majorHAnsi"/>
          <w:b/>
          <w:sz w:val="22"/>
          <w:szCs w:val="22"/>
        </w:rPr>
      </w:pPr>
      <w:r w:rsidRPr="0057415D">
        <w:rPr>
          <w:rFonts w:asciiTheme="majorHAnsi" w:hAnsiTheme="majorHAnsi"/>
          <w:b/>
          <w:sz w:val="22"/>
          <w:szCs w:val="22"/>
        </w:rPr>
        <w:t xml:space="preserve">Title: </w:t>
      </w:r>
      <w:r w:rsidR="000C5E76">
        <w:rPr>
          <w:rFonts w:asciiTheme="majorHAnsi" w:hAnsiTheme="majorHAnsi"/>
          <w:b/>
          <w:sz w:val="22"/>
          <w:szCs w:val="22"/>
        </w:rPr>
        <w:t>Meningococcal vaccination</w:t>
      </w:r>
      <w:bookmarkStart w:id="0" w:name="_GoBack"/>
      <w:bookmarkEnd w:id="0"/>
      <w:r w:rsidR="00FB4AAB" w:rsidRPr="0057415D">
        <w:rPr>
          <w:rFonts w:asciiTheme="majorHAnsi" w:hAnsiTheme="majorHAnsi"/>
          <w:b/>
          <w:sz w:val="22"/>
          <w:szCs w:val="22"/>
        </w:rPr>
        <w:t xml:space="preserve"> in primary care</w:t>
      </w:r>
      <w:r w:rsidR="00A8197D" w:rsidRPr="0057415D">
        <w:rPr>
          <w:rFonts w:asciiTheme="majorHAnsi" w:hAnsiTheme="majorHAnsi"/>
          <w:b/>
          <w:sz w:val="22"/>
          <w:szCs w:val="22"/>
        </w:rPr>
        <w:t xml:space="preserve"> amongst adolescents in</w:t>
      </w:r>
      <w:r w:rsidR="00FB4AAB" w:rsidRPr="0057415D">
        <w:rPr>
          <w:rFonts w:asciiTheme="majorHAnsi" w:hAnsiTheme="majorHAnsi"/>
          <w:b/>
          <w:sz w:val="22"/>
          <w:szCs w:val="22"/>
        </w:rPr>
        <w:t xml:space="preserve"> North West</w:t>
      </w:r>
      <w:r w:rsidR="00A8197D" w:rsidRPr="0057415D">
        <w:rPr>
          <w:rFonts w:asciiTheme="majorHAnsi" w:hAnsiTheme="majorHAnsi"/>
          <w:b/>
          <w:sz w:val="22"/>
          <w:szCs w:val="22"/>
        </w:rPr>
        <w:t xml:space="preserve"> England: an ecological study investigating associations with general practice characteristics </w:t>
      </w:r>
    </w:p>
    <w:p w14:paraId="62C5C41A" w14:textId="77777777" w:rsidR="00F85C87" w:rsidRPr="0057415D" w:rsidRDefault="00F85C87" w:rsidP="00F85C87">
      <w:pPr>
        <w:spacing w:line="480" w:lineRule="auto"/>
        <w:rPr>
          <w:rFonts w:asciiTheme="majorHAnsi" w:hAnsiTheme="majorHAnsi"/>
          <w:b/>
          <w:sz w:val="22"/>
          <w:szCs w:val="22"/>
        </w:rPr>
      </w:pPr>
    </w:p>
    <w:p w14:paraId="56F86F1B" w14:textId="757A1349" w:rsidR="0002119C" w:rsidRPr="0057415D" w:rsidRDefault="0002119C" w:rsidP="00F85C87">
      <w:pPr>
        <w:spacing w:line="480" w:lineRule="auto"/>
        <w:rPr>
          <w:rFonts w:asciiTheme="majorHAnsi" w:hAnsiTheme="majorHAnsi"/>
          <w:b/>
          <w:sz w:val="22"/>
          <w:szCs w:val="22"/>
        </w:rPr>
      </w:pPr>
      <w:r w:rsidRPr="0057415D">
        <w:rPr>
          <w:rFonts w:asciiTheme="majorHAnsi" w:hAnsiTheme="majorHAnsi"/>
          <w:b/>
          <w:sz w:val="22"/>
          <w:szCs w:val="22"/>
        </w:rPr>
        <w:t>Authors:</w:t>
      </w:r>
    </w:p>
    <w:p w14:paraId="13CB3341" w14:textId="06AEACC8" w:rsidR="0002119C" w:rsidRPr="0057415D" w:rsidRDefault="0002119C" w:rsidP="00F85C87">
      <w:pPr>
        <w:spacing w:line="480" w:lineRule="auto"/>
        <w:rPr>
          <w:rFonts w:asciiTheme="majorHAnsi" w:hAnsiTheme="majorHAnsi"/>
          <w:sz w:val="22"/>
          <w:szCs w:val="22"/>
        </w:rPr>
      </w:pPr>
      <w:r w:rsidRPr="0057415D">
        <w:rPr>
          <w:rFonts w:asciiTheme="majorHAnsi" w:hAnsiTheme="majorHAnsi"/>
          <w:sz w:val="22"/>
          <w:szCs w:val="22"/>
        </w:rPr>
        <w:t>1. Dr Sarah Blagden</w:t>
      </w:r>
      <w:r w:rsidRPr="0057415D">
        <w:rPr>
          <w:rFonts w:asciiTheme="majorHAnsi" w:hAnsiTheme="majorHAnsi"/>
          <w:sz w:val="22"/>
          <w:szCs w:val="22"/>
          <w:vertAlign w:val="subscript"/>
        </w:rPr>
        <w:t>1</w:t>
      </w:r>
      <w:proofErr w:type="gramStart"/>
      <w:r w:rsidRPr="0057415D">
        <w:rPr>
          <w:rFonts w:asciiTheme="majorHAnsi" w:hAnsiTheme="majorHAnsi"/>
          <w:sz w:val="22"/>
          <w:szCs w:val="22"/>
          <w:vertAlign w:val="subscript"/>
        </w:rPr>
        <w:t>,2</w:t>
      </w:r>
      <w:r w:rsidR="00FF5127" w:rsidRPr="0057415D">
        <w:rPr>
          <w:rFonts w:asciiTheme="majorHAnsi" w:hAnsiTheme="majorHAnsi"/>
          <w:sz w:val="22"/>
          <w:szCs w:val="22"/>
          <w:vertAlign w:val="subscript"/>
        </w:rPr>
        <w:t>,3</w:t>
      </w:r>
      <w:proofErr w:type="gramEnd"/>
      <w:r w:rsidRPr="0057415D">
        <w:rPr>
          <w:rFonts w:asciiTheme="majorHAnsi" w:hAnsiTheme="majorHAnsi"/>
          <w:sz w:val="22"/>
          <w:szCs w:val="22"/>
        </w:rPr>
        <w:t>, Public Health Specialty Registrar, email: s.blagden@nhs.net</w:t>
      </w:r>
    </w:p>
    <w:p w14:paraId="278EA587" w14:textId="304320B0" w:rsidR="0002119C" w:rsidRPr="0057415D" w:rsidRDefault="0002119C" w:rsidP="00F85C87">
      <w:pPr>
        <w:spacing w:line="480" w:lineRule="auto"/>
        <w:rPr>
          <w:rFonts w:asciiTheme="majorHAnsi" w:hAnsiTheme="majorHAnsi"/>
          <w:sz w:val="22"/>
          <w:szCs w:val="22"/>
        </w:rPr>
      </w:pPr>
      <w:r w:rsidRPr="0057415D">
        <w:rPr>
          <w:rFonts w:asciiTheme="majorHAnsi" w:hAnsiTheme="majorHAnsi"/>
          <w:sz w:val="22"/>
          <w:szCs w:val="22"/>
        </w:rPr>
        <w:t>2. Daniel Hungerford</w:t>
      </w:r>
      <w:r w:rsidR="00FF5127" w:rsidRPr="0057415D">
        <w:rPr>
          <w:rFonts w:asciiTheme="majorHAnsi" w:hAnsiTheme="majorHAnsi"/>
          <w:sz w:val="22"/>
          <w:szCs w:val="22"/>
          <w:vertAlign w:val="subscript"/>
        </w:rPr>
        <w:t>4</w:t>
      </w:r>
      <w:proofErr w:type="gramStart"/>
      <w:r w:rsidRPr="0057415D">
        <w:rPr>
          <w:rFonts w:asciiTheme="majorHAnsi" w:hAnsiTheme="majorHAnsi"/>
          <w:sz w:val="22"/>
          <w:szCs w:val="22"/>
          <w:vertAlign w:val="subscript"/>
        </w:rPr>
        <w:t>,</w:t>
      </w:r>
      <w:r w:rsidR="00FF5127" w:rsidRPr="0057415D">
        <w:rPr>
          <w:rFonts w:asciiTheme="majorHAnsi" w:hAnsiTheme="majorHAnsi"/>
          <w:sz w:val="22"/>
          <w:szCs w:val="22"/>
          <w:vertAlign w:val="subscript"/>
        </w:rPr>
        <w:t>5</w:t>
      </w:r>
      <w:proofErr w:type="gramEnd"/>
      <w:r w:rsidRPr="0057415D">
        <w:rPr>
          <w:rFonts w:asciiTheme="majorHAnsi" w:hAnsiTheme="majorHAnsi"/>
          <w:sz w:val="22"/>
          <w:szCs w:val="22"/>
        </w:rPr>
        <w:t>, Epidemiology Research Fellow, email: d.hungerford@liverpool.ac.uk</w:t>
      </w:r>
    </w:p>
    <w:p w14:paraId="5AAEDCA7" w14:textId="1EB2F347" w:rsidR="0002119C" w:rsidRPr="0057415D" w:rsidRDefault="0002119C" w:rsidP="00F85C87">
      <w:pPr>
        <w:spacing w:line="480" w:lineRule="auto"/>
        <w:rPr>
          <w:rFonts w:asciiTheme="majorHAnsi" w:hAnsiTheme="majorHAnsi"/>
          <w:sz w:val="22"/>
          <w:szCs w:val="22"/>
        </w:rPr>
      </w:pPr>
      <w:r w:rsidRPr="0057415D">
        <w:rPr>
          <w:rFonts w:asciiTheme="majorHAnsi" w:hAnsiTheme="majorHAnsi"/>
          <w:sz w:val="22"/>
          <w:szCs w:val="22"/>
        </w:rPr>
        <w:t>3. Dr Mark Limmer</w:t>
      </w:r>
      <w:r w:rsidR="00FF5127" w:rsidRPr="0057415D">
        <w:rPr>
          <w:rFonts w:asciiTheme="majorHAnsi" w:hAnsiTheme="majorHAnsi"/>
          <w:sz w:val="22"/>
          <w:szCs w:val="22"/>
          <w:vertAlign w:val="subscript"/>
        </w:rPr>
        <w:t>3</w:t>
      </w:r>
      <w:r w:rsidRPr="0057415D">
        <w:rPr>
          <w:rFonts w:asciiTheme="majorHAnsi" w:hAnsiTheme="majorHAnsi"/>
          <w:sz w:val="22"/>
          <w:szCs w:val="22"/>
        </w:rPr>
        <w:t>, Lecturer in Public Health, email: m.limmer@lancaster.ac.uk</w:t>
      </w:r>
    </w:p>
    <w:p w14:paraId="093ACD7C" w14:textId="77777777" w:rsidR="0002119C" w:rsidRPr="0057415D" w:rsidRDefault="0002119C" w:rsidP="00F85C87">
      <w:pPr>
        <w:spacing w:line="480" w:lineRule="auto"/>
        <w:rPr>
          <w:rFonts w:asciiTheme="majorHAnsi" w:hAnsiTheme="majorHAnsi"/>
          <w:sz w:val="22"/>
          <w:szCs w:val="22"/>
        </w:rPr>
      </w:pPr>
    </w:p>
    <w:p w14:paraId="36EE40A1" w14:textId="0D08EF00" w:rsidR="0002119C" w:rsidRPr="0057415D" w:rsidRDefault="0002119C" w:rsidP="0002119C">
      <w:pPr>
        <w:pStyle w:val="ListParagraph"/>
        <w:numPr>
          <w:ilvl w:val="0"/>
          <w:numId w:val="4"/>
        </w:numPr>
        <w:spacing w:line="480" w:lineRule="auto"/>
        <w:rPr>
          <w:rFonts w:asciiTheme="majorHAnsi" w:hAnsiTheme="majorHAnsi"/>
          <w:sz w:val="22"/>
          <w:szCs w:val="22"/>
          <w:vertAlign w:val="subscript"/>
        </w:rPr>
      </w:pPr>
      <w:r w:rsidRPr="0057415D">
        <w:rPr>
          <w:rFonts w:asciiTheme="majorHAnsi" w:hAnsiTheme="majorHAnsi"/>
          <w:sz w:val="22"/>
          <w:szCs w:val="22"/>
          <w:vertAlign w:val="subscript"/>
        </w:rPr>
        <w:t xml:space="preserve">Lancashire County Council, County Hall, </w:t>
      </w:r>
      <w:proofErr w:type="spellStart"/>
      <w:r w:rsidRPr="0057415D">
        <w:rPr>
          <w:rFonts w:asciiTheme="majorHAnsi" w:hAnsiTheme="majorHAnsi"/>
          <w:sz w:val="22"/>
          <w:szCs w:val="22"/>
          <w:vertAlign w:val="subscript"/>
        </w:rPr>
        <w:t>Fishergate</w:t>
      </w:r>
      <w:proofErr w:type="spellEnd"/>
      <w:r w:rsidRPr="0057415D">
        <w:rPr>
          <w:rFonts w:asciiTheme="majorHAnsi" w:hAnsiTheme="majorHAnsi"/>
          <w:sz w:val="22"/>
          <w:szCs w:val="22"/>
          <w:vertAlign w:val="subscript"/>
        </w:rPr>
        <w:t>, Preston, PR1 8XJ, United Kingdom</w:t>
      </w:r>
    </w:p>
    <w:p w14:paraId="622848BE" w14:textId="15EF0113" w:rsidR="0002119C" w:rsidRPr="0057415D" w:rsidRDefault="0002119C" w:rsidP="0002119C">
      <w:pPr>
        <w:pStyle w:val="ListParagraph"/>
        <w:numPr>
          <w:ilvl w:val="0"/>
          <w:numId w:val="4"/>
        </w:numPr>
        <w:spacing w:line="480" w:lineRule="auto"/>
        <w:rPr>
          <w:rFonts w:asciiTheme="majorHAnsi" w:hAnsiTheme="majorHAnsi"/>
          <w:sz w:val="22"/>
          <w:szCs w:val="22"/>
          <w:vertAlign w:val="subscript"/>
        </w:rPr>
      </w:pPr>
      <w:r w:rsidRPr="0057415D">
        <w:rPr>
          <w:rFonts w:asciiTheme="majorHAnsi" w:hAnsiTheme="majorHAnsi"/>
          <w:sz w:val="22"/>
          <w:szCs w:val="22"/>
          <w:vertAlign w:val="subscript"/>
        </w:rPr>
        <w:t>Health Education North West, Regatta Place, Brunswick Business Park, Summers Road, Liverpool, L3 4BL, United Kingdom</w:t>
      </w:r>
    </w:p>
    <w:p w14:paraId="6FE4BD68" w14:textId="442F7572" w:rsidR="00FF5127" w:rsidRPr="0057415D" w:rsidRDefault="00FF5127" w:rsidP="00FF5127">
      <w:pPr>
        <w:pStyle w:val="ListParagraph"/>
        <w:numPr>
          <w:ilvl w:val="0"/>
          <w:numId w:val="4"/>
        </w:numPr>
        <w:spacing w:line="480" w:lineRule="auto"/>
        <w:rPr>
          <w:rFonts w:asciiTheme="majorHAnsi" w:hAnsiTheme="majorHAnsi"/>
          <w:sz w:val="22"/>
          <w:szCs w:val="22"/>
          <w:vertAlign w:val="subscript"/>
        </w:rPr>
      </w:pPr>
      <w:r w:rsidRPr="0057415D">
        <w:rPr>
          <w:rFonts w:asciiTheme="majorHAnsi" w:hAnsiTheme="majorHAnsi"/>
          <w:sz w:val="22"/>
          <w:szCs w:val="22"/>
          <w:vertAlign w:val="subscript"/>
        </w:rPr>
        <w:t>Division of Health Research, Furness Building, Lancaster University, Lancaster, LA1 4YG, United Kingdom</w:t>
      </w:r>
    </w:p>
    <w:p w14:paraId="566DD78B" w14:textId="28DAA04C" w:rsidR="0002119C" w:rsidRPr="0057415D" w:rsidRDefault="004E25D3" w:rsidP="004E25D3">
      <w:pPr>
        <w:pStyle w:val="ListParagraph"/>
        <w:widowControl w:val="0"/>
        <w:numPr>
          <w:ilvl w:val="0"/>
          <w:numId w:val="4"/>
        </w:numPr>
        <w:autoSpaceDE w:val="0"/>
        <w:autoSpaceDN w:val="0"/>
        <w:adjustRightInd w:val="0"/>
        <w:spacing w:after="240" w:line="480" w:lineRule="auto"/>
        <w:ind w:right="220"/>
        <w:rPr>
          <w:rFonts w:asciiTheme="majorHAnsi" w:hAnsiTheme="majorHAnsi" w:cs="Calibri"/>
          <w:sz w:val="22"/>
          <w:vertAlign w:val="subscript"/>
          <w:lang w:val="en-US"/>
        </w:rPr>
      </w:pPr>
      <w:r w:rsidRPr="0057415D">
        <w:rPr>
          <w:rFonts w:asciiTheme="majorHAnsi" w:hAnsiTheme="majorHAnsi" w:cs="Calibri"/>
          <w:sz w:val="22"/>
          <w:vertAlign w:val="subscript"/>
          <w:lang w:val="en-US"/>
        </w:rPr>
        <w:t xml:space="preserve">The Centre for Global Vaccine Research, </w:t>
      </w:r>
      <w:r w:rsidR="0002119C" w:rsidRPr="0057415D">
        <w:rPr>
          <w:rFonts w:asciiTheme="majorHAnsi" w:hAnsiTheme="majorHAnsi" w:cs="Calibri"/>
          <w:sz w:val="22"/>
          <w:vertAlign w:val="subscript"/>
          <w:lang w:val="en-US"/>
        </w:rPr>
        <w:t>Institute of Infection and Global Health, The Ronald Ross Building, University of Liverpool, Liverpool, L69 7BE, United Kingdom</w:t>
      </w:r>
    </w:p>
    <w:p w14:paraId="26541D10" w14:textId="79A55E8E" w:rsidR="0002119C" w:rsidRPr="0057415D" w:rsidRDefault="004E25D3" w:rsidP="0002119C">
      <w:pPr>
        <w:pStyle w:val="ListParagraph"/>
        <w:widowControl w:val="0"/>
        <w:numPr>
          <w:ilvl w:val="0"/>
          <w:numId w:val="4"/>
        </w:numPr>
        <w:autoSpaceDE w:val="0"/>
        <w:autoSpaceDN w:val="0"/>
        <w:adjustRightInd w:val="0"/>
        <w:spacing w:after="240" w:line="480" w:lineRule="auto"/>
        <w:ind w:right="220"/>
        <w:rPr>
          <w:rFonts w:asciiTheme="majorHAnsi" w:hAnsiTheme="majorHAnsi" w:cs="Calibri"/>
          <w:sz w:val="22"/>
          <w:vertAlign w:val="subscript"/>
          <w:lang w:val="en-US"/>
        </w:rPr>
      </w:pPr>
      <w:r w:rsidRPr="0057415D">
        <w:rPr>
          <w:rFonts w:asciiTheme="majorHAnsi" w:hAnsiTheme="majorHAnsi" w:cs="Calibri"/>
          <w:sz w:val="22"/>
          <w:vertAlign w:val="subscript"/>
          <w:lang w:val="en-US"/>
        </w:rPr>
        <w:t xml:space="preserve">Field Epidemiology Service, </w:t>
      </w:r>
      <w:r w:rsidR="0002119C" w:rsidRPr="0057415D">
        <w:rPr>
          <w:rFonts w:asciiTheme="majorHAnsi" w:hAnsiTheme="majorHAnsi" w:cs="Calibri"/>
          <w:sz w:val="22"/>
          <w:vertAlign w:val="subscript"/>
          <w:lang w:val="en-US"/>
        </w:rPr>
        <w:t>Public Health England North West, Suite 3b, Cunard Building, Water Street, Liverpool, L3 1DS, United Kingdom</w:t>
      </w:r>
    </w:p>
    <w:p w14:paraId="6D07E44F" w14:textId="77777777" w:rsidR="0002119C" w:rsidRPr="0057415D" w:rsidRDefault="0002119C" w:rsidP="00F85C87">
      <w:pPr>
        <w:spacing w:line="480" w:lineRule="auto"/>
        <w:rPr>
          <w:rFonts w:asciiTheme="majorHAnsi" w:hAnsiTheme="majorHAnsi"/>
          <w:b/>
          <w:sz w:val="22"/>
          <w:szCs w:val="22"/>
        </w:rPr>
      </w:pPr>
    </w:p>
    <w:p w14:paraId="62CE96BE" w14:textId="23A6C266" w:rsidR="0002119C" w:rsidRPr="0057415D" w:rsidRDefault="0002119C" w:rsidP="00F85C87">
      <w:pPr>
        <w:spacing w:line="480" w:lineRule="auto"/>
        <w:rPr>
          <w:rFonts w:asciiTheme="majorHAnsi" w:hAnsiTheme="majorHAnsi"/>
          <w:b/>
          <w:sz w:val="22"/>
          <w:szCs w:val="22"/>
        </w:rPr>
      </w:pPr>
      <w:r w:rsidRPr="0057415D">
        <w:rPr>
          <w:rFonts w:asciiTheme="majorHAnsi" w:hAnsiTheme="majorHAnsi"/>
          <w:b/>
          <w:sz w:val="22"/>
          <w:szCs w:val="22"/>
        </w:rPr>
        <w:t>Corresponding author:</w:t>
      </w:r>
    </w:p>
    <w:p w14:paraId="66AD5EE7" w14:textId="0FFF739A" w:rsidR="0000584B" w:rsidRPr="0057415D" w:rsidRDefault="0000584B" w:rsidP="00F85C87">
      <w:pPr>
        <w:spacing w:line="480" w:lineRule="auto"/>
        <w:rPr>
          <w:rFonts w:asciiTheme="majorHAnsi" w:hAnsiTheme="majorHAnsi"/>
          <w:sz w:val="22"/>
          <w:szCs w:val="22"/>
        </w:rPr>
      </w:pPr>
      <w:r w:rsidRPr="0057415D">
        <w:rPr>
          <w:rFonts w:asciiTheme="majorHAnsi" w:hAnsiTheme="majorHAnsi"/>
          <w:sz w:val="22"/>
          <w:szCs w:val="22"/>
        </w:rPr>
        <w:t xml:space="preserve">The corresponding author, Dr Sarah Blagden, can be contacted via </w:t>
      </w:r>
      <w:hyperlink r:id="rId10" w:history="1">
        <w:r w:rsidRPr="0057415D">
          <w:rPr>
            <w:rStyle w:val="Hyperlink"/>
            <w:rFonts w:asciiTheme="majorHAnsi" w:hAnsiTheme="majorHAnsi"/>
            <w:sz w:val="22"/>
            <w:szCs w:val="22"/>
          </w:rPr>
          <w:t>s.blagden@nhs.net</w:t>
        </w:r>
      </w:hyperlink>
      <w:r w:rsidRPr="0057415D">
        <w:rPr>
          <w:rFonts w:asciiTheme="majorHAnsi" w:hAnsiTheme="majorHAnsi"/>
          <w:sz w:val="22"/>
          <w:szCs w:val="22"/>
        </w:rPr>
        <w:t xml:space="preserve">. </w:t>
      </w:r>
    </w:p>
    <w:p w14:paraId="3CC0951E" w14:textId="77777777" w:rsidR="00AA732D" w:rsidRPr="0057415D" w:rsidRDefault="00AA732D" w:rsidP="00F85C87">
      <w:pPr>
        <w:spacing w:line="480" w:lineRule="auto"/>
        <w:rPr>
          <w:rFonts w:asciiTheme="majorHAnsi" w:hAnsiTheme="majorHAnsi"/>
          <w:sz w:val="22"/>
          <w:szCs w:val="22"/>
        </w:rPr>
      </w:pPr>
    </w:p>
    <w:p w14:paraId="43257DB5" w14:textId="12B8977A" w:rsidR="00AA732D" w:rsidRPr="0057415D" w:rsidRDefault="00AA732D" w:rsidP="00F85C87">
      <w:pPr>
        <w:spacing w:line="480" w:lineRule="auto"/>
        <w:rPr>
          <w:rFonts w:asciiTheme="majorHAnsi" w:hAnsiTheme="majorHAnsi"/>
          <w:b/>
          <w:sz w:val="22"/>
          <w:szCs w:val="22"/>
        </w:rPr>
      </w:pPr>
      <w:r w:rsidRPr="0057415D">
        <w:rPr>
          <w:rFonts w:asciiTheme="majorHAnsi" w:hAnsiTheme="majorHAnsi"/>
          <w:b/>
          <w:sz w:val="22"/>
          <w:szCs w:val="22"/>
        </w:rPr>
        <w:t>Word count:</w:t>
      </w:r>
    </w:p>
    <w:p w14:paraId="1054727B" w14:textId="17319902" w:rsidR="00AA732D" w:rsidRPr="0057415D" w:rsidRDefault="00D521E3" w:rsidP="00AA732D">
      <w:pPr>
        <w:pStyle w:val="ListParagraph"/>
        <w:numPr>
          <w:ilvl w:val="0"/>
          <w:numId w:val="6"/>
        </w:numPr>
        <w:spacing w:line="480" w:lineRule="auto"/>
        <w:rPr>
          <w:rFonts w:asciiTheme="majorHAnsi" w:hAnsiTheme="majorHAnsi"/>
          <w:sz w:val="22"/>
          <w:szCs w:val="22"/>
        </w:rPr>
      </w:pPr>
      <w:r w:rsidRPr="0057415D">
        <w:rPr>
          <w:rFonts w:asciiTheme="majorHAnsi" w:hAnsiTheme="majorHAnsi"/>
          <w:sz w:val="22"/>
          <w:szCs w:val="22"/>
        </w:rPr>
        <w:t>Abstract – 196</w:t>
      </w:r>
      <w:r w:rsidR="00AA732D" w:rsidRPr="0057415D">
        <w:rPr>
          <w:rFonts w:asciiTheme="majorHAnsi" w:hAnsiTheme="majorHAnsi"/>
          <w:sz w:val="22"/>
          <w:szCs w:val="22"/>
        </w:rPr>
        <w:t xml:space="preserve"> words</w:t>
      </w:r>
    </w:p>
    <w:p w14:paraId="5E0132A7" w14:textId="744ACE82" w:rsidR="00AA732D" w:rsidRPr="0057415D" w:rsidRDefault="005923C5" w:rsidP="00AA732D">
      <w:pPr>
        <w:pStyle w:val="ListParagraph"/>
        <w:numPr>
          <w:ilvl w:val="0"/>
          <w:numId w:val="6"/>
        </w:numPr>
        <w:spacing w:line="480" w:lineRule="auto"/>
        <w:rPr>
          <w:rFonts w:asciiTheme="majorHAnsi" w:hAnsiTheme="majorHAnsi"/>
          <w:sz w:val="22"/>
          <w:szCs w:val="22"/>
        </w:rPr>
      </w:pPr>
      <w:r w:rsidRPr="0057415D">
        <w:rPr>
          <w:rFonts w:asciiTheme="majorHAnsi" w:hAnsiTheme="majorHAnsi"/>
          <w:sz w:val="22"/>
          <w:szCs w:val="22"/>
        </w:rPr>
        <w:t xml:space="preserve">Manuscript – </w:t>
      </w:r>
      <w:r w:rsidR="007275BF">
        <w:rPr>
          <w:rFonts w:asciiTheme="majorHAnsi" w:hAnsiTheme="majorHAnsi"/>
          <w:sz w:val="22"/>
          <w:szCs w:val="22"/>
        </w:rPr>
        <w:t>2999</w:t>
      </w:r>
      <w:r w:rsidR="00AA732D" w:rsidRPr="0057415D">
        <w:rPr>
          <w:rFonts w:asciiTheme="majorHAnsi" w:hAnsiTheme="majorHAnsi"/>
          <w:sz w:val="22"/>
          <w:szCs w:val="22"/>
        </w:rPr>
        <w:t xml:space="preserve"> words</w:t>
      </w:r>
    </w:p>
    <w:p w14:paraId="2A79F488" w14:textId="77777777" w:rsidR="0002119C" w:rsidRPr="0057415D" w:rsidRDefault="0002119C" w:rsidP="00F85C87">
      <w:pPr>
        <w:spacing w:line="480" w:lineRule="auto"/>
        <w:rPr>
          <w:rFonts w:asciiTheme="majorHAnsi" w:hAnsiTheme="majorHAnsi"/>
          <w:b/>
          <w:sz w:val="22"/>
          <w:szCs w:val="22"/>
        </w:rPr>
      </w:pPr>
    </w:p>
    <w:p w14:paraId="17B8E6CA" w14:textId="77777777" w:rsidR="0002119C" w:rsidRPr="0057415D" w:rsidRDefault="0002119C" w:rsidP="00F85C87">
      <w:pPr>
        <w:spacing w:line="480" w:lineRule="auto"/>
        <w:rPr>
          <w:rFonts w:asciiTheme="majorHAnsi" w:hAnsiTheme="majorHAnsi"/>
          <w:b/>
          <w:sz w:val="22"/>
          <w:szCs w:val="22"/>
        </w:rPr>
      </w:pPr>
    </w:p>
    <w:p w14:paraId="2B7A8BA8" w14:textId="77777777" w:rsidR="0002119C" w:rsidRPr="0057415D" w:rsidRDefault="0002119C" w:rsidP="00F85C87">
      <w:pPr>
        <w:spacing w:line="480" w:lineRule="auto"/>
        <w:rPr>
          <w:rFonts w:asciiTheme="majorHAnsi" w:hAnsiTheme="majorHAnsi"/>
          <w:b/>
          <w:sz w:val="22"/>
          <w:szCs w:val="22"/>
        </w:rPr>
      </w:pPr>
    </w:p>
    <w:p w14:paraId="174C6F52" w14:textId="77777777" w:rsidR="0002119C" w:rsidRPr="0057415D" w:rsidRDefault="0002119C" w:rsidP="00F85C87">
      <w:pPr>
        <w:spacing w:line="480" w:lineRule="auto"/>
        <w:rPr>
          <w:rFonts w:asciiTheme="majorHAnsi" w:hAnsiTheme="majorHAnsi"/>
          <w:b/>
          <w:sz w:val="22"/>
          <w:szCs w:val="22"/>
        </w:rPr>
      </w:pPr>
    </w:p>
    <w:p w14:paraId="6A57549C" w14:textId="77777777" w:rsidR="0002119C" w:rsidRPr="0057415D" w:rsidRDefault="0002119C" w:rsidP="00F85C87">
      <w:pPr>
        <w:spacing w:line="480" w:lineRule="auto"/>
        <w:rPr>
          <w:rFonts w:asciiTheme="majorHAnsi" w:hAnsiTheme="majorHAnsi"/>
          <w:b/>
          <w:sz w:val="22"/>
          <w:szCs w:val="22"/>
        </w:rPr>
      </w:pPr>
    </w:p>
    <w:p w14:paraId="05DEB0B0" w14:textId="1A391C0D" w:rsidR="00B53AE3" w:rsidRPr="0057415D" w:rsidRDefault="00B53AE3" w:rsidP="00F85C87">
      <w:pPr>
        <w:spacing w:line="480" w:lineRule="auto"/>
        <w:rPr>
          <w:rFonts w:asciiTheme="majorHAnsi" w:hAnsiTheme="majorHAnsi"/>
          <w:b/>
          <w:sz w:val="22"/>
          <w:szCs w:val="22"/>
        </w:rPr>
      </w:pPr>
      <w:r w:rsidRPr="0057415D">
        <w:rPr>
          <w:rFonts w:asciiTheme="majorHAnsi" w:hAnsiTheme="majorHAnsi"/>
          <w:b/>
          <w:sz w:val="22"/>
          <w:szCs w:val="22"/>
        </w:rPr>
        <w:lastRenderedPageBreak/>
        <w:t>Abstract</w:t>
      </w:r>
    </w:p>
    <w:p w14:paraId="1BF5E24F" w14:textId="195DA95D" w:rsidR="00B53AE3" w:rsidRPr="0057415D" w:rsidRDefault="00B53AE3" w:rsidP="00B53AE3">
      <w:pPr>
        <w:spacing w:line="480" w:lineRule="auto"/>
        <w:rPr>
          <w:rFonts w:asciiTheme="majorHAnsi" w:hAnsiTheme="majorHAnsi"/>
          <w:sz w:val="22"/>
          <w:szCs w:val="22"/>
        </w:rPr>
      </w:pPr>
      <w:r w:rsidRPr="0057415D">
        <w:rPr>
          <w:rFonts w:asciiTheme="majorHAnsi" w:hAnsiTheme="majorHAnsi"/>
          <w:b/>
          <w:sz w:val="22"/>
          <w:szCs w:val="22"/>
        </w:rPr>
        <w:t>Background:</w:t>
      </w:r>
      <w:r w:rsidRPr="0057415D">
        <w:rPr>
          <w:rFonts w:asciiTheme="majorHAnsi" w:hAnsiTheme="majorHAnsi"/>
          <w:sz w:val="22"/>
          <w:szCs w:val="22"/>
        </w:rPr>
        <w:t xml:space="preserve"> In 2015 the meningococcal ACWY (MenACWY) vaccination was int</w:t>
      </w:r>
      <w:r w:rsidR="00923F5D" w:rsidRPr="0057415D">
        <w:rPr>
          <w:rFonts w:asciiTheme="majorHAnsi" w:hAnsiTheme="majorHAnsi"/>
          <w:sz w:val="22"/>
          <w:szCs w:val="22"/>
        </w:rPr>
        <w:t>roduced amongst adolescents in</w:t>
      </w:r>
      <w:r w:rsidR="00F55BD3" w:rsidRPr="0057415D">
        <w:rPr>
          <w:rFonts w:asciiTheme="majorHAnsi" w:hAnsiTheme="majorHAnsi"/>
          <w:sz w:val="22"/>
          <w:szCs w:val="22"/>
        </w:rPr>
        <w:t xml:space="preserve"> England following </w:t>
      </w:r>
      <w:r w:rsidRPr="0057415D">
        <w:rPr>
          <w:rFonts w:asciiTheme="majorHAnsi" w:hAnsiTheme="majorHAnsi"/>
          <w:sz w:val="22"/>
          <w:szCs w:val="22"/>
        </w:rPr>
        <w:t>increase</w:t>
      </w:r>
      <w:r w:rsidR="00F55BD3" w:rsidRPr="0057415D">
        <w:rPr>
          <w:rFonts w:asciiTheme="majorHAnsi" w:hAnsiTheme="majorHAnsi"/>
          <w:sz w:val="22"/>
          <w:szCs w:val="22"/>
        </w:rPr>
        <w:t xml:space="preserve">d </w:t>
      </w:r>
      <w:r w:rsidRPr="0057415D">
        <w:rPr>
          <w:rFonts w:asciiTheme="majorHAnsi" w:hAnsiTheme="majorHAnsi"/>
          <w:sz w:val="22"/>
          <w:szCs w:val="22"/>
        </w:rPr>
        <w:t xml:space="preserve">incidence and mortality associated with meningococcal group W. </w:t>
      </w:r>
    </w:p>
    <w:p w14:paraId="57341926" w14:textId="77777777" w:rsidR="00F55BD3" w:rsidRPr="0057415D" w:rsidRDefault="00F55BD3" w:rsidP="00B53AE3">
      <w:pPr>
        <w:spacing w:line="480" w:lineRule="auto"/>
        <w:rPr>
          <w:rFonts w:asciiTheme="majorHAnsi" w:hAnsiTheme="majorHAnsi"/>
          <w:sz w:val="22"/>
          <w:szCs w:val="22"/>
        </w:rPr>
      </w:pPr>
    </w:p>
    <w:p w14:paraId="42F7C465" w14:textId="622A9269" w:rsidR="00B53AE3" w:rsidRPr="0057415D" w:rsidRDefault="00B53AE3" w:rsidP="00B53AE3">
      <w:pPr>
        <w:spacing w:line="480" w:lineRule="auto"/>
        <w:rPr>
          <w:rFonts w:asciiTheme="majorHAnsi" w:hAnsiTheme="majorHAnsi"/>
          <w:sz w:val="22"/>
          <w:szCs w:val="22"/>
        </w:rPr>
      </w:pPr>
      <w:r w:rsidRPr="0057415D">
        <w:rPr>
          <w:rFonts w:asciiTheme="majorHAnsi" w:hAnsiTheme="majorHAnsi"/>
          <w:b/>
          <w:sz w:val="22"/>
          <w:szCs w:val="22"/>
        </w:rPr>
        <w:t>Methods:</w:t>
      </w:r>
      <w:r w:rsidR="00D521E3" w:rsidRPr="0057415D">
        <w:rPr>
          <w:rFonts w:asciiTheme="majorHAnsi" w:hAnsiTheme="majorHAnsi"/>
          <w:sz w:val="22"/>
          <w:szCs w:val="22"/>
        </w:rPr>
        <w:t xml:space="preserve"> MenACWY vaccination uptake data for 17-18 year-olds and students delivered in primary care</w:t>
      </w:r>
      <w:r w:rsidR="00A8197D" w:rsidRPr="0057415D">
        <w:rPr>
          <w:rFonts w:asciiTheme="majorHAnsi" w:hAnsiTheme="majorHAnsi"/>
          <w:sz w:val="22"/>
          <w:szCs w:val="22"/>
        </w:rPr>
        <w:t xml:space="preserve"> were</w:t>
      </w:r>
      <w:r w:rsidRPr="0057415D">
        <w:rPr>
          <w:rFonts w:asciiTheme="majorHAnsi" w:hAnsiTheme="majorHAnsi"/>
          <w:sz w:val="22"/>
          <w:szCs w:val="22"/>
        </w:rPr>
        <w:t xml:space="preserve"> obtained</w:t>
      </w:r>
      <w:r w:rsidR="00D521E3" w:rsidRPr="0057415D">
        <w:rPr>
          <w:rFonts w:asciiTheme="majorHAnsi" w:hAnsiTheme="majorHAnsi"/>
          <w:sz w:val="22"/>
          <w:szCs w:val="22"/>
        </w:rPr>
        <w:t xml:space="preserve"> for twenty National Health Service clinical commissioning groups (CCGs)</w:t>
      </w:r>
      <w:r w:rsidRPr="0057415D">
        <w:rPr>
          <w:rFonts w:asciiTheme="majorHAnsi" w:hAnsiTheme="majorHAnsi"/>
          <w:sz w:val="22"/>
          <w:szCs w:val="22"/>
        </w:rPr>
        <w:t xml:space="preserve"> via th</w:t>
      </w:r>
      <w:r w:rsidR="00A8197D" w:rsidRPr="0057415D">
        <w:rPr>
          <w:rFonts w:asciiTheme="majorHAnsi" w:hAnsiTheme="majorHAnsi"/>
          <w:sz w:val="22"/>
          <w:szCs w:val="22"/>
        </w:rPr>
        <w:t xml:space="preserve">e </w:t>
      </w:r>
      <w:proofErr w:type="spellStart"/>
      <w:r w:rsidR="00A8197D" w:rsidRPr="0057415D">
        <w:rPr>
          <w:rFonts w:asciiTheme="majorHAnsi" w:hAnsiTheme="majorHAnsi"/>
          <w:sz w:val="22"/>
          <w:szCs w:val="22"/>
        </w:rPr>
        <w:t>ImmForm</w:t>
      </w:r>
      <w:proofErr w:type="spellEnd"/>
      <w:r w:rsidR="00A8197D" w:rsidRPr="0057415D">
        <w:rPr>
          <w:rFonts w:asciiTheme="majorHAnsi" w:hAnsiTheme="majorHAnsi"/>
          <w:sz w:val="22"/>
          <w:szCs w:val="22"/>
        </w:rPr>
        <w:t xml:space="preserve"> vaccination system. D</w:t>
      </w:r>
      <w:r w:rsidR="00D521E3" w:rsidRPr="0057415D">
        <w:rPr>
          <w:rFonts w:asciiTheme="majorHAnsi" w:hAnsiTheme="majorHAnsi"/>
          <w:sz w:val="22"/>
          <w:szCs w:val="22"/>
        </w:rPr>
        <w:t>ata on general practice</w:t>
      </w:r>
      <w:r w:rsidRPr="0057415D">
        <w:rPr>
          <w:rFonts w:asciiTheme="majorHAnsi" w:hAnsiTheme="majorHAnsi"/>
          <w:sz w:val="22"/>
          <w:szCs w:val="22"/>
        </w:rPr>
        <w:t xml:space="preserve"> characteristics, encompassing demographics and patient satisfaction variables, were extracted from the National General Practice Profiles resource. Univariable analysis of the associations between practice characteristics and vaccination was performed, followed by multivariable negative binomial regression.</w:t>
      </w:r>
    </w:p>
    <w:p w14:paraId="04B5B3C1" w14:textId="77777777" w:rsidR="00F55BD3" w:rsidRPr="0057415D" w:rsidRDefault="00F55BD3" w:rsidP="00B53AE3">
      <w:pPr>
        <w:spacing w:line="480" w:lineRule="auto"/>
        <w:rPr>
          <w:rFonts w:asciiTheme="majorHAnsi" w:hAnsiTheme="majorHAnsi"/>
          <w:sz w:val="22"/>
          <w:szCs w:val="22"/>
        </w:rPr>
      </w:pPr>
    </w:p>
    <w:p w14:paraId="36362C69" w14:textId="10D2B43C" w:rsidR="00B53AE3" w:rsidRPr="0057415D" w:rsidRDefault="00B53AE3" w:rsidP="00B53AE3">
      <w:pPr>
        <w:spacing w:line="480" w:lineRule="auto"/>
        <w:rPr>
          <w:rFonts w:asciiTheme="majorHAnsi" w:hAnsiTheme="majorHAnsi"/>
          <w:sz w:val="22"/>
          <w:szCs w:val="22"/>
        </w:rPr>
      </w:pPr>
      <w:r w:rsidRPr="0057415D">
        <w:rPr>
          <w:rFonts w:asciiTheme="majorHAnsi" w:hAnsiTheme="majorHAnsi"/>
          <w:b/>
          <w:sz w:val="22"/>
          <w:szCs w:val="22"/>
        </w:rPr>
        <w:t xml:space="preserve">Results: </w:t>
      </w:r>
      <w:r w:rsidR="00063FFE" w:rsidRPr="0057415D">
        <w:rPr>
          <w:rFonts w:asciiTheme="majorHAnsi" w:hAnsiTheme="majorHAnsi"/>
          <w:sz w:val="22"/>
          <w:szCs w:val="22"/>
        </w:rPr>
        <w:t>Data was utilised from 587</w:t>
      </w:r>
      <w:r w:rsidR="00D521E3" w:rsidRPr="0057415D">
        <w:rPr>
          <w:rFonts w:asciiTheme="majorHAnsi" w:hAnsiTheme="majorHAnsi"/>
          <w:sz w:val="22"/>
          <w:szCs w:val="22"/>
        </w:rPr>
        <w:t xml:space="preserve"> general</w:t>
      </w:r>
      <w:r w:rsidR="00923F5D" w:rsidRPr="0057415D">
        <w:rPr>
          <w:rFonts w:asciiTheme="majorHAnsi" w:hAnsiTheme="majorHAnsi"/>
          <w:sz w:val="22"/>
          <w:szCs w:val="22"/>
        </w:rPr>
        <w:t xml:space="preserve"> practices, accountin</w:t>
      </w:r>
      <w:r w:rsidR="00D521E3" w:rsidRPr="0057415D">
        <w:rPr>
          <w:rFonts w:asciiTheme="majorHAnsi" w:hAnsiTheme="majorHAnsi"/>
          <w:sz w:val="22"/>
          <w:szCs w:val="22"/>
        </w:rPr>
        <w:t>g for approximately 8% of all general</w:t>
      </w:r>
      <w:r w:rsidR="00923F5D" w:rsidRPr="0057415D">
        <w:rPr>
          <w:rFonts w:asciiTheme="majorHAnsi" w:hAnsiTheme="majorHAnsi"/>
          <w:sz w:val="22"/>
          <w:szCs w:val="22"/>
        </w:rPr>
        <w:t xml:space="preserve"> practices in England. </w:t>
      </w:r>
      <w:r w:rsidRPr="0057415D">
        <w:rPr>
          <w:rFonts w:asciiTheme="majorHAnsi" w:hAnsiTheme="majorHAnsi"/>
          <w:sz w:val="22"/>
          <w:szCs w:val="22"/>
        </w:rPr>
        <w:t>MenACWY vaccinat</w:t>
      </w:r>
      <w:r w:rsidR="00F55BD3" w:rsidRPr="0057415D">
        <w:rPr>
          <w:rFonts w:asciiTheme="majorHAnsi" w:hAnsiTheme="majorHAnsi"/>
          <w:sz w:val="22"/>
          <w:szCs w:val="22"/>
        </w:rPr>
        <w:t>ion uptake varied from 20.8-</w:t>
      </w:r>
      <w:r w:rsidRPr="0057415D">
        <w:rPr>
          <w:rFonts w:asciiTheme="majorHAnsi" w:hAnsiTheme="majorHAnsi"/>
          <w:sz w:val="22"/>
          <w:szCs w:val="22"/>
        </w:rPr>
        <w:t>46.8% across the CCGs evaluated. Upon multivariable regression, vaccination uptake increased with increasing percentage of patients from ethnic minorities, increasing percentage of patients aged 15-24 years, increasing percentage of patients that would recommend th</w:t>
      </w:r>
      <w:r w:rsidR="00A8197D" w:rsidRPr="0057415D">
        <w:rPr>
          <w:rFonts w:asciiTheme="majorHAnsi" w:hAnsiTheme="majorHAnsi"/>
          <w:sz w:val="22"/>
          <w:szCs w:val="22"/>
        </w:rPr>
        <w:t xml:space="preserve">eir practice and total </w:t>
      </w:r>
      <w:r w:rsidRPr="0057415D">
        <w:rPr>
          <w:rFonts w:asciiTheme="majorHAnsi" w:hAnsiTheme="majorHAnsi"/>
          <w:sz w:val="22"/>
          <w:szCs w:val="22"/>
        </w:rPr>
        <w:t>Quali</w:t>
      </w:r>
      <w:r w:rsidR="00F55BD3" w:rsidRPr="0057415D">
        <w:rPr>
          <w:rFonts w:asciiTheme="majorHAnsi" w:hAnsiTheme="majorHAnsi"/>
          <w:sz w:val="22"/>
          <w:szCs w:val="22"/>
        </w:rPr>
        <w:t>ty and Outcomes Framework achievement</w:t>
      </w:r>
      <w:r w:rsidR="00A8197D" w:rsidRPr="0057415D">
        <w:rPr>
          <w:rFonts w:asciiTheme="majorHAnsi" w:hAnsiTheme="majorHAnsi"/>
          <w:sz w:val="22"/>
          <w:szCs w:val="22"/>
        </w:rPr>
        <w:t xml:space="preserve"> for the practice</w:t>
      </w:r>
      <w:r w:rsidRPr="0057415D">
        <w:rPr>
          <w:rFonts w:asciiTheme="majorHAnsi" w:hAnsiTheme="majorHAnsi"/>
          <w:sz w:val="22"/>
          <w:szCs w:val="22"/>
        </w:rPr>
        <w:t xml:space="preserve">. </w:t>
      </w:r>
      <w:r w:rsidR="00F55BD3" w:rsidRPr="0057415D">
        <w:rPr>
          <w:rFonts w:asciiTheme="majorHAnsi" w:hAnsiTheme="majorHAnsi"/>
          <w:sz w:val="22"/>
          <w:szCs w:val="22"/>
        </w:rPr>
        <w:t>Conversely, v</w:t>
      </w:r>
      <w:r w:rsidRPr="0057415D">
        <w:rPr>
          <w:rFonts w:asciiTheme="majorHAnsi" w:hAnsiTheme="majorHAnsi"/>
          <w:sz w:val="22"/>
          <w:szCs w:val="22"/>
        </w:rPr>
        <w:t xml:space="preserve">accination uptake decreased with increasing deprivation. </w:t>
      </w:r>
    </w:p>
    <w:p w14:paraId="49BDAAA3" w14:textId="77777777" w:rsidR="00F55BD3" w:rsidRPr="0057415D" w:rsidRDefault="00F55BD3" w:rsidP="00B53AE3">
      <w:pPr>
        <w:spacing w:line="480" w:lineRule="auto"/>
        <w:rPr>
          <w:rFonts w:asciiTheme="majorHAnsi" w:hAnsiTheme="majorHAnsi"/>
          <w:sz w:val="22"/>
          <w:szCs w:val="22"/>
        </w:rPr>
      </w:pPr>
    </w:p>
    <w:p w14:paraId="57528A31" w14:textId="0CCCB807" w:rsidR="00B53AE3" w:rsidRPr="0057415D" w:rsidRDefault="00B53AE3" w:rsidP="00B53AE3">
      <w:pPr>
        <w:spacing w:line="480" w:lineRule="auto"/>
        <w:rPr>
          <w:rFonts w:asciiTheme="majorHAnsi" w:hAnsiTheme="majorHAnsi"/>
          <w:sz w:val="22"/>
          <w:szCs w:val="22"/>
        </w:rPr>
      </w:pPr>
      <w:r w:rsidRPr="0057415D">
        <w:rPr>
          <w:rFonts w:asciiTheme="majorHAnsi" w:hAnsiTheme="majorHAnsi"/>
          <w:b/>
          <w:sz w:val="22"/>
          <w:szCs w:val="22"/>
        </w:rPr>
        <w:t xml:space="preserve">Conclusions: </w:t>
      </w:r>
      <w:r w:rsidRPr="0057415D">
        <w:rPr>
          <w:rFonts w:asciiTheme="majorHAnsi" w:hAnsiTheme="majorHAnsi"/>
          <w:sz w:val="22"/>
          <w:szCs w:val="22"/>
        </w:rPr>
        <w:t xml:space="preserve">This study has identified several factors independently associated with MenACWY vaccination in primary care. </w:t>
      </w:r>
      <w:r w:rsidR="00A8197D" w:rsidRPr="0057415D">
        <w:rPr>
          <w:rFonts w:asciiTheme="majorHAnsi" w:hAnsiTheme="majorHAnsi"/>
          <w:sz w:val="22"/>
          <w:szCs w:val="22"/>
        </w:rPr>
        <w:t>These findings will enable a</w:t>
      </w:r>
      <w:r w:rsidR="00D521E3" w:rsidRPr="0057415D">
        <w:rPr>
          <w:rFonts w:asciiTheme="majorHAnsi" w:hAnsiTheme="majorHAnsi"/>
          <w:sz w:val="22"/>
          <w:szCs w:val="22"/>
        </w:rPr>
        <w:t xml:space="preserve"> targeted approach to improve general practice</w:t>
      </w:r>
      <w:r w:rsidR="00A8197D" w:rsidRPr="0057415D">
        <w:rPr>
          <w:rFonts w:asciiTheme="majorHAnsi" w:hAnsiTheme="majorHAnsi"/>
          <w:sz w:val="22"/>
          <w:szCs w:val="22"/>
        </w:rPr>
        <w:t xml:space="preserve"> level vaccination uptake.</w:t>
      </w:r>
    </w:p>
    <w:p w14:paraId="4B2D0C2E" w14:textId="77777777" w:rsidR="00B53AE3" w:rsidRPr="0057415D" w:rsidRDefault="00B53AE3" w:rsidP="00F85C87">
      <w:pPr>
        <w:spacing w:line="480" w:lineRule="auto"/>
        <w:rPr>
          <w:rFonts w:asciiTheme="majorHAnsi" w:hAnsiTheme="majorHAnsi"/>
          <w:b/>
          <w:sz w:val="22"/>
          <w:szCs w:val="22"/>
        </w:rPr>
      </w:pPr>
    </w:p>
    <w:p w14:paraId="148C4FAC" w14:textId="77777777" w:rsidR="00B53AE3" w:rsidRPr="0057415D" w:rsidRDefault="00B53AE3" w:rsidP="00F85C87">
      <w:pPr>
        <w:spacing w:line="480" w:lineRule="auto"/>
        <w:rPr>
          <w:rFonts w:asciiTheme="majorHAnsi" w:hAnsiTheme="majorHAnsi"/>
          <w:b/>
          <w:sz w:val="22"/>
          <w:szCs w:val="22"/>
        </w:rPr>
      </w:pPr>
    </w:p>
    <w:p w14:paraId="08B365BC" w14:textId="77777777" w:rsidR="0002119C" w:rsidRPr="0057415D" w:rsidRDefault="0002119C" w:rsidP="00F85C87">
      <w:pPr>
        <w:spacing w:line="480" w:lineRule="auto"/>
        <w:rPr>
          <w:rFonts w:asciiTheme="majorHAnsi" w:hAnsiTheme="majorHAnsi"/>
          <w:b/>
          <w:sz w:val="22"/>
          <w:szCs w:val="22"/>
        </w:rPr>
      </w:pPr>
    </w:p>
    <w:p w14:paraId="65529A96" w14:textId="77777777" w:rsidR="0002119C" w:rsidRPr="0057415D" w:rsidRDefault="0002119C" w:rsidP="00F85C87">
      <w:pPr>
        <w:spacing w:line="480" w:lineRule="auto"/>
        <w:rPr>
          <w:rFonts w:asciiTheme="majorHAnsi" w:hAnsiTheme="majorHAnsi"/>
          <w:b/>
          <w:sz w:val="22"/>
          <w:szCs w:val="22"/>
        </w:rPr>
      </w:pPr>
    </w:p>
    <w:p w14:paraId="447A2951" w14:textId="77777777" w:rsidR="00345D11" w:rsidRPr="0057415D" w:rsidRDefault="004E52F8" w:rsidP="00F85C87">
      <w:pPr>
        <w:spacing w:line="480" w:lineRule="auto"/>
        <w:rPr>
          <w:rFonts w:asciiTheme="majorHAnsi" w:hAnsiTheme="majorHAnsi"/>
          <w:b/>
          <w:sz w:val="22"/>
          <w:szCs w:val="22"/>
        </w:rPr>
      </w:pPr>
      <w:r w:rsidRPr="0057415D">
        <w:rPr>
          <w:rFonts w:asciiTheme="majorHAnsi" w:hAnsiTheme="majorHAnsi"/>
          <w:b/>
          <w:sz w:val="22"/>
          <w:szCs w:val="22"/>
        </w:rPr>
        <w:lastRenderedPageBreak/>
        <w:t>Introduction</w:t>
      </w:r>
    </w:p>
    <w:p w14:paraId="1D8FEBC8" w14:textId="61670CEB" w:rsidR="004E52F8" w:rsidRPr="0057415D" w:rsidRDefault="007A02EB" w:rsidP="00F85C87">
      <w:pPr>
        <w:spacing w:line="480" w:lineRule="auto"/>
        <w:rPr>
          <w:rFonts w:asciiTheme="majorHAnsi" w:hAnsiTheme="majorHAnsi"/>
          <w:sz w:val="22"/>
          <w:szCs w:val="22"/>
        </w:rPr>
      </w:pPr>
      <w:r w:rsidRPr="0057415D">
        <w:rPr>
          <w:rFonts w:asciiTheme="majorHAnsi" w:hAnsiTheme="majorHAnsi"/>
          <w:sz w:val="22"/>
          <w:szCs w:val="22"/>
        </w:rPr>
        <w:t>I</w:t>
      </w:r>
      <w:r w:rsidR="004E52F8" w:rsidRPr="0057415D">
        <w:rPr>
          <w:rFonts w:asciiTheme="majorHAnsi" w:hAnsiTheme="majorHAnsi"/>
          <w:sz w:val="22"/>
          <w:szCs w:val="22"/>
        </w:rPr>
        <w:t>ncidence</w:t>
      </w:r>
      <w:r w:rsidR="00427AA1" w:rsidRPr="0057415D">
        <w:rPr>
          <w:rFonts w:asciiTheme="majorHAnsi" w:hAnsiTheme="majorHAnsi"/>
          <w:sz w:val="22"/>
          <w:szCs w:val="22"/>
        </w:rPr>
        <w:t xml:space="preserve"> and mortality from</w:t>
      </w:r>
      <w:r w:rsidR="004E52F8" w:rsidRPr="0057415D">
        <w:rPr>
          <w:rFonts w:asciiTheme="majorHAnsi" w:hAnsiTheme="majorHAnsi"/>
          <w:sz w:val="22"/>
          <w:szCs w:val="22"/>
        </w:rPr>
        <w:t xml:space="preserve"> invasive meningococcal disease due to capsular group W (</w:t>
      </w:r>
      <w:proofErr w:type="spellStart"/>
      <w:r w:rsidR="004E52F8" w:rsidRPr="0057415D">
        <w:rPr>
          <w:rFonts w:asciiTheme="majorHAnsi" w:hAnsiTheme="majorHAnsi"/>
          <w:sz w:val="22"/>
          <w:szCs w:val="22"/>
        </w:rPr>
        <w:t>MenW</w:t>
      </w:r>
      <w:proofErr w:type="spellEnd"/>
      <w:r w:rsidR="004E52F8" w:rsidRPr="0057415D">
        <w:rPr>
          <w:rFonts w:asciiTheme="majorHAnsi" w:hAnsiTheme="majorHAnsi"/>
          <w:sz w:val="22"/>
          <w:szCs w:val="22"/>
        </w:rPr>
        <w:t>)</w:t>
      </w:r>
      <w:r w:rsidRPr="0057415D">
        <w:rPr>
          <w:rFonts w:asciiTheme="majorHAnsi" w:hAnsiTheme="majorHAnsi"/>
          <w:sz w:val="22"/>
          <w:szCs w:val="22"/>
        </w:rPr>
        <w:t xml:space="preserve"> has been increasing</w:t>
      </w:r>
      <w:r w:rsidR="004E52F8" w:rsidRPr="0057415D">
        <w:rPr>
          <w:rFonts w:asciiTheme="majorHAnsi" w:hAnsiTheme="majorHAnsi"/>
          <w:sz w:val="22"/>
          <w:szCs w:val="22"/>
        </w:rPr>
        <w:t xml:space="preserve"> in</w:t>
      </w:r>
      <w:r w:rsidR="00F85C87" w:rsidRPr="0057415D">
        <w:rPr>
          <w:rFonts w:asciiTheme="majorHAnsi" w:hAnsiTheme="majorHAnsi"/>
          <w:sz w:val="22"/>
          <w:szCs w:val="22"/>
        </w:rPr>
        <w:t xml:space="preserve"> England</w:t>
      </w:r>
      <w:r w:rsidRPr="0057415D">
        <w:rPr>
          <w:rFonts w:asciiTheme="majorHAnsi" w:hAnsiTheme="majorHAnsi"/>
          <w:sz w:val="22"/>
          <w:szCs w:val="22"/>
        </w:rPr>
        <w:t xml:space="preserve"> since 20</w:t>
      </w:r>
      <w:r w:rsidR="00727D32" w:rsidRPr="0057415D">
        <w:rPr>
          <w:rFonts w:asciiTheme="majorHAnsi" w:hAnsiTheme="majorHAnsi"/>
          <w:sz w:val="22"/>
          <w:szCs w:val="22"/>
        </w:rPr>
        <w:t xml:space="preserve">09 and in early 2015 </w:t>
      </w:r>
      <w:proofErr w:type="spellStart"/>
      <w:r w:rsidR="00727D32" w:rsidRPr="0057415D">
        <w:rPr>
          <w:rFonts w:asciiTheme="majorHAnsi" w:hAnsiTheme="majorHAnsi"/>
          <w:sz w:val="22"/>
          <w:szCs w:val="22"/>
        </w:rPr>
        <w:t>MenW</w:t>
      </w:r>
      <w:proofErr w:type="spellEnd"/>
      <w:r w:rsidR="00727D32" w:rsidRPr="0057415D">
        <w:rPr>
          <w:rFonts w:asciiTheme="majorHAnsi" w:hAnsiTheme="majorHAnsi"/>
          <w:sz w:val="22"/>
          <w:szCs w:val="22"/>
        </w:rPr>
        <w:t xml:space="preserve"> was declared endemic</w:t>
      </w:r>
      <w:r w:rsidR="004E52F8" w:rsidRPr="0057415D">
        <w:rPr>
          <w:rFonts w:asciiTheme="majorHAnsi" w:hAnsiTheme="majorHAnsi"/>
          <w:sz w:val="22"/>
          <w:szCs w:val="22"/>
        </w:rPr>
        <w:fldChar w:fldCharType="begin"/>
      </w:r>
      <w:r w:rsidR="00AA732D" w:rsidRPr="0057415D">
        <w:rPr>
          <w:rFonts w:asciiTheme="majorHAnsi" w:hAnsiTheme="majorHAnsi"/>
          <w:sz w:val="22"/>
          <w:szCs w:val="22"/>
        </w:rPr>
        <w:instrText>ADDIN RW.CITE{{37 Public Health England 2015;655 Joint Committee on Vaccination and Immunisation 13 March 2015;38 Public Health England 2015}}</w:instrText>
      </w:r>
      <w:r w:rsidR="004E52F8" w:rsidRPr="0057415D">
        <w:rPr>
          <w:rFonts w:asciiTheme="majorHAnsi" w:hAnsiTheme="majorHAnsi"/>
          <w:sz w:val="22"/>
          <w:szCs w:val="22"/>
        </w:rPr>
        <w:fldChar w:fldCharType="separate"/>
      </w:r>
      <w:r w:rsidR="00AA732D" w:rsidRPr="0057415D">
        <w:rPr>
          <w:rFonts w:asciiTheme="majorHAnsi" w:eastAsia="Times New Roman" w:hAnsiTheme="majorHAnsi" w:cs="Times New Roman"/>
          <w:sz w:val="22"/>
        </w:rPr>
        <w:t>(1-3)</w:t>
      </w:r>
      <w:r w:rsidR="004E52F8" w:rsidRPr="0057415D">
        <w:rPr>
          <w:rFonts w:asciiTheme="majorHAnsi" w:hAnsiTheme="majorHAnsi"/>
          <w:sz w:val="22"/>
          <w:szCs w:val="22"/>
        </w:rPr>
        <w:fldChar w:fldCharType="end"/>
      </w:r>
      <w:r w:rsidR="00427AA1" w:rsidRPr="0057415D">
        <w:rPr>
          <w:rFonts w:asciiTheme="majorHAnsi" w:hAnsiTheme="majorHAnsi"/>
          <w:sz w:val="22"/>
          <w:szCs w:val="22"/>
        </w:rPr>
        <w:t xml:space="preserve">. </w:t>
      </w:r>
      <w:r w:rsidR="00727D32" w:rsidRPr="0057415D">
        <w:rPr>
          <w:rFonts w:asciiTheme="majorHAnsi" w:hAnsiTheme="majorHAnsi"/>
          <w:sz w:val="22"/>
          <w:szCs w:val="22"/>
        </w:rPr>
        <w:t>Consequently</w:t>
      </w:r>
      <w:r w:rsidR="004E52F8" w:rsidRPr="0057415D">
        <w:rPr>
          <w:rFonts w:asciiTheme="majorHAnsi" w:hAnsiTheme="majorHAnsi"/>
          <w:sz w:val="22"/>
          <w:szCs w:val="22"/>
        </w:rPr>
        <w:t>, the Department of Health</w:t>
      </w:r>
      <w:r w:rsidR="0038527E" w:rsidRPr="0057415D">
        <w:rPr>
          <w:rFonts w:asciiTheme="majorHAnsi" w:hAnsiTheme="majorHAnsi"/>
          <w:sz w:val="22"/>
          <w:szCs w:val="22"/>
        </w:rPr>
        <w:t xml:space="preserve"> (D</w:t>
      </w:r>
      <w:r w:rsidR="009E48C6" w:rsidRPr="0057415D">
        <w:rPr>
          <w:rFonts w:asciiTheme="majorHAnsi" w:hAnsiTheme="majorHAnsi"/>
          <w:sz w:val="22"/>
          <w:szCs w:val="22"/>
        </w:rPr>
        <w:t>H)</w:t>
      </w:r>
      <w:r w:rsidR="0038527E" w:rsidRPr="0057415D">
        <w:rPr>
          <w:rFonts w:asciiTheme="majorHAnsi" w:hAnsiTheme="majorHAnsi"/>
          <w:sz w:val="22"/>
          <w:szCs w:val="22"/>
        </w:rPr>
        <w:t xml:space="preserve"> introduced a targeted</w:t>
      </w:r>
      <w:r w:rsidR="004E52F8" w:rsidRPr="0057415D">
        <w:rPr>
          <w:rFonts w:asciiTheme="majorHAnsi" w:hAnsiTheme="majorHAnsi"/>
          <w:sz w:val="22"/>
          <w:szCs w:val="22"/>
        </w:rPr>
        <w:t xml:space="preserve"> </w:t>
      </w:r>
      <w:proofErr w:type="spellStart"/>
      <w:r w:rsidR="004E52F8" w:rsidRPr="0057415D">
        <w:rPr>
          <w:rFonts w:asciiTheme="majorHAnsi" w:hAnsiTheme="majorHAnsi"/>
          <w:sz w:val="22"/>
          <w:szCs w:val="22"/>
        </w:rPr>
        <w:t>quadrivalent</w:t>
      </w:r>
      <w:proofErr w:type="spellEnd"/>
      <w:r w:rsidR="004E52F8" w:rsidRPr="0057415D">
        <w:rPr>
          <w:rFonts w:asciiTheme="majorHAnsi" w:hAnsiTheme="majorHAnsi"/>
          <w:sz w:val="22"/>
          <w:szCs w:val="22"/>
        </w:rPr>
        <w:t xml:space="preserve"> meningococcal ACWY v</w:t>
      </w:r>
      <w:r w:rsidR="00E87834" w:rsidRPr="0057415D">
        <w:rPr>
          <w:rFonts w:asciiTheme="majorHAnsi" w:hAnsiTheme="majorHAnsi"/>
          <w:sz w:val="22"/>
          <w:szCs w:val="22"/>
        </w:rPr>
        <w:t xml:space="preserve">accine (MenACWY) </w:t>
      </w:r>
      <w:r w:rsidR="0038527E" w:rsidRPr="0057415D">
        <w:rPr>
          <w:rFonts w:asciiTheme="majorHAnsi" w:hAnsiTheme="majorHAnsi"/>
          <w:sz w:val="22"/>
          <w:szCs w:val="22"/>
        </w:rPr>
        <w:t xml:space="preserve">programme for school </w:t>
      </w:r>
      <w:r w:rsidR="004E52F8" w:rsidRPr="0057415D">
        <w:rPr>
          <w:rFonts w:asciiTheme="majorHAnsi" w:hAnsiTheme="majorHAnsi"/>
          <w:sz w:val="22"/>
          <w:szCs w:val="22"/>
        </w:rPr>
        <w:t>years 9 and 10 (age 13-15 years)</w:t>
      </w:r>
      <w:r w:rsidR="00742BE2" w:rsidRPr="0057415D">
        <w:rPr>
          <w:rFonts w:asciiTheme="majorHAnsi" w:hAnsiTheme="majorHAnsi"/>
          <w:sz w:val="22"/>
          <w:szCs w:val="22"/>
        </w:rPr>
        <w:t>, replacing the vaccination programme against meningococcal capsular group C (</w:t>
      </w:r>
      <w:proofErr w:type="spellStart"/>
      <w:r w:rsidR="00742BE2" w:rsidRPr="0057415D">
        <w:rPr>
          <w:rFonts w:asciiTheme="majorHAnsi" w:hAnsiTheme="majorHAnsi"/>
          <w:sz w:val="22"/>
          <w:szCs w:val="22"/>
        </w:rPr>
        <w:t>MenC</w:t>
      </w:r>
      <w:proofErr w:type="spellEnd"/>
      <w:r w:rsidR="00742BE2" w:rsidRPr="0057415D">
        <w:rPr>
          <w:rFonts w:asciiTheme="majorHAnsi" w:hAnsiTheme="majorHAnsi"/>
          <w:sz w:val="22"/>
          <w:szCs w:val="22"/>
        </w:rPr>
        <w:t>)</w:t>
      </w:r>
      <w:r w:rsidR="004E52F8" w:rsidRPr="0057415D">
        <w:rPr>
          <w:rFonts w:asciiTheme="majorHAnsi" w:hAnsiTheme="majorHAnsi"/>
          <w:sz w:val="22"/>
          <w:szCs w:val="22"/>
        </w:rPr>
        <w:fldChar w:fldCharType="begin"/>
      </w:r>
      <w:r w:rsidR="004E52F8" w:rsidRPr="0057415D">
        <w:rPr>
          <w:rFonts w:asciiTheme="majorHAnsi" w:hAnsiTheme="majorHAnsi"/>
          <w:sz w:val="22"/>
          <w:szCs w:val="22"/>
        </w:rPr>
        <w:instrText>ADDIN RW.CITE{{38 Public Health England 2015;654 NHS England March 2016}}</w:instrText>
      </w:r>
      <w:r w:rsidR="004E52F8" w:rsidRPr="0057415D">
        <w:rPr>
          <w:rFonts w:asciiTheme="majorHAnsi" w:hAnsiTheme="majorHAnsi"/>
          <w:sz w:val="22"/>
          <w:szCs w:val="22"/>
        </w:rPr>
        <w:fldChar w:fldCharType="separate"/>
      </w:r>
      <w:r w:rsidR="004E52F8" w:rsidRPr="0057415D">
        <w:rPr>
          <w:rFonts w:asciiTheme="majorHAnsi" w:eastAsia="Times New Roman" w:hAnsiTheme="majorHAnsi" w:cs="Times New Roman"/>
          <w:sz w:val="22"/>
          <w:szCs w:val="22"/>
        </w:rPr>
        <w:t>(3,4)</w:t>
      </w:r>
      <w:r w:rsidR="004E52F8" w:rsidRPr="0057415D">
        <w:rPr>
          <w:rFonts w:asciiTheme="majorHAnsi" w:hAnsiTheme="majorHAnsi"/>
          <w:sz w:val="22"/>
          <w:szCs w:val="22"/>
        </w:rPr>
        <w:fldChar w:fldCharType="end"/>
      </w:r>
      <w:r w:rsidR="00D730CB" w:rsidRPr="0057415D">
        <w:rPr>
          <w:rFonts w:asciiTheme="majorHAnsi" w:hAnsiTheme="majorHAnsi"/>
          <w:sz w:val="22"/>
          <w:szCs w:val="22"/>
        </w:rPr>
        <w:t>. Additionally, a</w:t>
      </w:r>
      <w:r w:rsidR="009E48C6" w:rsidRPr="0057415D">
        <w:rPr>
          <w:rFonts w:asciiTheme="majorHAnsi" w:hAnsiTheme="majorHAnsi"/>
          <w:sz w:val="22"/>
          <w:szCs w:val="22"/>
        </w:rPr>
        <w:t>n</w:t>
      </w:r>
      <w:r w:rsidR="00D730CB" w:rsidRPr="0057415D">
        <w:rPr>
          <w:rFonts w:asciiTheme="majorHAnsi" w:hAnsiTheme="majorHAnsi"/>
          <w:sz w:val="22"/>
          <w:szCs w:val="22"/>
        </w:rPr>
        <w:t xml:space="preserve"> </w:t>
      </w:r>
      <w:r w:rsidR="004E52F8" w:rsidRPr="0057415D">
        <w:rPr>
          <w:rFonts w:asciiTheme="majorHAnsi" w:hAnsiTheme="majorHAnsi"/>
          <w:sz w:val="22"/>
          <w:szCs w:val="22"/>
        </w:rPr>
        <w:t>urgent catch-up programme in primary care for children in school year 13 (age 17-18 years) was</w:t>
      </w:r>
      <w:r w:rsidR="0038527E" w:rsidRPr="0057415D">
        <w:rPr>
          <w:rFonts w:asciiTheme="majorHAnsi" w:hAnsiTheme="majorHAnsi"/>
          <w:sz w:val="22"/>
          <w:szCs w:val="22"/>
        </w:rPr>
        <w:t xml:space="preserve"> implemented in primary care</w:t>
      </w:r>
      <w:r w:rsidR="004E52F8" w:rsidRPr="0057415D">
        <w:rPr>
          <w:rFonts w:asciiTheme="majorHAnsi" w:hAnsiTheme="majorHAnsi"/>
          <w:sz w:val="22"/>
          <w:szCs w:val="22"/>
        </w:rPr>
        <w:t>, with</w:t>
      </w:r>
      <w:r w:rsidR="009E48C6" w:rsidRPr="0057415D">
        <w:rPr>
          <w:rFonts w:asciiTheme="majorHAnsi" w:hAnsiTheme="majorHAnsi"/>
          <w:sz w:val="22"/>
          <w:szCs w:val="22"/>
        </w:rPr>
        <w:t xml:space="preserve"> first-time university students under 25 years</w:t>
      </w:r>
      <w:r w:rsidR="004E52F8" w:rsidRPr="0057415D">
        <w:rPr>
          <w:rFonts w:asciiTheme="majorHAnsi" w:hAnsiTheme="majorHAnsi"/>
          <w:sz w:val="22"/>
          <w:szCs w:val="22"/>
        </w:rPr>
        <w:t xml:space="preserve"> also recommended to receive the vaccine</w:t>
      </w:r>
      <w:r w:rsidR="0042280D" w:rsidRPr="0057415D">
        <w:rPr>
          <w:rFonts w:asciiTheme="majorHAnsi" w:hAnsiTheme="majorHAnsi"/>
          <w:sz w:val="22"/>
          <w:szCs w:val="22"/>
        </w:rPr>
        <w:t xml:space="preserve"> in primary care</w:t>
      </w:r>
      <w:r w:rsidR="004E52F8" w:rsidRPr="0057415D">
        <w:rPr>
          <w:rFonts w:asciiTheme="majorHAnsi" w:hAnsiTheme="majorHAnsi"/>
          <w:sz w:val="22"/>
          <w:szCs w:val="22"/>
        </w:rPr>
        <w:fldChar w:fldCharType="begin"/>
      </w:r>
      <w:r w:rsidR="004E52F8" w:rsidRPr="0057415D">
        <w:rPr>
          <w:rFonts w:asciiTheme="majorHAnsi" w:hAnsiTheme="majorHAnsi"/>
          <w:sz w:val="22"/>
          <w:szCs w:val="22"/>
        </w:rPr>
        <w:instrText>ADDIN RW.CITE{{654 NHS England March 2016}}</w:instrText>
      </w:r>
      <w:r w:rsidR="004E52F8" w:rsidRPr="0057415D">
        <w:rPr>
          <w:rFonts w:asciiTheme="majorHAnsi" w:hAnsiTheme="majorHAnsi"/>
          <w:sz w:val="22"/>
          <w:szCs w:val="22"/>
        </w:rPr>
        <w:fldChar w:fldCharType="separate"/>
      </w:r>
      <w:r w:rsidR="004E52F8" w:rsidRPr="0057415D">
        <w:rPr>
          <w:rFonts w:asciiTheme="majorHAnsi" w:eastAsia="Times New Roman" w:hAnsiTheme="majorHAnsi" w:cs="Times New Roman"/>
          <w:sz w:val="22"/>
          <w:szCs w:val="22"/>
        </w:rPr>
        <w:t>(4)</w:t>
      </w:r>
      <w:r w:rsidR="004E52F8" w:rsidRPr="0057415D">
        <w:rPr>
          <w:rFonts w:asciiTheme="majorHAnsi" w:hAnsiTheme="majorHAnsi"/>
          <w:sz w:val="22"/>
          <w:szCs w:val="22"/>
        </w:rPr>
        <w:fldChar w:fldCharType="end"/>
      </w:r>
      <w:r w:rsidR="004E52F8" w:rsidRPr="0057415D">
        <w:rPr>
          <w:rFonts w:asciiTheme="majorHAnsi" w:hAnsiTheme="majorHAnsi"/>
          <w:sz w:val="22"/>
          <w:szCs w:val="22"/>
        </w:rPr>
        <w:t>.</w:t>
      </w:r>
      <w:r w:rsidR="004712AA" w:rsidRPr="0057415D">
        <w:rPr>
          <w:rFonts w:asciiTheme="majorHAnsi" w:hAnsiTheme="majorHAnsi"/>
          <w:sz w:val="22"/>
          <w:szCs w:val="22"/>
        </w:rPr>
        <w:t xml:space="preserve"> </w:t>
      </w:r>
      <w:r w:rsidR="00742BE2" w:rsidRPr="0057415D">
        <w:rPr>
          <w:rFonts w:asciiTheme="majorHAnsi" w:hAnsiTheme="majorHAnsi"/>
          <w:sz w:val="22"/>
          <w:szCs w:val="22"/>
        </w:rPr>
        <w:t xml:space="preserve">These </w:t>
      </w:r>
      <w:proofErr w:type="gramStart"/>
      <w:r w:rsidR="00727D32" w:rsidRPr="0057415D">
        <w:rPr>
          <w:rFonts w:asciiTheme="majorHAnsi" w:hAnsiTheme="majorHAnsi"/>
          <w:sz w:val="22"/>
          <w:szCs w:val="22"/>
        </w:rPr>
        <w:t>age-groups</w:t>
      </w:r>
      <w:proofErr w:type="gramEnd"/>
      <w:r w:rsidR="00727D32" w:rsidRPr="0057415D">
        <w:rPr>
          <w:rFonts w:asciiTheme="majorHAnsi" w:hAnsiTheme="majorHAnsi"/>
          <w:sz w:val="22"/>
          <w:szCs w:val="22"/>
        </w:rPr>
        <w:t xml:space="preserve"> were targeted in recognition that </w:t>
      </w:r>
      <w:r w:rsidR="004E52F8" w:rsidRPr="0057415D">
        <w:rPr>
          <w:rFonts w:asciiTheme="majorHAnsi" w:hAnsiTheme="majorHAnsi"/>
          <w:sz w:val="22"/>
          <w:szCs w:val="22"/>
        </w:rPr>
        <w:t>adolescents and young adults have the highest carriage rates of men</w:t>
      </w:r>
      <w:r w:rsidR="00727D32" w:rsidRPr="0057415D">
        <w:rPr>
          <w:rFonts w:asciiTheme="majorHAnsi" w:hAnsiTheme="majorHAnsi"/>
          <w:sz w:val="22"/>
          <w:szCs w:val="22"/>
        </w:rPr>
        <w:t>ingococcal bacteria, with approximately a quarter</w:t>
      </w:r>
      <w:r w:rsidR="004E52F8" w:rsidRPr="0057415D">
        <w:rPr>
          <w:rFonts w:asciiTheme="majorHAnsi" w:hAnsiTheme="majorHAnsi"/>
          <w:sz w:val="22"/>
          <w:szCs w:val="22"/>
        </w:rPr>
        <w:t xml:space="preserve"> asymptomatically colonised</w:t>
      </w:r>
      <w:r w:rsidR="004E52F8" w:rsidRPr="0057415D">
        <w:rPr>
          <w:rFonts w:asciiTheme="majorHAnsi" w:hAnsiTheme="majorHAnsi"/>
          <w:sz w:val="22"/>
          <w:szCs w:val="22"/>
        </w:rPr>
        <w:fldChar w:fldCharType="begin"/>
      </w:r>
      <w:r w:rsidR="004E52F8" w:rsidRPr="0057415D">
        <w:rPr>
          <w:rFonts w:asciiTheme="majorHAnsi" w:hAnsiTheme="majorHAnsi"/>
          <w:sz w:val="22"/>
          <w:szCs w:val="22"/>
        </w:rPr>
        <w:instrText>ADDIN RW.CITE{{653 The Green Book September 2015;655 Joint Committee on Vaccination and Immunisation 13 March 2015}}</w:instrText>
      </w:r>
      <w:r w:rsidR="004E52F8" w:rsidRPr="0057415D">
        <w:rPr>
          <w:rFonts w:asciiTheme="majorHAnsi" w:hAnsiTheme="majorHAnsi"/>
          <w:sz w:val="22"/>
          <w:szCs w:val="22"/>
        </w:rPr>
        <w:fldChar w:fldCharType="separate"/>
      </w:r>
      <w:r w:rsidR="004E52F8" w:rsidRPr="0057415D">
        <w:rPr>
          <w:rFonts w:asciiTheme="majorHAnsi" w:eastAsia="Times New Roman" w:hAnsiTheme="majorHAnsi" w:cs="Times New Roman"/>
          <w:sz w:val="22"/>
          <w:szCs w:val="22"/>
        </w:rPr>
        <w:t>(2,5)</w:t>
      </w:r>
      <w:r w:rsidR="004E52F8" w:rsidRPr="0057415D">
        <w:rPr>
          <w:rFonts w:asciiTheme="majorHAnsi" w:hAnsiTheme="majorHAnsi"/>
          <w:sz w:val="22"/>
          <w:szCs w:val="22"/>
        </w:rPr>
        <w:fldChar w:fldCharType="end"/>
      </w:r>
      <w:r w:rsidR="00727D32" w:rsidRPr="0057415D">
        <w:rPr>
          <w:rFonts w:asciiTheme="majorHAnsi" w:hAnsiTheme="majorHAnsi"/>
          <w:sz w:val="22"/>
          <w:szCs w:val="22"/>
        </w:rPr>
        <w:t>. As such</w:t>
      </w:r>
      <w:r w:rsidR="004E52F8" w:rsidRPr="0057415D">
        <w:rPr>
          <w:rFonts w:asciiTheme="majorHAnsi" w:hAnsiTheme="majorHAnsi"/>
          <w:sz w:val="22"/>
          <w:szCs w:val="22"/>
        </w:rPr>
        <w:t>,</w:t>
      </w:r>
      <w:r w:rsidR="0057415D">
        <w:rPr>
          <w:rFonts w:asciiTheme="majorHAnsi" w:hAnsiTheme="majorHAnsi"/>
          <w:sz w:val="22"/>
          <w:szCs w:val="22"/>
        </w:rPr>
        <w:t xml:space="preserve"> although the proportion of invasive meningococcal disease caused by each </w:t>
      </w:r>
      <w:proofErr w:type="spellStart"/>
      <w:r w:rsidR="0057415D">
        <w:rPr>
          <w:rFonts w:asciiTheme="majorHAnsi" w:hAnsiTheme="majorHAnsi"/>
          <w:sz w:val="22"/>
          <w:szCs w:val="22"/>
        </w:rPr>
        <w:t>serogroup</w:t>
      </w:r>
      <w:proofErr w:type="spellEnd"/>
      <w:r w:rsidR="0057415D">
        <w:rPr>
          <w:rFonts w:asciiTheme="majorHAnsi" w:hAnsiTheme="majorHAnsi"/>
          <w:sz w:val="22"/>
          <w:szCs w:val="22"/>
        </w:rPr>
        <w:t xml:space="preserve"> varies with age;</w:t>
      </w:r>
      <w:r w:rsidR="00FB4AAB" w:rsidRPr="0057415D">
        <w:rPr>
          <w:rFonts w:asciiTheme="majorHAnsi" w:hAnsiTheme="majorHAnsi"/>
          <w:sz w:val="22"/>
          <w:szCs w:val="22"/>
        </w:rPr>
        <w:t xml:space="preserve"> </w:t>
      </w:r>
      <w:r w:rsidR="004E52F8" w:rsidRPr="0057415D">
        <w:rPr>
          <w:rFonts w:asciiTheme="majorHAnsi" w:hAnsiTheme="majorHAnsi"/>
          <w:sz w:val="22"/>
          <w:szCs w:val="22"/>
        </w:rPr>
        <w:t xml:space="preserve">adolescents have the second highest rates of invasive disease, </w:t>
      </w:r>
      <w:r w:rsidR="00966954" w:rsidRPr="0057415D">
        <w:rPr>
          <w:rFonts w:asciiTheme="majorHAnsi" w:hAnsiTheme="majorHAnsi"/>
          <w:sz w:val="22"/>
          <w:szCs w:val="22"/>
        </w:rPr>
        <w:t xml:space="preserve">after infants, </w:t>
      </w:r>
      <w:r w:rsidR="007649D1" w:rsidRPr="0057415D">
        <w:rPr>
          <w:rFonts w:asciiTheme="majorHAnsi" w:hAnsiTheme="majorHAnsi"/>
          <w:sz w:val="22"/>
          <w:szCs w:val="22"/>
        </w:rPr>
        <w:t>and drive</w:t>
      </w:r>
      <w:r w:rsidR="00727D32" w:rsidRPr="0057415D">
        <w:rPr>
          <w:rFonts w:asciiTheme="majorHAnsi" w:hAnsiTheme="majorHAnsi"/>
          <w:sz w:val="22"/>
          <w:szCs w:val="22"/>
        </w:rPr>
        <w:t xml:space="preserve"> population</w:t>
      </w:r>
      <w:r w:rsidR="0057415D">
        <w:rPr>
          <w:rFonts w:asciiTheme="majorHAnsi" w:hAnsiTheme="majorHAnsi"/>
          <w:sz w:val="22"/>
          <w:szCs w:val="22"/>
        </w:rPr>
        <w:t xml:space="preserve"> transmission of meningococcal </w:t>
      </w:r>
      <w:proofErr w:type="gramStart"/>
      <w:r w:rsidR="0057415D">
        <w:rPr>
          <w:rFonts w:asciiTheme="majorHAnsi" w:hAnsiTheme="majorHAnsi"/>
          <w:sz w:val="22"/>
          <w:szCs w:val="22"/>
        </w:rPr>
        <w:t>bacteria</w:t>
      </w:r>
      <w:r w:rsidR="00FB4AAB" w:rsidRPr="0057415D">
        <w:rPr>
          <w:rFonts w:asciiTheme="majorHAnsi" w:hAnsiTheme="majorHAnsi"/>
          <w:sz w:val="22"/>
          <w:szCs w:val="22"/>
        </w:rPr>
        <w:t>(</w:t>
      </w:r>
      <w:proofErr w:type="gramEnd"/>
      <w:r w:rsidR="00FB4AAB" w:rsidRPr="0057415D">
        <w:rPr>
          <w:rFonts w:asciiTheme="majorHAnsi" w:hAnsiTheme="majorHAnsi"/>
          <w:sz w:val="22"/>
          <w:szCs w:val="22"/>
        </w:rPr>
        <w:t>2). Consequently,</w:t>
      </w:r>
      <w:r w:rsidR="004E52F8" w:rsidRPr="0057415D">
        <w:rPr>
          <w:rFonts w:asciiTheme="majorHAnsi" w:hAnsiTheme="majorHAnsi"/>
          <w:sz w:val="22"/>
          <w:szCs w:val="22"/>
        </w:rPr>
        <w:t xml:space="preserve"> the MenACWY v</w:t>
      </w:r>
      <w:r w:rsidR="00727D32" w:rsidRPr="0057415D">
        <w:rPr>
          <w:rFonts w:asciiTheme="majorHAnsi" w:hAnsiTheme="majorHAnsi"/>
          <w:sz w:val="22"/>
          <w:szCs w:val="22"/>
        </w:rPr>
        <w:t>accination programme</w:t>
      </w:r>
      <w:r w:rsidR="0057415D">
        <w:rPr>
          <w:rFonts w:asciiTheme="majorHAnsi" w:hAnsiTheme="majorHAnsi"/>
          <w:sz w:val="22"/>
          <w:szCs w:val="22"/>
        </w:rPr>
        <w:t xml:space="preserve"> is</w:t>
      </w:r>
      <w:r w:rsidR="00727D32" w:rsidRPr="0057415D">
        <w:rPr>
          <w:rFonts w:asciiTheme="majorHAnsi" w:hAnsiTheme="majorHAnsi"/>
          <w:sz w:val="22"/>
          <w:szCs w:val="22"/>
        </w:rPr>
        <w:t xml:space="preserve"> expected to result in</w:t>
      </w:r>
      <w:r w:rsidR="004E52F8" w:rsidRPr="0057415D">
        <w:rPr>
          <w:rFonts w:asciiTheme="majorHAnsi" w:hAnsiTheme="majorHAnsi"/>
          <w:sz w:val="22"/>
          <w:szCs w:val="22"/>
        </w:rPr>
        <w:t xml:space="preserve"> herd immunity</w:t>
      </w:r>
      <w:r w:rsidR="004E52F8" w:rsidRPr="0057415D">
        <w:rPr>
          <w:rFonts w:asciiTheme="majorHAnsi" w:hAnsiTheme="majorHAnsi"/>
          <w:sz w:val="22"/>
          <w:szCs w:val="22"/>
        </w:rPr>
        <w:fldChar w:fldCharType="begin"/>
      </w:r>
      <w:r w:rsidR="004E52F8" w:rsidRPr="0057415D">
        <w:rPr>
          <w:rFonts w:asciiTheme="majorHAnsi" w:hAnsiTheme="majorHAnsi"/>
          <w:sz w:val="22"/>
          <w:szCs w:val="22"/>
        </w:rPr>
        <w:instrText>ADDIN RW.CITE{{655 Joint Committee on Vaccination and Immunisation 13 March 2015}}</w:instrText>
      </w:r>
      <w:r w:rsidR="004E52F8" w:rsidRPr="0057415D">
        <w:rPr>
          <w:rFonts w:asciiTheme="majorHAnsi" w:hAnsiTheme="majorHAnsi"/>
          <w:sz w:val="22"/>
          <w:szCs w:val="22"/>
        </w:rPr>
        <w:fldChar w:fldCharType="separate"/>
      </w:r>
      <w:r w:rsidR="004E52F8" w:rsidRPr="0057415D">
        <w:rPr>
          <w:rFonts w:asciiTheme="majorHAnsi" w:eastAsia="Times New Roman" w:hAnsiTheme="majorHAnsi" w:cs="Times New Roman"/>
          <w:sz w:val="22"/>
          <w:szCs w:val="22"/>
        </w:rPr>
        <w:t>(2)</w:t>
      </w:r>
      <w:r w:rsidR="004E52F8" w:rsidRPr="0057415D">
        <w:rPr>
          <w:rFonts w:asciiTheme="majorHAnsi" w:hAnsiTheme="majorHAnsi"/>
          <w:sz w:val="22"/>
          <w:szCs w:val="22"/>
        </w:rPr>
        <w:fldChar w:fldCharType="end"/>
      </w:r>
      <w:r w:rsidR="004E52F8" w:rsidRPr="0057415D">
        <w:rPr>
          <w:rFonts w:asciiTheme="majorHAnsi" w:hAnsiTheme="majorHAnsi"/>
          <w:sz w:val="22"/>
          <w:szCs w:val="22"/>
        </w:rPr>
        <w:t>.</w:t>
      </w:r>
    </w:p>
    <w:p w14:paraId="35552BF4" w14:textId="77777777" w:rsidR="005A30F1" w:rsidRPr="0057415D" w:rsidRDefault="005A30F1" w:rsidP="00F85C87">
      <w:pPr>
        <w:spacing w:line="480" w:lineRule="auto"/>
        <w:rPr>
          <w:rFonts w:asciiTheme="majorHAnsi" w:hAnsiTheme="majorHAnsi"/>
          <w:sz w:val="22"/>
          <w:szCs w:val="22"/>
        </w:rPr>
      </w:pPr>
    </w:p>
    <w:p w14:paraId="1F83F062" w14:textId="524F3939" w:rsidR="00FD1741" w:rsidRPr="0057415D" w:rsidRDefault="0038527E" w:rsidP="00F85C87">
      <w:pPr>
        <w:spacing w:line="480" w:lineRule="auto"/>
        <w:rPr>
          <w:rFonts w:asciiTheme="majorHAnsi" w:hAnsiTheme="majorHAnsi"/>
          <w:sz w:val="22"/>
          <w:szCs w:val="22"/>
        </w:rPr>
      </w:pPr>
      <w:r w:rsidRPr="0057415D">
        <w:rPr>
          <w:rFonts w:asciiTheme="majorHAnsi" w:hAnsiTheme="majorHAnsi"/>
          <w:sz w:val="22"/>
          <w:szCs w:val="22"/>
        </w:rPr>
        <w:t>In</w:t>
      </w:r>
      <w:r w:rsidR="005A30F1" w:rsidRPr="0057415D">
        <w:rPr>
          <w:rFonts w:asciiTheme="majorHAnsi" w:hAnsiTheme="majorHAnsi"/>
          <w:sz w:val="22"/>
          <w:szCs w:val="22"/>
        </w:rPr>
        <w:t xml:space="preserve"> the first year of the primary care catch-up prog</w:t>
      </w:r>
      <w:r w:rsidRPr="0057415D">
        <w:rPr>
          <w:rFonts w:asciiTheme="majorHAnsi" w:hAnsiTheme="majorHAnsi"/>
          <w:sz w:val="22"/>
          <w:szCs w:val="22"/>
        </w:rPr>
        <w:t>ramme</w:t>
      </w:r>
      <w:r w:rsidR="009E48C6" w:rsidRPr="0057415D">
        <w:rPr>
          <w:rFonts w:asciiTheme="majorHAnsi" w:hAnsiTheme="majorHAnsi"/>
          <w:sz w:val="22"/>
          <w:szCs w:val="22"/>
        </w:rPr>
        <w:t xml:space="preserve"> </w:t>
      </w:r>
      <w:r w:rsidR="005A30F1" w:rsidRPr="0057415D">
        <w:rPr>
          <w:rFonts w:asciiTheme="majorHAnsi" w:hAnsiTheme="majorHAnsi"/>
          <w:sz w:val="22"/>
          <w:szCs w:val="22"/>
        </w:rPr>
        <w:t xml:space="preserve">national vaccine uptake was </w:t>
      </w:r>
      <w:r w:rsidRPr="0057415D">
        <w:rPr>
          <w:rFonts w:asciiTheme="majorHAnsi" w:hAnsiTheme="majorHAnsi"/>
          <w:sz w:val="22"/>
          <w:szCs w:val="22"/>
        </w:rPr>
        <w:t>38.3%</w:t>
      </w:r>
      <w:r w:rsidR="001F1615" w:rsidRPr="0057415D">
        <w:rPr>
          <w:rFonts w:asciiTheme="majorHAnsi" w:hAnsiTheme="majorHAnsi"/>
          <w:sz w:val="22"/>
          <w:szCs w:val="22"/>
        </w:rPr>
        <w:t xml:space="preserve"> </w:t>
      </w:r>
      <w:r w:rsidRPr="0057415D">
        <w:rPr>
          <w:rFonts w:asciiTheme="majorHAnsi" w:hAnsiTheme="majorHAnsi"/>
          <w:sz w:val="22"/>
          <w:szCs w:val="22"/>
        </w:rPr>
        <w:t>(</w:t>
      </w:r>
      <w:r w:rsidR="001F1615" w:rsidRPr="0057415D">
        <w:rPr>
          <w:rFonts w:asciiTheme="majorHAnsi" w:hAnsiTheme="majorHAnsi"/>
          <w:sz w:val="22"/>
          <w:szCs w:val="22"/>
        </w:rPr>
        <w:t>October 2016</w:t>
      </w:r>
      <w:r w:rsidRPr="0057415D">
        <w:rPr>
          <w:rFonts w:asciiTheme="majorHAnsi" w:hAnsiTheme="majorHAnsi"/>
          <w:sz w:val="22"/>
          <w:szCs w:val="22"/>
        </w:rPr>
        <w:t>)</w:t>
      </w:r>
      <w:r w:rsidR="007649D1" w:rsidRPr="0057415D">
        <w:rPr>
          <w:rFonts w:asciiTheme="majorHAnsi" w:hAnsiTheme="majorHAnsi"/>
          <w:sz w:val="22"/>
          <w:szCs w:val="22"/>
        </w:rPr>
        <w:t>, whilst uptake amongst children in school years 9 and 10 vaccinated in schools was 77.2-84.1</w:t>
      </w:r>
      <w:r w:rsidR="00E87834" w:rsidRPr="0057415D">
        <w:rPr>
          <w:rFonts w:asciiTheme="majorHAnsi" w:hAnsiTheme="majorHAnsi"/>
          <w:sz w:val="22"/>
          <w:szCs w:val="22"/>
        </w:rPr>
        <w:t>%</w:t>
      </w:r>
      <w:r w:rsidR="001F1615" w:rsidRPr="0057415D">
        <w:rPr>
          <w:rFonts w:asciiTheme="majorHAnsi" w:hAnsiTheme="majorHAnsi"/>
          <w:sz w:val="22"/>
          <w:szCs w:val="22"/>
        </w:rPr>
        <w:fldChar w:fldCharType="begin"/>
      </w:r>
      <w:r w:rsidR="000F41AD" w:rsidRPr="0057415D">
        <w:rPr>
          <w:rFonts w:asciiTheme="majorHAnsi" w:hAnsiTheme="majorHAnsi"/>
          <w:sz w:val="22"/>
          <w:szCs w:val="22"/>
        </w:rPr>
        <w:instrText>ADDIN RW.CITE{{853 Public Health England 25 November 2016;854 Public Health England 16 December 2016}}</w:instrText>
      </w:r>
      <w:r w:rsidR="001F1615" w:rsidRPr="0057415D">
        <w:rPr>
          <w:rFonts w:asciiTheme="majorHAnsi" w:hAnsiTheme="majorHAnsi"/>
          <w:sz w:val="22"/>
          <w:szCs w:val="22"/>
        </w:rPr>
        <w:fldChar w:fldCharType="separate"/>
      </w:r>
      <w:r w:rsidR="000F41AD" w:rsidRPr="0057415D">
        <w:rPr>
          <w:rFonts w:asciiTheme="majorHAnsi" w:eastAsia="Times New Roman" w:hAnsiTheme="majorHAnsi" w:cs="Times New Roman"/>
          <w:sz w:val="22"/>
        </w:rPr>
        <w:t>(6,7)</w:t>
      </w:r>
      <w:r w:rsidR="001F1615" w:rsidRPr="0057415D">
        <w:rPr>
          <w:rFonts w:asciiTheme="majorHAnsi" w:hAnsiTheme="majorHAnsi"/>
          <w:sz w:val="22"/>
          <w:szCs w:val="22"/>
        </w:rPr>
        <w:fldChar w:fldCharType="end"/>
      </w:r>
      <w:r w:rsidR="001F1615" w:rsidRPr="0057415D">
        <w:rPr>
          <w:rFonts w:asciiTheme="majorHAnsi" w:hAnsiTheme="majorHAnsi"/>
          <w:sz w:val="22"/>
          <w:szCs w:val="22"/>
        </w:rPr>
        <w:t>. Adolescent prima</w:t>
      </w:r>
      <w:r w:rsidR="007649D1" w:rsidRPr="0057415D">
        <w:rPr>
          <w:rFonts w:asciiTheme="majorHAnsi" w:hAnsiTheme="majorHAnsi"/>
          <w:sz w:val="22"/>
          <w:szCs w:val="22"/>
        </w:rPr>
        <w:t>ry care vac</w:t>
      </w:r>
      <w:r w:rsidR="00E87834" w:rsidRPr="0057415D">
        <w:rPr>
          <w:rFonts w:asciiTheme="majorHAnsi" w:hAnsiTheme="majorHAnsi"/>
          <w:sz w:val="22"/>
          <w:szCs w:val="22"/>
        </w:rPr>
        <w:t>cination programmes consistently</w:t>
      </w:r>
      <w:r w:rsidR="007649D1" w:rsidRPr="0057415D">
        <w:rPr>
          <w:rFonts w:asciiTheme="majorHAnsi" w:hAnsiTheme="majorHAnsi"/>
          <w:sz w:val="22"/>
          <w:szCs w:val="22"/>
        </w:rPr>
        <w:t xml:space="preserve"> have</w:t>
      </w:r>
      <w:r w:rsidRPr="0057415D">
        <w:rPr>
          <w:rFonts w:asciiTheme="majorHAnsi" w:hAnsiTheme="majorHAnsi"/>
          <w:sz w:val="22"/>
          <w:szCs w:val="22"/>
        </w:rPr>
        <w:t xml:space="preserve"> lower</w:t>
      </w:r>
      <w:r w:rsidR="001F1615" w:rsidRPr="0057415D">
        <w:rPr>
          <w:rFonts w:asciiTheme="majorHAnsi" w:hAnsiTheme="majorHAnsi"/>
          <w:sz w:val="22"/>
          <w:szCs w:val="22"/>
        </w:rPr>
        <w:t xml:space="preserve"> uptake than</w:t>
      </w:r>
      <w:r w:rsidRPr="0057415D">
        <w:rPr>
          <w:rFonts w:asciiTheme="majorHAnsi" w:hAnsiTheme="majorHAnsi"/>
          <w:sz w:val="22"/>
          <w:szCs w:val="22"/>
        </w:rPr>
        <w:t xml:space="preserve"> those delivered in schools and those delivered in primary care to other age groups.</w:t>
      </w:r>
      <w:r w:rsidR="009E48C6" w:rsidRPr="0057415D">
        <w:rPr>
          <w:rFonts w:asciiTheme="majorHAnsi" w:hAnsiTheme="majorHAnsi"/>
          <w:sz w:val="22"/>
          <w:szCs w:val="22"/>
        </w:rPr>
        <w:t xml:space="preserve"> </w:t>
      </w:r>
      <w:r w:rsidR="001F1615" w:rsidRPr="0057415D">
        <w:rPr>
          <w:rFonts w:asciiTheme="majorHAnsi" w:hAnsiTheme="majorHAnsi"/>
          <w:sz w:val="22"/>
          <w:szCs w:val="22"/>
        </w:rPr>
        <w:t xml:space="preserve">For example, uptake of the human papilloma virus (HPV) </w:t>
      </w:r>
      <w:r w:rsidR="007649D1" w:rsidRPr="0057415D">
        <w:rPr>
          <w:rFonts w:asciiTheme="majorHAnsi" w:hAnsiTheme="majorHAnsi"/>
          <w:sz w:val="22"/>
          <w:szCs w:val="22"/>
        </w:rPr>
        <w:t xml:space="preserve">primary care </w:t>
      </w:r>
      <w:r w:rsidR="001F1615" w:rsidRPr="0057415D">
        <w:rPr>
          <w:rFonts w:asciiTheme="majorHAnsi" w:hAnsiTheme="majorHAnsi"/>
          <w:sz w:val="22"/>
          <w:szCs w:val="22"/>
        </w:rPr>
        <w:t xml:space="preserve">catch-up vaccination </w:t>
      </w:r>
      <w:r w:rsidR="009E48C6" w:rsidRPr="0057415D">
        <w:rPr>
          <w:rFonts w:asciiTheme="majorHAnsi" w:hAnsiTheme="majorHAnsi"/>
          <w:sz w:val="22"/>
          <w:szCs w:val="22"/>
        </w:rPr>
        <w:t>between 2008-</w:t>
      </w:r>
      <w:r w:rsidR="007649D1" w:rsidRPr="0057415D">
        <w:rPr>
          <w:rFonts w:asciiTheme="majorHAnsi" w:hAnsiTheme="majorHAnsi"/>
          <w:sz w:val="22"/>
          <w:szCs w:val="22"/>
        </w:rPr>
        <w:t xml:space="preserve">2014 was </w:t>
      </w:r>
      <w:r w:rsidR="001F1615" w:rsidRPr="0057415D">
        <w:rPr>
          <w:rFonts w:asciiTheme="majorHAnsi" w:hAnsiTheme="majorHAnsi"/>
          <w:sz w:val="22"/>
          <w:szCs w:val="22"/>
        </w:rPr>
        <w:t>49% compared to 86%</w:t>
      </w:r>
      <w:r w:rsidR="00E87834" w:rsidRPr="0057415D">
        <w:rPr>
          <w:rFonts w:asciiTheme="majorHAnsi" w:hAnsiTheme="majorHAnsi"/>
          <w:sz w:val="22"/>
          <w:szCs w:val="22"/>
        </w:rPr>
        <w:t xml:space="preserve"> for the school-based</w:t>
      </w:r>
      <w:r w:rsidR="001F1615" w:rsidRPr="0057415D">
        <w:rPr>
          <w:rFonts w:asciiTheme="majorHAnsi" w:hAnsiTheme="majorHAnsi"/>
          <w:sz w:val="22"/>
          <w:szCs w:val="22"/>
        </w:rPr>
        <w:t xml:space="preserve"> programme</w:t>
      </w:r>
      <w:r w:rsidR="00727D32" w:rsidRPr="0057415D">
        <w:rPr>
          <w:rFonts w:asciiTheme="majorHAnsi" w:hAnsiTheme="majorHAnsi"/>
          <w:sz w:val="22"/>
          <w:szCs w:val="22"/>
        </w:rPr>
        <w:t xml:space="preserve"> in</w:t>
      </w:r>
      <w:r w:rsidR="00E87834" w:rsidRPr="0057415D">
        <w:rPr>
          <w:rFonts w:asciiTheme="majorHAnsi" w:hAnsiTheme="majorHAnsi"/>
          <w:sz w:val="22"/>
          <w:szCs w:val="22"/>
        </w:rPr>
        <w:t xml:space="preserve"> younger girls</w:t>
      </w:r>
      <w:r w:rsidR="001F1615" w:rsidRPr="0057415D">
        <w:rPr>
          <w:rFonts w:asciiTheme="majorHAnsi" w:hAnsiTheme="majorHAnsi"/>
          <w:sz w:val="22"/>
          <w:szCs w:val="22"/>
        </w:rPr>
        <w:fldChar w:fldCharType="begin"/>
      </w:r>
      <w:r w:rsidR="001F1615" w:rsidRPr="0057415D">
        <w:rPr>
          <w:rFonts w:asciiTheme="majorHAnsi" w:hAnsiTheme="majorHAnsi"/>
          <w:sz w:val="22"/>
          <w:szCs w:val="22"/>
        </w:rPr>
        <w:instrText>ADDIN RW.CITE{{698 Public Health England March 2015}}</w:instrText>
      </w:r>
      <w:r w:rsidR="001F1615" w:rsidRPr="0057415D">
        <w:rPr>
          <w:rFonts w:asciiTheme="majorHAnsi" w:hAnsiTheme="majorHAnsi"/>
          <w:sz w:val="22"/>
          <w:szCs w:val="22"/>
        </w:rPr>
        <w:fldChar w:fldCharType="separate"/>
      </w:r>
      <w:r w:rsidR="001F1615" w:rsidRPr="0057415D">
        <w:rPr>
          <w:rFonts w:asciiTheme="majorHAnsi" w:eastAsia="Times New Roman" w:hAnsiTheme="majorHAnsi" w:cs="Times New Roman"/>
          <w:sz w:val="22"/>
          <w:szCs w:val="22"/>
        </w:rPr>
        <w:t>(8)</w:t>
      </w:r>
      <w:r w:rsidR="001F1615" w:rsidRPr="0057415D">
        <w:rPr>
          <w:rFonts w:asciiTheme="majorHAnsi" w:hAnsiTheme="majorHAnsi"/>
          <w:sz w:val="22"/>
          <w:szCs w:val="22"/>
        </w:rPr>
        <w:fldChar w:fldCharType="end"/>
      </w:r>
      <w:r w:rsidR="001F1615" w:rsidRPr="0057415D">
        <w:rPr>
          <w:rFonts w:asciiTheme="majorHAnsi" w:hAnsiTheme="majorHAnsi"/>
          <w:sz w:val="22"/>
          <w:szCs w:val="22"/>
        </w:rPr>
        <w:t xml:space="preserve">. </w:t>
      </w:r>
      <w:r w:rsidR="00C16283" w:rsidRPr="0057415D">
        <w:rPr>
          <w:rFonts w:asciiTheme="majorHAnsi" w:hAnsiTheme="majorHAnsi"/>
          <w:sz w:val="22"/>
          <w:szCs w:val="22"/>
        </w:rPr>
        <w:t>These differences have also been</w:t>
      </w:r>
      <w:r w:rsidR="0098799E" w:rsidRPr="0057415D">
        <w:rPr>
          <w:rFonts w:asciiTheme="majorHAnsi" w:hAnsiTheme="majorHAnsi"/>
          <w:sz w:val="22"/>
          <w:szCs w:val="22"/>
        </w:rPr>
        <w:t xml:space="preserve"> </w:t>
      </w:r>
      <w:r w:rsidR="001F1615" w:rsidRPr="0057415D">
        <w:rPr>
          <w:rFonts w:asciiTheme="majorHAnsi" w:hAnsiTheme="majorHAnsi"/>
          <w:sz w:val="22"/>
          <w:szCs w:val="22"/>
        </w:rPr>
        <w:t xml:space="preserve">observed in </w:t>
      </w:r>
      <w:r w:rsidR="00726988" w:rsidRPr="0057415D">
        <w:rPr>
          <w:rFonts w:asciiTheme="majorHAnsi" w:hAnsiTheme="majorHAnsi"/>
          <w:sz w:val="22"/>
          <w:szCs w:val="22"/>
        </w:rPr>
        <w:t>German</w:t>
      </w:r>
      <w:r w:rsidR="00E15FCB" w:rsidRPr="0057415D">
        <w:rPr>
          <w:rFonts w:asciiTheme="majorHAnsi" w:hAnsiTheme="majorHAnsi"/>
          <w:sz w:val="22"/>
          <w:szCs w:val="22"/>
        </w:rPr>
        <w:t>y, Belgium</w:t>
      </w:r>
      <w:r w:rsidR="00726988" w:rsidRPr="0057415D">
        <w:rPr>
          <w:rFonts w:asciiTheme="majorHAnsi" w:hAnsiTheme="majorHAnsi"/>
          <w:sz w:val="22"/>
          <w:szCs w:val="22"/>
        </w:rPr>
        <w:t xml:space="preserve"> and</w:t>
      </w:r>
      <w:r w:rsidR="00E15FCB" w:rsidRPr="0057415D">
        <w:rPr>
          <w:rFonts w:asciiTheme="majorHAnsi" w:hAnsiTheme="majorHAnsi"/>
          <w:sz w:val="22"/>
          <w:szCs w:val="22"/>
        </w:rPr>
        <w:t xml:space="preserve"> the United States (US)</w:t>
      </w:r>
      <w:r w:rsidR="00CF15BA" w:rsidRPr="0057415D">
        <w:rPr>
          <w:rFonts w:asciiTheme="majorHAnsi" w:hAnsiTheme="majorHAnsi"/>
          <w:sz w:val="22"/>
          <w:szCs w:val="22"/>
        </w:rPr>
        <w:t xml:space="preserve"> an</w:t>
      </w:r>
      <w:r w:rsidRPr="0057415D">
        <w:rPr>
          <w:rFonts w:asciiTheme="majorHAnsi" w:hAnsiTheme="majorHAnsi"/>
          <w:sz w:val="22"/>
          <w:szCs w:val="22"/>
        </w:rPr>
        <w:t>d could be related to</w:t>
      </w:r>
      <w:r w:rsidR="00CF15BA" w:rsidRPr="0057415D">
        <w:rPr>
          <w:rFonts w:asciiTheme="majorHAnsi" w:hAnsiTheme="majorHAnsi"/>
          <w:sz w:val="22"/>
          <w:szCs w:val="22"/>
        </w:rPr>
        <w:t xml:space="preserve"> difficulty in accessing primary care appointments</w:t>
      </w:r>
      <w:r w:rsidR="00E87834" w:rsidRPr="0057415D">
        <w:rPr>
          <w:rFonts w:asciiTheme="majorHAnsi" w:hAnsiTheme="majorHAnsi"/>
          <w:sz w:val="22"/>
          <w:szCs w:val="22"/>
        </w:rPr>
        <w:t>,</w:t>
      </w:r>
      <w:r w:rsidR="00CF15BA" w:rsidRPr="0057415D">
        <w:rPr>
          <w:rFonts w:asciiTheme="majorHAnsi" w:hAnsiTheme="majorHAnsi"/>
          <w:sz w:val="22"/>
          <w:szCs w:val="22"/>
        </w:rPr>
        <w:t xml:space="preserve"> </w:t>
      </w:r>
      <w:r w:rsidR="00E87834" w:rsidRPr="0057415D">
        <w:rPr>
          <w:rFonts w:asciiTheme="majorHAnsi" w:hAnsiTheme="majorHAnsi"/>
          <w:sz w:val="22"/>
          <w:szCs w:val="22"/>
        </w:rPr>
        <w:t xml:space="preserve">in contrast </w:t>
      </w:r>
      <w:r w:rsidR="009E48C6" w:rsidRPr="0057415D">
        <w:rPr>
          <w:rFonts w:asciiTheme="majorHAnsi" w:hAnsiTheme="majorHAnsi"/>
          <w:sz w:val="22"/>
          <w:szCs w:val="22"/>
        </w:rPr>
        <w:t>to the ease of school</w:t>
      </w:r>
      <w:r w:rsidR="00CF15BA" w:rsidRPr="0057415D">
        <w:rPr>
          <w:rFonts w:asciiTheme="majorHAnsi" w:hAnsiTheme="majorHAnsi"/>
          <w:sz w:val="22"/>
          <w:szCs w:val="22"/>
        </w:rPr>
        <w:t xml:space="preserve"> vaccination</w:t>
      </w:r>
      <w:r w:rsidR="00E87834" w:rsidRPr="0057415D">
        <w:rPr>
          <w:rFonts w:asciiTheme="majorHAnsi" w:hAnsiTheme="majorHAnsi"/>
          <w:sz w:val="22"/>
          <w:szCs w:val="22"/>
        </w:rPr>
        <w:t>,</w:t>
      </w:r>
      <w:r w:rsidR="00CF15BA" w:rsidRPr="0057415D">
        <w:rPr>
          <w:rFonts w:asciiTheme="majorHAnsi" w:hAnsiTheme="majorHAnsi"/>
          <w:sz w:val="22"/>
          <w:szCs w:val="22"/>
        </w:rPr>
        <w:t xml:space="preserve"> and </w:t>
      </w:r>
      <w:r w:rsidR="00E87834" w:rsidRPr="0057415D">
        <w:rPr>
          <w:rFonts w:asciiTheme="majorHAnsi" w:hAnsiTheme="majorHAnsi"/>
          <w:sz w:val="22"/>
          <w:szCs w:val="22"/>
        </w:rPr>
        <w:t>low perceived risk of illness amongst</w:t>
      </w:r>
      <w:r w:rsidR="00CF15BA" w:rsidRPr="0057415D">
        <w:rPr>
          <w:rFonts w:asciiTheme="majorHAnsi" w:hAnsiTheme="majorHAnsi"/>
          <w:sz w:val="22"/>
          <w:szCs w:val="22"/>
        </w:rPr>
        <w:t xml:space="preserve"> adolescents</w:t>
      </w:r>
      <w:r w:rsidR="00726988" w:rsidRPr="0057415D">
        <w:rPr>
          <w:rFonts w:asciiTheme="majorHAnsi" w:hAnsiTheme="majorHAnsi"/>
          <w:sz w:val="22"/>
          <w:szCs w:val="22"/>
        </w:rPr>
        <w:fldChar w:fldCharType="begin"/>
      </w:r>
      <w:r w:rsidR="00CF15BA" w:rsidRPr="0057415D">
        <w:rPr>
          <w:rFonts w:asciiTheme="majorHAnsi" w:hAnsiTheme="majorHAnsi"/>
          <w:sz w:val="22"/>
          <w:szCs w:val="22"/>
        </w:rPr>
        <w:instrText>ADDIN RW.CITE{{660 Vandermeulen,C. 2008;649 Heininger,Ulrich 2006;728 Immunization Work Group of the National and Global Public Health Committee of the Infectious Diseases Society of America 2007;729 Brewer, Noel T 2007}}</w:instrText>
      </w:r>
      <w:r w:rsidR="00726988" w:rsidRPr="0057415D">
        <w:rPr>
          <w:rFonts w:asciiTheme="majorHAnsi" w:hAnsiTheme="majorHAnsi"/>
          <w:sz w:val="22"/>
          <w:szCs w:val="22"/>
        </w:rPr>
        <w:fldChar w:fldCharType="separate"/>
      </w:r>
      <w:r w:rsidR="00CF15BA" w:rsidRPr="0057415D">
        <w:rPr>
          <w:rFonts w:asciiTheme="majorHAnsi" w:eastAsia="Times New Roman" w:hAnsiTheme="majorHAnsi" w:cs="Times New Roman"/>
          <w:sz w:val="22"/>
          <w:szCs w:val="22"/>
        </w:rPr>
        <w:t>(9-12)</w:t>
      </w:r>
      <w:r w:rsidR="00726988" w:rsidRPr="0057415D">
        <w:rPr>
          <w:rFonts w:asciiTheme="majorHAnsi" w:hAnsiTheme="majorHAnsi"/>
          <w:sz w:val="22"/>
          <w:szCs w:val="22"/>
        </w:rPr>
        <w:fldChar w:fldCharType="end"/>
      </w:r>
      <w:r w:rsidR="00726988" w:rsidRPr="0057415D">
        <w:rPr>
          <w:rFonts w:asciiTheme="majorHAnsi" w:hAnsiTheme="majorHAnsi"/>
          <w:sz w:val="22"/>
          <w:szCs w:val="22"/>
        </w:rPr>
        <w:t xml:space="preserve">. </w:t>
      </w:r>
    </w:p>
    <w:p w14:paraId="23A990AF" w14:textId="77777777" w:rsidR="00FD1741" w:rsidRPr="0057415D" w:rsidRDefault="00FD1741" w:rsidP="00F85C87">
      <w:pPr>
        <w:spacing w:line="480" w:lineRule="auto"/>
        <w:rPr>
          <w:rFonts w:asciiTheme="majorHAnsi" w:hAnsiTheme="majorHAnsi"/>
          <w:sz w:val="22"/>
          <w:szCs w:val="22"/>
        </w:rPr>
      </w:pPr>
    </w:p>
    <w:p w14:paraId="108A53BE" w14:textId="10AE63DE" w:rsidR="008955F0" w:rsidRPr="0057415D" w:rsidRDefault="009E48C6" w:rsidP="00F85C87">
      <w:pPr>
        <w:spacing w:line="480" w:lineRule="auto"/>
        <w:rPr>
          <w:rFonts w:asciiTheme="majorHAnsi" w:hAnsiTheme="majorHAnsi"/>
          <w:sz w:val="22"/>
          <w:szCs w:val="22"/>
        </w:rPr>
      </w:pPr>
      <w:r w:rsidRPr="0057415D">
        <w:rPr>
          <w:rFonts w:asciiTheme="majorHAnsi" w:hAnsiTheme="majorHAnsi"/>
          <w:sz w:val="22"/>
          <w:szCs w:val="22"/>
        </w:rPr>
        <w:lastRenderedPageBreak/>
        <w:t xml:space="preserve">As </w:t>
      </w:r>
      <w:r w:rsidR="00C16283" w:rsidRPr="0057415D">
        <w:rPr>
          <w:rFonts w:asciiTheme="majorHAnsi" w:hAnsiTheme="majorHAnsi"/>
          <w:sz w:val="22"/>
          <w:szCs w:val="22"/>
        </w:rPr>
        <w:t xml:space="preserve">the MenACWY </w:t>
      </w:r>
      <w:r w:rsidR="0098799E" w:rsidRPr="0057415D">
        <w:rPr>
          <w:rFonts w:asciiTheme="majorHAnsi" w:hAnsiTheme="majorHAnsi"/>
          <w:sz w:val="22"/>
          <w:szCs w:val="22"/>
        </w:rPr>
        <w:t>vaccination programme in England</w:t>
      </w:r>
      <w:r w:rsidR="00C16283" w:rsidRPr="0057415D">
        <w:rPr>
          <w:rFonts w:asciiTheme="majorHAnsi" w:hAnsiTheme="majorHAnsi"/>
          <w:sz w:val="22"/>
          <w:szCs w:val="22"/>
        </w:rPr>
        <w:t xml:space="preserve"> is relatively new</w:t>
      </w:r>
      <w:r w:rsidRPr="0057415D">
        <w:rPr>
          <w:rFonts w:asciiTheme="majorHAnsi" w:hAnsiTheme="majorHAnsi"/>
          <w:sz w:val="22"/>
          <w:szCs w:val="22"/>
        </w:rPr>
        <w:t xml:space="preserve">, there is </w:t>
      </w:r>
      <w:r w:rsidR="00726988" w:rsidRPr="0057415D">
        <w:rPr>
          <w:rFonts w:asciiTheme="majorHAnsi" w:hAnsiTheme="majorHAnsi"/>
          <w:sz w:val="22"/>
          <w:szCs w:val="22"/>
        </w:rPr>
        <w:t>little pre-existing research on</w:t>
      </w:r>
      <w:r w:rsidR="0098799E" w:rsidRPr="0057415D">
        <w:rPr>
          <w:rFonts w:asciiTheme="majorHAnsi" w:hAnsiTheme="majorHAnsi"/>
          <w:sz w:val="22"/>
          <w:szCs w:val="22"/>
        </w:rPr>
        <w:t xml:space="preserve"> its</w:t>
      </w:r>
      <w:r w:rsidR="00E87834" w:rsidRPr="0057415D">
        <w:rPr>
          <w:rFonts w:asciiTheme="majorHAnsi" w:hAnsiTheme="majorHAnsi"/>
          <w:sz w:val="22"/>
          <w:szCs w:val="22"/>
        </w:rPr>
        <w:t xml:space="preserve"> uptake</w:t>
      </w:r>
      <w:r w:rsidR="00726988" w:rsidRPr="0057415D">
        <w:rPr>
          <w:rFonts w:asciiTheme="majorHAnsi" w:hAnsiTheme="majorHAnsi"/>
          <w:sz w:val="22"/>
          <w:szCs w:val="22"/>
        </w:rPr>
        <w:t>.</w:t>
      </w:r>
      <w:r w:rsidR="00FD1741" w:rsidRPr="0057415D">
        <w:rPr>
          <w:rFonts w:asciiTheme="majorHAnsi" w:hAnsiTheme="majorHAnsi"/>
          <w:sz w:val="22"/>
          <w:szCs w:val="22"/>
        </w:rPr>
        <w:t xml:space="preserve"> </w:t>
      </w:r>
      <w:r w:rsidR="000F41AD" w:rsidRPr="0057415D">
        <w:rPr>
          <w:rFonts w:asciiTheme="majorHAnsi" w:hAnsiTheme="majorHAnsi"/>
          <w:sz w:val="22"/>
          <w:szCs w:val="22"/>
        </w:rPr>
        <w:t>Across the country</w:t>
      </w:r>
      <w:r w:rsidRPr="0057415D">
        <w:rPr>
          <w:rFonts w:asciiTheme="majorHAnsi" w:hAnsiTheme="majorHAnsi"/>
          <w:sz w:val="22"/>
          <w:szCs w:val="22"/>
        </w:rPr>
        <w:t xml:space="preserve">, vaccination uptake </w:t>
      </w:r>
      <w:r w:rsidR="0098799E" w:rsidRPr="0057415D">
        <w:rPr>
          <w:rFonts w:asciiTheme="majorHAnsi" w:hAnsiTheme="majorHAnsi"/>
          <w:sz w:val="22"/>
          <w:szCs w:val="22"/>
        </w:rPr>
        <w:t xml:space="preserve">varied </w:t>
      </w:r>
      <w:r w:rsidR="00E87834" w:rsidRPr="0057415D">
        <w:rPr>
          <w:rFonts w:asciiTheme="majorHAnsi" w:hAnsiTheme="majorHAnsi"/>
          <w:sz w:val="22"/>
          <w:szCs w:val="22"/>
        </w:rPr>
        <w:t>during the first year, with</w:t>
      </w:r>
      <w:r w:rsidR="00335F3B" w:rsidRPr="0057415D">
        <w:rPr>
          <w:rFonts w:asciiTheme="majorHAnsi" w:hAnsiTheme="majorHAnsi"/>
          <w:sz w:val="22"/>
          <w:szCs w:val="22"/>
        </w:rPr>
        <w:t>, for example,</w:t>
      </w:r>
      <w:r w:rsidR="00FD1741" w:rsidRPr="0057415D">
        <w:rPr>
          <w:rFonts w:asciiTheme="majorHAnsi" w:hAnsiTheme="majorHAnsi"/>
          <w:sz w:val="22"/>
          <w:szCs w:val="22"/>
        </w:rPr>
        <w:t xml:space="preserve"> uptake rates for</w:t>
      </w:r>
      <w:r w:rsidR="00AB5446" w:rsidRPr="0057415D">
        <w:rPr>
          <w:rFonts w:asciiTheme="majorHAnsi" w:hAnsiTheme="majorHAnsi"/>
          <w:sz w:val="22"/>
          <w:szCs w:val="22"/>
        </w:rPr>
        <w:t xml:space="preserve"> National Health Service</w:t>
      </w:r>
      <w:r w:rsidR="00994262" w:rsidRPr="0057415D">
        <w:rPr>
          <w:rFonts w:asciiTheme="majorHAnsi" w:hAnsiTheme="majorHAnsi"/>
          <w:sz w:val="22"/>
          <w:szCs w:val="22"/>
        </w:rPr>
        <w:t xml:space="preserve"> (NHS)</w:t>
      </w:r>
      <w:r w:rsidR="00FD1741" w:rsidRPr="0057415D">
        <w:rPr>
          <w:rFonts w:asciiTheme="majorHAnsi" w:hAnsiTheme="majorHAnsi"/>
          <w:sz w:val="22"/>
          <w:szCs w:val="22"/>
        </w:rPr>
        <w:t xml:space="preserve"> clinical commissioning groups (CCGs) </w:t>
      </w:r>
      <w:r w:rsidR="00335F3B" w:rsidRPr="0057415D">
        <w:rPr>
          <w:rFonts w:asciiTheme="majorHAnsi" w:hAnsiTheme="majorHAnsi"/>
          <w:sz w:val="22"/>
          <w:szCs w:val="22"/>
        </w:rPr>
        <w:t>in the Yorkshire and Humber region of</w:t>
      </w:r>
      <w:r w:rsidR="0098799E" w:rsidRPr="0057415D">
        <w:rPr>
          <w:rFonts w:asciiTheme="majorHAnsi" w:hAnsiTheme="majorHAnsi"/>
          <w:sz w:val="22"/>
          <w:szCs w:val="22"/>
        </w:rPr>
        <w:t xml:space="preserve"> Northern</w:t>
      </w:r>
      <w:r w:rsidR="00335F3B" w:rsidRPr="0057415D">
        <w:rPr>
          <w:rFonts w:asciiTheme="majorHAnsi" w:hAnsiTheme="majorHAnsi"/>
          <w:sz w:val="22"/>
          <w:szCs w:val="22"/>
        </w:rPr>
        <w:t xml:space="preserve"> England </w:t>
      </w:r>
      <w:r w:rsidR="00FD1741" w:rsidRPr="0057415D">
        <w:rPr>
          <w:rFonts w:asciiTheme="majorHAnsi" w:hAnsiTheme="majorHAnsi"/>
          <w:sz w:val="22"/>
          <w:szCs w:val="22"/>
        </w:rPr>
        <w:t>ranging from</w:t>
      </w:r>
      <w:r w:rsidR="00335F3B" w:rsidRPr="0057415D">
        <w:rPr>
          <w:rFonts w:asciiTheme="majorHAnsi" w:hAnsiTheme="majorHAnsi"/>
          <w:sz w:val="22"/>
          <w:szCs w:val="22"/>
        </w:rPr>
        <w:t xml:space="preserve"> 30% to 48%</w:t>
      </w:r>
      <w:r w:rsidR="00335F3B" w:rsidRPr="0057415D">
        <w:rPr>
          <w:rFonts w:asciiTheme="majorHAnsi" w:hAnsiTheme="majorHAnsi"/>
          <w:sz w:val="22"/>
          <w:szCs w:val="22"/>
        </w:rPr>
        <w:fldChar w:fldCharType="begin"/>
      </w:r>
      <w:r w:rsidR="00335F3B" w:rsidRPr="0057415D">
        <w:rPr>
          <w:rFonts w:asciiTheme="majorHAnsi" w:hAnsiTheme="majorHAnsi"/>
          <w:sz w:val="22"/>
          <w:szCs w:val="22"/>
        </w:rPr>
        <w:instrText>ADDIN RW.CITE{{864 NHS England, Public Health England North Yorkshire and Humber October 2016}}</w:instrText>
      </w:r>
      <w:r w:rsidR="00335F3B" w:rsidRPr="0057415D">
        <w:rPr>
          <w:rFonts w:asciiTheme="majorHAnsi" w:hAnsiTheme="majorHAnsi"/>
          <w:sz w:val="22"/>
          <w:szCs w:val="22"/>
        </w:rPr>
        <w:fldChar w:fldCharType="separate"/>
      </w:r>
      <w:r w:rsidR="00CF15BA" w:rsidRPr="0057415D">
        <w:rPr>
          <w:rFonts w:asciiTheme="majorHAnsi" w:eastAsia="Times New Roman" w:hAnsiTheme="majorHAnsi" w:cs="Times New Roman"/>
          <w:sz w:val="22"/>
          <w:szCs w:val="22"/>
        </w:rPr>
        <w:t>(14)</w:t>
      </w:r>
      <w:r w:rsidR="00335F3B" w:rsidRPr="0057415D">
        <w:rPr>
          <w:rFonts w:asciiTheme="majorHAnsi" w:hAnsiTheme="majorHAnsi"/>
          <w:sz w:val="22"/>
          <w:szCs w:val="22"/>
        </w:rPr>
        <w:fldChar w:fldCharType="end"/>
      </w:r>
      <w:r w:rsidR="00335F3B" w:rsidRPr="0057415D">
        <w:rPr>
          <w:rFonts w:asciiTheme="majorHAnsi" w:hAnsiTheme="majorHAnsi"/>
          <w:sz w:val="22"/>
          <w:szCs w:val="22"/>
        </w:rPr>
        <w:t>.</w:t>
      </w:r>
      <w:r w:rsidR="00FD1741" w:rsidRPr="0057415D">
        <w:rPr>
          <w:rFonts w:asciiTheme="majorHAnsi" w:hAnsiTheme="majorHAnsi"/>
          <w:sz w:val="22"/>
          <w:szCs w:val="22"/>
        </w:rPr>
        <w:t xml:space="preserve"> Aside from their student population</w:t>
      </w:r>
      <w:r w:rsidR="00147C3A" w:rsidRPr="0057415D">
        <w:rPr>
          <w:rFonts w:asciiTheme="majorHAnsi" w:hAnsiTheme="majorHAnsi"/>
          <w:sz w:val="22"/>
          <w:szCs w:val="22"/>
        </w:rPr>
        <w:t>s</w:t>
      </w:r>
      <w:r w:rsidR="00FD1741" w:rsidRPr="0057415D">
        <w:rPr>
          <w:rFonts w:asciiTheme="majorHAnsi" w:hAnsiTheme="majorHAnsi"/>
          <w:sz w:val="22"/>
          <w:szCs w:val="22"/>
        </w:rPr>
        <w:t xml:space="preserve">, </w:t>
      </w:r>
      <w:r w:rsidR="0098799E" w:rsidRPr="0057415D">
        <w:rPr>
          <w:rFonts w:asciiTheme="majorHAnsi" w:hAnsiTheme="majorHAnsi"/>
          <w:sz w:val="22"/>
          <w:szCs w:val="22"/>
        </w:rPr>
        <w:t>the factors behind this variation have not previously been investigated.</w:t>
      </w:r>
    </w:p>
    <w:p w14:paraId="1EA1A59F" w14:textId="77777777" w:rsidR="008955F0" w:rsidRPr="0057415D" w:rsidRDefault="008955F0" w:rsidP="00F85C87">
      <w:pPr>
        <w:spacing w:line="480" w:lineRule="auto"/>
        <w:rPr>
          <w:rFonts w:asciiTheme="majorHAnsi" w:hAnsiTheme="majorHAnsi"/>
          <w:sz w:val="22"/>
          <w:szCs w:val="22"/>
        </w:rPr>
      </w:pPr>
    </w:p>
    <w:p w14:paraId="652596F8" w14:textId="12EA4772" w:rsidR="00E87834" w:rsidRPr="0057415D" w:rsidRDefault="00BC7B07" w:rsidP="00F85C87">
      <w:pPr>
        <w:spacing w:line="480" w:lineRule="auto"/>
        <w:rPr>
          <w:rFonts w:asciiTheme="majorHAnsi" w:hAnsiTheme="majorHAnsi"/>
          <w:sz w:val="22"/>
          <w:szCs w:val="22"/>
        </w:rPr>
      </w:pPr>
      <w:r w:rsidRPr="0057415D">
        <w:rPr>
          <w:rFonts w:asciiTheme="majorHAnsi" w:hAnsiTheme="majorHAnsi"/>
          <w:sz w:val="22"/>
          <w:szCs w:val="22"/>
        </w:rPr>
        <w:t>In the</w:t>
      </w:r>
      <w:r w:rsidR="009E48C6" w:rsidRPr="0057415D">
        <w:rPr>
          <w:rFonts w:asciiTheme="majorHAnsi" w:hAnsiTheme="majorHAnsi"/>
          <w:sz w:val="22"/>
          <w:szCs w:val="22"/>
        </w:rPr>
        <w:t xml:space="preserve"> United Kingdom (UK) </w:t>
      </w:r>
      <w:r w:rsidRPr="0057415D">
        <w:rPr>
          <w:rFonts w:asciiTheme="majorHAnsi" w:hAnsiTheme="majorHAnsi"/>
          <w:sz w:val="22"/>
          <w:szCs w:val="22"/>
        </w:rPr>
        <w:t>uptake of vaccination programmes</w:t>
      </w:r>
      <w:r w:rsidR="001A42DC" w:rsidRPr="0057415D">
        <w:rPr>
          <w:rFonts w:asciiTheme="majorHAnsi" w:hAnsiTheme="majorHAnsi"/>
          <w:sz w:val="22"/>
          <w:szCs w:val="22"/>
        </w:rPr>
        <w:t xml:space="preserve"> has been shown</w:t>
      </w:r>
      <w:r w:rsidR="009E48C6" w:rsidRPr="0057415D">
        <w:rPr>
          <w:rFonts w:asciiTheme="majorHAnsi" w:hAnsiTheme="majorHAnsi"/>
          <w:sz w:val="22"/>
          <w:szCs w:val="22"/>
        </w:rPr>
        <w:t xml:space="preserve"> to be influenced by several</w:t>
      </w:r>
      <w:r w:rsidR="001A42DC" w:rsidRPr="0057415D">
        <w:rPr>
          <w:rFonts w:asciiTheme="majorHAnsi" w:hAnsiTheme="majorHAnsi"/>
          <w:sz w:val="22"/>
          <w:szCs w:val="22"/>
        </w:rPr>
        <w:t xml:space="preserve"> different factors</w:t>
      </w:r>
      <w:r w:rsidRPr="0057415D">
        <w:rPr>
          <w:rFonts w:asciiTheme="majorHAnsi" w:hAnsiTheme="majorHAnsi"/>
          <w:sz w:val="22"/>
          <w:szCs w:val="22"/>
        </w:rPr>
        <w:t xml:space="preserve">, including </w:t>
      </w:r>
      <w:r w:rsidR="008417D3" w:rsidRPr="0057415D">
        <w:rPr>
          <w:rFonts w:asciiTheme="majorHAnsi" w:hAnsiTheme="majorHAnsi"/>
          <w:sz w:val="22"/>
          <w:szCs w:val="22"/>
        </w:rPr>
        <w:t>deprivation and</w:t>
      </w:r>
      <w:r w:rsidR="009E48C6" w:rsidRPr="0057415D">
        <w:rPr>
          <w:rFonts w:asciiTheme="majorHAnsi" w:hAnsiTheme="majorHAnsi"/>
          <w:sz w:val="22"/>
          <w:szCs w:val="22"/>
        </w:rPr>
        <w:t xml:space="preserve"> ethnicity</w:t>
      </w:r>
      <w:r w:rsidR="008417D3" w:rsidRPr="0057415D">
        <w:rPr>
          <w:rFonts w:asciiTheme="majorHAnsi" w:hAnsiTheme="majorHAnsi"/>
          <w:sz w:val="22"/>
          <w:szCs w:val="22"/>
        </w:rPr>
        <w:t xml:space="preserve">. </w:t>
      </w:r>
      <w:r w:rsidR="008B2CBE" w:rsidRPr="0057415D">
        <w:rPr>
          <w:rFonts w:asciiTheme="majorHAnsi" w:hAnsiTheme="majorHAnsi"/>
          <w:sz w:val="22"/>
          <w:szCs w:val="22"/>
        </w:rPr>
        <w:t xml:space="preserve">Several studies have demonstrated that </w:t>
      </w:r>
      <w:r w:rsidR="00AB5446" w:rsidRPr="0057415D">
        <w:rPr>
          <w:rFonts w:asciiTheme="majorHAnsi" w:hAnsiTheme="majorHAnsi"/>
          <w:sz w:val="22"/>
          <w:szCs w:val="22"/>
        </w:rPr>
        <w:t>vaccine uptake</w:t>
      </w:r>
      <w:r w:rsidR="009E48C6" w:rsidRPr="0057415D">
        <w:rPr>
          <w:rFonts w:asciiTheme="majorHAnsi" w:hAnsiTheme="majorHAnsi"/>
          <w:sz w:val="22"/>
          <w:szCs w:val="22"/>
        </w:rPr>
        <w:t xml:space="preserve"> </w:t>
      </w:r>
      <w:r w:rsidR="008B2CBE" w:rsidRPr="0057415D">
        <w:rPr>
          <w:rFonts w:asciiTheme="majorHAnsi" w:hAnsiTheme="majorHAnsi"/>
          <w:sz w:val="22"/>
          <w:szCs w:val="22"/>
        </w:rPr>
        <w:t>falls with increasing deprivation</w:t>
      </w:r>
      <w:r w:rsidR="00427AA1" w:rsidRPr="0057415D">
        <w:rPr>
          <w:rFonts w:asciiTheme="majorHAnsi" w:hAnsiTheme="majorHAnsi"/>
          <w:sz w:val="22"/>
          <w:szCs w:val="22"/>
        </w:rPr>
        <w:t xml:space="preserve"> and that this association is more pronoun</w:t>
      </w:r>
      <w:r w:rsidR="009E48C6" w:rsidRPr="0057415D">
        <w:rPr>
          <w:rFonts w:asciiTheme="majorHAnsi" w:hAnsiTheme="majorHAnsi"/>
          <w:sz w:val="22"/>
          <w:szCs w:val="22"/>
        </w:rPr>
        <w:t>ced for primary care than</w:t>
      </w:r>
      <w:r w:rsidR="00427AA1" w:rsidRPr="0057415D">
        <w:rPr>
          <w:rFonts w:asciiTheme="majorHAnsi" w:hAnsiTheme="majorHAnsi"/>
          <w:sz w:val="22"/>
          <w:szCs w:val="22"/>
        </w:rPr>
        <w:t xml:space="preserve"> school-based vaccination</w:t>
      </w:r>
      <w:r w:rsidR="006502E5" w:rsidRPr="0057415D">
        <w:rPr>
          <w:rFonts w:asciiTheme="majorHAnsi" w:hAnsiTheme="majorHAnsi"/>
          <w:sz w:val="22"/>
          <w:szCs w:val="22"/>
        </w:rPr>
        <w:fldChar w:fldCharType="begin"/>
      </w:r>
      <w:r w:rsidR="00AA732D" w:rsidRPr="0057415D">
        <w:rPr>
          <w:rFonts w:asciiTheme="majorHAnsi" w:hAnsiTheme="majorHAnsi"/>
          <w:sz w:val="22"/>
          <w:szCs w:val="22"/>
        </w:rPr>
        <w:instrText>ADDIN RW.CITE{{873 Hungerford, D 2016;887 Roberts, SA 2011;891 Sinka,K. 2014;890 Hughes, A 2014}}</w:instrText>
      </w:r>
      <w:r w:rsidR="006502E5" w:rsidRPr="0057415D">
        <w:rPr>
          <w:rFonts w:asciiTheme="majorHAnsi" w:hAnsiTheme="majorHAnsi"/>
          <w:sz w:val="22"/>
          <w:szCs w:val="22"/>
        </w:rPr>
        <w:fldChar w:fldCharType="separate"/>
      </w:r>
      <w:r w:rsidR="00AA732D" w:rsidRPr="0057415D">
        <w:rPr>
          <w:rFonts w:asciiTheme="majorHAnsi" w:eastAsia="Times New Roman" w:hAnsiTheme="majorHAnsi" w:cs="Times New Roman"/>
          <w:sz w:val="22"/>
        </w:rPr>
        <w:t>(15-18)</w:t>
      </w:r>
      <w:r w:rsidR="006502E5" w:rsidRPr="0057415D">
        <w:rPr>
          <w:rFonts w:asciiTheme="majorHAnsi" w:hAnsiTheme="majorHAnsi"/>
          <w:sz w:val="22"/>
          <w:szCs w:val="22"/>
        </w:rPr>
        <w:fldChar w:fldCharType="end"/>
      </w:r>
      <w:r w:rsidR="008B2CBE" w:rsidRPr="0057415D">
        <w:rPr>
          <w:rFonts w:asciiTheme="majorHAnsi" w:hAnsiTheme="majorHAnsi"/>
          <w:sz w:val="22"/>
          <w:szCs w:val="22"/>
        </w:rPr>
        <w:t xml:space="preserve">. However, </w:t>
      </w:r>
      <w:r w:rsidR="009E48C6" w:rsidRPr="0057415D">
        <w:rPr>
          <w:rFonts w:asciiTheme="majorHAnsi" w:hAnsiTheme="majorHAnsi"/>
          <w:sz w:val="22"/>
          <w:szCs w:val="22"/>
        </w:rPr>
        <w:t xml:space="preserve">other studies </w:t>
      </w:r>
      <w:r w:rsidR="00AB5446" w:rsidRPr="0057415D">
        <w:rPr>
          <w:rFonts w:asciiTheme="majorHAnsi" w:hAnsiTheme="majorHAnsi"/>
          <w:sz w:val="22"/>
          <w:szCs w:val="22"/>
        </w:rPr>
        <w:t xml:space="preserve">have </w:t>
      </w:r>
      <w:r w:rsidR="009E48C6" w:rsidRPr="0057415D">
        <w:rPr>
          <w:rFonts w:asciiTheme="majorHAnsi" w:hAnsiTheme="majorHAnsi"/>
          <w:sz w:val="22"/>
          <w:szCs w:val="22"/>
        </w:rPr>
        <w:t>f</w:t>
      </w:r>
      <w:r w:rsidR="00AB5446" w:rsidRPr="0057415D">
        <w:rPr>
          <w:rFonts w:asciiTheme="majorHAnsi" w:hAnsiTheme="majorHAnsi"/>
          <w:sz w:val="22"/>
          <w:szCs w:val="22"/>
        </w:rPr>
        <w:t>ound</w:t>
      </w:r>
      <w:r w:rsidR="008B2CBE" w:rsidRPr="0057415D">
        <w:rPr>
          <w:rFonts w:asciiTheme="majorHAnsi" w:hAnsiTheme="majorHAnsi"/>
          <w:sz w:val="22"/>
          <w:szCs w:val="22"/>
        </w:rPr>
        <w:t xml:space="preserve"> </w:t>
      </w:r>
      <w:r w:rsidR="00CE6492" w:rsidRPr="0057415D">
        <w:rPr>
          <w:rFonts w:asciiTheme="majorHAnsi" w:hAnsiTheme="majorHAnsi"/>
          <w:sz w:val="22"/>
          <w:szCs w:val="22"/>
        </w:rPr>
        <w:t>no relationship between vaccination and deprivation</w:t>
      </w:r>
      <w:r w:rsidR="002026CF" w:rsidRPr="0057415D">
        <w:rPr>
          <w:rFonts w:asciiTheme="majorHAnsi" w:hAnsiTheme="majorHAnsi"/>
          <w:sz w:val="22"/>
          <w:szCs w:val="22"/>
        </w:rPr>
        <w:fldChar w:fldCharType="begin"/>
      </w:r>
      <w:r w:rsidR="004776C0" w:rsidRPr="0057415D">
        <w:rPr>
          <w:rFonts w:asciiTheme="majorHAnsi" w:hAnsiTheme="majorHAnsi"/>
          <w:sz w:val="22"/>
          <w:szCs w:val="22"/>
        </w:rPr>
        <w:instrText>ADDIN RW.CITE{{893 Brown, Katrina 2011;894 Fisher, Harriet 2013}}</w:instrText>
      </w:r>
      <w:r w:rsidR="002026CF" w:rsidRPr="0057415D">
        <w:rPr>
          <w:rFonts w:asciiTheme="majorHAnsi" w:hAnsiTheme="majorHAnsi"/>
          <w:sz w:val="22"/>
          <w:szCs w:val="22"/>
        </w:rPr>
        <w:fldChar w:fldCharType="separate"/>
      </w:r>
      <w:r w:rsidR="004776C0" w:rsidRPr="0057415D">
        <w:rPr>
          <w:rFonts w:asciiTheme="majorHAnsi" w:eastAsia="Times New Roman" w:hAnsiTheme="majorHAnsi" w:cs="Times New Roman"/>
          <w:sz w:val="22"/>
        </w:rPr>
        <w:t>(19,20)</w:t>
      </w:r>
      <w:r w:rsidR="002026CF" w:rsidRPr="0057415D">
        <w:rPr>
          <w:rFonts w:asciiTheme="majorHAnsi" w:hAnsiTheme="majorHAnsi"/>
          <w:sz w:val="22"/>
          <w:szCs w:val="22"/>
        </w:rPr>
        <w:fldChar w:fldCharType="end"/>
      </w:r>
      <w:r w:rsidR="002026CF" w:rsidRPr="0057415D">
        <w:rPr>
          <w:rFonts w:asciiTheme="majorHAnsi" w:hAnsiTheme="majorHAnsi"/>
          <w:sz w:val="22"/>
          <w:szCs w:val="22"/>
        </w:rPr>
        <w:t xml:space="preserve">. </w:t>
      </w:r>
      <w:r w:rsidR="008B2CBE" w:rsidRPr="0057415D">
        <w:rPr>
          <w:rFonts w:asciiTheme="majorHAnsi" w:hAnsiTheme="majorHAnsi"/>
          <w:sz w:val="22"/>
          <w:szCs w:val="22"/>
        </w:rPr>
        <w:t xml:space="preserve">Similarly, </w:t>
      </w:r>
      <w:r w:rsidR="00427AA1" w:rsidRPr="0057415D">
        <w:rPr>
          <w:rFonts w:asciiTheme="majorHAnsi" w:hAnsiTheme="majorHAnsi"/>
          <w:sz w:val="22"/>
          <w:szCs w:val="22"/>
        </w:rPr>
        <w:t>some studies suggest</w:t>
      </w:r>
      <w:r w:rsidR="006646BE" w:rsidRPr="0057415D">
        <w:rPr>
          <w:rFonts w:asciiTheme="majorHAnsi" w:hAnsiTheme="majorHAnsi"/>
          <w:sz w:val="22"/>
          <w:szCs w:val="22"/>
        </w:rPr>
        <w:t xml:space="preserve"> that vaccination uptake is higher amongst cer</w:t>
      </w:r>
      <w:r w:rsidR="00ED596E" w:rsidRPr="0057415D">
        <w:rPr>
          <w:rFonts w:asciiTheme="majorHAnsi" w:hAnsiTheme="majorHAnsi"/>
          <w:sz w:val="22"/>
          <w:szCs w:val="22"/>
        </w:rPr>
        <w:t>tain B</w:t>
      </w:r>
      <w:r w:rsidR="009E48C6" w:rsidRPr="0057415D">
        <w:rPr>
          <w:rFonts w:asciiTheme="majorHAnsi" w:hAnsiTheme="majorHAnsi"/>
          <w:sz w:val="22"/>
          <w:szCs w:val="22"/>
        </w:rPr>
        <w:t>lack and minority ethnic (B</w:t>
      </w:r>
      <w:r w:rsidR="00ED596E" w:rsidRPr="0057415D">
        <w:rPr>
          <w:rFonts w:asciiTheme="majorHAnsi" w:hAnsiTheme="majorHAnsi"/>
          <w:sz w:val="22"/>
          <w:szCs w:val="22"/>
        </w:rPr>
        <w:t>ME</w:t>
      </w:r>
      <w:r w:rsidR="009E48C6" w:rsidRPr="0057415D">
        <w:rPr>
          <w:rFonts w:asciiTheme="majorHAnsi" w:hAnsiTheme="majorHAnsi"/>
          <w:sz w:val="22"/>
          <w:szCs w:val="22"/>
        </w:rPr>
        <w:t>)</w:t>
      </w:r>
      <w:r w:rsidR="006646BE" w:rsidRPr="0057415D">
        <w:rPr>
          <w:rFonts w:asciiTheme="majorHAnsi" w:hAnsiTheme="majorHAnsi"/>
          <w:sz w:val="22"/>
          <w:szCs w:val="22"/>
        </w:rPr>
        <w:t xml:space="preserve"> groups, particularly Asian and</w:t>
      </w:r>
      <w:r w:rsidR="002026CF" w:rsidRPr="0057415D">
        <w:rPr>
          <w:rFonts w:asciiTheme="majorHAnsi" w:hAnsiTheme="majorHAnsi"/>
          <w:sz w:val="22"/>
          <w:szCs w:val="22"/>
        </w:rPr>
        <w:t xml:space="preserve"> Asian British populations</w:t>
      </w:r>
      <w:r w:rsidR="002026CF" w:rsidRPr="0057415D">
        <w:rPr>
          <w:rFonts w:asciiTheme="majorHAnsi" w:hAnsiTheme="majorHAnsi"/>
          <w:sz w:val="22"/>
          <w:szCs w:val="22"/>
        </w:rPr>
        <w:fldChar w:fldCharType="begin"/>
      </w:r>
      <w:r w:rsidR="002026CF" w:rsidRPr="0057415D">
        <w:rPr>
          <w:rFonts w:asciiTheme="majorHAnsi" w:hAnsiTheme="majorHAnsi"/>
          <w:sz w:val="22"/>
          <w:szCs w:val="22"/>
        </w:rPr>
        <w:instrText>ADDIN RW.CITE{{869 Baker,D. 2011;870 Quinn, Sandra Crouse 2009;867 Timmermans, Danielle RM 2005}}</w:instrText>
      </w:r>
      <w:r w:rsidR="002026CF" w:rsidRPr="0057415D">
        <w:rPr>
          <w:rFonts w:asciiTheme="majorHAnsi" w:hAnsiTheme="majorHAnsi"/>
          <w:sz w:val="22"/>
          <w:szCs w:val="22"/>
        </w:rPr>
        <w:fldChar w:fldCharType="separate"/>
      </w:r>
      <w:r w:rsidR="004776C0" w:rsidRPr="0057415D">
        <w:rPr>
          <w:rFonts w:asciiTheme="majorHAnsi" w:eastAsia="Times New Roman" w:hAnsiTheme="majorHAnsi" w:cs="Times New Roman"/>
          <w:sz w:val="22"/>
        </w:rPr>
        <w:t>(21-23)</w:t>
      </w:r>
      <w:r w:rsidR="002026CF" w:rsidRPr="0057415D">
        <w:rPr>
          <w:rFonts w:asciiTheme="majorHAnsi" w:hAnsiTheme="majorHAnsi"/>
          <w:sz w:val="22"/>
          <w:szCs w:val="22"/>
        </w:rPr>
        <w:fldChar w:fldCharType="end"/>
      </w:r>
      <w:r w:rsidR="006646BE" w:rsidRPr="0057415D">
        <w:rPr>
          <w:rFonts w:asciiTheme="majorHAnsi" w:hAnsiTheme="majorHAnsi"/>
          <w:sz w:val="22"/>
          <w:szCs w:val="22"/>
        </w:rPr>
        <w:t xml:space="preserve">. In contrast, </w:t>
      </w:r>
      <w:r w:rsidR="004776C0" w:rsidRPr="0057415D">
        <w:rPr>
          <w:rFonts w:asciiTheme="majorHAnsi" w:hAnsiTheme="majorHAnsi"/>
          <w:sz w:val="22"/>
          <w:szCs w:val="22"/>
        </w:rPr>
        <w:t xml:space="preserve">other studies of </w:t>
      </w:r>
      <w:r w:rsidR="00727D32" w:rsidRPr="0057415D">
        <w:rPr>
          <w:rFonts w:asciiTheme="majorHAnsi" w:hAnsiTheme="majorHAnsi"/>
          <w:sz w:val="22"/>
          <w:szCs w:val="22"/>
        </w:rPr>
        <w:t>measles, mumps and rubella (MMR)</w:t>
      </w:r>
      <w:r w:rsidR="004776C0" w:rsidRPr="0057415D">
        <w:rPr>
          <w:rFonts w:asciiTheme="majorHAnsi" w:hAnsiTheme="majorHAnsi"/>
          <w:sz w:val="22"/>
          <w:szCs w:val="22"/>
        </w:rPr>
        <w:t xml:space="preserve">, </w:t>
      </w:r>
      <w:r w:rsidR="00427AA1" w:rsidRPr="0057415D">
        <w:rPr>
          <w:rFonts w:asciiTheme="majorHAnsi" w:hAnsiTheme="majorHAnsi"/>
          <w:sz w:val="22"/>
          <w:szCs w:val="22"/>
        </w:rPr>
        <w:t>HPV</w:t>
      </w:r>
      <w:r w:rsidR="006502E5" w:rsidRPr="0057415D">
        <w:rPr>
          <w:rFonts w:asciiTheme="majorHAnsi" w:hAnsiTheme="majorHAnsi"/>
          <w:sz w:val="22"/>
          <w:szCs w:val="22"/>
        </w:rPr>
        <w:t xml:space="preserve"> and influenza vaccination suggest</w:t>
      </w:r>
      <w:r w:rsidR="006646BE" w:rsidRPr="0057415D">
        <w:rPr>
          <w:rFonts w:asciiTheme="majorHAnsi" w:hAnsiTheme="majorHAnsi"/>
          <w:sz w:val="22"/>
          <w:szCs w:val="22"/>
        </w:rPr>
        <w:t xml:space="preserve"> </w:t>
      </w:r>
      <w:r w:rsidR="0057415D">
        <w:rPr>
          <w:rFonts w:asciiTheme="majorHAnsi" w:hAnsiTheme="majorHAnsi"/>
          <w:sz w:val="22"/>
          <w:szCs w:val="22"/>
        </w:rPr>
        <w:t xml:space="preserve">lower vaccination uptake </w:t>
      </w:r>
      <w:r w:rsidR="009E48C6" w:rsidRPr="0057415D">
        <w:rPr>
          <w:rFonts w:asciiTheme="majorHAnsi" w:hAnsiTheme="majorHAnsi"/>
          <w:sz w:val="22"/>
          <w:szCs w:val="22"/>
        </w:rPr>
        <w:t xml:space="preserve">amongst all </w:t>
      </w:r>
      <w:r w:rsidR="00CE6492" w:rsidRPr="0057415D">
        <w:rPr>
          <w:rFonts w:asciiTheme="majorHAnsi" w:hAnsiTheme="majorHAnsi"/>
          <w:sz w:val="22"/>
          <w:szCs w:val="22"/>
        </w:rPr>
        <w:t>B</w:t>
      </w:r>
      <w:r w:rsidR="006646BE" w:rsidRPr="0057415D">
        <w:rPr>
          <w:rFonts w:asciiTheme="majorHAnsi" w:hAnsiTheme="majorHAnsi"/>
          <w:sz w:val="22"/>
          <w:szCs w:val="22"/>
        </w:rPr>
        <w:t>ME groups</w:t>
      </w:r>
      <w:r w:rsidR="006502E5" w:rsidRPr="0057415D">
        <w:rPr>
          <w:rFonts w:asciiTheme="majorHAnsi" w:hAnsiTheme="majorHAnsi"/>
          <w:sz w:val="22"/>
          <w:szCs w:val="22"/>
        </w:rPr>
        <w:fldChar w:fldCharType="begin"/>
      </w:r>
      <w:r w:rsidR="006502E5" w:rsidRPr="0057415D">
        <w:rPr>
          <w:rFonts w:asciiTheme="majorHAnsi" w:hAnsiTheme="majorHAnsi"/>
          <w:sz w:val="22"/>
          <w:szCs w:val="22"/>
        </w:rPr>
        <w:instrText>ADDIN RW.CITE{{887 Roberts, SA 2011;888 Coupland, Carol 2007}}</w:instrText>
      </w:r>
      <w:r w:rsidR="006502E5" w:rsidRPr="0057415D">
        <w:rPr>
          <w:rFonts w:asciiTheme="majorHAnsi" w:hAnsiTheme="majorHAnsi"/>
          <w:sz w:val="22"/>
          <w:szCs w:val="22"/>
        </w:rPr>
        <w:fldChar w:fldCharType="separate"/>
      </w:r>
      <w:r w:rsidR="004776C0" w:rsidRPr="0057415D">
        <w:rPr>
          <w:rFonts w:asciiTheme="majorHAnsi" w:eastAsia="Times New Roman" w:hAnsiTheme="majorHAnsi" w:cs="Times New Roman"/>
          <w:sz w:val="22"/>
        </w:rPr>
        <w:t>(16,24)</w:t>
      </w:r>
      <w:r w:rsidR="006502E5" w:rsidRPr="0057415D">
        <w:rPr>
          <w:rFonts w:asciiTheme="majorHAnsi" w:hAnsiTheme="majorHAnsi"/>
          <w:sz w:val="22"/>
          <w:szCs w:val="22"/>
        </w:rPr>
        <w:fldChar w:fldCharType="end"/>
      </w:r>
      <w:r w:rsidR="006646BE" w:rsidRPr="0057415D">
        <w:rPr>
          <w:rFonts w:asciiTheme="majorHAnsi" w:hAnsiTheme="majorHAnsi"/>
          <w:sz w:val="22"/>
          <w:szCs w:val="22"/>
        </w:rPr>
        <w:t>. It is essential</w:t>
      </w:r>
      <w:r w:rsidR="008955F0" w:rsidRPr="0057415D">
        <w:rPr>
          <w:rFonts w:asciiTheme="majorHAnsi" w:hAnsiTheme="majorHAnsi"/>
          <w:sz w:val="22"/>
          <w:szCs w:val="22"/>
        </w:rPr>
        <w:t xml:space="preserve"> to elucidate these associations further in the context of new preventative health initiatives, such as the MenACWY vaccination programme, in order to understand their impac</w:t>
      </w:r>
      <w:r w:rsidR="00CE6492" w:rsidRPr="0057415D">
        <w:rPr>
          <w:rFonts w:asciiTheme="majorHAnsi" w:hAnsiTheme="majorHAnsi"/>
          <w:sz w:val="22"/>
          <w:szCs w:val="22"/>
        </w:rPr>
        <w:t>t on health inequalities</w:t>
      </w:r>
      <w:r w:rsidR="008955F0" w:rsidRPr="0057415D">
        <w:rPr>
          <w:rFonts w:asciiTheme="majorHAnsi" w:hAnsiTheme="majorHAnsi"/>
          <w:sz w:val="22"/>
          <w:szCs w:val="22"/>
        </w:rPr>
        <w:t>. In addition, it is important to evaluate whether differences in vaccination uptake, and other clinica</w:t>
      </w:r>
      <w:r w:rsidR="009E48C6" w:rsidRPr="0057415D">
        <w:rPr>
          <w:rFonts w:asciiTheme="majorHAnsi" w:hAnsiTheme="majorHAnsi"/>
          <w:sz w:val="22"/>
          <w:szCs w:val="22"/>
        </w:rPr>
        <w:t>l outcomes, arise due to</w:t>
      </w:r>
      <w:r w:rsidR="008955F0" w:rsidRPr="0057415D">
        <w:rPr>
          <w:rFonts w:asciiTheme="majorHAnsi" w:hAnsiTheme="majorHAnsi"/>
          <w:sz w:val="22"/>
          <w:szCs w:val="22"/>
        </w:rPr>
        <w:t xml:space="preserve"> demographics and social determinants of health</w:t>
      </w:r>
      <w:r w:rsidR="00CE6492" w:rsidRPr="0057415D">
        <w:rPr>
          <w:rFonts w:asciiTheme="majorHAnsi" w:hAnsiTheme="majorHAnsi"/>
          <w:sz w:val="22"/>
          <w:szCs w:val="22"/>
        </w:rPr>
        <w:t>, such as deprivation and ethnicity,</w:t>
      </w:r>
      <w:r w:rsidR="008955F0" w:rsidRPr="0057415D">
        <w:rPr>
          <w:rFonts w:asciiTheme="majorHAnsi" w:hAnsiTheme="majorHAnsi"/>
          <w:sz w:val="22"/>
          <w:szCs w:val="22"/>
        </w:rPr>
        <w:t xml:space="preserve"> or because of the </w:t>
      </w:r>
      <w:r w:rsidR="009E48C6" w:rsidRPr="0057415D">
        <w:rPr>
          <w:rFonts w:asciiTheme="majorHAnsi" w:hAnsiTheme="majorHAnsi"/>
          <w:sz w:val="22"/>
          <w:szCs w:val="22"/>
        </w:rPr>
        <w:t xml:space="preserve">quality and engagement of </w:t>
      </w:r>
      <w:r w:rsidR="008955F0" w:rsidRPr="0057415D">
        <w:rPr>
          <w:rFonts w:asciiTheme="majorHAnsi" w:hAnsiTheme="majorHAnsi"/>
          <w:sz w:val="22"/>
          <w:szCs w:val="22"/>
        </w:rPr>
        <w:t>local health se</w:t>
      </w:r>
      <w:r w:rsidR="009E48C6" w:rsidRPr="0057415D">
        <w:rPr>
          <w:rFonts w:asciiTheme="majorHAnsi" w:hAnsiTheme="majorHAnsi"/>
          <w:sz w:val="22"/>
          <w:szCs w:val="22"/>
        </w:rPr>
        <w:t>rvices. This is currently an</w:t>
      </w:r>
      <w:r w:rsidR="008955F0" w:rsidRPr="0057415D">
        <w:rPr>
          <w:rFonts w:asciiTheme="majorHAnsi" w:hAnsiTheme="majorHAnsi"/>
          <w:sz w:val="22"/>
          <w:szCs w:val="22"/>
        </w:rPr>
        <w:t xml:space="preserve"> u</w:t>
      </w:r>
      <w:r w:rsidR="009E48C6" w:rsidRPr="0057415D">
        <w:rPr>
          <w:rFonts w:asciiTheme="majorHAnsi" w:hAnsiTheme="majorHAnsi"/>
          <w:sz w:val="22"/>
          <w:szCs w:val="22"/>
        </w:rPr>
        <w:t xml:space="preserve">nder-researched area, with </w:t>
      </w:r>
      <w:r w:rsidR="008955F0" w:rsidRPr="0057415D">
        <w:rPr>
          <w:rFonts w:asciiTheme="majorHAnsi" w:hAnsiTheme="majorHAnsi"/>
          <w:sz w:val="22"/>
          <w:szCs w:val="22"/>
        </w:rPr>
        <w:t xml:space="preserve">few </w:t>
      </w:r>
      <w:r w:rsidR="00427AA1" w:rsidRPr="0057415D">
        <w:rPr>
          <w:rFonts w:asciiTheme="majorHAnsi" w:hAnsiTheme="majorHAnsi"/>
          <w:sz w:val="22"/>
          <w:szCs w:val="22"/>
        </w:rPr>
        <w:t>studies, and none regarding</w:t>
      </w:r>
      <w:r w:rsidR="008955F0" w:rsidRPr="0057415D">
        <w:rPr>
          <w:rFonts w:asciiTheme="majorHAnsi" w:hAnsiTheme="majorHAnsi"/>
          <w:sz w:val="22"/>
          <w:szCs w:val="22"/>
        </w:rPr>
        <w:t xml:space="preserve"> vaccination, exploring how clinical outcomes are associated with indicators of patient satisfaction and primary care quality.</w:t>
      </w:r>
    </w:p>
    <w:p w14:paraId="00FC923C" w14:textId="77777777" w:rsidR="00E87834" w:rsidRPr="0057415D" w:rsidRDefault="00E87834" w:rsidP="00F85C87">
      <w:pPr>
        <w:spacing w:line="480" w:lineRule="auto"/>
        <w:rPr>
          <w:rFonts w:asciiTheme="majorHAnsi" w:hAnsiTheme="majorHAnsi"/>
          <w:sz w:val="22"/>
          <w:szCs w:val="22"/>
        </w:rPr>
      </w:pPr>
    </w:p>
    <w:p w14:paraId="3B203C14" w14:textId="5CA9AAA6" w:rsidR="001C20EA" w:rsidRPr="0057415D" w:rsidRDefault="00FD1741" w:rsidP="00F85C87">
      <w:pPr>
        <w:spacing w:line="480" w:lineRule="auto"/>
        <w:rPr>
          <w:rFonts w:asciiTheme="majorHAnsi" w:hAnsiTheme="majorHAnsi"/>
          <w:sz w:val="22"/>
          <w:szCs w:val="22"/>
        </w:rPr>
      </w:pPr>
      <w:r w:rsidRPr="0057415D">
        <w:rPr>
          <w:rFonts w:asciiTheme="majorHAnsi" w:hAnsiTheme="majorHAnsi"/>
          <w:sz w:val="22"/>
          <w:szCs w:val="22"/>
        </w:rPr>
        <w:t>In this study, we investigate</w:t>
      </w:r>
      <w:r w:rsidR="007351A4" w:rsidRPr="0057415D">
        <w:rPr>
          <w:rFonts w:asciiTheme="majorHAnsi" w:hAnsiTheme="majorHAnsi"/>
          <w:sz w:val="22"/>
          <w:szCs w:val="22"/>
        </w:rPr>
        <w:t xml:space="preserve"> associations between various general</w:t>
      </w:r>
      <w:r w:rsidRPr="0057415D">
        <w:rPr>
          <w:rFonts w:asciiTheme="majorHAnsi" w:hAnsiTheme="majorHAnsi"/>
          <w:sz w:val="22"/>
          <w:szCs w:val="22"/>
        </w:rPr>
        <w:t xml:space="preserve"> practice characteristics and MenACWY uptake</w:t>
      </w:r>
      <w:r w:rsidR="0098799E" w:rsidRPr="0057415D">
        <w:rPr>
          <w:rFonts w:asciiTheme="majorHAnsi" w:hAnsiTheme="majorHAnsi"/>
          <w:sz w:val="22"/>
          <w:szCs w:val="22"/>
        </w:rPr>
        <w:t xml:space="preserve"> in the North West of England</w:t>
      </w:r>
      <w:r w:rsidRPr="0057415D">
        <w:rPr>
          <w:rFonts w:asciiTheme="majorHAnsi" w:hAnsiTheme="majorHAnsi"/>
          <w:sz w:val="22"/>
          <w:szCs w:val="22"/>
        </w:rPr>
        <w:t>.</w:t>
      </w:r>
      <w:r w:rsidR="00CE6492" w:rsidRPr="0057415D">
        <w:rPr>
          <w:rFonts w:asciiTheme="majorHAnsi" w:hAnsiTheme="majorHAnsi"/>
          <w:sz w:val="22"/>
          <w:szCs w:val="22"/>
        </w:rPr>
        <w:t xml:space="preserve"> </w:t>
      </w:r>
    </w:p>
    <w:p w14:paraId="5EAD8F13" w14:textId="77777777" w:rsidR="001C20EA" w:rsidRPr="0057415D" w:rsidRDefault="001C20EA" w:rsidP="00F85C87">
      <w:pPr>
        <w:spacing w:line="480" w:lineRule="auto"/>
        <w:rPr>
          <w:rFonts w:asciiTheme="majorHAnsi" w:hAnsiTheme="majorHAnsi"/>
          <w:sz w:val="22"/>
          <w:szCs w:val="22"/>
        </w:rPr>
      </w:pPr>
    </w:p>
    <w:p w14:paraId="4356B481" w14:textId="77777777" w:rsidR="001C20EA" w:rsidRPr="0057415D" w:rsidRDefault="001C20EA" w:rsidP="00F85C87">
      <w:pPr>
        <w:spacing w:line="480" w:lineRule="auto"/>
        <w:rPr>
          <w:rFonts w:asciiTheme="majorHAnsi" w:hAnsiTheme="majorHAnsi"/>
          <w:b/>
          <w:sz w:val="22"/>
          <w:szCs w:val="22"/>
        </w:rPr>
      </w:pPr>
      <w:r w:rsidRPr="0057415D">
        <w:rPr>
          <w:rFonts w:asciiTheme="majorHAnsi" w:hAnsiTheme="majorHAnsi"/>
          <w:b/>
          <w:sz w:val="22"/>
          <w:szCs w:val="22"/>
        </w:rPr>
        <w:t>Methods</w:t>
      </w:r>
    </w:p>
    <w:p w14:paraId="70578237" w14:textId="77777777" w:rsidR="001C20EA" w:rsidRPr="0057415D" w:rsidRDefault="001C20EA" w:rsidP="00F85C87">
      <w:pPr>
        <w:spacing w:line="480" w:lineRule="auto"/>
        <w:rPr>
          <w:rFonts w:asciiTheme="majorHAnsi" w:hAnsiTheme="majorHAnsi"/>
          <w:i/>
          <w:sz w:val="22"/>
          <w:szCs w:val="22"/>
        </w:rPr>
      </w:pPr>
      <w:r w:rsidRPr="0057415D">
        <w:rPr>
          <w:rFonts w:asciiTheme="majorHAnsi" w:hAnsiTheme="majorHAnsi"/>
          <w:i/>
          <w:sz w:val="22"/>
          <w:szCs w:val="22"/>
        </w:rPr>
        <w:lastRenderedPageBreak/>
        <w:t>Sample</w:t>
      </w:r>
    </w:p>
    <w:p w14:paraId="2AD8DB1B" w14:textId="455C9E55" w:rsidR="00E92963" w:rsidRPr="0057415D" w:rsidRDefault="007351A4" w:rsidP="00994262">
      <w:pPr>
        <w:spacing w:line="480" w:lineRule="auto"/>
        <w:rPr>
          <w:rFonts w:asciiTheme="majorHAnsi" w:hAnsiTheme="majorHAnsi"/>
          <w:sz w:val="22"/>
          <w:szCs w:val="22"/>
        </w:rPr>
      </w:pPr>
      <w:r w:rsidRPr="0057415D">
        <w:rPr>
          <w:rFonts w:asciiTheme="majorHAnsi" w:hAnsiTheme="majorHAnsi"/>
          <w:sz w:val="22"/>
          <w:szCs w:val="22"/>
        </w:rPr>
        <w:t>The sample consisted of all general</w:t>
      </w:r>
      <w:r w:rsidR="0098799E" w:rsidRPr="0057415D">
        <w:rPr>
          <w:rFonts w:asciiTheme="majorHAnsi" w:hAnsiTheme="majorHAnsi"/>
          <w:sz w:val="22"/>
          <w:szCs w:val="22"/>
        </w:rPr>
        <w:t xml:space="preserve"> practices across </w:t>
      </w:r>
      <w:r w:rsidR="00E87834" w:rsidRPr="0057415D">
        <w:rPr>
          <w:rFonts w:asciiTheme="majorHAnsi" w:hAnsiTheme="majorHAnsi"/>
          <w:sz w:val="22"/>
          <w:szCs w:val="22"/>
        </w:rPr>
        <w:t>20</w:t>
      </w:r>
      <w:r w:rsidR="001C20EA" w:rsidRPr="0057415D">
        <w:rPr>
          <w:rFonts w:asciiTheme="majorHAnsi" w:hAnsiTheme="majorHAnsi"/>
          <w:sz w:val="22"/>
          <w:szCs w:val="22"/>
        </w:rPr>
        <w:t xml:space="preserve"> </w:t>
      </w:r>
      <w:r w:rsidR="00AB5446" w:rsidRPr="0057415D">
        <w:rPr>
          <w:rFonts w:asciiTheme="majorHAnsi" w:hAnsiTheme="majorHAnsi"/>
          <w:sz w:val="22"/>
          <w:szCs w:val="22"/>
        </w:rPr>
        <w:t xml:space="preserve">NHS </w:t>
      </w:r>
      <w:r w:rsidR="001C20EA" w:rsidRPr="0057415D">
        <w:rPr>
          <w:rFonts w:asciiTheme="majorHAnsi" w:hAnsiTheme="majorHAnsi"/>
          <w:sz w:val="22"/>
          <w:szCs w:val="22"/>
        </w:rPr>
        <w:t>C</w:t>
      </w:r>
      <w:r w:rsidR="00E87834" w:rsidRPr="0057415D">
        <w:rPr>
          <w:rFonts w:asciiTheme="majorHAnsi" w:hAnsiTheme="majorHAnsi"/>
          <w:sz w:val="22"/>
          <w:szCs w:val="22"/>
        </w:rPr>
        <w:t>CGs in North West England</w:t>
      </w:r>
      <w:r w:rsidR="001001B1" w:rsidRPr="0057415D">
        <w:rPr>
          <w:rFonts w:asciiTheme="majorHAnsi" w:hAnsiTheme="majorHAnsi"/>
          <w:sz w:val="22"/>
          <w:szCs w:val="22"/>
        </w:rPr>
        <w:t xml:space="preserve"> covering Lancashire, Merseyside, Cheshire, Warrington and Wirral.</w:t>
      </w:r>
    </w:p>
    <w:p w14:paraId="782C51CE" w14:textId="77777777" w:rsidR="00E87834" w:rsidRPr="0057415D" w:rsidRDefault="00E87834" w:rsidP="00F85C87">
      <w:pPr>
        <w:spacing w:line="480" w:lineRule="auto"/>
        <w:rPr>
          <w:rFonts w:asciiTheme="majorHAnsi" w:hAnsiTheme="majorHAnsi"/>
          <w:sz w:val="22"/>
          <w:szCs w:val="22"/>
        </w:rPr>
      </w:pPr>
    </w:p>
    <w:p w14:paraId="682B7183" w14:textId="77D1013C" w:rsidR="001C20EA" w:rsidRPr="0057415D" w:rsidRDefault="009E48C6" w:rsidP="00F85C87">
      <w:pPr>
        <w:spacing w:line="480" w:lineRule="auto"/>
        <w:rPr>
          <w:rFonts w:asciiTheme="majorHAnsi" w:hAnsiTheme="majorHAnsi"/>
          <w:sz w:val="22"/>
          <w:szCs w:val="22"/>
        </w:rPr>
      </w:pPr>
      <w:r w:rsidRPr="0057415D">
        <w:rPr>
          <w:rFonts w:asciiTheme="majorHAnsi" w:hAnsiTheme="majorHAnsi"/>
          <w:sz w:val="22"/>
          <w:szCs w:val="22"/>
        </w:rPr>
        <w:t xml:space="preserve">These areas represent </w:t>
      </w:r>
      <w:r w:rsidR="00060236" w:rsidRPr="0057415D">
        <w:rPr>
          <w:rFonts w:asciiTheme="majorHAnsi" w:hAnsiTheme="majorHAnsi"/>
          <w:sz w:val="22"/>
          <w:szCs w:val="22"/>
        </w:rPr>
        <w:t>diverse localities and populations, encompassing rural and urban areas, deprived and affluent population</w:t>
      </w:r>
      <w:r w:rsidR="00E87834" w:rsidRPr="0057415D">
        <w:rPr>
          <w:rFonts w:asciiTheme="majorHAnsi" w:hAnsiTheme="majorHAnsi"/>
          <w:sz w:val="22"/>
          <w:szCs w:val="22"/>
        </w:rPr>
        <w:t>s</w:t>
      </w:r>
      <w:r w:rsidR="00EB4052" w:rsidRPr="0057415D">
        <w:rPr>
          <w:rFonts w:asciiTheme="majorHAnsi" w:hAnsiTheme="majorHAnsi"/>
          <w:sz w:val="22"/>
          <w:szCs w:val="22"/>
        </w:rPr>
        <w:t xml:space="preserve"> and differing ethnic compositions. </w:t>
      </w:r>
      <w:r w:rsidR="0098799E" w:rsidRPr="0057415D">
        <w:rPr>
          <w:rFonts w:asciiTheme="majorHAnsi" w:hAnsiTheme="majorHAnsi"/>
          <w:sz w:val="22"/>
          <w:szCs w:val="22"/>
        </w:rPr>
        <w:t xml:space="preserve">For example, the city of Liverpool is included within this geographical area, as is </w:t>
      </w:r>
      <w:r w:rsidR="00E92963" w:rsidRPr="0057415D">
        <w:rPr>
          <w:rFonts w:asciiTheme="majorHAnsi" w:hAnsiTheme="majorHAnsi"/>
          <w:sz w:val="22"/>
          <w:szCs w:val="22"/>
        </w:rPr>
        <w:t>B</w:t>
      </w:r>
      <w:r w:rsidR="00D84A33" w:rsidRPr="0057415D">
        <w:rPr>
          <w:rFonts w:asciiTheme="majorHAnsi" w:hAnsiTheme="majorHAnsi"/>
          <w:sz w:val="22"/>
          <w:szCs w:val="22"/>
        </w:rPr>
        <w:t>lackpool in Lancashire, which,</w:t>
      </w:r>
      <w:r w:rsidR="00FF7451" w:rsidRPr="0057415D">
        <w:rPr>
          <w:rFonts w:asciiTheme="majorHAnsi" w:hAnsiTheme="majorHAnsi"/>
          <w:sz w:val="22"/>
          <w:szCs w:val="22"/>
        </w:rPr>
        <w:t xml:space="preserve"> based on the English Indices of Deprivation 2015 rank of average score,</w:t>
      </w:r>
      <w:r w:rsidR="00E92963" w:rsidRPr="0057415D">
        <w:rPr>
          <w:rFonts w:asciiTheme="majorHAnsi" w:hAnsiTheme="majorHAnsi"/>
          <w:sz w:val="22"/>
          <w:szCs w:val="22"/>
        </w:rPr>
        <w:t xml:space="preserve"> </w:t>
      </w:r>
      <w:r w:rsidR="00D84A33" w:rsidRPr="0057415D">
        <w:rPr>
          <w:rFonts w:asciiTheme="majorHAnsi" w:hAnsiTheme="majorHAnsi"/>
          <w:sz w:val="22"/>
          <w:szCs w:val="22"/>
        </w:rPr>
        <w:t xml:space="preserve">is </w:t>
      </w:r>
      <w:r w:rsidR="00E92963" w:rsidRPr="0057415D">
        <w:rPr>
          <w:rFonts w:asciiTheme="majorHAnsi" w:hAnsiTheme="majorHAnsi"/>
          <w:sz w:val="22"/>
          <w:szCs w:val="22"/>
        </w:rPr>
        <w:t>the most deprived local authority in England</w:t>
      </w:r>
      <w:r w:rsidR="00FF7451" w:rsidRPr="0057415D">
        <w:rPr>
          <w:rFonts w:asciiTheme="majorHAnsi" w:hAnsiTheme="majorHAnsi"/>
          <w:sz w:val="22"/>
          <w:szCs w:val="22"/>
        </w:rPr>
        <w:fldChar w:fldCharType="begin"/>
      </w:r>
      <w:r w:rsidR="00FF7451" w:rsidRPr="0057415D">
        <w:rPr>
          <w:rFonts w:asciiTheme="majorHAnsi" w:hAnsiTheme="majorHAnsi"/>
          <w:sz w:val="22"/>
          <w:szCs w:val="22"/>
        </w:rPr>
        <w:instrText>ADDIN RW.CITE{{884 Department for Communities and Local Government 30 September 2015}}</w:instrText>
      </w:r>
      <w:r w:rsidR="00FF7451" w:rsidRPr="0057415D">
        <w:rPr>
          <w:rFonts w:asciiTheme="majorHAnsi" w:hAnsiTheme="majorHAnsi"/>
          <w:sz w:val="22"/>
          <w:szCs w:val="22"/>
        </w:rPr>
        <w:fldChar w:fldCharType="separate"/>
      </w:r>
      <w:r w:rsidR="004776C0" w:rsidRPr="0057415D">
        <w:rPr>
          <w:rFonts w:asciiTheme="majorHAnsi" w:eastAsia="Times New Roman" w:hAnsiTheme="majorHAnsi" w:cs="Times New Roman"/>
          <w:sz w:val="22"/>
        </w:rPr>
        <w:t>(25)</w:t>
      </w:r>
      <w:r w:rsidR="00FF7451" w:rsidRPr="0057415D">
        <w:rPr>
          <w:rFonts w:asciiTheme="majorHAnsi" w:hAnsiTheme="majorHAnsi"/>
          <w:sz w:val="22"/>
          <w:szCs w:val="22"/>
        </w:rPr>
        <w:fldChar w:fldCharType="end"/>
      </w:r>
      <w:r w:rsidR="00E92963" w:rsidRPr="0057415D">
        <w:rPr>
          <w:rFonts w:asciiTheme="majorHAnsi" w:hAnsiTheme="majorHAnsi"/>
          <w:sz w:val="22"/>
          <w:szCs w:val="22"/>
        </w:rPr>
        <w:t xml:space="preserve">. Conversely, Cheshire contains some of the least deprived areas of </w:t>
      </w:r>
      <w:r w:rsidR="00556A89" w:rsidRPr="0057415D">
        <w:rPr>
          <w:rFonts w:asciiTheme="majorHAnsi" w:hAnsiTheme="majorHAnsi"/>
          <w:sz w:val="22"/>
          <w:szCs w:val="22"/>
        </w:rPr>
        <w:t>England</w:t>
      </w:r>
      <w:r w:rsidR="00FF7451" w:rsidRPr="0057415D">
        <w:rPr>
          <w:rFonts w:asciiTheme="majorHAnsi" w:hAnsiTheme="majorHAnsi"/>
          <w:sz w:val="22"/>
          <w:szCs w:val="22"/>
        </w:rPr>
        <w:fldChar w:fldCharType="begin"/>
      </w:r>
      <w:r w:rsidR="00FF7451" w:rsidRPr="0057415D">
        <w:rPr>
          <w:rFonts w:asciiTheme="majorHAnsi" w:hAnsiTheme="majorHAnsi"/>
          <w:sz w:val="22"/>
          <w:szCs w:val="22"/>
        </w:rPr>
        <w:instrText>ADDIN RW.CITE{{884 Department for Communities and Local Government 30 September 2015}}</w:instrText>
      </w:r>
      <w:r w:rsidR="00FF7451" w:rsidRPr="0057415D">
        <w:rPr>
          <w:rFonts w:asciiTheme="majorHAnsi" w:hAnsiTheme="majorHAnsi"/>
          <w:sz w:val="22"/>
          <w:szCs w:val="22"/>
        </w:rPr>
        <w:fldChar w:fldCharType="separate"/>
      </w:r>
      <w:r w:rsidR="004776C0" w:rsidRPr="0057415D">
        <w:rPr>
          <w:rFonts w:asciiTheme="majorHAnsi" w:eastAsia="Times New Roman" w:hAnsiTheme="majorHAnsi" w:cs="Times New Roman"/>
          <w:sz w:val="22"/>
        </w:rPr>
        <w:t>(25)</w:t>
      </w:r>
      <w:r w:rsidR="00FF7451" w:rsidRPr="0057415D">
        <w:rPr>
          <w:rFonts w:asciiTheme="majorHAnsi" w:hAnsiTheme="majorHAnsi"/>
          <w:sz w:val="22"/>
          <w:szCs w:val="22"/>
        </w:rPr>
        <w:fldChar w:fldCharType="end"/>
      </w:r>
      <w:r w:rsidR="00556A89" w:rsidRPr="0057415D">
        <w:rPr>
          <w:rFonts w:asciiTheme="majorHAnsi" w:hAnsiTheme="majorHAnsi"/>
          <w:sz w:val="22"/>
          <w:szCs w:val="22"/>
        </w:rPr>
        <w:t xml:space="preserve">. In Blackburn </w:t>
      </w:r>
      <w:r w:rsidR="00147C3A" w:rsidRPr="0057415D">
        <w:rPr>
          <w:rFonts w:asciiTheme="majorHAnsi" w:hAnsiTheme="majorHAnsi"/>
          <w:sz w:val="22"/>
          <w:szCs w:val="22"/>
        </w:rPr>
        <w:t xml:space="preserve">with </w:t>
      </w:r>
      <w:proofErr w:type="spellStart"/>
      <w:r w:rsidR="00147C3A" w:rsidRPr="0057415D">
        <w:rPr>
          <w:rFonts w:asciiTheme="majorHAnsi" w:hAnsiTheme="majorHAnsi"/>
          <w:sz w:val="22"/>
          <w:szCs w:val="22"/>
        </w:rPr>
        <w:t>Darwen</w:t>
      </w:r>
      <w:proofErr w:type="spellEnd"/>
      <w:r w:rsidR="00147C3A" w:rsidRPr="0057415D">
        <w:rPr>
          <w:rFonts w:asciiTheme="majorHAnsi" w:hAnsiTheme="majorHAnsi"/>
          <w:sz w:val="22"/>
          <w:szCs w:val="22"/>
        </w:rPr>
        <w:t>,</w:t>
      </w:r>
      <w:r w:rsidR="00556A89" w:rsidRPr="0057415D">
        <w:rPr>
          <w:rFonts w:asciiTheme="majorHAnsi" w:hAnsiTheme="majorHAnsi"/>
          <w:sz w:val="22"/>
          <w:szCs w:val="22"/>
        </w:rPr>
        <w:t xml:space="preserve"> Lancashire mo</w:t>
      </w:r>
      <w:r w:rsidR="00E87834" w:rsidRPr="0057415D">
        <w:rPr>
          <w:rFonts w:asciiTheme="majorHAnsi" w:hAnsiTheme="majorHAnsi"/>
          <w:sz w:val="22"/>
          <w:szCs w:val="22"/>
        </w:rPr>
        <w:t>re than 30% of the population are</w:t>
      </w:r>
      <w:r w:rsidR="00556A89" w:rsidRPr="0057415D">
        <w:rPr>
          <w:rFonts w:asciiTheme="majorHAnsi" w:hAnsiTheme="majorHAnsi"/>
          <w:sz w:val="22"/>
          <w:szCs w:val="22"/>
        </w:rPr>
        <w:t xml:space="preserve"> </w:t>
      </w:r>
      <w:r w:rsidR="00CE6492" w:rsidRPr="0057415D">
        <w:rPr>
          <w:rFonts w:asciiTheme="majorHAnsi" w:hAnsiTheme="majorHAnsi"/>
          <w:sz w:val="22"/>
          <w:szCs w:val="22"/>
        </w:rPr>
        <w:t>from BME</w:t>
      </w:r>
      <w:r w:rsidR="00556A89" w:rsidRPr="0057415D">
        <w:rPr>
          <w:rFonts w:asciiTheme="majorHAnsi" w:hAnsiTheme="majorHAnsi"/>
          <w:sz w:val="22"/>
          <w:szCs w:val="22"/>
        </w:rPr>
        <w:t xml:space="preserve"> groups, compared to less than 2% in </w:t>
      </w:r>
      <w:proofErr w:type="spellStart"/>
      <w:r w:rsidR="00556A89" w:rsidRPr="0057415D">
        <w:rPr>
          <w:rFonts w:asciiTheme="majorHAnsi" w:hAnsiTheme="majorHAnsi"/>
          <w:sz w:val="22"/>
          <w:szCs w:val="22"/>
        </w:rPr>
        <w:t>Knowsley</w:t>
      </w:r>
      <w:proofErr w:type="spellEnd"/>
      <w:r w:rsidR="00556A89" w:rsidRPr="0057415D">
        <w:rPr>
          <w:rFonts w:asciiTheme="majorHAnsi" w:hAnsiTheme="majorHAnsi"/>
          <w:sz w:val="22"/>
          <w:szCs w:val="22"/>
        </w:rPr>
        <w:t>, Merseyside</w:t>
      </w:r>
      <w:r w:rsidR="0088576A" w:rsidRPr="0057415D">
        <w:rPr>
          <w:rFonts w:asciiTheme="majorHAnsi" w:hAnsiTheme="majorHAnsi"/>
          <w:sz w:val="22"/>
          <w:szCs w:val="22"/>
        </w:rPr>
        <w:fldChar w:fldCharType="begin"/>
      </w:r>
      <w:r w:rsidR="0088576A" w:rsidRPr="0057415D">
        <w:rPr>
          <w:rFonts w:asciiTheme="majorHAnsi" w:hAnsiTheme="majorHAnsi"/>
          <w:sz w:val="22"/>
          <w:szCs w:val="22"/>
        </w:rPr>
        <w:instrText>ADDIN RW.CITE{{885 Blackburn with Darwen Borough Council August 2013;886 Knowsley Council December 2012}}</w:instrText>
      </w:r>
      <w:r w:rsidR="0088576A" w:rsidRPr="0057415D">
        <w:rPr>
          <w:rFonts w:asciiTheme="majorHAnsi" w:hAnsiTheme="majorHAnsi"/>
          <w:sz w:val="22"/>
          <w:szCs w:val="22"/>
        </w:rPr>
        <w:fldChar w:fldCharType="separate"/>
      </w:r>
      <w:r w:rsidR="004776C0" w:rsidRPr="0057415D">
        <w:rPr>
          <w:rFonts w:asciiTheme="majorHAnsi" w:eastAsia="Times New Roman" w:hAnsiTheme="majorHAnsi" w:cs="Times New Roman"/>
          <w:sz w:val="22"/>
        </w:rPr>
        <w:t>(26,27)</w:t>
      </w:r>
      <w:r w:rsidR="0088576A" w:rsidRPr="0057415D">
        <w:rPr>
          <w:rFonts w:asciiTheme="majorHAnsi" w:hAnsiTheme="majorHAnsi"/>
          <w:sz w:val="22"/>
          <w:szCs w:val="22"/>
        </w:rPr>
        <w:fldChar w:fldCharType="end"/>
      </w:r>
      <w:r w:rsidR="00556A89" w:rsidRPr="0057415D">
        <w:rPr>
          <w:rFonts w:asciiTheme="majorHAnsi" w:hAnsiTheme="majorHAnsi"/>
          <w:sz w:val="22"/>
          <w:szCs w:val="22"/>
        </w:rPr>
        <w:t>.</w:t>
      </w:r>
      <w:r w:rsidR="001A602C" w:rsidRPr="0057415D">
        <w:rPr>
          <w:rFonts w:asciiTheme="majorHAnsi" w:hAnsiTheme="majorHAnsi"/>
          <w:sz w:val="22"/>
          <w:szCs w:val="22"/>
        </w:rPr>
        <w:t xml:space="preserve"> Asian or Asian British people are the largest</w:t>
      </w:r>
      <w:r w:rsidR="00E87834" w:rsidRPr="0057415D">
        <w:rPr>
          <w:rFonts w:asciiTheme="majorHAnsi" w:hAnsiTheme="majorHAnsi"/>
          <w:sz w:val="22"/>
          <w:szCs w:val="22"/>
        </w:rPr>
        <w:t xml:space="preserve"> BME</w:t>
      </w:r>
      <w:r w:rsidR="001A602C" w:rsidRPr="0057415D">
        <w:rPr>
          <w:rFonts w:asciiTheme="majorHAnsi" w:hAnsiTheme="majorHAnsi"/>
          <w:sz w:val="22"/>
          <w:szCs w:val="22"/>
        </w:rPr>
        <w:t xml:space="preserve"> group in the region</w:t>
      </w:r>
      <w:r w:rsidR="001A602C" w:rsidRPr="0057415D">
        <w:rPr>
          <w:rFonts w:asciiTheme="majorHAnsi" w:hAnsiTheme="majorHAnsi"/>
          <w:sz w:val="22"/>
          <w:szCs w:val="22"/>
        </w:rPr>
        <w:fldChar w:fldCharType="begin"/>
      </w:r>
      <w:r w:rsidR="001A602C" w:rsidRPr="0057415D">
        <w:rPr>
          <w:rFonts w:asciiTheme="majorHAnsi" w:hAnsiTheme="majorHAnsi"/>
          <w:sz w:val="22"/>
          <w:szCs w:val="22"/>
        </w:rPr>
        <w:instrText>ADDIN RW.CITE{{883 Office for National Statistics 2011}}</w:instrText>
      </w:r>
      <w:r w:rsidR="001A602C" w:rsidRPr="0057415D">
        <w:rPr>
          <w:rFonts w:asciiTheme="majorHAnsi" w:hAnsiTheme="majorHAnsi"/>
          <w:sz w:val="22"/>
          <w:szCs w:val="22"/>
        </w:rPr>
        <w:fldChar w:fldCharType="separate"/>
      </w:r>
      <w:r w:rsidR="004776C0" w:rsidRPr="0057415D">
        <w:rPr>
          <w:rFonts w:asciiTheme="majorHAnsi" w:eastAsia="Times New Roman" w:hAnsiTheme="majorHAnsi" w:cs="Times New Roman"/>
          <w:sz w:val="22"/>
        </w:rPr>
        <w:t>(28)</w:t>
      </w:r>
      <w:r w:rsidR="001A602C" w:rsidRPr="0057415D">
        <w:rPr>
          <w:rFonts w:asciiTheme="majorHAnsi" w:hAnsiTheme="majorHAnsi"/>
          <w:sz w:val="22"/>
          <w:szCs w:val="22"/>
        </w:rPr>
        <w:fldChar w:fldCharType="end"/>
      </w:r>
      <w:r w:rsidR="001A602C" w:rsidRPr="0057415D">
        <w:rPr>
          <w:rFonts w:asciiTheme="majorHAnsi" w:hAnsiTheme="majorHAnsi"/>
          <w:sz w:val="22"/>
          <w:szCs w:val="22"/>
        </w:rPr>
        <w:t>.</w:t>
      </w:r>
      <w:r w:rsidR="00556A89" w:rsidRPr="0057415D">
        <w:rPr>
          <w:rFonts w:asciiTheme="majorHAnsi" w:hAnsiTheme="majorHAnsi"/>
          <w:sz w:val="22"/>
          <w:szCs w:val="22"/>
        </w:rPr>
        <w:t xml:space="preserve"> </w:t>
      </w:r>
      <w:r w:rsidR="008150A2" w:rsidRPr="0057415D">
        <w:rPr>
          <w:rFonts w:asciiTheme="majorHAnsi" w:hAnsiTheme="majorHAnsi"/>
          <w:sz w:val="22"/>
          <w:szCs w:val="22"/>
        </w:rPr>
        <w:t>The</w:t>
      </w:r>
      <w:r w:rsidRPr="0057415D">
        <w:rPr>
          <w:rFonts w:asciiTheme="majorHAnsi" w:hAnsiTheme="majorHAnsi"/>
          <w:sz w:val="22"/>
          <w:szCs w:val="22"/>
        </w:rPr>
        <w:t xml:space="preserve"> area contains </w:t>
      </w:r>
      <w:r w:rsidR="008150A2" w:rsidRPr="0057415D">
        <w:rPr>
          <w:rFonts w:asciiTheme="majorHAnsi" w:hAnsiTheme="majorHAnsi"/>
          <w:sz w:val="22"/>
          <w:szCs w:val="22"/>
        </w:rPr>
        <w:t xml:space="preserve">several universities </w:t>
      </w:r>
      <w:r w:rsidR="004B3360" w:rsidRPr="0057415D">
        <w:rPr>
          <w:rFonts w:asciiTheme="majorHAnsi" w:hAnsiTheme="majorHAnsi"/>
          <w:sz w:val="22"/>
          <w:szCs w:val="22"/>
        </w:rPr>
        <w:t>located within the urban centres o</w:t>
      </w:r>
      <w:r w:rsidR="00F55BD3" w:rsidRPr="0057415D">
        <w:rPr>
          <w:rFonts w:asciiTheme="majorHAnsi" w:hAnsiTheme="majorHAnsi"/>
          <w:sz w:val="22"/>
          <w:szCs w:val="22"/>
        </w:rPr>
        <w:t>f L</w:t>
      </w:r>
      <w:r w:rsidRPr="0057415D">
        <w:rPr>
          <w:rFonts w:asciiTheme="majorHAnsi" w:hAnsiTheme="majorHAnsi"/>
          <w:sz w:val="22"/>
          <w:szCs w:val="22"/>
        </w:rPr>
        <w:t>iverpool, Preston, Lancaster and Chester and the town of Ormskirk</w:t>
      </w:r>
      <w:r w:rsidR="004B3360" w:rsidRPr="0057415D">
        <w:rPr>
          <w:rFonts w:asciiTheme="majorHAnsi" w:hAnsiTheme="majorHAnsi"/>
          <w:sz w:val="22"/>
          <w:szCs w:val="22"/>
        </w:rPr>
        <w:t xml:space="preserve">. </w:t>
      </w:r>
      <w:r w:rsidR="00EB4052" w:rsidRPr="0057415D">
        <w:rPr>
          <w:rFonts w:asciiTheme="majorHAnsi" w:hAnsiTheme="majorHAnsi"/>
          <w:sz w:val="22"/>
          <w:szCs w:val="22"/>
        </w:rPr>
        <w:t>The co</w:t>
      </w:r>
      <w:r w:rsidR="001A602C" w:rsidRPr="0057415D">
        <w:rPr>
          <w:rFonts w:asciiTheme="majorHAnsi" w:hAnsiTheme="majorHAnsi"/>
          <w:sz w:val="22"/>
          <w:szCs w:val="22"/>
        </w:rPr>
        <w:t>mbined population of the region</w:t>
      </w:r>
      <w:r w:rsidR="00EB4052" w:rsidRPr="0057415D">
        <w:rPr>
          <w:rFonts w:asciiTheme="majorHAnsi" w:hAnsiTheme="majorHAnsi"/>
          <w:sz w:val="22"/>
          <w:szCs w:val="22"/>
        </w:rPr>
        <w:t xml:space="preserve"> is approximately </w:t>
      </w:r>
      <w:r w:rsidR="0038527E" w:rsidRPr="0057415D">
        <w:rPr>
          <w:rFonts w:asciiTheme="majorHAnsi" w:hAnsiTheme="majorHAnsi"/>
          <w:sz w:val="22"/>
          <w:szCs w:val="22"/>
        </w:rPr>
        <w:t>3.9</w:t>
      </w:r>
      <w:r w:rsidR="008A740D" w:rsidRPr="0057415D">
        <w:rPr>
          <w:rFonts w:asciiTheme="majorHAnsi" w:hAnsiTheme="majorHAnsi"/>
          <w:sz w:val="22"/>
          <w:szCs w:val="22"/>
        </w:rPr>
        <w:t xml:space="preserve"> million people</w:t>
      </w:r>
      <w:r w:rsidR="007275BF">
        <w:rPr>
          <w:rFonts w:asciiTheme="majorHAnsi" w:hAnsiTheme="majorHAnsi"/>
          <w:sz w:val="22"/>
          <w:szCs w:val="22"/>
        </w:rPr>
        <w:t>, accounting for around</w:t>
      </w:r>
      <w:r w:rsidR="00BC2ACD" w:rsidRPr="0057415D">
        <w:rPr>
          <w:rFonts w:asciiTheme="majorHAnsi" w:hAnsiTheme="majorHAnsi"/>
          <w:sz w:val="22"/>
          <w:szCs w:val="22"/>
        </w:rPr>
        <w:t xml:space="preserve"> seven per-cent of the population of England</w:t>
      </w:r>
      <w:r w:rsidR="008A740D" w:rsidRPr="0057415D">
        <w:rPr>
          <w:rFonts w:asciiTheme="majorHAnsi" w:hAnsiTheme="majorHAnsi"/>
          <w:sz w:val="22"/>
          <w:szCs w:val="22"/>
        </w:rPr>
        <w:fldChar w:fldCharType="begin"/>
      </w:r>
      <w:r w:rsidR="008A740D" w:rsidRPr="0057415D">
        <w:rPr>
          <w:rFonts w:asciiTheme="majorHAnsi" w:hAnsiTheme="majorHAnsi"/>
          <w:sz w:val="22"/>
          <w:szCs w:val="22"/>
        </w:rPr>
        <w:instrText>ADDIN RW.CITE{{859 Office for National Statistics 22 June 2017}}</w:instrText>
      </w:r>
      <w:r w:rsidR="008A740D" w:rsidRPr="0057415D">
        <w:rPr>
          <w:rFonts w:asciiTheme="majorHAnsi" w:hAnsiTheme="majorHAnsi"/>
          <w:sz w:val="22"/>
          <w:szCs w:val="22"/>
        </w:rPr>
        <w:fldChar w:fldCharType="separate"/>
      </w:r>
      <w:r w:rsidR="004776C0" w:rsidRPr="0057415D">
        <w:rPr>
          <w:rFonts w:asciiTheme="majorHAnsi" w:eastAsia="Times New Roman" w:hAnsiTheme="majorHAnsi" w:cs="Times New Roman"/>
          <w:sz w:val="22"/>
        </w:rPr>
        <w:t>(29)</w:t>
      </w:r>
      <w:r w:rsidR="008A740D" w:rsidRPr="0057415D">
        <w:rPr>
          <w:rFonts w:asciiTheme="majorHAnsi" w:hAnsiTheme="majorHAnsi"/>
          <w:sz w:val="22"/>
          <w:szCs w:val="22"/>
        </w:rPr>
        <w:fldChar w:fldCharType="end"/>
      </w:r>
      <w:r w:rsidR="008A740D" w:rsidRPr="0057415D">
        <w:rPr>
          <w:rFonts w:asciiTheme="majorHAnsi" w:hAnsiTheme="majorHAnsi"/>
          <w:sz w:val="22"/>
          <w:szCs w:val="22"/>
        </w:rPr>
        <w:t>.</w:t>
      </w:r>
    </w:p>
    <w:p w14:paraId="615722AA" w14:textId="2F57CE1E" w:rsidR="005A30F1" w:rsidRPr="0057415D" w:rsidRDefault="005A30F1" w:rsidP="00F85C87">
      <w:pPr>
        <w:spacing w:line="480" w:lineRule="auto"/>
        <w:rPr>
          <w:rFonts w:asciiTheme="majorHAnsi" w:hAnsiTheme="majorHAnsi"/>
          <w:sz w:val="22"/>
          <w:szCs w:val="22"/>
        </w:rPr>
      </w:pPr>
    </w:p>
    <w:p w14:paraId="2DA9B5A8" w14:textId="35D620A1" w:rsidR="00451D96" w:rsidRPr="0057415D" w:rsidRDefault="00451D96" w:rsidP="00F85C87">
      <w:pPr>
        <w:spacing w:line="480" w:lineRule="auto"/>
        <w:rPr>
          <w:rFonts w:asciiTheme="majorHAnsi" w:hAnsiTheme="majorHAnsi"/>
          <w:i/>
          <w:sz w:val="22"/>
          <w:szCs w:val="22"/>
        </w:rPr>
      </w:pPr>
      <w:r w:rsidRPr="0057415D">
        <w:rPr>
          <w:rFonts w:asciiTheme="majorHAnsi" w:hAnsiTheme="majorHAnsi"/>
          <w:i/>
          <w:sz w:val="22"/>
          <w:szCs w:val="22"/>
        </w:rPr>
        <w:t>MenACWY uptake data</w:t>
      </w:r>
    </w:p>
    <w:p w14:paraId="2734F635" w14:textId="36381173" w:rsidR="00451D96" w:rsidRPr="0057415D" w:rsidRDefault="00451D96" w:rsidP="00F85C87">
      <w:pPr>
        <w:spacing w:line="480" w:lineRule="auto"/>
        <w:rPr>
          <w:rFonts w:asciiTheme="majorHAnsi" w:hAnsiTheme="majorHAnsi"/>
          <w:sz w:val="22"/>
          <w:szCs w:val="22"/>
        </w:rPr>
      </w:pPr>
      <w:r w:rsidRPr="0057415D">
        <w:rPr>
          <w:rFonts w:asciiTheme="majorHAnsi" w:hAnsiTheme="majorHAnsi"/>
          <w:sz w:val="22"/>
          <w:szCs w:val="22"/>
        </w:rPr>
        <w:t>MenACWY uptake</w:t>
      </w:r>
      <w:r w:rsidR="009E48C6" w:rsidRPr="0057415D">
        <w:rPr>
          <w:rFonts w:asciiTheme="majorHAnsi" w:hAnsiTheme="majorHAnsi"/>
          <w:sz w:val="22"/>
          <w:szCs w:val="22"/>
        </w:rPr>
        <w:t xml:space="preserve"> data</w:t>
      </w:r>
      <w:r w:rsidR="00FB4AAB" w:rsidRPr="0057415D">
        <w:rPr>
          <w:rFonts w:asciiTheme="majorHAnsi" w:hAnsiTheme="majorHAnsi"/>
          <w:sz w:val="22"/>
          <w:szCs w:val="22"/>
        </w:rPr>
        <w:t xml:space="preserve"> for the</w:t>
      </w:r>
      <w:r w:rsidRPr="0057415D">
        <w:rPr>
          <w:rFonts w:asciiTheme="majorHAnsi" w:hAnsiTheme="majorHAnsi"/>
          <w:sz w:val="22"/>
          <w:szCs w:val="22"/>
        </w:rPr>
        <w:t xml:space="preserve"> 2015/16 year was obtained via </w:t>
      </w:r>
      <w:proofErr w:type="spellStart"/>
      <w:r w:rsidRPr="0057415D">
        <w:rPr>
          <w:rFonts w:asciiTheme="majorHAnsi" w:hAnsiTheme="majorHAnsi"/>
          <w:sz w:val="22"/>
          <w:szCs w:val="22"/>
        </w:rPr>
        <w:t>ImmForm</w:t>
      </w:r>
      <w:proofErr w:type="spellEnd"/>
      <w:r w:rsidRPr="0057415D">
        <w:rPr>
          <w:rFonts w:asciiTheme="majorHAnsi" w:hAnsiTheme="majorHAnsi"/>
          <w:sz w:val="22"/>
          <w:szCs w:val="22"/>
        </w:rPr>
        <w:t>. This is the data collection tool used by the D</w:t>
      </w:r>
      <w:r w:rsidR="009E48C6" w:rsidRPr="0057415D">
        <w:rPr>
          <w:rFonts w:asciiTheme="majorHAnsi" w:hAnsiTheme="majorHAnsi"/>
          <w:sz w:val="22"/>
          <w:szCs w:val="22"/>
        </w:rPr>
        <w:t>H</w:t>
      </w:r>
      <w:r w:rsidRPr="0057415D">
        <w:rPr>
          <w:rFonts w:asciiTheme="majorHAnsi" w:hAnsiTheme="majorHAnsi"/>
          <w:sz w:val="22"/>
          <w:szCs w:val="22"/>
        </w:rPr>
        <w:t xml:space="preserve"> and </w:t>
      </w:r>
      <w:r w:rsidR="00E727E5" w:rsidRPr="0057415D">
        <w:rPr>
          <w:rFonts w:asciiTheme="majorHAnsi" w:hAnsiTheme="majorHAnsi"/>
          <w:sz w:val="22"/>
          <w:szCs w:val="22"/>
        </w:rPr>
        <w:t>Public Health England (</w:t>
      </w:r>
      <w:r w:rsidRPr="0057415D">
        <w:rPr>
          <w:rFonts w:asciiTheme="majorHAnsi" w:hAnsiTheme="majorHAnsi"/>
          <w:sz w:val="22"/>
          <w:szCs w:val="22"/>
        </w:rPr>
        <w:t>PHE</w:t>
      </w:r>
      <w:r w:rsidR="00E727E5" w:rsidRPr="0057415D">
        <w:rPr>
          <w:rFonts w:asciiTheme="majorHAnsi" w:hAnsiTheme="majorHAnsi"/>
          <w:sz w:val="22"/>
          <w:szCs w:val="22"/>
        </w:rPr>
        <w:t>)</w:t>
      </w:r>
      <w:r w:rsidR="007351A4" w:rsidRPr="0057415D">
        <w:rPr>
          <w:rFonts w:asciiTheme="majorHAnsi" w:hAnsiTheme="majorHAnsi"/>
          <w:sz w:val="22"/>
          <w:szCs w:val="22"/>
        </w:rPr>
        <w:t xml:space="preserve"> to record data from general</w:t>
      </w:r>
      <w:r w:rsidRPr="0057415D">
        <w:rPr>
          <w:rFonts w:asciiTheme="majorHAnsi" w:hAnsiTheme="majorHAnsi"/>
          <w:sz w:val="22"/>
          <w:szCs w:val="22"/>
        </w:rPr>
        <w:t xml:space="preserve"> practices on vaccine uptake</w:t>
      </w:r>
      <w:r w:rsidR="0088576A" w:rsidRPr="0057415D">
        <w:rPr>
          <w:rFonts w:asciiTheme="majorHAnsi" w:hAnsiTheme="majorHAnsi"/>
          <w:sz w:val="22"/>
          <w:szCs w:val="22"/>
        </w:rPr>
        <w:t>, as well as</w:t>
      </w:r>
      <w:r w:rsidRPr="0057415D">
        <w:rPr>
          <w:rFonts w:asciiTheme="majorHAnsi" w:hAnsiTheme="majorHAnsi"/>
          <w:sz w:val="22"/>
          <w:szCs w:val="22"/>
        </w:rPr>
        <w:t xml:space="preserve"> </w:t>
      </w:r>
      <w:r w:rsidR="0088576A" w:rsidRPr="0057415D">
        <w:rPr>
          <w:rFonts w:asciiTheme="majorHAnsi" w:hAnsiTheme="majorHAnsi"/>
          <w:sz w:val="22"/>
          <w:szCs w:val="22"/>
        </w:rPr>
        <w:t>providing</w:t>
      </w:r>
      <w:r w:rsidRPr="0057415D">
        <w:rPr>
          <w:rFonts w:asciiTheme="majorHAnsi" w:hAnsiTheme="majorHAnsi"/>
          <w:sz w:val="22"/>
          <w:szCs w:val="22"/>
        </w:rPr>
        <w:t xml:space="preserve"> </w:t>
      </w:r>
      <w:r w:rsidR="00E87834" w:rsidRPr="0057415D">
        <w:rPr>
          <w:rFonts w:asciiTheme="majorHAnsi" w:hAnsiTheme="majorHAnsi"/>
          <w:sz w:val="22"/>
          <w:szCs w:val="22"/>
        </w:rPr>
        <w:t>vaccine-ordering</w:t>
      </w:r>
      <w:r w:rsidRPr="0057415D">
        <w:rPr>
          <w:rFonts w:asciiTheme="majorHAnsi" w:hAnsiTheme="majorHAnsi"/>
          <w:sz w:val="22"/>
          <w:szCs w:val="22"/>
        </w:rPr>
        <w:t xml:space="preserve"> facilities</w:t>
      </w:r>
      <w:r w:rsidR="005E7CB0" w:rsidRPr="0057415D">
        <w:rPr>
          <w:rFonts w:asciiTheme="majorHAnsi" w:hAnsiTheme="majorHAnsi"/>
          <w:sz w:val="22"/>
          <w:szCs w:val="22"/>
        </w:rPr>
        <w:fldChar w:fldCharType="begin"/>
      </w:r>
      <w:r w:rsidR="005E7CB0" w:rsidRPr="0057415D">
        <w:rPr>
          <w:rFonts w:asciiTheme="majorHAnsi" w:hAnsiTheme="majorHAnsi"/>
          <w:sz w:val="22"/>
          <w:szCs w:val="22"/>
        </w:rPr>
        <w:instrText>ADDIN RW.CITE{{860 Public Health England 6 November 2013}}</w:instrText>
      </w:r>
      <w:r w:rsidR="005E7CB0" w:rsidRPr="0057415D">
        <w:rPr>
          <w:rFonts w:asciiTheme="majorHAnsi" w:hAnsiTheme="majorHAnsi"/>
          <w:sz w:val="22"/>
          <w:szCs w:val="22"/>
        </w:rPr>
        <w:fldChar w:fldCharType="separate"/>
      </w:r>
      <w:r w:rsidR="004776C0" w:rsidRPr="0057415D">
        <w:rPr>
          <w:rFonts w:asciiTheme="majorHAnsi" w:eastAsia="Times New Roman" w:hAnsiTheme="majorHAnsi" w:cs="Times New Roman"/>
          <w:sz w:val="22"/>
        </w:rPr>
        <w:t>(30)</w:t>
      </w:r>
      <w:r w:rsidR="005E7CB0" w:rsidRPr="0057415D">
        <w:rPr>
          <w:rFonts w:asciiTheme="majorHAnsi" w:hAnsiTheme="majorHAnsi"/>
          <w:sz w:val="22"/>
          <w:szCs w:val="22"/>
        </w:rPr>
        <w:fldChar w:fldCharType="end"/>
      </w:r>
      <w:r w:rsidR="0088576A" w:rsidRPr="0057415D">
        <w:rPr>
          <w:rFonts w:asciiTheme="majorHAnsi" w:hAnsiTheme="majorHAnsi"/>
          <w:sz w:val="22"/>
          <w:szCs w:val="22"/>
        </w:rPr>
        <w:t xml:space="preserve">. For the 20 </w:t>
      </w:r>
      <w:r w:rsidR="001001B1" w:rsidRPr="0057415D">
        <w:rPr>
          <w:rFonts w:asciiTheme="majorHAnsi" w:hAnsiTheme="majorHAnsi"/>
          <w:sz w:val="22"/>
          <w:szCs w:val="22"/>
        </w:rPr>
        <w:t xml:space="preserve">NHS </w:t>
      </w:r>
      <w:r w:rsidR="0088576A" w:rsidRPr="0057415D">
        <w:rPr>
          <w:rFonts w:asciiTheme="majorHAnsi" w:hAnsiTheme="majorHAnsi"/>
          <w:sz w:val="22"/>
          <w:szCs w:val="22"/>
        </w:rPr>
        <w:t>CCGs, d</w:t>
      </w:r>
      <w:r w:rsidR="005E7CB0" w:rsidRPr="0057415D">
        <w:rPr>
          <w:rFonts w:asciiTheme="majorHAnsi" w:hAnsiTheme="majorHAnsi"/>
          <w:sz w:val="22"/>
          <w:szCs w:val="22"/>
        </w:rPr>
        <w:t>ata was extracted</w:t>
      </w:r>
      <w:r w:rsidR="007351A4" w:rsidRPr="0057415D">
        <w:rPr>
          <w:rFonts w:asciiTheme="majorHAnsi" w:hAnsiTheme="majorHAnsi"/>
          <w:sz w:val="22"/>
          <w:szCs w:val="22"/>
        </w:rPr>
        <w:t xml:space="preserve"> for each </w:t>
      </w:r>
      <w:r w:rsidR="0088576A" w:rsidRPr="0057415D">
        <w:rPr>
          <w:rFonts w:asciiTheme="majorHAnsi" w:hAnsiTheme="majorHAnsi"/>
          <w:sz w:val="22"/>
          <w:szCs w:val="22"/>
        </w:rPr>
        <w:t xml:space="preserve">practice on the </w:t>
      </w:r>
      <w:r w:rsidR="005E7CB0" w:rsidRPr="0057415D">
        <w:rPr>
          <w:rFonts w:asciiTheme="majorHAnsi" w:hAnsiTheme="majorHAnsi"/>
          <w:sz w:val="22"/>
          <w:szCs w:val="22"/>
        </w:rPr>
        <w:t>number of patients vaccinated</w:t>
      </w:r>
      <w:r w:rsidR="0088576A" w:rsidRPr="0057415D">
        <w:rPr>
          <w:rFonts w:asciiTheme="majorHAnsi" w:hAnsiTheme="majorHAnsi"/>
          <w:sz w:val="22"/>
          <w:szCs w:val="22"/>
        </w:rPr>
        <w:t xml:space="preserve"> and the number of patients eligible for vaccination</w:t>
      </w:r>
      <w:r w:rsidR="005E7CB0" w:rsidRPr="0057415D">
        <w:rPr>
          <w:rFonts w:asciiTheme="majorHAnsi" w:hAnsiTheme="majorHAnsi"/>
          <w:sz w:val="22"/>
          <w:szCs w:val="22"/>
        </w:rPr>
        <w:t xml:space="preserve"> in the</w:t>
      </w:r>
      <w:r w:rsidR="00E87834" w:rsidRPr="0057415D">
        <w:rPr>
          <w:rFonts w:asciiTheme="majorHAnsi" w:hAnsiTheme="majorHAnsi"/>
          <w:sz w:val="22"/>
          <w:szCs w:val="22"/>
        </w:rPr>
        <w:t xml:space="preserve"> 2015/16</w:t>
      </w:r>
      <w:r w:rsidR="005E7CB0" w:rsidRPr="0057415D">
        <w:rPr>
          <w:rFonts w:asciiTheme="majorHAnsi" w:hAnsiTheme="majorHAnsi"/>
          <w:sz w:val="22"/>
          <w:szCs w:val="22"/>
        </w:rPr>
        <w:t xml:space="preserve"> catch-up </w:t>
      </w:r>
      <w:proofErr w:type="gramStart"/>
      <w:r w:rsidR="005E7CB0" w:rsidRPr="0057415D">
        <w:rPr>
          <w:rFonts w:asciiTheme="majorHAnsi" w:hAnsiTheme="majorHAnsi"/>
          <w:sz w:val="22"/>
          <w:szCs w:val="22"/>
        </w:rPr>
        <w:t>cohort</w:t>
      </w:r>
      <w:proofErr w:type="gramEnd"/>
      <w:r w:rsidR="0057415D">
        <w:rPr>
          <w:rFonts w:asciiTheme="majorHAnsi" w:hAnsiTheme="majorHAnsi"/>
          <w:sz w:val="22"/>
          <w:szCs w:val="22"/>
        </w:rPr>
        <w:t>, which included</w:t>
      </w:r>
      <w:r w:rsidR="00FB4AAB" w:rsidRPr="0057415D">
        <w:rPr>
          <w:rFonts w:asciiTheme="majorHAnsi" w:hAnsiTheme="majorHAnsi"/>
          <w:sz w:val="22"/>
          <w:szCs w:val="22"/>
        </w:rPr>
        <w:t xml:space="preserve"> 17-18</w:t>
      </w:r>
      <w:r w:rsidR="007275BF">
        <w:rPr>
          <w:rFonts w:asciiTheme="majorHAnsi" w:hAnsiTheme="majorHAnsi"/>
          <w:sz w:val="22"/>
          <w:szCs w:val="22"/>
        </w:rPr>
        <w:t xml:space="preserve"> </w:t>
      </w:r>
      <w:r w:rsidR="00FB4AAB" w:rsidRPr="0057415D">
        <w:rPr>
          <w:rFonts w:asciiTheme="majorHAnsi" w:hAnsiTheme="majorHAnsi"/>
          <w:sz w:val="22"/>
          <w:szCs w:val="22"/>
        </w:rPr>
        <w:t>year-olds and first-time undergraduate students</w:t>
      </w:r>
      <w:r w:rsidR="005E7CB0" w:rsidRPr="0057415D">
        <w:rPr>
          <w:rFonts w:asciiTheme="majorHAnsi" w:hAnsiTheme="majorHAnsi"/>
          <w:sz w:val="22"/>
          <w:szCs w:val="22"/>
        </w:rPr>
        <w:t>.</w:t>
      </w:r>
    </w:p>
    <w:p w14:paraId="5E612FA7" w14:textId="77777777" w:rsidR="005E7CB0" w:rsidRPr="0057415D" w:rsidRDefault="005E7CB0" w:rsidP="00F85C87">
      <w:pPr>
        <w:spacing w:line="480" w:lineRule="auto"/>
        <w:rPr>
          <w:rFonts w:asciiTheme="majorHAnsi" w:hAnsiTheme="majorHAnsi"/>
          <w:sz w:val="22"/>
          <w:szCs w:val="22"/>
        </w:rPr>
      </w:pPr>
    </w:p>
    <w:p w14:paraId="06E09D54" w14:textId="0F82C2B6" w:rsidR="005E7CB0" w:rsidRPr="0057415D" w:rsidRDefault="005E7CB0" w:rsidP="00F85C87">
      <w:pPr>
        <w:spacing w:line="480" w:lineRule="auto"/>
        <w:rPr>
          <w:rFonts w:asciiTheme="majorHAnsi" w:hAnsiTheme="majorHAnsi"/>
          <w:i/>
          <w:sz w:val="22"/>
          <w:szCs w:val="22"/>
        </w:rPr>
      </w:pPr>
      <w:r w:rsidRPr="0057415D">
        <w:rPr>
          <w:rFonts w:asciiTheme="majorHAnsi" w:hAnsiTheme="majorHAnsi"/>
          <w:i/>
          <w:sz w:val="22"/>
          <w:szCs w:val="22"/>
        </w:rPr>
        <w:t>Practice characteristic data</w:t>
      </w:r>
    </w:p>
    <w:p w14:paraId="5014A8E4" w14:textId="33196A72" w:rsidR="00A91ACF" w:rsidRPr="0057415D" w:rsidRDefault="003A3DA1" w:rsidP="00F85C87">
      <w:pPr>
        <w:spacing w:line="480" w:lineRule="auto"/>
        <w:rPr>
          <w:rFonts w:asciiTheme="majorHAnsi" w:hAnsiTheme="majorHAnsi"/>
          <w:sz w:val="22"/>
          <w:szCs w:val="22"/>
        </w:rPr>
      </w:pPr>
      <w:r w:rsidRPr="0057415D">
        <w:rPr>
          <w:rFonts w:asciiTheme="majorHAnsi" w:hAnsiTheme="majorHAnsi"/>
          <w:sz w:val="22"/>
          <w:szCs w:val="22"/>
        </w:rPr>
        <w:t>Data was gathered</w:t>
      </w:r>
      <w:r w:rsidR="005E7CB0" w:rsidRPr="0057415D">
        <w:rPr>
          <w:rFonts w:asciiTheme="majorHAnsi" w:hAnsiTheme="majorHAnsi"/>
          <w:sz w:val="22"/>
          <w:szCs w:val="22"/>
        </w:rPr>
        <w:t xml:space="preserve"> on </w:t>
      </w:r>
      <w:r w:rsidR="005901C4" w:rsidRPr="0057415D">
        <w:rPr>
          <w:rFonts w:asciiTheme="majorHAnsi" w:hAnsiTheme="majorHAnsi"/>
          <w:sz w:val="22"/>
          <w:szCs w:val="22"/>
        </w:rPr>
        <w:t>a var</w:t>
      </w:r>
      <w:r w:rsidR="0057415D">
        <w:rPr>
          <w:rFonts w:asciiTheme="majorHAnsi" w:hAnsiTheme="majorHAnsi"/>
          <w:sz w:val="22"/>
          <w:szCs w:val="22"/>
        </w:rPr>
        <w:t xml:space="preserve">iety of </w:t>
      </w:r>
      <w:r w:rsidR="005901C4" w:rsidRPr="0057415D">
        <w:rPr>
          <w:rFonts w:asciiTheme="majorHAnsi" w:hAnsiTheme="majorHAnsi"/>
          <w:sz w:val="22"/>
          <w:szCs w:val="22"/>
        </w:rPr>
        <w:t>practice characteri</w:t>
      </w:r>
      <w:r w:rsidR="00BC2ACD" w:rsidRPr="0057415D">
        <w:rPr>
          <w:rFonts w:asciiTheme="majorHAnsi" w:hAnsiTheme="majorHAnsi"/>
          <w:sz w:val="22"/>
          <w:szCs w:val="22"/>
        </w:rPr>
        <w:t>stics</w:t>
      </w:r>
      <w:r w:rsidR="00D84A33" w:rsidRPr="0057415D">
        <w:rPr>
          <w:rFonts w:asciiTheme="majorHAnsi" w:hAnsiTheme="majorHAnsi"/>
          <w:sz w:val="22"/>
          <w:szCs w:val="22"/>
        </w:rPr>
        <w:t xml:space="preserve"> from</w:t>
      </w:r>
      <w:r w:rsidR="0088576A" w:rsidRPr="0057415D">
        <w:rPr>
          <w:rFonts w:asciiTheme="majorHAnsi" w:hAnsiTheme="majorHAnsi"/>
          <w:sz w:val="22"/>
          <w:szCs w:val="22"/>
        </w:rPr>
        <w:t xml:space="preserve"> the </w:t>
      </w:r>
      <w:r w:rsidR="00A91ACF" w:rsidRPr="0057415D">
        <w:rPr>
          <w:rFonts w:asciiTheme="majorHAnsi" w:hAnsiTheme="majorHAnsi"/>
          <w:sz w:val="22"/>
          <w:szCs w:val="22"/>
        </w:rPr>
        <w:t>National General Practice</w:t>
      </w:r>
      <w:r w:rsidR="0088576A" w:rsidRPr="0057415D">
        <w:rPr>
          <w:rFonts w:asciiTheme="majorHAnsi" w:hAnsiTheme="majorHAnsi"/>
          <w:sz w:val="22"/>
          <w:szCs w:val="22"/>
        </w:rPr>
        <w:t xml:space="preserve"> Profiles, whi</w:t>
      </w:r>
      <w:r w:rsidR="00D84A33" w:rsidRPr="0057415D">
        <w:rPr>
          <w:rFonts w:asciiTheme="majorHAnsi" w:hAnsiTheme="majorHAnsi"/>
          <w:sz w:val="22"/>
          <w:szCs w:val="22"/>
        </w:rPr>
        <w:t>ch is</w:t>
      </w:r>
      <w:r w:rsidR="0088576A" w:rsidRPr="0057415D">
        <w:rPr>
          <w:rFonts w:asciiTheme="majorHAnsi" w:hAnsiTheme="majorHAnsi"/>
          <w:sz w:val="22"/>
          <w:szCs w:val="22"/>
        </w:rPr>
        <w:t xml:space="preserve"> a publicly available</w:t>
      </w:r>
      <w:r w:rsidR="00A91ACF" w:rsidRPr="0057415D">
        <w:rPr>
          <w:rFonts w:asciiTheme="majorHAnsi" w:hAnsiTheme="majorHAnsi"/>
          <w:sz w:val="22"/>
          <w:szCs w:val="22"/>
        </w:rPr>
        <w:t xml:space="preserve"> data resource compiled by PHE using the most recent </w:t>
      </w:r>
      <w:r w:rsidR="009E48C6" w:rsidRPr="0057415D">
        <w:rPr>
          <w:rFonts w:asciiTheme="majorHAnsi" w:hAnsiTheme="majorHAnsi"/>
          <w:sz w:val="22"/>
          <w:szCs w:val="22"/>
        </w:rPr>
        <w:t>data and encompassing several</w:t>
      </w:r>
      <w:r w:rsidR="00A91ACF" w:rsidRPr="0057415D">
        <w:rPr>
          <w:rFonts w:asciiTheme="majorHAnsi" w:hAnsiTheme="majorHAnsi"/>
          <w:sz w:val="22"/>
          <w:szCs w:val="22"/>
        </w:rPr>
        <w:t xml:space="preserve"> pr</w:t>
      </w:r>
      <w:r w:rsidR="009E48C6" w:rsidRPr="0057415D">
        <w:rPr>
          <w:rFonts w:asciiTheme="majorHAnsi" w:hAnsiTheme="majorHAnsi"/>
          <w:sz w:val="22"/>
          <w:szCs w:val="22"/>
        </w:rPr>
        <w:t>actice-level indicators, including</w:t>
      </w:r>
      <w:r w:rsidR="00A91ACF" w:rsidRPr="0057415D">
        <w:rPr>
          <w:rFonts w:asciiTheme="majorHAnsi" w:hAnsiTheme="majorHAnsi"/>
          <w:sz w:val="22"/>
          <w:szCs w:val="22"/>
        </w:rPr>
        <w:t xml:space="preserve"> demographics and patient satisfaction</w:t>
      </w:r>
      <w:r w:rsidR="00A91ACF" w:rsidRPr="0057415D">
        <w:rPr>
          <w:rFonts w:asciiTheme="majorHAnsi" w:hAnsiTheme="majorHAnsi"/>
          <w:sz w:val="22"/>
          <w:szCs w:val="22"/>
        </w:rPr>
        <w:fldChar w:fldCharType="begin"/>
      </w:r>
      <w:r w:rsidR="00A91ACF" w:rsidRPr="0057415D">
        <w:rPr>
          <w:rFonts w:asciiTheme="majorHAnsi" w:hAnsiTheme="majorHAnsi"/>
          <w:sz w:val="22"/>
          <w:szCs w:val="22"/>
        </w:rPr>
        <w:instrText>ADDIN RW.CITE{{861 Public Health England December 2016}}</w:instrText>
      </w:r>
      <w:r w:rsidR="00A91ACF" w:rsidRPr="0057415D">
        <w:rPr>
          <w:rFonts w:asciiTheme="majorHAnsi" w:hAnsiTheme="majorHAnsi"/>
          <w:sz w:val="22"/>
          <w:szCs w:val="22"/>
        </w:rPr>
        <w:fldChar w:fldCharType="separate"/>
      </w:r>
      <w:r w:rsidR="004776C0" w:rsidRPr="0057415D">
        <w:rPr>
          <w:rFonts w:asciiTheme="majorHAnsi" w:eastAsia="Times New Roman" w:hAnsiTheme="majorHAnsi" w:cs="Times New Roman"/>
          <w:sz w:val="22"/>
        </w:rPr>
        <w:t>(31)</w:t>
      </w:r>
      <w:r w:rsidR="00A91ACF" w:rsidRPr="0057415D">
        <w:rPr>
          <w:rFonts w:asciiTheme="majorHAnsi" w:hAnsiTheme="majorHAnsi"/>
          <w:sz w:val="22"/>
          <w:szCs w:val="22"/>
        </w:rPr>
        <w:fldChar w:fldCharType="end"/>
      </w:r>
      <w:r w:rsidR="00BC2ACD" w:rsidRPr="0057415D">
        <w:rPr>
          <w:rFonts w:asciiTheme="majorHAnsi" w:hAnsiTheme="majorHAnsi"/>
          <w:sz w:val="22"/>
          <w:szCs w:val="22"/>
        </w:rPr>
        <w:t xml:space="preserve"> (Table 1)</w:t>
      </w:r>
      <w:r w:rsidR="00A91ACF" w:rsidRPr="0057415D">
        <w:rPr>
          <w:rFonts w:asciiTheme="majorHAnsi" w:hAnsiTheme="majorHAnsi"/>
          <w:sz w:val="22"/>
          <w:szCs w:val="22"/>
        </w:rPr>
        <w:t xml:space="preserve">. Profiles are </w:t>
      </w:r>
      <w:r w:rsidR="00A91ACF" w:rsidRPr="0057415D">
        <w:rPr>
          <w:rFonts w:asciiTheme="majorHAnsi" w:hAnsiTheme="majorHAnsi"/>
          <w:sz w:val="22"/>
          <w:szCs w:val="22"/>
        </w:rPr>
        <w:lastRenderedPageBreak/>
        <w:t>available for all practices in the Q</w:t>
      </w:r>
      <w:r w:rsidR="0088576A" w:rsidRPr="0057415D">
        <w:rPr>
          <w:rFonts w:asciiTheme="majorHAnsi" w:hAnsiTheme="majorHAnsi"/>
          <w:sz w:val="22"/>
          <w:szCs w:val="22"/>
        </w:rPr>
        <w:t xml:space="preserve">uality and </w:t>
      </w:r>
      <w:r w:rsidR="00A91ACF" w:rsidRPr="0057415D">
        <w:rPr>
          <w:rFonts w:asciiTheme="majorHAnsi" w:hAnsiTheme="majorHAnsi"/>
          <w:sz w:val="22"/>
          <w:szCs w:val="22"/>
        </w:rPr>
        <w:t>O</w:t>
      </w:r>
      <w:r w:rsidR="0088576A" w:rsidRPr="0057415D">
        <w:rPr>
          <w:rFonts w:asciiTheme="majorHAnsi" w:hAnsiTheme="majorHAnsi"/>
          <w:sz w:val="22"/>
          <w:szCs w:val="22"/>
        </w:rPr>
        <w:t xml:space="preserve">utcomes </w:t>
      </w:r>
      <w:r w:rsidR="00A91ACF" w:rsidRPr="0057415D">
        <w:rPr>
          <w:rFonts w:asciiTheme="majorHAnsi" w:hAnsiTheme="majorHAnsi"/>
          <w:sz w:val="22"/>
          <w:szCs w:val="22"/>
        </w:rPr>
        <w:t>F</w:t>
      </w:r>
      <w:r w:rsidR="0088576A" w:rsidRPr="0057415D">
        <w:rPr>
          <w:rFonts w:asciiTheme="majorHAnsi" w:hAnsiTheme="majorHAnsi"/>
          <w:sz w:val="22"/>
          <w:szCs w:val="22"/>
        </w:rPr>
        <w:t>ramework</w:t>
      </w:r>
      <w:r w:rsidR="00A91ACF" w:rsidRPr="0057415D">
        <w:rPr>
          <w:rFonts w:asciiTheme="majorHAnsi" w:hAnsiTheme="majorHAnsi"/>
          <w:sz w:val="22"/>
          <w:szCs w:val="22"/>
        </w:rPr>
        <w:t xml:space="preserve"> </w:t>
      </w:r>
      <w:r w:rsidR="0088576A" w:rsidRPr="0057415D">
        <w:rPr>
          <w:rFonts w:asciiTheme="majorHAnsi" w:hAnsiTheme="majorHAnsi"/>
          <w:sz w:val="22"/>
          <w:szCs w:val="22"/>
        </w:rPr>
        <w:t xml:space="preserve">(QOF) </w:t>
      </w:r>
      <w:r w:rsidR="00A91ACF" w:rsidRPr="0057415D">
        <w:rPr>
          <w:rFonts w:asciiTheme="majorHAnsi" w:hAnsiTheme="majorHAnsi"/>
          <w:sz w:val="22"/>
          <w:szCs w:val="22"/>
        </w:rPr>
        <w:t>with a list size of 800 patients or more</w:t>
      </w:r>
      <w:r w:rsidR="00A91ACF" w:rsidRPr="0057415D">
        <w:rPr>
          <w:rFonts w:asciiTheme="majorHAnsi" w:hAnsiTheme="majorHAnsi"/>
          <w:sz w:val="22"/>
          <w:szCs w:val="22"/>
        </w:rPr>
        <w:fldChar w:fldCharType="begin"/>
      </w:r>
      <w:r w:rsidR="00A91ACF" w:rsidRPr="0057415D">
        <w:rPr>
          <w:rFonts w:asciiTheme="majorHAnsi" w:hAnsiTheme="majorHAnsi"/>
          <w:sz w:val="22"/>
          <w:szCs w:val="22"/>
        </w:rPr>
        <w:instrText>ADDIN RW.CITE{{861 Public Health England December 2016}}</w:instrText>
      </w:r>
      <w:r w:rsidR="00A91ACF" w:rsidRPr="0057415D">
        <w:rPr>
          <w:rFonts w:asciiTheme="majorHAnsi" w:hAnsiTheme="majorHAnsi"/>
          <w:sz w:val="22"/>
          <w:szCs w:val="22"/>
        </w:rPr>
        <w:fldChar w:fldCharType="separate"/>
      </w:r>
      <w:r w:rsidR="004776C0" w:rsidRPr="0057415D">
        <w:rPr>
          <w:rFonts w:asciiTheme="majorHAnsi" w:eastAsia="Times New Roman" w:hAnsiTheme="majorHAnsi" w:cs="Times New Roman"/>
          <w:sz w:val="22"/>
        </w:rPr>
        <w:t>(31)</w:t>
      </w:r>
      <w:r w:rsidR="00A91ACF" w:rsidRPr="0057415D">
        <w:rPr>
          <w:rFonts w:asciiTheme="majorHAnsi" w:hAnsiTheme="majorHAnsi"/>
          <w:sz w:val="22"/>
          <w:szCs w:val="22"/>
        </w:rPr>
        <w:fldChar w:fldCharType="end"/>
      </w:r>
      <w:r w:rsidR="00A91ACF" w:rsidRPr="0057415D">
        <w:rPr>
          <w:rFonts w:asciiTheme="majorHAnsi" w:hAnsiTheme="majorHAnsi"/>
          <w:sz w:val="22"/>
          <w:szCs w:val="22"/>
        </w:rPr>
        <w:t xml:space="preserve">.  The QOF is the voluntary annual reward and incentive framework </w:t>
      </w:r>
      <w:r w:rsidR="0088576A" w:rsidRPr="0057415D">
        <w:rPr>
          <w:rFonts w:asciiTheme="majorHAnsi" w:hAnsiTheme="majorHAnsi"/>
          <w:sz w:val="22"/>
          <w:szCs w:val="22"/>
        </w:rPr>
        <w:t>fo</w:t>
      </w:r>
      <w:r w:rsidR="00E87834" w:rsidRPr="0057415D">
        <w:rPr>
          <w:rFonts w:asciiTheme="majorHAnsi" w:hAnsiTheme="majorHAnsi"/>
          <w:sz w:val="22"/>
          <w:szCs w:val="22"/>
        </w:rPr>
        <w:t>r</w:t>
      </w:r>
      <w:r w:rsidR="007351A4" w:rsidRPr="0057415D">
        <w:rPr>
          <w:rFonts w:asciiTheme="majorHAnsi" w:hAnsiTheme="majorHAnsi"/>
          <w:sz w:val="22"/>
          <w:szCs w:val="22"/>
        </w:rPr>
        <w:t xml:space="preserve"> English general</w:t>
      </w:r>
      <w:r w:rsidR="00ED38A7" w:rsidRPr="0057415D">
        <w:rPr>
          <w:rFonts w:asciiTheme="majorHAnsi" w:hAnsiTheme="majorHAnsi"/>
          <w:sz w:val="22"/>
          <w:szCs w:val="22"/>
        </w:rPr>
        <w:t xml:space="preserve"> practices </w:t>
      </w:r>
      <w:r w:rsidR="00E87834" w:rsidRPr="0057415D">
        <w:rPr>
          <w:rFonts w:asciiTheme="majorHAnsi" w:hAnsiTheme="majorHAnsi"/>
          <w:sz w:val="22"/>
          <w:szCs w:val="22"/>
        </w:rPr>
        <w:t xml:space="preserve">and </w:t>
      </w:r>
      <w:r w:rsidR="00A91ACF" w:rsidRPr="0057415D">
        <w:rPr>
          <w:rFonts w:asciiTheme="majorHAnsi" w:hAnsiTheme="majorHAnsi"/>
          <w:sz w:val="22"/>
          <w:szCs w:val="22"/>
        </w:rPr>
        <w:t>forms a significant proportion of practice income</w:t>
      </w:r>
      <w:r w:rsidR="00A91ACF" w:rsidRPr="0057415D">
        <w:rPr>
          <w:rFonts w:asciiTheme="majorHAnsi" w:hAnsiTheme="majorHAnsi"/>
          <w:sz w:val="22"/>
          <w:szCs w:val="22"/>
        </w:rPr>
        <w:fldChar w:fldCharType="begin"/>
      </w:r>
      <w:r w:rsidR="00A91ACF" w:rsidRPr="0057415D">
        <w:rPr>
          <w:rFonts w:asciiTheme="majorHAnsi" w:hAnsiTheme="majorHAnsi"/>
          <w:sz w:val="22"/>
          <w:szCs w:val="22"/>
        </w:rPr>
        <w:instrText>ADDIN RW.CITE{{862 NHS Digital 27 October 2016}}</w:instrText>
      </w:r>
      <w:r w:rsidR="00A91ACF" w:rsidRPr="0057415D">
        <w:rPr>
          <w:rFonts w:asciiTheme="majorHAnsi" w:hAnsiTheme="majorHAnsi"/>
          <w:sz w:val="22"/>
          <w:szCs w:val="22"/>
        </w:rPr>
        <w:fldChar w:fldCharType="separate"/>
      </w:r>
      <w:r w:rsidR="004776C0" w:rsidRPr="0057415D">
        <w:rPr>
          <w:rFonts w:asciiTheme="majorHAnsi" w:eastAsia="Times New Roman" w:hAnsiTheme="majorHAnsi" w:cs="Times New Roman"/>
          <w:sz w:val="22"/>
        </w:rPr>
        <w:t>(32)</w:t>
      </w:r>
      <w:r w:rsidR="00A91ACF" w:rsidRPr="0057415D">
        <w:rPr>
          <w:rFonts w:asciiTheme="majorHAnsi" w:hAnsiTheme="majorHAnsi"/>
          <w:sz w:val="22"/>
          <w:szCs w:val="22"/>
        </w:rPr>
        <w:fldChar w:fldCharType="end"/>
      </w:r>
      <w:r w:rsidR="00A91ACF" w:rsidRPr="0057415D">
        <w:rPr>
          <w:rFonts w:asciiTheme="majorHAnsi" w:hAnsiTheme="majorHAnsi"/>
          <w:sz w:val="22"/>
          <w:szCs w:val="22"/>
        </w:rPr>
        <w:t xml:space="preserve">. </w:t>
      </w:r>
    </w:p>
    <w:p w14:paraId="31929050" w14:textId="77777777" w:rsidR="005923C5" w:rsidRPr="0057415D" w:rsidRDefault="005923C5" w:rsidP="00B53AE3">
      <w:pPr>
        <w:spacing w:line="480" w:lineRule="auto"/>
        <w:rPr>
          <w:rFonts w:asciiTheme="majorHAnsi" w:hAnsiTheme="majorHAnsi"/>
          <w:sz w:val="22"/>
          <w:szCs w:val="22"/>
        </w:rPr>
      </w:pPr>
    </w:p>
    <w:p w14:paraId="48DA7B9B" w14:textId="1B13D384" w:rsidR="00AD4DB0" w:rsidRPr="0057415D" w:rsidRDefault="00AD4DB0" w:rsidP="00B53AE3">
      <w:pPr>
        <w:spacing w:line="480" w:lineRule="auto"/>
        <w:rPr>
          <w:rFonts w:asciiTheme="majorHAnsi" w:hAnsiTheme="majorHAnsi"/>
          <w:sz w:val="22"/>
          <w:szCs w:val="22"/>
        </w:rPr>
      </w:pPr>
      <w:r w:rsidRPr="0057415D">
        <w:rPr>
          <w:rFonts w:asciiTheme="majorHAnsi" w:hAnsiTheme="majorHAnsi"/>
          <w:sz w:val="22"/>
          <w:szCs w:val="22"/>
        </w:rPr>
        <w:t>Table 1: G</w:t>
      </w:r>
      <w:r w:rsidR="00BC2ACD" w:rsidRPr="0057415D">
        <w:rPr>
          <w:rFonts w:asciiTheme="majorHAnsi" w:hAnsiTheme="majorHAnsi"/>
          <w:sz w:val="22"/>
          <w:szCs w:val="22"/>
        </w:rPr>
        <w:t>eneral</w:t>
      </w:r>
      <w:r w:rsidRPr="0057415D">
        <w:rPr>
          <w:rFonts w:asciiTheme="majorHAnsi" w:hAnsiTheme="majorHAnsi"/>
          <w:sz w:val="22"/>
          <w:szCs w:val="22"/>
        </w:rPr>
        <w:t xml:space="preserve"> practice characteristics </w:t>
      </w:r>
      <w:r w:rsidR="00BC2ACD" w:rsidRPr="0057415D">
        <w:rPr>
          <w:rFonts w:asciiTheme="majorHAnsi" w:hAnsiTheme="majorHAnsi"/>
          <w:sz w:val="22"/>
          <w:szCs w:val="22"/>
        </w:rPr>
        <w:t xml:space="preserve">and performance measures </w:t>
      </w:r>
      <w:r w:rsidRPr="0057415D">
        <w:rPr>
          <w:rFonts w:asciiTheme="majorHAnsi" w:hAnsiTheme="majorHAnsi"/>
          <w:sz w:val="22"/>
          <w:szCs w:val="22"/>
        </w:rPr>
        <w:t>used as independent variables</w:t>
      </w:r>
      <w:r w:rsidRPr="0057415D">
        <w:rPr>
          <w:rFonts w:asciiTheme="majorHAnsi" w:hAnsiTheme="majorHAnsi"/>
          <w:sz w:val="22"/>
          <w:szCs w:val="22"/>
        </w:rPr>
        <w:fldChar w:fldCharType="begin"/>
      </w:r>
      <w:r w:rsidR="00232DF9" w:rsidRPr="0057415D">
        <w:rPr>
          <w:rFonts w:asciiTheme="majorHAnsi" w:hAnsiTheme="majorHAnsi"/>
          <w:sz w:val="22"/>
          <w:szCs w:val="22"/>
        </w:rPr>
        <w:instrText>ADDIN RW.CITE{{861 Public Health England December 2016;863 NHS England. GP Patient Survey. 2016}}</w:instrText>
      </w:r>
      <w:r w:rsidRPr="0057415D">
        <w:rPr>
          <w:rFonts w:asciiTheme="majorHAnsi" w:hAnsiTheme="majorHAnsi"/>
          <w:sz w:val="22"/>
          <w:szCs w:val="22"/>
        </w:rPr>
        <w:fldChar w:fldCharType="separate"/>
      </w:r>
      <w:r w:rsidR="004776C0" w:rsidRPr="0057415D">
        <w:rPr>
          <w:rFonts w:asciiTheme="majorHAnsi" w:eastAsia="Times New Roman" w:hAnsiTheme="majorHAnsi" w:cs="Times New Roman"/>
          <w:sz w:val="22"/>
        </w:rPr>
        <w:t>(31,33)</w:t>
      </w:r>
      <w:r w:rsidRPr="0057415D">
        <w:rPr>
          <w:rFonts w:asciiTheme="majorHAnsi" w:hAnsiTheme="majorHAnsi"/>
          <w:sz w:val="22"/>
          <w:szCs w:val="22"/>
        </w:rPr>
        <w:fldChar w:fldCharType="end"/>
      </w:r>
    </w:p>
    <w:p w14:paraId="780D2FC2" w14:textId="77777777" w:rsidR="005901C4" w:rsidRPr="0057415D" w:rsidRDefault="005901C4" w:rsidP="00E87834">
      <w:pPr>
        <w:rPr>
          <w:rFonts w:asciiTheme="majorHAnsi" w:hAnsiTheme="majorHAnsi"/>
          <w:sz w:val="22"/>
          <w:szCs w:val="22"/>
        </w:rPr>
      </w:pPr>
    </w:p>
    <w:tbl>
      <w:tblPr>
        <w:tblStyle w:val="TableGrid"/>
        <w:tblW w:w="10915" w:type="dxa"/>
        <w:tblInd w:w="-601" w:type="dxa"/>
        <w:tblLook w:val="04A0" w:firstRow="1" w:lastRow="0" w:firstColumn="1" w:lastColumn="0" w:noHBand="0" w:noVBand="1"/>
      </w:tblPr>
      <w:tblGrid>
        <w:gridCol w:w="3403"/>
        <w:gridCol w:w="7512"/>
      </w:tblGrid>
      <w:tr w:rsidR="00316DBC" w:rsidRPr="0057415D" w14:paraId="1D81A945" w14:textId="77777777" w:rsidTr="00AA721E">
        <w:tc>
          <w:tcPr>
            <w:tcW w:w="3403" w:type="dxa"/>
          </w:tcPr>
          <w:p w14:paraId="6F3BB0D2" w14:textId="05EB0A6B" w:rsidR="00316DBC" w:rsidRPr="0057415D" w:rsidRDefault="00AD4DB0" w:rsidP="00E87834">
            <w:pPr>
              <w:rPr>
                <w:rFonts w:asciiTheme="majorHAnsi" w:hAnsiTheme="majorHAnsi"/>
                <w:b/>
                <w:sz w:val="22"/>
                <w:szCs w:val="22"/>
              </w:rPr>
            </w:pPr>
            <w:r w:rsidRPr="0057415D">
              <w:rPr>
                <w:rFonts w:asciiTheme="majorHAnsi" w:hAnsiTheme="majorHAnsi"/>
                <w:b/>
                <w:sz w:val="22"/>
                <w:szCs w:val="22"/>
              </w:rPr>
              <w:t>Indicator</w:t>
            </w:r>
          </w:p>
        </w:tc>
        <w:tc>
          <w:tcPr>
            <w:tcW w:w="7512" w:type="dxa"/>
          </w:tcPr>
          <w:p w14:paraId="5FFB4EA4" w14:textId="6653D51A" w:rsidR="00316DBC" w:rsidRPr="0057415D" w:rsidRDefault="00316DBC" w:rsidP="00E87834">
            <w:pPr>
              <w:rPr>
                <w:rFonts w:asciiTheme="majorHAnsi" w:hAnsiTheme="majorHAnsi"/>
                <w:b/>
                <w:sz w:val="22"/>
                <w:szCs w:val="22"/>
              </w:rPr>
            </w:pPr>
            <w:r w:rsidRPr="0057415D">
              <w:rPr>
                <w:rFonts w:asciiTheme="majorHAnsi" w:hAnsiTheme="majorHAnsi"/>
                <w:b/>
                <w:sz w:val="22"/>
                <w:szCs w:val="22"/>
              </w:rPr>
              <w:t>Description</w:t>
            </w:r>
          </w:p>
        </w:tc>
      </w:tr>
      <w:tr w:rsidR="00316DBC" w:rsidRPr="0057415D" w14:paraId="33922D14" w14:textId="77777777" w:rsidTr="00AA721E">
        <w:tc>
          <w:tcPr>
            <w:tcW w:w="3403" w:type="dxa"/>
          </w:tcPr>
          <w:p w14:paraId="124773E4" w14:textId="2EEA1020" w:rsidR="00316DBC" w:rsidRPr="0057415D" w:rsidRDefault="00316DBC" w:rsidP="00E87834">
            <w:pPr>
              <w:rPr>
                <w:rFonts w:asciiTheme="majorHAnsi" w:hAnsiTheme="majorHAnsi"/>
                <w:sz w:val="22"/>
                <w:szCs w:val="22"/>
              </w:rPr>
            </w:pPr>
            <w:r w:rsidRPr="0057415D">
              <w:rPr>
                <w:rFonts w:asciiTheme="majorHAnsi" w:hAnsiTheme="majorHAnsi"/>
                <w:sz w:val="22"/>
                <w:szCs w:val="22"/>
              </w:rPr>
              <w:t>Index of multiple deprivation (IMD)</w:t>
            </w:r>
            <w:r w:rsidR="00AA721E" w:rsidRPr="0057415D">
              <w:rPr>
                <w:rFonts w:asciiTheme="majorHAnsi" w:hAnsiTheme="majorHAnsi"/>
                <w:sz w:val="22"/>
                <w:szCs w:val="22"/>
              </w:rPr>
              <w:t xml:space="preserve"> – score</w:t>
            </w:r>
          </w:p>
        </w:tc>
        <w:tc>
          <w:tcPr>
            <w:tcW w:w="7512" w:type="dxa"/>
          </w:tcPr>
          <w:p w14:paraId="5A35B1AA" w14:textId="106B800F" w:rsidR="00316DBC" w:rsidRPr="0057415D" w:rsidRDefault="00316DBC" w:rsidP="00E87834">
            <w:pPr>
              <w:rPr>
                <w:rFonts w:asciiTheme="majorHAnsi" w:hAnsiTheme="majorHAnsi"/>
                <w:sz w:val="22"/>
                <w:szCs w:val="22"/>
              </w:rPr>
            </w:pPr>
            <w:r w:rsidRPr="0057415D">
              <w:rPr>
                <w:rFonts w:asciiTheme="majorHAnsi" w:hAnsiTheme="majorHAnsi"/>
                <w:sz w:val="22"/>
                <w:szCs w:val="22"/>
              </w:rPr>
              <w:t>The English</w:t>
            </w:r>
            <w:r w:rsidR="0088576A" w:rsidRPr="0057415D">
              <w:rPr>
                <w:rFonts w:asciiTheme="majorHAnsi" w:hAnsiTheme="majorHAnsi"/>
                <w:sz w:val="22"/>
                <w:szCs w:val="22"/>
              </w:rPr>
              <w:t xml:space="preserve"> Indices of Deprivation 2015 measure</w:t>
            </w:r>
            <w:r w:rsidRPr="0057415D">
              <w:rPr>
                <w:rFonts w:asciiTheme="majorHAnsi" w:hAnsiTheme="majorHAnsi"/>
                <w:sz w:val="22"/>
                <w:szCs w:val="22"/>
              </w:rPr>
              <w:t xml:space="preserve"> multiple aspects of deprivation at the sm</w:t>
            </w:r>
            <w:r w:rsidR="007351A4" w:rsidRPr="0057415D">
              <w:rPr>
                <w:rFonts w:asciiTheme="majorHAnsi" w:hAnsiTheme="majorHAnsi"/>
                <w:sz w:val="22"/>
                <w:szCs w:val="22"/>
              </w:rPr>
              <w:t>all area level. Estimates for general</w:t>
            </w:r>
            <w:r w:rsidRPr="0057415D">
              <w:rPr>
                <w:rFonts w:asciiTheme="majorHAnsi" w:hAnsiTheme="majorHAnsi"/>
                <w:sz w:val="22"/>
                <w:szCs w:val="22"/>
              </w:rPr>
              <w:t xml:space="preserve"> practices are calculated by building the population-weighted average of the IMD scores for the lower super output areas (LSOAs) where the practice population lives. Higher scores indicate greater deprivation. The most recent scores have been calculated based upon where the practice population lived in 2016.</w:t>
            </w:r>
          </w:p>
        </w:tc>
      </w:tr>
      <w:tr w:rsidR="00316DBC" w:rsidRPr="0057415D" w14:paraId="6F456658" w14:textId="77777777" w:rsidTr="00AA721E">
        <w:tc>
          <w:tcPr>
            <w:tcW w:w="3403" w:type="dxa"/>
          </w:tcPr>
          <w:p w14:paraId="09D81795" w14:textId="647979CF" w:rsidR="00316DBC" w:rsidRPr="0057415D" w:rsidRDefault="00316DBC" w:rsidP="00E87834">
            <w:pPr>
              <w:rPr>
                <w:rFonts w:asciiTheme="majorHAnsi" w:hAnsiTheme="majorHAnsi"/>
                <w:sz w:val="22"/>
                <w:szCs w:val="22"/>
              </w:rPr>
            </w:pPr>
            <w:r w:rsidRPr="0057415D">
              <w:rPr>
                <w:rFonts w:asciiTheme="majorHAnsi" w:hAnsiTheme="majorHAnsi"/>
                <w:sz w:val="22"/>
                <w:szCs w:val="22"/>
              </w:rPr>
              <w:t>Percentage of patients aged 15-24 years</w:t>
            </w:r>
            <w:r w:rsidR="00AA721E" w:rsidRPr="0057415D">
              <w:rPr>
                <w:rFonts w:asciiTheme="majorHAnsi" w:hAnsiTheme="majorHAnsi"/>
                <w:sz w:val="22"/>
                <w:szCs w:val="22"/>
              </w:rPr>
              <w:t xml:space="preserve"> - %</w:t>
            </w:r>
          </w:p>
        </w:tc>
        <w:tc>
          <w:tcPr>
            <w:tcW w:w="7512" w:type="dxa"/>
          </w:tcPr>
          <w:p w14:paraId="420D7543" w14:textId="13F4FD11" w:rsidR="00316DBC" w:rsidRPr="0057415D" w:rsidRDefault="00D84A33" w:rsidP="007351A4">
            <w:pPr>
              <w:rPr>
                <w:rFonts w:asciiTheme="majorHAnsi" w:hAnsiTheme="majorHAnsi"/>
                <w:sz w:val="22"/>
                <w:szCs w:val="22"/>
              </w:rPr>
            </w:pPr>
            <w:r w:rsidRPr="0057415D">
              <w:rPr>
                <w:rFonts w:asciiTheme="majorHAnsi" w:hAnsiTheme="majorHAnsi"/>
                <w:sz w:val="22"/>
                <w:szCs w:val="22"/>
              </w:rPr>
              <w:t>The percentage</w:t>
            </w:r>
            <w:r w:rsidR="00316DBC" w:rsidRPr="0057415D">
              <w:rPr>
                <w:rFonts w:asciiTheme="majorHAnsi" w:hAnsiTheme="majorHAnsi"/>
                <w:sz w:val="22"/>
                <w:szCs w:val="22"/>
              </w:rPr>
              <w:t xml:space="preserve"> of the total practice population that is aged between 15 and 24 years. Age data is extracted from the </w:t>
            </w:r>
            <w:r w:rsidR="007351A4" w:rsidRPr="0057415D">
              <w:rPr>
                <w:rFonts w:asciiTheme="majorHAnsi" w:hAnsiTheme="majorHAnsi"/>
                <w:sz w:val="22"/>
                <w:szCs w:val="22"/>
              </w:rPr>
              <w:t xml:space="preserve">general practice </w:t>
            </w:r>
            <w:r w:rsidR="00316DBC" w:rsidRPr="0057415D">
              <w:rPr>
                <w:rFonts w:asciiTheme="majorHAnsi" w:hAnsiTheme="majorHAnsi"/>
                <w:sz w:val="22"/>
                <w:szCs w:val="22"/>
              </w:rPr>
              <w:t>payments syste</w:t>
            </w:r>
            <w:r w:rsidR="00F1081C" w:rsidRPr="0057415D">
              <w:rPr>
                <w:rFonts w:asciiTheme="majorHAnsi" w:hAnsiTheme="majorHAnsi"/>
                <w:sz w:val="22"/>
                <w:szCs w:val="22"/>
              </w:rPr>
              <w:t>m, with the most recent data</w:t>
            </w:r>
            <w:r w:rsidR="00316DBC" w:rsidRPr="0057415D">
              <w:rPr>
                <w:rFonts w:asciiTheme="majorHAnsi" w:hAnsiTheme="majorHAnsi"/>
                <w:sz w:val="22"/>
                <w:szCs w:val="22"/>
              </w:rPr>
              <w:t xml:space="preserve"> extracted in April 2016</w:t>
            </w:r>
          </w:p>
        </w:tc>
      </w:tr>
      <w:tr w:rsidR="00316DBC" w:rsidRPr="0057415D" w14:paraId="633BE9BB" w14:textId="77777777" w:rsidTr="00AA721E">
        <w:tc>
          <w:tcPr>
            <w:tcW w:w="3403" w:type="dxa"/>
          </w:tcPr>
          <w:p w14:paraId="5474431E" w14:textId="2342E067" w:rsidR="00316DBC" w:rsidRPr="0057415D" w:rsidRDefault="00316DBC" w:rsidP="00E87834">
            <w:pPr>
              <w:rPr>
                <w:rFonts w:asciiTheme="majorHAnsi" w:hAnsiTheme="majorHAnsi"/>
                <w:sz w:val="22"/>
                <w:szCs w:val="22"/>
              </w:rPr>
            </w:pPr>
            <w:r w:rsidRPr="0057415D">
              <w:rPr>
                <w:rFonts w:asciiTheme="majorHAnsi" w:hAnsiTheme="majorHAnsi"/>
                <w:sz w:val="22"/>
                <w:szCs w:val="22"/>
              </w:rPr>
              <w:t>Percentage of patients from an ethnic minority</w:t>
            </w:r>
            <w:r w:rsidR="00AA721E" w:rsidRPr="0057415D">
              <w:rPr>
                <w:rFonts w:asciiTheme="majorHAnsi" w:hAnsiTheme="majorHAnsi"/>
                <w:sz w:val="22"/>
                <w:szCs w:val="22"/>
              </w:rPr>
              <w:t xml:space="preserve"> - %</w:t>
            </w:r>
          </w:p>
        </w:tc>
        <w:tc>
          <w:tcPr>
            <w:tcW w:w="7512" w:type="dxa"/>
          </w:tcPr>
          <w:p w14:paraId="0B3FA733" w14:textId="51406787" w:rsidR="00316DBC" w:rsidRPr="0057415D" w:rsidRDefault="00D84A33" w:rsidP="00E87834">
            <w:pPr>
              <w:rPr>
                <w:rFonts w:asciiTheme="majorHAnsi" w:hAnsiTheme="majorHAnsi"/>
                <w:sz w:val="22"/>
                <w:szCs w:val="22"/>
              </w:rPr>
            </w:pPr>
            <w:r w:rsidRPr="0057415D">
              <w:rPr>
                <w:rFonts w:asciiTheme="majorHAnsi" w:hAnsiTheme="majorHAnsi"/>
                <w:sz w:val="22"/>
                <w:szCs w:val="22"/>
              </w:rPr>
              <w:t>Estimated percentage</w:t>
            </w:r>
            <w:r w:rsidR="000F41AD" w:rsidRPr="0057415D">
              <w:rPr>
                <w:rFonts w:asciiTheme="majorHAnsi" w:hAnsiTheme="majorHAnsi"/>
                <w:sz w:val="22"/>
                <w:szCs w:val="22"/>
              </w:rPr>
              <w:t xml:space="preserve"> of non-W</w:t>
            </w:r>
            <w:r w:rsidR="00316DBC" w:rsidRPr="0057415D">
              <w:rPr>
                <w:rFonts w:asciiTheme="majorHAnsi" w:hAnsiTheme="majorHAnsi"/>
                <w:sz w:val="22"/>
                <w:szCs w:val="22"/>
              </w:rPr>
              <w:t>hite ethnic groups in the practice population, based upon the LSOAs where the population lived in 2016 and the ethnic group of each LSOA according to the 2011 census.</w:t>
            </w:r>
          </w:p>
        </w:tc>
      </w:tr>
      <w:tr w:rsidR="00316DBC" w:rsidRPr="0057415D" w14:paraId="1DC83019" w14:textId="77777777" w:rsidTr="00AA721E">
        <w:tc>
          <w:tcPr>
            <w:tcW w:w="3403" w:type="dxa"/>
          </w:tcPr>
          <w:p w14:paraId="0C829B2E" w14:textId="77103CD7" w:rsidR="00316DBC" w:rsidRPr="0057415D" w:rsidRDefault="00316DBC" w:rsidP="00707FC2">
            <w:pPr>
              <w:rPr>
                <w:rFonts w:asciiTheme="majorHAnsi" w:hAnsiTheme="majorHAnsi"/>
                <w:sz w:val="22"/>
                <w:szCs w:val="22"/>
              </w:rPr>
            </w:pPr>
            <w:r w:rsidRPr="0057415D">
              <w:rPr>
                <w:rFonts w:asciiTheme="majorHAnsi" w:hAnsiTheme="majorHAnsi"/>
                <w:sz w:val="22"/>
                <w:szCs w:val="22"/>
              </w:rPr>
              <w:t xml:space="preserve">Total </w:t>
            </w:r>
            <w:r w:rsidR="00707FC2" w:rsidRPr="0057415D">
              <w:rPr>
                <w:rFonts w:asciiTheme="majorHAnsi" w:hAnsiTheme="majorHAnsi"/>
                <w:sz w:val="22"/>
                <w:szCs w:val="22"/>
              </w:rPr>
              <w:t>Q</w:t>
            </w:r>
            <w:r w:rsidR="00D9554A" w:rsidRPr="0057415D">
              <w:rPr>
                <w:rFonts w:asciiTheme="majorHAnsi" w:hAnsiTheme="majorHAnsi"/>
                <w:sz w:val="22"/>
                <w:szCs w:val="22"/>
              </w:rPr>
              <w:t xml:space="preserve">uality and </w:t>
            </w:r>
            <w:r w:rsidR="00707FC2" w:rsidRPr="0057415D">
              <w:rPr>
                <w:rFonts w:asciiTheme="majorHAnsi" w:hAnsiTheme="majorHAnsi"/>
                <w:sz w:val="22"/>
                <w:szCs w:val="22"/>
              </w:rPr>
              <w:t>O</w:t>
            </w:r>
            <w:r w:rsidR="00D9554A" w:rsidRPr="0057415D">
              <w:rPr>
                <w:rFonts w:asciiTheme="majorHAnsi" w:hAnsiTheme="majorHAnsi"/>
                <w:sz w:val="22"/>
                <w:szCs w:val="22"/>
              </w:rPr>
              <w:t xml:space="preserve">utcomes </w:t>
            </w:r>
            <w:r w:rsidR="00707FC2" w:rsidRPr="0057415D">
              <w:rPr>
                <w:rFonts w:asciiTheme="majorHAnsi" w:hAnsiTheme="majorHAnsi"/>
                <w:sz w:val="22"/>
                <w:szCs w:val="22"/>
              </w:rPr>
              <w:t>F</w:t>
            </w:r>
            <w:r w:rsidR="00D9554A" w:rsidRPr="0057415D">
              <w:rPr>
                <w:rFonts w:asciiTheme="majorHAnsi" w:hAnsiTheme="majorHAnsi"/>
                <w:sz w:val="22"/>
                <w:szCs w:val="22"/>
              </w:rPr>
              <w:t>ramework (QOF)</w:t>
            </w:r>
            <w:r w:rsidR="0088576A" w:rsidRPr="0057415D">
              <w:rPr>
                <w:rFonts w:asciiTheme="majorHAnsi" w:hAnsiTheme="majorHAnsi"/>
                <w:sz w:val="22"/>
                <w:szCs w:val="22"/>
              </w:rPr>
              <w:t xml:space="preserve"> </w:t>
            </w:r>
            <w:r w:rsidRPr="0057415D">
              <w:rPr>
                <w:rFonts w:asciiTheme="majorHAnsi" w:hAnsiTheme="majorHAnsi"/>
                <w:sz w:val="22"/>
                <w:szCs w:val="22"/>
              </w:rPr>
              <w:t>points</w:t>
            </w:r>
            <w:r w:rsidR="00AA721E" w:rsidRPr="0057415D">
              <w:rPr>
                <w:rFonts w:asciiTheme="majorHAnsi" w:hAnsiTheme="majorHAnsi"/>
                <w:sz w:val="22"/>
                <w:szCs w:val="22"/>
              </w:rPr>
              <w:t xml:space="preserve"> - %</w:t>
            </w:r>
          </w:p>
        </w:tc>
        <w:tc>
          <w:tcPr>
            <w:tcW w:w="7512" w:type="dxa"/>
          </w:tcPr>
          <w:p w14:paraId="0987EAF0" w14:textId="63AAEF2C" w:rsidR="00316DBC" w:rsidRPr="0057415D" w:rsidRDefault="00316DBC" w:rsidP="00E87834">
            <w:pPr>
              <w:rPr>
                <w:rFonts w:asciiTheme="majorHAnsi" w:hAnsiTheme="majorHAnsi"/>
                <w:sz w:val="22"/>
                <w:szCs w:val="22"/>
              </w:rPr>
            </w:pPr>
            <w:r w:rsidRPr="0057415D">
              <w:rPr>
                <w:rFonts w:asciiTheme="majorHAnsi" w:hAnsiTheme="majorHAnsi"/>
                <w:sz w:val="22"/>
                <w:szCs w:val="22"/>
              </w:rPr>
              <w:t>The percentage of all QOF points achieved in 2015/16 across all domains as a proportion of all achievable points.</w:t>
            </w:r>
          </w:p>
        </w:tc>
      </w:tr>
      <w:tr w:rsidR="00316DBC" w:rsidRPr="0057415D" w14:paraId="6BED23A7" w14:textId="77777777" w:rsidTr="00AA721E">
        <w:tc>
          <w:tcPr>
            <w:tcW w:w="3403" w:type="dxa"/>
          </w:tcPr>
          <w:p w14:paraId="23E9E9AE" w14:textId="54B0AAAF" w:rsidR="00316DBC" w:rsidRPr="0057415D" w:rsidRDefault="00316DBC" w:rsidP="00E87834">
            <w:pPr>
              <w:rPr>
                <w:rFonts w:asciiTheme="majorHAnsi" w:hAnsiTheme="majorHAnsi"/>
                <w:sz w:val="22"/>
                <w:szCs w:val="22"/>
              </w:rPr>
            </w:pPr>
            <w:r w:rsidRPr="0057415D">
              <w:rPr>
                <w:rFonts w:asciiTheme="majorHAnsi" w:hAnsiTheme="majorHAnsi"/>
                <w:sz w:val="22"/>
                <w:szCs w:val="22"/>
              </w:rPr>
              <w:t>Percentage of patients that would recommend the practice</w:t>
            </w:r>
            <w:r w:rsidR="00AA721E" w:rsidRPr="0057415D">
              <w:rPr>
                <w:rFonts w:asciiTheme="majorHAnsi" w:hAnsiTheme="majorHAnsi"/>
                <w:sz w:val="22"/>
                <w:szCs w:val="22"/>
              </w:rPr>
              <w:t xml:space="preserve"> - %</w:t>
            </w:r>
          </w:p>
        </w:tc>
        <w:tc>
          <w:tcPr>
            <w:tcW w:w="7512" w:type="dxa"/>
          </w:tcPr>
          <w:p w14:paraId="5FB66D55" w14:textId="0398DADB" w:rsidR="00316DBC" w:rsidRPr="0057415D" w:rsidRDefault="00316DBC" w:rsidP="00E87834">
            <w:pPr>
              <w:rPr>
                <w:rFonts w:asciiTheme="majorHAnsi" w:hAnsiTheme="majorHAnsi"/>
                <w:sz w:val="22"/>
                <w:szCs w:val="22"/>
              </w:rPr>
            </w:pPr>
            <w:r w:rsidRPr="0057415D">
              <w:rPr>
                <w:rFonts w:asciiTheme="majorHAnsi" w:hAnsiTheme="majorHAnsi"/>
                <w:sz w:val="22"/>
                <w:szCs w:val="22"/>
              </w:rPr>
              <w:t>The</w:t>
            </w:r>
            <w:r w:rsidR="00D84A33" w:rsidRPr="0057415D">
              <w:rPr>
                <w:rFonts w:asciiTheme="majorHAnsi" w:hAnsiTheme="majorHAnsi"/>
                <w:sz w:val="22"/>
                <w:szCs w:val="22"/>
              </w:rPr>
              <w:t xml:space="preserve"> percentage</w:t>
            </w:r>
            <w:r w:rsidRPr="0057415D">
              <w:rPr>
                <w:rFonts w:asciiTheme="majorHAnsi" w:hAnsiTheme="majorHAnsi"/>
                <w:sz w:val="22"/>
                <w:szCs w:val="22"/>
              </w:rPr>
              <w:t xml:space="preserve"> of patients (aged 18 years and over) participating in the GP Patient Survey 2015/16, that is conducted on behalf of NHS England, who would probably </w:t>
            </w:r>
            <w:r w:rsidR="007351A4" w:rsidRPr="0057415D">
              <w:rPr>
                <w:rFonts w:asciiTheme="majorHAnsi" w:hAnsiTheme="majorHAnsi"/>
                <w:sz w:val="22"/>
                <w:szCs w:val="22"/>
              </w:rPr>
              <w:t>or definitely recommend their</w:t>
            </w:r>
            <w:r w:rsidRPr="0057415D">
              <w:rPr>
                <w:rFonts w:asciiTheme="majorHAnsi" w:hAnsiTheme="majorHAnsi"/>
                <w:sz w:val="22"/>
                <w:szCs w:val="22"/>
              </w:rPr>
              <w:t xml:space="preserve"> practice to somebody who has moved to their local area.</w:t>
            </w:r>
          </w:p>
        </w:tc>
      </w:tr>
      <w:tr w:rsidR="00316DBC" w:rsidRPr="0057415D" w14:paraId="73EDC9EC" w14:textId="77777777" w:rsidTr="00AA721E">
        <w:tc>
          <w:tcPr>
            <w:tcW w:w="3403" w:type="dxa"/>
          </w:tcPr>
          <w:p w14:paraId="037DBA94" w14:textId="1890E141" w:rsidR="00316DBC" w:rsidRPr="0057415D" w:rsidRDefault="00316DBC" w:rsidP="00E87834">
            <w:pPr>
              <w:rPr>
                <w:rFonts w:asciiTheme="majorHAnsi" w:hAnsiTheme="majorHAnsi"/>
                <w:sz w:val="22"/>
                <w:szCs w:val="22"/>
              </w:rPr>
            </w:pPr>
            <w:r w:rsidRPr="0057415D">
              <w:rPr>
                <w:rFonts w:asciiTheme="majorHAnsi" w:hAnsiTheme="majorHAnsi"/>
                <w:sz w:val="22"/>
                <w:szCs w:val="22"/>
              </w:rPr>
              <w:t>Percentage of patients satisfied with phone access</w:t>
            </w:r>
            <w:r w:rsidR="00AA721E" w:rsidRPr="0057415D">
              <w:rPr>
                <w:rFonts w:asciiTheme="majorHAnsi" w:hAnsiTheme="majorHAnsi"/>
                <w:sz w:val="22"/>
                <w:szCs w:val="22"/>
              </w:rPr>
              <w:t xml:space="preserve"> - %</w:t>
            </w:r>
          </w:p>
        </w:tc>
        <w:tc>
          <w:tcPr>
            <w:tcW w:w="7512" w:type="dxa"/>
          </w:tcPr>
          <w:p w14:paraId="096B6B74" w14:textId="670DA099" w:rsidR="00316DBC" w:rsidRPr="0057415D" w:rsidRDefault="00D84A33" w:rsidP="00E87834">
            <w:pPr>
              <w:rPr>
                <w:rFonts w:asciiTheme="majorHAnsi" w:hAnsiTheme="majorHAnsi"/>
                <w:sz w:val="22"/>
                <w:szCs w:val="22"/>
              </w:rPr>
            </w:pPr>
            <w:r w:rsidRPr="0057415D">
              <w:rPr>
                <w:rFonts w:asciiTheme="majorHAnsi" w:hAnsiTheme="majorHAnsi"/>
                <w:sz w:val="22"/>
                <w:szCs w:val="22"/>
              </w:rPr>
              <w:t>The percentage</w:t>
            </w:r>
            <w:r w:rsidR="00316DBC" w:rsidRPr="0057415D">
              <w:rPr>
                <w:rFonts w:asciiTheme="majorHAnsi" w:hAnsiTheme="majorHAnsi"/>
                <w:sz w:val="22"/>
                <w:szCs w:val="22"/>
              </w:rPr>
              <w:t xml:space="preserve"> of patients (aged 18 years or over) participating in the GP Patient Survey 2015/16 who felt that it was fairly easy or very easy to ge</w:t>
            </w:r>
            <w:r w:rsidR="007351A4" w:rsidRPr="0057415D">
              <w:rPr>
                <w:rFonts w:asciiTheme="majorHAnsi" w:hAnsiTheme="majorHAnsi"/>
                <w:sz w:val="22"/>
                <w:szCs w:val="22"/>
              </w:rPr>
              <w:t xml:space="preserve">t through to someone at their </w:t>
            </w:r>
            <w:r w:rsidR="00316DBC" w:rsidRPr="0057415D">
              <w:rPr>
                <w:rFonts w:asciiTheme="majorHAnsi" w:hAnsiTheme="majorHAnsi"/>
                <w:sz w:val="22"/>
                <w:szCs w:val="22"/>
              </w:rPr>
              <w:t>surgery</w:t>
            </w:r>
            <w:r w:rsidR="0088576A" w:rsidRPr="0057415D">
              <w:rPr>
                <w:rFonts w:asciiTheme="majorHAnsi" w:hAnsiTheme="majorHAnsi"/>
                <w:sz w:val="22"/>
                <w:szCs w:val="22"/>
              </w:rPr>
              <w:t xml:space="preserve"> via telephone</w:t>
            </w:r>
            <w:r w:rsidR="00316DBC" w:rsidRPr="0057415D">
              <w:rPr>
                <w:rFonts w:asciiTheme="majorHAnsi" w:hAnsiTheme="majorHAnsi"/>
                <w:sz w:val="22"/>
                <w:szCs w:val="22"/>
              </w:rPr>
              <w:t>.</w:t>
            </w:r>
          </w:p>
        </w:tc>
      </w:tr>
      <w:tr w:rsidR="00316DBC" w:rsidRPr="0057415D" w14:paraId="1D4E5355" w14:textId="77777777" w:rsidTr="00AA721E">
        <w:tc>
          <w:tcPr>
            <w:tcW w:w="3403" w:type="dxa"/>
          </w:tcPr>
          <w:p w14:paraId="046856CD" w14:textId="091E40C0" w:rsidR="00316DBC" w:rsidRPr="0057415D" w:rsidRDefault="00316DBC" w:rsidP="00E87834">
            <w:pPr>
              <w:rPr>
                <w:rFonts w:asciiTheme="majorHAnsi" w:hAnsiTheme="majorHAnsi"/>
                <w:sz w:val="22"/>
                <w:szCs w:val="22"/>
              </w:rPr>
            </w:pPr>
            <w:r w:rsidRPr="0057415D">
              <w:rPr>
                <w:rFonts w:asciiTheme="majorHAnsi" w:hAnsiTheme="majorHAnsi"/>
                <w:sz w:val="22"/>
                <w:szCs w:val="22"/>
              </w:rPr>
              <w:t>Percentage of patients satisfied with opening hours</w:t>
            </w:r>
            <w:r w:rsidR="00AA721E" w:rsidRPr="0057415D">
              <w:rPr>
                <w:rFonts w:asciiTheme="majorHAnsi" w:hAnsiTheme="majorHAnsi"/>
                <w:sz w:val="22"/>
                <w:szCs w:val="22"/>
              </w:rPr>
              <w:t xml:space="preserve"> - %</w:t>
            </w:r>
          </w:p>
        </w:tc>
        <w:tc>
          <w:tcPr>
            <w:tcW w:w="7512" w:type="dxa"/>
          </w:tcPr>
          <w:p w14:paraId="31D6B7E3" w14:textId="68CA8060" w:rsidR="00316DBC" w:rsidRPr="0057415D" w:rsidRDefault="00D84A33" w:rsidP="00E87834">
            <w:pPr>
              <w:rPr>
                <w:rFonts w:asciiTheme="majorHAnsi" w:hAnsiTheme="majorHAnsi"/>
                <w:sz w:val="22"/>
                <w:szCs w:val="22"/>
              </w:rPr>
            </w:pPr>
            <w:r w:rsidRPr="0057415D">
              <w:rPr>
                <w:rFonts w:asciiTheme="majorHAnsi" w:hAnsiTheme="majorHAnsi"/>
                <w:sz w:val="22"/>
                <w:szCs w:val="22"/>
              </w:rPr>
              <w:t>The percentage</w:t>
            </w:r>
            <w:r w:rsidR="00316DBC" w:rsidRPr="0057415D">
              <w:rPr>
                <w:rFonts w:asciiTheme="majorHAnsi" w:hAnsiTheme="majorHAnsi"/>
                <w:sz w:val="22"/>
                <w:szCs w:val="22"/>
              </w:rPr>
              <w:t xml:space="preserve"> of patients (aged 18 years or over) participating in the GP Patient Survey 2015/16 who were fairly satisfied or very satisfied wit</w:t>
            </w:r>
            <w:r w:rsidR="007351A4" w:rsidRPr="0057415D">
              <w:rPr>
                <w:rFonts w:asciiTheme="majorHAnsi" w:hAnsiTheme="majorHAnsi"/>
                <w:sz w:val="22"/>
                <w:szCs w:val="22"/>
              </w:rPr>
              <w:t xml:space="preserve">h the opening hours at their </w:t>
            </w:r>
            <w:r w:rsidR="00316DBC" w:rsidRPr="0057415D">
              <w:rPr>
                <w:rFonts w:asciiTheme="majorHAnsi" w:hAnsiTheme="majorHAnsi"/>
                <w:sz w:val="22"/>
                <w:szCs w:val="22"/>
              </w:rPr>
              <w:t>surgery.</w:t>
            </w:r>
          </w:p>
        </w:tc>
      </w:tr>
      <w:tr w:rsidR="00316DBC" w:rsidRPr="0057415D" w14:paraId="5031ADB4" w14:textId="77777777" w:rsidTr="00AA721E">
        <w:tc>
          <w:tcPr>
            <w:tcW w:w="3403" w:type="dxa"/>
          </w:tcPr>
          <w:p w14:paraId="60DFAB0F" w14:textId="4AD9CF03" w:rsidR="00316DBC" w:rsidRPr="0057415D" w:rsidRDefault="00316DBC" w:rsidP="00E87834">
            <w:pPr>
              <w:rPr>
                <w:rFonts w:asciiTheme="majorHAnsi" w:hAnsiTheme="majorHAnsi"/>
                <w:sz w:val="22"/>
                <w:szCs w:val="22"/>
              </w:rPr>
            </w:pPr>
            <w:r w:rsidRPr="0057415D">
              <w:rPr>
                <w:rFonts w:asciiTheme="majorHAnsi" w:hAnsiTheme="majorHAnsi"/>
                <w:sz w:val="22"/>
                <w:szCs w:val="22"/>
              </w:rPr>
              <w:t>Percentage of patients w</w:t>
            </w:r>
            <w:r w:rsidR="00560521" w:rsidRPr="0057415D">
              <w:rPr>
                <w:rFonts w:asciiTheme="majorHAnsi" w:hAnsiTheme="majorHAnsi"/>
                <w:sz w:val="22"/>
                <w:szCs w:val="22"/>
              </w:rPr>
              <w:t>ho saw or spoke to a nurse or doctor</w:t>
            </w:r>
            <w:r w:rsidRPr="0057415D">
              <w:rPr>
                <w:rFonts w:asciiTheme="majorHAnsi" w:hAnsiTheme="majorHAnsi"/>
                <w:sz w:val="22"/>
                <w:szCs w:val="22"/>
              </w:rPr>
              <w:t xml:space="preserve"> the same or next day</w:t>
            </w:r>
            <w:r w:rsidR="00AA721E" w:rsidRPr="0057415D">
              <w:rPr>
                <w:rFonts w:asciiTheme="majorHAnsi" w:hAnsiTheme="majorHAnsi"/>
                <w:sz w:val="22"/>
                <w:szCs w:val="22"/>
              </w:rPr>
              <w:t xml:space="preserve"> - %</w:t>
            </w:r>
          </w:p>
        </w:tc>
        <w:tc>
          <w:tcPr>
            <w:tcW w:w="7512" w:type="dxa"/>
          </w:tcPr>
          <w:p w14:paraId="7FB24DB7" w14:textId="6C40AFE5" w:rsidR="00316DBC" w:rsidRPr="0057415D" w:rsidRDefault="00D84A33" w:rsidP="00E87834">
            <w:pPr>
              <w:rPr>
                <w:rFonts w:asciiTheme="majorHAnsi" w:hAnsiTheme="majorHAnsi"/>
                <w:sz w:val="22"/>
                <w:szCs w:val="22"/>
              </w:rPr>
            </w:pPr>
            <w:r w:rsidRPr="0057415D">
              <w:rPr>
                <w:rFonts w:asciiTheme="majorHAnsi" w:hAnsiTheme="majorHAnsi"/>
                <w:sz w:val="22"/>
                <w:szCs w:val="22"/>
              </w:rPr>
              <w:t>The percentage</w:t>
            </w:r>
            <w:r w:rsidR="00316DBC" w:rsidRPr="0057415D">
              <w:rPr>
                <w:rFonts w:asciiTheme="majorHAnsi" w:hAnsiTheme="majorHAnsi"/>
                <w:sz w:val="22"/>
                <w:szCs w:val="22"/>
              </w:rPr>
              <w:t xml:space="preserve"> of patients (aged 18 years or over) participating in the GP Patient Survey 2015/16 who were ab</w:t>
            </w:r>
            <w:r w:rsidR="0088576A" w:rsidRPr="0057415D">
              <w:rPr>
                <w:rFonts w:asciiTheme="majorHAnsi" w:hAnsiTheme="majorHAnsi"/>
                <w:sz w:val="22"/>
                <w:szCs w:val="22"/>
              </w:rPr>
              <w:t>le to see or speak to a nurse or</w:t>
            </w:r>
            <w:r w:rsidR="007351A4" w:rsidRPr="0057415D">
              <w:rPr>
                <w:rFonts w:asciiTheme="majorHAnsi" w:hAnsiTheme="majorHAnsi"/>
                <w:sz w:val="22"/>
                <w:szCs w:val="22"/>
              </w:rPr>
              <w:t xml:space="preserve"> doctor </w:t>
            </w:r>
            <w:r w:rsidR="00316DBC" w:rsidRPr="0057415D">
              <w:rPr>
                <w:rFonts w:asciiTheme="majorHAnsi" w:hAnsiTheme="majorHAnsi"/>
                <w:sz w:val="22"/>
                <w:szCs w:val="22"/>
              </w:rPr>
              <w:t>on the same or next day wh</w:t>
            </w:r>
            <w:r w:rsidR="007351A4" w:rsidRPr="0057415D">
              <w:rPr>
                <w:rFonts w:asciiTheme="majorHAnsi" w:hAnsiTheme="majorHAnsi"/>
                <w:sz w:val="22"/>
                <w:szCs w:val="22"/>
              </w:rPr>
              <w:t xml:space="preserve">en they last contacted their </w:t>
            </w:r>
            <w:r w:rsidR="00316DBC" w:rsidRPr="0057415D">
              <w:rPr>
                <w:rFonts w:asciiTheme="majorHAnsi" w:hAnsiTheme="majorHAnsi"/>
                <w:sz w:val="22"/>
                <w:szCs w:val="22"/>
              </w:rPr>
              <w:t xml:space="preserve">surgery and </w:t>
            </w:r>
            <w:r w:rsidR="007351A4" w:rsidRPr="0057415D">
              <w:rPr>
                <w:rFonts w:asciiTheme="majorHAnsi" w:hAnsiTheme="majorHAnsi"/>
                <w:sz w:val="22"/>
                <w:szCs w:val="22"/>
              </w:rPr>
              <w:t>wanted to speak to a nurse or doctor</w:t>
            </w:r>
            <w:r w:rsidR="00316DBC" w:rsidRPr="0057415D">
              <w:rPr>
                <w:rFonts w:asciiTheme="majorHAnsi" w:hAnsiTheme="majorHAnsi"/>
                <w:sz w:val="22"/>
                <w:szCs w:val="22"/>
              </w:rPr>
              <w:t>.</w:t>
            </w:r>
          </w:p>
        </w:tc>
      </w:tr>
      <w:tr w:rsidR="00316DBC" w:rsidRPr="0057415D" w14:paraId="2CE3A3DA" w14:textId="77777777" w:rsidTr="00AA721E">
        <w:tc>
          <w:tcPr>
            <w:tcW w:w="3403" w:type="dxa"/>
          </w:tcPr>
          <w:p w14:paraId="1CE1BF1D" w14:textId="5F33B6B5" w:rsidR="00316DBC" w:rsidRPr="0057415D" w:rsidRDefault="00316DBC" w:rsidP="00E87834">
            <w:pPr>
              <w:rPr>
                <w:rFonts w:asciiTheme="majorHAnsi" w:hAnsiTheme="majorHAnsi"/>
                <w:sz w:val="22"/>
                <w:szCs w:val="22"/>
              </w:rPr>
            </w:pPr>
            <w:r w:rsidRPr="0057415D">
              <w:rPr>
                <w:rFonts w:asciiTheme="majorHAnsi" w:hAnsiTheme="majorHAnsi"/>
                <w:sz w:val="22"/>
                <w:szCs w:val="22"/>
              </w:rPr>
              <w:t>Percentage of patients reporting a good overall experience of making an appointment</w:t>
            </w:r>
            <w:r w:rsidR="00AA721E" w:rsidRPr="0057415D">
              <w:rPr>
                <w:rFonts w:asciiTheme="majorHAnsi" w:hAnsiTheme="majorHAnsi"/>
                <w:sz w:val="22"/>
                <w:szCs w:val="22"/>
              </w:rPr>
              <w:t xml:space="preserve"> - %</w:t>
            </w:r>
          </w:p>
        </w:tc>
        <w:tc>
          <w:tcPr>
            <w:tcW w:w="7512" w:type="dxa"/>
          </w:tcPr>
          <w:p w14:paraId="1B6D8485" w14:textId="09BB20F5" w:rsidR="00316DBC" w:rsidRPr="0057415D" w:rsidRDefault="00D84A33" w:rsidP="00E87834">
            <w:pPr>
              <w:rPr>
                <w:rFonts w:asciiTheme="majorHAnsi" w:hAnsiTheme="majorHAnsi"/>
                <w:sz w:val="22"/>
                <w:szCs w:val="22"/>
              </w:rPr>
            </w:pPr>
            <w:r w:rsidRPr="0057415D">
              <w:rPr>
                <w:rFonts w:asciiTheme="majorHAnsi" w:hAnsiTheme="majorHAnsi"/>
                <w:sz w:val="22"/>
                <w:szCs w:val="22"/>
              </w:rPr>
              <w:t>The percentage</w:t>
            </w:r>
            <w:r w:rsidR="00316DBC" w:rsidRPr="0057415D">
              <w:rPr>
                <w:rFonts w:asciiTheme="majorHAnsi" w:hAnsiTheme="majorHAnsi"/>
                <w:sz w:val="22"/>
                <w:szCs w:val="22"/>
              </w:rPr>
              <w:t xml:space="preserve"> of patients (aged 18 year</w:t>
            </w:r>
            <w:r w:rsidR="00147C3A" w:rsidRPr="0057415D">
              <w:rPr>
                <w:rFonts w:asciiTheme="majorHAnsi" w:hAnsiTheme="majorHAnsi"/>
                <w:sz w:val="22"/>
                <w:szCs w:val="22"/>
              </w:rPr>
              <w:t>s</w:t>
            </w:r>
            <w:r w:rsidR="00316DBC" w:rsidRPr="0057415D">
              <w:rPr>
                <w:rFonts w:asciiTheme="majorHAnsi" w:hAnsiTheme="majorHAnsi"/>
                <w:sz w:val="22"/>
                <w:szCs w:val="22"/>
              </w:rPr>
              <w:t xml:space="preserve"> or over) participating in the GP Patient Survey 2015/16 who felt that the experience of making an appointment at their surgery was fairly good or very good.</w:t>
            </w:r>
          </w:p>
        </w:tc>
      </w:tr>
    </w:tbl>
    <w:p w14:paraId="37701DA1" w14:textId="77777777" w:rsidR="003A3DA1" w:rsidRPr="0057415D" w:rsidRDefault="003A3DA1" w:rsidP="00F85C87">
      <w:pPr>
        <w:spacing w:line="480" w:lineRule="auto"/>
        <w:rPr>
          <w:rFonts w:asciiTheme="majorHAnsi" w:hAnsiTheme="majorHAnsi"/>
          <w:sz w:val="22"/>
          <w:szCs w:val="22"/>
        </w:rPr>
      </w:pPr>
    </w:p>
    <w:p w14:paraId="6303D8EF" w14:textId="77777777" w:rsidR="00B53AE3" w:rsidRPr="0057415D" w:rsidRDefault="00B53AE3" w:rsidP="00F85C87">
      <w:pPr>
        <w:spacing w:line="480" w:lineRule="auto"/>
        <w:rPr>
          <w:rFonts w:asciiTheme="majorHAnsi" w:hAnsiTheme="majorHAnsi"/>
          <w:i/>
          <w:sz w:val="22"/>
          <w:szCs w:val="22"/>
        </w:rPr>
      </w:pPr>
    </w:p>
    <w:p w14:paraId="155D9653" w14:textId="77777777" w:rsidR="007351A4" w:rsidRPr="0057415D" w:rsidRDefault="007351A4" w:rsidP="00F85C87">
      <w:pPr>
        <w:spacing w:line="480" w:lineRule="auto"/>
        <w:rPr>
          <w:rFonts w:asciiTheme="majorHAnsi" w:hAnsiTheme="majorHAnsi"/>
          <w:i/>
          <w:sz w:val="22"/>
          <w:szCs w:val="22"/>
        </w:rPr>
      </w:pPr>
    </w:p>
    <w:p w14:paraId="21A3EACE" w14:textId="77777777" w:rsidR="007351A4" w:rsidRPr="0057415D" w:rsidRDefault="007351A4" w:rsidP="00F85C87">
      <w:pPr>
        <w:spacing w:line="480" w:lineRule="auto"/>
        <w:rPr>
          <w:rFonts w:asciiTheme="majorHAnsi" w:hAnsiTheme="majorHAnsi"/>
          <w:i/>
          <w:sz w:val="22"/>
          <w:szCs w:val="22"/>
        </w:rPr>
      </w:pPr>
    </w:p>
    <w:p w14:paraId="06119137" w14:textId="77777777" w:rsidR="007351A4" w:rsidRPr="0057415D" w:rsidRDefault="007351A4" w:rsidP="00F85C87">
      <w:pPr>
        <w:spacing w:line="480" w:lineRule="auto"/>
        <w:rPr>
          <w:rFonts w:asciiTheme="majorHAnsi" w:hAnsiTheme="majorHAnsi"/>
          <w:i/>
          <w:sz w:val="22"/>
          <w:szCs w:val="22"/>
        </w:rPr>
      </w:pPr>
    </w:p>
    <w:p w14:paraId="2668B013" w14:textId="2BEAF4A4" w:rsidR="0002119C" w:rsidRPr="0057415D" w:rsidRDefault="008D4D37" w:rsidP="00F85C87">
      <w:pPr>
        <w:spacing w:line="480" w:lineRule="auto"/>
        <w:rPr>
          <w:rFonts w:asciiTheme="majorHAnsi" w:hAnsiTheme="majorHAnsi"/>
          <w:i/>
          <w:sz w:val="22"/>
          <w:szCs w:val="22"/>
        </w:rPr>
      </w:pPr>
      <w:r w:rsidRPr="0057415D">
        <w:rPr>
          <w:rFonts w:asciiTheme="majorHAnsi" w:hAnsiTheme="majorHAnsi"/>
          <w:i/>
          <w:sz w:val="22"/>
          <w:szCs w:val="22"/>
        </w:rPr>
        <w:lastRenderedPageBreak/>
        <w:t>Ethics</w:t>
      </w:r>
    </w:p>
    <w:p w14:paraId="5359825C" w14:textId="0027C5BF" w:rsidR="008D4D37" w:rsidRPr="0057415D" w:rsidRDefault="008D4D37" w:rsidP="00F85C87">
      <w:pPr>
        <w:spacing w:line="480" w:lineRule="auto"/>
        <w:rPr>
          <w:rFonts w:asciiTheme="majorHAnsi" w:hAnsiTheme="majorHAnsi"/>
          <w:sz w:val="22"/>
          <w:szCs w:val="22"/>
        </w:rPr>
      </w:pPr>
      <w:r w:rsidRPr="0057415D">
        <w:rPr>
          <w:rFonts w:asciiTheme="majorHAnsi" w:hAnsiTheme="majorHAnsi"/>
          <w:sz w:val="22"/>
          <w:szCs w:val="22"/>
        </w:rPr>
        <w:t xml:space="preserve">Ethical approval </w:t>
      </w:r>
      <w:r w:rsidR="0074159F" w:rsidRPr="0057415D">
        <w:rPr>
          <w:rFonts w:asciiTheme="majorHAnsi" w:hAnsiTheme="majorHAnsi"/>
          <w:sz w:val="22"/>
          <w:szCs w:val="22"/>
        </w:rPr>
        <w:t>was not required for this study.</w:t>
      </w:r>
    </w:p>
    <w:p w14:paraId="7C8052C1" w14:textId="77777777" w:rsidR="007A02EB" w:rsidRPr="0057415D" w:rsidRDefault="007A02EB" w:rsidP="00F85C87">
      <w:pPr>
        <w:spacing w:line="480" w:lineRule="auto"/>
        <w:rPr>
          <w:rFonts w:asciiTheme="majorHAnsi" w:hAnsiTheme="majorHAnsi"/>
          <w:sz w:val="22"/>
          <w:szCs w:val="22"/>
        </w:rPr>
      </w:pPr>
    </w:p>
    <w:p w14:paraId="632D8294" w14:textId="61EB4A36" w:rsidR="003A3DA1" w:rsidRPr="0057415D" w:rsidRDefault="003A3DA1" w:rsidP="00F85C87">
      <w:pPr>
        <w:spacing w:line="480" w:lineRule="auto"/>
        <w:rPr>
          <w:rFonts w:asciiTheme="majorHAnsi" w:hAnsiTheme="majorHAnsi"/>
          <w:i/>
          <w:sz w:val="22"/>
          <w:szCs w:val="22"/>
        </w:rPr>
      </w:pPr>
      <w:r w:rsidRPr="0057415D">
        <w:rPr>
          <w:rFonts w:asciiTheme="majorHAnsi" w:hAnsiTheme="majorHAnsi"/>
          <w:i/>
          <w:sz w:val="22"/>
          <w:szCs w:val="22"/>
        </w:rPr>
        <w:t>Analysis</w:t>
      </w:r>
    </w:p>
    <w:p w14:paraId="57742FC0" w14:textId="51156BE3" w:rsidR="00BC2ACD" w:rsidRPr="0057415D" w:rsidRDefault="003A3DA1" w:rsidP="00F85C87">
      <w:pPr>
        <w:spacing w:line="480" w:lineRule="auto"/>
        <w:rPr>
          <w:rFonts w:asciiTheme="majorHAnsi" w:hAnsiTheme="majorHAnsi"/>
          <w:sz w:val="22"/>
          <w:szCs w:val="22"/>
        </w:rPr>
      </w:pPr>
      <w:r w:rsidRPr="0057415D">
        <w:rPr>
          <w:rFonts w:asciiTheme="majorHAnsi" w:hAnsiTheme="majorHAnsi"/>
          <w:sz w:val="22"/>
          <w:szCs w:val="22"/>
        </w:rPr>
        <w:t>The initial stage of analysis was to</w:t>
      </w:r>
      <w:r w:rsidR="00CD3795" w:rsidRPr="0057415D">
        <w:rPr>
          <w:rFonts w:asciiTheme="majorHAnsi" w:hAnsiTheme="majorHAnsi"/>
          <w:sz w:val="22"/>
          <w:szCs w:val="22"/>
        </w:rPr>
        <w:t xml:space="preserve"> address missing data. Where practices had not r</w:t>
      </w:r>
      <w:r w:rsidR="00ED38A7" w:rsidRPr="0057415D">
        <w:rPr>
          <w:rFonts w:asciiTheme="majorHAnsi" w:hAnsiTheme="majorHAnsi"/>
          <w:sz w:val="22"/>
          <w:szCs w:val="22"/>
        </w:rPr>
        <w:t xml:space="preserve">eported </w:t>
      </w:r>
      <w:r w:rsidR="00CD3795" w:rsidRPr="0057415D">
        <w:rPr>
          <w:rFonts w:asciiTheme="majorHAnsi" w:hAnsiTheme="majorHAnsi"/>
          <w:sz w:val="22"/>
          <w:szCs w:val="22"/>
        </w:rPr>
        <w:t xml:space="preserve">MenACWY vaccination uptake via </w:t>
      </w:r>
      <w:proofErr w:type="spellStart"/>
      <w:r w:rsidR="00CD3795" w:rsidRPr="0057415D">
        <w:rPr>
          <w:rFonts w:asciiTheme="majorHAnsi" w:hAnsiTheme="majorHAnsi"/>
          <w:sz w:val="22"/>
          <w:szCs w:val="22"/>
        </w:rPr>
        <w:t>ImmForm</w:t>
      </w:r>
      <w:proofErr w:type="spellEnd"/>
      <w:r w:rsidR="00CD3795" w:rsidRPr="0057415D">
        <w:rPr>
          <w:rFonts w:asciiTheme="majorHAnsi" w:hAnsiTheme="majorHAnsi"/>
          <w:sz w:val="22"/>
          <w:szCs w:val="22"/>
        </w:rPr>
        <w:t xml:space="preserve"> they were excluded from analysis. </w:t>
      </w:r>
      <w:r w:rsidR="00BC2ACD" w:rsidRPr="0057415D">
        <w:rPr>
          <w:rFonts w:asciiTheme="majorHAnsi" w:hAnsiTheme="majorHAnsi"/>
          <w:sz w:val="22"/>
          <w:szCs w:val="22"/>
        </w:rPr>
        <w:t>The median, interquartile range and range were calculated for the dependent variable (vaccine uptake)</w:t>
      </w:r>
      <w:r w:rsidR="007351A4" w:rsidRPr="0057415D">
        <w:rPr>
          <w:rFonts w:asciiTheme="majorHAnsi" w:hAnsiTheme="majorHAnsi"/>
          <w:sz w:val="22"/>
          <w:szCs w:val="22"/>
        </w:rPr>
        <w:t xml:space="preserve"> and each</w:t>
      </w:r>
      <w:r w:rsidR="00BC2ACD" w:rsidRPr="0057415D">
        <w:rPr>
          <w:rFonts w:asciiTheme="majorHAnsi" w:hAnsiTheme="majorHAnsi"/>
          <w:sz w:val="22"/>
          <w:szCs w:val="22"/>
        </w:rPr>
        <w:t xml:space="preserve"> </w:t>
      </w:r>
      <w:r w:rsidR="007351A4" w:rsidRPr="0057415D">
        <w:rPr>
          <w:rFonts w:asciiTheme="majorHAnsi" w:hAnsiTheme="majorHAnsi"/>
          <w:sz w:val="22"/>
          <w:szCs w:val="22"/>
        </w:rPr>
        <w:t xml:space="preserve">general </w:t>
      </w:r>
      <w:r w:rsidR="00BC2ACD" w:rsidRPr="0057415D">
        <w:rPr>
          <w:rFonts w:asciiTheme="majorHAnsi" w:hAnsiTheme="majorHAnsi"/>
          <w:sz w:val="22"/>
          <w:szCs w:val="22"/>
        </w:rPr>
        <w:t>practice</w:t>
      </w:r>
      <w:r w:rsidR="007351A4" w:rsidRPr="0057415D">
        <w:rPr>
          <w:rFonts w:asciiTheme="majorHAnsi" w:hAnsiTheme="majorHAnsi"/>
          <w:sz w:val="22"/>
          <w:szCs w:val="22"/>
        </w:rPr>
        <w:t xml:space="preserve"> level</w:t>
      </w:r>
      <w:r w:rsidR="00BC2ACD" w:rsidRPr="0057415D">
        <w:rPr>
          <w:rFonts w:asciiTheme="majorHAnsi" w:hAnsiTheme="majorHAnsi"/>
          <w:sz w:val="22"/>
          <w:szCs w:val="22"/>
        </w:rPr>
        <w:t xml:space="preserve"> characteristic or performance measure. </w:t>
      </w:r>
    </w:p>
    <w:p w14:paraId="65F10765" w14:textId="77777777" w:rsidR="002525BA" w:rsidRPr="0057415D" w:rsidRDefault="002525BA" w:rsidP="00F85C87">
      <w:pPr>
        <w:spacing w:line="480" w:lineRule="auto"/>
        <w:rPr>
          <w:rFonts w:asciiTheme="majorHAnsi" w:hAnsiTheme="majorHAnsi"/>
          <w:sz w:val="22"/>
          <w:szCs w:val="22"/>
        </w:rPr>
      </w:pPr>
    </w:p>
    <w:p w14:paraId="1F718AEC" w14:textId="2BA088D9" w:rsidR="003A3DA1" w:rsidRPr="0057415D" w:rsidRDefault="00BC2ACD" w:rsidP="00F85C87">
      <w:pPr>
        <w:spacing w:line="480" w:lineRule="auto"/>
        <w:rPr>
          <w:rFonts w:asciiTheme="majorHAnsi" w:eastAsia="MS Gothic" w:hAnsiTheme="majorHAnsi"/>
          <w:color w:val="000000"/>
          <w:sz w:val="22"/>
          <w:szCs w:val="22"/>
        </w:rPr>
      </w:pPr>
      <w:r w:rsidRPr="0057415D">
        <w:rPr>
          <w:rFonts w:asciiTheme="majorHAnsi" w:hAnsiTheme="majorHAnsi"/>
          <w:sz w:val="22"/>
          <w:szCs w:val="22"/>
        </w:rPr>
        <w:t>To investi</w:t>
      </w:r>
      <w:r w:rsidR="007351A4" w:rsidRPr="0057415D">
        <w:rPr>
          <w:rFonts w:asciiTheme="majorHAnsi" w:hAnsiTheme="majorHAnsi"/>
          <w:sz w:val="22"/>
          <w:szCs w:val="22"/>
        </w:rPr>
        <w:t>gate any associations between general practice characteristics and general</w:t>
      </w:r>
      <w:r w:rsidRPr="0057415D">
        <w:rPr>
          <w:rFonts w:asciiTheme="majorHAnsi" w:hAnsiTheme="majorHAnsi"/>
          <w:sz w:val="22"/>
          <w:szCs w:val="22"/>
        </w:rPr>
        <w:t xml:space="preserve"> practice level uptake,</w:t>
      </w:r>
      <w:r w:rsidR="00AD53EA" w:rsidRPr="0057415D">
        <w:rPr>
          <w:rFonts w:asciiTheme="majorHAnsi" w:hAnsiTheme="majorHAnsi"/>
          <w:sz w:val="22"/>
          <w:szCs w:val="22"/>
        </w:rPr>
        <w:t xml:space="preserve"> </w:t>
      </w:r>
      <w:proofErr w:type="spellStart"/>
      <w:r w:rsidR="00AD53EA" w:rsidRPr="0057415D">
        <w:rPr>
          <w:rFonts w:asciiTheme="majorHAnsi" w:hAnsiTheme="majorHAnsi"/>
          <w:sz w:val="22"/>
          <w:szCs w:val="22"/>
        </w:rPr>
        <w:t>univariable</w:t>
      </w:r>
      <w:proofErr w:type="spellEnd"/>
      <w:r w:rsidR="00AD53EA" w:rsidRPr="0057415D">
        <w:rPr>
          <w:rFonts w:asciiTheme="majorHAnsi" w:hAnsiTheme="majorHAnsi"/>
          <w:sz w:val="22"/>
          <w:szCs w:val="22"/>
        </w:rPr>
        <w:t xml:space="preserve"> negative binomial</w:t>
      </w:r>
      <w:r w:rsidR="00CD3795" w:rsidRPr="0057415D">
        <w:rPr>
          <w:rFonts w:asciiTheme="majorHAnsi" w:hAnsiTheme="majorHAnsi"/>
          <w:sz w:val="22"/>
          <w:szCs w:val="22"/>
        </w:rPr>
        <w:t xml:space="preserve"> regression models were constructed whereby the dependent variable was the number of patients vaccinated against MenACWY in 2015/16, offset against the log of the number of patients eligible for vaccination, and the i</w:t>
      </w:r>
      <w:r w:rsidR="007351A4" w:rsidRPr="0057415D">
        <w:rPr>
          <w:rFonts w:asciiTheme="majorHAnsi" w:hAnsiTheme="majorHAnsi"/>
          <w:sz w:val="22"/>
          <w:szCs w:val="22"/>
        </w:rPr>
        <w:t>ndependent variables were the general</w:t>
      </w:r>
      <w:r w:rsidR="00147C3A" w:rsidRPr="0057415D">
        <w:rPr>
          <w:rFonts w:asciiTheme="majorHAnsi" w:hAnsiTheme="majorHAnsi"/>
          <w:sz w:val="22"/>
          <w:szCs w:val="22"/>
        </w:rPr>
        <w:t xml:space="preserve"> practice characteristics detailed</w:t>
      </w:r>
      <w:r w:rsidR="00CD3795" w:rsidRPr="0057415D">
        <w:rPr>
          <w:rFonts w:asciiTheme="majorHAnsi" w:hAnsiTheme="majorHAnsi"/>
          <w:sz w:val="22"/>
          <w:szCs w:val="22"/>
        </w:rPr>
        <w:t xml:space="preserve"> above. Finally, </w:t>
      </w:r>
      <w:r w:rsidR="00AD53EA" w:rsidRPr="0057415D">
        <w:rPr>
          <w:rFonts w:asciiTheme="majorHAnsi" w:hAnsiTheme="majorHAnsi"/>
          <w:sz w:val="22"/>
          <w:szCs w:val="22"/>
        </w:rPr>
        <w:t>multivariable negative binomial</w:t>
      </w:r>
      <w:r w:rsidR="00CD3795" w:rsidRPr="0057415D">
        <w:rPr>
          <w:rFonts w:asciiTheme="majorHAnsi" w:hAnsiTheme="majorHAnsi"/>
          <w:sz w:val="22"/>
          <w:szCs w:val="22"/>
        </w:rPr>
        <w:t xml:space="preserve"> reg</w:t>
      </w:r>
      <w:r w:rsidR="002525BA" w:rsidRPr="0057415D">
        <w:rPr>
          <w:rFonts w:asciiTheme="majorHAnsi" w:hAnsiTheme="majorHAnsi"/>
          <w:sz w:val="22"/>
          <w:szCs w:val="22"/>
        </w:rPr>
        <w:t>ression was used to investigate</w:t>
      </w:r>
      <w:r w:rsidR="00CD3795" w:rsidRPr="0057415D">
        <w:rPr>
          <w:rFonts w:asciiTheme="majorHAnsi" w:hAnsiTheme="majorHAnsi"/>
          <w:sz w:val="22"/>
          <w:szCs w:val="22"/>
        </w:rPr>
        <w:t xml:space="preserve"> the effect of independent variables, adjusted for the effect of</w:t>
      </w:r>
      <w:r w:rsidR="00147C3A" w:rsidRPr="0057415D">
        <w:rPr>
          <w:rFonts w:asciiTheme="majorHAnsi" w:hAnsiTheme="majorHAnsi"/>
          <w:sz w:val="22"/>
          <w:szCs w:val="22"/>
        </w:rPr>
        <w:t xml:space="preserve"> other variables</w:t>
      </w:r>
      <w:r w:rsidR="00CD3795" w:rsidRPr="0057415D">
        <w:rPr>
          <w:rFonts w:asciiTheme="majorHAnsi" w:hAnsiTheme="majorHAnsi"/>
          <w:sz w:val="22"/>
          <w:szCs w:val="22"/>
        </w:rPr>
        <w:t xml:space="preserve">. Variables were entered into the multivariable model if, upon </w:t>
      </w:r>
      <w:proofErr w:type="spellStart"/>
      <w:r w:rsidR="00CD3795" w:rsidRPr="0057415D">
        <w:rPr>
          <w:rFonts w:asciiTheme="majorHAnsi" w:hAnsiTheme="majorHAnsi"/>
          <w:sz w:val="22"/>
          <w:szCs w:val="22"/>
        </w:rPr>
        <w:t>univariable</w:t>
      </w:r>
      <w:proofErr w:type="spellEnd"/>
      <w:r w:rsidR="00CD3795" w:rsidRPr="0057415D">
        <w:rPr>
          <w:rFonts w:asciiTheme="majorHAnsi" w:hAnsiTheme="majorHAnsi"/>
          <w:sz w:val="22"/>
          <w:szCs w:val="22"/>
        </w:rPr>
        <w:t xml:space="preserve"> regression analysis, the p value was </w:t>
      </w:r>
      <w:r w:rsidR="00CD3795" w:rsidRPr="0057415D">
        <w:rPr>
          <w:rFonts w:asciiTheme="majorHAnsi" w:eastAsia="MS Gothic" w:hAnsiTheme="majorHAnsi"/>
          <w:color w:val="000000"/>
          <w:sz w:val="22"/>
          <w:szCs w:val="22"/>
        </w:rPr>
        <w:t>≤</w:t>
      </w:r>
      <w:r w:rsidR="00AD53EA" w:rsidRPr="0057415D">
        <w:rPr>
          <w:rFonts w:asciiTheme="majorHAnsi" w:eastAsia="MS Gothic" w:hAnsiTheme="majorHAnsi"/>
          <w:color w:val="000000"/>
          <w:sz w:val="22"/>
          <w:szCs w:val="22"/>
        </w:rPr>
        <w:t>0.2</w:t>
      </w:r>
      <w:r w:rsidR="00CD3795" w:rsidRPr="0057415D">
        <w:rPr>
          <w:rFonts w:asciiTheme="majorHAnsi" w:eastAsia="MS Gothic" w:hAnsiTheme="majorHAnsi"/>
          <w:color w:val="000000"/>
          <w:sz w:val="22"/>
          <w:szCs w:val="22"/>
        </w:rPr>
        <w:t>. Multivariable associations were considered significant if the p value was ≤</w:t>
      </w:r>
      <w:r w:rsidR="002525BA" w:rsidRPr="0057415D">
        <w:rPr>
          <w:rFonts w:asciiTheme="majorHAnsi" w:eastAsia="MS Gothic" w:hAnsiTheme="majorHAnsi"/>
          <w:color w:val="000000"/>
          <w:sz w:val="22"/>
          <w:szCs w:val="22"/>
        </w:rPr>
        <w:t>0.05</w:t>
      </w:r>
      <w:r w:rsidR="00CD3795" w:rsidRPr="0057415D">
        <w:rPr>
          <w:rFonts w:asciiTheme="majorHAnsi" w:eastAsia="MS Gothic" w:hAnsiTheme="majorHAnsi"/>
          <w:color w:val="000000"/>
          <w:sz w:val="22"/>
          <w:szCs w:val="22"/>
        </w:rPr>
        <w:t>.</w:t>
      </w:r>
      <w:r w:rsidR="008D3F67" w:rsidRPr="0057415D">
        <w:rPr>
          <w:rFonts w:asciiTheme="majorHAnsi" w:eastAsia="MS Gothic" w:hAnsiTheme="majorHAnsi"/>
          <w:color w:val="000000"/>
          <w:sz w:val="22"/>
          <w:szCs w:val="22"/>
        </w:rPr>
        <w:t xml:space="preserve"> Negative binomial regression models were used because there was over-dispersion of the vaccination uptake data.</w:t>
      </w:r>
      <w:r w:rsidR="00CD3795" w:rsidRPr="0057415D">
        <w:rPr>
          <w:rFonts w:asciiTheme="majorHAnsi" w:eastAsia="MS Gothic" w:hAnsiTheme="majorHAnsi"/>
          <w:color w:val="000000"/>
          <w:sz w:val="22"/>
          <w:szCs w:val="22"/>
        </w:rPr>
        <w:t xml:space="preserve"> </w:t>
      </w:r>
      <w:r w:rsidR="00203D9B" w:rsidRPr="0057415D">
        <w:rPr>
          <w:rFonts w:asciiTheme="majorHAnsi" w:eastAsia="MS Gothic" w:hAnsiTheme="majorHAnsi"/>
          <w:color w:val="000000"/>
          <w:sz w:val="22"/>
          <w:szCs w:val="22"/>
        </w:rPr>
        <w:t>All analyses were conducted in IBM SPSS statistics version 22.</w:t>
      </w:r>
    </w:p>
    <w:p w14:paraId="13FD9095" w14:textId="77777777" w:rsidR="00203D9B" w:rsidRPr="0057415D" w:rsidRDefault="00203D9B" w:rsidP="00F85C87">
      <w:pPr>
        <w:spacing w:line="480" w:lineRule="auto"/>
        <w:rPr>
          <w:rFonts w:asciiTheme="majorHAnsi" w:eastAsia="MS Gothic" w:hAnsiTheme="majorHAnsi"/>
          <w:color w:val="000000"/>
          <w:sz w:val="22"/>
          <w:szCs w:val="22"/>
        </w:rPr>
      </w:pPr>
    </w:p>
    <w:p w14:paraId="028F417B" w14:textId="57F3EFEE" w:rsidR="00203D9B" w:rsidRPr="0057415D" w:rsidRDefault="00203D9B" w:rsidP="00F85C87">
      <w:pPr>
        <w:spacing w:line="480" w:lineRule="auto"/>
        <w:rPr>
          <w:rFonts w:asciiTheme="majorHAnsi" w:eastAsia="MS Gothic" w:hAnsiTheme="majorHAnsi"/>
          <w:b/>
          <w:color w:val="000000"/>
          <w:sz w:val="22"/>
          <w:szCs w:val="22"/>
        </w:rPr>
      </w:pPr>
      <w:r w:rsidRPr="0057415D">
        <w:rPr>
          <w:rFonts w:asciiTheme="majorHAnsi" w:eastAsia="MS Gothic" w:hAnsiTheme="majorHAnsi"/>
          <w:b/>
          <w:color w:val="000000"/>
          <w:sz w:val="22"/>
          <w:szCs w:val="22"/>
        </w:rPr>
        <w:t>Results</w:t>
      </w:r>
    </w:p>
    <w:p w14:paraId="4CCFB8DE" w14:textId="506B347D" w:rsidR="00203D9B" w:rsidRPr="0057415D" w:rsidRDefault="00D96FB8" w:rsidP="00F85C87">
      <w:pPr>
        <w:spacing w:line="480" w:lineRule="auto"/>
        <w:rPr>
          <w:rFonts w:asciiTheme="majorHAnsi" w:hAnsiTheme="majorHAnsi"/>
          <w:i/>
          <w:sz w:val="22"/>
          <w:szCs w:val="22"/>
        </w:rPr>
      </w:pPr>
      <w:r w:rsidRPr="0057415D">
        <w:rPr>
          <w:rFonts w:asciiTheme="majorHAnsi" w:hAnsiTheme="majorHAnsi"/>
          <w:i/>
          <w:sz w:val="22"/>
          <w:szCs w:val="22"/>
        </w:rPr>
        <w:t>Descriptive statistics</w:t>
      </w:r>
    </w:p>
    <w:p w14:paraId="3EB60553" w14:textId="60F9CFE1" w:rsidR="00AD5AF2" w:rsidRPr="0057415D" w:rsidRDefault="002525BA" w:rsidP="00F85C87">
      <w:pPr>
        <w:spacing w:line="480" w:lineRule="auto"/>
        <w:rPr>
          <w:rFonts w:asciiTheme="majorHAnsi" w:hAnsiTheme="majorHAnsi"/>
          <w:sz w:val="22"/>
          <w:szCs w:val="22"/>
        </w:rPr>
      </w:pPr>
      <w:r w:rsidRPr="0057415D">
        <w:rPr>
          <w:rFonts w:asciiTheme="majorHAnsi" w:hAnsiTheme="majorHAnsi"/>
          <w:sz w:val="22"/>
          <w:szCs w:val="22"/>
        </w:rPr>
        <w:t xml:space="preserve">Of </w:t>
      </w:r>
      <w:r w:rsidR="00874F17" w:rsidRPr="0057415D">
        <w:rPr>
          <w:rFonts w:asciiTheme="majorHAnsi" w:hAnsiTheme="majorHAnsi"/>
          <w:sz w:val="22"/>
          <w:szCs w:val="22"/>
        </w:rPr>
        <w:t>611 practices across the 20 CCGs, data on MenACWY vaccination uptake was record</w:t>
      </w:r>
      <w:r w:rsidR="00D01386" w:rsidRPr="0057415D">
        <w:rPr>
          <w:rFonts w:asciiTheme="majorHAnsi" w:hAnsiTheme="majorHAnsi"/>
          <w:sz w:val="22"/>
          <w:szCs w:val="22"/>
        </w:rPr>
        <w:t xml:space="preserve">ed via </w:t>
      </w:r>
      <w:proofErr w:type="spellStart"/>
      <w:r w:rsidR="00D01386" w:rsidRPr="0057415D">
        <w:rPr>
          <w:rFonts w:asciiTheme="majorHAnsi" w:hAnsiTheme="majorHAnsi"/>
          <w:sz w:val="22"/>
          <w:szCs w:val="22"/>
        </w:rPr>
        <w:t>ImmForm</w:t>
      </w:r>
      <w:proofErr w:type="spellEnd"/>
      <w:r w:rsidR="00D01386" w:rsidRPr="0057415D">
        <w:rPr>
          <w:rFonts w:asciiTheme="majorHAnsi" w:hAnsiTheme="majorHAnsi"/>
          <w:sz w:val="22"/>
          <w:szCs w:val="22"/>
        </w:rPr>
        <w:t xml:space="preserve"> for 587</w:t>
      </w:r>
      <w:r w:rsidR="00063FFE" w:rsidRPr="0057415D">
        <w:rPr>
          <w:rFonts w:asciiTheme="majorHAnsi" w:hAnsiTheme="majorHAnsi"/>
          <w:sz w:val="22"/>
          <w:szCs w:val="22"/>
        </w:rPr>
        <w:t xml:space="preserve">, </w:t>
      </w:r>
      <w:r w:rsidR="007351A4" w:rsidRPr="0057415D">
        <w:rPr>
          <w:rFonts w:asciiTheme="majorHAnsi" w:hAnsiTheme="majorHAnsi"/>
          <w:sz w:val="22"/>
          <w:szCs w:val="22"/>
        </w:rPr>
        <w:t>representing around 8% of all general</w:t>
      </w:r>
      <w:r w:rsidR="00063FFE" w:rsidRPr="0057415D">
        <w:rPr>
          <w:rFonts w:asciiTheme="majorHAnsi" w:hAnsiTheme="majorHAnsi"/>
          <w:sz w:val="22"/>
          <w:szCs w:val="22"/>
        </w:rPr>
        <w:t xml:space="preserve"> practices in </w:t>
      </w:r>
      <w:proofErr w:type="gramStart"/>
      <w:r w:rsidR="00063FFE" w:rsidRPr="0057415D">
        <w:rPr>
          <w:rFonts w:asciiTheme="majorHAnsi" w:hAnsiTheme="majorHAnsi"/>
          <w:sz w:val="22"/>
          <w:szCs w:val="22"/>
        </w:rPr>
        <w:t>England(</w:t>
      </w:r>
      <w:proofErr w:type="gramEnd"/>
      <w:r w:rsidR="00063FFE" w:rsidRPr="0057415D">
        <w:rPr>
          <w:rFonts w:asciiTheme="majorHAnsi" w:hAnsiTheme="majorHAnsi"/>
          <w:sz w:val="22"/>
          <w:szCs w:val="22"/>
        </w:rPr>
        <w:t>34).</w:t>
      </w:r>
      <w:r w:rsidR="00D2252A" w:rsidRPr="0057415D">
        <w:rPr>
          <w:rFonts w:asciiTheme="majorHAnsi" w:hAnsiTheme="majorHAnsi"/>
          <w:sz w:val="22"/>
          <w:szCs w:val="22"/>
        </w:rPr>
        <w:t xml:space="preserve"> At </w:t>
      </w:r>
      <w:r w:rsidR="001001B1" w:rsidRPr="0057415D">
        <w:rPr>
          <w:rFonts w:asciiTheme="majorHAnsi" w:hAnsiTheme="majorHAnsi"/>
          <w:sz w:val="22"/>
          <w:szCs w:val="22"/>
        </w:rPr>
        <w:t xml:space="preserve">NHS </w:t>
      </w:r>
      <w:r w:rsidR="00D2252A" w:rsidRPr="0057415D">
        <w:rPr>
          <w:rFonts w:asciiTheme="majorHAnsi" w:hAnsiTheme="majorHAnsi"/>
          <w:sz w:val="22"/>
          <w:szCs w:val="22"/>
        </w:rPr>
        <w:t>CCG level, the median</w:t>
      </w:r>
      <w:r w:rsidR="00AA721E" w:rsidRPr="0057415D">
        <w:rPr>
          <w:rFonts w:asciiTheme="majorHAnsi" w:hAnsiTheme="majorHAnsi"/>
          <w:sz w:val="22"/>
          <w:szCs w:val="22"/>
        </w:rPr>
        <w:t xml:space="preserve"> MenACWY vaccination</w:t>
      </w:r>
      <w:r w:rsidR="00D2252A" w:rsidRPr="0057415D">
        <w:rPr>
          <w:rFonts w:asciiTheme="majorHAnsi" w:hAnsiTheme="majorHAnsi"/>
          <w:sz w:val="22"/>
          <w:szCs w:val="22"/>
        </w:rPr>
        <w:t xml:space="preserve"> uptake was</w:t>
      </w:r>
      <w:r w:rsidR="00E041AC" w:rsidRPr="0057415D">
        <w:rPr>
          <w:rFonts w:asciiTheme="majorHAnsi" w:hAnsiTheme="majorHAnsi"/>
          <w:sz w:val="22"/>
          <w:szCs w:val="22"/>
        </w:rPr>
        <w:t xml:space="preserve"> 30.9% (interquartile range=24.9-36.5%)</w:t>
      </w:r>
      <w:r w:rsidR="00D2252A" w:rsidRPr="0057415D">
        <w:rPr>
          <w:rFonts w:asciiTheme="majorHAnsi" w:hAnsiTheme="majorHAnsi"/>
          <w:sz w:val="22"/>
          <w:szCs w:val="22"/>
        </w:rPr>
        <w:t xml:space="preserve"> and ranged from 20.8-46.8</w:t>
      </w:r>
      <w:r w:rsidR="007351A4" w:rsidRPr="0057415D">
        <w:rPr>
          <w:rFonts w:asciiTheme="majorHAnsi" w:hAnsiTheme="majorHAnsi"/>
          <w:sz w:val="22"/>
          <w:szCs w:val="22"/>
        </w:rPr>
        <w:t>%. Descriptive statistics for practice</w:t>
      </w:r>
      <w:r w:rsidR="00D2252A" w:rsidRPr="0057415D">
        <w:rPr>
          <w:rFonts w:asciiTheme="majorHAnsi" w:hAnsiTheme="majorHAnsi"/>
          <w:sz w:val="22"/>
          <w:szCs w:val="22"/>
        </w:rPr>
        <w:t xml:space="preserve"> characteristics are displayed in Table 2.</w:t>
      </w:r>
      <w:r w:rsidR="00D96FB8" w:rsidRPr="0057415D">
        <w:rPr>
          <w:rFonts w:asciiTheme="majorHAnsi" w:hAnsiTheme="majorHAnsi"/>
          <w:sz w:val="22"/>
          <w:szCs w:val="22"/>
        </w:rPr>
        <w:t xml:space="preserve"> </w:t>
      </w:r>
    </w:p>
    <w:p w14:paraId="37E4775B" w14:textId="69DEBFDE" w:rsidR="00E81071" w:rsidRPr="0057415D" w:rsidRDefault="00232DF9" w:rsidP="00B53AE3">
      <w:pPr>
        <w:spacing w:line="480" w:lineRule="auto"/>
        <w:rPr>
          <w:rFonts w:asciiTheme="majorHAnsi" w:hAnsiTheme="majorHAnsi"/>
          <w:sz w:val="22"/>
          <w:szCs w:val="22"/>
        </w:rPr>
      </w:pPr>
      <w:r w:rsidRPr="0057415D">
        <w:rPr>
          <w:rFonts w:asciiTheme="majorHAnsi" w:hAnsiTheme="majorHAnsi"/>
          <w:sz w:val="22"/>
          <w:szCs w:val="22"/>
        </w:rPr>
        <w:lastRenderedPageBreak/>
        <w:t>Table 2</w:t>
      </w:r>
      <w:r w:rsidR="00D2252A" w:rsidRPr="0057415D">
        <w:rPr>
          <w:rFonts w:asciiTheme="majorHAnsi" w:hAnsiTheme="majorHAnsi"/>
          <w:sz w:val="22"/>
          <w:szCs w:val="22"/>
        </w:rPr>
        <w:t>: Table showing</w:t>
      </w:r>
      <w:r w:rsidR="00560521" w:rsidRPr="0057415D">
        <w:rPr>
          <w:rFonts w:asciiTheme="majorHAnsi" w:hAnsiTheme="majorHAnsi"/>
          <w:sz w:val="22"/>
          <w:szCs w:val="22"/>
        </w:rPr>
        <w:t xml:space="preserve"> descriptive statistics for general practice characteristics at general</w:t>
      </w:r>
      <w:r w:rsidR="00D2252A" w:rsidRPr="0057415D">
        <w:rPr>
          <w:rFonts w:asciiTheme="majorHAnsi" w:hAnsiTheme="majorHAnsi"/>
          <w:sz w:val="22"/>
          <w:szCs w:val="22"/>
        </w:rPr>
        <w:t xml:space="preserve"> practice level</w:t>
      </w:r>
      <w:r w:rsidR="00E81071" w:rsidRPr="0057415D">
        <w:rPr>
          <w:rFonts w:asciiTheme="majorHAnsi" w:hAnsiTheme="majorHAnsi"/>
          <w:sz w:val="22"/>
          <w:szCs w:val="22"/>
        </w:rPr>
        <w:t xml:space="preserve"> </w:t>
      </w:r>
    </w:p>
    <w:p w14:paraId="52C3B9D8" w14:textId="77777777" w:rsidR="00E81071" w:rsidRPr="0057415D" w:rsidRDefault="00E81071" w:rsidP="00F1081C">
      <w:pPr>
        <w:rPr>
          <w:rFonts w:asciiTheme="majorHAnsi" w:hAnsiTheme="majorHAnsi"/>
          <w:sz w:val="22"/>
          <w:szCs w:val="22"/>
        </w:rPr>
      </w:pPr>
    </w:p>
    <w:tbl>
      <w:tblPr>
        <w:tblStyle w:val="TableGrid"/>
        <w:tblW w:w="11341" w:type="dxa"/>
        <w:tblInd w:w="-743" w:type="dxa"/>
        <w:tblLook w:val="04A0" w:firstRow="1" w:lastRow="0" w:firstColumn="1" w:lastColumn="0" w:noHBand="0" w:noVBand="1"/>
      </w:tblPr>
      <w:tblGrid>
        <w:gridCol w:w="7372"/>
        <w:gridCol w:w="2835"/>
        <w:gridCol w:w="1134"/>
      </w:tblGrid>
      <w:tr w:rsidR="00D2252A" w:rsidRPr="0057415D" w14:paraId="27FF7348" w14:textId="77777777" w:rsidTr="00D9554A">
        <w:tc>
          <w:tcPr>
            <w:tcW w:w="7372" w:type="dxa"/>
          </w:tcPr>
          <w:p w14:paraId="2899B13E" w14:textId="77777777" w:rsidR="00D2252A" w:rsidRPr="0057415D" w:rsidRDefault="00D2252A" w:rsidP="00D2252A">
            <w:pPr>
              <w:ind w:left="459" w:hanging="459"/>
              <w:rPr>
                <w:rFonts w:asciiTheme="majorHAnsi" w:hAnsiTheme="majorHAnsi"/>
                <w:b/>
                <w:sz w:val="22"/>
              </w:rPr>
            </w:pPr>
            <w:r w:rsidRPr="0057415D">
              <w:rPr>
                <w:rFonts w:asciiTheme="majorHAnsi" w:hAnsiTheme="majorHAnsi"/>
                <w:b/>
                <w:sz w:val="22"/>
              </w:rPr>
              <w:t>Independent variable</w:t>
            </w:r>
          </w:p>
        </w:tc>
        <w:tc>
          <w:tcPr>
            <w:tcW w:w="2835" w:type="dxa"/>
          </w:tcPr>
          <w:p w14:paraId="2B316573" w14:textId="77777777" w:rsidR="00D2252A" w:rsidRPr="0057415D" w:rsidRDefault="00D2252A" w:rsidP="00D2252A">
            <w:pPr>
              <w:rPr>
                <w:rFonts w:asciiTheme="majorHAnsi" w:hAnsiTheme="majorHAnsi"/>
                <w:b/>
                <w:sz w:val="22"/>
              </w:rPr>
            </w:pPr>
            <w:r w:rsidRPr="0057415D">
              <w:rPr>
                <w:rFonts w:asciiTheme="majorHAnsi" w:hAnsiTheme="majorHAnsi"/>
                <w:b/>
                <w:sz w:val="22"/>
              </w:rPr>
              <w:t>Median (interquartile range)</w:t>
            </w:r>
          </w:p>
        </w:tc>
        <w:tc>
          <w:tcPr>
            <w:tcW w:w="1134" w:type="dxa"/>
          </w:tcPr>
          <w:p w14:paraId="210DC306" w14:textId="77777777" w:rsidR="00D2252A" w:rsidRPr="0057415D" w:rsidRDefault="00D2252A" w:rsidP="00D2252A">
            <w:pPr>
              <w:rPr>
                <w:rFonts w:asciiTheme="majorHAnsi" w:hAnsiTheme="majorHAnsi"/>
                <w:b/>
                <w:sz w:val="22"/>
              </w:rPr>
            </w:pPr>
            <w:r w:rsidRPr="0057415D">
              <w:rPr>
                <w:rFonts w:asciiTheme="majorHAnsi" w:hAnsiTheme="majorHAnsi"/>
                <w:b/>
                <w:sz w:val="22"/>
              </w:rPr>
              <w:t>Range</w:t>
            </w:r>
          </w:p>
        </w:tc>
      </w:tr>
      <w:tr w:rsidR="00D2252A" w:rsidRPr="0057415D" w14:paraId="1F3051C5" w14:textId="77777777" w:rsidTr="00D9554A">
        <w:tc>
          <w:tcPr>
            <w:tcW w:w="7372" w:type="dxa"/>
          </w:tcPr>
          <w:p w14:paraId="0DF64A2E" w14:textId="05278AE2" w:rsidR="00D2252A" w:rsidRPr="0057415D" w:rsidRDefault="00D2252A" w:rsidP="00D2252A">
            <w:pPr>
              <w:rPr>
                <w:rFonts w:asciiTheme="majorHAnsi" w:hAnsiTheme="majorHAnsi"/>
                <w:sz w:val="22"/>
              </w:rPr>
            </w:pPr>
            <w:r w:rsidRPr="0057415D">
              <w:rPr>
                <w:rFonts w:asciiTheme="majorHAnsi" w:hAnsiTheme="majorHAnsi"/>
                <w:sz w:val="22"/>
              </w:rPr>
              <w:t>I</w:t>
            </w:r>
            <w:r w:rsidR="007351A4" w:rsidRPr="0057415D">
              <w:rPr>
                <w:rFonts w:asciiTheme="majorHAnsi" w:hAnsiTheme="majorHAnsi"/>
                <w:sz w:val="22"/>
              </w:rPr>
              <w:t>ndex of multiple deprivation (IMD)</w:t>
            </w:r>
            <w:r w:rsidRPr="0057415D">
              <w:rPr>
                <w:rFonts w:asciiTheme="majorHAnsi" w:hAnsiTheme="majorHAnsi"/>
                <w:sz w:val="22"/>
              </w:rPr>
              <w:t xml:space="preserve"> </w:t>
            </w:r>
            <w:r w:rsidR="00AA721E" w:rsidRPr="0057415D">
              <w:rPr>
                <w:rFonts w:asciiTheme="majorHAnsi" w:hAnsiTheme="majorHAnsi"/>
                <w:sz w:val="22"/>
              </w:rPr>
              <w:t>(</w:t>
            </w:r>
            <w:r w:rsidRPr="0057415D">
              <w:rPr>
                <w:rFonts w:asciiTheme="majorHAnsi" w:hAnsiTheme="majorHAnsi"/>
                <w:sz w:val="22"/>
              </w:rPr>
              <w:t>score</w:t>
            </w:r>
            <w:r w:rsidR="00AA721E" w:rsidRPr="0057415D">
              <w:rPr>
                <w:rFonts w:asciiTheme="majorHAnsi" w:hAnsiTheme="majorHAnsi"/>
                <w:sz w:val="22"/>
              </w:rPr>
              <w:t>)</w:t>
            </w:r>
          </w:p>
        </w:tc>
        <w:tc>
          <w:tcPr>
            <w:tcW w:w="2835" w:type="dxa"/>
          </w:tcPr>
          <w:p w14:paraId="3C8882F4" w14:textId="77777777" w:rsidR="00D2252A" w:rsidRPr="0057415D" w:rsidRDefault="00D2252A" w:rsidP="00D2252A">
            <w:pPr>
              <w:rPr>
                <w:rFonts w:asciiTheme="majorHAnsi" w:hAnsiTheme="majorHAnsi"/>
                <w:sz w:val="22"/>
              </w:rPr>
            </w:pPr>
            <w:r w:rsidRPr="0057415D">
              <w:rPr>
                <w:rFonts w:asciiTheme="majorHAnsi" w:hAnsiTheme="majorHAnsi"/>
                <w:sz w:val="22"/>
              </w:rPr>
              <w:t>28.2 (16.6-39.0)</w:t>
            </w:r>
          </w:p>
        </w:tc>
        <w:tc>
          <w:tcPr>
            <w:tcW w:w="1134" w:type="dxa"/>
          </w:tcPr>
          <w:p w14:paraId="5C14A5FA" w14:textId="77777777" w:rsidR="00D2252A" w:rsidRPr="0057415D" w:rsidRDefault="00D2252A" w:rsidP="00D2252A">
            <w:pPr>
              <w:rPr>
                <w:rFonts w:asciiTheme="majorHAnsi" w:hAnsiTheme="majorHAnsi"/>
                <w:sz w:val="22"/>
              </w:rPr>
            </w:pPr>
            <w:r w:rsidRPr="0057415D">
              <w:rPr>
                <w:rFonts w:asciiTheme="majorHAnsi" w:hAnsiTheme="majorHAnsi"/>
                <w:sz w:val="22"/>
              </w:rPr>
              <w:t>5.7-66.5</w:t>
            </w:r>
          </w:p>
        </w:tc>
      </w:tr>
      <w:tr w:rsidR="00D2252A" w:rsidRPr="0057415D" w14:paraId="73D9C900" w14:textId="77777777" w:rsidTr="00D9554A">
        <w:tc>
          <w:tcPr>
            <w:tcW w:w="7372" w:type="dxa"/>
          </w:tcPr>
          <w:p w14:paraId="1BBDC644" w14:textId="157A270B" w:rsidR="00D2252A" w:rsidRPr="0057415D" w:rsidRDefault="00D2252A" w:rsidP="00D2252A">
            <w:pPr>
              <w:rPr>
                <w:rFonts w:asciiTheme="majorHAnsi" w:hAnsiTheme="majorHAnsi"/>
                <w:sz w:val="22"/>
              </w:rPr>
            </w:pPr>
            <w:r w:rsidRPr="0057415D">
              <w:rPr>
                <w:rFonts w:asciiTheme="majorHAnsi" w:hAnsiTheme="majorHAnsi"/>
                <w:sz w:val="22"/>
              </w:rPr>
              <w:t>Percentage</w:t>
            </w:r>
            <w:r w:rsidR="00AA721E" w:rsidRPr="0057415D">
              <w:rPr>
                <w:rFonts w:asciiTheme="majorHAnsi" w:hAnsiTheme="majorHAnsi"/>
                <w:sz w:val="22"/>
              </w:rPr>
              <w:t xml:space="preserve"> patients</w:t>
            </w:r>
            <w:r w:rsidRPr="0057415D">
              <w:rPr>
                <w:rFonts w:asciiTheme="majorHAnsi" w:hAnsiTheme="majorHAnsi"/>
                <w:sz w:val="22"/>
              </w:rPr>
              <w:t xml:space="preserve"> who would recommend practice </w:t>
            </w:r>
            <w:r w:rsidR="00E041AC" w:rsidRPr="0057415D">
              <w:rPr>
                <w:rFonts w:asciiTheme="majorHAnsi" w:hAnsiTheme="majorHAnsi"/>
                <w:sz w:val="22"/>
              </w:rPr>
              <w:t>(%)</w:t>
            </w:r>
          </w:p>
        </w:tc>
        <w:tc>
          <w:tcPr>
            <w:tcW w:w="2835" w:type="dxa"/>
          </w:tcPr>
          <w:p w14:paraId="5A6BCE0E" w14:textId="77777777" w:rsidR="00D2252A" w:rsidRPr="0057415D" w:rsidRDefault="00D2252A" w:rsidP="00D2252A">
            <w:pPr>
              <w:rPr>
                <w:rFonts w:asciiTheme="majorHAnsi" w:hAnsiTheme="majorHAnsi"/>
                <w:sz w:val="22"/>
              </w:rPr>
            </w:pPr>
            <w:r w:rsidRPr="0057415D">
              <w:rPr>
                <w:rFonts w:asciiTheme="majorHAnsi" w:hAnsiTheme="majorHAnsi"/>
                <w:sz w:val="22"/>
              </w:rPr>
              <w:t>80.8 (72.4-87.4)</w:t>
            </w:r>
          </w:p>
        </w:tc>
        <w:tc>
          <w:tcPr>
            <w:tcW w:w="1134" w:type="dxa"/>
          </w:tcPr>
          <w:p w14:paraId="74CCE77E" w14:textId="77777777" w:rsidR="00D2252A" w:rsidRPr="0057415D" w:rsidRDefault="00D2252A" w:rsidP="00D2252A">
            <w:pPr>
              <w:rPr>
                <w:rFonts w:asciiTheme="majorHAnsi" w:hAnsiTheme="majorHAnsi"/>
                <w:sz w:val="22"/>
              </w:rPr>
            </w:pPr>
            <w:r w:rsidRPr="0057415D">
              <w:rPr>
                <w:rFonts w:asciiTheme="majorHAnsi" w:hAnsiTheme="majorHAnsi"/>
                <w:sz w:val="22"/>
              </w:rPr>
              <w:t>31.2-100</w:t>
            </w:r>
          </w:p>
        </w:tc>
      </w:tr>
      <w:tr w:rsidR="00D2252A" w:rsidRPr="0057415D" w14:paraId="786FB089" w14:textId="77777777" w:rsidTr="00D9554A">
        <w:tc>
          <w:tcPr>
            <w:tcW w:w="7372" w:type="dxa"/>
          </w:tcPr>
          <w:p w14:paraId="05010B80" w14:textId="531FB2E5" w:rsidR="00D2252A" w:rsidRPr="0057415D" w:rsidRDefault="00D2252A" w:rsidP="00D2252A">
            <w:pPr>
              <w:rPr>
                <w:rFonts w:asciiTheme="majorHAnsi" w:hAnsiTheme="majorHAnsi"/>
                <w:sz w:val="22"/>
              </w:rPr>
            </w:pPr>
            <w:r w:rsidRPr="0057415D">
              <w:rPr>
                <w:rFonts w:asciiTheme="majorHAnsi" w:hAnsiTheme="majorHAnsi"/>
                <w:sz w:val="22"/>
              </w:rPr>
              <w:t>Percentage satisfied with phone access</w:t>
            </w:r>
            <w:r w:rsidR="00E041AC" w:rsidRPr="0057415D">
              <w:rPr>
                <w:rFonts w:asciiTheme="majorHAnsi" w:hAnsiTheme="majorHAnsi"/>
                <w:sz w:val="22"/>
              </w:rPr>
              <w:t xml:space="preserve"> (%)</w:t>
            </w:r>
          </w:p>
        </w:tc>
        <w:tc>
          <w:tcPr>
            <w:tcW w:w="2835" w:type="dxa"/>
          </w:tcPr>
          <w:p w14:paraId="1422E2C7" w14:textId="77777777" w:rsidR="00D2252A" w:rsidRPr="0057415D" w:rsidRDefault="00D2252A" w:rsidP="00D2252A">
            <w:pPr>
              <w:rPr>
                <w:rFonts w:asciiTheme="majorHAnsi" w:hAnsiTheme="majorHAnsi"/>
                <w:sz w:val="22"/>
              </w:rPr>
            </w:pPr>
            <w:r w:rsidRPr="0057415D">
              <w:rPr>
                <w:rFonts w:asciiTheme="majorHAnsi" w:hAnsiTheme="majorHAnsi"/>
                <w:sz w:val="22"/>
              </w:rPr>
              <w:t>77.3 (64.6-89.0)</w:t>
            </w:r>
          </w:p>
        </w:tc>
        <w:tc>
          <w:tcPr>
            <w:tcW w:w="1134" w:type="dxa"/>
          </w:tcPr>
          <w:p w14:paraId="1962A564" w14:textId="77777777" w:rsidR="00D2252A" w:rsidRPr="0057415D" w:rsidRDefault="00D2252A" w:rsidP="00D2252A">
            <w:pPr>
              <w:rPr>
                <w:rFonts w:asciiTheme="majorHAnsi" w:hAnsiTheme="majorHAnsi"/>
                <w:sz w:val="22"/>
              </w:rPr>
            </w:pPr>
            <w:r w:rsidRPr="0057415D">
              <w:rPr>
                <w:rFonts w:asciiTheme="majorHAnsi" w:hAnsiTheme="majorHAnsi"/>
                <w:sz w:val="22"/>
              </w:rPr>
              <w:t>18.1-100</w:t>
            </w:r>
          </w:p>
        </w:tc>
      </w:tr>
      <w:tr w:rsidR="00D2252A" w:rsidRPr="0057415D" w14:paraId="1DDD043D" w14:textId="77777777" w:rsidTr="00D9554A">
        <w:tc>
          <w:tcPr>
            <w:tcW w:w="7372" w:type="dxa"/>
          </w:tcPr>
          <w:p w14:paraId="6FD47559" w14:textId="021ECD3E" w:rsidR="00D2252A" w:rsidRPr="0057415D" w:rsidRDefault="00D2252A" w:rsidP="00D2252A">
            <w:pPr>
              <w:rPr>
                <w:rFonts w:asciiTheme="majorHAnsi" w:hAnsiTheme="majorHAnsi"/>
                <w:sz w:val="22"/>
              </w:rPr>
            </w:pPr>
            <w:r w:rsidRPr="0057415D">
              <w:rPr>
                <w:rFonts w:asciiTheme="majorHAnsi" w:hAnsiTheme="majorHAnsi"/>
                <w:sz w:val="22"/>
              </w:rPr>
              <w:t>Percentage satisfied with opening hours</w:t>
            </w:r>
            <w:r w:rsidR="00E041AC" w:rsidRPr="0057415D">
              <w:rPr>
                <w:rFonts w:asciiTheme="majorHAnsi" w:hAnsiTheme="majorHAnsi"/>
                <w:sz w:val="22"/>
              </w:rPr>
              <w:t xml:space="preserve"> (%)</w:t>
            </w:r>
          </w:p>
        </w:tc>
        <w:tc>
          <w:tcPr>
            <w:tcW w:w="2835" w:type="dxa"/>
          </w:tcPr>
          <w:p w14:paraId="44A6C1A8" w14:textId="07E1F4E5" w:rsidR="00D2252A" w:rsidRPr="0057415D" w:rsidRDefault="00FB4AAB" w:rsidP="00D2252A">
            <w:pPr>
              <w:rPr>
                <w:rFonts w:asciiTheme="majorHAnsi" w:hAnsiTheme="majorHAnsi"/>
                <w:sz w:val="22"/>
              </w:rPr>
            </w:pPr>
            <w:r w:rsidRPr="0057415D">
              <w:rPr>
                <w:rFonts w:asciiTheme="majorHAnsi" w:hAnsiTheme="majorHAnsi"/>
                <w:sz w:val="22"/>
              </w:rPr>
              <w:t>78.8 (</w:t>
            </w:r>
            <w:r w:rsidR="00D2252A" w:rsidRPr="0057415D">
              <w:rPr>
                <w:rFonts w:asciiTheme="majorHAnsi" w:hAnsiTheme="majorHAnsi"/>
                <w:sz w:val="22"/>
              </w:rPr>
              <w:t>72.6-84.5)</w:t>
            </w:r>
          </w:p>
        </w:tc>
        <w:tc>
          <w:tcPr>
            <w:tcW w:w="1134" w:type="dxa"/>
          </w:tcPr>
          <w:p w14:paraId="4C601A47" w14:textId="3A604DAB" w:rsidR="00D2252A" w:rsidRPr="0057415D" w:rsidRDefault="00D2252A" w:rsidP="00D2252A">
            <w:pPr>
              <w:rPr>
                <w:rFonts w:asciiTheme="majorHAnsi" w:hAnsiTheme="majorHAnsi"/>
                <w:sz w:val="22"/>
              </w:rPr>
            </w:pPr>
            <w:r w:rsidRPr="0057415D">
              <w:rPr>
                <w:rFonts w:asciiTheme="majorHAnsi" w:hAnsiTheme="majorHAnsi"/>
                <w:sz w:val="22"/>
              </w:rPr>
              <w:t>20.9-97</w:t>
            </w:r>
            <w:r w:rsidR="00D9554A" w:rsidRPr="0057415D">
              <w:rPr>
                <w:rFonts w:asciiTheme="majorHAnsi" w:hAnsiTheme="majorHAnsi"/>
                <w:sz w:val="22"/>
              </w:rPr>
              <w:t>.0</w:t>
            </w:r>
          </w:p>
        </w:tc>
      </w:tr>
      <w:tr w:rsidR="00D2252A" w:rsidRPr="0057415D" w14:paraId="7A257A6D" w14:textId="77777777" w:rsidTr="00D9554A">
        <w:tc>
          <w:tcPr>
            <w:tcW w:w="7372" w:type="dxa"/>
          </w:tcPr>
          <w:p w14:paraId="42F867F5" w14:textId="5EB19F19" w:rsidR="00D2252A" w:rsidRPr="0057415D" w:rsidRDefault="00D2252A" w:rsidP="00D2252A">
            <w:pPr>
              <w:rPr>
                <w:rFonts w:asciiTheme="majorHAnsi" w:hAnsiTheme="majorHAnsi"/>
                <w:sz w:val="22"/>
              </w:rPr>
            </w:pPr>
            <w:r w:rsidRPr="0057415D">
              <w:rPr>
                <w:rFonts w:asciiTheme="majorHAnsi" w:hAnsiTheme="majorHAnsi"/>
                <w:sz w:val="22"/>
              </w:rPr>
              <w:t>Perc</w:t>
            </w:r>
            <w:r w:rsidR="00560521" w:rsidRPr="0057415D">
              <w:rPr>
                <w:rFonts w:asciiTheme="majorHAnsi" w:hAnsiTheme="majorHAnsi"/>
                <w:sz w:val="22"/>
              </w:rPr>
              <w:t>entage who saw/spoke to nurse/doctor</w:t>
            </w:r>
            <w:r w:rsidRPr="0057415D">
              <w:rPr>
                <w:rFonts w:asciiTheme="majorHAnsi" w:hAnsiTheme="majorHAnsi"/>
                <w:sz w:val="22"/>
              </w:rPr>
              <w:t xml:space="preserve"> same or next day</w:t>
            </w:r>
            <w:r w:rsidR="00E041AC" w:rsidRPr="0057415D">
              <w:rPr>
                <w:rFonts w:asciiTheme="majorHAnsi" w:hAnsiTheme="majorHAnsi"/>
                <w:sz w:val="22"/>
              </w:rPr>
              <w:t xml:space="preserve"> (%)</w:t>
            </w:r>
          </w:p>
        </w:tc>
        <w:tc>
          <w:tcPr>
            <w:tcW w:w="2835" w:type="dxa"/>
          </w:tcPr>
          <w:p w14:paraId="4EB90D00" w14:textId="77777777" w:rsidR="00D2252A" w:rsidRPr="0057415D" w:rsidRDefault="00D2252A" w:rsidP="00D2252A">
            <w:pPr>
              <w:rPr>
                <w:rFonts w:asciiTheme="majorHAnsi" w:hAnsiTheme="majorHAnsi"/>
                <w:sz w:val="22"/>
              </w:rPr>
            </w:pPr>
            <w:r w:rsidRPr="0057415D">
              <w:rPr>
                <w:rFonts w:asciiTheme="majorHAnsi" w:hAnsiTheme="majorHAnsi"/>
                <w:sz w:val="22"/>
              </w:rPr>
              <w:t>52.5 (41.6-67.2)</w:t>
            </w:r>
          </w:p>
        </w:tc>
        <w:tc>
          <w:tcPr>
            <w:tcW w:w="1134" w:type="dxa"/>
          </w:tcPr>
          <w:p w14:paraId="2C34A187" w14:textId="77777777" w:rsidR="00D2252A" w:rsidRPr="0057415D" w:rsidRDefault="00D2252A" w:rsidP="00D2252A">
            <w:pPr>
              <w:rPr>
                <w:rFonts w:asciiTheme="majorHAnsi" w:hAnsiTheme="majorHAnsi"/>
                <w:sz w:val="22"/>
              </w:rPr>
            </w:pPr>
            <w:r w:rsidRPr="0057415D">
              <w:rPr>
                <w:rFonts w:asciiTheme="majorHAnsi" w:hAnsiTheme="majorHAnsi"/>
                <w:sz w:val="22"/>
              </w:rPr>
              <w:t>17.2-91.3</w:t>
            </w:r>
          </w:p>
        </w:tc>
      </w:tr>
      <w:tr w:rsidR="00D2252A" w:rsidRPr="0057415D" w14:paraId="27916D9A" w14:textId="77777777" w:rsidTr="00D9554A">
        <w:tc>
          <w:tcPr>
            <w:tcW w:w="7372" w:type="dxa"/>
          </w:tcPr>
          <w:p w14:paraId="0AD6A542" w14:textId="0FADB388" w:rsidR="00D2252A" w:rsidRPr="0057415D" w:rsidRDefault="00D2252A" w:rsidP="00D2252A">
            <w:pPr>
              <w:rPr>
                <w:rFonts w:asciiTheme="majorHAnsi" w:hAnsiTheme="majorHAnsi"/>
                <w:sz w:val="22"/>
              </w:rPr>
            </w:pPr>
            <w:r w:rsidRPr="0057415D">
              <w:rPr>
                <w:rFonts w:asciiTheme="majorHAnsi" w:hAnsiTheme="majorHAnsi"/>
                <w:sz w:val="22"/>
              </w:rPr>
              <w:t>Percentage reporting good overall experience of making an appointment</w:t>
            </w:r>
            <w:r w:rsidR="00E041AC" w:rsidRPr="0057415D">
              <w:rPr>
                <w:rFonts w:asciiTheme="majorHAnsi" w:hAnsiTheme="majorHAnsi"/>
                <w:sz w:val="22"/>
              </w:rPr>
              <w:t xml:space="preserve"> (%)</w:t>
            </w:r>
          </w:p>
        </w:tc>
        <w:tc>
          <w:tcPr>
            <w:tcW w:w="2835" w:type="dxa"/>
          </w:tcPr>
          <w:p w14:paraId="678E799D" w14:textId="77777777" w:rsidR="00D2252A" w:rsidRPr="0057415D" w:rsidRDefault="00D2252A" w:rsidP="00D2252A">
            <w:pPr>
              <w:rPr>
                <w:rFonts w:asciiTheme="majorHAnsi" w:hAnsiTheme="majorHAnsi"/>
                <w:sz w:val="22"/>
              </w:rPr>
            </w:pPr>
            <w:r w:rsidRPr="0057415D">
              <w:rPr>
                <w:rFonts w:asciiTheme="majorHAnsi" w:hAnsiTheme="majorHAnsi"/>
                <w:sz w:val="22"/>
              </w:rPr>
              <w:t>77.1 (69.0-85.3)</w:t>
            </w:r>
          </w:p>
        </w:tc>
        <w:tc>
          <w:tcPr>
            <w:tcW w:w="1134" w:type="dxa"/>
          </w:tcPr>
          <w:p w14:paraId="5FDC756B" w14:textId="77777777" w:rsidR="00D2252A" w:rsidRPr="0057415D" w:rsidRDefault="00D2252A" w:rsidP="00D2252A">
            <w:pPr>
              <w:rPr>
                <w:rFonts w:asciiTheme="majorHAnsi" w:hAnsiTheme="majorHAnsi"/>
                <w:sz w:val="22"/>
              </w:rPr>
            </w:pPr>
            <w:r w:rsidRPr="0057415D">
              <w:rPr>
                <w:rFonts w:asciiTheme="majorHAnsi" w:hAnsiTheme="majorHAnsi"/>
                <w:sz w:val="22"/>
              </w:rPr>
              <w:t>8.0-100</w:t>
            </w:r>
          </w:p>
        </w:tc>
      </w:tr>
      <w:tr w:rsidR="00D2252A" w:rsidRPr="0057415D" w14:paraId="39D3FCFE" w14:textId="77777777" w:rsidTr="00D9554A">
        <w:tc>
          <w:tcPr>
            <w:tcW w:w="7372" w:type="dxa"/>
          </w:tcPr>
          <w:p w14:paraId="11267DB9" w14:textId="62E7DE58" w:rsidR="00D2252A" w:rsidRPr="0057415D" w:rsidRDefault="00D2252A" w:rsidP="00D2252A">
            <w:pPr>
              <w:rPr>
                <w:rFonts w:asciiTheme="majorHAnsi" w:hAnsiTheme="majorHAnsi"/>
                <w:sz w:val="22"/>
              </w:rPr>
            </w:pPr>
            <w:r w:rsidRPr="0057415D">
              <w:rPr>
                <w:rFonts w:asciiTheme="majorHAnsi" w:hAnsiTheme="majorHAnsi"/>
                <w:sz w:val="22"/>
              </w:rPr>
              <w:t>Total Q</w:t>
            </w:r>
            <w:r w:rsidR="00D9554A" w:rsidRPr="0057415D">
              <w:rPr>
                <w:rFonts w:asciiTheme="majorHAnsi" w:hAnsiTheme="majorHAnsi"/>
                <w:sz w:val="22"/>
              </w:rPr>
              <w:t xml:space="preserve">uality and </w:t>
            </w:r>
            <w:r w:rsidRPr="0057415D">
              <w:rPr>
                <w:rFonts w:asciiTheme="majorHAnsi" w:hAnsiTheme="majorHAnsi"/>
                <w:sz w:val="22"/>
              </w:rPr>
              <w:t>O</w:t>
            </w:r>
            <w:r w:rsidR="00D9554A" w:rsidRPr="0057415D">
              <w:rPr>
                <w:rFonts w:asciiTheme="majorHAnsi" w:hAnsiTheme="majorHAnsi"/>
                <w:sz w:val="22"/>
              </w:rPr>
              <w:t xml:space="preserve">utcomes </w:t>
            </w:r>
            <w:r w:rsidRPr="0057415D">
              <w:rPr>
                <w:rFonts w:asciiTheme="majorHAnsi" w:hAnsiTheme="majorHAnsi"/>
                <w:sz w:val="22"/>
              </w:rPr>
              <w:t>F</w:t>
            </w:r>
            <w:r w:rsidR="00D9554A" w:rsidRPr="0057415D">
              <w:rPr>
                <w:rFonts w:asciiTheme="majorHAnsi" w:hAnsiTheme="majorHAnsi"/>
                <w:sz w:val="22"/>
              </w:rPr>
              <w:t>ramework</w:t>
            </w:r>
            <w:r w:rsidRPr="0057415D">
              <w:rPr>
                <w:rFonts w:asciiTheme="majorHAnsi" w:hAnsiTheme="majorHAnsi"/>
                <w:sz w:val="22"/>
              </w:rPr>
              <w:t xml:space="preserve"> points</w:t>
            </w:r>
            <w:r w:rsidR="00AA721E" w:rsidRPr="0057415D">
              <w:rPr>
                <w:rFonts w:asciiTheme="majorHAnsi" w:hAnsiTheme="majorHAnsi"/>
                <w:sz w:val="22"/>
              </w:rPr>
              <w:t xml:space="preserve"> as percentage of all available</w:t>
            </w:r>
            <w:r w:rsidR="00E041AC" w:rsidRPr="0057415D">
              <w:rPr>
                <w:rFonts w:asciiTheme="majorHAnsi" w:hAnsiTheme="majorHAnsi"/>
                <w:sz w:val="22"/>
              </w:rPr>
              <w:t xml:space="preserve"> (%)</w:t>
            </w:r>
          </w:p>
        </w:tc>
        <w:tc>
          <w:tcPr>
            <w:tcW w:w="2835" w:type="dxa"/>
          </w:tcPr>
          <w:p w14:paraId="0CB1CE58" w14:textId="77777777" w:rsidR="00D2252A" w:rsidRPr="0057415D" w:rsidRDefault="00D2252A" w:rsidP="00D2252A">
            <w:pPr>
              <w:rPr>
                <w:rFonts w:asciiTheme="majorHAnsi" w:hAnsiTheme="majorHAnsi"/>
                <w:sz w:val="22"/>
              </w:rPr>
            </w:pPr>
            <w:r w:rsidRPr="0057415D">
              <w:rPr>
                <w:rFonts w:asciiTheme="majorHAnsi" w:hAnsiTheme="majorHAnsi"/>
                <w:sz w:val="22"/>
              </w:rPr>
              <w:t>98.1 (95.4-99.7)</w:t>
            </w:r>
          </w:p>
        </w:tc>
        <w:tc>
          <w:tcPr>
            <w:tcW w:w="1134" w:type="dxa"/>
          </w:tcPr>
          <w:p w14:paraId="1C45B8EC" w14:textId="77777777" w:rsidR="00D2252A" w:rsidRPr="0057415D" w:rsidRDefault="00D2252A" w:rsidP="00D2252A">
            <w:pPr>
              <w:rPr>
                <w:rFonts w:asciiTheme="majorHAnsi" w:hAnsiTheme="majorHAnsi"/>
                <w:sz w:val="22"/>
              </w:rPr>
            </w:pPr>
            <w:r w:rsidRPr="0057415D">
              <w:rPr>
                <w:rFonts w:asciiTheme="majorHAnsi" w:hAnsiTheme="majorHAnsi"/>
                <w:sz w:val="22"/>
              </w:rPr>
              <w:t>66.8-100</w:t>
            </w:r>
          </w:p>
        </w:tc>
      </w:tr>
      <w:tr w:rsidR="00D2252A" w:rsidRPr="0057415D" w14:paraId="40C88733" w14:textId="77777777" w:rsidTr="00D9554A">
        <w:tc>
          <w:tcPr>
            <w:tcW w:w="7372" w:type="dxa"/>
          </w:tcPr>
          <w:p w14:paraId="149D6C26" w14:textId="193F6049" w:rsidR="00D2252A" w:rsidRPr="0057415D" w:rsidRDefault="00AA721E" w:rsidP="00D2252A">
            <w:pPr>
              <w:rPr>
                <w:rFonts w:asciiTheme="majorHAnsi" w:hAnsiTheme="majorHAnsi"/>
                <w:sz w:val="22"/>
              </w:rPr>
            </w:pPr>
            <w:r w:rsidRPr="0057415D">
              <w:rPr>
                <w:rFonts w:asciiTheme="majorHAnsi" w:hAnsiTheme="majorHAnsi"/>
                <w:sz w:val="22"/>
              </w:rPr>
              <w:t>Percentage of patients from a n</w:t>
            </w:r>
            <w:r w:rsidR="00D2252A" w:rsidRPr="0057415D">
              <w:rPr>
                <w:rFonts w:asciiTheme="majorHAnsi" w:hAnsiTheme="majorHAnsi"/>
                <w:sz w:val="22"/>
              </w:rPr>
              <w:t>on-White ethnic minority</w:t>
            </w:r>
            <w:r w:rsidR="00E041AC" w:rsidRPr="0057415D">
              <w:rPr>
                <w:rFonts w:asciiTheme="majorHAnsi" w:hAnsiTheme="majorHAnsi"/>
                <w:sz w:val="22"/>
              </w:rPr>
              <w:t xml:space="preserve"> (%)</w:t>
            </w:r>
          </w:p>
        </w:tc>
        <w:tc>
          <w:tcPr>
            <w:tcW w:w="2835" w:type="dxa"/>
          </w:tcPr>
          <w:p w14:paraId="764AB968" w14:textId="77777777" w:rsidR="00D2252A" w:rsidRPr="0057415D" w:rsidRDefault="00D2252A" w:rsidP="00D2252A">
            <w:pPr>
              <w:rPr>
                <w:rFonts w:asciiTheme="majorHAnsi" w:hAnsiTheme="majorHAnsi"/>
                <w:sz w:val="22"/>
              </w:rPr>
            </w:pPr>
            <w:r w:rsidRPr="0057415D">
              <w:rPr>
                <w:rFonts w:asciiTheme="majorHAnsi" w:hAnsiTheme="majorHAnsi"/>
                <w:sz w:val="22"/>
              </w:rPr>
              <w:t>2.7 (2.0-5.3)</w:t>
            </w:r>
          </w:p>
        </w:tc>
        <w:tc>
          <w:tcPr>
            <w:tcW w:w="1134" w:type="dxa"/>
          </w:tcPr>
          <w:p w14:paraId="2BB7AF30" w14:textId="77777777" w:rsidR="00D2252A" w:rsidRPr="0057415D" w:rsidRDefault="00D2252A" w:rsidP="00D2252A">
            <w:pPr>
              <w:rPr>
                <w:rFonts w:asciiTheme="majorHAnsi" w:hAnsiTheme="majorHAnsi"/>
                <w:sz w:val="22"/>
              </w:rPr>
            </w:pPr>
            <w:r w:rsidRPr="0057415D">
              <w:rPr>
                <w:rFonts w:asciiTheme="majorHAnsi" w:hAnsiTheme="majorHAnsi"/>
                <w:sz w:val="22"/>
              </w:rPr>
              <w:t>0.8-73.8</w:t>
            </w:r>
          </w:p>
        </w:tc>
      </w:tr>
      <w:tr w:rsidR="00D2252A" w:rsidRPr="0057415D" w14:paraId="56A8FA03" w14:textId="77777777" w:rsidTr="00D9554A">
        <w:tc>
          <w:tcPr>
            <w:tcW w:w="7372" w:type="dxa"/>
          </w:tcPr>
          <w:p w14:paraId="67F7834C" w14:textId="60FFD145" w:rsidR="00D2252A" w:rsidRPr="0057415D" w:rsidRDefault="00D2252A" w:rsidP="00D2252A">
            <w:pPr>
              <w:rPr>
                <w:rFonts w:asciiTheme="majorHAnsi" w:hAnsiTheme="majorHAnsi"/>
                <w:sz w:val="22"/>
              </w:rPr>
            </w:pPr>
            <w:r w:rsidRPr="0057415D">
              <w:rPr>
                <w:rFonts w:asciiTheme="majorHAnsi" w:hAnsiTheme="majorHAnsi"/>
                <w:sz w:val="22"/>
              </w:rPr>
              <w:t>Percentage</w:t>
            </w:r>
            <w:r w:rsidR="00AA721E" w:rsidRPr="0057415D">
              <w:rPr>
                <w:rFonts w:asciiTheme="majorHAnsi" w:hAnsiTheme="majorHAnsi"/>
                <w:sz w:val="22"/>
              </w:rPr>
              <w:t xml:space="preserve"> of patients</w:t>
            </w:r>
            <w:r w:rsidRPr="0057415D">
              <w:rPr>
                <w:rFonts w:asciiTheme="majorHAnsi" w:hAnsiTheme="majorHAnsi"/>
                <w:sz w:val="22"/>
              </w:rPr>
              <w:t xml:space="preserve"> aged 15-24 years</w:t>
            </w:r>
            <w:r w:rsidR="00E041AC" w:rsidRPr="0057415D">
              <w:rPr>
                <w:rFonts w:asciiTheme="majorHAnsi" w:hAnsiTheme="majorHAnsi"/>
                <w:sz w:val="22"/>
              </w:rPr>
              <w:t xml:space="preserve"> (%)</w:t>
            </w:r>
          </w:p>
        </w:tc>
        <w:tc>
          <w:tcPr>
            <w:tcW w:w="2835" w:type="dxa"/>
          </w:tcPr>
          <w:p w14:paraId="1D74D74C" w14:textId="77777777" w:rsidR="00D2252A" w:rsidRPr="0057415D" w:rsidRDefault="00D2252A" w:rsidP="00D2252A">
            <w:pPr>
              <w:rPr>
                <w:rFonts w:asciiTheme="majorHAnsi" w:hAnsiTheme="majorHAnsi"/>
                <w:sz w:val="22"/>
              </w:rPr>
            </w:pPr>
            <w:r w:rsidRPr="0057415D">
              <w:rPr>
                <w:rFonts w:asciiTheme="majorHAnsi" w:hAnsiTheme="majorHAnsi"/>
                <w:sz w:val="22"/>
              </w:rPr>
              <w:t>11.8 (10.3-12.5)</w:t>
            </w:r>
          </w:p>
        </w:tc>
        <w:tc>
          <w:tcPr>
            <w:tcW w:w="1134" w:type="dxa"/>
          </w:tcPr>
          <w:p w14:paraId="26744C89" w14:textId="77777777" w:rsidR="00D2252A" w:rsidRPr="0057415D" w:rsidRDefault="00D2252A" w:rsidP="00D2252A">
            <w:pPr>
              <w:rPr>
                <w:rFonts w:asciiTheme="majorHAnsi" w:hAnsiTheme="majorHAnsi"/>
                <w:sz w:val="22"/>
              </w:rPr>
            </w:pPr>
            <w:r w:rsidRPr="0057415D">
              <w:rPr>
                <w:rFonts w:asciiTheme="majorHAnsi" w:hAnsiTheme="majorHAnsi"/>
                <w:sz w:val="22"/>
              </w:rPr>
              <w:t>7.0-55.3</w:t>
            </w:r>
          </w:p>
        </w:tc>
      </w:tr>
    </w:tbl>
    <w:p w14:paraId="6AB0AAC0" w14:textId="77777777" w:rsidR="00874F17" w:rsidRPr="0057415D" w:rsidRDefault="00874F17" w:rsidP="00F85C87">
      <w:pPr>
        <w:spacing w:line="480" w:lineRule="auto"/>
        <w:rPr>
          <w:rFonts w:asciiTheme="majorHAnsi" w:hAnsiTheme="majorHAnsi"/>
          <w:sz w:val="22"/>
          <w:szCs w:val="22"/>
        </w:rPr>
      </w:pPr>
    </w:p>
    <w:p w14:paraId="4DC674C9" w14:textId="77777777" w:rsidR="007351A4" w:rsidRPr="0057415D" w:rsidRDefault="007351A4" w:rsidP="00F85C87">
      <w:pPr>
        <w:spacing w:line="480" w:lineRule="auto"/>
        <w:rPr>
          <w:rFonts w:asciiTheme="majorHAnsi" w:hAnsiTheme="majorHAnsi"/>
          <w:i/>
          <w:sz w:val="22"/>
          <w:szCs w:val="22"/>
        </w:rPr>
      </w:pPr>
    </w:p>
    <w:p w14:paraId="3150F653" w14:textId="7F9F1472" w:rsidR="00E81071" w:rsidRPr="0057415D" w:rsidRDefault="00E81071" w:rsidP="00F85C87">
      <w:pPr>
        <w:spacing w:line="480" w:lineRule="auto"/>
        <w:rPr>
          <w:rFonts w:asciiTheme="majorHAnsi" w:hAnsiTheme="majorHAnsi"/>
          <w:i/>
          <w:sz w:val="22"/>
          <w:szCs w:val="22"/>
        </w:rPr>
      </w:pPr>
      <w:proofErr w:type="spellStart"/>
      <w:r w:rsidRPr="0057415D">
        <w:rPr>
          <w:rFonts w:asciiTheme="majorHAnsi" w:hAnsiTheme="majorHAnsi"/>
          <w:i/>
          <w:sz w:val="22"/>
          <w:szCs w:val="22"/>
        </w:rPr>
        <w:t>Univariable</w:t>
      </w:r>
      <w:proofErr w:type="spellEnd"/>
      <w:r w:rsidRPr="0057415D">
        <w:rPr>
          <w:rFonts w:asciiTheme="majorHAnsi" w:hAnsiTheme="majorHAnsi"/>
          <w:i/>
          <w:sz w:val="22"/>
          <w:szCs w:val="22"/>
        </w:rPr>
        <w:t xml:space="preserve"> regression analysis</w:t>
      </w:r>
    </w:p>
    <w:p w14:paraId="3A8D4249" w14:textId="6FFC4DFB" w:rsidR="00E81071" w:rsidRPr="0057415D" w:rsidRDefault="00E81071" w:rsidP="00F85C87">
      <w:pPr>
        <w:spacing w:line="480" w:lineRule="auto"/>
        <w:rPr>
          <w:rFonts w:asciiTheme="majorHAnsi" w:hAnsiTheme="majorHAnsi"/>
          <w:sz w:val="22"/>
          <w:szCs w:val="22"/>
        </w:rPr>
      </w:pPr>
      <w:r w:rsidRPr="0057415D">
        <w:rPr>
          <w:rFonts w:asciiTheme="majorHAnsi" w:hAnsiTheme="majorHAnsi"/>
          <w:sz w:val="22"/>
          <w:szCs w:val="22"/>
        </w:rPr>
        <w:t>The factors that were associated with MenACWY vaccination</w:t>
      </w:r>
      <w:r w:rsidR="00AD53EA" w:rsidRPr="0057415D">
        <w:rPr>
          <w:rFonts w:asciiTheme="majorHAnsi" w:hAnsiTheme="majorHAnsi"/>
          <w:sz w:val="22"/>
          <w:szCs w:val="22"/>
        </w:rPr>
        <w:t xml:space="preserve"> uptake upon </w:t>
      </w:r>
      <w:proofErr w:type="spellStart"/>
      <w:r w:rsidR="00AD53EA" w:rsidRPr="0057415D">
        <w:rPr>
          <w:rFonts w:asciiTheme="majorHAnsi" w:hAnsiTheme="majorHAnsi"/>
          <w:sz w:val="22"/>
          <w:szCs w:val="22"/>
        </w:rPr>
        <w:t>univariable</w:t>
      </w:r>
      <w:proofErr w:type="spellEnd"/>
      <w:r w:rsidRPr="0057415D">
        <w:rPr>
          <w:rFonts w:asciiTheme="majorHAnsi" w:hAnsiTheme="majorHAnsi"/>
          <w:sz w:val="22"/>
          <w:szCs w:val="22"/>
        </w:rPr>
        <w:t xml:space="preserve"> regression analysis were</w:t>
      </w:r>
      <w:r w:rsidR="003D4E84" w:rsidRPr="0057415D">
        <w:rPr>
          <w:rFonts w:asciiTheme="majorHAnsi" w:hAnsiTheme="majorHAnsi"/>
          <w:sz w:val="22"/>
          <w:szCs w:val="22"/>
        </w:rPr>
        <w:t>:</w:t>
      </w:r>
      <w:r w:rsidRPr="0057415D">
        <w:rPr>
          <w:rFonts w:asciiTheme="majorHAnsi" w:hAnsiTheme="majorHAnsi"/>
          <w:sz w:val="22"/>
          <w:szCs w:val="22"/>
        </w:rPr>
        <w:t xml:space="preserve"> deprivation, the percentage</w:t>
      </w:r>
      <w:r w:rsidR="00F1081C" w:rsidRPr="0057415D">
        <w:rPr>
          <w:rFonts w:asciiTheme="majorHAnsi" w:hAnsiTheme="majorHAnsi"/>
          <w:sz w:val="22"/>
          <w:szCs w:val="22"/>
        </w:rPr>
        <w:t xml:space="preserve"> of patients</w:t>
      </w:r>
      <w:r w:rsidRPr="0057415D">
        <w:rPr>
          <w:rFonts w:asciiTheme="majorHAnsi" w:hAnsiTheme="majorHAnsi"/>
          <w:sz w:val="22"/>
          <w:szCs w:val="22"/>
        </w:rPr>
        <w:t xml:space="preserve"> that would recommend the</w:t>
      </w:r>
      <w:r w:rsidR="00ED38A7" w:rsidRPr="0057415D">
        <w:rPr>
          <w:rFonts w:asciiTheme="majorHAnsi" w:hAnsiTheme="majorHAnsi"/>
          <w:sz w:val="22"/>
          <w:szCs w:val="22"/>
        </w:rPr>
        <w:t xml:space="preserve"> practice, that were from</w:t>
      </w:r>
      <w:r w:rsidR="002525BA" w:rsidRPr="0057415D">
        <w:rPr>
          <w:rFonts w:asciiTheme="majorHAnsi" w:hAnsiTheme="majorHAnsi"/>
          <w:sz w:val="22"/>
          <w:szCs w:val="22"/>
        </w:rPr>
        <w:t xml:space="preserve"> a non-W</w:t>
      </w:r>
      <w:r w:rsidRPr="0057415D">
        <w:rPr>
          <w:rFonts w:asciiTheme="majorHAnsi" w:hAnsiTheme="majorHAnsi"/>
          <w:sz w:val="22"/>
          <w:szCs w:val="22"/>
        </w:rPr>
        <w:t>hite ethnic minority</w:t>
      </w:r>
      <w:r w:rsidR="00F87FF0" w:rsidRPr="0057415D">
        <w:rPr>
          <w:rFonts w:asciiTheme="majorHAnsi" w:hAnsiTheme="majorHAnsi"/>
          <w:sz w:val="22"/>
          <w:szCs w:val="22"/>
        </w:rPr>
        <w:t xml:space="preserve"> and</w:t>
      </w:r>
      <w:r w:rsidR="00ED38A7" w:rsidRPr="0057415D">
        <w:rPr>
          <w:rFonts w:asciiTheme="majorHAnsi" w:hAnsiTheme="majorHAnsi"/>
          <w:sz w:val="22"/>
          <w:szCs w:val="22"/>
        </w:rPr>
        <w:t xml:space="preserve"> that were </w:t>
      </w:r>
      <w:r w:rsidR="00F87FF0" w:rsidRPr="0057415D">
        <w:rPr>
          <w:rFonts w:asciiTheme="majorHAnsi" w:hAnsiTheme="majorHAnsi"/>
          <w:sz w:val="22"/>
          <w:szCs w:val="22"/>
        </w:rPr>
        <w:t>aged 15-24 years</w:t>
      </w:r>
      <w:r w:rsidR="00063FFE" w:rsidRPr="0057415D">
        <w:rPr>
          <w:rFonts w:asciiTheme="majorHAnsi" w:hAnsiTheme="majorHAnsi"/>
          <w:sz w:val="22"/>
          <w:szCs w:val="22"/>
        </w:rPr>
        <w:t xml:space="preserve"> (Figure 1</w:t>
      </w:r>
      <w:r w:rsidR="003D4E84" w:rsidRPr="0057415D">
        <w:rPr>
          <w:rFonts w:asciiTheme="majorHAnsi" w:hAnsiTheme="majorHAnsi"/>
          <w:sz w:val="22"/>
          <w:szCs w:val="22"/>
        </w:rPr>
        <w:t>). Vaccination uptake increased with increasing recommen</w:t>
      </w:r>
      <w:r w:rsidR="002525BA" w:rsidRPr="0057415D">
        <w:rPr>
          <w:rFonts w:asciiTheme="majorHAnsi" w:hAnsiTheme="majorHAnsi"/>
          <w:sz w:val="22"/>
          <w:szCs w:val="22"/>
        </w:rPr>
        <w:t xml:space="preserve">dation of </w:t>
      </w:r>
      <w:r w:rsidR="00CE6492" w:rsidRPr="0057415D">
        <w:rPr>
          <w:rFonts w:asciiTheme="majorHAnsi" w:hAnsiTheme="majorHAnsi"/>
          <w:sz w:val="22"/>
          <w:szCs w:val="22"/>
        </w:rPr>
        <w:t xml:space="preserve">the </w:t>
      </w:r>
      <w:r w:rsidR="002525BA" w:rsidRPr="0057415D">
        <w:rPr>
          <w:rFonts w:asciiTheme="majorHAnsi" w:hAnsiTheme="majorHAnsi"/>
          <w:sz w:val="22"/>
          <w:szCs w:val="22"/>
        </w:rPr>
        <w:t>practice</w:t>
      </w:r>
      <w:r w:rsidR="00B00C07" w:rsidRPr="0057415D">
        <w:rPr>
          <w:rFonts w:asciiTheme="majorHAnsi" w:hAnsiTheme="majorHAnsi"/>
          <w:sz w:val="22"/>
          <w:szCs w:val="22"/>
        </w:rPr>
        <w:t xml:space="preserve"> (risk ratio (RR) =1.010, 95% confidence interval (95%CI) =1.003-1.016, p=0.001)</w:t>
      </w:r>
      <w:r w:rsidR="002525BA" w:rsidRPr="0057415D">
        <w:rPr>
          <w:rFonts w:asciiTheme="majorHAnsi" w:hAnsiTheme="majorHAnsi"/>
          <w:sz w:val="22"/>
          <w:szCs w:val="22"/>
        </w:rPr>
        <w:t xml:space="preserve">, </w:t>
      </w:r>
      <w:r w:rsidR="007E045D" w:rsidRPr="0057415D">
        <w:rPr>
          <w:rFonts w:asciiTheme="majorHAnsi" w:hAnsiTheme="majorHAnsi"/>
          <w:sz w:val="22"/>
          <w:szCs w:val="22"/>
        </w:rPr>
        <w:t>percentage</w:t>
      </w:r>
      <w:r w:rsidR="003D4E84" w:rsidRPr="0057415D">
        <w:rPr>
          <w:rFonts w:asciiTheme="majorHAnsi" w:hAnsiTheme="majorHAnsi"/>
          <w:sz w:val="22"/>
          <w:szCs w:val="22"/>
        </w:rPr>
        <w:t xml:space="preserve"> of pa</w:t>
      </w:r>
      <w:r w:rsidR="00F87FF0" w:rsidRPr="0057415D">
        <w:rPr>
          <w:rFonts w:asciiTheme="majorHAnsi" w:hAnsiTheme="majorHAnsi"/>
          <w:sz w:val="22"/>
          <w:szCs w:val="22"/>
        </w:rPr>
        <w:t xml:space="preserve">tients from an ethnic minority </w:t>
      </w:r>
      <w:r w:rsidR="00B00C07" w:rsidRPr="0057415D">
        <w:rPr>
          <w:rFonts w:asciiTheme="majorHAnsi" w:hAnsiTheme="majorHAnsi"/>
          <w:sz w:val="22"/>
          <w:szCs w:val="22"/>
        </w:rPr>
        <w:t xml:space="preserve">(RR=1.008, 95% CI=1.001-1.014, p=0.021) </w:t>
      </w:r>
      <w:r w:rsidR="00F87FF0" w:rsidRPr="0057415D">
        <w:rPr>
          <w:rFonts w:asciiTheme="majorHAnsi" w:hAnsiTheme="majorHAnsi"/>
          <w:sz w:val="22"/>
          <w:szCs w:val="22"/>
        </w:rPr>
        <w:t xml:space="preserve">and </w:t>
      </w:r>
      <w:r w:rsidR="00ED38A7" w:rsidRPr="0057415D">
        <w:rPr>
          <w:rFonts w:asciiTheme="majorHAnsi" w:hAnsiTheme="majorHAnsi"/>
          <w:sz w:val="22"/>
          <w:szCs w:val="22"/>
        </w:rPr>
        <w:t>that were</w:t>
      </w:r>
      <w:r w:rsidR="003D4E84" w:rsidRPr="0057415D">
        <w:rPr>
          <w:rFonts w:asciiTheme="majorHAnsi" w:hAnsiTheme="majorHAnsi"/>
          <w:sz w:val="22"/>
          <w:szCs w:val="22"/>
        </w:rPr>
        <w:t xml:space="preserve"> age</w:t>
      </w:r>
      <w:r w:rsidR="00F87FF0" w:rsidRPr="0057415D">
        <w:rPr>
          <w:rFonts w:asciiTheme="majorHAnsi" w:hAnsiTheme="majorHAnsi"/>
          <w:sz w:val="22"/>
          <w:szCs w:val="22"/>
        </w:rPr>
        <w:t>d 15-24 years</w:t>
      </w:r>
      <w:r w:rsidR="00B00C07" w:rsidRPr="0057415D">
        <w:rPr>
          <w:rFonts w:asciiTheme="majorHAnsi" w:hAnsiTheme="majorHAnsi"/>
          <w:sz w:val="22"/>
          <w:szCs w:val="22"/>
        </w:rPr>
        <w:t xml:space="preserve"> (RR=1.03, 95% CI=1.017-1.043, p&lt;0.0001)</w:t>
      </w:r>
      <w:r w:rsidR="00F87FF0" w:rsidRPr="0057415D">
        <w:rPr>
          <w:rFonts w:asciiTheme="majorHAnsi" w:hAnsiTheme="majorHAnsi"/>
          <w:sz w:val="22"/>
          <w:szCs w:val="22"/>
        </w:rPr>
        <w:t>.</w:t>
      </w:r>
      <w:r w:rsidR="003D4E84" w:rsidRPr="0057415D">
        <w:rPr>
          <w:rFonts w:asciiTheme="majorHAnsi" w:hAnsiTheme="majorHAnsi"/>
          <w:sz w:val="22"/>
          <w:szCs w:val="22"/>
        </w:rPr>
        <w:t xml:space="preserve"> In contrast, vaccination uptake dec</w:t>
      </w:r>
      <w:r w:rsidR="00F1081C" w:rsidRPr="0057415D">
        <w:rPr>
          <w:rFonts w:asciiTheme="majorHAnsi" w:hAnsiTheme="majorHAnsi"/>
          <w:sz w:val="22"/>
          <w:szCs w:val="22"/>
        </w:rPr>
        <w:t>reased with increasing IMD</w:t>
      </w:r>
      <w:r w:rsidR="00B00C07" w:rsidRPr="0057415D">
        <w:rPr>
          <w:rFonts w:asciiTheme="majorHAnsi" w:hAnsiTheme="majorHAnsi"/>
          <w:sz w:val="22"/>
          <w:szCs w:val="22"/>
        </w:rPr>
        <w:t xml:space="preserve"> score (RR=0.992, 95% CI=0.987-0.998, p=0.005)</w:t>
      </w:r>
      <w:r w:rsidR="003D4E84" w:rsidRPr="0057415D">
        <w:rPr>
          <w:rFonts w:asciiTheme="majorHAnsi" w:hAnsiTheme="majorHAnsi"/>
          <w:sz w:val="22"/>
          <w:szCs w:val="22"/>
        </w:rPr>
        <w:t>, i.e. with increasing deprivation.</w:t>
      </w:r>
    </w:p>
    <w:p w14:paraId="5A2DB1F9" w14:textId="77777777" w:rsidR="003D4E84" w:rsidRPr="0057415D" w:rsidRDefault="003D4E84" w:rsidP="00F85C87">
      <w:pPr>
        <w:spacing w:line="480" w:lineRule="auto"/>
        <w:rPr>
          <w:rFonts w:asciiTheme="majorHAnsi" w:hAnsiTheme="majorHAnsi"/>
          <w:sz w:val="22"/>
          <w:szCs w:val="22"/>
        </w:rPr>
      </w:pPr>
    </w:p>
    <w:p w14:paraId="536AF49B" w14:textId="77777777" w:rsidR="007A02EB" w:rsidRPr="0057415D" w:rsidRDefault="007A02EB" w:rsidP="00F85C87">
      <w:pPr>
        <w:spacing w:line="480" w:lineRule="auto"/>
        <w:rPr>
          <w:rFonts w:asciiTheme="majorHAnsi" w:hAnsiTheme="majorHAnsi"/>
          <w:sz w:val="22"/>
          <w:szCs w:val="22"/>
        </w:rPr>
      </w:pPr>
    </w:p>
    <w:p w14:paraId="35268D90" w14:textId="77777777" w:rsidR="007A02EB" w:rsidRPr="0057415D" w:rsidRDefault="007A02EB" w:rsidP="00F85C87">
      <w:pPr>
        <w:spacing w:line="480" w:lineRule="auto"/>
        <w:rPr>
          <w:rFonts w:asciiTheme="majorHAnsi" w:hAnsiTheme="majorHAnsi"/>
          <w:sz w:val="22"/>
          <w:szCs w:val="22"/>
        </w:rPr>
      </w:pPr>
    </w:p>
    <w:p w14:paraId="6AE2480B" w14:textId="77777777" w:rsidR="007A02EB" w:rsidRPr="0057415D" w:rsidRDefault="007A02EB" w:rsidP="00F85C87">
      <w:pPr>
        <w:spacing w:line="480" w:lineRule="auto"/>
        <w:rPr>
          <w:rFonts w:asciiTheme="majorHAnsi" w:hAnsiTheme="majorHAnsi"/>
          <w:sz w:val="22"/>
          <w:szCs w:val="22"/>
        </w:rPr>
      </w:pPr>
    </w:p>
    <w:p w14:paraId="6F09857F" w14:textId="77777777" w:rsidR="007A02EB" w:rsidRPr="0057415D" w:rsidRDefault="007A02EB" w:rsidP="00F85C87">
      <w:pPr>
        <w:spacing w:line="480" w:lineRule="auto"/>
        <w:rPr>
          <w:rFonts w:asciiTheme="majorHAnsi" w:hAnsiTheme="majorHAnsi"/>
          <w:sz w:val="22"/>
          <w:szCs w:val="22"/>
        </w:rPr>
      </w:pPr>
    </w:p>
    <w:p w14:paraId="5C1C3482" w14:textId="77777777" w:rsidR="007A02EB" w:rsidRPr="0057415D" w:rsidRDefault="007A02EB" w:rsidP="00F85C87">
      <w:pPr>
        <w:spacing w:line="480" w:lineRule="auto"/>
        <w:rPr>
          <w:rFonts w:asciiTheme="majorHAnsi" w:hAnsiTheme="majorHAnsi"/>
          <w:sz w:val="22"/>
          <w:szCs w:val="22"/>
        </w:rPr>
      </w:pPr>
    </w:p>
    <w:p w14:paraId="27E93CF8" w14:textId="77777777" w:rsidR="007A02EB" w:rsidRPr="0057415D" w:rsidRDefault="007A02EB" w:rsidP="00F85C87">
      <w:pPr>
        <w:spacing w:line="480" w:lineRule="auto"/>
        <w:rPr>
          <w:rFonts w:asciiTheme="majorHAnsi" w:hAnsiTheme="majorHAnsi"/>
          <w:sz w:val="22"/>
          <w:szCs w:val="22"/>
        </w:rPr>
      </w:pPr>
    </w:p>
    <w:p w14:paraId="05C50ED7" w14:textId="77777777" w:rsidR="007A02EB" w:rsidRPr="0057415D" w:rsidRDefault="007A02EB" w:rsidP="00F85C87">
      <w:pPr>
        <w:spacing w:line="480" w:lineRule="auto"/>
        <w:rPr>
          <w:rFonts w:asciiTheme="majorHAnsi" w:hAnsiTheme="majorHAnsi"/>
          <w:sz w:val="22"/>
          <w:szCs w:val="22"/>
        </w:rPr>
      </w:pPr>
    </w:p>
    <w:p w14:paraId="1D59B6BE" w14:textId="77777777" w:rsidR="007A02EB" w:rsidRPr="0057415D" w:rsidRDefault="007A02EB" w:rsidP="00F85C87">
      <w:pPr>
        <w:spacing w:line="480" w:lineRule="auto"/>
        <w:rPr>
          <w:rFonts w:asciiTheme="majorHAnsi" w:hAnsiTheme="majorHAnsi"/>
          <w:sz w:val="22"/>
          <w:szCs w:val="22"/>
        </w:rPr>
      </w:pPr>
    </w:p>
    <w:p w14:paraId="6FED73C2" w14:textId="7CD63478" w:rsidR="007A02EB" w:rsidRPr="0057415D" w:rsidRDefault="007A02EB" w:rsidP="00F85C87">
      <w:pPr>
        <w:spacing w:line="480" w:lineRule="auto"/>
        <w:rPr>
          <w:rFonts w:asciiTheme="majorHAnsi" w:hAnsiTheme="majorHAnsi"/>
          <w:sz w:val="22"/>
          <w:szCs w:val="22"/>
        </w:rPr>
      </w:pPr>
      <w:r w:rsidRPr="0057415D">
        <w:rPr>
          <w:rFonts w:asciiTheme="majorHAnsi" w:hAnsiTheme="majorHAnsi"/>
          <w:sz w:val="22"/>
          <w:szCs w:val="22"/>
        </w:rPr>
        <w:lastRenderedPageBreak/>
        <w:t xml:space="preserve">Figure 1: </w:t>
      </w:r>
      <w:r w:rsidR="00B00C07" w:rsidRPr="0057415D">
        <w:rPr>
          <w:rFonts w:asciiTheme="majorHAnsi" w:hAnsiTheme="majorHAnsi"/>
          <w:sz w:val="22"/>
          <w:szCs w:val="22"/>
        </w:rPr>
        <w:t>U</w:t>
      </w:r>
      <w:r w:rsidRPr="0057415D">
        <w:rPr>
          <w:rFonts w:asciiTheme="majorHAnsi" w:hAnsiTheme="majorHAnsi"/>
          <w:sz w:val="22"/>
          <w:szCs w:val="22"/>
        </w:rPr>
        <w:t>nivariable and multivariable regression analyses inves</w:t>
      </w:r>
      <w:r w:rsidR="00560521" w:rsidRPr="0057415D">
        <w:rPr>
          <w:rFonts w:asciiTheme="majorHAnsi" w:hAnsiTheme="majorHAnsi"/>
          <w:sz w:val="22"/>
          <w:szCs w:val="22"/>
        </w:rPr>
        <w:t>tigating associations between general</w:t>
      </w:r>
      <w:r w:rsidRPr="0057415D">
        <w:rPr>
          <w:rFonts w:asciiTheme="majorHAnsi" w:hAnsiTheme="majorHAnsi"/>
          <w:sz w:val="22"/>
          <w:szCs w:val="22"/>
        </w:rPr>
        <w:t xml:space="preserve"> practice characteristics and MenACWY vaccination uptake (2015/16)</w:t>
      </w:r>
    </w:p>
    <w:p w14:paraId="594830EC" w14:textId="4DF8CD92" w:rsidR="0002119C" w:rsidRPr="0057415D" w:rsidRDefault="00A527C5" w:rsidP="007A02EB">
      <w:pPr>
        <w:widowControl w:val="0"/>
        <w:autoSpaceDE w:val="0"/>
        <w:autoSpaceDN w:val="0"/>
        <w:adjustRightInd w:val="0"/>
        <w:spacing w:line="280" w:lineRule="atLeast"/>
        <w:rPr>
          <w:rFonts w:asciiTheme="majorHAnsi" w:hAnsiTheme="majorHAnsi" w:cs="Times"/>
          <w:color w:val="000000"/>
          <w:lang w:val="en-US"/>
        </w:rPr>
      </w:pPr>
      <w:r w:rsidRPr="0057415D">
        <w:rPr>
          <w:rFonts w:asciiTheme="majorHAnsi" w:hAnsiTheme="majorHAnsi" w:cs="Times"/>
          <w:noProof/>
          <w:color w:val="000000"/>
          <w:lang w:val="en-US"/>
        </w:rPr>
        <w:drawing>
          <wp:inline distT="0" distB="0" distL="0" distR="0" wp14:anchorId="5CF33094" wp14:editId="64CA3E25">
            <wp:extent cx="6120765" cy="333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ACWY_combi.png"/>
                    <pic:cNvPicPr/>
                  </pic:nvPicPr>
                  <pic:blipFill>
                    <a:blip r:embed="rId11">
                      <a:extLst>
                        <a:ext uri="{28A0092B-C50C-407E-A947-70E740481C1C}">
                          <a14:useLocalDpi xmlns:a14="http://schemas.microsoft.com/office/drawing/2010/main" val="0"/>
                        </a:ext>
                      </a:extLst>
                    </a:blip>
                    <a:stretch>
                      <a:fillRect/>
                    </a:stretch>
                  </pic:blipFill>
                  <pic:spPr>
                    <a:xfrm>
                      <a:off x="0" y="0"/>
                      <a:ext cx="6120765" cy="3338830"/>
                    </a:xfrm>
                    <a:prstGeom prst="rect">
                      <a:avLst/>
                    </a:prstGeom>
                  </pic:spPr>
                </pic:pic>
              </a:graphicData>
            </a:graphic>
          </wp:inline>
        </w:drawing>
      </w:r>
    </w:p>
    <w:p w14:paraId="1E9D1E64" w14:textId="77777777" w:rsidR="007A02EB" w:rsidRPr="0057415D" w:rsidRDefault="007A02EB" w:rsidP="00F85C87">
      <w:pPr>
        <w:spacing w:line="480" w:lineRule="auto"/>
        <w:rPr>
          <w:rFonts w:asciiTheme="majorHAnsi" w:hAnsiTheme="majorHAnsi"/>
          <w:i/>
          <w:sz w:val="22"/>
          <w:szCs w:val="22"/>
        </w:rPr>
      </w:pPr>
    </w:p>
    <w:p w14:paraId="40C95FE2" w14:textId="77777777" w:rsidR="007351A4" w:rsidRPr="0057415D" w:rsidRDefault="007351A4" w:rsidP="00F85C87">
      <w:pPr>
        <w:spacing w:line="480" w:lineRule="auto"/>
        <w:rPr>
          <w:rFonts w:asciiTheme="majorHAnsi" w:hAnsiTheme="majorHAnsi"/>
          <w:i/>
          <w:sz w:val="22"/>
          <w:szCs w:val="22"/>
        </w:rPr>
      </w:pPr>
    </w:p>
    <w:p w14:paraId="4A4BAE09" w14:textId="77777777" w:rsidR="007351A4" w:rsidRPr="0057415D" w:rsidRDefault="007351A4" w:rsidP="00F85C87">
      <w:pPr>
        <w:spacing w:line="480" w:lineRule="auto"/>
        <w:rPr>
          <w:rFonts w:asciiTheme="majorHAnsi" w:hAnsiTheme="majorHAnsi"/>
          <w:i/>
          <w:sz w:val="22"/>
          <w:szCs w:val="22"/>
        </w:rPr>
      </w:pPr>
    </w:p>
    <w:p w14:paraId="1955EA05" w14:textId="77777777" w:rsidR="007351A4" w:rsidRPr="0057415D" w:rsidRDefault="007351A4" w:rsidP="00F85C87">
      <w:pPr>
        <w:spacing w:line="480" w:lineRule="auto"/>
        <w:rPr>
          <w:rFonts w:asciiTheme="majorHAnsi" w:hAnsiTheme="majorHAnsi"/>
          <w:i/>
          <w:sz w:val="22"/>
          <w:szCs w:val="22"/>
        </w:rPr>
      </w:pPr>
    </w:p>
    <w:p w14:paraId="45E24E0F" w14:textId="77777777" w:rsidR="007351A4" w:rsidRPr="0057415D" w:rsidRDefault="007351A4" w:rsidP="00F85C87">
      <w:pPr>
        <w:spacing w:line="480" w:lineRule="auto"/>
        <w:rPr>
          <w:rFonts w:asciiTheme="majorHAnsi" w:hAnsiTheme="majorHAnsi"/>
          <w:i/>
          <w:sz w:val="22"/>
          <w:szCs w:val="22"/>
        </w:rPr>
      </w:pPr>
    </w:p>
    <w:p w14:paraId="52F2611C" w14:textId="77777777" w:rsidR="007351A4" w:rsidRPr="0057415D" w:rsidRDefault="007351A4" w:rsidP="00F85C87">
      <w:pPr>
        <w:spacing w:line="480" w:lineRule="auto"/>
        <w:rPr>
          <w:rFonts w:asciiTheme="majorHAnsi" w:hAnsiTheme="majorHAnsi"/>
          <w:i/>
          <w:sz w:val="22"/>
          <w:szCs w:val="22"/>
        </w:rPr>
      </w:pPr>
    </w:p>
    <w:p w14:paraId="43FF1525" w14:textId="77777777" w:rsidR="007351A4" w:rsidRPr="0057415D" w:rsidRDefault="007351A4" w:rsidP="00F85C87">
      <w:pPr>
        <w:spacing w:line="480" w:lineRule="auto"/>
        <w:rPr>
          <w:rFonts w:asciiTheme="majorHAnsi" w:hAnsiTheme="majorHAnsi"/>
          <w:i/>
          <w:sz w:val="22"/>
          <w:szCs w:val="22"/>
        </w:rPr>
      </w:pPr>
    </w:p>
    <w:p w14:paraId="1EC43408" w14:textId="77777777" w:rsidR="007351A4" w:rsidRPr="0057415D" w:rsidRDefault="007351A4" w:rsidP="00F85C87">
      <w:pPr>
        <w:spacing w:line="480" w:lineRule="auto"/>
        <w:rPr>
          <w:rFonts w:asciiTheme="majorHAnsi" w:hAnsiTheme="majorHAnsi"/>
          <w:i/>
          <w:sz w:val="22"/>
          <w:szCs w:val="22"/>
        </w:rPr>
      </w:pPr>
    </w:p>
    <w:p w14:paraId="669A6015" w14:textId="77777777" w:rsidR="007351A4" w:rsidRPr="0057415D" w:rsidRDefault="007351A4" w:rsidP="00F85C87">
      <w:pPr>
        <w:spacing w:line="480" w:lineRule="auto"/>
        <w:rPr>
          <w:rFonts w:asciiTheme="majorHAnsi" w:hAnsiTheme="majorHAnsi"/>
          <w:i/>
          <w:sz w:val="22"/>
          <w:szCs w:val="22"/>
        </w:rPr>
      </w:pPr>
    </w:p>
    <w:p w14:paraId="633B407B" w14:textId="77777777" w:rsidR="007351A4" w:rsidRPr="0057415D" w:rsidRDefault="007351A4" w:rsidP="00F85C87">
      <w:pPr>
        <w:spacing w:line="480" w:lineRule="auto"/>
        <w:rPr>
          <w:rFonts w:asciiTheme="majorHAnsi" w:hAnsiTheme="majorHAnsi"/>
          <w:i/>
          <w:sz w:val="22"/>
          <w:szCs w:val="22"/>
        </w:rPr>
      </w:pPr>
    </w:p>
    <w:p w14:paraId="2ECB17D4" w14:textId="77777777" w:rsidR="007351A4" w:rsidRPr="0057415D" w:rsidRDefault="007351A4" w:rsidP="00F85C87">
      <w:pPr>
        <w:spacing w:line="480" w:lineRule="auto"/>
        <w:rPr>
          <w:rFonts w:asciiTheme="majorHAnsi" w:hAnsiTheme="majorHAnsi"/>
          <w:i/>
          <w:sz w:val="22"/>
          <w:szCs w:val="22"/>
        </w:rPr>
      </w:pPr>
    </w:p>
    <w:p w14:paraId="47AD8186" w14:textId="77777777" w:rsidR="007351A4" w:rsidRPr="0057415D" w:rsidRDefault="007351A4" w:rsidP="00F85C87">
      <w:pPr>
        <w:spacing w:line="480" w:lineRule="auto"/>
        <w:rPr>
          <w:rFonts w:asciiTheme="majorHAnsi" w:hAnsiTheme="majorHAnsi"/>
          <w:i/>
          <w:sz w:val="22"/>
          <w:szCs w:val="22"/>
        </w:rPr>
      </w:pPr>
    </w:p>
    <w:p w14:paraId="3EF63D74" w14:textId="77777777" w:rsidR="007351A4" w:rsidRPr="0057415D" w:rsidRDefault="007351A4" w:rsidP="00F85C87">
      <w:pPr>
        <w:spacing w:line="480" w:lineRule="auto"/>
        <w:rPr>
          <w:rFonts w:asciiTheme="majorHAnsi" w:hAnsiTheme="majorHAnsi"/>
          <w:i/>
          <w:sz w:val="22"/>
          <w:szCs w:val="22"/>
        </w:rPr>
      </w:pPr>
    </w:p>
    <w:p w14:paraId="0D2CCF3E" w14:textId="77777777" w:rsidR="007351A4" w:rsidRPr="0057415D" w:rsidRDefault="007351A4" w:rsidP="00F85C87">
      <w:pPr>
        <w:spacing w:line="480" w:lineRule="auto"/>
        <w:rPr>
          <w:rFonts w:asciiTheme="majorHAnsi" w:hAnsiTheme="majorHAnsi"/>
          <w:i/>
          <w:sz w:val="22"/>
          <w:szCs w:val="22"/>
        </w:rPr>
      </w:pPr>
    </w:p>
    <w:p w14:paraId="5A110EB6" w14:textId="77777777" w:rsidR="007351A4" w:rsidRPr="0057415D" w:rsidRDefault="007351A4" w:rsidP="00F85C87">
      <w:pPr>
        <w:spacing w:line="480" w:lineRule="auto"/>
        <w:rPr>
          <w:rFonts w:asciiTheme="majorHAnsi" w:hAnsiTheme="majorHAnsi"/>
          <w:i/>
          <w:sz w:val="22"/>
          <w:szCs w:val="22"/>
        </w:rPr>
      </w:pPr>
    </w:p>
    <w:p w14:paraId="3E1B877E" w14:textId="512E8E13" w:rsidR="004D3C4E" w:rsidRPr="0057415D" w:rsidRDefault="00F87FF0" w:rsidP="00F85C87">
      <w:pPr>
        <w:spacing w:line="480" w:lineRule="auto"/>
        <w:rPr>
          <w:rFonts w:asciiTheme="majorHAnsi" w:hAnsiTheme="majorHAnsi"/>
          <w:i/>
          <w:sz w:val="22"/>
          <w:szCs w:val="22"/>
        </w:rPr>
      </w:pPr>
      <w:r w:rsidRPr="0057415D">
        <w:rPr>
          <w:rFonts w:asciiTheme="majorHAnsi" w:hAnsiTheme="majorHAnsi"/>
          <w:i/>
          <w:sz w:val="22"/>
          <w:szCs w:val="22"/>
        </w:rPr>
        <w:lastRenderedPageBreak/>
        <w:t>Multivariable regression analysis</w:t>
      </w:r>
    </w:p>
    <w:p w14:paraId="7CCCA04C" w14:textId="3C96CE5E" w:rsidR="00F87FF0" w:rsidRPr="0057415D" w:rsidRDefault="00202DAB" w:rsidP="00F85C87">
      <w:pPr>
        <w:spacing w:line="480" w:lineRule="auto"/>
        <w:rPr>
          <w:rFonts w:asciiTheme="majorHAnsi" w:hAnsiTheme="majorHAnsi"/>
          <w:sz w:val="22"/>
          <w:szCs w:val="22"/>
        </w:rPr>
      </w:pPr>
      <w:r w:rsidRPr="0057415D">
        <w:rPr>
          <w:rFonts w:asciiTheme="majorHAnsi" w:hAnsiTheme="majorHAnsi"/>
          <w:sz w:val="22"/>
          <w:szCs w:val="22"/>
        </w:rPr>
        <w:t xml:space="preserve">Six independent variables were identified for inclusion (p&lt;0.20) in the multivariable analysis. </w:t>
      </w:r>
      <w:r w:rsidR="00BC2ACD" w:rsidRPr="0057415D">
        <w:rPr>
          <w:rFonts w:asciiTheme="majorHAnsi" w:hAnsiTheme="majorHAnsi"/>
          <w:sz w:val="22"/>
          <w:szCs w:val="22"/>
        </w:rPr>
        <w:t>Vaccine</w:t>
      </w:r>
      <w:r w:rsidR="00F87FF0" w:rsidRPr="0057415D">
        <w:rPr>
          <w:rFonts w:asciiTheme="majorHAnsi" w:hAnsiTheme="majorHAnsi"/>
          <w:sz w:val="22"/>
          <w:szCs w:val="22"/>
        </w:rPr>
        <w:t xml:space="preserve"> uptake increased with increasing recommendatio</w:t>
      </w:r>
      <w:r w:rsidR="00931033" w:rsidRPr="0057415D">
        <w:rPr>
          <w:rFonts w:asciiTheme="majorHAnsi" w:hAnsiTheme="majorHAnsi"/>
          <w:sz w:val="22"/>
          <w:szCs w:val="22"/>
        </w:rPr>
        <w:t>n of the practice (adjusted risk ratio (</w:t>
      </w:r>
      <w:proofErr w:type="spellStart"/>
      <w:r w:rsidR="00931033" w:rsidRPr="0057415D">
        <w:rPr>
          <w:rFonts w:asciiTheme="majorHAnsi" w:hAnsiTheme="majorHAnsi"/>
          <w:sz w:val="22"/>
          <w:szCs w:val="22"/>
        </w:rPr>
        <w:t>aR</w:t>
      </w:r>
      <w:r w:rsidR="007E045D" w:rsidRPr="0057415D">
        <w:rPr>
          <w:rFonts w:asciiTheme="majorHAnsi" w:hAnsiTheme="majorHAnsi"/>
          <w:sz w:val="22"/>
          <w:szCs w:val="22"/>
        </w:rPr>
        <w:t>R</w:t>
      </w:r>
      <w:proofErr w:type="spellEnd"/>
      <w:r w:rsidR="007E045D" w:rsidRPr="0057415D">
        <w:rPr>
          <w:rFonts w:asciiTheme="majorHAnsi" w:hAnsiTheme="majorHAnsi"/>
          <w:sz w:val="22"/>
          <w:szCs w:val="22"/>
        </w:rPr>
        <w:t>)=1.014</w:t>
      </w:r>
      <w:r w:rsidR="00F87FF0" w:rsidRPr="0057415D">
        <w:rPr>
          <w:rFonts w:asciiTheme="majorHAnsi" w:hAnsiTheme="majorHAnsi"/>
          <w:sz w:val="22"/>
          <w:szCs w:val="22"/>
        </w:rPr>
        <w:t xml:space="preserve">, </w:t>
      </w:r>
      <w:r w:rsidR="007E045D" w:rsidRPr="0057415D">
        <w:rPr>
          <w:rFonts w:asciiTheme="majorHAnsi" w:hAnsiTheme="majorHAnsi"/>
          <w:sz w:val="22"/>
          <w:szCs w:val="22"/>
        </w:rPr>
        <w:t>95%CI=1.007-1.021</w:t>
      </w:r>
      <w:r w:rsidRPr="0057415D">
        <w:rPr>
          <w:rFonts w:asciiTheme="majorHAnsi" w:hAnsiTheme="majorHAnsi"/>
          <w:sz w:val="22"/>
          <w:szCs w:val="22"/>
        </w:rPr>
        <w:t>, p&lt;0.001</w:t>
      </w:r>
      <w:r w:rsidR="00F87FF0" w:rsidRPr="0057415D">
        <w:rPr>
          <w:rFonts w:asciiTheme="majorHAnsi" w:hAnsiTheme="majorHAnsi"/>
          <w:sz w:val="22"/>
          <w:szCs w:val="22"/>
        </w:rPr>
        <w:t>), t</w:t>
      </w:r>
      <w:r w:rsidR="00931033" w:rsidRPr="0057415D">
        <w:rPr>
          <w:rFonts w:asciiTheme="majorHAnsi" w:hAnsiTheme="majorHAnsi"/>
          <w:sz w:val="22"/>
          <w:szCs w:val="22"/>
        </w:rPr>
        <w:t>otal QOF points (</w:t>
      </w:r>
      <w:proofErr w:type="spellStart"/>
      <w:r w:rsidR="00931033" w:rsidRPr="0057415D">
        <w:rPr>
          <w:rFonts w:asciiTheme="majorHAnsi" w:hAnsiTheme="majorHAnsi"/>
          <w:sz w:val="22"/>
          <w:szCs w:val="22"/>
        </w:rPr>
        <w:t>aR</w:t>
      </w:r>
      <w:r w:rsidR="007E045D" w:rsidRPr="0057415D">
        <w:rPr>
          <w:rFonts w:asciiTheme="majorHAnsi" w:hAnsiTheme="majorHAnsi"/>
          <w:sz w:val="22"/>
          <w:szCs w:val="22"/>
        </w:rPr>
        <w:t>R</w:t>
      </w:r>
      <w:proofErr w:type="spellEnd"/>
      <w:r w:rsidR="007E045D" w:rsidRPr="0057415D">
        <w:rPr>
          <w:rFonts w:asciiTheme="majorHAnsi" w:hAnsiTheme="majorHAnsi"/>
          <w:sz w:val="22"/>
          <w:szCs w:val="22"/>
        </w:rPr>
        <w:t>=1.013, 95%CI=1.001-1.026</w:t>
      </w:r>
      <w:r w:rsidRPr="0057415D">
        <w:rPr>
          <w:rFonts w:asciiTheme="majorHAnsi" w:hAnsiTheme="majorHAnsi"/>
          <w:sz w:val="22"/>
          <w:szCs w:val="22"/>
        </w:rPr>
        <w:t>, p=0.048</w:t>
      </w:r>
      <w:r w:rsidR="00D8466E" w:rsidRPr="0057415D">
        <w:rPr>
          <w:rFonts w:asciiTheme="majorHAnsi" w:hAnsiTheme="majorHAnsi"/>
          <w:sz w:val="22"/>
          <w:szCs w:val="22"/>
        </w:rPr>
        <w:t>), percentage of pati</w:t>
      </w:r>
      <w:r w:rsidR="00931033" w:rsidRPr="0057415D">
        <w:rPr>
          <w:rFonts w:asciiTheme="majorHAnsi" w:hAnsiTheme="majorHAnsi"/>
          <w:sz w:val="22"/>
          <w:szCs w:val="22"/>
        </w:rPr>
        <w:t>ents from an ethnic minority (</w:t>
      </w:r>
      <w:proofErr w:type="spellStart"/>
      <w:r w:rsidR="00931033" w:rsidRPr="0057415D">
        <w:rPr>
          <w:rFonts w:asciiTheme="majorHAnsi" w:hAnsiTheme="majorHAnsi"/>
          <w:sz w:val="22"/>
          <w:szCs w:val="22"/>
        </w:rPr>
        <w:t>aR</w:t>
      </w:r>
      <w:r w:rsidR="007E045D" w:rsidRPr="0057415D">
        <w:rPr>
          <w:rFonts w:asciiTheme="majorHAnsi" w:hAnsiTheme="majorHAnsi"/>
          <w:sz w:val="22"/>
          <w:szCs w:val="22"/>
        </w:rPr>
        <w:t>R</w:t>
      </w:r>
      <w:proofErr w:type="spellEnd"/>
      <w:r w:rsidR="007E045D" w:rsidRPr="0057415D">
        <w:rPr>
          <w:rFonts w:asciiTheme="majorHAnsi" w:hAnsiTheme="majorHAnsi"/>
          <w:sz w:val="22"/>
          <w:szCs w:val="22"/>
        </w:rPr>
        <w:t>=1.009</w:t>
      </w:r>
      <w:r w:rsidR="00D8466E" w:rsidRPr="0057415D">
        <w:rPr>
          <w:rFonts w:asciiTheme="majorHAnsi" w:hAnsiTheme="majorHAnsi"/>
          <w:sz w:val="22"/>
          <w:szCs w:val="22"/>
        </w:rPr>
        <w:t>, 95%CI=1.0</w:t>
      </w:r>
      <w:r w:rsidR="007E045D" w:rsidRPr="0057415D">
        <w:rPr>
          <w:rFonts w:asciiTheme="majorHAnsi" w:hAnsiTheme="majorHAnsi"/>
          <w:sz w:val="22"/>
          <w:szCs w:val="22"/>
        </w:rPr>
        <w:t>03-1.016</w:t>
      </w:r>
      <w:r w:rsidRPr="0057415D">
        <w:rPr>
          <w:rFonts w:asciiTheme="majorHAnsi" w:hAnsiTheme="majorHAnsi"/>
          <w:sz w:val="22"/>
          <w:szCs w:val="22"/>
        </w:rPr>
        <w:t>, p=0.003</w:t>
      </w:r>
      <w:r w:rsidR="00D8466E" w:rsidRPr="0057415D">
        <w:rPr>
          <w:rFonts w:asciiTheme="majorHAnsi" w:hAnsiTheme="majorHAnsi"/>
          <w:sz w:val="22"/>
          <w:szCs w:val="22"/>
        </w:rPr>
        <w:t>) and</w:t>
      </w:r>
      <w:r w:rsidR="00931033" w:rsidRPr="0057415D">
        <w:rPr>
          <w:rFonts w:asciiTheme="majorHAnsi" w:hAnsiTheme="majorHAnsi"/>
          <w:sz w:val="22"/>
          <w:szCs w:val="22"/>
        </w:rPr>
        <w:t xml:space="preserve"> percentage aged 15-24 years (</w:t>
      </w:r>
      <w:proofErr w:type="spellStart"/>
      <w:r w:rsidR="00931033" w:rsidRPr="0057415D">
        <w:rPr>
          <w:rFonts w:asciiTheme="majorHAnsi" w:hAnsiTheme="majorHAnsi"/>
          <w:sz w:val="22"/>
          <w:szCs w:val="22"/>
        </w:rPr>
        <w:t>aR</w:t>
      </w:r>
      <w:r w:rsidR="007E045D" w:rsidRPr="0057415D">
        <w:rPr>
          <w:rFonts w:asciiTheme="majorHAnsi" w:hAnsiTheme="majorHAnsi"/>
          <w:sz w:val="22"/>
          <w:szCs w:val="22"/>
        </w:rPr>
        <w:t>R</w:t>
      </w:r>
      <w:proofErr w:type="spellEnd"/>
      <w:r w:rsidR="007E045D" w:rsidRPr="0057415D">
        <w:rPr>
          <w:rFonts w:asciiTheme="majorHAnsi" w:hAnsiTheme="majorHAnsi"/>
          <w:sz w:val="22"/>
          <w:szCs w:val="22"/>
        </w:rPr>
        <w:t>=1.034, 95%CI=1.019-1.049</w:t>
      </w:r>
      <w:r w:rsidRPr="0057415D">
        <w:rPr>
          <w:rFonts w:asciiTheme="majorHAnsi" w:hAnsiTheme="majorHAnsi"/>
          <w:sz w:val="22"/>
          <w:szCs w:val="22"/>
        </w:rPr>
        <w:t>, p&lt;0.001</w:t>
      </w:r>
      <w:r w:rsidR="00D8466E" w:rsidRPr="0057415D">
        <w:rPr>
          <w:rFonts w:asciiTheme="majorHAnsi" w:hAnsiTheme="majorHAnsi"/>
          <w:sz w:val="22"/>
          <w:szCs w:val="22"/>
        </w:rPr>
        <w:t>)</w:t>
      </w:r>
      <w:r w:rsidR="00063FFE" w:rsidRPr="0057415D">
        <w:rPr>
          <w:rFonts w:asciiTheme="majorHAnsi" w:hAnsiTheme="majorHAnsi"/>
          <w:sz w:val="22"/>
          <w:szCs w:val="22"/>
        </w:rPr>
        <w:t xml:space="preserve"> (Figure 1</w:t>
      </w:r>
      <w:r w:rsidR="00BC2ACD" w:rsidRPr="0057415D">
        <w:rPr>
          <w:rFonts w:asciiTheme="majorHAnsi" w:hAnsiTheme="majorHAnsi"/>
          <w:sz w:val="22"/>
          <w:szCs w:val="22"/>
        </w:rPr>
        <w:t>)</w:t>
      </w:r>
      <w:r w:rsidR="00D8466E" w:rsidRPr="0057415D">
        <w:rPr>
          <w:rFonts w:asciiTheme="majorHAnsi" w:hAnsiTheme="majorHAnsi"/>
          <w:sz w:val="22"/>
          <w:szCs w:val="22"/>
        </w:rPr>
        <w:t>. Vaccination uptake decreased</w:t>
      </w:r>
      <w:r w:rsidR="00931033" w:rsidRPr="0057415D">
        <w:rPr>
          <w:rFonts w:asciiTheme="majorHAnsi" w:hAnsiTheme="majorHAnsi"/>
          <w:sz w:val="22"/>
          <w:szCs w:val="22"/>
        </w:rPr>
        <w:t xml:space="preserve"> with increasing deprivation (</w:t>
      </w:r>
      <w:proofErr w:type="spellStart"/>
      <w:r w:rsidR="00931033" w:rsidRPr="0057415D">
        <w:rPr>
          <w:rFonts w:asciiTheme="majorHAnsi" w:hAnsiTheme="majorHAnsi"/>
          <w:sz w:val="22"/>
          <w:szCs w:val="22"/>
        </w:rPr>
        <w:t>aR</w:t>
      </w:r>
      <w:r w:rsidR="00D84A33" w:rsidRPr="0057415D">
        <w:rPr>
          <w:rFonts w:asciiTheme="majorHAnsi" w:hAnsiTheme="majorHAnsi"/>
          <w:sz w:val="22"/>
          <w:szCs w:val="22"/>
        </w:rPr>
        <w:t>R</w:t>
      </w:r>
      <w:proofErr w:type="spellEnd"/>
      <w:r w:rsidR="00D84A33" w:rsidRPr="0057415D">
        <w:rPr>
          <w:rFonts w:asciiTheme="majorHAnsi" w:hAnsiTheme="majorHAnsi"/>
          <w:sz w:val="22"/>
          <w:szCs w:val="22"/>
        </w:rPr>
        <w:t>=0.991, 95%CI=0.986-0.995</w:t>
      </w:r>
      <w:r w:rsidRPr="0057415D">
        <w:rPr>
          <w:rFonts w:asciiTheme="majorHAnsi" w:hAnsiTheme="majorHAnsi"/>
          <w:sz w:val="22"/>
          <w:szCs w:val="22"/>
        </w:rPr>
        <w:t>, p</w:t>
      </w:r>
      <w:r w:rsidR="0079072B" w:rsidRPr="0057415D">
        <w:rPr>
          <w:rFonts w:asciiTheme="majorHAnsi" w:hAnsiTheme="majorHAnsi"/>
          <w:sz w:val="22"/>
          <w:szCs w:val="22"/>
        </w:rPr>
        <w:t>&lt;0.001</w:t>
      </w:r>
      <w:r w:rsidR="00D8466E" w:rsidRPr="0057415D">
        <w:rPr>
          <w:rFonts w:asciiTheme="majorHAnsi" w:hAnsiTheme="majorHAnsi"/>
          <w:sz w:val="22"/>
          <w:szCs w:val="22"/>
        </w:rPr>
        <w:t>)</w:t>
      </w:r>
      <w:r w:rsidR="00D84A33" w:rsidRPr="0057415D">
        <w:rPr>
          <w:rFonts w:asciiTheme="majorHAnsi" w:hAnsiTheme="majorHAnsi"/>
          <w:sz w:val="22"/>
          <w:szCs w:val="22"/>
        </w:rPr>
        <w:t>.</w:t>
      </w:r>
    </w:p>
    <w:p w14:paraId="0BB01869" w14:textId="77777777" w:rsidR="0002119C" w:rsidRPr="0057415D" w:rsidRDefault="0002119C" w:rsidP="00F85C87">
      <w:pPr>
        <w:spacing w:line="480" w:lineRule="auto"/>
        <w:rPr>
          <w:rFonts w:asciiTheme="majorHAnsi" w:hAnsiTheme="majorHAnsi"/>
          <w:b/>
          <w:sz w:val="22"/>
          <w:szCs w:val="22"/>
        </w:rPr>
      </w:pPr>
    </w:p>
    <w:p w14:paraId="259F1F2E" w14:textId="7FFBE1F1" w:rsidR="00232DF9" w:rsidRPr="0057415D" w:rsidRDefault="00232DF9" w:rsidP="00F85C87">
      <w:pPr>
        <w:spacing w:line="480" w:lineRule="auto"/>
        <w:rPr>
          <w:rFonts w:asciiTheme="majorHAnsi" w:hAnsiTheme="majorHAnsi"/>
          <w:b/>
          <w:sz w:val="22"/>
          <w:szCs w:val="22"/>
        </w:rPr>
      </w:pPr>
      <w:r w:rsidRPr="0057415D">
        <w:rPr>
          <w:rFonts w:asciiTheme="majorHAnsi" w:hAnsiTheme="majorHAnsi"/>
          <w:b/>
          <w:sz w:val="22"/>
          <w:szCs w:val="22"/>
        </w:rPr>
        <w:t>Discussion</w:t>
      </w:r>
    </w:p>
    <w:p w14:paraId="647BE48D" w14:textId="14A92D09" w:rsidR="00232DF9" w:rsidRPr="0057415D" w:rsidRDefault="00232DF9" w:rsidP="00F85C87">
      <w:pPr>
        <w:spacing w:line="480" w:lineRule="auto"/>
        <w:rPr>
          <w:rFonts w:asciiTheme="majorHAnsi" w:hAnsiTheme="majorHAnsi"/>
          <w:i/>
          <w:sz w:val="22"/>
          <w:szCs w:val="22"/>
        </w:rPr>
      </w:pPr>
      <w:r w:rsidRPr="0057415D">
        <w:rPr>
          <w:rFonts w:asciiTheme="majorHAnsi" w:hAnsiTheme="majorHAnsi"/>
          <w:i/>
          <w:sz w:val="22"/>
          <w:szCs w:val="22"/>
        </w:rPr>
        <w:t>Main findings of this study</w:t>
      </w:r>
    </w:p>
    <w:p w14:paraId="7D17C9E4" w14:textId="6254D96C" w:rsidR="00232DF9" w:rsidRPr="0057415D" w:rsidRDefault="000345B0" w:rsidP="00F85C87">
      <w:pPr>
        <w:spacing w:line="480" w:lineRule="auto"/>
        <w:rPr>
          <w:rFonts w:asciiTheme="majorHAnsi" w:hAnsiTheme="majorHAnsi"/>
          <w:sz w:val="22"/>
          <w:szCs w:val="22"/>
        </w:rPr>
      </w:pPr>
      <w:r w:rsidRPr="0057415D">
        <w:rPr>
          <w:rFonts w:asciiTheme="majorHAnsi" w:hAnsiTheme="majorHAnsi"/>
          <w:sz w:val="22"/>
          <w:szCs w:val="22"/>
        </w:rPr>
        <w:t>Uptake of</w:t>
      </w:r>
      <w:r w:rsidR="00AA721E" w:rsidRPr="0057415D">
        <w:rPr>
          <w:rFonts w:asciiTheme="majorHAnsi" w:hAnsiTheme="majorHAnsi"/>
          <w:sz w:val="22"/>
          <w:szCs w:val="22"/>
        </w:rPr>
        <w:t xml:space="preserve"> the</w:t>
      </w:r>
      <w:r w:rsidRPr="0057415D">
        <w:rPr>
          <w:rFonts w:asciiTheme="majorHAnsi" w:hAnsiTheme="majorHAnsi"/>
          <w:sz w:val="22"/>
          <w:szCs w:val="22"/>
        </w:rPr>
        <w:t xml:space="preserve"> </w:t>
      </w:r>
      <w:r w:rsidR="002C7148" w:rsidRPr="0057415D">
        <w:rPr>
          <w:rFonts w:asciiTheme="majorHAnsi" w:hAnsiTheme="majorHAnsi"/>
          <w:sz w:val="22"/>
          <w:szCs w:val="22"/>
        </w:rPr>
        <w:t>MenACWY vaccination amongst the CCGs examined in this s</w:t>
      </w:r>
      <w:r w:rsidR="004E35EE" w:rsidRPr="0057415D">
        <w:rPr>
          <w:rFonts w:asciiTheme="majorHAnsi" w:hAnsiTheme="majorHAnsi"/>
          <w:sz w:val="22"/>
          <w:szCs w:val="22"/>
        </w:rPr>
        <w:t>tudy varied from 20.8% to</w:t>
      </w:r>
      <w:r w:rsidR="002C7148" w:rsidRPr="0057415D">
        <w:rPr>
          <w:rFonts w:asciiTheme="majorHAnsi" w:hAnsiTheme="majorHAnsi"/>
          <w:sz w:val="22"/>
          <w:szCs w:val="22"/>
        </w:rPr>
        <w:t xml:space="preserve"> 46.8%. </w:t>
      </w:r>
      <w:r w:rsidR="00733353" w:rsidRPr="0057415D">
        <w:rPr>
          <w:rFonts w:asciiTheme="majorHAnsi" w:hAnsiTheme="majorHAnsi"/>
          <w:sz w:val="22"/>
          <w:szCs w:val="22"/>
        </w:rPr>
        <w:t xml:space="preserve">In </w:t>
      </w:r>
      <w:r w:rsidR="0079072B" w:rsidRPr="0057415D">
        <w:rPr>
          <w:rFonts w:asciiTheme="majorHAnsi" w:hAnsiTheme="majorHAnsi"/>
          <w:sz w:val="22"/>
          <w:szCs w:val="22"/>
        </w:rPr>
        <w:t>relation to</w:t>
      </w:r>
      <w:r w:rsidR="00733353" w:rsidRPr="0057415D">
        <w:rPr>
          <w:rFonts w:asciiTheme="majorHAnsi" w:hAnsiTheme="majorHAnsi"/>
          <w:sz w:val="22"/>
          <w:szCs w:val="22"/>
        </w:rPr>
        <w:t xml:space="preserve"> indicators of practice satisfaction, </w:t>
      </w:r>
      <w:r w:rsidRPr="0057415D">
        <w:rPr>
          <w:rFonts w:asciiTheme="majorHAnsi" w:hAnsiTheme="majorHAnsi"/>
          <w:sz w:val="22"/>
          <w:szCs w:val="22"/>
        </w:rPr>
        <w:t xml:space="preserve">vaccination uptake increased with </w:t>
      </w:r>
      <w:r w:rsidR="00733353" w:rsidRPr="0057415D">
        <w:rPr>
          <w:rFonts w:asciiTheme="majorHAnsi" w:hAnsiTheme="majorHAnsi"/>
          <w:sz w:val="22"/>
          <w:szCs w:val="22"/>
        </w:rPr>
        <w:t xml:space="preserve">the percentage of patients who would recommend their practice. In addition, as </w:t>
      </w:r>
      <w:r w:rsidR="00ED38A7" w:rsidRPr="0057415D">
        <w:rPr>
          <w:rFonts w:asciiTheme="majorHAnsi" w:hAnsiTheme="majorHAnsi"/>
          <w:sz w:val="22"/>
          <w:szCs w:val="22"/>
        </w:rPr>
        <w:t>total QOF points, the percentage</w:t>
      </w:r>
      <w:r w:rsidR="00733353" w:rsidRPr="0057415D">
        <w:rPr>
          <w:rFonts w:asciiTheme="majorHAnsi" w:hAnsiTheme="majorHAnsi"/>
          <w:sz w:val="22"/>
          <w:szCs w:val="22"/>
        </w:rPr>
        <w:t xml:space="preserve"> of the practice populatio</w:t>
      </w:r>
      <w:r w:rsidR="00ED38A7" w:rsidRPr="0057415D">
        <w:rPr>
          <w:rFonts w:asciiTheme="majorHAnsi" w:hAnsiTheme="majorHAnsi"/>
          <w:sz w:val="22"/>
          <w:szCs w:val="22"/>
        </w:rPr>
        <w:t>n aged 15-24 years and</w:t>
      </w:r>
      <w:r w:rsidR="00733353" w:rsidRPr="0057415D">
        <w:rPr>
          <w:rFonts w:asciiTheme="majorHAnsi" w:hAnsiTheme="majorHAnsi"/>
          <w:sz w:val="22"/>
          <w:szCs w:val="22"/>
        </w:rPr>
        <w:t xml:space="preserve"> from an ethnic minority increased, MenACWY uptake also increased. Conversely, as deprivation increased MenACWY uptake decreased. </w:t>
      </w:r>
    </w:p>
    <w:p w14:paraId="22C3BFB3" w14:textId="77777777" w:rsidR="009D4B0B" w:rsidRPr="0057415D" w:rsidRDefault="009D4B0B" w:rsidP="00F85C87">
      <w:pPr>
        <w:spacing w:line="480" w:lineRule="auto"/>
        <w:rPr>
          <w:rFonts w:asciiTheme="majorHAnsi" w:hAnsiTheme="majorHAnsi"/>
          <w:sz w:val="22"/>
          <w:szCs w:val="22"/>
        </w:rPr>
      </w:pPr>
    </w:p>
    <w:p w14:paraId="393179D4" w14:textId="4BF34D89" w:rsidR="00232DF9" w:rsidRPr="0057415D" w:rsidRDefault="00232DF9" w:rsidP="00F85C87">
      <w:pPr>
        <w:spacing w:line="480" w:lineRule="auto"/>
        <w:rPr>
          <w:rFonts w:asciiTheme="majorHAnsi" w:hAnsiTheme="majorHAnsi"/>
          <w:i/>
          <w:sz w:val="22"/>
          <w:szCs w:val="22"/>
        </w:rPr>
      </w:pPr>
      <w:r w:rsidRPr="0057415D">
        <w:rPr>
          <w:rFonts w:asciiTheme="majorHAnsi" w:hAnsiTheme="majorHAnsi"/>
          <w:i/>
          <w:sz w:val="22"/>
          <w:szCs w:val="22"/>
        </w:rPr>
        <w:t>What is already known on this topic</w:t>
      </w:r>
    </w:p>
    <w:p w14:paraId="3A1B7F66" w14:textId="52ADD514" w:rsidR="00232DF9" w:rsidRPr="0057415D" w:rsidRDefault="00BC2ACD" w:rsidP="00F85C87">
      <w:pPr>
        <w:spacing w:line="480" w:lineRule="auto"/>
        <w:rPr>
          <w:rFonts w:asciiTheme="majorHAnsi" w:hAnsiTheme="majorHAnsi"/>
          <w:sz w:val="22"/>
          <w:szCs w:val="22"/>
        </w:rPr>
      </w:pPr>
      <w:r w:rsidRPr="0057415D">
        <w:rPr>
          <w:rFonts w:asciiTheme="majorHAnsi" w:hAnsiTheme="majorHAnsi"/>
          <w:sz w:val="22"/>
          <w:szCs w:val="22"/>
        </w:rPr>
        <w:t xml:space="preserve">Because the MenACWY vaccine programme in England is new there is limited research on population level factors that influence vaccine uptake. A </w:t>
      </w:r>
      <w:r w:rsidR="000345B0" w:rsidRPr="0057415D">
        <w:rPr>
          <w:rFonts w:asciiTheme="majorHAnsi" w:hAnsiTheme="majorHAnsi"/>
          <w:sz w:val="22"/>
          <w:szCs w:val="22"/>
        </w:rPr>
        <w:t>study</w:t>
      </w:r>
      <w:r w:rsidR="00A13336" w:rsidRPr="0057415D">
        <w:rPr>
          <w:rFonts w:asciiTheme="majorHAnsi" w:hAnsiTheme="majorHAnsi"/>
          <w:sz w:val="22"/>
          <w:szCs w:val="22"/>
        </w:rPr>
        <w:t xml:space="preserve"> by Campbell et al</w:t>
      </w:r>
      <w:r w:rsidR="002162B7" w:rsidRPr="0057415D">
        <w:rPr>
          <w:rFonts w:asciiTheme="majorHAnsi" w:hAnsiTheme="majorHAnsi"/>
          <w:sz w:val="22"/>
          <w:szCs w:val="22"/>
        </w:rPr>
        <w:t xml:space="preserve"> (2017)</w:t>
      </w:r>
      <w:r w:rsidR="00ED38A7" w:rsidRPr="0057415D">
        <w:rPr>
          <w:rFonts w:asciiTheme="majorHAnsi" w:hAnsiTheme="majorHAnsi"/>
          <w:sz w:val="22"/>
          <w:szCs w:val="22"/>
        </w:rPr>
        <w:t xml:space="preserve"> suggested</w:t>
      </w:r>
      <w:r w:rsidR="000345B0" w:rsidRPr="0057415D">
        <w:rPr>
          <w:rFonts w:asciiTheme="majorHAnsi" w:hAnsiTheme="majorHAnsi"/>
          <w:sz w:val="22"/>
          <w:szCs w:val="22"/>
        </w:rPr>
        <w:t xml:space="preserve"> that</w:t>
      </w:r>
      <w:r w:rsidR="00ED38A7" w:rsidRPr="0057415D">
        <w:rPr>
          <w:rFonts w:asciiTheme="majorHAnsi" w:hAnsiTheme="majorHAnsi"/>
          <w:sz w:val="22"/>
          <w:szCs w:val="22"/>
        </w:rPr>
        <w:t xml:space="preserve"> vaccination uptake is</w:t>
      </w:r>
      <w:r w:rsidR="000345B0" w:rsidRPr="0057415D">
        <w:rPr>
          <w:rFonts w:asciiTheme="majorHAnsi" w:hAnsiTheme="majorHAnsi"/>
          <w:sz w:val="22"/>
          <w:szCs w:val="22"/>
        </w:rPr>
        <w:t xml:space="preserve"> higher </w:t>
      </w:r>
      <w:r w:rsidR="009D4B0B" w:rsidRPr="0057415D">
        <w:rPr>
          <w:rFonts w:asciiTheme="majorHAnsi" w:hAnsiTheme="majorHAnsi"/>
          <w:sz w:val="22"/>
          <w:szCs w:val="22"/>
        </w:rPr>
        <w:t>amongst students than non-stu</w:t>
      </w:r>
      <w:r w:rsidR="00517076" w:rsidRPr="0057415D">
        <w:rPr>
          <w:rFonts w:asciiTheme="majorHAnsi" w:hAnsiTheme="majorHAnsi"/>
          <w:sz w:val="22"/>
          <w:szCs w:val="22"/>
        </w:rPr>
        <w:t>dents</w:t>
      </w:r>
      <w:r w:rsidR="00CD1129" w:rsidRPr="0057415D">
        <w:rPr>
          <w:rFonts w:asciiTheme="majorHAnsi" w:hAnsiTheme="majorHAnsi"/>
          <w:sz w:val="22"/>
          <w:szCs w:val="22"/>
        </w:rPr>
        <w:fldChar w:fldCharType="begin"/>
      </w:r>
      <w:r w:rsidR="00CD1129" w:rsidRPr="0057415D">
        <w:rPr>
          <w:rFonts w:asciiTheme="majorHAnsi" w:hAnsiTheme="majorHAnsi"/>
          <w:sz w:val="22"/>
          <w:szCs w:val="22"/>
        </w:rPr>
        <w:instrText>ADDIN RW.CITE{{855 Campbell, Helen 2017}}</w:instrText>
      </w:r>
      <w:r w:rsidR="00CD1129" w:rsidRPr="0057415D">
        <w:rPr>
          <w:rFonts w:asciiTheme="majorHAnsi" w:hAnsiTheme="majorHAnsi"/>
          <w:sz w:val="22"/>
          <w:szCs w:val="22"/>
        </w:rPr>
        <w:fldChar w:fldCharType="separate"/>
      </w:r>
      <w:r w:rsidR="00CF15BA" w:rsidRPr="0057415D">
        <w:rPr>
          <w:rFonts w:asciiTheme="majorHAnsi" w:eastAsia="Times New Roman" w:hAnsiTheme="majorHAnsi" w:cs="Times New Roman"/>
          <w:sz w:val="22"/>
          <w:szCs w:val="22"/>
        </w:rPr>
        <w:t>(13)</w:t>
      </w:r>
      <w:r w:rsidR="00CD1129" w:rsidRPr="0057415D">
        <w:rPr>
          <w:rFonts w:asciiTheme="majorHAnsi" w:hAnsiTheme="majorHAnsi"/>
          <w:sz w:val="22"/>
          <w:szCs w:val="22"/>
        </w:rPr>
        <w:fldChar w:fldCharType="end"/>
      </w:r>
      <w:r w:rsidR="00517076" w:rsidRPr="0057415D">
        <w:rPr>
          <w:rFonts w:asciiTheme="majorHAnsi" w:hAnsiTheme="majorHAnsi"/>
          <w:sz w:val="22"/>
          <w:szCs w:val="22"/>
        </w:rPr>
        <w:t xml:space="preserve">. </w:t>
      </w:r>
      <w:r w:rsidR="000345B0" w:rsidRPr="0057415D">
        <w:rPr>
          <w:rFonts w:asciiTheme="majorHAnsi" w:hAnsiTheme="majorHAnsi"/>
          <w:sz w:val="22"/>
          <w:szCs w:val="22"/>
        </w:rPr>
        <w:t>This is potentially due to the higher education stat</w:t>
      </w:r>
      <w:r w:rsidR="00ED38A7" w:rsidRPr="0057415D">
        <w:rPr>
          <w:rFonts w:asciiTheme="majorHAnsi" w:hAnsiTheme="majorHAnsi"/>
          <w:sz w:val="22"/>
          <w:szCs w:val="22"/>
        </w:rPr>
        <w:t>us of students</w:t>
      </w:r>
      <w:r w:rsidR="000345B0" w:rsidRPr="0057415D">
        <w:rPr>
          <w:rFonts w:asciiTheme="majorHAnsi" w:hAnsiTheme="majorHAnsi"/>
          <w:sz w:val="22"/>
          <w:szCs w:val="22"/>
        </w:rPr>
        <w:t>, their perception as being at increased risk</w:t>
      </w:r>
      <w:r w:rsidR="00A13336" w:rsidRPr="0057415D">
        <w:rPr>
          <w:rFonts w:asciiTheme="majorHAnsi" w:hAnsiTheme="majorHAnsi"/>
          <w:sz w:val="22"/>
          <w:szCs w:val="22"/>
        </w:rPr>
        <w:t xml:space="preserve"> of meningococcal disease</w:t>
      </w:r>
      <w:r w:rsidR="000345B0" w:rsidRPr="0057415D">
        <w:rPr>
          <w:rFonts w:asciiTheme="majorHAnsi" w:hAnsiTheme="majorHAnsi"/>
          <w:sz w:val="22"/>
          <w:szCs w:val="22"/>
        </w:rPr>
        <w:t xml:space="preserve"> and targeted approaches taken by universities and </w:t>
      </w:r>
      <w:r w:rsidR="00560521" w:rsidRPr="0057415D">
        <w:rPr>
          <w:rFonts w:asciiTheme="majorHAnsi" w:hAnsiTheme="majorHAnsi"/>
          <w:sz w:val="22"/>
          <w:szCs w:val="22"/>
        </w:rPr>
        <w:t>general</w:t>
      </w:r>
      <w:r w:rsidR="00E60287" w:rsidRPr="0057415D">
        <w:rPr>
          <w:rFonts w:asciiTheme="majorHAnsi" w:hAnsiTheme="majorHAnsi"/>
          <w:sz w:val="22"/>
          <w:szCs w:val="22"/>
        </w:rPr>
        <w:t xml:space="preserve"> practices, </w:t>
      </w:r>
      <w:r w:rsidR="000345B0" w:rsidRPr="0057415D">
        <w:rPr>
          <w:rFonts w:asciiTheme="majorHAnsi" w:hAnsiTheme="majorHAnsi"/>
          <w:sz w:val="22"/>
          <w:szCs w:val="22"/>
        </w:rPr>
        <w:t>with some universities routinely offering vaccination on campus to all new students</w:t>
      </w:r>
      <w:r w:rsidR="000345B0" w:rsidRPr="0057415D">
        <w:rPr>
          <w:rFonts w:asciiTheme="majorHAnsi" w:hAnsiTheme="majorHAnsi"/>
          <w:sz w:val="22"/>
          <w:szCs w:val="22"/>
        </w:rPr>
        <w:fldChar w:fldCharType="begin"/>
      </w:r>
      <w:r w:rsidR="000345B0" w:rsidRPr="0057415D">
        <w:rPr>
          <w:rFonts w:asciiTheme="majorHAnsi" w:hAnsiTheme="majorHAnsi"/>
          <w:sz w:val="22"/>
          <w:szCs w:val="22"/>
        </w:rPr>
        <w:instrText>ADDIN RW.CITE{{855 Campbell, Helen 2017;856 Turner, David PJ 2017}}</w:instrText>
      </w:r>
      <w:r w:rsidR="000345B0" w:rsidRPr="0057415D">
        <w:rPr>
          <w:rFonts w:asciiTheme="majorHAnsi" w:hAnsiTheme="majorHAnsi"/>
          <w:sz w:val="22"/>
          <w:szCs w:val="22"/>
        </w:rPr>
        <w:fldChar w:fldCharType="separate"/>
      </w:r>
      <w:r w:rsidR="00063FFE" w:rsidRPr="0057415D">
        <w:rPr>
          <w:rFonts w:asciiTheme="majorHAnsi" w:eastAsia="Times New Roman" w:hAnsiTheme="majorHAnsi" w:cs="Times New Roman"/>
          <w:sz w:val="22"/>
        </w:rPr>
        <w:t>(13,35,36</w:t>
      </w:r>
      <w:r w:rsidR="004776C0" w:rsidRPr="0057415D">
        <w:rPr>
          <w:rFonts w:asciiTheme="majorHAnsi" w:eastAsia="Times New Roman" w:hAnsiTheme="majorHAnsi" w:cs="Times New Roman"/>
          <w:sz w:val="22"/>
        </w:rPr>
        <w:t>)</w:t>
      </w:r>
      <w:r w:rsidR="000345B0" w:rsidRPr="0057415D">
        <w:rPr>
          <w:rFonts w:asciiTheme="majorHAnsi" w:hAnsiTheme="majorHAnsi"/>
          <w:sz w:val="22"/>
          <w:szCs w:val="22"/>
        </w:rPr>
        <w:fldChar w:fldCharType="end"/>
      </w:r>
      <w:r w:rsidR="000345B0" w:rsidRPr="0057415D">
        <w:rPr>
          <w:rFonts w:asciiTheme="majorHAnsi" w:hAnsiTheme="majorHAnsi"/>
          <w:sz w:val="22"/>
          <w:szCs w:val="22"/>
        </w:rPr>
        <w:t>.</w:t>
      </w:r>
      <w:r w:rsidR="00517076" w:rsidRPr="0057415D">
        <w:rPr>
          <w:rFonts w:asciiTheme="majorHAnsi" w:hAnsiTheme="majorHAnsi"/>
          <w:sz w:val="22"/>
          <w:szCs w:val="22"/>
        </w:rPr>
        <w:t xml:space="preserve"> </w:t>
      </w:r>
    </w:p>
    <w:p w14:paraId="3AD049FC" w14:textId="77777777" w:rsidR="00CD1129" w:rsidRPr="0057415D" w:rsidRDefault="00CD1129" w:rsidP="00F85C87">
      <w:pPr>
        <w:spacing w:line="480" w:lineRule="auto"/>
        <w:rPr>
          <w:rFonts w:asciiTheme="majorHAnsi" w:hAnsiTheme="majorHAnsi"/>
          <w:sz w:val="22"/>
          <w:szCs w:val="22"/>
        </w:rPr>
      </w:pPr>
    </w:p>
    <w:p w14:paraId="17EB9710" w14:textId="6E707CF6" w:rsidR="008814DF" w:rsidRPr="0057415D" w:rsidRDefault="00CD1129" w:rsidP="00F85C87">
      <w:pPr>
        <w:spacing w:line="480" w:lineRule="auto"/>
        <w:rPr>
          <w:rFonts w:asciiTheme="majorHAnsi" w:hAnsiTheme="majorHAnsi"/>
          <w:sz w:val="22"/>
          <w:szCs w:val="22"/>
        </w:rPr>
      </w:pPr>
      <w:r w:rsidRPr="0057415D">
        <w:rPr>
          <w:rFonts w:asciiTheme="majorHAnsi" w:hAnsiTheme="majorHAnsi"/>
          <w:sz w:val="22"/>
          <w:szCs w:val="22"/>
        </w:rPr>
        <w:t xml:space="preserve">Although not previously </w:t>
      </w:r>
      <w:r w:rsidR="00A13336" w:rsidRPr="0057415D">
        <w:rPr>
          <w:rFonts w:asciiTheme="majorHAnsi" w:hAnsiTheme="majorHAnsi"/>
          <w:sz w:val="22"/>
          <w:szCs w:val="22"/>
        </w:rPr>
        <w:t xml:space="preserve">observed </w:t>
      </w:r>
      <w:r w:rsidR="00ED38A7" w:rsidRPr="0057415D">
        <w:rPr>
          <w:rFonts w:asciiTheme="majorHAnsi" w:hAnsiTheme="majorHAnsi"/>
          <w:sz w:val="22"/>
          <w:szCs w:val="22"/>
        </w:rPr>
        <w:t>for MenACWY</w:t>
      </w:r>
      <w:r w:rsidR="00220522" w:rsidRPr="0057415D">
        <w:rPr>
          <w:rFonts w:asciiTheme="majorHAnsi" w:hAnsiTheme="majorHAnsi"/>
          <w:sz w:val="22"/>
          <w:szCs w:val="22"/>
        </w:rPr>
        <w:t>, evidence from</w:t>
      </w:r>
      <w:r w:rsidR="00ED38A7" w:rsidRPr="0057415D">
        <w:rPr>
          <w:rFonts w:asciiTheme="majorHAnsi" w:hAnsiTheme="majorHAnsi"/>
          <w:sz w:val="22"/>
          <w:szCs w:val="22"/>
        </w:rPr>
        <w:t xml:space="preserve"> several</w:t>
      </w:r>
      <w:r w:rsidRPr="0057415D">
        <w:rPr>
          <w:rFonts w:asciiTheme="majorHAnsi" w:hAnsiTheme="majorHAnsi"/>
          <w:sz w:val="22"/>
          <w:szCs w:val="22"/>
        </w:rPr>
        <w:t xml:space="preserve"> other vaccination programmes suggests that,</w:t>
      </w:r>
      <w:r w:rsidR="00ED596E" w:rsidRPr="0057415D">
        <w:rPr>
          <w:rFonts w:asciiTheme="majorHAnsi" w:hAnsiTheme="majorHAnsi"/>
          <w:sz w:val="22"/>
          <w:szCs w:val="22"/>
        </w:rPr>
        <w:t xml:space="preserve"> both in the UK</w:t>
      </w:r>
      <w:r w:rsidR="00220522" w:rsidRPr="0057415D">
        <w:rPr>
          <w:rFonts w:asciiTheme="majorHAnsi" w:hAnsiTheme="majorHAnsi"/>
          <w:sz w:val="22"/>
          <w:szCs w:val="22"/>
        </w:rPr>
        <w:t xml:space="preserve"> and</w:t>
      </w:r>
      <w:r w:rsidRPr="0057415D">
        <w:rPr>
          <w:rFonts w:asciiTheme="majorHAnsi" w:hAnsiTheme="majorHAnsi"/>
          <w:sz w:val="22"/>
          <w:szCs w:val="22"/>
        </w:rPr>
        <w:t xml:space="preserve"> internationally, vaccination rates</w:t>
      </w:r>
      <w:r w:rsidR="00A13336" w:rsidRPr="0057415D">
        <w:rPr>
          <w:rFonts w:asciiTheme="majorHAnsi" w:hAnsiTheme="majorHAnsi"/>
          <w:sz w:val="22"/>
          <w:szCs w:val="22"/>
        </w:rPr>
        <w:t xml:space="preserve"> amongst all age groups fall with </w:t>
      </w:r>
      <w:r w:rsidR="00A13336" w:rsidRPr="0057415D">
        <w:rPr>
          <w:rFonts w:asciiTheme="majorHAnsi" w:hAnsiTheme="majorHAnsi"/>
          <w:sz w:val="22"/>
          <w:szCs w:val="22"/>
        </w:rPr>
        <w:lastRenderedPageBreak/>
        <w:t>increasing deprivation</w:t>
      </w:r>
      <w:r w:rsidR="00220522" w:rsidRPr="0057415D">
        <w:rPr>
          <w:rFonts w:asciiTheme="majorHAnsi" w:hAnsiTheme="majorHAnsi"/>
          <w:sz w:val="22"/>
          <w:szCs w:val="22"/>
        </w:rPr>
        <w:t>. S</w:t>
      </w:r>
      <w:r w:rsidRPr="0057415D">
        <w:rPr>
          <w:rFonts w:asciiTheme="majorHAnsi" w:hAnsiTheme="majorHAnsi"/>
          <w:sz w:val="22"/>
          <w:szCs w:val="22"/>
        </w:rPr>
        <w:t>tudies from the UK, Ireland, Ital</w:t>
      </w:r>
      <w:r w:rsidR="00E15FCB" w:rsidRPr="0057415D">
        <w:rPr>
          <w:rFonts w:asciiTheme="majorHAnsi" w:hAnsiTheme="majorHAnsi"/>
          <w:sz w:val="22"/>
          <w:szCs w:val="22"/>
        </w:rPr>
        <w:t>y, Denmark and the US</w:t>
      </w:r>
      <w:r w:rsidRPr="0057415D">
        <w:rPr>
          <w:rFonts w:asciiTheme="majorHAnsi" w:hAnsiTheme="majorHAnsi"/>
          <w:sz w:val="22"/>
          <w:szCs w:val="22"/>
        </w:rPr>
        <w:t xml:space="preserve"> </w:t>
      </w:r>
      <w:r w:rsidR="00220522" w:rsidRPr="0057415D">
        <w:rPr>
          <w:rFonts w:asciiTheme="majorHAnsi" w:hAnsiTheme="majorHAnsi"/>
          <w:sz w:val="22"/>
          <w:szCs w:val="22"/>
        </w:rPr>
        <w:t xml:space="preserve">have demonstrated that </w:t>
      </w:r>
      <w:r w:rsidR="00A13336" w:rsidRPr="0057415D">
        <w:rPr>
          <w:rFonts w:asciiTheme="majorHAnsi" w:hAnsiTheme="majorHAnsi"/>
          <w:sz w:val="22"/>
          <w:szCs w:val="22"/>
        </w:rPr>
        <w:t>deprivation i</w:t>
      </w:r>
      <w:r w:rsidRPr="0057415D">
        <w:rPr>
          <w:rFonts w:asciiTheme="majorHAnsi" w:hAnsiTheme="majorHAnsi"/>
          <w:sz w:val="22"/>
          <w:szCs w:val="22"/>
        </w:rPr>
        <w:t xml:space="preserve">s associated with reduced uptake of </w:t>
      </w:r>
      <w:r w:rsidR="00220522" w:rsidRPr="0057415D">
        <w:rPr>
          <w:rFonts w:asciiTheme="majorHAnsi" w:hAnsiTheme="majorHAnsi"/>
          <w:sz w:val="22"/>
          <w:szCs w:val="22"/>
        </w:rPr>
        <w:t xml:space="preserve">childhood and adult </w:t>
      </w:r>
      <w:r w:rsidRPr="0057415D">
        <w:rPr>
          <w:rFonts w:asciiTheme="majorHAnsi" w:hAnsiTheme="majorHAnsi"/>
          <w:sz w:val="22"/>
          <w:szCs w:val="22"/>
        </w:rPr>
        <w:t>vaccinations</w:t>
      </w:r>
      <w:r w:rsidR="00A13336" w:rsidRPr="0057415D">
        <w:rPr>
          <w:rFonts w:asciiTheme="majorHAnsi" w:hAnsiTheme="majorHAnsi"/>
          <w:sz w:val="22"/>
          <w:szCs w:val="22"/>
        </w:rPr>
        <w:t>, including</w:t>
      </w:r>
      <w:r w:rsidR="00727D32" w:rsidRPr="0057415D">
        <w:rPr>
          <w:rFonts w:asciiTheme="majorHAnsi" w:hAnsiTheme="majorHAnsi"/>
          <w:sz w:val="22"/>
          <w:szCs w:val="22"/>
        </w:rPr>
        <w:t xml:space="preserve"> MMR</w:t>
      </w:r>
      <w:r w:rsidR="00220522" w:rsidRPr="0057415D">
        <w:rPr>
          <w:rFonts w:asciiTheme="majorHAnsi" w:hAnsiTheme="majorHAnsi"/>
          <w:sz w:val="22"/>
          <w:szCs w:val="22"/>
        </w:rPr>
        <w:t>, influenza and HPV</w:t>
      </w:r>
      <w:r w:rsidRPr="0057415D">
        <w:rPr>
          <w:rFonts w:asciiTheme="majorHAnsi" w:hAnsiTheme="majorHAnsi"/>
          <w:sz w:val="22"/>
          <w:szCs w:val="22"/>
        </w:rPr>
        <w:fldChar w:fldCharType="begin"/>
      </w:r>
      <w:r w:rsidRPr="0057415D">
        <w:rPr>
          <w:rFonts w:asciiTheme="majorHAnsi" w:hAnsiTheme="majorHAnsi"/>
          <w:sz w:val="22"/>
          <w:szCs w:val="22"/>
        </w:rPr>
        <w:instrText>ADDIN RW.CITE{{873 Hungerford, D 2016;874 Damiani, GIANFRANCO 2007;876 Schreiber, Selma Marie Slåttelid 2015;877 Doherty, Edel 2014;875 Wooten, Karen G 2007}}</w:instrText>
      </w:r>
      <w:r w:rsidRPr="0057415D">
        <w:rPr>
          <w:rFonts w:asciiTheme="majorHAnsi" w:hAnsiTheme="majorHAnsi"/>
          <w:sz w:val="22"/>
          <w:szCs w:val="22"/>
        </w:rPr>
        <w:fldChar w:fldCharType="separate"/>
      </w:r>
      <w:r w:rsidR="004776C0" w:rsidRPr="0057415D">
        <w:rPr>
          <w:rFonts w:asciiTheme="majorHAnsi" w:eastAsia="Times New Roman" w:hAnsiTheme="majorHAnsi" w:cs="Times New Roman"/>
          <w:sz w:val="22"/>
        </w:rPr>
        <w:t>(15</w:t>
      </w:r>
      <w:r w:rsidR="00063FFE" w:rsidRPr="0057415D">
        <w:rPr>
          <w:rFonts w:asciiTheme="majorHAnsi" w:eastAsia="Times New Roman" w:hAnsiTheme="majorHAnsi" w:cs="Times New Roman"/>
          <w:sz w:val="22"/>
        </w:rPr>
        <w:t>,37</w:t>
      </w:r>
      <w:r w:rsidR="004B372A" w:rsidRPr="0057415D">
        <w:rPr>
          <w:rFonts w:asciiTheme="majorHAnsi" w:eastAsia="Times New Roman" w:hAnsiTheme="majorHAnsi" w:cs="Times New Roman"/>
          <w:sz w:val="22"/>
        </w:rPr>
        <w:t>-</w:t>
      </w:r>
      <w:r w:rsidR="00063FFE" w:rsidRPr="0057415D">
        <w:rPr>
          <w:rFonts w:asciiTheme="majorHAnsi" w:eastAsia="Times New Roman" w:hAnsiTheme="majorHAnsi" w:cs="Times New Roman"/>
          <w:sz w:val="22"/>
        </w:rPr>
        <w:t>40</w:t>
      </w:r>
      <w:r w:rsidR="004776C0" w:rsidRPr="0057415D">
        <w:rPr>
          <w:rFonts w:asciiTheme="majorHAnsi" w:eastAsia="Times New Roman" w:hAnsiTheme="majorHAnsi" w:cs="Times New Roman"/>
          <w:sz w:val="22"/>
        </w:rPr>
        <w:t>)</w:t>
      </w:r>
      <w:r w:rsidRPr="0057415D">
        <w:rPr>
          <w:rFonts w:asciiTheme="majorHAnsi" w:hAnsiTheme="majorHAnsi"/>
          <w:sz w:val="22"/>
          <w:szCs w:val="22"/>
        </w:rPr>
        <w:fldChar w:fldCharType="end"/>
      </w:r>
      <w:r w:rsidRPr="0057415D">
        <w:rPr>
          <w:rFonts w:asciiTheme="majorHAnsi" w:hAnsiTheme="majorHAnsi"/>
          <w:sz w:val="22"/>
          <w:szCs w:val="22"/>
        </w:rPr>
        <w:t xml:space="preserve">. </w:t>
      </w:r>
      <w:r w:rsidR="00D32E92" w:rsidRPr="0057415D">
        <w:rPr>
          <w:rFonts w:asciiTheme="majorHAnsi" w:hAnsiTheme="majorHAnsi"/>
          <w:sz w:val="22"/>
          <w:szCs w:val="22"/>
        </w:rPr>
        <w:t xml:space="preserve">These inequalities may arise because of factors such as </w:t>
      </w:r>
      <w:r w:rsidR="00220522" w:rsidRPr="0057415D">
        <w:rPr>
          <w:rFonts w:asciiTheme="majorHAnsi" w:hAnsiTheme="majorHAnsi"/>
          <w:sz w:val="22"/>
          <w:szCs w:val="22"/>
        </w:rPr>
        <w:t>poorer</w:t>
      </w:r>
      <w:r w:rsidR="008814DF" w:rsidRPr="0057415D">
        <w:rPr>
          <w:rFonts w:asciiTheme="majorHAnsi" w:hAnsiTheme="majorHAnsi"/>
          <w:sz w:val="22"/>
          <w:szCs w:val="22"/>
        </w:rPr>
        <w:t xml:space="preserve"> access to health services and reduced ability to seek help with the vaccination decision-making process</w:t>
      </w:r>
      <w:r w:rsidR="008814DF" w:rsidRPr="0057415D">
        <w:rPr>
          <w:rFonts w:asciiTheme="majorHAnsi" w:hAnsiTheme="majorHAnsi"/>
          <w:sz w:val="22"/>
          <w:szCs w:val="22"/>
        </w:rPr>
        <w:fldChar w:fldCharType="begin"/>
      </w:r>
      <w:r w:rsidR="008814DF" w:rsidRPr="0057415D">
        <w:rPr>
          <w:rFonts w:asciiTheme="majorHAnsi" w:hAnsiTheme="majorHAnsi"/>
          <w:sz w:val="22"/>
          <w:szCs w:val="22"/>
        </w:rPr>
        <w:instrText>ADDIN RW.CITE{{874 Damiani, GIANFRANCO 2007;873 Hungerford, D 2016}}</w:instrText>
      </w:r>
      <w:r w:rsidR="008814DF" w:rsidRPr="0057415D">
        <w:rPr>
          <w:rFonts w:asciiTheme="majorHAnsi" w:hAnsiTheme="majorHAnsi"/>
          <w:sz w:val="22"/>
          <w:szCs w:val="22"/>
        </w:rPr>
        <w:fldChar w:fldCharType="separate"/>
      </w:r>
      <w:r w:rsidR="00063FFE" w:rsidRPr="0057415D">
        <w:rPr>
          <w:rFonts w:asciiTheme="majorHAnsi" w:eastAsia="Times New Roman" w:hAnsiTheme="majorHAnsi" w:cs="Times New Roman"/>
          <w:sz w:val="22"/>
        </w:rPr>
        <w:t>(15,36</w:t>
      </w:r>
      <w:r w:rsidR="004776C0" w:rsidRPr="0057415D">
        <w:rPr>
          <w:rFonts w:asciiTheme="majorHAnsi" w:eastAsia="Times New Roman" w:hAnsiTheme="majorHAnsi" w:cs="Times New Roman"/>
          <w:sz w:val="22"/>
        </w:rPr>
        <w:t>)</w:t>
      </w:r>
      <w:r w:rsidR="008814DF" w:rsidRPr="0057415D">
        <w:rPr>
          <w:rFonts w:asciiTheme="majorHAnsi" w:hAnsiTheme="majorHAnsi"/>
          <w:sz w:val="22"/>
          <w:szCs w:val="22"/>
        </w:rPr>
        <w:fldChar w:fldCharType="end"/>
      </w:r>
      <w:r w:rsidR="00220522" w:rsidRPr="0057415D">
        <w:rPr>
          <w:rFonts w:asciiTheme="majorHAnsi" w:hAnsiTheme="majorHAnsi"/>
          <w:sz w:val="22"/>
          <w:szCs w:val="22"/>
        </w:rPr>
        <w:t>. Furthermore, considerations</w:t>
      </w:r>
      <w:r w:rsidR="008814DF" w:rsidRPr="0057415D">
        <w:rPr>
          <w:rFonts w:asciiTheme="majorHAnsi" w:hAnsiTheme="majorHAnsi"/>
          <w:sz w:val="22"/>
          <w:szCs w:val="22"/>
        </w:rPr>
        <w:t xml:space="preserve"> such as differing beliefs, concerns re</w:t>
      </w:r>
      <w:r w:rsidR="00220522" w:rsidRPr="0057415D">
        <w:rPr>
          <w:rFonts w:asciiTheme="majorHAnsi" w:hAnsiTheme="majorHAnsi"/>
          <w:sz w:val="22"/>
          <w:szCs w:val="22"/>
        </w:rPr>
        <w:t>garding side effects and less</w:t>
      </w:r>
      <w:r w:rsidR="008814DF" w:rsidRPr="0057415D">
        <w:rPr>
          <w:rFonts w:asciiTheme="majorHAnsi" w:hAnsiTheme="majorHAnsi"/>
          <w:sz w:val="22"/>
          <w:szCs w:val="22"/>
        </w:rPr>
        <w:t xml:space="preserve"> education about diseases and vaccines may also play a role</w:t>
      </w:r>
      <w:r w:rsidR="008814DF" w:rsidRPr="0057415D">
        <w:rPr>
          <w:rFonts w:asciiTheme="majorHAnsi" w:hAnsiTheme="majorHAnsi"/>
          <w:sz w:val="22"/>
          <w:szCs w:val="22"/>
        </w:rPr>
        <w:fldChar w:fldCharType="begin"/>
      </w:r>
      <w:r w:rsidR="008814DF" w:rsidRPr="0057415D">
        <w:rPr>
          <w:rFonts w:asciiTheme="majorHAnsi" w:hAnsiTheme="majorHAnsi"/>
          <w:sz w:val="22"/>
          <w:szCs w:val="22"/>
        </w:rPr>
        <w:instrText>ADDIN RW.CITE{{874 Damiani, GIANFRANCO 2007;876 Schreiber, Selma Marie Slåttelid 2015}}</w:instrText>
      </w:r>
      <w:r w:rsidR="008814DF" w:rsidRPr="0057415D">
        <w:rPr>
          <w:rFonts w:asciiTheme="majorHAnsi" w:hAnsiTheme="majorHAnsi"/>
          <w:sz w:val="22"/>
          <w:szCs w:val="22"/>
        </w:rPr>
        <w:fldChar w:fldCharType="separate"/>
      </w:r>
      <w:r w:rsidR="00063FFE" w:rsidRPr="0057415D">
        <w:rPr>
          <w:rFonts w:asciiTheme="majorHAnsi" w:eastAsia="Times New Roman" w:hAnsiTheme="majorHAnsi" w:cs="Times New Roman"/>
          <w:sz w:val="22"/>
        </w:rPr>
        <w:t>(37</w:t>
      </w:r>
      <w:r w:rsidR="004776C0" w:rsidRPr="0057415D">
        <w:rPr>
          <w:rFonts w:asciiTheme="majorHAnsi" w:eastAsia="Times New Roman" w:hAnsiTheme="majorHAnsi" w:cs="Times New Roman"/>
          <w:sz w:val="22"/>
        </w:rPr>
        <w:t>,3</w:t>
      </w:r>
      <w:r w:rsidR="00063FFE" w:rsidRPr="0057415D">
        <w:rPr>
          <w:rFonts w:asciiTheme="majorHAnsi" w:eastAsia="Times New Roman" w:hAnsiTheme="majorHAnsi" w:cs="Times New Roman"/>
          <w:sz w:val="22"/>
        </w:rPr>
        <w:t>8</w:t>
      </w:r>
      <w:r w:rsidR="004776C0" w:rsidRPr="0057415D">
        <w:rPr>
          <w:rFonts w:asciiTheme="majorHAnsi" w:eastAsia="Times New Roman" w:hAnsiTheme="majorHAnsi" w:cs="Times New Roman"/>
          <w:sz w:val="22"/>
        </w:rPr>
        <w:t>)</w:t>
      </w:r>
      <w:r w:rsidR="008814DF" w:rsidRPr="0057415D">
        <w:rPr>
          <w:rFonts w:asciiTheme="majorHAnsi" w:hAnsiTheme="majorHAnsi"/>
          <w:sz w:val="22"/>
          <w:szCs w:val="22"/>
        </w:rPr>
        <w:fldChar w:fldCharType="end"/>
      </w:r>
      <w:r w:rsidR="008814DF" w:rsidRPr="0057415D">
        <w:rPr>
          <w:rFonts w:asciiTheme="majorHAnsi" w:hAnsiTheme="majorHAnsi"/>
          <w:sz w:val="22"/>
          <w:szCs w:val="22"/>
        </w:rPr>
        <w:t>.</w:t>
      </w:r>
    </w:p>
    <w:p w14:paraId="0ED81460" w14:textId="77777777" w:rsidR="008814DF" w:rsidRPr="0057415D" w:rsidRDefault="008814DF" w:rsidP="00F85C87">
      <w:pPr>
        <w:spacing w:line="480" w:lineRule="auto"/>
        <w:rPr>
          <w:rFonts w:asciiTheme="majorHAnsi" w:hAnsiTheme="majorHAnsi"/>
          <w:sz w:val="22"/>
          <w:szCs w:val="22"/>
        </w:rPr>
      </w:pPr>
    </w:p>
    <w:p w14:paraId="63B310B3" w14:textId="7A7CDAFE" w:rsidR="00CD1129" w:rsidRPr="0057415D" w:rsidRDefault="00A13336" w:rsidP="00F85C87">
      <w:pPr>
        <w:spacing w:line="480" w:lineRule="auto"/>
        <w:rPr>
          <w:rFonts w:asciiTheme="majorHAnsi" w:hAnsiTheme="majorHAnsi"/>
          <w:sz w:val="22"/>
          <w:szCs w:val="22"/>
        </w:rPr>
      </w:pPr>
      <w:r w:rsidRPr="0057415D">
        <w:rPr>
          <w:rFonts w:asciiTheme="majorHAnsi" w:hAnsiTheme="majorHAnsi"/>
          <w:sz w:val="22"/>
          <w:szCs w:val="22"/>
        </w:rPr>
        <w:t>As with deprivation, whilst</w:t>
      </w:r>
      <w:r w:rsidR="00DE0332" w:rsidRPr="0057415D">
        <w:rPr>
          <w:rFonts w:asciiTheme="majorHAnsi" w:hAnsiTheme="majorHAnsi"/>
          <w:sz w:val="22"/>
          <w:szCs w:val="22"/>
        </w:rPr>
        <w:t xml:space="preserve"> not previously reported for the UK MenACWY vaccination programme</w:t>
      </w:r>
      <w:r w:rsidR="00CD1129" w:rsidRPr="0057415D">
        <w:rPr>
          <w:rFonts w:asciiTheme="majorHAnsi" w:hAnsiTheme="majorHAnsi"/>
          <w:sz w:val="22"/>
          <w:szCs w:val="22"/>
        </w:rPr>
        <w:t xml:space="preserve">, studies from both the UK and US have shown that people from ethnic minorities are more likely to accept vaccinations such as MMR and influenza than White </w:t>
      </w:r>
      <w:r w:rsidR="00DE0332" w:rsidRPr="0057415D">
        <w:rPr>
          <w:rFonts w:asciiTheme="majorHAnsi" w:hAnsiTheme="majorHAnsi"/>
          <w:sz w:val="22"/>
          <w:szCs w:val="22"/>
        </w:rPr>
        <w:t>populations</w:t>
      </w:r>
      <w:r w:rsidR="00CD1129" w:rsidRPr="0057415D">
        <w:rPr>
          <w:rFonts w:asciiTheme="majorHAnsi" w:hAnsiTheme="majorHAnsi"/>
          <w:sz w:val="22"/>
          <w:szCs w:val="22"/>
        </w:rPr>
        <w:fldChar w:fldCharType="begin"/>
      </w:r>
      <w:r w:rsidR="00CD1129" w:rsidRPr="0057415D">
        <w:rPr>
          <w:rFonts w:asciiTheme="majorHAnsi" w:hAnsiTheme="majorHAnsi"/>
          <w:sz w:val="22"/>
          <w:szCs w:val="22"/>
        </w:rPr>
        <w:instrText>ADDIN RW.CITE{{865 Hawker, Jeremy I 2007;867 Timmermans, Danielle RM 2005;869 Baker,D. 2011;870 Quinn, Sandra Crouse 2009;871 Rubin, G James 2010}}</w:instrText>
      </w:r>
      <w:r w:rsidR="00CD1129" w:rsidRPr="0057415D">
        <w:rPr>
          <w:rFonts w:asciiTheme="majorHAnsi" w:hAnsiTheme="majorHAnsi"/>
          <w:sz w:val="22"/>
          <w:szCs w:val="22"/>
        </w:rPr>
        <w:fldChar w:fldCharType="separate"/>
      </w:r>
      <w:r w:rsidR="00063FFE" w:rsidRPr="0057415D">
        <w:rPr>
          <w:rFonts w:asciiTheme="majorHAnsi" w:eastAsia="Times New Roman" w:hAnsiTheme="majorHAnsi" w:cs="Times New Roman"/>
          <w:sz w:val="22"/>
        </w:rPr>
        <w:t>(21-23,41,42</w:t>
      </w:r>
      <w:r w:rsidR="004776C0" w:rsidRPr="0057415D">
        <w:rPr>
          <w:rFonts w:asciiTheme="majorHAnsi" w:eastAsia="Times New Roman" w:hAnsiTheme="majorHAnsi" w:cs="Times New Roman"/>
          <w:sz w:val="22"/>
        </w:rPr>
        <w:t>)</w:t>
      </w:r>
      <w:r w:rsidR="00CD1129" w:rsidRPr="0057415D">
        <w:rPr>
          <w:rFonts w:asciiTheme="majorHAnsi" w:hAnsiTheme="majorHAnsi"/>
          <w:sz w:val="22"/>
          <w:szCs w:val="22"/>
        </w:rPr>
        <w:fldChar w:fldCharType="end"/>
      </w:r>
      <w:r w:rsidR="00CD1129" w:rsidRPr="0057415D">
        <w:rPr>
          <w:rFonts w:asciiTheme="majorHAnsi" w:hAnsiTheme="majorHAnsi"/>
          <w:sz w:val="22"/>
          <w:szCs w:val="22"/>
        </w:rPr>
        <w:t>.</w:t>
      </w:r>
      <w:r w:rsidR="004776C0" w:rsidRPr="0057415D">
        <w:rPr>
          <w:rFonts w:asciiTheme="majorHAnsi" w:hAnsiTheme="majorHAnsi"/>
          <w:sz w:val="22"/>
          <w:szCs w:val="22"/>
        </w:rPr>
        <w:t xml:space="preserve"> This association has been found </w:t>
      </w:r>
      <w:r w:rsidR="00220283" w:rsidRPr="0057415D">
        <w:rPr>
          <w:rFonts w:asciiTheme="majorHAnsi" w:hAnsiTheme="majorHAnsi"/>
          <w:sz w:val="22"/>
          <w:szCs w:val="22"/>
        </w:rPr>
        <w:t>to be independent of deprivation</w:t>
      </w:r>
      <w:r w:rsidR="004776C0" w:rsidRPr="0057415D">
        <w:rPr>
          <w:rFonts w:asciiTheme="majorHAnsi" w:hAnsiTheme="majorHAnsi"/>
          <w:sz w:val="22"/>
          <w:szCs w:val="22"/>
        </w:rPr>
        <w:t>,</w:t>
      </w:r>
      <w:r w:rsidR="00220283" w:rsidRPr="0057415D">
        <w:rPr>
          <w:rFonts w:asciiTheme="majorHAnsi" w:hAnsiTheme="majorHAnsi"/>
          <w:sz w:val="22"/>
          <w:szCs w:val="22"/>
        </w:rPr>
        <w:t xml:space="preserve"> with</w:t>
      </w:r>
      <w:r w:rsidR="004776C0" w:rsidRPr="0057415D">
        <w:rPr>
          <w:rFonts w:asciiTheme="majorHAnsi" w:hAnsiTheme="majorHAnsi"/>
          <w:sz w:val="22"/>
          <w:szCs w:val="22"/>
        </w:rPr>
        <w:t xml:space="preserve"> deprivation a poor indicator of vaccination coverage amongst ethnic minorities</w:t>
      </w:r>
      <w:r w:rsidR="004E35EE" w:rsidRPr="0057415D">
        <w:rPr>
          <w:rFonts w:asciiTheme="majorHAnsi" w:hAnsiTheme="majorHAnsi"/>
          <w:sz w:val="22"/>
          <w:szCs w:val="22"/>
        </w:rPr>
        <w:t xml:space="preserve">, in contrast </w:t>
      </w:r>
      <w:r w:rsidR="00220283" w:rsidRPr="0057415D">
        <w:rPr>
          <w:rFonts w:asciiTheme="majorHAnsi" w:hAnsiTheme="majorHAnsi"/>
          <w:sz w:val="22"/>
          <w:szCs w:val="22"/>
        </w:rPr>
        <w:t>to amongst White British groups</w:t>
      </w:r>
      <w:r w:rsidR="004776C0" w:rsidRPr="0057415D">
        <w:rPr>
          <w:rFonts w:asciiTheme="majorHAnsi" w:hAnsiTheme="majorHAnsi"/>
          <w:sz w:val="22"/>
          <w:szCs w:val="22"/>
        </w:rPr>
        <w:fldChar w:fldCharType="begin"/>
      </w:r>
      <w:r w:rsidR="004776C0" w:rsidRPr="0057415D">
        <w:rPr>
          <w:rFonts w:asciiTheme="majorHAnsi" w:hAnsiTheme="majorHAnsi"/>
          <w:sz w:val="22"/>
          <w:szCs w:val="22"/>
        </w:rPr>
        <w:instrText>ADDIN RW.CITE{{889 Wagner,K.S. 2014}}</w:instrText>
      </w:r>
      <w:r w:rsidR="004776C0" w:rsidRPr="0057415D">
        <w:rPr>
          <w:rFonts w:asciiTheme="majorHAnsi" w:hAnsiTheme="majorHAnsi"/>
          <w:sz w:val="22"/>
          <w:szCs w:val="22"/>
        </w:rPr>
        <w:fldChar w:fldCharType="separate"/>
      </w:r>
      <w:r w:rsidR="00063FFE" w:rsidRPr="0057415D">
        <w:rPr>
          <w:rFonts w:asciiTheme="majorHAnsi" w:eastAsia="Times New Roman" w:hAnsiTheme="majorHAnsi" w:cs="Times New Roman"/>
          <w:sz w:val="22"/>
        </w:rPr>
        <w:t>(43</w:t>
      </w:r>
      <w:r w:rsidR="004776C0" w:rsidRPr="0057415D">
        <w:rPr>
          <w:rFonts w:asciiTheme="majorHAnsi" w:eastAsia="Times New Roman" w:hAnsiTheme="majorHAnsi" w:cs="Times New Roman"/>
          <w:sz w:val="22"/>
        </w:rPr>
        <w:t>)</w:t>
      </w:r>
      <w:r w:rsidR="004776C0" w:rsidRPr="0057415D">
        <w:rPr>
          <w:rFonts w:asciiTheme="majorHAnsi" w:hAnsiTheme="majorHAnsi"/>
          <w:sz w:val="22"/>
          <w:szCs w:val="22"/>
        </w:rPr>
        <w:fldChar w:fldCharType="end"/>
      </w:r>
      <w:r w:rsidR="004776C0" w:rsidRPr="0057415D">
        <w:rPr>
          <w:rFonts w:asciiTheme="majorHAnsi" w:hAnsiTheme="majorHAnsi"/>
          <w:sz w:val="22"/>
          <w:szCs w:val="22"/>
        </w:rPr>
        <w:t>.</w:t>
      </w:r>
      <w:r w:rsidR="00CD1129" w:rsidRPr="0057415D">
        <w:rPr>
          <w:rFonts w:asciiTheme="majorHAnsi" w:hAnsiTheme="majorHAnsi"/>
          <w:sz w:val="22"/>
          <w:szCs w:val="22"/>
        </w:rPr>
        <w:t xml:space="preserve"> </w:t>
      </w:r>
      <w:r w:rsidRPr="0057415D">
        <w:rPr>
          <w:rFonts w:asciiTheme="majorHAnsi" w:hAnsiTheme="majorHAnsi"/>
          <w:sz w:val="22"/>
          <w:szCs w:val="22"/>
        </w:rPr>
        <w:t>T</w:t>
      </w:r>
      <w:r w:rsidR="005811AB" w:rsidRPr="0057415D">
        <w:rPr>
          <w:rFonts w:asciiTheme="majorHAnsi" w:hAnsiTheme="majorHAnsi"/>
          <w:sz w:val="22"/>
          <w:szCs w:val="22"/>
        </w:rPr>
        <w:t>his increased acceptance</w:t>
      </w:r>
      <w:r w:rsidR="00DE0332" w:rsidRPr="0057415D">
        <w:rPr>
          <w:rFonts w:asciiTheme="majorHAnsi" w:hAnsiTheme="majorHAnsi"/>
          <w:sz w:val="22"/>
          <w:szCs w:val="22"/>
        </w:rPr>
        <w:t xml:space="preserve"> of vaccination</w:t>
      </w:r>
      <w:r w:rsidR="005811AB" w:rsidRPr="0057415D">
        <w:rPr>
          <w:rFonts w:asciiTheme="majorHAnsi" w:hAnsiTheme="majorHAnsi"/>
          <w:sz w:val="22"/>
          <w:szCs w:val="22"/>
        </w:rPr>
        <w:t xml:space="preserve"> is not universal to all</w:t>
      </w:r>
      <w:r w:rsidRPr="0057415D">
        <w:rPr>
          <w:rFonts w:asciiTheme="majorHAnsi" w:hAnsiTheme="majorHAnsi"/>
          <w:sz w:val="22"/>
          <w:szCs w:val="22"/>
        </w:rPr>
        <w:t xml:space="preserve"> BME groups</w:t>
      </w:r>
      <w:r w:rsidR="005811AB" w:rsidRPr="0057415D">
        <w:rPr>
          <w:rFonts w:asciiTheme="majorHAnsi" w:hAnsiTheme="majorHAnsi"/>
          <w:sz w:val="22"/>
          <w:szCs w:val="22"/>
        </w:rPr>
        <w:t xml:space="preserve">, with Asian populations in the UK and Hispanic populations in the US showing high levels of vaccine acceptance, whilst Black </w:t>
      </w:r>
      <w:r w:rsidR="00DE0332" w:rsidRPr="0057415D">
        <w:rPr>
          <w:rFonts w:asciiTheme="majorHAnsi" w:hAnsiTheme="majorHAnsi"/>
          <w:sz w:val="22"/>
          <w:szCs w:val="22"/>
        </w:rPr>
        <w:t xml:space="preserve">ethnic groups often </w:t>
      </w:r>
      <w:r w:rsidR="005811AB" w:rsidRPr="0057415D">
        <w:rPr>
          <w:rFonts w:asciiTheme="majorHAnsi" w:hAnsiTheme="majorHAnsi"/>
          <w:sz w:val="22"/>
          <w:szCs w:val="22"/>
        </w:rPr>
        <w:t>have lower levels of vaccine uptake than White cohorts</w:t>
      </w:r>
      <w:r w:rsidR="00AB39F7" w:rsidRPr="0057415D">
        <w:rPr>
          <w:rFonts w:asciiTheme="majorHAnsi" w:hAnsiTheme="majorHAnsi"/>
          <w:sz w:val="22"/>
          <w:szCs w:val="22"/>
        </w:rPr>
        <w:fldChar w:fldCharType="begin"/>
      </w:r>
      <w:r w:rsidR="00AB39F7" w:rsidRPr="0057415D">
        <w:rPr>
          <w:rFonts w:asciiTheme="majorHAnsi" w:hAnsiTheme="majorHAnsi"/>
          <w:sz w:val="22"/>
          <w:szCs w:val="22"/>
        </w:rPr>
        <w:instrText>ADDIN RW.CITE{{865 Hawker, Jeremy I 2007;870 Quinn, Sandra Crouse 2009}}</w:instrText>
      </w:r>
      <w:r w:rsidR="00AB39F7" w:rsidRPr="0057415D">
        <w:rPr>
          <w:rFonts w:asciiTheme="majorHAnsi" w:hAnsiTheme="majorHAnsi"/>
          <w:sz w:val="22"/>
          <w:szCs w:val="22"/>
        </w:rPr>
        <w:fldChar w:fldCharType="separate"/>
      </w:r>
      <w:r w:rsidR="00063FFE" w:rsidRPr="0057415D">
        <w:rPr>
          <w:rFonts w:asciiTheme="majorHAnsi" w:eastAsia="Times New Roman" w:hAnsiTheme="majorHAnsi" w:cs="Times New Roman"/>
          <w:sz w:val="22"/>
        </w:rPr>
        <w:t>(22,41</w:t>
      </w:r>
      <w:r w:rsidR="004776C0" w:rsidRPr="0057415D">
        <w:rPr>
          <w:rFonts w:asciiTheme="majorHAnsi" w:eastAsia="Times New Roman" w:hAnsiTheme="majorHAnsi" w:cs="Times New Roman"/>
          <w:sz w:val="22"/>
        </w:rPr>
        <w:t>)</w:t>
      </w:r>
      <w:r w:rsidR="00AB39F7" w:rsidRPr="0057415D">
        <w:rPr>
          <w:rFonts w:asciiTheme="majorHAnsi" w:hAnsiTheme="majorHAnsi"/>
          <w:sz w:val="22"/>
          <w:szCs w:val="22"/>
        </w:rPr>
        <w:fldChar w:fldCharType="end"/>
      </w:r>
      <w:r w:rsidR="00D32E92" w:rsidRPr="0057415D">
        <w:rPr>
          <w:rFonts w:asciiTheme="majorHAnsi" w:hAnsiTheme="majorHAnsi"/>
          <w:sz w:val="22"/>
          <w:szCs w:val="22"/>
        </w:rPr>
        <w:t xml:space="preserve">. Explanations for </w:t>
      </w:r>
      <w:r w:rsidR="00DE0332" w:rsidRPr="0057415D">
        <w:rPr>
          <w:rFonts w:asciiTheme="majorHAnsi" w:hAnsiTheme="majorHAnsi"/>
          <w:sz w:val="22"/>
          <w:szCs w:val="22"/>
        </w:rPr>
        <w:t xml:space="preserve">this </w:t>
      </w:r>
      <w:r w:rsidR="00D32E92" w:rsidRPr="0057415D">
        <w:rPr>
          <w:rFonts w:asciiTheme="majorHAnsi" w:hAnsiTheme="majorHAnsi"/>
          <w:sz w:val="22"/>
          <w:szCs w:val="22"/>
        </w:rPr>
        <w:t>include greater trust in healthcare system</w:t>
      </w:r>
      <w:r w:rsidR="003C1F94" w:rsidRPr="0057415D">
        <w:rPr>
          <w:rFonts w:asciiTheme="majorHAnsi" w:hAnsiTheme="majorHAnsi"/>
          <w:sz w:val="22"/>
          <w:szCs w:val="22"/>
        </w:rPr>
        <w:t>s</w:t>
      </w:r>
      <w:r w:rsidR="00D32E92" w:rsidRPr="0057415D">
        <w:rPr>
          <w:rFonts w:asciiTheme="majorHAnsi" w:hAnsiTheme="majorHAnsi"/>
          <w:sz w:val="22"/>
          <w:szCs w:val="22"/>
        </w:rPr>
        <w:t xml:space="preserve"> and in health professionals</w:t>
      </w:r>
      <w:r w:rsidR="00DE0332" w:rsidRPr="0057415D">
        <w:rPr>
          <w:rFonts w:asciiTheme="majorHAnsi" w:hAnsiTheme="majorHAnsi"/>
          <w:sz w:val="22"/>
          <w:szCs w:val="22"/>
        </w:rPr>
        <w:t xml:space="preserve"> amongst certain ethnic groups</w:t>
      </w:r>
      <w:r w:rsidR="00D32E92" w:rsidRPr="0057415D">
        <w:rPr>
          <w:rFonts w:asciiTheme="majorHAnsi" w:hAnsiTheme="majorHAnsi"/>
          <w:sz w:val="22"/>
          <w:szCs w:val="22"/>
        </w:rPr>
        <w:t>, along with a tradition of belief about the safety and protection afforded by vaccination</w:t>
      </w:r>
      <w:r w:rsidR="00DE0332" w:rsidRPr="0057415D">
        <w:rPr>
          <w:rFonts w:asciiTheme="majorHAnsi" w:hAnsiTheme="majorHAnsi"/>
          <w:sz w:val="22"/>
          <w:szCs w:val="22"/>
        </w:rPr>
        <w:t xml:space="preserve"> in certain cultures</w:t>
      </w:r>
      <w:r w:rsidR="00D32E92" w:rsidRPr="0057415D">
        <w:rPr>
          <w:rFonts w:asciiTheme="majorHAnsi" w:hAnsiTheme="majorHAnsi"/>
          <w:sz w:val="22"/>
          <w:szCs w:val="22"/>
        </w:rPr>
        <w:fldChar w:fldCharType="begin"/>
      </w:r>
      <w:r w:rsidR="00D32E92" w:rsidRPr="0057415D">
        <w:rPr>
          <w:rFonts w:asciiTheme="majorHAnsi" w:hAnsiTheme="majorHAnsi"/>
          <w:sz w:val="22"/>
          <w:szCs w:val="22"/>
        </w:rPr>
        <w:instrText>ADDIN RW.CITE{{870 Quinn, Sandra Crouse 2009;869 Baker,D. 2011;867 Timmermans, Danielle RM 2005}}</w:instrText>
      </w:r>
      <w:r w:rsidR="00D32E92" w:rsidRPr="0057415D">
        <w:rPr>
          <w:rFonts w:asciiTheme="majorHAnsi" w:hAnsiTheme="majorHAnsi"/>
          <w:sz w:val="22"/>
          <w:szCs w:val="22"/>
        </w:rPr>
        <w:fldChar w:fldCharType="separate"/>
      </w:r>
      <w:r w:rsidR="004776C0" w:rsidRPr="0057415D">
        <w:rPr>
          <w:rFonts w:asciiTheme="majorHAnsi" w:eastAsia="Times New Roman" w:hAnsiTheme="majorHAnsi" w:cs="Times New Roman"/>
          <w:sz w:val="22"/>
        </w:rPr>
        <w:t>(21-23)</w:t>
      </w:r>
      <w:r w:rsidR="00D32E92" w:rsidRPr="0057415D">
        <w:rPr>
          <w:rFonts w:asciiTheme="majorHAnsi" w:hAnsiTheme="majorHAnsi"/>
          <w:sz w:val="22"/>
          <w:szCs w:val="22"/>
        </w:rPr>
        <w:fldChar w:fldCharType="end"/>
      </w:r>
      <w:r w:rsidR="00D32E92" w:rsidRPr="0057415D">
        <w:rPr>
          <w:rFonts w:asciiTheme="majorHAnsi" w:hAnsiTheme="majorHAnsi"/>
          <w:sz w:val="22"/>
          <w:szCs w:val="22"/>
        </w:rPr>
        <w:t>.</w:t>
      </w:r>
    </w:p>
    <w:p w14:paraId="41B40296" w14:textId="77777777" w:rsidR="002A6BD4" w:rsidRPr="0057415D" w:rsidRDefault="002A6BD4" w:rsidP="00F85C87">
      <w:pPr>
        <w:spacing w:line="480" w:lineRule="auto"/>
        <w:rPr>
          <w:rFonts w:asciiTheme="majorHAnsi" w:hAnsiTheme="majorHAnsi"/>
          <w:sz w:val="22"/>
          <w:szCs w:val="22"/>
        </w:rPr>
      </w:pPr>
    </w:p>
    <w:p w14:paraId="31D40EEF" w14:textId="061EF9DF" w:rsidR="002A6BD4" w:rsidRPr="0057415D" w:rsidRDefault="002A6BD4" w:rsidP="00F85C87">
      <w:pPr>
        <w:spacing w:line="480" w:lineRule="auto"/>
        <w:rPr>
          <w:rFonts w:asciiTheme="majorHAnsi" w:hAnsiTheme="majorHAnsi"/>
          <w:sz w:val="22"/>
          <w:szCs w:val="22"/>
        </w:rPr>
      </w:pPr>
      <w:r w:rsidRPr="0057415D">
        <w:rPr>
          <w:rFonts w:asciiTheme="majorHAnsi" w:hAnsiTheme="majorHAnsi"/>
          <w:sz w:val="22"/>
          <w:szCs w:val="22"/>
        </w:rPr>
        <w:t>Although indicators of patient satisfaction</w:t>
      </w:r>
      <w:r w:rsidR="00BE39F3" w:rsidRPr="0057415D">
        <w:rPr>
          <w:rFonts w:asciiTheme="majorHAnsi" w:hAnsiTheme="majorHAnsi"/>
          <w:sz w:val="22"/>
          <w:szCs w:val="22"/>
        </w:rPr>
        <w:t>, access</w:t>
      </w:r>
      <w:r w:rsidRPr="0057415D">
        <w:rPr>
          <w:rFonts w:asciiTheme="majorHAnsi" w:hAnsiTheme="majorHAnsi"/>
          <w:sz w:val="22"/>
          <w:szCs w:val="22"/>
        </w:rPr>
        <w:t xml:space="preserve"> and </w:t>
      </w:r>
      <w:r w:rsidR="00560521" w:rsidRPr="0057415D">
        <w:rPr>
          <w:rFonts w:asciiTheme="majorHAnsi" w:hAnsiTheme="majorHAnsi"/>
          <w:sz w:val="22"/>
          <w:szCs w:val="22"/>
        </w:rPr>
        <w:t xml:space="preserve">general </w:t>
      </w:r>
      <w:r w:rsidRPr="0057415D">
        <w:rPr>
          <w:rFonts w:asciiTheme="majorHAnsi" w:hAnsiTheme="majorHAnsi"/>
          <w:sz w:val="22"/>
          <w:szCs w:val="22"/>
        </w:rPr>
        <w:t>practice quality have not previously been examined in associatio</w:t>
      </w:r>
      <w:r w:rsidR="00DE0332" w:rsidRPr="0057415D">
        <w:rPr>
          <w:rFonts w:asciiTheme="majorHAnsi" w:hAnsiTheme="majorHAnsi"/>
          <w:sz w:val="22"/>
          <w:szCs w:val="22"/>
        </w:rPr>
        <w:t xml:space="preserve">n with vaccination uptake, they have been explored in conjunction </w:t>
      </w:r>
      <w:r w:rsidRPr="0057415D">
        <w:rPr>
          <w:rFonts w:asciiTheme="majorHAnsi" w:hAnsiTheme="majorHAnsi"/>
          <w:sz w:val="22"/>
          <w:szCs w:val="22"/>
        </w:rPr>
        <w:t>with other clinical indicators and disease outcome</w:t>
      </w:r>
      <w:r w:rsidR="00DE0332" w:rsidRPr="0057415D">
        <w:rPr>
          <w:rFonts w:asciiTheme="majorHAnsi" w:hAnsiTheme="majorHAnsi"/>
          <w:sz w:val="22"/>
          <w:szCs w:val="22"/>
        </w:rPr>
        <w:t>s</w:t>
      </w:r>
      <w:r w:rsidRPr="0057415D">
        <w:rPr>
          <w:rFonts w:asciiTheme="majorHAnsi" w:hAnsiTheme="majorHAnsi"/>
          <w:sz w:val="22"/>
          <w:szCs w:val="22"/>
        </w:rPr>
        <w:t>.</w:t>
      </w:r>
      <w:r w:rsidR="00BE39F3" w:rsidRPr="0057415D">
        <w:rPr>
          <w:rFonts w:asciiTheme="majorHAnsi" w:hAnsiTheme="majorHAnsi"/>
          <w:sz w:val="22"/>
          <w:szCs w:val="22"/>
        </w:rPr>
        <w:t xml:space="preserve"> </w:t>
      </w:r>
      <w:r w:rsidR="00093C94" w:rsidRPr="0057415D">
        <w:rPr>
          <w:rFonts w:asciiTheme="majorHAnsi" w:hAnsiTheme="majorHAnsi"/>
          <w:sz w:val="22"/>
          <w:szCs w:val="22"/>
        </w:rPr>
        <w:t xml:space="preserve">There is a wide body of evidence that </w:t>
      </w:r>
      <w:r w:rsidR="002030E7" w:rsidRPr="0057415D">
        <w:rPr>
          <w:rFonts w:asciiTheme="majorHAnsi" w:hAnsiTheme="majorHAnsi"/>
          <w:sz w:val="22"/>
          <w:szCs w:val="22"/>
        </w:rPr>
        <w:t>higher practice achievement</w:t>
      </w:r>
      <w:r w:rsidR="00A13336" w:rsidRPr="0057415D">
        <w:rPr>
          <w:rFonts w:asciiTheme="majorHAnsi" w:hAnsiTheme="majorHAnsi"/>
          <w:sz w:val="22"/>
          <w:szCs w:val="22"/>
        </w:rPr>
        <w:t>,</w:t>
      </w:r>
      <w:r w:rsidR="002030E7" w:rsidRPr="0057415D">
        <w:rPr>
          <w:rFonts w:asciiTheme="majorHAnsi" w:hAnsiTheme="majorHAnsi"/>
          <w:sz w:val="22"/>
          <w:szCs w:val="22"/>
        </w:rPr>
        <w:t xml:space="preserve"> as </w:t>
      </w:r>
      <w:r w:rsidR="00A13336" w:rsidRPr="0057415D">
        <w:rPr>
          <w:rFonts w:asciiTheme="majorHAnsi" w:hAnsiTheme="majorHAnsi"/>
          <w:sz w:val="22"/>
          <w:szCs w:val="22"/>
        </w:rPr>
        <w:t>measured</w:t>
      </w:r>
      <w:r w:rsidR="002030E7" w:rsidRPr="0057415D">
        <w:rPr>
          <w:rFonts w:asciiTheme="majorHAnsi" w:hAnsiTheme="majorHAnsi"/>
          <w:sz w:val="22"/>
          <w:szCs w:val="22"/>
        </w:rPr>
        <w:t xml:space="preserve"> by</w:t>
      </w:r>
      <w:r w:rsidR="00ED3FBD" w:rsidRPr="0057415D">
        <w:rPr>
          <w:rFonts w:asciiTheme="majorHAnsi" w:hAnsiTheme="majorHAnsi"/>
          <w:sz w:val="22"/>
          <w:szCs w:val="22"/>
        </w:rPr>
        <w:t xml:space="preserve"> the QOF</w:t>
      </w:r>
      <w:r w:rsidR="00A13336" w:rsidRPr="0057415D">
        <w:rPr>
          <w:rFonts w:asciiTheme="majorHAnsi" w:hAnsiTheme="majorHAnsi"/>
          <w:sz w:val="22"/>
          <w:szCs w:val="22"/>
        </w:rPr>
        <w:t>,</w:t>
      </w:r>
      <w:r w:rsidR="00ED3FBD" w:rsidRPr="0057415D">
        <w:rPr>
          <w:rFonts w:asciiTheme="majorHAnsi" w:hAnsiTheme="majorHAnsi"/>
          <w:sz w:val="22"/>
          <w:szCs w:val="22"/>
        </w:rPr>
        <w:t xml:space="preserve"> is associated with better outcomes for chronic diseases such as </w:t>
      </w:r>
      <w:r w:rsidR="00D37CE8" w:rsidRPr="0057415D">
        <w:rPr>
          <w:rFonts w:asciiTheme="majorHAnsi" w:hAnsiTheme="majorHAnsi"/>
          <w:sz w:val="22"/>
          <w:szCs w:val="22"/>
        </w:rPr>
        <w:t>diabetes, epilepsy</w:t>
      </w:r>
      <w:r w:rsidR="00ED3FBD" w:rsidRPr="0057415D">
        <w:rPr>
          <w:rFonts w:asciiTheme="majorHAnsi" w:hAnsiTheme="majorHAnsi"/>
          <w:sz w:val="22"/>
          <w:szCs w:val="22"/>
        </w:rPr>
        <w:t xml:space="preserve"> and coronary heart disease, as well as higher dementia diagn</w:t>
      </w:r>
      <w:r w:rsidR="002030E7" w:rsidRPr="0057415D">
        <w:rPr>
          <w:rFonts w:asciiTheme="majorHAnsi" w:hAnsiTheme="majorHAnsi"/>
          <w:sz w:val="22"/>
          <w:szCs w:val="22"/>
        </w:rPr>
        <w:t>osis rates and earlier</w:t>
      </w:r>
      <w:r w:rsidR="00D37CE8" w:rsidRPr="0057415D">
        <w:rPr>
          <w:rFonts w:asciiTheme="majorHAnsi" w:hAnsiTheme="majorHAnsi"/>
          <w:sz w:val="22"/>
          <w:szCs w:val="22"/>
        </w:rPr>
        <w:t xml:space="preserve"> cancer diagnosis</w:t>
      </w:r>
      <w:r w:rsidR="00ED3FBD" w:rsidRPr="0057415D">
        <w:rPr>
          <w:rFonts w:asciiTheme="majorHAnsi" w:hAnsiTheme="majorHAnsi"/>
          <w:sz w:val="22"/>
          <w:szCs w:val="22"/>
        </w:rPr>
        <w:fldChar w:fldCharType="begin"/>
      </w:r>
      <w:r w:rsidR="00ED3FBD" w:rsidRPr="0057415D">
        <w:rPr>
          <w:rFonts w:asciiTheme="majorHAnsi" w:hAnsiTheme="majorHAnsi"/>
          <w:sz w:val="22"/>
          <w:szCs w:val="22"/>
        </w:rPr>
        <w:instrText>ADDIN RW.CITE{{879 Walker, Ian F 2017;880 WAREHAM, HELEN 2015;881 Ryan,A.M. 2012}}</w:instrText>
      </w:r>
      <w:r w:rsidR="00ED3FBD" w:rsidRPr="0057415D">
        <w:rPr>
          <w:rFonts w:asciiTheme="majorHAnsi" w:hAnsiTheme="majorHAnsi"/>
          <w:sz w:val="22"/>
          <w:szCs w:val="22"/>
        </w:rPr>
        <w:fldChar w:fldCharType="separate"/>
      </w:r>
      <w:r w:rsidR="00063FFE" w:rsidRPr="0057415D">
        <w:rPr>
          <w:rFonts w:asciiTheme="majorHAnsi" w:eastAsia="Times New Roman" w:hAnsiTheme="majorHAnsi" w:cs="Times New Roman"/>
          <w:sz w:val="22"/>
        </w:rPr>
        <w:t>(44-46</w:t>
      </w:r>
      <w:r w:rsidR="004776C0" w:rsidRPr="0057415D">
        <w:rPr>
          <w:rFonts w:asciiTheme="majorHAnsi" w:eastAsia="Times New Roman" w:hAnsiTheme="majorHAnsi" w:cs="Times New Roman"/>
          <w:sz w:val="22"/>
        </w:rPr>
        <w:t>)</w:t>
      </w:r>
      <w:r w:rsidR="00ED3FBD" w:rsidRPr="0057415D">
        <w:rPr>
          <w:rFonts w:asciiTheme="majorHAnsi" w:hAnsiTheme="majorHAnsi"/>
          <w:sz w:val="22"/>
          <w:szCs w:val="22"/>
        </w:rPr>
        <w:fldChar w:fldCharType="end"/>
      </w:r>
      <w:r w:rsidR="00ED3FBD" w:rsidRPr="0057415D">
        <w:rPr>
          <w:rFonts w:asciiTheme="majorHAnsi" w:hAnsiTheme="majorHAnsi"/>
          <w:sz w:val="22"/>
          <w:szCs w:val="22"/>
        </w:rPr>
        <w:t>.</w:t>
      </w:r>
      <w:r w:rsidR="001C6BE2" w:rsidRPr="0057415D">
        <w:rPr>
          <w:rFonts w:asciiTheme="majorHAnsi" w:hAnsiTheme="majorHAnsi"/>
          <w:sz w:val="22"/>
          <w:szCs w:val="22"/>
        </w:rPr>
        <w:t xml:space="preserve"> Likewise, satisfaction wit</w:t>
      </w:r>
      <w:r w:rsidR="002030E7" w:rsidRPr="0057415D">
        <w:rPr>
          <w:rFonts w:asciiTheme="majorHAnsi" w:hAnsiTheme="majorHAnsi"/>
          <w:sz w:val="22"/>
          <w:szCs w:val="22"/>
        </w:rPr>
        <w:t>h</w:t>
      </w:r>
      <w:r w:rsidR="00A13336" w:rsidRPr="0057415D">
        <w:rPr>
          <w:rFonts w:asciiTheme="majorHAnsi" w:hAnsiTheme="majorHAnsi"/>
          <w:sz w:val="22"/>
          <w:szCs w:val="22"/>
        </w:rPr>
        <w:t xml:space="preserve"> practice</w:t>
      </w:r>
      <w:r w:rsidR="002030E7" w:rsidRPr="0057415D">
        <w:rPr>
          <w:rFonts w:asciiTheme="majorHAnsi" w:hAnsiTheme="majorHAnsi"/>
          <w:sz w:val="22"/>
          <w:szCs w:val="22"/>
        </w:rPr>
        <w:t xml:space="preserve"> opening hours and</w:t>
      </w:r>
      <w:r w:rsidR="001C6BE2" w:rsidRPr="0057415D">
        <w:rPr>
          <w:rFonts w:asciiTheme="majorHAnsi" w:hAnsiTheme="majorHAnsi"/>
          <w:sz w:val="22"/>
          <w:szCs w:val="22"/>
        </w:rPr>
        <w:t xml:space="preserve"> with th</w:t>
      </w:r>
      <w:r w:rsidR="002030E7" w:rsidRPr="0057415D">
        <w:rPr>
          <w:rFonts w:asciiTheme="majorHAnsi" w:hAnsiTheme="majorHAnsi"/>
          <w:sz w:val="22"/>
          <w:szCs w:val="22"/>
        </w:rPr>
        <w:t>e appointment booking system have</w:t>
      </w:r>
      <w:r w:rsidR="001C6BE2" w:rsidRPr="0057415D">
        <w:rPr>
          <w:rFonts w:asciiTheme="majorHAnsi" w:hAnsiTheme="majorHAnsi"/>
          <w:sz w:val="22"/>
          <w:szCs w:val="22"/>
        </w:rPr>
        <w:t xml:space="preserve"> been associated with earlier </w:t>
      </w:r>
      <w:r w:rsidR="002030E7" w:rsidRPr="0057415D">
        <w:rPr>
          <w:rFonts w:asciiTheme="majorHAnsi" w:hAnsiTheme="majorHAnsi"/>
          <w:sz w:val="22"/>
          <w:szCs w:val="22"/>
        </w:rPr>
        <w:t>diagnosis</w:t>
      </w:r>
      <w:r w:rsidR="001C6BE2" w:rsidRPr="0057415D">
        <w:rPr>
          <w:rFonts w:asciiTheme="majorHAnsi" w:hAnsiTheme="majorHAnsi"/>
          <w:sz w:val="22"/>
          <w:szCs w:val="22"/>
        </w:rPr>
        <w:t xml:space="preserve"> of breast</w:t>
      </w:r>
      <w:r w:rsidR="002030E7" w:rsidRPr="0057415D">
        <w:rPr>
          <w:rFonts w:asciiTheme="majorHAnsi" w:hAnsiTheme="majorHAnsi"/>
          <w:sz w:val="22"/>
          <w:szCs w:val="22"/>
        </w:rPr>
        <w:t xml:space="preserve"> and colorectal cancer</w:t>
      </w:r>
      <w:r w:rsidR="001C6BE2" w:rsidRPr="0057415D">
        <w:rPr>
          <w:rFonts w:asciiTheme="majorHAnsi" w:hAnsiTheme="majorHAnsi"/>
          <w:sz w:val="22"/>
          <w:szCs w:val="22"/>
        </w:rPr>
        <w:t xml:space="preserve">, whilst self-reported ability to make an </w:t>
      </w:r>
      <w:r w:rsidR="001C6BE2" w:rsidRPr="0057415D">
        <w:rPr>
          <w:rFonts w:asciiTheme="majorHAnsi" w:hAnsiTheme="majorHAnsi"/>
          <w:sz w:val="22"/>
          <w:szCs w:val="22"/>
        </w:rPr>
        <w:lastRenderedPageBreak/>
        <w:t>appointment and be able to speak to a doctor or nurse the same or</w:t>
      </w:r>
      <w:r w:rsidR="002030E7" w:rsidRPr="0057415D">
        <w:rPr>
          <w:rFonts w:asciiTheme="majorHAnsi" w:hAnsiTheme="majorHAnsi"/>
          <w:sz w:val="22"/>
          <w:szCs w:val="22"/>
        </w:rPr>
        <w:t xml:space="preserve"> next working day have</w:t>
      </w:r>
      <w:r w:rsidR="001C6BE2" w:rsidRPr="0057415D">
        <w:rPr>
          <w:rFonts w:asciiTheme="majorHAnsi" w:hAnsiTheme="majorHAnsi"/>
          <w:sz w:val="22"/>
          <w:szCs w:val="22"/>
        </w:rPr>
        <w:t xml:space="preserve"> bee</w:t>
      </w:r>
      <w:r w:rsidR="002030E7" w:rsidRPr="0057415D">
        <w:rPr>
          <w:rFonts w:asciiTheme="majorHAnsi" w:hAnsiTheme="majorHAnsi"/>
          <w:sz w:val="22"/>
          <w:szCs w:val="22"/>
        </w:rPr>
        <w:t xml:space="preserve">n linked with reduced </w:t>
      </w:r>
      <w:r w:rsidR="001C6BE2" w:rsidRPr="0057415D">
        <w:rPr>
          <w:rFonts w:asciiTheme="majorHAnsi" w:hAnsiTheme="majorHAnsi"/>
          <w:sz w:val="22"/>
          <w:szCs w:val="22"/>
        </w:rPr>
        <w:t>Emergency Department</w:t>
      </w:r>
      <w:r w:rsidR="002030E7" w:rsidRPr="0057415D">
        <w:rPr>
          <w:rFonts w:asciiTheme="majorHAnsi" w:hAnsiTheme="majorHAnsi"/>
          <w:sz w:val="22"/>
          <w:szCs w:val="22"/>
        </w:rPr>
        <w:t xml:space="preserve"> attendance</w:t>
      </w:r>
      <w:r w:rsidR="001C6BE2" w:rsidRPr="0057415D">
        <w:rPr>
          <w:rFonts w:asciiTheme="majorHAnsi" w:hAnsiTheme="majorHAnsi"/>
          <w:sz w:val="22"/>
          <w:szCs w:val="22"/>
        </w:rPr>
        <w:fldChar w:fldCharType="begin"/>
      </w:r>
      <w:r w:rsidR="001C6BE2" w:rsidRPr="0057415D">
        <w:rPr>
          <w:rFonts w:asciiTheme="majorHAnsi" w:hAnsiTheme="majorHAnsi"/>
          <w:sz w:val="22"/>
          <w:szCs w:val="22"/>
        </w:rPr>
        <w:instrText>ADDIN RW.CITE{{880 WAREHAM, HELEN 2015;878 Tammes,P. 2016}}</w:instrText>
      </w:r>
      <w:r w:rsidR="001C6BE2" w:rsidRPr="0057415D">
        <w:rPr>
          <w:rFonts w:asciiTheme="majorHAnsi" w:hAnsiTheme="majorHAnsi"/>
          <w:sz w:val="22"/>
          <w:szCs w:val="22"/>
        </w:rPr>
        <w:fldChar w:fldCharType="separate"/>
      </w:r>
      <w:r w:rsidR="00063FFE" w:rsidRPr="0057415D">
        <w:rPr>
          <w:rFonts w:asciiTheme="majorHAnsi" w:eastAsia="Times New Roman" w:hAnsiTheme="majorHAnsi" w:cs="Times New Roman"/>
          <w:sz w:val="22"/>
        </w:rPr>
        <w:t>(45,47</w:t>
      </w:r>
      <w:r w:rsidR="004776C0" w:rsidRPr="0057415D">
        <w:rPr>
          <w:rFonts w:asciiTheme="majorHAnsi" w:eastAsia="Times New Roman" w:hAnsiTheme="majorHAnsi" w:cs="Times New Roman"/>
          <w:sz w:val="22"/>
        </w:rPr>
        <w:t>)</w:t>
      </w:r>
      <w:r w:rsidR="001C6BE2" w:rsidRPr="0057415D">
        <w:rPr>
          <w:rFonts w:asciiTheme="majorHAnsi" w:hAnsiTheme="majorHAnsi"/>
          <w:sz w:val="22"/>
          <w:szCs w:val="22"/>
        </w:rPr>
        <w:fldChar w:fldCharType="end"/>
      </w:r>
      <w:r w:rsidR="001C6BE2" w:rsidRPr="0057415D">
        <w:rPr>
          <w:rFonts w:asciiTheme="majorHAnsi" w:hAnsiTheme="majorHAnsi"/>
          <w:sz w:val="22"/>
          <w:szCs w:val="22"/>
        </w:rPr>
        <w:t>.</w:t>
      </w:r>
    </w:p>
    <w:p w14:paraId="2A90D71E" w14:textId="77777777" w:rsidR="008814DF" w:rsidRPr="0057415D" w:rsidRDefault="008814DF" w:rsidP="00F85C87">
      <w:pPr>
        <w:spacing w:line="480" w:lineRule="auto"/>
        <w:rPr>
          <w:rFonts w:asciiTheme="majorHAnsi" w:hAnsiTheme="majorHAnsi"/>
          <w:sz w:val="22"/>
          <w:szCs w:val="22"/>
        </w:rPr>
      </w:pPr>
    </w:p>
    <w:p w14:paraId="4FF266AC" w14:textId="08AF75C2" w:rsidR="00232DF9" w:rsidRPr="0057415D" w:rsidRDefault="00232DF9" w:rsidP="00F85C87">
      <w:pPr>
        <w:spacing w:line="480" w:lineRule="auto"/>
        <w:rPr>
          <w:rFonts w:asciiTheme="majorHAnsi" w:hAnsiTheme="majorHAnsi"/>
          <w:i/>
          <w:sz w:val="22"/>
          <w:szCs w:val="22"/>
        </w:rPr>
      </w:pPr>
      <w:r w:rsidRPr="0057415D">
        <w:rPr>
          <w:rFonts w:asciiTheme="majorHAnsi" w:hAnsiTheme="majorHAnsi"/>
          <w:i/>
          <w:sz w:val="22"/>
          <w:szCs w:val="22"/>
        </w:rPr>
        <w:t>What this study adds</w:t>
      </w:r>
    </w:p>
    <w:p w14:paraId="136134FA" w14:textId="0A859BD0" w:rsidR="00F81B7A" w:rsidRPr="0057415D" w:rsidRDefault="00FF0926" w:rsidP="00F85C87">
      <w:pPr>
        <w:spacing w:line="480" w:lineRule="auto"/>
        <w:rPr>
          <w:rFonts w:asciiTheme="majorHAnsi" w:hAnsiTheme="majorHAnsi"/>
          <w:sz w:val="22"/>
          <w:szCs w:val="22"/>
        </w:rPr>
      </w:pPr>
      <w:r w:rsidRPr="0057415D">
        <w:rPr>
          <w:rFonts w:asciiTheme="majorHAnsi" w:hAnsiTheme="majorHAnsi"/>
          <w:sz w:val="22"/>
          <w:szCs w:val="22"/>
        </w:rPr>
        <w:t xml:space="preserve">This study is one of the first to investigate factors </w:t>
      </w:r>
      <w:r w:rsidR="00F81B7A" w:rsidRPr="0057415D">
        <w:rPr>
          <w:rFonts w:asciiTheme="majorHAnsi" w:hAnsiTheme="majorHAnsi"/>
          <w:sz w:val="22"/>
          <w:szCs w:val="22"/>
        </w:rPr>
        <w:t>associated with uptake of the</w:t>
      </w:r>
      <w:r w:rsidRPr="0057415D">
        <w:rPr>
          <w:rFonts w:asciiTheme="majorHAnsi" w:hAnsiTheme="majorHAnsi"/>
          <w:sz w:val="22"/>
          <w:szCs w:val="22"/>
        </w:rPr>
        <w:t xml:space="preserve"> MenACWY vaccination programme that was introduced in</w:t>
      </w:r>
      <w:r w:rsidR="00F81B7A" w:rsidRPr="0057415D">
        <w:rPr>
          <w:rFonts w:asciiTheme="majorHAnsi" w:hAnsiTheme="majorHAnsi"/>
          <w:sz w:val="22"/>
          <w:szCs w:val="22"/>
        </w:rPr>
        <w:t xml:space="preserve"> England in</w:t>
      </w:r>
      <w:r w:rsidRPr="0057415D">
        <w:rPr>
          <w:rFonts w:asciiTheme="majorHAnsi" w:hAnsiTheme="majorHAnsi"/>
          <w:sz w:val="22"/>
          <w:szCs w:val="22"/>
        </w:rPr>
        <w:t xml:space="preserve"> 2015. </w:t>
      </w:r>
      <w:r w:rsidR="00F81B7A" w:rsidRPr="0057415D">
        <w:rPr>
          <w:rFonts w:asciiTheme="majorHAnsi" w:hAnsiTheme="majorHAnsi"/>
          <w:sz w:val="22"/>
          <w:szCs w:val="22"/>
        </w:rPr>
        <w:t>T</w:t>
      </w:r>
      <w:r w:rsidRPr="0057415D">
        <w:rPr>
          <w:rFonts w:asciiTheme="majorHAnsi" w:hAnsiTheme="majorHAnsi"/>
          <w:sz w:val="22"/>
          <w:szCs w:val="22"/>
        </w:rPr>
        <w:t>h</w:t>
      </w:r>
      <w:r w:rsidR="003556A1" w:rsidRPr="0057415D">
        <w:rPr>
          <w:rFonts w:asciiTheme="majorHAnsi" w:hAnsiTheme="majorHAnsi"/>
          <w:sz w:val="22"/>
          <w:szCs w:val="22"/>
        </w:rPr>
        <w:t>rough the use of multivariable regression, th</w:t>
      </w:r>
      <w:r w:rsidR="00A13336" w:rsidRPr="0057415D">
        <w:rPr>
          <w:rFonts w:asciiTheme="majorHAnsi" w:hAnsiTheme="majorHAnsi"/>
          <w:sz w:val="22"/>
          <w:szCs w:val="22"/>
        </w:rPr>
        <w:t>is study has identified</w:t>
      </w:r>
      <w:r w:rsidR="00F81B7A" w:rsidRPr="0057415D">
        <w:rPr>
          <w:rFonts w:asciiTheme="majorHAnsi" w:hAnsiTheme="majorHAnsi"/>
          <w:sz w:val="22"/>
          <w:szCs w:val="22"/>
        </w:rPr>
        <w:t xml:space="preserve"> several</w:t>
      </w:r>
      <w:r w:rsidRPr="0057415D">
        <w:rPr>
          <w:rFonts w:asciiTheme="majorHAnsi" w:hAnsiTheme="majorHAnsi"/>
          <w:sz w:val="22"/>
          <w:szCs w:val="22"/>
        </w:rPr>
        <w:t xml:space="preserve"> factors</w:t>
      </w:r>
      <w:r w:rsidR="003556A1" w:rsidRPr="0057415D">
        <w:rPr>
          <w:rFonts w:asciiTheme="majorHAnsi" w:hAnsiTheme="majorHAnsi"/>
          <w:sz w:val="22"/>
          <w:szCs w:val="22"/>
        </w:rPr>
        <w:t xml:space="preserve"> independently</w:t>
      </w:r>
      <w:r w:rsidRPr="0057415D">
        <w:rPr>
          <w:rFonts w:asciiTheme="majorHAnsi" w:hAnsiTheme="majorHAnsi"/>
          <w:sz w:val="22"/>
          <w:szCs w:val="22"/>
        </w:rPr>
        <w:t xml:space="preserve"> associated with MenACWY vaccination in primary care</w:t>
      </w:r>
      <w:r w:rsidR="00F81B7A" w:rsidRPr="0057415D">
        <w:rPr>
          <w:rFonts w:asciiTheme="majorHAnsi" w:hAnsiTheme="majorHAnsi"/>
          <w:sz w:val="22"/>
          <w:szCs w:val="22"/>
        </w:rPr>
        <w:t xml:space="preserve">. </w:t>
      </w:r>
      <w:r w:rsidR="001A42DC" w:rsidRPr="0057415D">
        <w:rPr>
          <w:rFonts w:asciiTheme="majorHAnsi" w:hAnsiTheme="majorHAnsi"/>
          <w:sz w:val="22"/>
          <w:szCs w:val="22"/>
        </w:rPr>
        <w:t>We have demonstrated that both social determinants of health, such as deprivation and ethnicity, and factors relating to how individuals e</w:t>
      </w:r>
      <w:r w:rsidR="00560521" w:rsidRPr="0057415D">
        <w:rPr>
          <w:rFonts w:asciiTheme="majorHAnsi" w:hAnsiTheme="majorHAnsi"/>
          <w:sz w:val="22"/>
          <w:szCs w:val="22"/>
        </w:rPr>
        <w:t>ngage with and perceive their general</w:t>
      </w:r>
      <w:r w:rsidR="001A42DC" w:rsidRPr="0057415D">
        <w:rPr>
          <w:rFonts w:asciiTheme="majorHAnsi" w:hAnsiTheme="majorHAnsi"/>
          <w:sz w:val="22"/>
          <w:szCs w:val="22"/>
        </w:rPr>
        <w:t xml:space="preserve"> practice influence vaccination uptake.</w:t>
      </w:r>
    </w:p>
    <w:p w14:paraId="3620A153" w14:textId="77777777" w:rsidR="00F81B7A" w:rsidRPr="0057415D" w:rsidRDefault="00F81B7A" w:rsidP="00F85C87">
      <w:pPr>
        <w:spacing w:line="480" w:lineRule="auto"/>
        <w:rPr>
          <w:rFonts w:asciiTheme="majorHAnsi" w:hAnsiTheme="majorHAnsi"/>
          <w:sz w:val="22"/>
          <w:szCs w:val="22"/>
        </w:rPr>
      </w:pPr>
    </w:p>
    <w:p w14:paraId="2159AF86" w14:textId="4EA44155" w:rsidR="00232DF9" w:rsidRPr="0057415D" w:rsidRDefault="00F81B7A" w:rsidP="00F85C87">
      <w:pPr>
        <w:spacing w:line="480" w:lineRule="auto"/>
        <w:rPr>
          <w:rFonts w:asciiTheme="majorHAnsi" w:hAnsiTheme="majorHAnsi"/>
          <w:sz w:val="22"/>
          <w:szCs w:val="22"/>
        </w:rPr>
      </w:pPr>
      <w:r w:rsidRPr="0057415D">
        <w:rPr>
          <w:rFonts w:asciiTheme="majorHAnsi" w:hAnsiTheme="majorHAnsi"/>
          <w:sz w:val="22"/>
          <w:szCs w:val="22"/>
        </w:rPr>
        <w:t>Firstly, an association was identified between an increasing proportion of patients aged 15-24 years and increasing vaccination. As the university student population primarily falls within this age-group and those practices with a large number of patients aged 15-24 years</w:t>
      </w:r>
      <w:r w:rsidR="00961C86" w:rsidRPr="0057415D">
        <w:rPr>
          <w:rFonts w:asciiTheme="majorHAnsi" w:hAnsiTheme="majorHAnsi"/>
          <w:sz w:val="22"/>
          <w:szCs w:val="22"/>
        </w:rPr>
        <w:t xml:space="preserve"> are likely to be those with a large stude</w:t>
      </w:r>
      <w:r w:rsidR="00A13336" w:rsidRPr="0057415D">
        <w:rPr>
          <w:rFonts w:asciiTheme="majorHAnsi" w:hAnsiTheme="majorHAnsi"/>
          <w:sz w:val="22"/>
          <w:szCs w:val="22"/>
        </w:rPr>
        <w:t>nt population, this adds weight</w:t>
      </w:r>
      <w:r w:rsidR="00961C86" w:rsidRPr="0057415D">
        <w:rPr>
          <w:rFonts w:asciiTheme="majorHAnsi" w:hAnsiTheme="majorHAnsi"/>
          <w:sz w:val="22"/>
          <w:szCs w:val="22"/>
        </w:rPr>
        <w:t xml:space="preserve"> the finding</w:t>
      </w:r>
      <w:r w:rsidR="00D37CE8" w:rsidRPr="0057415D">
        <w:rPr>
          <w:rFonts w:asciiTheme="majorHAnsi" w:hAnsiTheme="majorHAnsi"/>
          <w:sz w:val="22"/>
          <w:szCs w:val="22"/>
        </w:rPr>
        <w:t>s of</w:t>
      </w:r>
      <w:r w:rsidR="00D9554A" w:rsidRPr="0057415D">
        <w:rPr>
          <w:rFonts w:asciiTheme="majorHAnsi" w:hAnsiTheme="majorHAnsi"/>
          <w:sz w:val="22"/>
          <w:szCs w:val="22"/>
        </w:rPr>
        <w:t xml:space="preserve"> recent work suggesting </w:t>
      </w:r>
      <w:r w:rsidR="00961C86" w:rsidRPr="0057415D">
        <w:rPr>
          <w:rFonts w:asciiTheme="majorHAnsi" w:hAnsiTheme="majorHAnsi"/>
          <w:sz w:val="22"/>
          <w:szCs w:val="22"/>
        </w:rPr>
        <w:t>that students have higher uptake than non-students</w:t>
      </w:r>
      <w:r w:rsidR="00961C86" w:rsidRPr="0057415D">
        <w:rPr>
          <w:rFonts w:asciiTheme="majorHAnsi" w:hAnsiTheme="majorHAnsi"/>
          <w:sz w:val="22"/>
          <w:szCs w:val="22"/>
        </w:rPr>
        <w:fldChar w:fldCharType="begin"/>
      </w:r>
      <w:r w:rsidR="00961C86" w:rsidRPr="0057415D">
        <w:rPr>
          <w:rFonts w:asciiTheme="majorHAnsi" w:hAnsiTheme="majorHAnsi"/>
          <w:sz w:val="22"/>
          <w:szCs w:val="22"/>
        </w:rPr>
        <w:instrText>ADDIN RW.CITE{{855 Campbell, Helen 2017}}</w:instrText>
      </w:r>
      <w:r w:rsidR="00961C86" w:rsidRPr="0057415D">
        <w:rPr>
          <w:rFonts w:asciiTheme="majorHAnsi" w:hAnsiTheme="majorHAnsi"/>
          <w:sz w:val="22"/>
          <w:szCs w:val="22"/>
        </w:rPr>
        <w:fldChar w:fldCharType="separate"/>
      </w:r>
      <w:r w:rsidR="00CF15BA" w:rsidRPr="0057415D">
        <w:rPr>
          <w:rFonts w:asciiTheme="majorHAnsi" w:eastAsia="Times New Roman" w:hAnsiTheme="majorHAnsi" w:cs="Times New Roman"/>
          <w:sz w:val="22"/>
          <w:szCs w:val="22"/>
        </w:rPr>
        <w:t>(13</w:t>
      </w:r>
      <w:r w:rsidR="00D9554A" w:rsidRPr="0057415D">
        <w:rPr>
          <w:rFonts w:asciiTheme="majorHAnsi" w:eastAsia="Times New Roman" w:hAnsiTheme="majorHAnsi" w:cs="Times New Roman"/>
          <w:sz w:val="22"/>
          <w:szCs w:val="22"/>
        </w:rPr>
        <w:t>,35</w:t>
      </w:r>
      <w:r w:rsidR="00CF15BA" w:rsidRPr="0057415D">
        <w:rPr>
          <w:rFonts w:asciiTheme="majorHAnsi" w:eastAsia="Times New Roman" w:hAnsiTheme="majorHAnsi" w:cs="Times New Roman"/>
          <w:sz w:val="22"/>
          <w:szCs w:val="22"/>
        </w:rPr>
        <w:t>)</w:t>
      </w:r>
      <w:r w:rsidR="00961C86" w:rsidRPr="0057415D">
        <w:rPr>
          <w:rFonts w:asciiTheme="majorHAnsi" w:hAnsiTheme="majorHAnsi"/>
          <w:sz w:val="22"/>
          <w:szCs w:val="22"/>
        </w:rPr>
        <w:fldChar w:fldCharType="end"/>
      </w:r>
      <w:r w:rsidR="00961C86" w:rsidRPr="0057415D">
        <w:rPr>
          <w:rFonts w:asciiTheme="majorHAnsi" w:hAnsiTheme="majorHAnsi"/>
          <w:sz w:val="22"/>
          <w:szCs w:val="22"/>
        </w:rPr>
        <w:t xml:space="preserve">. </w:t>
      </w:r>
    </w:p>
    <w:p w14:paraId="0D19BF57" w14:textId="77777777" w:rsidR="00FF0926" w:rsidRPr="0057415D" w:rsidRDefault="00FF0926" w:rsidP="00F85C87">
      <w:pPr>
        <w:spacing w:line="480" w:lineRule="auto"/>
        <w:rPr>
          <w:rFonts w:asciiTheme="majorHAnsi" w:hAnsiTheme="majorHAnsi"/>
          <w:sz w:val="22"/>
          <w:szCs w:val="22"/>
        </w:rPr>
      </w:pPr>
    </w:p>
    <w:p w14:paraId="12A30C71" w14:textId="09CB03B6" w:rsidR="00FF0926" w:rsidRPr="0057415D" w:rsidRDefault="00FF0926" w:rsidP="00F85C87">
      <w:pPr>
        <w:spacing w:line="480" w:lineRule="auto"/>
        <w:rPr>
          <w:rFonts w:asciiTheme="majorHAnsi" w:hAnsiTheme="majorHAnsi"/>
          <w:sz w:val="22"/>
          <w:szCs w:val="22"/>
        </w:rPr>
      </w:pPr>
      <w:r w:rsidRPr="0057415D">
        <w:rPr>
          <w:rFonts w:asciiTheme="majorHAnsi" w:hAnsiTheme="majorHAnsi"/>
          <w:sz w:val="22"/>
          <w:szCs w:val="22"/>
        </w:rPr>
        <w:t>Similar to other vaccination programmes</w:t>
      </w:r>
      <w:r w:rsidR="009C486B" w:rsidRPr="0057415D">
        <w:rPr>
          <w:rFonts w:asciiTheme="majorHAnsi" w:hAnsiTheme="majorHAnsi"/>
          <w:sz w:val="22"/>
          <w:szCs w:val="22"/>
        </w:rPr>
        <w:t>, this study has demonstrated for the first time an association between in</w:t>
      </w:r>
      <w:r w:rsidR="00A36F0E" w:rsidRPr="0057415D">
        <w:rPr>
          <w:rFonts w:asciiTheme="majorHAnsi" w:hAnsiTheme="majorHAnsi"/>
          <w:sz w:val="22"/>
          <w:szCs w:val="22"/>
        </w:rPr>
        <w:t xml:space="preserve">creasing deprivation and lower </w:t>
      </w:r>
      <w:r w:rsidR="009C486B" w:rsidRPr="0057415D">
        <w:rPr>
          <w:rFonts w:asciiTheme="majorHAnsi" w:hAnsiTheme="majorHAnsi"/>
          <w:sz w:val="22"/>
          <w:szCs w:val="22"/>
        </w:rPr>
        <w:t>MenACWY vaccination rates</w:t>
      </w:r>
      <w:r w:rsidR="00D37CE8" w:rsidRPr="0057415D">
        <w:rPr>
          <w:rFonts w:asciiTheme="majorHAnsi" w:hAnsiTheme="majorHAnsi"/>
          <w:sz w:val="22"/>
          <w:szCs w:val="22"/>
        </w:rPr>
        <w:t>, and</w:t>
      </w:r>
      <w:r w:rsidR="009C486B" w:rsidRPr="0057415D">
        <w:rPr>
          <w:rFonts w:asciiTheme="majorHAnsi" w:hAnsiTheme="majorHAnsi"/>
          <w:sz w:val="22"/>
          <w:szCs w:val="22"/>
        </w:rPr>
        <w:t xml:space="preserve"> ethnic </w:t>
      </w:r>
      <w:r w:rsidR="00D37CE8" w:rsidRPr="0057415D">
        <w:rPr>
          <w:rFonts w:asciiTheme="majorHAnsi" w:hAnsiTheme="majorHAnsi"/>
          <w:sz w:val="22"/>
          <w:szCs w:val="22"/>
        </w:rPr>
        <w:t>minorities</w:t>
      </w:r>
      <w:r w:rsidR="00F107A1" w:rsidRPr="0057415D">
        <w:rPr>
          <w:rFonts w:asciiTheme="majorHAnsi" w:hAnsiTheme="majorHAnsi"/>
          <w:sz w:val="22"/>
          <w:szCs w:val="22"/>
        </w:rPr>
        <w:t xml:space="preserve"> and</w:t>
      </w:r>
      <w:r w:rsidR="00961C86" w:rsidRPr="0057415D">
        <w:rPr>
          <w:rFonts w:asciiTheme="majorHAnsi" w:hAnsiTheme="majorHAnsi"/>
          <w:sz w:val="22"/>
          <w:szCs w:val="22"/>
        </w:rPr>
        <w:t xml:space="preserve"> greater</w:t>
      </w:r>
      <w:r w:rsidR="00F107A1" w:rsidRPr="0057415D">
        <w:rPr>
          <w:rFonts w:asciiTheme="majorHAnsi" w:hAnsiTheme="majorHAnsi"/>
          <w:sz w:val="22"/>
          <w:szCs w:val="22"/>
        </w:rPr>
        <w:t xml:space="preserve"> uptake.</w:t>
      </w:r>
      <w:r w:rsidR="00902C37" w:rsidRPr="0057415D">
        <w:rPr>
          <w:rFonts w:asciiTheme="majorHAnsi" w:hAnsiTheme="majorHAnsi"/>
          <w:sz w:val="22"/>
          <w:szCs w:val="22"/>
        </w:rPr>
        <w:t xml:space="preserve"> </w:t>
      </w:r>
      <w:r w:rsidR="00961C86" w:rsidRPr="0057415D">
        <w:rPr>
          <w:rFonts w:asciiTheme="majorHAnsi" w:hAnsiTheme="majorHAnsi"/>
          <w:sz w:val="22"/>
          <w:szCs w:val="22"/>
        </w:rPr>
        <w:t>However, it is not clear whether this increased uptake is universal to all ethnic groups or specific to the Asian and Asian British population, which is the most common</w:t>
      </w:r>
      <w:r w:rsidR="00D9554A" w:rsidRPr="0057415D">
        <w:rPr>
          <w:rFonts w:asciiTheme="majorHAnsi" w:hAnsiTheme="majorHAnsi"/>
          <w:sz w:val="22"/>
          <w:szCs w:val="22"/>
        </w:rPr>
        <w:t xml:space="preserve"> BME</w:t>
      </w:r>
      <w:r w:rsidR="00D37CE8" w:rsidRPr="0057415D">
        <w:rPr>
          <w:rFonts w:asciiTheme="majorHAnsi" w:hAnsiTheme="majorHAnsi"/>
          <w:sz w:val="22"/>
          <w:szCs w:val="22"/>
        </w:rPr>
        <w:t xml:space="preserve"> </w:t>
      </w:r>
      <w:r w:rsidR="00961C86" w:rsidRPr="0057415D">
        <w:rPr>
          <w:rFonts w:asciiTheme="majorHAnsi" w:hAnsiTheme="majorHAnsi"/>
          <w:sz w:val="22"/>
          <w:szCs w:val="22"/>
        </w:rPr>
        <w:t xml:space="preserve">group </w:t>
      </w:r>
      <w:r w:rsidR="003438BE" w:rsidRPr="0057415D">
        <w:rPr>
          <w:rFonts w:asciiTheme="majorHAnsi" w:hAnsiTheme="majorHAnsi"/>
          <w:sz w:val="22"/>
          <w:szCs w:val="22"/>
        </w:rPr>
        <w:t>wit</w:t>
      </w:r>
      <w:r w:rsidR="00961C86" w:rsidRPr="0057415D">
        <w:rPr>
          <w:rFonts w:asciiTheme="majorHAnsi" w:hAnsiTheme="majorHAnsi"/>
          <w:sz w:val="22"/>
          <w:szCs w:val="22"/>
        </w:rPr>
        <w:t>hin the study region and a group that</w:t>
      </w:r>
      <w:r w:rsidR="003438BE" w:rsidRPr="0057415D">
        <w:rPr>
          <w:rFonts w:asciiTheme="majorHAnsi" w:hAnsiTheme="majorHAnsi"/>
          <w:sz w:val="22"/>
          <w:szCs w:val="22"/>
        </w:rPr>
        <w:t xml:space="preserve"> is consistently shown to</w:t>
      </w:r>
      <w:r w:rsidR="00E60287" w:rsidRPr="0057415D">
        <w:rPr>
          <w:rFonts w:asciiTheme="majorHAnsi" w:hAnsiTheme="majorHAnsi"/>
          <w:sz w:val="22"/>
          <w:szCs w:val="22"/>
        </w:rPr>
        <w:t xml:space="preserve"> have high acceptance</w:t>
      </w:r>
      <w:r w:rsidR="002162B7" w:rsidRPr="0057415D">
        <w:rPr>
          <w:rFonts w:asciiTheme="majorHAnsi" w:hAnsiTheme="majorHAnsi"/>
          <w:sz w:val="22"/>
          <w:szCs w:val="22"/>
        </w:rPr>
        <w:t xml:space="preserve"> of </w:t>
      </w:r>
      <w:r w:rsidR="004B04B1" w:rsidRPr="0057415D">
        <w:rPr>
          <w:rFonts w:asciiTheme="majorHAnsi" w:hAnsiTheme="majorHAnsi"/>
          <w:sz w:val="22"/>
          <w:szCs w:val="22"/>
        </w:rPr>
        <w:t>vaccination</w:t>
      </w:r>
      <w:r w:rsidR="002162B7" w:rsidRPr="0057415D">
        <w:rPr>
          <w:rFonts w:asciiTheme="majorHAnsi" w:hAnsiTheme="majorHAnsi"/>
          <w:sz w:val="22"/>
          <w:szCs w:val="22"/>
        </w:rPr>
        <w:t>s</w:t>
      </w:r>
      <w:r w:rsidR="004B04B1" w:rsidRPr="0057415D">
        <w:rPr>
          <w:rFonts w:asciiTheme="majorHAnsi" w:hAnsiTheme="majorHAnsi"/>
          <w:sz w:val="22"/>
          <w:szCs w:val="22"/>
        </w:rPr>
        <w:fldChar w:fldCharType="begin"/>
      </w:r>
      <w:r w:rsidR="004B04B1" w:rsidRPr="0057415D">
        <w:rPr>
          <w:rFonts w:asciiTheme="majorHAnsi" w:hAnsiTheme="majorHAnsi"/>
          <w:sz w:val="22"/>
          <w:szCs w:val="22"/>
        </w:rPr>
        <w:instrText>ADDIN RW.CITE{{883 Office for National Statistics 2011;869 Baker,D. 2011;865 Hawker, Jeremy I 2007}}</w:instrText>
      </w:r>
      <w:r w:rsidR="004B04B1" w:rsidRPr="0057415D">
        <w:rPr>
          <w:rFonts w:asciiTheme="majorHAnsi" w:hAnsiTheme="majorHAnsi"/>
          <w:sz w:val="22"/>
          <w:szCs w:val="22"/>
        </w:rPr>
        <w:fldChar w:fldCharType="separate"/>
      </w:r>
      <w:r w:rsidR="00063FFE" w:rsidRPr="0057415D">
        <w:rPr>
          <w:rFonts w:asciiTheme="majorHAnsi" w:eastAsia="Times New Roman" w:hAnsiTheme="majorHAnsi" w:cs="Times New Roman"/>
          <w:sz w:val="22"/>
        </w:rPr>
        <w:t>(21,28,41</w:t>
      </w:r>
      <w:r w:rsidR="004776C0" w:rsidRPr="0057415D">
        <w:rPr>
          <w:rFonts w:asciiTheme="majorHAnsi" w:eastAsia="Times New Roman" w:hAnsiTheme="majorHAnsi" w:cs="Times New Roman"/>
          <w:sz w:val="22"/>
        </w:rPr>
        <w:t>)</w:t>
      </w:r>
      <w:r w:rsidR="004B04B1" w:rsidRPr="0057415D">
        <w:rPr>
          <w:rFonts w:asciiTheme="majorHAnsi" w:hAnsiTheme="majorHAnsi"/>
          <w:sz w:val="22"/>
          <w:szCs w:val="22"/>
        </w:rPr>
        <w:fldChar w:fldCharType="end"/>
      </w:r>
      <w:r w:rsidR="004B04B1" w:rsidRPr="0057415D">
        <w:rPr>
          <w:rFonts w:asciiTheme="majorHAnsi" w:hAnsiTheme="majorHAnsi"/>
          <w:sz w:val="22"/>
          <w:szCs w:val="22"/>
        </w:rPr>
        <w:t xml:space="preserve">. </w:t>
      </w:r>
      <w:r w:rsidR="00961C86" w:rsidRPr="0057415D">
        <w:rPr>
          <w:rFonts w:asciiTheme="majorHAnsi" w:hAnsiTheme="majorHAnsi"/>
          <w:sz w:val="22"/>
          <w:szCs w:val="22"/>
        </w:rPr>
        <w:t>Additional research is required to elucidate this further</w:t>
      </w:r>
      <w:r w:rsidR="00ED596E" w:rsidRPr="0057415D">
        <w:rPr>
          <w:rFonts w:asciiTheme="majorHAnsi" w:hAnsiTheme="majorHAnsi"/>
          <w:sz w:val="22"/>
          <w:szCs w:val="22"/>
        </w:rPr>
        <w:t xml:space="preserve"> and it is essential that ethnic minorities are not considered as one homogenous group when considering public</w:t>
      </w:r>
      <w:r w:rsidR="004E35EE" w:rsidRPr="0057415D">
        <w:rPr>
          <w:rFonts w:asciiTheme="majorHAnsi" w:hAnsiTheme="majorHAnsi"/>
          <w:sz w:val="22"/>
          <w:szCs w:val="22"/>
        </w:rPr>
        <w:t xml:space="preserve"> health interventions</w:t>
      </w:r>
      <w:r w:rsidR="00961C86" w:rsidRPr="0057415D">
        <w:rPr>
          <w:rFonts w:asciiTheme="majorHAnsi" w:hAnsiTheme="majorHAnsi"/>
          <w:sz w:val="22"/>
          <w:szCs w:val="22"/>
        </w:rPr>
        <w:t>. However</w:t>
      </w:r>
      <w:r w:rsidR="009C486B" w:rsidRPr="0057415D">
        <w:rPr>
          <w:rFonts w:asciiTheme="majorHAnsi" w:hAnsiTheme="majorHAnsi"/>
          <w:sz w:val="22"/>
          <w:szCs w:val="22"/>
        </w:rPr>
        <w:t>,</w:t>
      </w:r>
      <w:r w:rsidR="00961C86" w:rsidRPr="0057415D">
        <w:rPr>
          <w:rFonts w:asciiTheme="majorHAnsi" w:hAnsiTheme="majorHAnsi"/>
          <w:sz w:val="22"/>
          <w:szCs w:val="22"/>
        </w:rPr>
        <w:t xml:space="preserve"> these findings demonstrate that</w:t>
      </w:r>
      <w:r w:rsidR="009C486B" w:rsidRPr="0057415D">
        <w:rPr>
          <w:rFonts w:asciiTheme="majorHAnsi" w:hAnsiTheme="majorHAnsi"/>
          <w:sz w:val="22"/>
          <w:szCs w:val="22"/>
        </w:rPr>
        <w:t xml:space="preserve"> areas </w:t>
      </w:r>
      <w:r w:rsidR="00961C86" w:rsidRPr="0057415D">
        <w:rPr>
          <w:rFonts w:asciiTheme="majorHAnsi" w:hAnsiTheme="majorHAnsi"/>
          <w:sz w:val="22"/>
          <w:szCs w:val="22"/>
        </w:rPr>
        <w:t>with high levels of deprivation and a predominantly White</w:t>
      </w:r>
      <w:r w:rsidR="008D4D37" w:rsidRPr="0057415D">
        <w:rPr>
          <w:rFonts w:asciiTheme="majorHAnsi" w:hAnsiTheme="majorHAnsi"/>
          <w:sz w:val="22"/>
          <w:szCs w:val="22"/>
        </w:rPr>
        <w:t xml:space="preserve"> British</w:t>
      </w:r>
      <w:r w:rsidR="009C486B" w:rsidRPr="0057415D">
        <w:rPr>
          <w:rFonts w:asciiTheme="majorHAnsi" w:hAnsiTheme="majorHAnsi"/>
          <w:sz w:val="22"/>
          <w:szCs w:val="22"/>
        </w:rPr>
        <w:t xml:space="preserve"> </w:t>
      </w:r>
      <w:r w:rsidR="00961C86" w:rsidRPr="0057415D">
        <w:rPr>
          <w:rFonts w:asciiTheme="majorHAnsi" w:hAnsiTheme="majorHAnsi"/>
          <w:sz w:val="22"/>
          <w:szCs w:val="22"/>
        </w:rPr>
        <w:t>population</w:t>
      </w:r>
      <w:r w:rsidR="009C486B" w:rsidRPr="0057415D">
        <w:rPr>
          <w:rFonts w:asciiTheme="majorHAnsi" w:hAnsiTheme="majorHAnsi"/>
          <w:sz w:val="22"/>
          <w:szCs w:val="22"/>
        </w:rPr>
        <w:t xml:space="preserve">, of </w:t>
      </w:r>
      <w:r w:rsidR="00961C86" w:rsidRPr="0057415D">
        <w:rPr>
          <w:rFonts w:asciiTheme="majorHAnsi" w:hAnsiTheme="majorHAnsi"/>
          <w:sz w:val="22"/>
          <w:szCs w:val="22"/>
        </w:rPr>
        <w:t>which there are many across North West England</w:t>
      </w:r>
      <w:r w:rsidR="009C486B" w:rsidRPr="0057415D">
        <w:rPr>
          <w:rFonts w:asciiTheme="majorHAnsi" w:hAnsiTheme="majorHAnsi"/>
          <w:sz w:val="22"/>
          <w:szCs w:val="22"/>
        </w:rPr>
        <w:t>, are likely</w:t>
      </w:r>
      <w:r w:rsidR="00961C86" w:rsidRPr="0057415D">
        <w:rPr>
          <w:rFonts w:asciiTheme="majorHAnsi" w:hAnsiTheme="majorHAnsi"/>
          <w:sz w:val="22"/>
          <w:szCs w:val="22"/>
        </w:rPr>
        <w:t xml:space="preserve"> to experience low</w:t>
      </w:r>
      <w:r w:rsidR="00671C99" w:rsidRPr="0057415D">
        <w:rPr>
          <w:rFonts w:asciiTheme="majorHAnsi" w:hAnsiTheme="majorHAnsi"/>
          <w:sz w:val="22"/>
          <w:szCs w:val="22"/>
        </w:rPr>
        <w:t>er</w:t>
      </w:r>
      <w:r w:rsidR="00961C86" w:rsidRPr="0057415D">
        <w:rPr>
          <w:rFonts w:asciiTheme="majorHAnsi" w:hAnsiTheme="majorHAnsi"/>
          <w:sz w:val="22"/>
          <w:szCs w:val="22"/>
        </w:rPr>
        <w:t xml:space="preserve"> </w:t>
      </w:r>
      <w:r w:rsidR="00671C99" w:rsidRPr="0057415D">
        <w:rPr>
          <w:rFonts w:asciiTheme="majorHAnsi" w:hAnsiTheme="majorHAnsi"/>
          <w:sz w:val="22"/>
          <w:szCs w:val="22"/>
        </w:rPr>
        <w:t xml:space="preserve">vaccine </w:t>
      </w:r>
      <w:r w:rsidR="00961C86" w:rsidRPr="0057415D">
        <w:rPr>
          <w:rFonts w:asciiTheme="majorHAnsi" w:hAnsiTheme="majorHAnsi"/>
          <w:sz w:val="22"/>
          <w:szCs w:val="22"/>
        </w:rPr>
        <w:t>uptake and require</w:t>
      </w:r>
      <w:r w:rsidR="009C486B" w:rsidRPr="0057415D">
        <w:rPr>
          <w:rFonts w:asciiTheme="majorHAnsi" w:hAnsiTheme="majorHAnsi"/>
          <w:sz w:val="22"/>
          <w:szCs w:val="22"/>
        </w:rPr>
        <w:t xml:space="preserve"> </w:t>
      </w:r>
      <w:r w:rsidR="00961C86" w:rsidRPr="0057415D">
        <w:rPr>
          <w:rFonts w:asciiTheme="majorHAnsi" w:hAnsiTheme="majorHAnsi"/>
          <w:sz w:val="22"/>
          <w:szCs w:val="22"/>
        </w:rPr>
        <w:t xml:space="preserve">targeted </w:t>
      </w:r>
      <w:r w:rsidR="009C486B" w:rsidRPr="0057415D">
        <w:rPr>
          <w:rFonts w:asciiTheme="majorHAnsi" w:hAnsiTheme="majorHAnsi"/>
          <w:sz w:val="22"/>
          <w:szCs w:val="22"/>
        </w:rPr>
        <w:t>vaccina</w:t>
      </w:r>
      <w:r w:rsidR="00961C86" w:rsidRPr="0057415D">
        <w:rPr>
          <w:rFonts w:asciiTheme="majorHAnsi" w:hAnsiTheme="majorHAnsi"/>
          <w:sz w:val="22"/>
          <w:szCs w:val="22"/>
        </w:rPr>
        <w:t xml:space="preserve">tion efforts. This is </w:t>
      </w:r>
      <w:r w:rsidR="003C1F94" w:rsidRPr="0057415D">
        <w:rPr>
          <w:rFonts w:asciiTheme="majorHAnsi" w:hAnsiTheme="majorHAnsi"/>
          <w:sz w:val="22"/>
          <w:szCs w:val="22"/>
        </w:rPr>
        <w:t>important</w:t>
      </w:r>
      <w:r w:rsidR="00994262" w:rsidRPr="0057415D">
        <w:rPr>
          <w:rFonts w:asciiTheme="majorHAnsi" w:hAnsiTheme="majorHAnsi"/>
          <w:sz w:val="22"/>
          <w:szCs w:val="22"/>
        </w:rPr>
        <w:t xml:space="preserve"> </w:t>
      </w:r>
      <w:r w:rsidR="003C1F94" w:rsidRPr="0057415D">
        <w:rPr>
          <w:rFonts w:asciiTheme="majorHAnsi" w:hAnsiTheme="majorHAnsi"/>
          <w:sz w:val="22"/>
          <w:szCs w:val="22"/>
        </w:rPr>
        <w:t xml:space="preserve">as overcrowded living conditions and higher levels of smoking increase </w:t>
      </w:r>
      <w:r w:rsidR="003C1F94" w:rsidRPr="0057415D">
        <w:rPr>
          <w:rFonts w:asciiTheme="majorHAnsi" w:hAnsiTheme="majorHAnsi"/>
          <w:sz w:val="22"/>
          <w:szCs w:val="22"/>
        </w:rPr>
        <w:lastRenderedPageBreak/>
        <w:t xml:space="preserve">the likelihood of asymptomatic meningococcal carriage and invasive disease and are factors associated with </w:t>
      </w:r>
      <w:r w:rsidR="00803E5E" w:rsidRPr="0057415D">
        <w:rPr>
          <w:rFonts w:asciiTheme="majorHAnsi" w:hAnsiTheme="majorHAnsi"/>
          <w:sz w:val="22"/>
          <w:szCs w:val="22"/>
        </w:rPr>
        <w:t>deprivation</w:t>
      </w:r>
      <w:r w:rsidR="00017B49" w:rsidRPr="0057415D">
        <w:rPr>
          <w:rFonts w:asciiTheme="majorHAnsi" w:hAnsiTheme="majorHAnsi"/>
          <w:sz w:val="22"/>
          <w:szCs w:val="22"/>
        </w:rPr>
        <w:fldChar w:fldCharType="begin"/>
      </w:r>
      <w:r w:rsidR="00017B49" w:rsidRPr="0057415D">
        <w:rPr>
          <w:rFonts w:asciiTheme="majorHAnsi" w:hAnsiTheme="majorHAnsi"/>
          <w:sz w:val="22"/>
          <w:szCs w:val="22"/>
        </w:rPr>
        <w:instrText>ADDIN RW.CITE{{757 Williams,C.J. 2004;759 Stuart,J.M. 2002;760 Fone, David Lawrence 2003;761 Heyderman,R.S. 2004;758 Jones,I.R. 1997}}</w:instrText>
      </w:r>
      <w:r w:rsidR="00017B49" w:rsidRPr="0057415D">
        <w:rPr>
          <w:rFonts w:asciiTheme="majorHAnsi" w:hAnsiTheme="majorHAnsi"/>
          <w:sz w:val="22"/>
          <w:szCs w:val="22"/>
        </w:rPr>
        <w:fldChar w:fldCharType="separate"/>
      </w:r>
      <w:r w:rsidR="00063FFE" w:rsidRPr="0057415D">
        <w:rPr>
          <w:rFonts w:asciiTheme="majorHAnsi" w:eastAsia="Times New Roman" w:hAnsiTheme="majorHAnsi" w:cs="Times New Roman"/>
          <w:sz w:val="22"/>
        </w:rPr>
        <w:t>(47-52</w:t>
      </w:r>
      <w:r w:rsidR="004776C0" w:rsidRPr="0057415D">
        <w:rPr>
          <w:rFonts w:asciiTheme="majorHAnsi" w:eastAsia="Times New Roman" w:hAnsiTheme="majorHAnsi" w:cs="Times New Roman"/>
          <w:sz w:val="22"/>
        </w:rPr>
        <w:t>)</w:t>
      </w:r>
      <w:r w:rsidR="00017B49" w:rsidRPr="0057415D">
        <w:rPr>
          <w:rFonts w:asciiTheme="majorHAnsi" w:hAnsiTheme="majorHAnsi"/>
          <w:sz w:val="22"/>
          <w:szCs w:val="22"/>
        </w:rPr>
        <w:fldChar w:fldCharType="end"/>
      </w:r>
      <w:r w:rsidR="00017B49" w:rsidRPr="0057415D">
        <w:rPr>
          <w:rFonts w:asciiTheme="majorHAnsi" w:hAnsiTheme="majorHAnsi"/>
          <w:sz w:val="22"/>
          <w:szCs w:val="22"/>
        </w:rPr>
        <w:t>. The</w:t>
      </w:r>
      <w:r w:rsidR="001923CE" w:rsidRPr="0057415D">
        <w:rPr>
          <w:rFonts w:asciiTheme="majorHAnsi" w:hAnsiTheme="majorHAnsi"/>
          <w:sz w:val="22"/>
          <w:szCs w:val="22"/>
        </w:rPr>
        <w:t>se findings also display the need for caution and further sub-analysis when evaluating crude vaccination uptake figure</w:t>
      </w:r>
      <w:r w:rsidR="008D4D37" w:rsidRPr="0057415D">
        <w:rPr>
          <w:rFonts w:asciiTheme="majorHAnsi" w:hAnsiTheme="majorHAnsi"/>
          <w:sz w:val="22"/>
          <w:szCs w:val="22"/>
        </w:rPr>
        <w:t>s</w:t>
      </w:r>
      <w:r w:rsidR="001923CE" w:rsidRPr="0057415D">
        <w:rPr>
          <w:rFonts w:asciiTheme="majorHAnsi" w:hAnsiTheme="majorHAnsi"/>
          <w:sz w:val="22"/>
          <w:szCs w:val="22"/>
        </w:rPr>
        <w:t>, as rates may appear over-inflated due</w:t>
      </w:r>
      <w:r w:rsidR="00D37CE8" w:rsidRPr="0057415D">
        <w:rPr>
          <w:rFonts w:asciiTheme="majorHAnsi" w:hAnsiTheme="majorHAnsi"/>
          <w:sz w:val="22"/>
          <w:szCs w:val="22"/>
        </w:rPr>
        <w:t xml:space="preserve"> to high uptake amongst </w:t>
      </w:r>
      <w:r w:rsidR="001923CE" w:rsidRPr="0057415D">
        <w:rPr>
          <w:rFonts w:asciiTheme="majorHAnsi" w:hAnsiTheme="majorHAnsi"/>
          <w:sz w:val="22"/>
          <w:szCs w:val="22"/>
        </w:rPr>
        <w:t>sub-populations, such as</w:t>
      </w:r>
      <w:r w:rsidR="00017B49" w:rsidRPr="0057415D">
        <w:rPr>
          <w:rFonts w:asciiTheme="majorHAnsi" w:hAnsiTheme="majorHAnsi"/>
          <w:sz w:val="22"/>
          <w:szCs w:val="22"/>
        </w:rPr>
        <w:t xml:space="preserve"> ethnic minorities</w:t>
      </w:r>
      <w:r w:rsidR="001923CE" w:rsidRPr="0057415D">
        <w:rPr>
          <w:rFonts w:asciiTheme="majorHAnsi" w:hAnsiTheme="majorHAnsi"/>
          <w:sz w:val="22"/>
          <w:szCs w:val="22"/>
        </w:rPr>
        <w:t>, and mask far lower uptake amongst others.</w:t>
      </w:r>
      <w:r w:rsidR="00017B49" w:rsidRPr="0057415D">
        <w:rPr>
          <w:rFonts w:asciiTheme="majorHAnsi" w:hAnsiTheme="majorHAnsi"/>
          <w:sz w:val="22"/>
          <w:szCs w:val="22"/>
        </w:rPr>
        <w:t xml:space="preserve"> </w:t>
      </w:r>
    </w:p>
    <w:p w14:paraId="693D8776" w14:textId="77777777" w:rsidR="00A36F0E" w:rsidRPr="0057415D" w:rsidRDefault="00A36F0E" w:rsidP="00F85C87">
      <w:pPr>
        <w:spacing w:line="480" w:lineRule="auto"/>
        <w:rPr>
          <w:rFonts w:asciiTheme="majorHAnsi" w:hAnsiTheme="majorHAnsi"/>
          <w:sz w:val="22"/>
          <w:szCs w:val="22"/>
        </w:rPr>
      </w:pPr>
    </w:p>
    <w:p w14:paraId="6FA5DFBD" w14:textId="0EB0415F" w:rsidR="001C6BE2" w:rsidRPr="0057415D" w:rsidRDefault="001923CE" w:rsidP="00F85C87">
      <w:pPr>
        <w:spacing w:line="480" w:lineRule="auto"/>
        <w:rPr>
          <w:rFonts w:asciiTheme="majorHAnsi" w:hAnsiTheme="majorHAnsi"/>
          <w:sz w:val="22"/>
          <w:szCs w:val="22"/>
        </w:rPr>
      </w:pPr>
      <w:r w:rsidRPr="0057415D">
        <w:rPr>
          <w:rFonts w:asciiTheme="majorHAnsi" w:hAnsiTheme="majorHAnsi"/>
          <w:sz w:val="22"/>
          <w:szCs w:val="22"/>
        </w:rPr>
        <w:t>This study has</w:t>
      </w:r>
      <w:r w:rsidR="002162B7" w:rsidRPr="0057415D">
        <w:rPr>
          <w:rFonts w:asciiTheme="majorHAnsi" w:hAnsiTheme="majorHAnsi"/>
          <w:sz w:val="22"/>
          <w:szCs w:val="22"/>
        </w:rPr>
        <w:t xml:space="preserve"> identified</w:t>
      </w:r>
      <w:r w:rsidR="00A36F0E" w:rsidRPr="0057415D">
        <w:rPr>
          <w:rFonts w:asciiTheme="majorHAnsi" w:hAnsiTheme="majorHAnsi"/>
          <w:sz w:val="22"/>
          <w:szCs w:val="22"/>
        </w:rPr>
        <w:t xml:space="preserve"> that indicators of practice quality and patient satisfaction are a</w:t>
      </w:r>
      <w:r w:rsidRPr="0057415D">
        <w:rPr>
          <w:rFonts w:asciiTheme="majorHAnsi" w:hAnsiTheme="majorHAnsi"/>
          <w:sz w:val="22"/>
          <w:szCs w:val="22"/>
        </w:rPr>
        <w:t>ssociated with vaccination. These are</w:t>
      </w:r>
      <w:r w:rsidR="00A36F0E" w:rsidRPr="0057415D">
        <w:rPr>
          <w:rFonts w:asciiTheme="majorHAnsi" w:hAnsiTheme="majorHAnsi"/>
          <w:sz w:val="22"/>
          <w:szCs w:val="22"/>
        </w:rPr>
        <w:t xml:space="preserve"> important</w:t>
      </w:r>
      <w:r w:rsidRPr="0057415D">
        <w:rPr>
          <w:rFonts w:asciiTheme="majorHAnsi" w:hAnsiTheme="majorHAnsi"/>
          <w:sz w:val="22"/>
          <w:szCs w:val="22"/>
        </w:rPr>
        <w:t xml:space="preserve"> findings because they demonstrate</w:t>
      </w:r>
      <w:r w:rsidR="00A36F0E" w:rsidRPr="0057415D">
        <w:rPr>
          <w:rFonts w:asciiTheme="majorHAnsi" w:hAnsiTheme="majorHAnsi"/>
          <w:sz w:val="22"/>
          <w:szCs w:val="22"/>
        </w:rPr>
        <w:t xml:space="preserve"> that </w:t>
      </w:r>
      <w:r w:rsidR="006A2C67" w:rsidRPr="0057415D">
        <w:rPr>
          <w:rFonts w:asciiTheme="majorHAnsi" w:hAnsiTheme="majorHAnsi"/>
          <w:sz w:val="22"/>
          <w:szCs w:val="22"/>
        </w:rPr>
        <w:t xml:space="preserve">indicators of patient satisfaction and quality </w:t>
      </w:r>
      <w:r w:rsidR="0042722E" w:rsidRPr="0057415D">
        <w:rPr>
          <w:rFonts w:asciiTheme="majorHAnsi" w:hAnsiTheme="majorHAnsi"/>
          <w:sz w:val="22"/>
          <w:szCs w:val="22"/>
        </w:rPr>
        <w:t>equate to improved</w:t>
      </w:r>
      <w:r w:rsidRPr="0057415D">
        <w:rPr>
          <w:rFonts w:asciiTheme="majorHAnsi" w:hAnsiTheme="majorHAnsi"/>
          <w:sz w:val="22"/>
          <w:szCs w:val="22"/>
        </w:rPr>
        <w:t xml:space="preserve"> patient outcomes</w:t>
      </w:r>
      <w:r w:rsidR="006A2C67" w:rsidRPr="0057415D">
        <w:rPr>
          <w:rFonts w:asciiTheme="majorHAnsi" w:hAnsiTheme="majorHAnsi"/>
          <w:sz w:val="22"/>
          <w:szCs w:val="22"/>
        </w:rPr>
        <w:t>, such as vaccination.</w:t>
      </w:r>
      <w:r w:rsidR="00371054" w:rsidRPr="0057415D">
        <w:rPr>
          <w:rFonts w:asciiTheme="majorHAnsi" w:hAnsiTheme="majorHAnsi"/>
          <w:sz w:val="22"/>
          <w:szCs w:val="22"/>
        </w:rPr>
        <w:t xml:space="preserve"> This is relevant for </w:t>
      </w:r>
      <w:r w:rsidRPr="0057415D">
        <w:rPr>
          <w:rFonts w:asciiTheme="majorHAnsi" w:hAnsiTheme="majorHAnsi"/>
          <w:sz w:val="22"/>
          <w:szCs w:val="22"/>
        </w:rPr>
        <w:t xml:space="preserve">clinical </w:t>
      </w:r>
      <w:r w:rsidR="00371054" w:rsidRPr="0057415D">
        <w:rPr>
          <w:rFonts w:asciiTheme="majorHAnsi" w:hAnsiTheme="majorHAnsi"/>
          <w:sz w:val="22"/>
          <w:szCs w:val="22"/>
        </w:rPr>
        <w:t>practice</w:t>
      </w:r>
      <w:r w:rsidRPr="0057415D">
        <w:rPr>
          <w:rFonts w:asciiTheme="majorHAnsi" w:hAnsiTheme="majorHAnsi"/>
          <w:sz w:val="22"/>
          <w:szCs w:val="22"/>
        </w:rPr>
        <w:t xml:space="preserve"> and quality improvement</w:t>
      </w:r>
      <w:r w:rsidR="00371054" w:rsidRPr="0057415D">
        <w:rPr>
          <w:rFonts w:asciiTheme="majorHAnsi" w:hAnsiTheme="majorHAnsi"/>
          <w:sz w:val="22"/>
          <w:szCs w:val="22"/>
        </w:rPr>
        <w:t xml:space="preserve"> as it suggests that</w:t>
      </w:r>
      <w:r w:rsidR="00560521" w:rsidRPr="0057415D">
        <w:rPr>
          <w:rFonts w:asciiTheme="majorHAnsi" w:hAnsiTheme="majorHAnsi"/>
          <w:sz w:val="22"/>
          <w:szCs w:val="22"/>
        </w:rPr>
        <w:t xml:space="preserve"> </w:t>
      </w:r>
      <w:r w:rsidR="00371054" w:rsidRPr="0057415D">
        <w:rPr>
          <w:rFonts w:asciiTheme="majorHAnsi" w:hAnsiTheme="majorHAnsi"/>
          <w:sz w:val="22"/>
          <w:szCs w:val="22"/>
        </w:rPr>
        <w:t>practices with low levels of patient satisfaction</w:t>
      </w:r>
      <w:r w:rsidR="00F96742" w:rsidRPr="0057415D">
        <w:rPr>
          <w:rFonts w:asciiTheme="majorHAnsi" w:hAnsiTheme="majorHAnsi"/>
          <w:sz w:val="22"/>
          <w:szCs w:val="22"/>
        </w:rPr>
        <w:t xml:space="preserve"> and overall indicators</w:t>
      </w:r>
      <w:r w:rsidR="00347DBD" w:rsidRPr="0057415D">
        <w:rPr>
          <w:rFonts w:asciiTheme="majorHAnsi" w:hAnsiTheme="majorHAnsi"/>
          <w:sz w:val="22"/>
          <w:szCs w:val="22"/>
        </w:rPr>
        <w:t xml:space="preserve"> of quality</w:t>
      </w:r>
      <w:r w:rsidR="00AA7409" w:rsidRPr="0057415D">
        <w:rPr>
          <w:rFonts w:asciiTheme="majorHAnsi" w:hAnsiTheme="majorHAnsi"/>
          <w:sz w:val="22"/>
          <w:szCs w:val="22"/>
        </w:rPr>
        <w:t xml:space="preserve"> should receive additional focus and targeted interventions to improve both patient satisfaction and outcomes. </w:t>
      </w:r>
      <w:r w:rsidR="003C1F94" w:rsidRPr="0057415D">
        <w:rPr>
          <w:rFonts w:asciiTheme="majorHAnsi" w:hAnsiTheme="majorHAnsi"/>
          <w:sz w:val="22"/>
          <w:szCs w:val="22"/>
        </w:rPr>
        <w:t>It is</w:t>
      </w:r>
      <w:r w:rsidR="00994262" w:rsidRPr="0057415D">
        <w:rPr>
          <w:rFonts w:asciiTheme="majorHAnsi" w:hAnsiTheme="majorHAnsi"/>
          <w:sz w:val="22"/>
          <w:szCs w:val="22"/>
        </w:rPr>
        <w:t xml:space="preserve"> </w:t>
      </w:r>
      <w:r w:rsidR="00AA7409" w:rsidRPr="0057415D">
        <w:rPr>
          <w:rFonts w:asciiTheme="majorHAnsi" w:hAnsiTheme="majorHAnsi"/>
          <w:sz w:val="22"/>
          <w:szCs w:val="22"/>
        </w:rPr>
        <w:t>notable that very little previous research</w:t>
      </w:r>
      <w:r w:rsidR="00760CD4" w:rsidRPr="0057415D">
        <w:rPr>
          <w:rFonts w:asciiTheme="majorHAnsi" w:hAnsiTheme="majorHAnsi"/>
          <w:sz w:val="22"/>
          <w:szCs w:val="22"/>
        </w:rPr>
        <w:t xml:space="preserve"> had examined the link between patient satisfaction and clinical ou</w:t>
      </w:r>
      <w:r w:rsidR="00D37CE8" w:rsidRPr="0057415D">
        <w:rPr>
          <w:rFonts w:asciiTheme="majorHAnsi" w:hAnsiTheme="majorHAnsi"/>
          <w:sz w:val="22"/>
          <w:szCs w:val="22"/>
        </w:rPr>
        <w:t xml:space="preserve">tcomes, despite the </w:t>
      </w:r>
      <w:r w:rsidR="00347DBD" w:rsidRPr="0057415D">
        <w:rPr>
          <w:rFonts w:asciiTheme="majorHAnsi" w:hAnsiTheme="majorHAnsi"/>
          <w:sz w:val="22"/>
          <w:szCs w:val="22"/>
        </w:rPr>
        <w:t>focus in England on patient-centred care and the</w:t>
      </w:r>
      <w:r w:rsidR="00760CD4" w:rsidRPr="0057415D">
        <w:rPr>
          <w:rFonts w:asciiTheme="majorHAnsi" w:hAnsiTheme="majorHAnsi"/>
          <w:sz w:val="22"/>
          <w:szCs w:val="22"/>
        </w:rPr>
        <w:t xml:space="preserve"> resour</w:t>
      </w:r>
      <w:r w:rsidR="00D37CE8" w:rsidRPr="0057415D">
        <w:rPr>
          <w:rFonts w:asciiTheme="majorHAnsi" w:hAnsiTheme="majorHAnsi"/>
          <w:sz w:val="22"/>
          <w:szCs w:val="22"/>
        </w:rPr>
        <w:t xml:space="preserve">ce implications of </w:t>
      </w:r>
      <w:r w:rsidR="00347DBD" w:rsidRPr="0057415D">
        <w:rPr>
          <w:rFonts w:asciiTheme="majorHAnsi" w:hAnsiTheme="majorHAnsi"/>
          <w:sz w:val="22"/>
          <w:szCs w:val="22"/>
        </w:rPr>
        <w:t>national</w:t>
      </w:r>
      <w:r w:rsidR="00760CD4" w:rsidRPr="0057415D">
        <w:rPr>
          <w:rFonts w:asciiTheme="majorHAnsi" w:hAnsiTheme="majorHAnsi"/>
          <w:sz w:val="22"/>
          <w:szCs w:val="22"/>
        </w:rPr>
        <w:t xml:space="preserve"> exercise</w:t>
      </w:r>
      <w:r w:rsidR="00D37CE8" w:rsidRPr="0057415D">
        <w:rPr>
          <w:rFonts w:asciiTheme="majorHAnsi" w:hAnsiTheme="majorHAnsi"/>
          <w:sz w:val="22"/>
          <w:szCs w:val="22"/>
        </w:rPr>
        <w:t>s</w:t>
      </w:r>
      <w:r w:rsidR="00760CD4" w:rsidRPr="0057415D">
        <w:rPr>
          <w:rFonts w:asciiTheme="majorHAnsi" w:hAnsiTheme="majorHAnsi"/>
          <w:sz w:val="22"/>
          <w:szCs w:val="22"/>
        </w:rPr>
        <w:t xml:space="preserve"> such as the GP Patient Survey. It is important that this is under</w:t>
      </w:r>
      <w:r w:rsidR="00347DBD" w:rsidRPr="0057415D">
        <w:rPr>
          <w:rFonts w:asciiTheme="majorHAnsi" w:hAnsiTheme="majorHAnsi"/>
          <w:sz w:val="22"/>
          <w:szCs w:val="22"/>
        </w:rPr>
        <w:t>stood further because, as suggested by our findings,</w:t>
      </w:r>
      <w:r w:rsidR="00760CD4" w:rsidRPr="0057415D">
        <w:rPr>
          <w:rFonts w:asciiTheme="majorHAnsi" w:hAnsiTheme="majorHAnsi"/>
          <w:sz w:val="22"/>
          <w:szCs w:val="22"/>
        </w:rPr>
        <w:t xml:space="preserve"> im</w:t>
      </w:r>
      <w:r w:rsidR="00347DBD" w:rsidRPr="0057415D">
        <w:rPr>
          <w:rFonts w:asciiTheme="majorHAnsi" w:hAnsiTheme="majorHAnsi"/>
          <w:sz w:val="22"/>
          <w:szCs w:val="22"/>
        </w:rPr>
        <w:t>proving</w:t>
      </w:r>
      <w:r w:rsidR="00760CD4" w:rsidRPr="0057415D">
        <w:rPr>
          <w:rFonts w:asciiTheme="majorHAnsi" w:hAnsiTheme="majorHAnsi"/>
          <w:sz w:val="22"/>
          <w:szCs w:val="22"/>
        </w:rPr>
        <w:t xml:space="preserve"> patient satisfaction could</w:t>
      </w:r>
      <w:r w:rsidR="00347DBD" w:rsidRPr="0057415D">
        <w:rPr>
          <w:rFonts w:asciiTheme="majorHAnsi" w:hAnsiTheme="majorHAnsi"/>
          <w:sz w:val="22"/>
          <w:szCs w:val="22"/>
        </w:rPr>
        <w:t xml:space="preserve"> also</w:t>
      </w:r>
      <w:r w:rsidR="00760CD4" w:rsidRPr="0057415D">
        <w:rPr>
          <w:rFonts w:asciiTheme="majorHAnsi" w:hAnsiTheme="majorHAnsi"/>
          <w:sz w:val="22"/>
          <w:szCs w:val="22"/>
        </w:rPr>
        <w:t xml:space="preserve"> improve </w:t>
      </w:r>
      <w:r w:rsidR="00054A1F" w:rsidRPr="0057415D">
        <w:rPr>
          <w:rFonts w:asciiTheme="majorHAnsi" w:hAnsiTheme="majorHAnsi"/>
          <w:sz w:val="22"/>
          <w:szCs w:val="22"/>
        </w:rPr>
        <w:t>vaccine uptake</w:t>
      </w:r>
      <w:r w:rsidR="00760CD4" w:rsidRPr="0057415D">
        <w:rPr>
          <w:rFonts w:asciiTheme="majorHAnsi" w:hAnsiTheme="majorHAnsi"/>
          <w:sz w:val="22"/>
          <w:szCs w:val="22"/>
        </w:rPr>
        <w:t xml:space="preserve">. </w:t>
      </w:r>
    </w:p>
    <w:p w14:paraId="1A10DE7C" w14:textId="77777777" w:rsidR="001C6BE2" w:rsidRPr="0057415D" w:rsidRDefault="001C6BE2" w:rsidP="00F85C87">
      <w:pPr>
        <w:spacing w:line="480" w:lineRule="auto"/>
        <w:rPr>
          <w:rFonts w:asciiTheme="majorHAnsi" w:hAnsiTheme="majorHAnsi"/>
          <w:sz w:val="22"/>
          <w:szCs w:val="22"/>
        </w:rPr>
      </w:pPr>
    </w:p>
    <w:p w14:paraId="49010388" w14:textId="6831811C" w:rsidR="00A36F0E" w:rsidRPr="0057415D" w:rsidRDefault="00D37CE8" w:rsidP="00F85C87">
      <w:pPr>
        <w:spacing w:line="480" w:lineRule="auto"/>
        <w:rPr>
          <w:rFonts w:asciiTheme="majorHAnsi" w:hAnsiTheme="majorHAnsi"/>
          <w:sz w:val="22"/>
          <w:szCs w:val="22"/>
        </w:rPr>
      </w:pPr>
      <w:r w:rsidRPr="0057415D">
        <w:rPr>
          <w:rFonts w:asciiTheme="majorHAnsi" w:hAnsiTheme="majorHAnsi"/>
          <w:sz w:val="22"/>
          <w:szCs w:val="22"/>
        </w:rPr>
        <w:t>This study’s</w:t>
      </w:r>
      <w:r w:rsidR="001C6BE2" w:rsidRPr="0057415D">
        <w:rPr>
          <w:rFonts w:asciiTheme="majorHAnsi" w:hAnsiTheme="majorHAnsi"/>
          <w:sz w:val="22"/>
          <w:szCs w:val="22"/>
        </w:rPr>
        <w:t xml:space="preserve"> find</w:t>
      </w:r>
      <w:r w:rsidR="00347DBD" w:rsidRPr="0057415D">
        <w:rPr>
          <w:rFonts w:asciiTheme="majorHAnsi" w:hAnsiTheme="majorHAnsi"/>
          <w:sz w:val="22"/>
          <w:szCs w:val="22"/>
        </w:rPr>
        <w:t>ings are highly relevant to</w:t>
      </w:r>
      <w:r w:rsidR="001C6BE2" w:rsidRPr="0057415D">
        <w:rPr>
          <w:rFonts w:asciiTheme="majorHAnsi" w:hAnsiTheme="majorHAnsi"/>
          <w:sz w:val="22"/>
          <w:szCs w:val="22"/>
        </w:rPr>
        <w:t xml:space="preserve"> public health</w:t>
      </w:r>
      <w:r w:rsidR="00347DBD" w:rsidRPr="0057415D">
        <w:rPr>
          <w:rFonts w:asciiTheme="majorHAnsi" w:hAnsiTheme="majorHAnsi"/>
          <w:sz w:val="22"/>
          <w:szCs w:val="22"/>
        </w:rPr>
        <w:t>. This is</w:t>
      </w:r>
      <w:r w:rsidR="001C6BE2" w:rsidRPr="0057415D">
        <w:rPr>
          <w:rFonts w:asciiTheme="majorHAnsi" w:hAnsiTheme="majorHAnsi"/>
          <w:sz w:val="22"/>
          <w:szCs w:val="22"/>
        </w:rPr>
        <w:t xml:space="preserve"> because</w:t>
      </w:r>
      <w:r w:rsidR="00347DBD" w:rsidRPr="0057415D">
        <w:rPr>
          <w:rFonts w:asciiTheme="majorHAnsi" w:hAnsiTheme="majorHAnsi"/>
          <w:sz w:val="22"/>
          <w:szCs w:val="22"/>
        </w:rPr>
        <w:t xml:space="preserve"> measures that increase vaccination uptake</w:t>
      </w:r>
      <w:r w:rsidR="00E60287" w:rsidRPr="0057415D">
        <w:rPr>
          <w:rFonts w:asciiTheme="majorHAnsi" w:hAnsiTheme="majorHAnsi"/>
          <w:sz w:val="22"/>
          <w:szCs w:val="22"/>
        </w:rPr>
        <w:t xml:space="preserve"> even by</w:t>
      </w:r>
      <w:r w:rsidR="00347DBD" w:rsidRPr="0057415D">
        <w:rPr>
          <w:rFonts w:asciiTheme="majorHAnsi" w:hAnsiTheme="majorHAnsi"/>
          <w:sz w:val="22"/>
          <w:szCs w:val="22"/>
        </w:rPr>
        <w:t xml:space="preserve"> very small amounts at population level</w:t>
      </w:r>
      <w:r w:rsidRPr="0057415D">
        <w:rPr>
          <w:rFonts w:asciiTheme="majorHAnsi" w:hAnsiTheme="majorHAnsi"/>
          <w:sz w:val="22"/>
          <w:szCs w:val="22"/>
        </w:rPr>
        <w:t xml:space="preserve"> are</w:t>
      </w:r>
      <w:r w:rsidR="00760CD4" w:rsidRPr="0057415D">
        <w:rPr>
          <w:rFonts w:asciiTheme="majorHAnsi" w:hAnsiTheme="majorHAnsi"/>
          <w:sz w:val="22"/>
          <w:szCs w:val="22"/>
        </w:rPr>
        <w:t xml:space="preserve"> highly effectiv</w:t>
      </w:r>
      <w:r w:rsidR="00347DBD" w:rsidRPr="0057415D">
        <w:rPr>
          <w:rFonts w:asciiTheme="majorHAnsi" w:hAnsiTheme="majorHAnsi"/>
          <w:sz w:val="22"/>
          <w:szCs w:val="22"/>
        </w:rPr>
        <w:t>e in reducing disease incidence. This is</w:t>
      </w:r>
      <w:r w:rsidR="00760CD4" w:rsidRPr="0057415D">
        <w:rPr>
          <w:rFonts w:asciiTheme="majorHAnsi" w:hAnsiTheme="majorHAnsi"/>
          <w:sz w:val="22"/>
          <w:szCs w:val="22"/>
        </w:rPr>
        <w:t xml:space="preserve"> especially</w:t>
      </w:r>
      <w:r w:rsidR="00347DBD" w:rsidRPr="0057415D">
        <w:rPr>
          <w:rFonts w:asciiTheme="majorHAnsi" w:hAnsiTheme="majorHAnsi"/>
          <w:sz w:val="22"/>
          <w:szCs w:val="22"/>
        </w:rPr>
        <w:t xml:space="preserve"> the case</w:t>
      </w:r>
      <w:r w:rsidR="00760CD4" w:rsidRPr="0057415D">
        <w:rPr>
          <w:rFonts w:asciiTheme="majorHAnsi" w:hAnsiTheme="majorHAnsi"/>
          <w:sz w:val="22"/>
          <w:szCs w:val="22"/>
        </w:rPr>
        <w:t xml:space="preserve"> given that, even with</w:t>
      </w:r>
      <w:r w:rsidR="00347DBD" w:rsidRPr="0057415D">
        <w:rPr>
          <w:rFonts w:asciiTheme="majorHAnsi" w:hAnsiTheme="majorHAnsi"/>
          <w:sz w:val="22"/>
          <w:szCs w:val="22"/>
        </w:rPr>
        <w:t xml:space="preserve"> 38.3% vaccine uptake during</w:t>
      </w:r>
      <w:r w:rsidR="00760CD4" w:rsidRPr="0057415D">
        <w:rPr>
          <w:rFonts w:asciiTheme="majorHAnsi" w:hAnsiTheme="majorHAnsi"/>
          <w:sz w:val="22"/>
          <w:szCs w:val="22"/>
        </w:rPr>
        <w:t xml:space="preserve"> the first year of the </w:t>
      </w:r>
      <w:proofErr w:type="spellStart"/>
      <w:r w:rsidR="007275BF">
        <w:rPr>
          <w:rFonts w:asciiTheme="majorHAnsi" w:hAnsiTheme="majorHAnsi"/>
          <w:sz w:val="22"/>
          <w:szCs w:val="22"/>
        </w:rPr>
        <w:t>MenACWY</w:t>
      </w:r>
      <w:proofErr w:type="spellEnd"/>
      <w:r w:rsidR="007275BF">
        <w:rPr>
          <w:rFonts w:asciiTheme="majorHAnsi" w:hAnsiTheme="majorHAnsi"/>
          <w:sz w:val="22"/>
          <w:szCs w:val="22"/>
        </w:rPr>
        <w:t xml:space="preserve"> primary care </w:t>
      </w:r>
      <w:r w:rsidR="00760CD4" w:rsidRPr="0057415D">
        <w:rPr>
          <w:rFonts w:asciiTheme="majorHAnsi" w:hAnsiTheme="majorHAnsi"/>
          <w:sz w:val="22"/>
          <w:szCs w:val="22"/>
        </w:rPr>
        <w:t>vaccination programme</w:t>
      </w:r>
      <w:r w:rsidR="002A6BD4" w:rsidRPr="0057415D">
        <w:rPr>
          <w:rFonts w:asciiTheme="majorHAnsi" w:hAnsiTheme="majorHAnsi"/>
          <w:sz w:val="22"/>
          <w:szCs w:val="22"/>
        </w:rPr>
        <w:t>,</w:t>
      </w:r>
      <w:r w:rsidR="00347DBD" w:rsidRPr="0057415D">
        <w:rPr>
          <w:rFonts w:asciiTheme="majorHAnsi" w:hAnsiTheme="majorHAnsi"/>
          <w:sz w:val="22"/>
          <w:szCs w:val="22"/>
        </w:rPr>
        <w:t xml:space="preserve"> there is evidence that</w:t>
      </w:r>
      <w:r w:rsidR="002A6BD4" w:rsidRPr="0057415D">
        <w:rPr>
          <w:rFonts w:asciiTheme="majorHAnsi" w:hAnsiTheme="majorHAnsi"/>
          <w:sz w:val="22"/>
          <w:szCs w:val="22"/>
        </w:rPr>
        <w:t xml:space="preserve"> incidence of invasive </w:t>
      </w:r>
      <w:r w:rsidR="00347DBD" w:rsidRPr="0057415D">
        <w:rPr>
          <w:rFonts w:asciiTheme="majorHAnsi" w:hAnsiTheme="majorHAnsi"/>
          <w:sz w:val="22"/>
          <w:szCs w:val="22"/>
        </w:rPr>
        <w:t>meningococcal diseas</w:t>
      </w:r>
      <w:r w:rsidRPr="0057415D">
        <w:rPr>
          <w:rFonts w:asciiTheme="majorHAnsi" w:hAnsiTheme="majorHAnsi"/>
          <w:sz w:val="22"/>
          <w:szCs w:val="22"/>
        </w:rPr>
        <w:t>e has</w:t>
      </w:r>
      <w:r w:rsidR="00347DBD" w:rsidRPr="0057415D">
        <w:rPr>
          <w:rFonts w:asciiTheme="majorHAnsi" w:hAnsiTheme="majorHAnsi"/>
          <w:sz w:val="22"/>
          <w:szCs w:val="22"/>
        </w:rPr>
        <w:t xml:space="preserve"> fallen</w:t>
      </w:r>
      <w:r w:rsidR="002A6BD4" w:rsidRPr="0057415D">
        <w:rPr>
          <w:rFonts w:asciiTheme="majorHAnsi" w:hAnsiTheme="majorHAnsi"/>
          <w:sz w:val="22"/>
          <w:szCs w:val="22"/>
        </w:rPr>
        <w:fldChar w:fldCharType="begin"/>
      </w:r>
      <w:r w:rsidR="002A6BD4" w:rsidRPr="0057415D">
        <w:rPr>
          <w:rFonts w:asciiTheme="majorHAnsi" w:hAnsiTheme="majorHAnsi"/>
          <w:sz w:val="22"/>
          <w:szCs w:val="22"/>
        </w:rPr>
        <w:instrText>ADDIN RW.CITE{{855 Campbell, Helen 2017}}</w:instrText>
      </w:r>
      <w:r w:rsidR="002A6BD4" w:rsidRPr="0057415D">
        <w:rPr>
          <w:rFonts w:asciiTheme="majorHAnsi" w:hAnsiTheme="majorHAnsi"/>
          <w:sz w:val="22"/>
          <w:szCs w:val="22"/>
        </w:rPr>
        <w:fldChar w:fldCharType="separate"/>
      </w:r>
      <w:r w:rsidR="00CF15BA" w:rsidRPr="0057415D">
        <w:rPr>
          <w:rFonts w:asciiTheme="majorHAnsi" w:eastAsia="Times New Roman" w:hAnsiTheme="majorHAnsi" w:cs="Times New Roman"/>
          <w:sz w:val="22"/>
          <w:szCs w:val="22"/>
        </w:rPr>
        <w:t>(13)</w:t>
      </w:r>
      <w:r w:rsidR="002A6BD4" w:rsidRPr="0057415D">
        <w:rPr>
          <w:rFonts w:asciiTheme="majorHAnsi" w:hAnsiTheme="majorHAnsi"/>
          <w:sz w:val="22"/>
          <w:szCs w:val="22"/>
        </w:rPr>
        <w:fldChar w:fldCharType="end"/>
      </w:r>
      <w:r w:rsidR="002A6BD4" w:rsidRPr="0057415D">
        <w:rPr>
          <w:rFonts w:asciiTheme="majorHAnsi" w:hAnsiTheme="majorHAnsi"/>
          <w:sz w:val="22"/>
          <w:szCs w:val="22"/>
        </w:rPr>
        <w:t>.</w:t>
      </w:r>
      <w:r w:rsidR="001C6BE2" w:rsidRPr="0057415D">
        <w:rPr>
          <w:rFonts w:asciiTheme="majorHAnsi" w:hAnsiTheme="majorHAnsi"/>
          <w:sz w:val="22"/>
          <w:szCs w:val="22"/>
        </w:rPr>
        <w:t xml:space="preserve"> Finally, these findings</w:t>
      </w:r>
      <w:r w:rsidR="002162B7" w:rsidRPr="0057415D">
        <w:rPr>
          <w:rFonts w:asciiTheme="majorHAnsi" w:hAnsiTheme="majorHAnsi"/>
          <w:sz w:val="22"/>
          <w:szCs w:val="22"/>
        </w:rPr>
        <w:t xml:space="preserve"> have relevance</w:t>
      </w:r>
      <w:r w:rsidR="001C6BE2" w:rsidRPr="0057415D">
        <w:rPr>
          <w:rFonts w:asciiTheme="majorHAnsi" w:hAnsiTheme="majorHAnsi"/>
          <w:sz w:val="22"/>
          <w:szCs w:val="22"/>
        </w:rPr>
        <w:t xml:space="preserve"> to all vaccination programmes delivered in primary care that are targeted at adolescents. </w:t>
      </w:r>
    </w:p>
    <w:p w14:paraId="5A9DEFD8" w14:textId="77777777" w:rsidR="002A6BD4" w:rsidRPr="0057415D" w:rsidRDefault="002A6BD4" w:rsidP="00F85C87">
      <w:pPr>
        <w:spacing w:line="480" w:lineRule="auto"/>
        <w:rPr>
          <w:rFonts w:asciiTheme="majorHAnsi" w:hAnsiTheme="majorHAnsi"/>
          <w:sz w:val="22"/>
          <w:szCs w:val="22"/>
        </w:rPr>
      </w:pPr>
    </w:p>
    <w:p w14:paraId="4E45514B" w14:textId="460BD1FF" w:rsidR="00232DF9" w:rsidRPr="0057415D" w:rsidRDefault="002162B7" w:rsidP="00F85C87">
      <w:pPr>
        <w:spacing w:line="480" w:lineRule="auto"/>
        <w:rPr>
          <w:rFonts w:asciiTheme="majorHAnsi" w:hAnsiTheme="majorHAnsi"/>
          <w:i/>
          <w:sz w:val="22"/>
          <w:szCs w:val="22"/>
        </w:rPr>
      </w:pPr>
      <w:r w:rsidRPr="0057415D">
        <w:rPr>
          <w:rFonts w:asciiTheme="majorHAnsi" w:hAnsiTheme="majorHAnsi"/>
          <w:i/>
          <w:sz w:val="22"/>
          <w:szCs w:val="22"/>
        </w:rPr>
        <w:t>L</w:t>
      </w:r>
      <w:r w:rsidR="00232DF9" w:rsidRPr="0057415D">
        <w:rPr>
          <w:rFonts w:asciiTheme="majorHAnsi" w:hAnsiTheme="majorHAnsi"/>
          <w:i/>
          <w:sz w:val="22"/>
          <w:szCs w:val="22"/>
        </w:rPr>
        <w:t>imitations of this study</w:t>
      </w:r>
    </w:p>
    <w:p w14:paraId="7B4A365C" w14:textId="46F6F085" w:rsidR="00466DE0" w:rsidRPr="0057415D" w:rsidRDefault="00AF55A1" w:rsidP="00F85C87">
      <w:pPr>
        <w:spacing w:line="480" w:lineRule="auto"/>
        <w:rPr>
          <w:rFonts w:asciiTheme="majorHAnsi" w:hAnsiTheme="majorHAnsi"/>
          <w:sz w:val="22"/>
          <w:szCs w:val="22"/>
        </w:rPr>
      </w:pPr>
      <w:r w:rsidRPr="0057415D">
        <w:rPr>
          <w:rFonts w:asciiTheme="majorHAnsi" w:hAnsiTheme="majorHAnsi"/>
          <w:sz w:val="22"/>
          <w:szCs w:val="22"/>
        </w:rPr>
        <w:t>Th</w:t>
      </w:r>
      <w:r w:rsidR="00753970" w:rsidRPr="0057415D">
        <w:rPr>
          <w:rFonts w:asciiTheme="majorHAnsi" w:hAnsiTheme="majorHAnsi"/>
          <w:sz w:val="22"/>
          <w:szCs w:val="22"/>
        </w:rPr>
        <w:t>is study has</w:t>
      </w:r>
      <w:r w:rsidR="00D37CE8" w:rsidRPr="0057415D">
        <w:rPr>
          <w:rFonts w:asciiTheme="majorHAnsi" w:hAnsiTheme="majorHAnsi"/>
          <w:sz w:val="22"/>
          <w:szCs w:val="22"/>
        </w:rPr>
        <w:t xml:space="preserve"> certain limitations</w:t>
      </w:r>
      <w:r w:rsidRPr="0057415D">
        <w:rPr>
          <w:rFonts w:asciiTheme="majorHAnsi" w:hAnsiTheme="majorHAnsi"/>
          <w:sz w:val="22"/>
          <w:szCs w:val="22"/>
        </w:rPr>
        <w:t xml:space="preserve"> inherent to all ecological studies. Firstly, </w:t>
      </w:r>
      <w:r w:rsidR="00466DE0" w:rsidRPr="0057415D">
        <w:rPr>
          <w:rFonts w:asciiTheme="majorHAnsi" w:hAnsiTheme="majorHAnsi"/>
          <w:sz w:val="22"/>
          <w:szCs w:val="22"/>
        </w:rPr>
        <w:t>area-level data</w:t>
      </w:r>
      <w:r w:rsidRPr="0057415D">
        <w:rPr>
          <w:rFonts w:asciiTheme="majorHAnsi" w:hAnsiTheme="majorHAnsi"/>
          <w:sz w:val="22"/>
          <w:szCs w:val="22"/>
        </w:rPr>
        <w:t xml:space="preserve"> has been used</w:t>
      </w:r>
      <w:r w:rsidR="00A415E6" w:rsidRPr="0057415D">
        <w:rPr>
          <w:rFonts w:asciiTheme="majorHAnsi" w:hAnsiTheme="majorHAnsi"/>
          <w:sz w:val="22"/>
          <w:szCs w:val="22"/>
        </w:rPr>
        <w:t>, with general</w:t>
      </w:r>
      <w:r w:rsidR="00466DE0" w:rsidRPr="0057415D">
        <w:rPr>
          <w:rFonts w:asciiTheme="majorHAnsi" w:hAnsiTheme="majorHAnsi"/>
          <w:sz w:val="22"/>
          <w:szCs w:val="22"/>
        </w:rPr>
        <w:t xml:space="preserve"> practices, rather than individuals,</w:t>
      </w:r>
      <w:r w:rsidR="00753970" w:rsidRPr="0057415D">
        <w:rPr>
          <w:rFonts w:asciiTheme="majorHAnsi" w:hAnsiTheme="majorHAnsi"/>
          <w:sz w:val="22"/>
          <w:szCs w:val="22"/>
        </w:rPr>
        <w:t xml:space="preserve"> the unit of interest. Consequently</w:t>
      </w:r>
      <w:r w:rsidR="00466DE0" w:rsidRPr="0057415D">
        <w:rPr>
          <w:rFonts w:asciiTheme="majorHAnsi" w:hAnsiTheme="majorHAnsi"/>
          <w:sz w:val="22"/>
          <w:szCs w:val="22"/>
        </w:rPr>
        <w:t xml:space="preserve">, </w:t>
      </w:r>
      <w:r w:rsidR="00EF3A4B" w:rsidRPr="0057415D">
        <w:rPr>
          <w:rFonts w:asciiTheme="majorHAnsi" w:hAnsiTheme="majorHAnsi"/>
          <w:sz w:val="22"/>
          <w:szCs w:val="22"/>
        </w:rPr>
        <w:t>the ecological fallacy</w:t>
      </w:r>
      <w:r w:rsidR="00753970" w:rsidRPr="0057415D">
        <w:rPr>
          <w:rFonts w:asciiTheme="majorHAnsi" w:hAnsiTheme="majorHAnsi"/>
          <w:sz w:val="22"/>
          <w:szCs w:val="22"/>
        </w:rPr>
        <w:t xml:space="preserve"> is </w:t>
      </w:r>
      <w:r w:rsidR="00753970" w:rsidRPr="0057415D">
        <w:rPr>
          <w:rFonts w:asciiTheme="majorHAnsi" w:hAnsiTheme="majorHAnsi"/>
          <w:sz w:val="22"/>
          <w:szCs w:val="22"/>
        </w:rPr>
        <w:lastRenderedPageBreak/>
        <w:t>possible, whereby associations</w:t>
      </w:r>
      <w:r w:rsidR="00EF3A4B" w:rsidRPr="0057415D">
        <w:rPr>
          <w:rFonts w:asciiTheme="majorHAnsi" w:hAnsiTheme="majorHAnsi"/>
          <w:sz w:val="22"/>
          <w:szCs w:val="22"/>
        </w:rPr>
        <w:t xml:space="preserve"> a</w:t>
      </w:r>
      <w:r w:rsidR="00A415E6" w:rsidRPr="0057415D">
        <w:rPr>
          <w:rFonts w:asciiTheme="majorHAnsi" w:hAnsiTheme="majorHAnsi"/>
          <w:sz w:val="22"/>
          <w:szCs w:val="22"/>
        </w:rPr>
        <w:t>t</w:t>
      </w:r>
      <w:r w:rsidR="00D9554A" w:rsidRPr="0057415D">
        <w:rPr>
          <w:rFonts w:asciiTheme="majorHAnsi" w:hAnsiTheme="majorHAnsi"/>
          <w:sz w:val="22"/>
          <w:szCs w:val="22"/>
        </w:rPr>
        <w:t xml:space="preserve"> practice level may</w:t>
      </w:r>
      <w:r w:rsidR="00753970" w:rsidRPr="0057415D">
        <w:rPr>
          <w:rFonts w:asciiTheme="majorHAnsi" w:hAnsiTheme="majorHAnsi"/>
          <w:sz w:val="22"/>
          <w:szCs w:val="22"/>
        </w:rPr>
        <w:t xml:space="preserve"> not persist</w:t>
      </w:r>
      <w:r w:rsidR="00EF3A4B" w:rsidRPr="0057415D">
        <w:rPr>
          <w:rFonts w:asciiTheme="majorHAnsi" w:hAnsiTheme="majorHAnsi"/>
          <w:sz w:val="22"/>
          <w:szCs w:val="22"/>
        </w:rPr>
        <w:t xml:space="preserve"> at the individual level</w:t>
      </w:r>
      <w:r w:rsidR="00EF3A4B" w:rsidRPr="0057415D">
        <w:rPr>
          <w:rFonts w:asciiTheme="majorHAnsi" w:hAnsiTheme="majorHAnsi"/>
          <w:sz w:val="22"/>
          <w:szCs w:val="22"/>
        </w:rPr>
        <w:fldChar w:fldCharType="begin"/>
      </w:r>
      <w:r w:rsidR="00EF3A4B" w:rsidRPr="0057415D">
        <w:rPr>
          <w:rFonts w:asciiTheme="majorHAnsi" w:hAnsiTheme="majorHAnsi"/>
          <w:sz w:val="22"/>
          <w:szCs w:val="22"/>
        </w:rPr>
        <w:instrText>ADDIN RW.CITE{{882 Idrovo,A.J. 2011}}</w:instrText>
      </w:r>
      <w:r w:rsidR="00EF3A4B" w:rsidRPr="0057415D">
        <w:rPr>
          <w:rFonts w:asciiTheme="majorHAnsi" w:hAnsiTheme="majorHAnsi"/>
          <w:sz w:val="22"/>
          <w:szCs w:val="22"/>
        </w:rPr>
        <w:fldChar w:fldCharType="separate"/>
      </w:r>
      <w:r w:rsidR="00063FFE" w:rsidRPr="0057415D">
        <w:rPr>
          <w:rFonts w:asciiTheme="majorHAnsi" w:eastAsia="Times New Roman" w:hAnsiTheme="majorHAnsi" w:cs="Times New Roman"/>
          <w:sz w:val="22"/>
        </w:rPr>
        <w:t>(53</w:t>
      </w:r>
      <w:r w:rsidR="004776C0" w:rsidRPr="0057415D">
        <w:rPr>
          <w:rFonts w:asciiTheme="majorHAnsi" w:eastAsia="Times New Roman" w:hAnsiTheme="majorHAnsi" w:cs="Times New Roman"/>
          <w:sz w:val="22"/>
        </w:rPr>
        <w:t>)</w:t>
      </w:r>
      <w:r w:rsidR="00EF3A4B" w:rsidRPr="0057415D">
        <w:rPr>
          <w:rFonts w:asciiTheme="majorHAnsi" w:hAnsiTheme="majorHAnsi"/>
          <w:sz w:val="22"/>
          <w:szCs w:val="22"/>
        </w:rPr>
        <w:fldChar w:fldCharType="end"/>
      </w:r>
      <w:r w:rsidR="00EF3A4B" w:rsidRPr="0057415D">
        <w:rPr>
          <w:rFonts w:asciiTheme="majorHAnsi" w:hAnsiTheme="majorHAnsi"/>
          <w:sz w:val="22"/>
          <w:szCs w:val="22"/>
        </w:rPr>
        <w:t xml:space="preserve">. </w:t>
      </w:r>
      <w:r w:rsidR="00753970" w:rsidRPr="0057415D">
        <w:rPr>
          <w:rFonts w:asciiTheme="majorHAnsi" w:hAnsiTheme="majorHAnsi"/>
          <w:sz w:val="22"/>
          <w:szCs w:val="22"/>
        </w:rPr>
        <w:t xml:space="preserve">Secondly, </w:t>
      </w:r>
      <w:r w:rsidRPr="0057415D">
        <w:rPr>
          <w:rFonts w:asciiTheme="majorHAnsi" w:hAnsiTheme="majorHAnsi"/>
          <w:sz w:val="22"/>
          <w:szCs w:val="22"/>
        </w:rPr>
        <w:t xml:space="preserve">data </w:t>
      </w:r>
      <w:r w:rsidR="00753970" w:rsidRPr="0057415D">
        <w:rPr>
          <w:rFonts w:asciiTheme="majorHAnsi" w:hAnsiTheme="majorHAnsi"/>
          <w:sz w:val="22"/>
          <w:szCs w:val="22"/>
        </w:rPr>
        <w:t xml:space="preserve">is </w:t>
      </w:r>
      <w:r w:rsidRPr="0057415D">
        <w:rPr>
          <w:rFonts w:asciiTheme="majorHAnsi" w:hAnsiTheme="majorHAnsi"/>
          <w:sz w:val="22"/>
          <w:szCs w:val="22"/>
        </w:rPr>
        <w:t xml:space="preserve">not available regarding several </w:t>
      </w:r>
      <w:r w:rsidR="00EF3A4B" w:rsidRPr="0057415D">
        <w:rPr>
          <w:rFonts w:asciiTheme="majorHAnsi" w:hAnsiTheme="majorHAnsi"/>
          <w:sz w:val="22"/>
          <w:szCs w:val="22"/>
        </w:rPr>
        <w:t xml:space="preserve">confounding variables, which could partially explain some of the associations; for example, </w:t>
      </w:r>
      <w:r w:rsidRPr="0057415D">
        <w:rPr>
          <w:rFonts w:asciiTheme="majorHAnsi" w:hAnsiTheme="majorHAnsi"/>
          <w:sz w:val="22"/>
          <w:szCs w:val="22"/>
        </w:rPr>
        <w:t xml:space="preserve">although the </w:t>
      </w:r>
      <w:r w:rsidR="00753970" w:rsidRPr="0057415D">
        <w:rPr>
          <w:rFonts w:asciiTheme="majorHAnsi" w:hAnsiTheme="majorHAnsi"/>
          <w:sz w:val="22"/>
          <w:szCs w:val="22"/>
        </w:rPr>
        <w:t xml:space="preserve">percentage </w:t>
      </w:r>
      <w:r w:rsidRPr="0057415D">
        <w:rPr>
          <w:rFonts w:asciiTheme="majorHAnsi" w:hAnsiTheme="majorHAnsi"/>
          <w:sz w:val="22"/>
          <w:szCs w:val="22"/>
        </w:rPr>
        <w:t xml:space="preserve">aged 15-24 years is likely to be a proxy for </w:t>
      </w:r>
      <w:r w:rsidR="00753970" w:rsidRPr="0057415D">
        <w:rPr>
          <w:rFonts w:asciiTheme="majorHAnsi" w:hAnsiTheme="majorHAnsi"/>
          <w:sz w:val="22"/>
          <w:szCs w:val="22"/>
        </w:rPr>
        <w:t>the student population</w:t>
      </w:r>
      <w:r w:rsidRPr="0057415D">
        <w:rPr>
          <w:rFonts w:asciiTheme="majorHAnsi" w:hAnsiTheme="majorHAnsi"/>
          <w:sz w:val="22"/>
          <w:szCs w:val="22"/>
        </w:rPr>
        <w:t>,</w:t>
      </w:r>
      <w:r w:rsidR="00753970" w:rsidRPr="0057415D">
        <w:rPr>
          <w:rFonts w:asciiTheme="majorHAnsi" w:hAnsiTheme="majorHAnsi"/>
          <w:sz w:val="22"/>
          <w:szCs w:val="22"/>
        </w:rPr>
        <w:t xml:space="preserve"> it would have been useful to known</w:t>
      </w:r>
      <w:r w:rsidR="00A415E6" w:rsidRPr="0057415D">
        <w:rPr>
          <w:rFonts w:asciiTheme="majorHAnsi" w:hAnsiTheme="majorHAnsi"/>
          <w:sz w:val="22"/>
          <w:szCs w:val="22"/>
        </w:rPr>
        <w:t xml:space="preserve"> whether</w:t>
      </w:r>
      <w:r w:rsidRPr="0057415D">
        <w:rPr>
          <w:rFonts w:asciiTheme="majorHAnsi" w:hAnsiTheme="majorHAnsi"/>
          <w:sz w:val="22"/>
          <w:szCs w:val="22"/>
        </w:rPr>
        <w:t xml:space="preserve"> practices were</w:t>
      </w:r>
      <w:r w:rsidR="00753970" w:rsidRPr="0057415D">
        <w:rPr>
          <w:rFonts w:asciiTheme="majorHAnsi" w:hAnsiTheme="majorHAnsi"/>
          <w:sz w:val="22"/>
          <w:szCs w:val="22"/>
        </w:rPr>
        <w:t xml:space="preserve"> linked to universities that may have had targeted vaccination strategies</w:t>
      </w:r>
      <w:r w:rsidRPr="0057415D">
        <w:rPr>
          <w:rFonts w:asciiTheme="majorHAnsi" w:hAnsiTheme="majorHAnsi"/>
          <w:sz w:val="22"/>
          <w:szCs w:val="22"/>
        </w:rPr>
        <w:t>.</w:t>
      </w:r>
      <w:r w:rsidR="006E6F21" w:rsidRPr="0057415D">
        <w:rPr>
          <w:rFonts w:asciiTheme="majorHAnsi" w:hAnsiTheme="majorHAnsi"/>
          <w:sz w:val="22"/>
          <w:szCs w:val="22"/>
        </w:rPr>
        <w:t xml:space="preserve"> It would also have been interesting to </w:t>
      </w:r>
      <w:r w:rsidR="008241D2" w:rsidRPr="0057415D">
        <w:rPr>
          <w:rFonts w:asciiTheme="majorHAnsi" w:hAnsiTheme="majorHAnsi"/>
          <w:sz w:val="22"/>
          <w:szCs w:val="22"/>
        </w:rPr>
        <w:t>have</w:t>
      </w:r>
      <w:r w:rsidR="00742BE2" w:rsidRPr="0057415D">
        <w:rPr>
          <w:rFonts w:asciiTheme="majorHAnsi" w:hAnsiTheme="majorHAnsi"/>
          <w:sz w:val="22"/>
          <w:szCs w:val="22"/>
        </w:rPr>
        <w:t xml:space="preserve"> uptake data</w:t>
      </w:r>
      <w:r w:rsidR="006E6F21" w:rsidRPr="0057415D">
        <w:rPr>
          <w:rFonts w:asciiTheme="majorHAnsi" w:hAnsiTheme="majorHAnsi"/>
          <w:sz w:val="22"/>
          <w:szCs w:val="22"/>
        </w:rPr>
        <w:t xml:space="preserve"> for the</w:t>
      </w:r>
      <w:r w:rsidR="00742BE2" w:rsidRPr="0057415D">
        <w:rPr>
          <w:rFonts w:asciiTheme="majorHAnsi" w:hAnsiTheme="majorHAnsi"/>
          <w:sz w:val="22"/>
          <w:szCs w:val="22"/>
        </w:rPr>
        <w:t xml:space="preserve"> withdrawn</w:t>
      </w:r>
      <w:r w:rsidR="006E6F21" w:rsidRPr="0057415D">
        <w:rPr>
          <w:rFonts w:asciiTheme="majorHAnsi" w:hAnsiTheme="majorHAnsi"/>
          <w:sz w:val="22"/>
          <w:szCs w:val="22"/>
        </w:rPr>
        <w:t xml:space="preserve"> </w:t>
      </w:r>
      <w:proofErr w:type="spellStart"/>
      <w:r w:rsidR="006E6F21" w:rsidRPr="0057415D">
        <w:rPr>
          <w:rFonts w:asciiTheme="majorHAnsi" w:hAnsiTheme="majorHAnsi"/>
          <w:sz w:val="22"/>
          <w:szCs w:val="22"/>
        </w:rPr>
        <w:t>Men</w:t>
      </w:r>
      <w:r w:rsidR="00742BE2" w:rsidRPr="0057415D">
        <w:rPr>
          <w:rFonts w:asciiTheme="majorHAnsi" w:hAnsiTheme="majorHAnsi"/>
          <w:sz w:val="22"/>
          <w:szCs w:val="22"/>
        </w:rPr>
        <w:t>C</w:t>
      </w:r>
      <w:proofErr w:type="spellEnd"/>
      <w:r w:rsidR="00742BE2" w:rsidRPr="0057415D">
        <w:rPr>
          <w:rFonts w:asciiTheme="majorHAnsi" w:hAnsiTheme="majorHAnsi"/>
          <w:sz w:val="22"/>
          <w:szCs w:val="22"/>
        </w:rPr>
        <w:t xml:space="preserve"> vaccination </w:t>
      </w:r>
      <w:r w:rsidR="008241D2" w:rsidRPr="0057415D">
        <w:rPr>
          <w:rFonts w:asciiTheme="majorHAnsi" w:hAnsiTheme="majorHAnsi"/>
          <w:sz w:val="22"/>
          <w:szCs w:val="22"/>
        </w:rPr>
        <w:t>programme,</w:t>
      </w:r>
      <w:r w:rsidR="00742BE2" w:rsidRPr="0057415D">
        <w:rPr>
          <w:rFonts w:asciiTheme="majorHAnsi" w:hAnsiTheme="majorHAnsi"/>
          <w:sz w:val="22"/>
          <w:szCs w:val="22"/>
        </w:rPr>
        <w:t xml:space="preserve"> as it is possible that individuals that received this vaccine in schools at age 13-15</w:t>
      </w:r>
      <w:r w:rsidR="00C35B40">
        <w:rPr>
          <w:rFonts w:asciiTheme="majorHAnsi" w:hAnsiTheme="majorHAnsi"/>
          <w:sz w:val="22"/>
          <w:szCs w:val="22"/>
        </w:rPr>
        <w:t xml:space="preserve"> </w:t>
      </w:r>
      <w:r w:rsidR="00742BE2" w:rsidRPr="0057415D">
        <w:rPr>
          <w:rFonts w:asciiTheme="majorHAnsi" w:hAnsiTheme="majorHAnsi"/>
          <w:sz w:val="22"/>
          <w:szCs w:val="22"/>
        </w:rPr>
        <w:t xml:space="preserve">years may have mistakenly believed that they did not require </w:t>
      </w:r>
      <w:proofErr w:type="spellStart"/>
      <w:r w:rsidR="00742BE2" w:rsidRPr="0057415D">
        <w:rPr>
          <w:rFonts w:asciiTheme="majorHAnsi" w:hAnsiTheme="majorHAnsi"/>
          <w:sz w:val="22"/>
          <w:szCs w:val="22"/>
        </w:rPr>
        <w:t>MenACWY</w:t>
      </w:r>
      <w:proofErr w:type="spellEnd"/>
      <w:r w:rsidR="00742BE2" w:rsidRPr="0057415D">
        <w:rPr>
          <w:rFonts w:asciiTheme="majorHAnsi" w:hAnsiTheme="majorHAnsi"/>
          <w:sz w:val="22"/>
          <w:szCs w:val="22"/>
        </w:rPr>
        <w:t xml:space="preserve"> vaccination in older adolescence.</w:t>
      </w:r>
    </w:p>
    <w:p w14:paraId="3594D736" w14:textId="77777777" w:rsidR="00AF55A1" w:rsidRPr="0057415D" w:rsidRDefault="00AF55A1" w:rsidP="00F85C87">
      <w:pPr>
        <w:spacing w:line="480" w:lineRule="auto"/>
        <w:rPr>
          <w:rFonts w:asciiTheme="majorHAnsi" w:hAnsiTheme="majorHAnsi"/>
          <w:sz w:val="22"/>
          <w:szCs w:val="22"/>
        </w:rPr>
      </w:pPr>
    </w:p>
    <w:p w14:paraId="15EC5E60" w14:textId="3012A00B" w:rsidR="003556A1" w:rsidRPr="0057415D" w:rsidRDefault="005768B1" w:rsidP="00F85C87">
      <w:pPr>
        <w:spacing w:line="480" w:lineRule="auto"/>
        <w:rPr>
          <w:rFonts w:asciiTheme="majorHAnsi" w:hAnsiTheme="majorHAnsi"/>
          <w:sz w:val="22"/>
          <w:szCs w:val="22"/>
        </w:rPr>
      </w:pPr>
      <w:r w:rsidRPr="0057415D">
        <w:rPr>
          <w:rFonts w:asciiTheme="majorHAnsi" w:hAnsiTheme="majorHAnsi"/>
          <w:sz w:val="22"/>
          <w:szCs w:val="22"/>
        </w:rPr>
        <w:t>There were also various</w:t>
      </w:r>
      <w:r w:rsidR="00A02DEA" w:rsidRPr="0057415D">
        <w:rPr>
          <w:rFonts w:asciiTheme="majorHAnsi" w:hAnsiTheme="majorHAnsi"/>
          <w:sz w:val="22"/>
          <w:szCs w:val="22"/>
        </w:rPr>
        <w:t xml:space="preserve"> study-specific</w:t>
      </w:r>
      <w:r w:rsidRPr="0057415D">
        <w:rPr>
          <w:rFonts w:asciiTheme="majorHAnsi" w:hAnsiTheme="majorHAnsi"/>
          <w:sz w:val="22"/>
          <w:szCs w:val="22"/>
        </w:rPr>
        <w:t xml:space="preserve"> limitations.</w:t>
      </w:r>
      <w:r w:rsidR="00FB4AAB" w:rsidRPr="0057415D">
        <w:rPr>
          <w:rFonts w:asciiTheme="majorHAnsi" w:hAnsiTheme="majorHAnsi"/>
          <w:sz w:val="22"/>
          <w:szCs w:val="22"/>
        </w:rPr>
        <w:t xml:space="preserve"> </w:t>
      </w:r>
      <w:proofErr w:type="spellStart"/>
      <w:r w:rsidR="00FB4AAB" w:rsidRPr="0057415D">
        <w:rPr>
          <w:rFonts w:asciiTheme="majorHAnsi" w:hAnsiTheme="majorHAnsi"/>
          <w:sz w:val="22"/>
          <w:szCs w:val="22"/>
        </w:rPr>
        <w:t>ImmForm</w:t>
      </w:r>
      <w:proofErr w:type="spellEnd"/>
      <w:r w:rsidR="00FB4AAB" w:rsidRPr="0057415D">
        <w:rPr>
          <w:rFonts w:asciiTheme="majorHAnsi" w:hAnsiTheme="majorHAnsi"/>
          <w:sz w:val="22"/>
          <w:szCs w:val="22"/>
        </w:rPr>
        <w:t xml:space="preserve"> vaccination data has certain drawbacks, for example relating to missing data, with 24</w:t>
      </w:r>
      <w:r w:rsidR="0057415D">
        <w:rPr>
          <w:rFonts w:asciiTheme="majorHAnsi" w:hAnsiTheme="majorHAnsi"/>
          <w:sz w:val="22"/>
          <w:szCs w:val="22"/>
        </w:rPr>
        <w:t>/611</w:t>
      </w:r>
      <w:r w:rsidR="00FB4AAB" w:rsidRPr="0057415D">
        <w:rPr>
          <w:rFonts w:asciiTheme="majorHAnsi" w:hAnsiTheme="majorHAnsi"/>
          <w:sz w:val="22"/>
          <w:szCs w:val="22"/>
        </w:rPr>
        <w:t xml:space="preserve"> practices across the study region not reporting their </w:t>
      </w:r>
      <w:proofErr w:type="spellStart"/>
      <w:r w:rsidR="00FB4AAB" w:rsidRPr="0057415D">
        <w:rPr>
          <w:rFonts w:asciiTheme="majorHAnsi" w:hAnsiTheme="majorHAnsi"/>
          <w:sz w:val="22"/>
          <w:szCs w:val="22"/>
        </w:rPr>
        <w:t>MenACWY</w:t>
      </w:r>
      <w:proofErr w:type="spellEnd"/>
      <w:r w:rsidR="00FB4AAB" w:rsidRPr="0057415D">
        <w:rPr>
          <w:rFonts w:asciiTheme="majorHAnsi" w:hAnsiTheme="majorHAnsi"/>
          <w:sz w:val="22"/>
          <w:szCs w:val="22"/>
        </w:rPr>
        <w:t xml:space="preserve"> uptake.</w:t>
      </w:r>
      <w:r w:rsidRPr="0057415D">
        <w:rPr>
          <w:rFonts w:asciiTheme="majorHAnsi" w:hAnsiTheme="majorHAnsi"/>
          <w:sz w:val="22"/>
          <w:szCs w:val="22"/>
        </w:rPr>
        <w:t xml:space="preserve"> </w:t>
      </w:r>
      <w:r w:rsidR="00FB4AAB" w:rsidRPr="0057415D">
        <w:rPr>
          <w:rFonts w:asciiTheme="majorHAnsi" w:hAnsiTheme="majorHAnsi"/>
          <w:sz w:val="22"/>
          <w:szCs w:val="22"/>
        </w:rPr>
        <w:t xml:space="preserve">It </w:t>
      </w:r>
      <w:r w:rsidRPr="0057415D">
        <w:rPr>
          <w:rFonts w:asciiTheme="majorHAnsi" w:hAnsiTheme="majorHAnsi"/>
          <w:sz w:val="22"/>
          <w:szCs w:val="22"/>
        </w:rPr>
        <w:t>is possible</w:t>
      </w:r>
      <w:r w:rsidR="00FB4AAB" w:rsidRPr="0057415D">
        <w:rPr>
          <w:rFonts w:asciiTheme="majorHAnsi" w:hAnsiTheme="majorHAnsi"/>
          <w:sz w:val="22"/>
          <w:szCs w:val="22"/>
        </w:rPr>
        <w:t>, therefore,</w:t>
      </w:r>
      <w:r w:rsidRPr="0057415D">
        <w:rPr>
          <w:rFonts w:asciiTheme="majorHAnsi" w:hAnsiTheme="majorHAnsi"/>
          <w:sz w:val="22"/>
          <w:szCs w:val="22"/>
        </w:rPr>
        <w:t xml:space="preserve"> that these practices may</w:t>
      </w:r>
      <w:r w:rsidR="00A02DEA" w:rsidRPr="0057415D">
        <w:rPr>
          <w:rFonts w:asciiTheme="majorHAnsi" w:hAnsiTheme="majorHAnsi"/>
          <w:sz w:val="22"/>
          <w:szCs w:val="22"/>
        </w:rPr>
        <w:t xml:space="preserve"> </w:t>
      </w:r>
      <w:r w:rsidR="00C35B40">
        <w:rPr>
          <w:rFonts w:asciiTheme="majorHAnsi" w:hAnsiTheme="majorHAnsi"/>
          <w:sz w:val="22"/>
          <w:szCs w:val="22"/>
        </w:rPr>
        <w:t xml:space="preserve">somehow </w:t>
      </w:r>
      <w:r w:rsidR="00A02DEA" w:rsidRPr="0057415D">
        <w:rPr>
          <w:rFonts w:asciiTheme="majorHAnsi" w:hAnsiTheme="majorHAnsi"/>
          <w:sz w:val="22"/>
          <w:szCs w:val="22"/>
        </w:rPr>
        <w:t>differ</w:t>
      </w:r>
      <w:r w:rsidR="00FB4AAB" w:rsidRPr="0057415D">
        <w:rPr>
          <w:rFonts w:asciiTheme="majorHAnsi" w:hAnsiTheme="majorHAnsi"/>
          <w:sz w:val="22"/>
          <w:szCs w:val="22"/>
        </w:rPr>
        <w:t>, e.g.</w:t>
      </w:r>
      <w:r w:rsidRPr="0057415D">
        <w:rPr>
          <w:rFonts w:asciiTheme="majorHAnsi" w:hAnsiTheme="majorHAnsi"/>
          <w:sz w:val="22"/>
          <w:szCs w:val="22"/>
        </w:rPr>
        <w:t xml:space="preserve"> if</w:t>
      </w:r>
      <w:r w:rsidR="00753970" w:rsidRPr="0057415D">
        <w:rPr>
          <w:rFonts w:asciiTheme="majorHAnsi" w:hAnsiTheme="majorHAnsi"/>
          <w:sz w:val="22"/>
          <w:szCs w:val="22"/>
        </w:rPr>
        <w:t xml:space="preserve"> their</w:t>
      </w:r>
      <w:r w:rsidRPr="0057415D">
        <w:rPr>
          <w:rFonts w:asciiTheme="majorHAnsi" w:hAnsiTheme="majorHAnsi"/>
          <w:sz w:val="22"/>
          <w:szCs w:val="22"/>
        </w:rPr>
        <w:t xml:space="preserve"> </w:t>
      </w:r>
      <w:r w:rsidR="00753970" w:rsidRPr="0057415D">
        <w:rPr>
          <w:rFonts w:asciiTheme="majorHAnsi" w:hAnsiTheme="majorHAnsi"/>
          <w:sz w:val="22"/>
          <w:szCs w:val="22"/>
        </w:rPr>
        <w:t>vaccination uptake was very low, resulting in</w:t>
      </w:r>
      <w:r w:rsidRPr="0057415D">
        <w:rPr>
          <w:rFonts w:asciiTheme="majorHAnsi" w:hAnsiTheme="majorHAnsi"/>
          <w:sz w:val="22"/>
          <w:szCs w:val="22"/>
        </w:rPr>
        <w:t xml:space="preserve"> selection bias. </w:t>
      </w:r>
      <w:r w:rsidR="00FB4AAB" w:rsidRPr="0057415D">
        <w:rPr>
          <w:rFonts w:asciiTheme="majorHAnsi" w:hAnsiTheme="majorHAnsi"/>
          <w:sz w:val="22"/>
          <w:szCs w:val="22"/>
        </w:rPr>
        <w:t xml:space="preserve">Furthermore, the mobile nature of the study population can complicate uptake data, with many young people moving away to university at this age. Therefore, it is possible that individuals who appear as unvaccinated in a university practice’s numerator actually received vaccination at </w:t>
      </w:r>
      <w:proofErr w:type="gramStart"/>
      <w:r w:rsidR="00FB4AAB" w:rsidRPr="0057415D">
        <w:rPr>
          <w:rFonts w:asciiTheme="majorHAnsi" w:hAnsiTheme="majorHAnsi"/>
          <w:sz w:val="22"/>
          <w:szCs w:val="22"/>
        </w:rPr>
        <w:t>their</w:t>
      </w:r>
      <w:proofErr w:type="gramEnd"/>
      <w:r w:rsidR="00FB4AAB" w:rsidRPr="0057415D">
        <w:rPr>
          <w:rFonts w:asciiTheme="majorHAnsi" w:hAnsiTheme="majorHAnsi"/>
          <w:sz w:val="22"/>
          <w:szCs w:val="22"/>
        </w:rPr>
        <w:t xml:space="preserve"> “home” practice or vice versa. </w:t>
      </w:r>
      <w:r w:rsidR="002162B7" w:rsidRPr="0057415D">
        <w:rPr>
          <w:rFonts w:asciiTheme="majorHAnsi" w:hAnsiTheme="majorHAnsi"/>
          <w:sz w:val="22"/>
          <w:szCs w:val="22"/>
        </w:rPr>
        <w:t>Whilst</w:t>
      </w:r>
      <w:r w:rsidR="00A02DEA" w:rsidRPr="0057415D">
        <w:rPr>
          <w:rFonts w:asciiTheme="majorHAnsi" w:hAnsiTheme="majorHAnsi"/>
          <w:sz w:val="22"/>
          <w:szCs w:val="22"/>
        </w:rPr>
        <w:t xml:space="preserve"> a considerable</w:t>
      </w:r>
      <w:r w:rsidR="00A415E6" w:rsidRPr="0057415D">
        <w:rPr>
          <w:rFonts w:asciiTheme="majorHAnsi" w:hAnsiTheme="majorHAnsi"/>
          <w:sz w:val="22"/>
          <w:szCs w:val="22"/>
        </w:rPr>
        <w:t xml:space="preserve"> sample of </w:t>
      </w:r>
      <w:r w:rsidR="003556A1" w:rsidRPr="0057415D">
        <w:rPr>
          <w:rFonts w:asciiTheme="majorHAnsi" w:hAnsiTheme="majorHAnsi"/>
          <w:sz w:val="22"/>
          <w:szCs w:val="22"/>
        </w:rPr>
        <w:t>practices was utilised acros</w:t>
      </w:r>
      <w:r w:rsidR="00A02DEA" w:rsidRPr="0057415D">
        <w:rPr>
          <w:rFonts w:asciiTheme="majorHAnsi" w:hAnsiTheme="majorHAnsi"/>
          <w:sz w:val="22"/>
          <w:szCs w:val="22"/>
        </w:rPr>
        <w:t>s a large and diverse</w:t>
      </w:r>
      <w:r w:rsidR="003556A1" w:rsidRPr="0057415D">
        <w:rPr>
          <w:rFonts w:asciiTheme="majorHAnsi" w:hAnsiTheme="majorHAnsi"/>
          <w:sz w:val="22"/>
          <w:szCs w:val="22"/>
        </w:rPr>
        <w:t xml:space="preserve"> area, which increases the likelihood that the findings may have wider applicability, data from only a distinct region was used and th</w:t>
      </w:r>
      <w:r w:rsidR="00E60287" w:rsidRPr="0057415D">
        <w:rPr>
          <w:rFonts w:asciiTheme="majorHAnsi" w:hAnsiTheme="majorHAnsi"/>
          <w:sz w:val="22"/>
          <w:szCs w:val="22"/>
        </w:rPr>
        <w:t>ere is no guarantee of the broader</w:t>
      </w:r>
      <w:r w:rsidR="00A02DEA" w:rsidRPr="0057415D">
        <w:rPr>
          <w:rFonts w:asciiTheme="majorHAnsi" w:hAnsiTheme="majorHAnsi"/>
          <w:sz w:val="22"/>
          <w:szCs w:val="22"/>
        </w:rPr>
        <w:t xml:space="preserve"> representativeness of the</w:t>
      </w:r>
      <w:r w:rsidR="003556A1" w:rsidRPr="0057415D">
        <w:rPr>
          <w:rFonts w:asciiTheme="majorHAnsi" w:hAnsiTheme="majorHAnsi"/>
          <w:sz w:val="22"/>
          <w:szCs w:val="22"/>
        </w:rPr>
        <w:t xml:space="preserve"> findings. </w:t>
      </w:r>
    </w:p>
    <w:p w14:paraId="3098E903" w14:textId="77777777" w:rsidR="003556A1" w:rsidRPr="0057415D" w:rsidRDefault="003556A1" w:rsidP="00F85C87">
      <w:pPr>
        <w:spacing w:line="480" w:lineRule="auto"/>
        <w:rPr>
          <w:rFonts w:asciiTheme="majorHAnsi" w:hAnsiTheme="majorHAnsi"/>
          <w:sz w:val="22"/>
          <w:szCs w:val="22"/>
        </w:rPr>
      </w:pPr>
    </w:p>
    <w:p w14:paraId="2A110B42" w14:textId="40003997" w:rsidR="00AF55A1" w:rsidRPr="0057415D" w:rsidRDefault="003556A1" w:rsidP="00F85C87">
      <w:pPr>
        <w:spacing w:line="480" w:lineRule="auto"/>
        <w:rPr>
          <w:rFonts w:asciiTheme="majorHAnsi" w:hAnsiTheme="majorHAnsi"/>
          <w:sz w:val="22"/>
          <w:szCs w:val="22"/>
        </w:rPr>
      </w:pPr>
      <w:r w:rsidRPr="0057415D">
        <w:rPr>
          <w:rFonts w:asciiTheme="majorHAnsi" w:hAnsiTheme="majorHAnsi"/>
          <w:sz w:val="22"/>
          <w:szCs w:val="22"/>
        </w:rPr>
        <w:t>Although the use of a routine data-set such as the National General Practice Profiles ensures that robust data sourc</w:t>
      </w:r>
      <w:r w:rsidR="002162B7" w:rsidRPr="0057415D">
        <w:rPr>
          <w:rFonts w:asciiTheme="majorHAnsi" w:hAnsiTheme="majorHAnsi"/>
          <w:sz w:val="22"/>
          <w:szCs w:val="22"/>
        </w:rPr>
        <w:t>es are used and that the data has been</w:t>
      </w:r>
      <w:r w:rsidRPr="0057415D">
        <w:rPr>
          <w:rFonts w:asciiTheme="majorHAnsi" w:hAnsiTheme="majorHAnsi"/>
          <w:sz w:val="22"/>
          <w:szCs w:val="22"/>
        </w:rPr>
        <w:t xml:space="preserve"> checked for errors, with excellent</w:t>
      </w:r>
      <w:r w:rsidR="002162B7" w:rsidRPr="0057415D">
        <w:rPr>
          <w:rFonts w:asciiTheme="majorHAnsi" w:hAnsiTheme="majorHAnsi"/>
          <w:sz w:val="22"/>
          <w:szCs w:val="22"/>
        </w:rPr>
        <w:t xml:space="preserve"> completeness of data, it</w:t>
      </w:r>
      <w:r w:rsidRPr="0057415D">
        <w:rPr>
          <w:rFonts w:asciiTheme="majorHAnsi" w:hAnsiTheme="majorHAnsi"/>
          <w:sz w:val="22"/>
          <w:szCs w:val="22"/>
        </w:rPr>
        <w:t xml:space="preserve"> also</w:t>
      </w:r>
      <w:r w:rsidR="002162B7" w:rsidRPr="0057415D">
        <w:rPr>
          <w:rFonts w:asciiTheme="majorHAnsi" w:hAnsiTheme="majorHAnsi"/>
          <w:sz w:val="22"/>
          <w:szCs w:val="22"/>
        </w:rPr>
        <w:t xml:space="preserve"> has</w:t>
      </w:r>
      <w:r w:rsidRPr="0057415D">
        <w:rPr>
          <w:rFonts w:asciiTheme="majorHAnsi" w:hAnsiTheme="majorHAnsi"/>
          <w:sz w:val="22"/>
          <w:szCs w:val="22"/>
        </w:rPr>
        <w:t xml:space="preserve"> drawbacks</w:t>
      </w:r>
      <w:r w:rsidR="005768B1" w:rsidRPr="0057415D">
        <w:rPr>
          <w:rFonts w:asciiTheme="majorHAnsi" w:hAnsiTheme="majorHAnsi"/>
          <w:sz w:val="22"/>
          <w:szCs w:val="22"/>
        </w:rPr>
        <w:t>.</w:t>
      </w:r>
      <w:r w:rsidR="003A55FB" w:rsidRPr="0057415D">
        <w:rPr>
          <w:rFonts w:asciiTheme="majorHAnsi" w:hAnsiTheme="majorHAnsi"/>
          <w:sz w:val="22"/>
          <w:szCs w:val="22"/>
        </w:rPr>
        <w:t xml:space="preserve"> </w:t>
      </w:r>
      <w:r w:rsidRPr="0057415D">
        <w:rPr>
          <w:rFonts w:asciiTheme="majorHAnsi" w:hAnsiTheme="majorHAnsi"/>
          <w:sz w:val="22"/>
          <w:szCs w:val="22"/>
        </w:rPr>
        <w:t>In this instance</w:t>
      </w:r>
      <w:r w:rsidR="00753970" w:rsidRPr="0057415D">
        <w:rPr>
          <w:rFonts w:asciiTheme="majorHAnsi" w:hAnsiTheme="majorHAnsi"/>
          <w:sz w:val="22"/>
          <w:szCs w:val="22"/>
        </w:rPr>
        <w:t>, e</w:t>
      </w:r>
      <w:r w:rsidR="003A55FB" w:rsidRPr="0057415D">
        <w:rPr>
          <w:rFonts w:asciiTheme="majorHAnsi" w:hAnsiTheme="majorHAnsi"/>
          <w:sz w:val="22"/>
          <w:szCs w:val="22"/>
        </w:rPr>
        <w:t>thnicity data was obtained from the 2011 census and applied according to the lower super output areas where the 2015 practice populations were resident</w:t>
      </w:r>
      <w:r w:rsidR="003A55FB" w:rsidRPr="0057415D">
        <w:rPr>
          <w:rFonts w:asciiTheme="majorHAnsi" w:hAnsiTheme="majorHAnsi"/>
          <w:sz w:val="22"/>
          <w:szCs w:val="22"/>
        </w:rPr>
        <w:fldChar w:fldCharType="begin"/>
      </w:r>
      <w:r w:rsidR="003A55FB" w:rsidRPr="0057415D">
        <w:rPr>
          <w:rFonts w:asciiTheme="majorHAnsi" w:hAnsiTheme="majorHAnsi"/>
          <w:sz w:val="22"/>
          <w:szCs w:val="22"/>
        </w:rPr>
        <w:instrText>ADDIN RW.CITE{{861 Public Health England December 2016}}</w:instrText>
      </w:r>
      <w:r w:rsidR="003A55FB" w:rsidRPr="0057415D">
        <w:rPr>
          <w:rFonts w:asciiTheme="majorHAnsi" w:hAnsiTheme="majorHAnsi"/>
          <w:sz w:val="22"/>
          <w:szCs w:val="22"/>
        </w:rPr>
        <w:fldChar w:fldCharType="separate"/>
      </w:r>
      <w:r w:rsidR="004776C0" w:rsidRPr="0057415D">
        <w:rPr>
          <w:rFonts w:asciiTheme="majorHAnsi" w:eastAsia="Times New Roman" w:hAnsiTheme="majorHAnsi" w:cs="Times New Roman"/>
          <w:sz w:val="22"/>
        </w:rPr>
        <w:t>(31)</w:t>
      </w:r>
      <w:r w:rsidR="003A55FB" w:rsidRPr="0057415D">
        <w:rPr>
          <w:rFonts w:asciiTheme="majorHAnsi" w:hAnsiTheme="majorHAnsi"/>
          <w:sz w:val="22"/>
          <w:szCs w:val="22"/>
        </w:rPr>
        <w:fldChar w:fldCharType="end"/>
      </w:r>
      <w:r w:rsidR="003A55FB" w:rsidRPr="0057415D">
        <w:rPr>
          <w:rFonts w:asciiTheme="majorHAnsi" w:hAnsiTheme="majorHAnsi"/>
          <w:sz w:val="22"/>
          <w:szCs w:val="22"/>
        </w:rPr>
        <w:t>. Therefore, although</w:t>
      </w:r>
      <w:r w:rsidR="00434C6B" w:rsidRPr="0057415D">
        <w:rPr>
          <w:rFonts w:asciiTheme="majorHAnsi" w:hAnsiTheme="majorHAnsi"/>
          <w:sz w:val="22"/>
          <w:szCs w:val="22"/>
        </w:rPr>
        <w:t xml:space="preserve"> applied to</w:t>
      </w:r>
      <w:r w:rsidR="003A55FB" w:rsidRPr="0057415D">
        <w:rPr>
          <w:rFonts w:asciiTheme="majorHAnsi" w:hAnsiTheme="majorHAnsi"/>
          <w:sz w:val="22"/>
          <w:szCs w:val="22"/>
        </w:rPr>
        <w:t xml:space="preserve"> recent practice population</w:t>
      </w:r>
      <w:r w:rsidR="00434C6B" w:rsidRPr="0057415D">
        <w:rPr>
          <w:rFonts w:asciiTheme="majorHAnsi" w:hAnsiTheme="majorHAnsi"/>
          <w:sz w:val="22"/>
          <w:szCs w:val="22"/>
        </w:rPr>
        <w:t>s</w:t>
      </w:r>
      <w:r w:rsidR="002162B7" w:rsidRPr="0057415D">
        <w:rPr>
          <w:rFonts w:asciiTheme="majorHAnsi" w:hAnsiTheme="majorHAnsi"/>
          <w:sz w:val="22"/>
          <w:szCs w:val="22"/>
        </w:rPr>
        <w:t>, the ethnicity data wa</w:t>
      </w:r>
      <w:r w:rsidR="003A55FB" w:rsidRPr="0057415D">
        <w:rPr>
          <w:rFonts w:asciiTheme="majorHAnsi" w:hAnsiTheme="majorHAnsi"/>
          <w:sz w:val="22"/>
          <w:szCs w:val="22"/>
        </w:rPr>
        <w:t>s several years old</w:t>
      </w:r>
      <w:r w:rsidR="00753970" w:rsidRPr="0057415D">
        <w:rPr>
          <w:rFonts w:asciiTheme="majorHAnsi" w:hAnsiTheme="majorHAnsi"/>
          <w:sz w:val="22"/>
          <w:szCs w:val="22"/>
        </w:rPr>
        <w:t xml:space="preserve"> and has</w:t>
      </w:r>
      <w:r w:rsidR="003A55FB" w:rsidRPr="0057415D">
        <w:rPr>
          <w:rFonts w:asciiTheme="majorHAnsi" w:hAnsiTheme="majorHAnsi"/>
          <w:sz w:val="22"/>
          <w:szCs w:val="22"/>
        </w:rPr>
        <w:t xml:space="preserve"> the po</w:t>
      </w:r>
      <w:r w:rsidR="00753970" w:rsidRPr="0057415D">
        <w:rPr>
          <w:rFonts w:asciiTheme="majorHAnsi" w:hAnsiTheme="majorHAnsi"/>
          <w:sz w:val="22"/>
          <w:szCs w:val="22"/>
        </w:rPr>
        <w:t>tential</w:t>
      </w:r>
      <w:r w:rsidR="00434C6B" w:rsidRPr="0057415D">
        <w:rPr>
          <w:rFonts w:asciiTheme="majorHAnsi" w:hAnsiTheme="majorHAnsi"/>
          <w:sz w:val="22"/>
          <w:szCs w:val="22"/>
        </w:rPr>
        <w:t xml:space="preserve"> to</w:t>
      </w:r>
      <w:r w:rsidR="003A55FB" w:rsidRPr="0057415D">
        <w:rPr>
          <w:rFonts w:asciiTheme="majorHAnsi" w:hAnsiTheme="majorHAnsi"/>
          <w:sz w:val="22"/>
          <w:szCs w:val="22"/>
        </w:rPr>
        <w:t xml:space="preserve"> change, especially in urban areas </w:t>
      </w:r>
      <w:r w:rsidR="00753970" w:rsidRPr="0057415D">
        <w:rPr>
          <w:rFonts w:asciiTheme="majorHAnsi" w:hAnsiTheme="majorHAnsi"/>
          <w:sz w:val="22"/>
          <w:szCs w:val="22"/>
        </w:rPr>
        <w:t>with mobile populations</w:t>
      </w:r>
      <w:r w:rsidR="003A55FB" w:rsidRPr="0057415D">
        <w:rPr>
          <w:rFonts w:asciiTheme="majorHAnsi" w:hAnsiTheme="majorHAnsi"/>
          <w:sz w:val="22"/>
          <w:szCs w:val="22"/>
        </w:rPr>
        <w:t>. Furthermore, there was no sub-</w:t>
      </w:r>
      <w:r w:rsidR="003A55FB" w:rsidRPr="0057415D">
        <w:rPr>
          <w:rFonts w:asciiTheme="majorHAnsi" w:hAnsiTheme="majorHAnsi"/>
          <w:sz w:val="22"/>
          <w:szCs w:val="22"/>
        </w:rPr>
        <w:lastRenderedPageBreak/>
        <w:t>categorisation of the White population, which</w:t>
      </w:r>
      <w:r w:rsidR="00753970" w:rsidRPr="0057415D">
        <w:rPr>
          <w:rFonts w:asciiTheme="majorHAnsi" w:hAnsiTheme="majorHAnsi"/>
          <w:sz w:val="22"/>
          <w:szCs w:val="22"/>
        </w:rPr>
        <w:t xml:space="preserve"> </w:t>
      </w:r>
      <w:r w:rsidR="00902C37" w:rsidRPr="0057415D">
        <w:rPr>
          <w:rFonts w:asciiTheme="majorHAnsi" w:hAnsiTheme="majorHAnsi"/>
          <w:sz w:val="22"/>
          <w:szCs w:val="22"/>
        </w:rPr>
        <w:t xml:space="preserve">may have complicated the association with ethnicity </w:t>
      </w:r>
      <w:r w:rsidR="00434C6B" w:rsidRPr="0057415D">
        <w:rPr>
          <w:rFonts w:asciiTheme="majorHAnsi" w:hAnsiTheme="majorHAnsi"/>
          <w:sz w:val="22"/>
          <w:szCs w:val="22"/>
        </w:rPr>
        <w:t>as</w:t>
      </w:r>
      <w:r w:rsidR="003438BE" w:rsidRPr="0057415D">
        <w:rPr>
          <w:rFonts w:asciiTheme="majorHAnsi" w:hAnsiTheme="majorHAnsi"/>
          <w:sz w:val="22"/>
          <w:szCs w:val="22"/>
        </w:rPr>
        <w:t xml:space="preserve"> appr</w:t>
      </w:r>
      <w:r w:rsidR="00434C6B" w:rsidRPr="0057415D">
        <w:rPr>
          <w:rFonts w:asciiTheme="majorHAnsi" w:hAnsiTheme="majorHAnsi"/>
          <w:sz w:val="22"/>
          <w:szCs w:val="22"/>
        </w:rPr>
        <w:t xml:space="preserve">oximately three per-cent of </w:t>
      </w:r>
      <w:r w:rsidR="003438BE" w:rsidRPr="0057415D">
        <w:rPr>
          <w:rFonts w:asciiTheme="majorHAnsi" w:hAnsiTheme="majorHAnsi"/>
          <w:sz w:val="22"/>
          <w:szCs w:val="22"/>
        </w:rPr>
        <w:t>residents in North West England describe themselves as of “White – Other” ethnicity</w:t>
      </w:r>
      <w:r w:rsidR="003438BE" w:rsidRPr="0057415D">
        <w:rPr>
          <w:rFonts w:asciiTheme="majorHAnsi" w:hAnsiTheme="majorHAnsi"/>
          <w:sz w:val="22"/>
          <w:szCs w:val="22"/>
        </w:rPr>
        <w:fldChar w:fldCharType="begin"/>
      </w:r>
      <w:r w:rsidR="003438BE" w:rsidRPr="0057415D">
        <w:rPr>
          <w:rFonts w:asciiTheme="majorHAnsi" w:hAnsiTheme="majorHAnsi"/>
          <w:sz w:val="22"/>
          <w:szCs w:val="22"/>
        </w:rPr>
        <w:instrText>ADDIN RW.CITE{{883 Office for National Statistics 2011}}</w:instrText>
      </w:r>
      <w:r w:rsidR="003438BE" w:rsidRPr="0057415D">
        <w:rPr>
          <w:rFonts w:asciiTheme="majorHAnsi" w:hAnsiTheme="majorHAnsi"/>
          <w:sz w:val="22"/>
          <w:szCs w:val="22"/>
        </w:rPr>
        <w:fldChar w:fldCharType="separate"/>
      </w:r>
      <w:r w:rsidR="004776C0" w:rsidRPr="0057415D">
        <w:rPr>
          <w:rFonts w:asciiTheme="majorHAnsi" w:eastAsia="Times New Roman" w:hAnsiTheme="majorHAnsi" w:cs="Times New Roman"/>
          <w:sz w:val="22"/>
        </w:rPr>
        <w:t>(28)</w:t>
      </w:r>
      <w:r w:rsidR="003438BE" w:rsidRPr="0057415D">
        <w:rPr>
          <w:rFonts w:asciiTheme="majorHAnsi" w:hAnsiTheme="majorHAnsi"/>
          <w:sz w:val="22"/>
          <w:szCs w:val="22"/>
        </w:rPr>
        <w:fldChar w:fldCharType="end"/>
      </w:r>
      <w:r w:rsidR="003438BE" w:rsidRPr="0057415D">
        <w:rPr>
          <w:rFonts w:asciiTheme="majorHAnsi" w:hAnsiTheme="majorHAnsi"/>
          <w:sz w:val="22"/>
          <w:szCs w:val="22"/>
        </w:rPr>
        <w:t xml:space="preserve">. </w:t>
      </w:r>
      <w:r w:rsidR="004B04B1" w:rsidRPr="0057415D">
        <w:rPr>
          <w:rFonts w:asciiTheme="majorHAnsi" w:hAnsiTheme="majorHAnsi"/>
          <w:sz w:val="22"/>
          <w:szCs w:val="22"/>
        </w:rPr>
        <w:t xml:space="preserve">In terms of the patient experience </w:t>
      </w:r>
      <w:r w:rsidR="00434C6B" w:rsidRPr="0057415D">
        <w:rPr>
          <w:rFonts w:asciiTheme="majorHAnsi" w:hAnsiTheme="majorHAnsi"/>
          <w:sz w:val="22"/>
          <w:szCs w:val="22"/>
        </w:rPr>
        <w:t>aspects</w:t>
      </w:r>
      <w:r w:rsidR="004B04B1" w:rsidRPr="0057415D">
        <w:rPr>
          <w:rFonts w:asciiTheme="majorHAnsi" w:hAnsiTheme="majorHAnsi"/>
          <w:sz w:val="22"/>
          <w:szCs w:val="22"/>
        </w:rPr>
        <w:t xml:space="preserve"> derived from the GP Patient Survey, this is a voluntary survey t</w:t>
      </w:r>
      <w:r w:rsidR="00753970" w:rsidRPr="0057415D">
        <w:rPr>
          <w:rFonts w:asciiTheme="majorHAnsi" w:hAnsiTheme="majorHAnsi"/>
          <w:sz w:val="22"/>
          <w:szCs w:val="22"/>
        </w:rPr>
        <w:t>hat is routinely offered to</w:t>
      </w:r>
      <w:r w:rsidR="004B04B1" w:rsidRPr="0057415D">
        <w:rPr>
          <w:rFonts w:asciiTheme="majorHAnsi" w:hAnsiTheme="majorHAnsi"/>
          <w:sz w:val="22"/>
          <w:szCs w:val="22"/>
        </w:rPr>
        <w:t xml:space="preserve"> a sel</w:t>
      </w:r>
      <w:r w:rsidR="00434C6B" w:rsidRPr="0057415D">
        <w:rPr>
          <w:rFonts w:asciiTheme="majorHAnsi" w:hAnsiTheme="majorHAnsi"/>
          <w:sz w:val="22"/>
          <w:szCs w:val="22"/>
        </w:rPr>
        <w:t xml:space="preserve">ection of patients from each </w:t>
      </w:r>
      <w:r w:rsidR="004B04B1" w:rsidRPr="0057415D">
        <w:rPr>
          <w:rFonts w:asciiTheme="majorHAnsi" w:hAnsiTheme="majorHAnsi"/>
          <w:sz w:val="22"/>
          <w:szCs w:val="22"/>
        </w:rPr>
        <w:t>practice</w:t>
      </w:r>
      <w:r w:rsidR="004B04B1" w:rsidRPr="0057415D">
        <w:rPr>
          <w:rFonts w:asciiTheme="majorHAnsi" w:hAnsiTheme="majorHAnsi"/>
          <w:sz w:val="22"/>
          <w:szCs w:val="22"/>
        </w:rPr>
        <w:fldChar w:fldCharType="begin"/>
      </w:r>
      <w:r w:rsidR="004B04B1" w:rsidRPr="0057415D">
        <w:rPr>
          <w:rFonts w:asciiTheme="majorHAnsi" w:hAnsiTheme="majorHAnsi"/>
          <w:sz w:val="22"/>
          <w:szCs w:val="22"/>
        </w:rPr>
        <w:instrText>ADDIN RW.CITE{{863 NHS England. GP Patient Survey. 2016}}</w:instrText>
      </w:r>
      <w:r w:rsidR="004B04B1" w:rsidRPr="0057415D">
        <w:rPr>
          <w:rFonts w:asciiTheme="majorHAnsi" w:hAnsiTheme="majorHAnsi"/>
          <w:sz w:val="22"/>
          <w:szCs w:val="22"/>
        </w:rPr>
        <w:fldChar w:fldCharType="separate"/>
      </w:r>
      <w:r w:rsidR="004776C0" w:rsidRPr="0057415D">
        <w:rPr>
          <w:rFonts w:asciiTheme="majorHAnsi" w:eastAsia="Times New Roman" w:hAnsiTheme="majorHAnsi" w:cs="Times New Roman"/>
          <w:sz w:val="22"/>
        </w:rPr>
        <w:t>(33)</w:t>
      </w:r>
      <w:r w:rsidR="004B04B1" w:rsidRPr="0057415D">
        <w:rPr>
          <w:rFonts w:asciiTheme="majorHAnsi" w:hAnsiTheme="majorHAnsi"/>
          <w:sz w:val="22"/>
          <w:szCs w:val="22"/>
        </w:rPr>
        <w:fldChar w:fldCharType="end"/>
      </w:r>
      <w:r w:rsidR="004B04B1" w:rsidRPr="0057415D">
        <w:rPr>
          <w:rFonts w:asciiTheme="majorHAnsi" w:hAnsiTheme="majorHAnsi"/>
          <w:sz w:val="22"/>
          <w:szCs w:val="22"/>
        </w:rPr>
        <w:t>. Therefore, response bias may occur, with</w:t>
      </w:r>
      <w:r w:rsidR="00753970" w:rsidRPr="0057415D">
        <w:rPr>
          <w:rFonts w:asciiTheme="majorHAnsi" w:hAnsiTheme="majorHAnsi"/>
          <w:sz w:val="22"/>
          <w:szCs w:val="22"/>
        </w:rPr>
        <w:t>, for example,</w:t>
      </w:r>
      <w:r w:rsidR="004B04B1" w:rsidRPr="0057415D">
        <w:rPr>
          <w:rFonts w:asciiTheme="majorHAnsi" w:hAnsiTheme="majorHAnsi"/>
          <w:sz w:val="22"/>
          <w:szCs w:val="22"/>
        </w:rPr>
        <w:t xml:space="preserve"> </w:t>
      </w:r>
      <w:r w:rsidR="00434C6B" w:rsidRPr="0057415D">
        <w:rPr>
          <w:rFonts w:asciiTheme="majorHAnsi" w:hAnsiTheme="majorHAnsi"/>
          <w:sz w:val="22"/>
          <w:szCs w:val="22"/>
        </w:rPr>
        <w:t>only those patients with</w:t>
      </w:r>
      <w:r w:rsidR="004B04B1" w:rsidRPr="0057415D">
        <w:rPr>
          <w:rFonts w:asciiTheme="majorHAnsi" w:hAnsiTheme="majorHAnsi"/>
          <w:sz w:val="22"/>
          <w:szCs w:val="22"/>
        </w:rPr>
        <w:t xml:space="preserve"> very good or very poor experiences motivated to respond</w:t>
      </w:r>
      <w:r w:rsidR="00753970" w:rsidRPr="0057415D">
        <w:rPr>
          <w:rFonts w:asciiTheme="majorHAnsi" w:hAnsiTheme="majorHAnsi"/>
          <w:sz w:val="22"/>
          <w:szCs w:val="22"/>
        </w:rPr>
        <w:t>.</w:t>
      </w:r>
    </w:p>
    <w:p w14:paraId="12C62FBF" w14:textId="77777777" w:rsidR="00AF55A1" w:rsidRPr="0057415D" w:rsidRDefault="00AF55A1" w:rsidP="00F85C87">
      <w:pPr>
        <w:spacing w:line="480" w:lineRule="auto"/>
        <w:rPr>
          <w:rFonts w:asciiTheme="majorHAnsi" w:hAnsiTheme="majorHAnsi"/>
          <w:sz w:val="22"/>
          <w:szCs w:val="22"/>
        </w:rPr>
      </w:pPr>
    </w:p>
    <w:p w14:paraId="26FDEBAA" w14:textId="10A0505F" w:rsidR="00560864" w:rsidRPr="0057415D" w:rsidRDefault="00560864" w:rsidP="00F85C87">
      <w:pPr>
        <w:spacing w:line="480" w:lineRule="auto"/>
        <w:rPr>
          <w:rFonts w:asciiTheme="majorHAnsi" w:hAnsiTheme="majorHAnsi"/>
          <w:b/>
          <w:sz w:val="22"/>
          <w:szCs w:val="22"/>
        </w:rPr>
      </w:pPr>
      <w:r w:rsidRPr="0057415D">
        <w:rPr>
          <w:rFonts w:asciiTheme="majorHAnsi" w:hAnsiTheme="majorHAnsi"/>
          <w:b/>
          <w:sz w:val="22"/>
          <w:szCs w:val="22"/>
        </w:rPr>
        <w:t>Funding</w:t>
      </w:r>
    </w:p>
    <w:p w14:paraId="7646AE79" w14:textId="2BF06DE7" w:rsidR="00560864" w:rsidRPr="0057415D" w:rsidRDefault="00560864" w:rsidP="00F85C87">
      <w:pPr>
        <w:spacing w:line="480" w:lineRule="auto"/>
        <w:rPr>
          <w:rFonts w:asciiTheme="majorHAnsi" w:hAnsiTheme="majorHAnsi"/>
          <w:sz w:val="22"/>
          <w:szCs w:val="22"/>
        </w:rPr>
      </w:pPr>
      <w:r w:rsidRPr="0057415D">
        <w:rPr>
          <w:rFonts w:asciiTheme="majorHAnsi" w:hAnsiTheme="majorHAnsi"/>
          <w:sz w:val="22"/>
          <w:szCs w:val="22"/>
        </w:rPr>
        <w:t>This study received no specific source of funding.</w:t>
      </w:r>
    </w:p>
    <w:p w14:paraId="50F6ED0A" w14:textId="77777777" w:rsidR="00560864" w:rsidRPr="0057415D" w:rsidRDefault="00560864" w:rsidP="00F85C87">
      <w:pPr>
        <w:spacing w:line="480" w:lineRule="auto"/>
        <w:rPr>
          <w:rFonts w:asciiTheme="majorHAnsi" w:hAnsiTheme="majorHAnsi"/>
          <w:sz w:val="22"/>
          <w:szCs w:val="22"/>
        </w:rPr>
      </w:pPr>
    </w:p>
    <w:p w14:paraId="7137FC17" w14:textId="1B3FD15B" w:rsidR="00560864" w:rsidRPr="0057415D" w:rsidRDefault="00560864" w:rsidP="00F85C87">
      <w:pPr>
        <w:spacing w:line="480" w:lineRule="auto"/>
        <w:rPr>
          <w:rFonts w:asciiTheme="majorHAnsi" w:hAnsiTheme="majorHAnsi"/>
          <w:b/>
          <w:sz w:val="22"/>
          <w:szCs w:val="22"/>
        </w:rPr>
      </w:pPr>
      <w:r w:rsidRPr="0057415D">
        <w:rPr>
          <w:rFonts w:asciiTheme="majorHAnsi" w:hAnsiTheme="majorHAnsi"/>
          <w:b/>
          <w:sz w:val="22"/>
          <w:szCs w:val="22"/>
        </w:rPr>
        <w:t>Conflict of interests</w:t>
      </w:r>
    </w:p>
    <w:p w14:paraId="41B50585" w14:textId="58A1878C" w:rsidR="00560864" w:rsidRPr="0057415D" w:rsidRDefault="00560864" w:rsidP="00F85C87">
      <w:pPr>
        <w:spacing w:line="480" w:lineRule="auto"/>
        <w:rPr>
          <w:rFonts w:asciiTheme="majorHAnsi" w:hAnsiTheme="majorHAnsi"/>
          <w:sz w:val="22"/>
          <w:szCs w:val="22"/>
        </w:rPr>
      </w:pPr>
      <w:r w:rsidRPr="0057415D">
        <w:rPr>
          <w:rFonts w:asciiTheme="majorHAnsi" w:hAnsiTheme="majorHAnsi"/>
          <w:sz w:val="22"/>
          <w:szCs w:val="22"/>
        </w:rPr>
        <w:t>The authors have no conflicts of interest to declare.</w:t>
      </w:r>
    </w:p>
    <w:p w14:paraId="0BCEE54F" w14:textId="77777777" w:rsidR="00560864" w:rsidRPr="0057415D" w:rsidRDefault="00560864" w:rsidP="00F85C87">
      <w:pPr>
        <w:spacing w:line="480" w:lineRule="auto"/>
        <w:rPr>
          <w:rFonts w:asciiTheme="majorHAnsi" w:hAnsiTheme="majorHAnsi"/>
          <w:b/>
          <w:sz w:val="22"/>
          <w:szCs w:val="22"/>
        </w:rPr>
      </w:pPr>
    </w:p>
    <w:p w14:paraId="7A4F58BC" w14:textId="5AFAC792" w:rsidR="00560864" w:rsidRPr="0057415D" w:rsidRDefault="00560864" w:rsidP="00F85C87">
      <w:pPr>
        <w:spacing w:line="480" w:lineRule="auto"/>
        <w:rPr>
          <w:rFonts w:asciiTheme="majorHAnsi" w:hAnsiTheme="majorHAnsi"/>
          <w:b/>
          <w:sz w:val="22"/>
          <w:szCs w:val="22"/>
        </w:rPr>
      </w:pPr>
      <w:r w:rsidRPr="0057415D">
        <w:rPr>
          <w:rFonts w:asciiTheme="majorHAnsi" w:hAnsiTheme="majorHAnsi"/>
          <w:b/>
          <w:sz w:val="22"/>
          <w:szCs w:val="22"/>
        </w:rPr>
        <w:t>Acknowledgements</w:t>
      </w:r>
    </w:p>
    <w:p w14:paraId="3ED9E8D3" w14:textId="3C4CBADF" w:rsidR="001A1BA3" w:rsidRPr="0057415D" w:rsidRDefault="001A1BA3" w:rsidP="00F85C87">
      <w:pPr>
        <w:spacing w:line="480" w:lineRule="auto"/>
        <w:rPr>
          <w:rFonts w:asciiTheme="majorHAnsi" w:hAnsiTheme="majorHAnsi"/>
          <w:sz w:val="22"/>
          <w:szCs w:val="22"/>
        </w:rPr>
      </w:pPr>
      <w:r w:rsidRPr="0057415D">
        <w:rPr>
          <w:rFonts w:asciiTheme="majorHAnsi" w:hAnsiTheme="majorHAnsi"/>
          <w:sz w:val="22"/>
          <w:szCs w:val="22"/>
        </w:rPr>
        <w:t>The authors would like to thank</w:t>
      </w:r>
      <w:r w:rsidR="00E83B73" w:rsidRPr="0057415D">
        <w:rPr>
          <w:rFonts w:asciiTheme="majorHAnsi" w:hAnsiTheme="majorHAnsi"/>
          <w:sz w:val="22"/>
          <w:szCs w:val="22"/>
        </w:rPr>
        <w:t xml:space="preserve"> Dr Daniel Seddon for his help and advice in the early stages of this project. We would also like to thank</w:t>
      </w:r>
      <w:r w:rsidRPr="0057415D">
        <w:rPr>
          <w:rFonts w:asciiTheme="majorHAnsi" w:hAnsiTheme="majorHAnsi"/>
          <w:sz w:val="22"/>
          <w:szCs w:val="22"/>
        </w:rPr>
        <w:t xml:space="preserve"> Dr Mary Ramsay and Dr Michael Edelstein for their </w:t>
      </w:r>
      <w:r w:rsidR="00427AA1" w:rsidRPr="0057415D">
        <w:rPr>
          <w:rFonts w:asciiTheme="majorHAnsi" w:hAnsiTheme="majorHAnsi"/>
          <w:sz w:val="22"/>
          <w:szCs w:val="22"/>
        </w:rPr>
        <w:t>advice regarding</w:t>
      </w:r>
      <w:r w:rsidR="005923C5" w:rsidRPr="0057415D">
        <w:rPr>
          <w:rFonts w:asciiTheme="majorHAnsi" w:hAnsiTheme="majorHAnsi"/>
          <w:sz w:val="22"/>
          <w:szCs w:val="22"/>
        </w:rPr>
        <w:t xml:space="preserve"> the use of </w:t>
      </w:r>
      <w:proofErr w:type="spellStart"/>
      <w:r w:rsidR="005923C5" w:rsidRPr="0057415D">
        <w:rPr>
          <w:rFonts w:asciiTheme="majorHAnsi" w:hAnsiTheme="majorHAnsi"/>
          <w:sz w:val="22"/>
          <w:szCs w:val="22"/>
        </w:rPr>
        <w:t>Immform</w:t>
      </w:r>
      <w:proofErr w:type="spellEnd"/>
      <w:r w:rsidR="005923C5" w:rsidRPr="0057415D">
        <w:rPr>
          <w:rFonts w:asciiTheme="majorHAnsi" w:hAnsiTheme="majorHAnsi"/>
          <w:sz w:val="22"/>
          <w:szCs w:val="22"/>
        </w:rPr>
        <w:t xml:space="preserve"> data</w:t>
      </w:r>
      <w:r w:rsidRPr="0057415D">
        <w:rPr>
          <w:rFonts w:asciiTheme="majorHAnsi" w:hAnsiTheme="majorHAnsi"/>
          <w:sz w:val="22"/>
          <w:szCs w:val="22"/>
        </w:rPr>
        <w:t>.</w:t>
      </w:r>
    </w:p>
    <w:p w14:paraId="401D841B" w14:textId="77777777" w:rsidR="00994262" w:rsidRPr="0057415D" w:rsidRDefault="00994262" w:rsidP="00F85C87">
      <w:pPr>
        <w:spacing w:line="480" w:lineRule="auto"/>
        <w:rPr>
          <w:rFonts w:asciiTheme="majorHAnsi" w:hAnsiTheme="majorHAnsi"/>
          <w:sz w:val="22"/>
          <w:szCs w:val="22"/>
        </w:rPr>
      </w:pPr>
    </w:p>
    <w:p w14:paraId="61C71E87" w14:textId="2EEB0FDD" w:rsidR="00560864" w:rsidRPr="0057415D" w:rsidRDefault="00560864" w:rsidP="00F85C87">
      <w:pPr>
        <w:spacing w:line="480" w:lineRule="auto"/>
        <w:rPr>
          <w:rFonts w:asciiTheme="majorHAnsi" w:hAnsiTheme="majorHAnsi"/>
          <w:b/>
          <w:sz w:val="22"/>
          <w:szCs w:val="22"/>
        </w:rPr>
      </w:pPr>
      <w:r w:rsidRPr="0057415D">
        <w:rPr>
          <w:rFonts w:asciiTheme="majorHAnsi" w:hAnsiTheme="majorHAnsi"/>
          <w:b/>
          <w:sz w:val="22"/>
          <w:szCs w:val="22"/>
        </w:rPr>
        <w:t>References</w:t>
      </w:r>
    </w:p>
    <w:p w14:paraId="7C41A806"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Public Health England. </w:t>
      </w:r>
      <w:r w:rsidRPr="0057415D">
        <w:rPr>
          <w:rFonts w:asciiTheme="majorHAnsi" w:hAnsiTheme="majorHAnsi"/>
          <w:bCs/>
          <w:i/>
          <w:sz w:val="22"/>
          <w:szCs w:val="22"/>
        </w:rPr>
        <w:t>Continuing increase in meningococcal group W (</w:t>
      </w:r>
      <w:proofErr w:type="spellStart"/>
      <w:r w:rsidRPr="0057415D">
        <w:rPr>
          <w:rFonts w:asciiTheme="majorHAnsi" w:hAnsiTheme="majorHAnsi"/>
          <w:bCs/>
          <w:i/>
          <w:sz w:val="22"/>
          <w:szCs w:val="22"/>
        </w:rPr>
        <w:t>MenW</w:t>
      </w:r>
      <w:proofErr w:type="spellEnd"/>
      <w:r w:rsidRPr="0057415D">
        <w:rPr>
          <w:rFonts w:asciiTheme="majorHAnsi" w:hAnsiTheme="majorHAnsi"/>
          <w:bCs/>
          <w:i/>
          <w:sz w:val="22"/>
          <w:szCs w:val="22"/>
        </w:rPr>
        <w:t>) disease in England.</w:t>
      </w:r>
      <w:r w:rsidRPr="0057415D">
        <w:rPr>
          <w:rFonts w:asciiTheme="majorHAnsi" w:hAnsiTheme="majorHAnsi"/>
          <w:b/>
          <w:bCs/>
          <w:sz w:val="22"/>
          <w:szCs w:val="22"/>
        </w:rPr>
        <w:t> </w:t>
      </w:r>
      <w:r w:rsidRPr="0057415D">
        <w:rPr>
          <w:rFonts w:asciiTheme="majorHAnsi" w:hAnsiTheme="majorHAnsi"/>
          <w:sz w:val="22"/>
          <w:szCs w:val="22"/>
        </w:rPr>
        <w:t>Health Protection Report 2015. 27 February 2015. Available at: https://www.gov.uk/government/uploads/system/uploads/attachment_data/file/407865/hpr0715_men-w.pdf. (Accessed 12 June 2017).</w:t>
      </w:r>
    </w:p>
    <w:p w14:paraId="7DD7E589"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Joint Committee on Vaccination and Immunisation. </w:t>
      </w:r>
      <w:r w:rsidRPr="0057415D">
        <w:rPr>
          <w:rFonts w:asciiTheme="majorHAnsi" w:hAnsiTheme="majorHAnsi"/>
          <w:i/>
          <w:sz w:val="22"/>
          <w:szCs w:val="22"/>
        </w:rPr>
        <w:t xml:space="preserve">Minute of the meeting on 4 February 2015. </w:t>
      </w:r>
      <w:r w:rsidRPr="0057415D">
        <w:rPr>
          <w:rFonts w:asciiTheme="majorHAnsi" w:hAnsiTheme="majorHAnsi"/>
          <w:sz w:val="22"/>
          <w:szCs w:val="22"/>
        </w:rPr>
        <w:t xml:space="preserve">13 March 2015. Available at: </w:t>
      </w:r>
      <w:r w:rsidR="00994262" w:rsidRPr="0057415D">
        <w:lastRenderedPageBreak/>
        <w:fldChar w:fldCharType="begin"/>
      </w:r>
      <w:r w:rsidR="00994262" w:rsidRPr="0057415D">
        <w:instrText xml:space="preserve"> HYPERLINK "https://app.box.com/s/iddfb4ppwkmtjusir2tc/1/2199012147/27417264008/1?&amp;_suid=142919726006507841764942240252" \t "_blank" </w:instrText>
      </w:r>
      <w:r w:rsidR="00994262" w:rsidRPr="0057415D">
        <w:fldChar w:fldCharType="separate"/>
      </w:r>
      <w:r w:rsidRPr="0057415D">
        <w:rPr>
          <w:rStyle w:val="Hyperlink"/>
          <w:rFonts w:asciiTheme="majorHAnsi" w:hAnsiTheme="majorHAnsi"/>
          <w:sz w:val="22"/>
          <w:szCs w:val="22"/>
        </w:rPr>
        <w:t>https://app.box.com/s/iddfb4ppwkmtjusir2tc/1/2199012147/27417264008/1?&amp;_suid=142919726006507841764942240252</w:t>
      </w:r>
      <w:r w:rsidR="00994262" w:rsidRPr="0057415D">
        <w:rPr>
          <w:rStyle w:val="Hyperlink"/>
          <w:rFonts w:asciiTheme="majorHAnsi" w:hAnsiTheme="majorHAnsi"/>
          <w:sz w:val="22"/>
          <w:szCs w:val="22"/>
        </w:rPr>
        <w:fldChar w:fldCharType="end"/>
      </w:r>
      <w:r w:rsidRPr="0057415D">
        <w:rPr>
          <w:rFonts w:asciiTheme="majorHAnsi" w:hAnsiTheme="majorHAnsi"/>
          <w:sz w:val="22"/>
          <w:szCs w:val="22"/>
        </w:rPr>
        <w:t>. (Accessed 20 June 2017).</w:t>
      </w:r>
    </w:p>
    <w:p w14:paraId="5E8DC69B"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Public Health England. </w:t>
      </w:r>
      <w:r w:rsidRPr="0057415D">
        <w:rPr>
          <w:rFonts w:asciiTheme="majorHAnsi" w:hAnsiTheme="majorHAnsi"/>
          <w:bCs/>
          <w:i/>
          <w:sz w:val="22"/>
          <w:szCs w:val="22"/>
        </w:rPr>
        <w:t>Meningococcal ACWY conjugate vaccination (MenACWY). </w:t>
      </w:r>
      <w:r w:rsidRPr="0057415D">
        <w:rPr>
          <w:rFonts w:asciiTheme="majorHAnsi" w:hAnsiTheme="majorHAnsi"/>
          <w:i/>
          <w:sz w:val="22"/>
          <w:szCs w:val="22"/>
        </w:rPr>
        <w:t xml:space="preserve"> Public Health England Letter to General Practitioners and CCGs 2015.</w:t>
      </w:r>
      <w:r w:rsidRPr="0057415D">
        <w:rPr>
          <w:rFonts w:asciiTheme="majorHAnsi" w:hAnsiTheme="majorHAnsi"/>
          <w:sz w:val="22"/>
          <w:szCs w:val="22"/>
        </w:rPr>
        <w:t xml:space="preserve"> 22nd June 2015. Available at: https://www.gov.uk/government/uploads/system/uploads/attachment_data/file/437901/150622_ACWY_bipartite_letter.pdf. (Accessed 12 June 2017).</w:t>
      </w:r>
    </w:p>
    <w:p w14:paraId="000922AC"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NHS England. </w:t>
      </w:r>
      <w:r w:rsidRPr="0057415D">
        <w:rPr>
          <w:rFonts w:asciiTheme="majorHAnsi" w:hAnsiTheme="majorHAnsi"/>
          <w:i/>
          <w:sz w:val="22"/>
          <w:szCs w:val="22"/>
        </w:rPr>
        <w:t xml:space="preserve">Enhanced services specification: Meningococcal </w:t>
      </w:r>
      <w:proofErr w:type="spellStart"/>
      <w:r w:rsidRPr="0057415D">
        <w:rPr>
          <w:rFonts w:asciiTheme="majorHAnsi" w:hAnsiTheme="majorHAnsi"/>
          <w:i/>
          <w:sz w:val="22"/>
          <w:szCs w:val="22"/>
        </w:rPr>
        <w:t>freshers</w:t>
      </w:r>
      <w:proofErr w:type="spellEnd"/>
      <w:r w:rsidRPr="0057415D">
        <w:rPr>
          <w:rFonts w:asciiTheme="majorHAnsi" w:hAnsiTheme="majorHAnsi"/>
          <w:i/>
          <w:sz w:val="22"/>
          <w:szCs w:val="22"/>
        </w:rPr>
        <w:t xml:space="preserve"> vaccination programme 2016/17</w:t>
      </w:r>
      <w:r w:rsidRPr="0057415D">
        <w:rPr>
          <w:rFonts w:asciiTheme="majorHAnsi" w:hAnsiTheme="majorHAnsi"/>
          <w:sz w:val="22"/>
          <w:szCs w:val="22"/>
        </w:rPr>
        <w:t xml:space="preserve">. March 2016. Available at: </w:t>
      </w:r>
      <w:r w:rsidR="00994262" w:rsidRPr="0057415D">
        <w:fldChar w:fldCharType="begin"/>
      </w:r>
      <w:r w:rsidR="00994262" w:rsidRPr="0057415D">
        <w:instrText xml:space="preserve"> HYPERLINK "https://www.england.nhs.uk/commissioning/wp-content/uploads/sites/12/2016/04/Menfreshers-2016-17.pdf" \t "_blank" </w:instrText>
      </w:r>
      <w:r w:rsidR="00994262" w:rsidRPr="0057415D">
        <w:fldChar w:fldCharType="separate"/>
      </w:r>
      <w:r w:rsidRPr="0057415D">
        <w:rPr>
          <w:rStyle w:val="Hyperlink"/>
          <w:rFonts w:asciiTheme="majorHAnsi" w:hAnsiTheme="majorHAnsi"/>
          <w:sz w:val="22"/>
          <w:szCs w:val="22"/>
        </w:rPr>
        <w:t>https://www.england.nhs.uk/commissioning/wp-content/uploads/sites/12/2016/04/Menfreshers-2016-17.pdf</w:t>
      </w:r>
      <w:r w:rsidR="00994262" w:rsidRPr="0057415D">
        <w:rPr>
          <w:rStyle w:val="Hyperlink"/>
          <w:rFonts w:asciiTheme="majorHAnsi" w:hAnsiTheme="majorHAnsi"/>
          <w:sz w:val="22"/>
          <w:szCs w:val="22"/>
        </w:rPr>
        <w:fldChar w:fldCharType="end"/>
      </w:r>
      <w:r w:rsidRPr="0057415D">
        <w:rPr>
          <w:rFonts w:asciiTheme="majorHAnsi" w:hAnsiTheme="majorHAnsi"/>
          <w:sz w:val="22"/>
          <w:szCs w:val="22"/>
        </w:rPr>
        <w:t>. (Accessed June 20 2017).</w:t>
      </w:r>
    </w:p>
    <w:p w14:paraId="7983C559"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Department of Health. </w:t>
      </w:r>
      <w:r w:rsidRPr="0057415D">
        <w:rPr>
          <w:rFonts w:asciiTheme="majorHAnsi" w:hAnsiTheme="majorHAnsi"/>
          <w:i/>
          <w:sz w:val="22"/>
          <w:szCs w:val="22"/>
        </w:rPr>
        <w:t>The Green Book. Chapter 22: Meningococcal</w:t>
      </w:r>
      <w:r w:rsidRPr="0057415D">
        <w:rPr>
          <w:rFonts w:asciiTheme="majorHAnsi" w:hAnsiTheme="majorHAnsi"/>
          <w:sz w:val="22"/>
          <w:szCs w:val="22"/>
        </w:rPr>
        <w:t xml:space="preserve">. September 2015. Available at: </w:t>
      </w:r>
      <w:r w:rsidR="00994262" w:rsidRPr="0057415D">
        <w:fldChar w:fldCharType="begin"/>
      </w:r>
      <w:r w:rsidR="00994262" w:rsidRPr="0057415D">
        <w:instrText xml:space="preserve"> HYPERLINK "https://www.gov.uk/government/uploads/system/uploads/attachment_data/file/462629/2904512_Green_Book_Chapter_22_v6_0W.PDF" \t "_blank" </w:instrText>
      </w:r>
      <w:r w:rsidR="00994262" w:rsidRPr="0057415D">
        <w:fldChar w:fldCharType="separate"/>
      </w:r>
      <w:r w:rsidRPr="0057415D">
        <w:rPr>
          <w:rStyle w:val="Hyperlink"/>
          <w:rFonts w:asciiTheme="majorHAnsi" w:hAnsiTheme="majorHAnsi"/>
          <w:sz w:val="22"/>
          <w:szCs w:val="22"/>
        </w:rPr>
        <w:t>https://www.gov.uk/government/uploads/system/uploads/attachment_data/file/462629/2904512_Green_Book_Chapter_22_v6_0W.PDF</w:t>
      </w:r>
      <w:r w:rsidR="00994262" w:rsidRPr="0057415D">
        <w:rPr>
          <w:rStyle w:val="Hyperlink"/>
          <w:rFonts w:asciiTheme="majorHAnsi" w:hAnsiTheme="majorHAnsi"/>
          <w:sz w:val="22"/>
          <w:szCs w:val="22"/>
        </w:rPr>
        <w:fldChar w:fldCharType="end"/>
      </w:r>
      <w:r w:rsidRPr="0057415D">
        <w:rPr>
          <w:rFonts w:asciiTheme="majorHAnsi" w:hAnsiTheme="majorHAnsi"/>
          <w:sz w:val="22"/>
          <w:szCs w:val="22"/>
        </w:rPr>
        <w:t>. (Accessed 20 June 2016).</w:t>
      </w:r>
    </w:p>
    <w:p w14:paraId="4F36CF42"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 Public Health England. </w:t>
      </w:r>
      <w:r w:rsidRPr="0057415D">
        <w:rPr>
          <w:rFonts w:asciiTheme="majorHAnsi" w:hAnsiTheme="majorHAnsi"/>
          <w:bCs/>
          <w:i/>
          <w:sz w:val="22"/>
          <w:szCs w:val="22"/>
        </w:rPr>
        <w:t>Vaccine coverage estimate for the GP based catch-up meningococcal ACWY (MenACWY) immunisation programme for school leavers (becoming 18 before 31 August 2016) in England, cumulative data to the end of October 2016.</w:t>
      </w:r>
      <w:r w:rsidRPr="0057415D">
        <w:rPr>
          <w:rFonts w:asciiTheme="majorHAnsi" w:hAnsiTheme="majorHAnsi"/>
          <w:b/>
          <w:bCs/>
          <w:sz w:val="22"/>
          <w:szCs w:val="22"/>
        </w:rPr>
        <w:t xml:space="preserve">  </w:t>
      </w:r>
      <w:r w:rsidRPr="0057415D">
        <w:rPr>
          <w:rFonts w:asciiTheme="majorHAnsi" w:hAnsiTheme="majorHAnsi"/>
          <w:sz w:val="22"/>
          <w:szCs w:val="22"/>
        </w:rPr>
        <w:t xml:space="preserve">25 November 2016. Available at: </w:t>
      </w:r>
      <w:r w:rsidR="00994262" w:rsidRPr="0057415D">
        <w:fldChar w:fldCharType="begin"/>
      </w:r>
      <w:r w:rsidR="00994262" w:rsidRPr="0057415D">
        <w:instrText xml:space="preserve"> HYPERLINK "https://www.gov.uk/government/uploads/system/uploads/attachment_data/file/572732/hpr4116_menACWY-VC.pdf" \t "_blank" </w:instrText>
      </w:r>
      <w:r w:rsidR="00994262" w:rsidRPr="0057415D">
        <w:fldChar w:fldCharType="separate"/>
      </w:r>
      <w:r w:rsidRPr="0057415D">
        <w:rPr>
          <w:rStyle w:val="Hyperlink"/>
          <w:rFonts w:asciiTheme="majorHAnsi" w:hAnsiTheme="majorHAnsi"/>
          <w:sz w:val="22"/>
          <w:szCs w:val="22"/>
        </w:rPr>
        <w:t>https://www.gov.uk/government/uploads/system/uploads/attachment_data/file/572732/hpr4116_menACWY-VC.pdf</w:t>
      </w:r>
      <w:r w:rsidR="00994262" w:rsidRPr="0057415D">
        <w:rPr>
          <w:rStyle w:val="Hyperlink"/>
          <w:rFonts w:asciiTheme="majorHAnsi" w:hAnsiTheme="majorHAnsi"/>
          <w:sz w:val="22"/>
          <w:szCs w:val="22"/>
        </w:rPr>
        <w:fldChar w:fldCharType="end"/>
      </w:r>
      <w:r w:rsidRPr="0057415D">
        <w:rPr>
          <w:rFonts w:asciiTheme="majorHAnsi" w:hAnsiTheme="majorHAnsi"/>
          <w:sz w:val="22"/>
          <w:szCs w:val="22"/>
        </w:rPr>
        <w:t>. (Accessed 28 June 2017).</w:t>
      </w:r>
    </w:p>
    <w:p w14:paraId="04B9FC0F"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Public Health England. Health Protection Report. </w:t>
      </w:r>
      <w:r w:rsidRPr="0057415D">
        <w:rPr>
          <w:rFonts w:asciiTheme="majorHAnsi" w:hAnsiTheme="majorHAnsi"/>
          <w:bCs/>
          <w:i/>
          <w:sz w:val="22"/>
          <w:szCs w:val="22"/>
        </w:rPr>
        <w:t xml:space="preserve">Preliminary vaccine coverage for the school based meningococcal ACWY (MenACWY) adolescent vaccination programme in England, 1 September 2015 to 31 August 2016. </w:t>
      </w:r>
      <w:r w:rsidRPr="0057415D">
        <w:rPr>
          <w:rFonts w:asciiTheme="majorHAnsi" w:hAnsiTheme="majorHAnsi"/>
          <w:sz w:val="22"/>
          <w:szCs w:val="22"/>
        </w:rPr>
        <w:t xml:space="preserve">16 December 2016. Available at: </w:t>
      </w:r>
      <w:r w:rsidR="00994262" w:rsidRPr="0057415D">
        <w:fldChar w:fldCharType="begin"/>
      </w:r>
      <w:r w:rsidR="00994262" w:rsidRPr="0057415D">
        <w:instrText xml:space="preserve"> HYPERLINK "https://www.gov.uk/government/uploads/system/uploads/attachment_data/file/578772/hpr4416_menacwy-vc.pdf" \t "_blank" </w:instrText>
      </w:r>
      <w:r w:rsidR="00994262" w:rsidRPr="0057415D">
        <w:fldChar w:fldCharType="separate"/>
      </w:r>
      <w:r w:rsidRPr="0057415D">
        <w:rPr>
          <w:rStyle w:val="Hyperlink"/>
          <w:rFonts w:asciiTheme="majorHAnsi" w:hAnsiTheme="majorHAnsi"/>
          <w:sz w:val="22"/>
          <w:szCs w:val="22"/>
        </w:rPr>
        <w:t>https://www.gov.uk/government/uploads/system/uploads/attachment_data/file/578772/hpr4416_menacwy-vc.pdf</w:t>
      </w:r>
      <w:r w:rsidR="00994262" w:rsidRPr="0057415D">
        <w:rPr>
          <w:rStyle w:val="Hyperlink"/>
          <w:rFonts w:asciiTheme="majorHAnsi" w:hAnsiTheme="majorHAnsi"/>
          <w:sz w:val="22"/>
          <w:szCs w:val="22"/>
        </w:rPr>
        <w:fldChar w:fldCharType="end"/>
      </w:r>
      <w:r w:rsidRPr="0057415D">
        <w:rPr>
          <w:rFonts w:asciiTheme="majorHAnsi" w:hAnsiTheme="majorHAnsi"/>
          <w:sz w:val="22"/>
          <w:szCs w:val="22"/>
        </w:rPr>
        <w:t>. (Accessed 28 June 2017).</w:t>
      </w:r>
    </w:p>
    <w:p w14:paraId="6E078032"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Public Health England. </w:t>
      </w:r>
      <w:r w:rsidRPr="0057415D">
        <w:rPr>
          <w:rFonts w:asciiTheme="majorHAnsi" w:hAnsiTheme="majorHAnsi"/>
          <w:bCs/>
          <w:i/>
          <w:sz w:val="22"/>
          <w:szCs w:val="22"/>
        </w:rPr>
        <w:t xml:space="preserve">Human Papillomavirus (HPV) Vaccine Coverage in England, 2008/09 to 2013/14. </w:t>
      </w:r>
      <w:r w:rsidRPr="0057415D">
        <w:rPr>
          <w:rFonts w:asciiTheme="majorHAnsi" w:hAnsiTheme="majorHAnsi"/>
          <w:i/>
          <w:sz w:val="22"/>
          <w:szCs w:val="22"/>
        </w:rPr>
        <w:t>A review of the full six years of the three-dose schedule.</w:t>
      </w:r>
      <w:r w:rsidRPr="0057415D">
        <w:rPr>
          <w:rFonts w:asciiTheme="majorHAnsi" w:hAnsiTheme="majorHAnsi"/>
          <w:sz w:val="22"/>
          <w:szCs w:val="22"/>
        </w:rPr>
        <w:t xml:space="preserve"> March 2015. Available at: </w:t>
      </w:r>
      <w:r w:rsidR="00994262" w:rsidRPr="0057415D">
        <w:fldChar w:fldCharType="begin"/>
      </w:r>
      <w:r w:rsidR="00994262" w:rsidRPr="0057415D">
        <w:instrText xml:space="preserve"> HYPERLINK "https://www.gov.uk/government/uploads/system/uploads/attachment_data/file/412264/HPV_Vaccine_Coverage_in_England_200809_to_201314.pdf" \t "_blank" </w:instrText>
      </w:r>
      <w:r w:rsidR="00994262" w:rsidRPr="0057415D">
        <w:fldChar w:fldCharType="separate"/>
      </w:r>
      <w:r w:rsidRPr="0057415D">
        <w:rPr>
          <w:rStyle w:val="Hyperlink"/>
          <w:rFonts w:asciiTheme="majorHAnsi" w:hAnsiTheme="majorHAnsi"/>
          <w:sz w:val="22"/>
          <w:szCs w:val="22"/>
        </w:rPr>
        <w:t>https://www.gov.uk/government/uploads/system/uploads/attachment_data/file/412264/HPV_Vaccine_Coverage_in_England_200809_to_201314.pdf</w:t>
      </w:r>
      <w:r w:rsidR="00994262" w:rsidRPr="0057415D">
        <w:rPr>
          <w:rStyle w:val="Hyperlink"/>
          <w:rFonts w:asciiTheme="majorHAnsi" w:hAnsiTheme="majorHAnsi"/>
          <w:sz w:val="22"/>
          <w:szCs w:val="22"/>
        </w:rPr>
        <w:fldChar w:fldCharType="end"/>
      </w:r>
      <w:r w:rsidRPr="0057415D">
        <w:rPr>
          <w:rFonts w:asciiTheme="majorHAnsi" w:hAnsiTheme="majorHAnsi"/>
          <w:sz w:val="22"/>
          <w:szCs w:val="22"/>
        </w:rPr>
        <w:t>. (Accessed 19 July 2016).</w:t>
      </w:r>
    </w:p>
    <w:p w14:paraId="30CDF992"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proofErr w:type="spellStart"/>
      <w:r w:rsidRPr="0057415D">
        <w:rPr>
          <w:rFonts w:asciiTheme="majorHAnsi" w:hAnsiTheme="majorHAnsi"/>
          <w:sz w:val="22"/>
          <w:szCs w:val="22"/>
        </w:rPr>
        <w:lastRenderedPageBreak/>
        <w:t>Vandermeulen</w:t>
      </w:r>
      <w:proofErr w:type="spellEnd"/>
      <w:r w:rsidRPr="0057415D">
        <w:rPr>
          <w:rFonts w:asciiTheme="majorHAnsi" w:hAnsiTheme="majorHAnsi"/>
          <w:sz w:val="22"/>
          <w:szCs w:val="22"/>
        </w:rPr>
        <w:t xml:space="preserve"> C, </w:t>
      </w:r>
      <w:proofErr w:type="spellStart"/>
      <w:r w:rsidRPr="0057415D">
        <w:rPr>
          <w:rFonts w:asciiTheme="majorHAnsi" w:hAnsiTheme="majorHAnsi"/>
          <w:sz w:val="22"/>
          <w:szCs w:val="22"/>
        </w:rPr>
        <w:t>Roelants</w:t>
      </w:r>
      <w:proofErr w:type="spellEnd"/>
      <w:r w:rsidRPr="0057415D">
        <w:rPr>
          <w:rFonts w:asciiTheme="majorHAnsi" w:hAnsiTheme="majorHAnsi"/>
          <w:sz w:val="22"/>
          <w:szCs w:val="22"/>
        </w:rPr>
        <w:t xml:space="preserve"> M, </w:t>
      </w:r>
      <w:proofErr w:type="spellStart"/>
      <w:r w:rsidRPr="0057415D">
        <w:rPr>
          <w:rFonts w:asciiTheme="majorHAnsi" w:hAnsiTheme="majorHAnsi"/>
          <w:sz w:val="22"/>
          <w:szCs w:val="22"/>
        </w:rPr>
        <w:t>Theeten</w:t>
      </w:r>
      <w:proofErr w:type="spellEnd"/>
      <w:r w:rsidRPr="0057415D">
        <w:rPr>
          <w:rFonts w:asciiTheme="majorHAnsi" w:hAnsiTheme="majorHAnsi"/>
          <w:sz w:val="22"/>
          <w:szCs w:val="22"/>
        </w:rPr>
        <w:t xml:space="preserve"> H, </w:t>
      </w:r>
      <w:proofErr w:type="spellStart"/>
      <w:r w:rsidRPr="0057415D">
        <w:rPr>
          <w:rFonts w:asciiTheme="majorHAnsi" w:hAnsiTheme="majorHAnsi"/>
          <w:sz w:val="22"/>
          <w:szCs w:val="22"/>
        </w:rPr>
        <w:t>Depoorter</w:t>
      </w:r>
      <w:proofErr w:type="spellEnd"/>
      <w:r w:rsidRPr="0057415D">
        <w:rPr>
          <w:rFonts w:asciiTheme="majorHAnsi" w:hAnsiTheme="majorHAnsi"/>
          <w:sz w:val="22"/>
          <w:szCs w:val="22"/>
        </w:rPr>
        <w:t xml:space="preserve"> AM, Van </w:t>
      </w:r>
      <w:proofErr w:type="spellStart"/>
      <w:r w:rsidRPr="0057415D">
        <w:rPr>
          <w:rFonts w:asciiTheme="majorHAnsi" w:hAnsiTheme="majorHAnsi"/>
          <w:sz w:val="22"/>
          <w:szCs w:val="22"/>
        </w:rPr>
        <w:t>Damme</w:t>
      </w:r>
      <w:proofErr w:type="spellEnd"/>
      <w:r w:rsidRPr="0057415D">
        <w:rPr>
          <w:rFonts w:asciiTheme="majorHAnsi" w:hAnsiTheme="majorHAnsi"/>
          <w:sz w:val="22"/>
          <w:szCs w:val="22"/>
        </w:rPr>
        <w:t xml:space="preserve"> P, </w:t>
      </w:r>
      <w:proofErr w:type="spellStart"/>
      <w:r w:rsidRPr="0057415D">
        <w:rPr>
          <w:rFonts w:asciiTheme="majorHAnsi" w:hAnsiTheme="majorHAnsi"/>
          <w:sz w:val="22"/>
          <w:szCs w:val="22"/>
        </w:rPr>
        <w:t>Hoppenbrouwers</w:t>
      </w:r>
      <w:proofErr w:type="spellEnd"/>
      <w:r w:rsidRPr="0057415D">
        <w:rPr>
          <w:rFonts w:asciiTheme="majorHAnsi" w:hAnsiTheme="majorHAnsi"/>
          <w:sz w:val="22"/>
          <w:szCs w:val="22"/>
        </w:rPr>
        <w:t xml:space="preserve"> K. Vaccination coverage in 14-year-old adolescents: documentation, timeliness, and sociodemographic determinants. </w:t>
      </w:r>
      <w:proofErr w:type="spellStart"/>
      <w:r w:rsidRPr="0057415D">
        <w:rPr>
          <w:rFonts w:asciiTheme="majorHAnsi" w:hAnsiTheme="majorHAnsi"/>
          <w:i/>
          <w:sz w:val="22"/>
          <w:szCs w:val="22"/>
        </w:rPr>
        <w:t>Pediatrics</w:t>
      </w:r>
      <w:proofErr w:type="spellEnd"/>
      <w:r w:rsidRPr="0057415D">
        <w:rPr>
          <w:rFonts w:asciiTheme="majorHAnsi" w:hAnsiTheme="majorHAnsi"/>
          <w:i/>
          <w:sz w:val="22"/>
          <w:szCs w:val="22"/>
        </w:rPr>
        <w:t xml:space="preserve"> </w:t>
      </w:r>
      <w:r w:rsidRPr="0057415D">
        <w:rPr>
          <w:rFonts w:asciiTheme="majorHAnsi" w:hAnsiTheme="majorHAnsi"/>
          <w:sz w:val="22"/>
          <w:szCs w:val="22"/>
        </w:rPr>
        <w:t>2008</w:t>
      </w:r>
      <w:proofErr w:type="gramStart"/>
      <w:r w:rsidRPr="0057415D">
        <w:rPr>
          <w:rFonts w:asciiTheme="majorHAnsi" w:hAnsiTheme="majorHAnsi"/>
          <w:sz w:val="22"/>
          <w:szCs w:val="22"/>
        </w:rPr>
        <w:t>;121</w:t>
      </w:r>
      <w:proofErr w:type="gramEnd"/>
      <w:r w:rsidRPr="0057415D">
        <w:rPr>
          <w:rFonts w:asciiTheme="majorHAnsi" w:hAnsiTheme="majorHAnsi"/>
          <w:sz w:val="22"/>
          <w:szCs w:val="22"/>
        </w:rPr>
        <w:t>(3):e428-34.</w:t>
      </w:r>
    </w:p>
    <w:p w14:paraId="68EC362B"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proofErr w:type="spellStart"/>
      <w:r w:rsidRPr="0057415D">
        <w:rPr>
          <w:rFonts w:asciiTheme="majorHAnsi" w:hAnsiTheme="majorHAnsi"/>
          <w:sz w:val="22"/>
          <w:szCs w:val="22"/>
        </w:rPr>
        <w:t>Heininger</w:t>
      </w:r>
      <w:proofErr w:type="spellEnd"/>
      <w:r w:rsidRPr="0057415D">
        <w:rPr>
          <w:rFonts w:asciiTheme="majorHAnsi" w:hAnsiTheme="majorHAnsi"/>
          <w:sz w:val="22"/>
          <w:szCs w:val="22"/>
        </w:rPr>
        <w:t xml:space="preserve"> U, Loos K, Lorenz I, </w:t>
      </w:r>
      <w:proofErr w:type="spellStart"/>
      <w:r w:rsidRPr="0057415D">
        <w:rPr>
          <w:rFonts w:asciiTheme="majorHAnsi" w:hAnsiTheme="majorHAnsi"/>
          <w:sz w:val="22"/>
          <w:szCs w:val="22"/>
        </w:rPr>
        <w:t>Rascher</w:t>
      </w:r>
      <w:proofErr w:type="spellEnd"/>
      <w:r w:rsidRPr="0057415D">
        <w:rPr>
          <w:rFonts w:asciiTheme="majorHAnsi" w:hAnsiTheme="majorHAnsi"/>
          <w:sz w:val="22"/>
          <w:szCs w:val="22"/>
        </w:rPr>
        <w:t xml:space="preserve"> W. Compliance with recommended immunizations in adolescents. </w:t>
      </w:r>
      <w:proofErr w:type="spellStart"/>
      <w:r w:rsidRPr="0057415D">
        <w:rPr>
          <w:rFonts w:asciiTheme="majorHAnsi" w:hAnsiTheme="majorHAnsi"/>
          <w:i/>
          <w:sz w:val="22"/>
          <w:szCs w:val="22"/>
        </w:rPr>
        <w:t>Eur</w:t>
      </w:r>
      <w:proofErr w:type="spellEnd"/>
      <w:r w:rsidRPr="0057415D">
        <w:rPr>
          <w:rFonts w:asciiTheme="majorHAnsi" w:hAnsiTheme="majorHAnsi"/>
          <w:i/>
          <w:sz w:val="22"/>
          <w:szCs w:val="22"/>
        </w:rPr>
        <w:t xml:space="preserve"> J </w:t>
      </w:r>
      <w:proofErr w:type="spellStart"/>
      <w:r w:rsidRPr="0057415D">
        <w:rPr>
          <w:rFonts w:asciiTheme="majorHAnsi" w:hAnsiTheme="majorHAnsi"/>
          <w:i/>
          <w:sz w:val="22"/>
          <w:szCs w:val="22"/>
        </w:rPr>
        <w:t>Pediatr</w:t>
      </w:r>
      <w:proofErr w:type="spellEnd"/>
      <w:r w:rsidRPr="0057415D">
        <w:rPr>
          <w:rFonts w:asciiTheme="majorHAnsi" w:hAnsiTheme="majorHAnsi"/>
          <w:sz w:val="22"/>
          <w:szCs w:val="22"/>
        </w:rPr>
        <w:t xml:space="preserve"> 2006 10</w:t>
      </w:r>
      <w:proofErr w:type="gramStart"/>
      <w:r w:rsidRPr="0057415D">
        <w:rPr>
          <w:rFonts w:asciiTheme="majorHAnsi" w:hAnsiTheme="majorHAnsi"/>
          <w:sz w:val="22"/>
          <w:szCs w:val="22"/>
        </w:rPr>
        <w:t>;165</w:t>
      </w:r>
      <w:proofErr w:type="gramEnd"/>
      <w:r w:rsidRPr="0057415D">
        <w:rPr>
          <w:rFonts w:asciiTheme="majorHAnsi" w:hAnsiTheme="majorHAnsi"/>
          <w:sz w:val="22"/>
          <w:szCs w:val="22"/>
        </w:rPr>
        <w:t>(10):671-676.</w:t>
      </w:r>
    </w:p>
    <w:p w14:paraId="48E7118C"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Immunization Work Group of the National and Global Public Health Committee of the Infectious Diseases Society of America. Executive summary--Actions to strengthen adult and adolescent immunization coverage in the United States: policy principles of the Infectious Diseases Society of America. </w:t>
      </w:r>
      <w:proofErr w:type="spellStart"/>
      <w:r w:rsidRPr="0057415D">
        <w:rPr>
          <w:rFonts w:asciiTheme="majorHAnsi" w:hAnsiTheme="majorHAnsi"/>
          <w:i/>
          <w:sz w:val="22"/>
          <w:szCs w:val="22"/>
        </w:rPr>
        <w:t>Clin</w:t>
      </w:r>
      <w:proofErr w:type="spellEnd"/>
      <w:r w:rsidRPr="0057415D">
        <w:rPr>
          <w:rFonts w:asciiTheme="majorHAnsi" w:hAnsiTheme="majorHAnsi"/>
          <w:i/>
          <w:sz w:val="22"/>
          <w:szCs w:val="22"/>
        </w:rPr>
        <w:t xml:space="preserve"> Infect Dis </w:t>
      </w:r>
      <w:r w:rsidRPr="0057415D">
        <w:rPr>
          <w:rFonts w:asciiTheme="majorHAnsi" w:hAnsiTheme="majorHAnsi"/>
          <w:sz w:val="22"/>
          <w:szCs w:val="22"/>
        </w:rPr>
        <w:t>2007</w:t>
      </w:r>
      <w:proofErr w:type="gramStart"/>
      <w:r w:rsidRPr="0057415D">
        <w:rPr>
          <w:rFonts w:asciiTheme="majorHAnsi" w:hAnsiTheme="majorHAnsi"/>
          <w:sz w:val="22"/>
          <w:szCs w:val="22"/>
        </w:rPr>
        <w:t>;44</w:t>
      </w:r>
      <w:proofErr w:type="gramEnd"/>
      <w:r w:rsidRPr="0057415D">
        <w:rPr>
          <w:rFonts w:asciiTheme="majorHAnsi" w:hAnsiTheme="majorHAnsi"/>
          <w:sz w:val="22"/>
          <w:szCs w:val="22"/>
        </w:rPr>
        <w:t>(12):1529-1531.</w:t>
      </w:r>
    </w:p>
    <w:p w14:paraId="63990059"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Brewer NT, Chapman GB, Gibbons FX, Gerrard M, </w:t>
      </w:r>
      <w:proofErr w:type="spellStart"/>
      <w:r w:rsidRPr="0057415D">
        <w:rPr>
          <w:rFonts w:asciiTheme="majorHAnsi" w:hAnsiTheme="majorHAnsi"/>
          <w:sz w:val="22"/>
          <w:szCs w:val="22"/>
        </w:rPr>
        <w:t>McCaul</w:t>
      </w:r>
      <w:proofErr w:type="spellEnd"/>
      <w:r w:rsidRPr="0057415D">
        <w:rPr>
          <w:rFonts w:asciiTheme="majorHAnsi" w:hAnsiTheme="majorHAnsi"/>
          <w:sz w:val="22"/>
          <w:szCs w:val="22"/>
        </w:rPr>
        <w:t xml:space="preserve"> KD, Weinstein ND. Meta-analysis of the relationship between risk perception and health </w:t>
      </w:r>
      <w:proofErr w:type="spellStart"/>
      <w:r w:rsidRPr="0057415D">
        <w:rPr>
          <w:rFonts w:asciiTheme="majorHAnsi" w:hAnsiTheme="majorHAnsi"/>
          <w:sz w:val="22"/>
          <w:szCs w:val="22"/>
        </w:rPr>
        <w:t>behavior</w:t>
      </w:r>
      <w:proofErr w:type="spellEnd"/>
      <w:r w:rsidRPr="0057415D">
        <w:rPr>
          <w:rFonts w:asciiTheme="majorHAnsi" w:hAnsiTheme="majorHAnsi"/>
          <w:sz w:val="22"/>
          <w:szCs w:val="22"/>
        </w:rPr>
        <w:t xml:space="preserve">: the example of vaccination. </w:t>
      </w:r>
      <w:r w:rsidRPr="0057415D">
        <w:rPr>
          <w:rFonts w:asciiTheme="majorHAnsi" w:hAnsiTheme="majorHAnsi"/>
          <w:i/>
          <w:sz w:val="22"/>
          <w:szCs w:val="22"/>
        </w:rPr>
        <w:t xml:space="preserve">Health </w:t>
      </w:r>
      <w:proofErr w:type="spellStart"/>
      <w:r w:rsidRPr="0057415D">
        <w:rPr>
          <w:rFonts w:asciiTheme="majorHAnsi" w:hAnsiTheme="majorHAnsi"/>
          <w:i/>
          <w:sz w:val="22"/>
          <w:szCs w:val="22"/>
        </w:rPr>
        <w:t>Psychol</w:t>
      </w:r>
      <w:proofErr w:type="spellEnd"/>
      <w:r w:rsidRPr="0057415D">
        <w:rPr>
          <w:rFonts w:asciiTheme="majorHAnsi" w:hAnsiTheme="majorHAnsi"/>
          <w:sz w:val="22"/>
          <w:szCs w:val="22"/>
        </w:rPr>
        <w:t xml:space="preserve"> 2007</w:t>
      </w:r>
      <w:proofErr w:type="gramStart"/>
      <w:r w:rsidRPr="0057415D">
        <w:rPr>
          <w:rFonts w:asciiTheme="majorHAnsi" w:hAnsiTheme="majorHAnsi"/>
          <w:sz w:val="22"/>
          <w:szCs w:val="22"/>
        </w:rPr>
        <w:t>;26</w:t>
      </w:r>
      <w:proofErr w:type="gramEnd"/>
      <w:r w:rsidRPr="0057415D">
        <w:rPr>
          <w:rFonts w:asciiTheme="majorHAnsi" w:hAnsiTheme="majorHAnsi"/>
          <w:sz w:val="22"/>
          <w:szCs w:val="22"/>
        </w:rPr>
        <w:t>(2):136-145.</w:t>
      </w:r>
    </w:p>
    <w:p w14:paraId="7FAF4406"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Campbell H, Edelstein M, Andrews R, Borrow R, Ramsay M, </w:t>
      </w:r>
      <w:proofErr w:type="spellStart"/>
      <w:r w:rsidRPr="0057415D">
        <w:rPr>
          <w:rFonts w:asciiTheme="majorHAnsi" w:hAnsiTheme="majorHAnsi"/>
          <w:sz w:val="22"/>
          <w:szCs w:val="22"/>
        </w:rPr>
        <w:t>Ladhani</w:t>
      </w:r>
      <w:proofErr w:type="spellEnd"/>
      <w:r w:rsidRPr="0057415D">
        <w:rPr>
          <w:rFonts w:asciiTheme="majorHAnsi" w:hAnsiTheme="majorHAnsi"/>
          <w:sz w:val="22"/>
          <w:szCs w:val="22"/>
        </w:rPr>
        <w:t xml:space="preserve"> S. Emergency Meningococcal ACWY Vaccination Program for Teenagers to Control Group W Meningococcal Disease, England, 2015–2016. </w:t>
      </w:r>
      <w:proofErr w:type="spellStart"/>
      <w:r w:rsidRPr="0057415D">
        <w:rPr>
          <w:rFonts w:asciiTheme="majorHAnsi" w:hAnsiTheme="majorHAnsi"/>
          <w:i/>
          <w:sz w:val="22"/>
          <w:szCs w:val="22"/>
        </w:rPr>
        <w:t>Emerg</w:t>
      </w:r>
      <w:proofErr w:type="spellEnd"/>
      <w:r w:rsidRPr="0057415D">
        <w:rPr>
          <w:rFonts w:asciiTheme="majorHAnsi" w:hAnsiTheme="majorHAnsi"/>
          <w:i/>
          <w:sz w:val="22"/>
          <w:szCs w:val="22"/>
        </w:rPr>
        <w:t xml:space="preserve"> Infect Dis</w:t>
      </w:r>
      <w:r w:rsidRPr="0057415D">
        <w:rPr>
          <w:rFonts w:asciiTheme="majorHAnsi" w:hAnsiTheme="majorHAnsi"/>
          <w:sz w:val="22"/>
          <w:szCs w:val="22"/>
        </w:rPr>
        <w:t xml:space="preserve"> 2017</w:t>
      </w:r>
      <w:proofErr w:type="gramStart"/>
      <w:r w:rsidRPr="0057415D">
        <w:rPr>
          <w:rFonts w:asciiTheme="majorHAnsi" w:hAnsiTheme="majorHAnsi"/>
          <w:sz w:val="22"/>
          <w:szCs w:val="22"/>
        </w:rPr>
        <w:t>;23</w:t>
      </w:r>
      <w:proofErr w:type="gramEnd"/>
      <w:r w:rsidRPr="0057415D">
        <w:rPr>
          <w:rFonts w:asciiTheme="majorHAnsi" w:hAnsiTheme="majorHAnsi"/>
          <w:sz w:val="22"/>
          <w:szCs w:val="22"/>
        </w:rPr>
        <w:t>(7):1184-1187.</w:t>
      </w:r>
    </w:p>
    <w:p w14:paraId="01D19764"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NHS England, Public Health England North Yorkshire and Humber. </w:t>
      </w:r>
      <w:r w:rsidRPr="0057415D">
        <w:rPr>
          <w:rFonts w:asciiTheme="majorHAnsi" w:hAnsiTheme="majorHAnsi"/>
          <w:i/>
          <w:sz w:val="22"/>
          <w:szCs w:val="22"/>
        </w:rPr>
        <w:t>Immunisation Update Training. October 2016</w:t>
      </w:r>
      <w:r w:rsidRPr="0057415D">
        <w:rPr>
          <w:rFonts w:asciiTheme="majorHAnsi" w:hAnsiTheme="majorHAnsi"/>
          <w:sz w:val="22"/>
          <w:szCs w:val="22"/>
        </w:rPr>
        <w:t xml:space="preserve">. Available at: </w:t>
      </w:r>
      <w:r w:rsidR="00994262" w:rsidRPr="0057415D">
        <w:fldChar w:fldCharType="begin"/>
      </w:r>
      <w:r w:rsidR="00994262" w:rsidRPr="0057415D">
        <w:instrText xml:space="preserve"> HYPERLINK "https://www.google.co.uk/url?sa=t&amp;rct=j&amp;q=&amp;esrc=s&amp;source=web&amp;cd=1&amp;cad=rja&amp;uact=8&amp;ved=0ahUKEwiC7Kz8geHUAhVIZlAKHQH-DIwQFggiMAA&amp;url=http%3A%2F%2Fwww2.hull.ac.uk%2Ffhsc%2Fdocs%2FImms%2520Training%252014%2520October%25202016.pptx&amp;usg=AFQjCNFOXNYpMlgjk-Mrl_hIKGEY77KBJw" \t "_blank" </w:instrText>
      </w:r>
      <w:r w:rsidR="00994262" w:rsidRPr="0057415D">
        <w:fldChar w:fldCharType="separate"/>
      </w:r>
      <w:r w:rsidRPr="0057415D">
        <w:rPr>
          <w:rStyle w:val="Hyperlink"/>
          <w:rFonts w:asciiTheme="majorHAnsi" w:hAnsiTheme="majorHAnsi"/>
          <w:sz w:val="22"/>
          <w:szCs w:val="22"/>
        </w:rPr>
        <w:t>https://www.google.co.uk/url?sa=t&amp;rct=j&amp;q=&amp;esrc=s&amp;source=web&amp;cd=1&amp;cad=rja&amp;uact=8&amp;ved=0ahUKEwiC7Kz8geHUAhVIZlAKHQH-DIwQFggiMAA&amp;url=http%3A%2F%2Fwww2.hull.ac.uk%2Ffhsc%2Fdocs%2FImms%2520Training%252014%2520October%25202016.pptx&amp;usg=AFQjCNFOXNYpMlgjk-Mrl_hIKGEY77KBJw</w:t>
      </w:r>
      <w:r w:rsidR="00994262" w:rsidRPr="0057415D">
        <w:rPr>
          <w:rStyle w:val="Hyperlink"/>
          <w:rFonts w:asciiTheme="majorHAnsi" w:hAnsiTheme="majorHAnsi"/>
          <w:sz w:val="22"/>
          <w:szCs w:val="22"/>
        </w:rPr>
        <w:fldChar w:fldCharType="end"/>
      </w:r>
      <w:r w:rsidRPr="0057415D">
        <w:rPr>
          <w:rFonts w:asciiTheme="majorHAnsi" w:hAnsiTheme="majorHAnsi"/>
          <w:sz w:val="22"/>
          <w:szCs w:val="22"/>
        </w:rPr>
        <w:t>. (Accessed 28 June, 2017).</w:t>
      </w:r>
    </w:p>
    <w:p w14:paraId="60A97885"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Hungerford D, MacPherson P, Farmer S, et al. Effect of socioeconomic deprivation on uptake of measles, mumps and rubella vaccination in Liverpool, UK over 16 years: a longitudinal ecological study. </w:t>
      </w:r>
      <w:proofErr w:type="spellStart"/>
      <w:r w:rsidRPr="0057415D">
        <w:rPr>
          <w:rFonts w:asciiTheme="majorHAnsi" w:hAnsiTheme="majorHAnsi"/>
          <w:i/>
          <w:sz w:val="22"/>
          <w:szCs w:val="22"/>
        </w:rPr>
        <w:t>Epidemiol</w:t>
      </w:r>
      <w:proofErr w:type="spellEnd"/>
      <w:r w:rsidRPr="0057415D">
        <w:rPr>
          <w:rFonts w:asciiTheme="majorHAnsi" w:hAnsiTheme="majorHAnsi"/>
          <w:i/>
          <w:sz w:val="22"/>
          <w:szCs w:val="22"/>
        </w:rPr>
        <w:t xml:space="preserve"> Infec</w:t>
      </w:r>
      <w:r w:rsidRPr="0057415D">
        <w:rPr>
          <w:rFonts w:asciiTheme="majorHAnsi" w:hAnsiTheme="majorHAnsi"/>
          <w:sz w:val="22"/>
          <w:szCs w:val="22"/>
        </w:rPr>
        <w:t>t 2016</w:t>
      </w:r>
      <w:proofErr w:type="gramStart"/>
      <w:r w:rsidRPr="0057415D">
        <w:rPr>
          <w:rFonts w:asciiTheme="majorHAnsi" w:hAnsiTheme="majorHAnsi"/>
          <w:sz w:val="22"/>
          <w:szCs w:val="22"/>
        </w:rPr>
        <w:t>;144</w:t>
      </w:r>
      <w:proofErr w:type="gramEnd"/>
      <w:r w:rsidRPr="0057415D">
        <w:rPr>
          <w:rFonts w:asciiTheme="majorHAnsi" w:hAnsiTheme="majorHAnsi"/>
          <w:sz w:val="22"/>
          <w:szCs w:val="22"/>
        </w:rPr>
        <w:t>(6):1201-1211.</w:t>
      </w:r>
    </w:p>
    <w:p w14:paraId="60817210"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lastRenderedPageBreak/>
        <w:t xml:space="preserve">Roberts S, </w:t>
      </w:r>
      <w:proofErr w:type="spellStart"/>
      <w:r w:rsidRPr="0057415D">
        <w:rPr>
          <w:rFonts w:asciiTheme="majorHAnsi" w:hAnsiTheme="majorHAnsi"/>
          <w:sz w:val="22"/>
          <w:szCs w:val="22"/>
        </w:rPr>
        <w:t>Brabin</w:t>
      </w:r>
      <w:proofErr w:type="spellEnd"/>
      <w:r w:rsidRPr="0057415D">
        <w:rPr>
          <w:rFonts w:asciiTheme="majorHAnsi" w:hAnsiTheme="majorHAnsi"/>
          <w:sz w:val="22"/>
          <w:szCs w:val="22"/>
        </w:rPr>
        <w:t xml:space="preserve"> L, Stretch R, Baxter D, Elton P, Kitchener H, et al. Human papillomavirus vaccination and social inequality: results from a prospective cohort study. </w:t>
      </w:r>
      <w:proofErr w:type="spellStart"/>
      <w:r w:rsidRPr="0057415D">
        <w:rPr>
          <w:rFonts w:asciiTheme="majorHAnsi" w:hAnsiTheme="majorHAnsi"/>
          <w:i/>
          <w:sz w:val="22"/>
          <w:szCs w:val="22"/>
        </w:rPr>
        <w:t>Epidemiol</w:t>
      </w:r>
      <w:proofErr w:type="spellEnd"/>
      <w:r w:rsidRPr="0057415D">
        <w:rPr>
          <w:rFonts w:asciiTheme="majorHAnsi" w:hAnsiTheme="majorHAnsi"/>
          <w:i/>
          <w:sz w:val="22"/>
          <w:szCs w:val="22"/>
        </w:rPr>
        <w:t xml:space="preserve"> Infect</w:t>
      </w:r>
      <w:r w:rsidRPr="0057415D">
        <w:rPr>
          <w:rFonts w:asciiTheme="majorHAnsi" w:hAnsiTheme="majorHAnsi"/>
          <w:sz w:val="22"/>
          <w:szCs w:val="22"/>
        </w:rPr>
        <w:t xml:space="preserve"> 2011</w:t>
      </w:r>
      <w:proofErr w:type="gramStart"/>
      <w:r w:rsidRPr="0057415D">
        <w:rPr>
          <w:rFonts w:asciiTheme="majorHAnsi" w:hAnsiTheme="majorHAnsi"/>
          <w:sz w:val="22"/>
          <w:szCs w:val="22"/>
        </w:rPr>
        <w:t>;139</w:t>
      </w:r>
      <w:proofErr w:type="gramEnd"/>
      <w:r w:rsidRPr="0057415D">
        <w:rPr>
          <w:rFonts w:asciiTheme="majorHAnsi" w:hAnsiTheme="majorHAnsi"/>
          <w:sz w:val="22"/>
          <w:szCs w:val="22"/>
        </w:rPr>
        <w:t>(3):400-405.</w:t>
      </w:r>
    </w:p>
    <w:p w14:paraId="6101C84C"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proofErr w:type="spellStart"/>
      <w:r w:rsidRPr="0057415D">
        <w:rPr>
          <w:rFonts w:asciiTheme="majorHAnsi" w:hAnsiTheme="majorHAnsi"/>
          <w:sz w:val="22"/>
          <w:szCs w:val="22"/>
        </w:rPr>
        <w:t>Sinka</w:t>
      </w:r>
      <w:proofErr w:type="spellEnd"/>
      <w:r w:rsidRPr="0057415D">
        <w:rPr>
          <w:rFonts w:asciiTheme="majorHAnsi" w:hAnsiTheme="majorHAnsi"/>
          <w:sz w:val="22"/>
          <w:szCs w:val="22"/>
        </w:rPr>
        <w:t xml:space="preserve"> K, Kavanagh K, Gordon R, Love J, Potts A, </w:t>
      </w:r>
      <w:proofErr w:type="spellStart"/>
      <w:r w:rsidRPr="0057415D">
        <w:rPr>
          <w:rFonts w:asciiTheme="majorHAnsi" w:hAnsiTheme="majorHAnsi"/>
          <w:sz w:val="22"/>
          <w:szCs w:val="22"/>
        </w:rPr>
        <w:t>Donaghy</w:t>
      </w:r>
      <w:proofErr w:type="spellEnd"/>
      <w:r w:rsidRPr="0057415D">
        <w:rPr>
          <w:rFonts w:asciiTheme="majorHAnsi" w:hAnsiTheme="majorHAnsi"/>
          <w:sz w:val="22"/>
          <w:szCs w:val="22"/>
        </w:rPr>
        <w:t xml:space="preserve"> M, et al. Achieving high and equitable coverage of adolescent HPV vaccine in Scotland. </w:t>
      </w:r>
      <w:r w:rsidRPr="0057415D">
        <w:rPr>
          <w:rFonts w:asciiTheme="majorHAnsi" w:hAnsiTheme="majorHAnsi"/>
          <w:i/>
          <w:sz w:val="22"/>
          <w:szCs w:val="22"/>
        </w:rPr>
        <w:t xml:space="preserve">J </w:t>
      </w:r>
      <w:proofErr w:type="spellStart"/>
      <w:r w:rsidRPr="0057415D">
        <w:rPr>
          <w:rFonts w:asciiTheme="majorHAnsi" w:hAnsiTheme="majorHAnsi"/>
          <w:i/>
          <w:sz w:val="22"/>
          <w:szCs w:val="22"/>
        </w:rPr>
        <w:t>Epidemiol</w:t>
      </w:r>
      <w:proofErr w:type="spellEnd"/>
      <w:r w:rsidRPr="0057415D">
        <w:rPr>
          <w:rFonts w:asciiTheme="majorHAnsi" w:hAnsiTheme="majorHAnsi"/>
          <w:i/>
          <w:sz w:val="22"/>
          <w:szCs w:val="22"/>
        </w:rPr>
        <w:t xml:space="preserve"> Community Health </w:t>
      </w:r>
      <w:r w:rsidRPr="0057415D">
        <w:rPr>
          <w:rFonts w:asciiTheme="majorHAnsi" w:hAnsiTheme="majorHAnsi"/>
          <w:sz w:val="22"/>
          <w:szCs w:val="22"/>
        </w:rPr>
        <w:t>2014</w:t>
      </w:r>
      <w:proofErr w:type="gramStart"/>
      <w:r w:rsidRPr="0057415D">
        <w:rPr>
          <w:rFonts w:asciiTheme="majorHAnsi" w:hAnsiTheme="majorHAnsi"/>
          <w:sz w:val="22"/>
          <w:szCs w:val="22"/>
        </w:rPr>
        <w:t>;68</w:t>
      </w:r>
      <w:proofErr w:type="gramEnd"/>
      <w:r w:rsidRPr="0057415D">
        <w:rPr>
          <w:rFonts w:asciiTheme="majorHAnsi" w:hAnsiTheme="majorHAnsi"/>
          <w:sz w:val="22"/>
          <w:szCs w:val="22"/>
        </w:rPr>
        <w:t>(1):57-63.</w:t>
      </w:r>
    </w:p>
    <w:p w14:paraId="1C6DE873"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Hughes A, </w:t>
      </w:r>
      <w:proofErr w:type="spellStart"/>
      <w:r w:rsidRPr="0057415D">
        <w:rPr>
          <w:rFonts w:asciiTheme="majorHAnsi" w:hAnsiTheme="majorHAnsi"/>
          <w:sz w:val="22"/>
          <w:szCs w:val="22"/>
        </w:rPr>
        <w:t>Mesher</w:t>
      </w:r>
      <w:proofErr w:type="spellEnd"/>
      <w:r w:rsidRPr="0057415D">
        <w:rPr>
          <w:rFonts w:asciiTheme="majorHAnsi" w:hAnsiTheme="majorHAnsi"/>
          <w:sz w:val="22"/>
          <w:szCs w:val="22"/>
        </w:rPr>
        <w:t xml:space="preserve"> D, White J, </w:t>
      </w:r>
      <w:proofErr w:type="spellStart"/>
      <w:r w:rsidRPr="0057415D">
        <w:rPr>
          <w:rFonts w:asciiTheme="majorHAnsi" w:hAnsiTheme="majorHAnsi"/>
          <w:sz w:val="22"/>
          <w:szCs w:val="22"/>
        </w:rPr>
        <w:t>Soldan</w:t>
      </w:r>
      <w:proofErr w:type="spellEnd"/>
      <w:r w:rsidRPr="0057415D">
        <w:rPr>
          <w:rFonts w:asciiTheme="majorHAnsi" w:hAnsiTheme="majorHAnsi"/>
          <w:sz w:val="22"/>
          <w:szCs w:val="22"/>
        </w:rPr>
        <w:t xml:space="preserve"> K. Coverage of the English national human papillomavirus (HPV) immunisation programme among 12 to 17 year-old females by area-level deprivation score, England, 2008 to 2011. </w:t>
      </w:r>
      <w:r w:rsidRPr="0057415D">
        <w:rPr>
          <w:rFonts w:asciiTheme="majorHAnsi" w:hAnsiTheme="majorHAnsi"/>
          <w:i/>
          <w:sz w:val="22"/>
          <w:szCs w:val="22"/>
        </w:rPr>
        <w:t xml:space="preserve">Euro </w:t>
      </w:r>
      <w:proofErr w:type="spellStart"/>
      <w:r w:rsidRPr="0057415D">
        <w:rPr>
          <w:rFonts w:asciiTheme="majorHAnsi" w:hAnsiTheme="majorHAnsi"/>
          <w:i/>
          <w:sz w:val="22"/>
          <w:szCs w:val="22"/>
        </w:rPr>
        <w:t>Surveill</w:t>
      </w:r>
      <w:proofErr w:type="spellEnd"/>
      <w:r w:rsidRPr="0057415D">
        <w:rPr>
          <w:rFonts w:asciiTheme="majorHAnsi" w:hAnsiTheme="majorHAnsi"/>
          <w:sz w:val="22"/>
          <w:szCs w:val="22"/>
        </w:rPr>
        <w:t xml:space="preserve"> 2014</w:t>
      </w:r>
      <w:proofErr w:type="gramStart"/>
      <w:r w:rsidRPr="0057415D">
        <w:rPr>
          <w:rFonts w:asciiTheme="majorHAnsi" w:hAnsiTheme="majorHAnsi"/>
          <w:sz w:val="22"/>
          <w:szCs w:val="22"/>
        </w:rPr>
        <w:t>;19</w:t>
      </w:r>
      <w:proofErr w:type="gramEnd"/>
      <w:r w:rsidRPr="0057415D">
        <w:rPr>
          <w:rFonts w:asciiTheme="majorHAnsi" w:hAnsiTheme="majorHAnsi"/>
          <w:sz w:val="22"/>
          <w:szCs w:val="22"/>
        </w:rPr>
        <w:t>(2):1-6.</w:t>
      </w:r>
    </w:p>
    <w:p w14:paraId="3F7B3947"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Brown K, Fraser G, Ramsay M, </w:t>
      </w:r>
      <w:proofErr w:type="spellStart"/>
      <w:r w:rsidRPr="0057415D">
        <w:rPr>
          <w:rFonts w:asciiTheme="majorHAnsi" w:hAnsiTheme="majorHAnsi"/>
          <w:sz w:val="22"/>
          <w:szCs w:val="22"/>
        </w:rPr>
        <w:t>Shanley</w:t>
      </w:r>
      <w:proofErr w:type="spellEnd"/>
      <w:r w:rsidRPr="0057415D">
        <w:rPr>
          <w:rFonts w:asciiTheme="majorHAnsi" w:hAnsiTheme="majorHAnsi"/>
          <w:sz w:val="22"/>
          <w:szCs w:val="22"/>
        </w:rPr>
        <w:t xml:space="preserve"> R, </w:t>
      </w:r>
      <w:proofErr w:type="spellStart"/>
      <w:r w:rsidRPr="0057415D">
        <w:rPr>
          <w:rFonts w:asciiTheme="majorHAnsi" w:hAnsiTheme="majorHAnsi"/>
          <w:sz w:val="22"/>
          <w:szCs w:val="22"/>
        </w:rPr>
        <w:t>Cowley</w:t>
      </w:r>
      <w:proofErr w:type="spellEnd"/>
      <w:r w:rsidRPr="0057415D">
        <w:rPr>
          <w:rFonts w:asciiTheme="majorHAnsi" w:hAnsiTheme="majorHAnsi"/>
          <w:sz w:val="22"/>
          <w:szCs w:val="22"/>
        </w:rPr>
        <w:t xml:space="preserve"> N, van </w:t>
      </w:r>
      <w:proofErr w:type="spellStart"/>
      <w:r w:rsidRPr="0057415D">
        <w:rPr>
          <w:rFonts w:asciiTheme="majorHAnsi" w:hAnsiTheme="majorHAnsi"/>
          <w:sz w:val="22"/>
          <w:szCs w:val="22"/>
        </w:rPr>
        <w:t>Wijgerden</w:t>
      </w:r>
      <w:proofErr w:type="spellEnd"/>
      <w:r w:rsidRPr="0057415D">
        <w:rPr>
          <w:rFonts w:asciiTheme="majorHAnsi" w:hAnsiTheme="majorHAnsi"/>
          <w:sz w:val="22"/>
          <w:szCs w:val="22"/>
        </w:rPr>
        <w:t xml:space="preserve"> J, et al. Attitudinal and demographic predictors of measles-mumps-rubella vaccine (MMR) uptake during the UK catch-up campaign 2008–09: Cross-sectional survey. </w:t>
      </w:r>
      <w:proofErr w:type="spellStart"/>
      <w:r w:rsidRPr="0057415D">
        <w:rPr>
          <w:rFonts w:asciiTheme="majorHAnsi" w:hAnsiTheme="majorHAnsi"/>
          <w:i/>
          <w:sz w:val="22"/>
          <w:szCs w:val="22"/>
        </w:rPr>
        <w:t>PLoS</w:t>
      </w:r>
      <w:proofErr w:type="spellEnd"/>
      <w:r w:rsidRPr="0057415D">
        <w:rPr>
          <w:rFonts w:asciiTheme="majorHAnsi" w:hAnsiTheme="majorHAnsi"/>
          <w:i/>
          <w:sz w:val="22"/>
          <w:szCs w:val="22"/>
        </w:rPr>
        <w:t xml:space="preserve"> One </w:t>
      </w:r>
      <w:r w:rsidRPr="0057415D">
        <w:rPr>
          <w:rFonts w:asciiTheme="majorHAnsi" w:hAnsiTheme="majorHAnsi"/>
          <w:sz w:val="22"/>
          <w:szCs w:val="22"/>
        </w:rPr>
        <w:t>2011</w:t>
      </w:r>
      <w:proofErr w:type="gramStart"/>
      <w:r w:rsidRPr="0057415D">
        <w:rPr>
          <w:rFonts w:asciiTheme="majorHAnsi" w:hAnsiTheme="majorHAnsi"/>
          <w:sz w:val="22"/>
          <w:szCs w:val="22"/>
        </w:rPr>
        <w:t>;6</w:t>
      </w:r>
      <w:proofErr w:type="gramEnd"/>
      <w:r w:rsidRPr="0057415D">
        <w:rPr>
          <w:rFonts w:asciiTheme="majorHAnsi" w:hAnsiTheme="majorHAnsi"/>
          <w:sz w:val="22"/>
          <w:szCs w:val="22"/>
        </w:rPr>
        <w:t>(5):e19381.</w:t>
      </w:r>
    </w:p>
    <w:p w14:paraId="755126CA"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Fisher H, Audrey S, </w:t>
      </w:r>
      <w:proofErr w:type="spellStart"/>
      <w:r w:rsidRPr="0057415D">
        <w:rPr>
          <w:rFonts w:asciiTheme="majorHAnsi" w:hAnsiTheme="majorHAnsi"/>
          <w:sz w:val="22"/>
          <w:szCs w:val="22"/>
        </w:rPr>
        <w:t>Mytton</w:t>
      </w:r>
      <w:proofErr w:type="spellEnd"/>
      <w:r w:rsidRPr="0057415D">
        <w:rPr>
          <w:rFonts w:asciiTheme="majorHAnsi" w:hAnsiTheme="majorHAnsi"/>
          <w:sz w:val="22"/>
          <w:szCs w:val="22"/>
        </w:rPr>
        <w:t xml:space="preserve"> JA, Hickman M, Trotter C. Examining inequalities in the uptake of the school-based HPV vaccination programme in England: a retrospective cohort study. </w:t>
      </w:r>
      <w:r w:rsidRPr="0057415D">
        <w:rPr>
          <w:rFonts w:asciiTheme="majorHAnsi" w:hAnsiTheme="majorHAnsi"/>
          <w:i/>
          <w:sz w:val="22"/>
          <w:szCs w:val="22"/>
        </w:rPr>
        <w:t>J Public Health</w:t>
      </w:r>
      <w:r w:rsidRPr="0057415D">
        <w:rPr>
          <w:rFonts w:asciiTheme="majorHAnsi" w:hAnsiTheme="majorHAnsi"/>
          <w:sz w:val="22"/>
          <w:szCs w:val="22"/>
        </w:rPr>
        <w:t xml:space="preserve"> 2013</w:t>
      </w:r>
      <w:proofErr w:type="gramStart"/>
      <w:r w:rsidRPr="0057415D">
        <w:rPr>
          <w:rFonts w:asciiTheme="majorHAnsi" w:hAnsiTheme="majorHAnsi"/>
          <w:sz w:val="22"/>
          <w:szCs w:val="22"/>
        </w:rPr>
        <w:t>;36</w:t>
      </w:r>
      <w:proofErr w:type="gramEnd"/>
      <w:r w:rsidRPr="0057415D">
        <w:rPr>
          <w:rFonts w:asciiTheme="majorHAnsi" w:hAnsiTheme="majorHAnsi"/>
          <w:sz w:val="22"/>
          <w:szCs w:val="22"/>
        </w:rPr>
        <w:t>(1):36-45.</w:t>
      </w:r>
    </w:p>
    <w:p w14:paraId="454A16F5"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Baker D, </w:t>
      </w:r>
      <w:proofErr w:type="spellStart"/>
      <w:r w:rsidRPr="0057415D">
        <w:rPr>
          <w:rFonts w:asciiTheme="majorHAnsi" w:hAnsiTheme="majorHAnsi"/>
          <w:sz w:val="22"/>
          <w:szCs w:val="22"/>
        </w:rPr>
        <w:t>Garrow</w:t>
      </w:r>
      <w:proofErr w:type="spellEnd"/>
      <w:r w:rsidRPr="0057415D">
        <w:rPr>
          <w:rFonts w:asciiTheme="majorHAnsi" w:hAnsiTheme="majorHAnsi"/>
          <w:sz w:val="22"/>
          <w:szCs w:val="22"/>
        </w:rPr>
        <w:t xml:space="preserve"> A, </w:t>
      </w:r>
      <w:proofErr w:type="spellStart"/>
      <w:r w:rsidRPr="0057415D">
        <w:rPr>
          <w:rFonts w:asciiTheme="majorHAnsi" w:hAnsiTheme="majorHAnsi"/>
          <w:sz w:val="22"/>
          <w:szCs w:val="22"/>
        </w:rPr>
        <w:t>Shiels</w:t>
      </w:r>
      <w:proofErr w:type="spellEnd"/>
      <w:r w:rsidRPr="0057415D">
        <w:rPr>
          <w:rFonts w:asciiTheme="majorHAnsi" w:hAnsiTheme="majorHAnsi"/>
          <w:sz w:val="22"/>
          <w:szCs w:val="22"/>
        </w:rPr>
        <w:t xml:space="preserve"> C. Inequalities in immunisation and breast feeding in an ethnically diverse urban area: cross-sectional study in Manchester, UK. </w:t>
      </w:r>
      <w:r w:rsidRPr="0057415D">
        <w:rPr>
          <w:rFonts w:asciiTheme="majorHAnsi" w:hAnsiTheme="majorHAnsi"/>
          <w:i/>
          <w:sz w:val="22"/>
          <w:szCs w:val="22"/>
        </w:rPr>
        <w:t xml:space="preserve">J </w:t>
      </w:r>
      <w:proofErr w:type="spellStart"/>
      <w:r w:rsidRPr="0057415D">
        <w:rPr>
          <w:rFonts w:asciiTheme="majorHAnsi" w:hAnsiTheme="majorHAnsi"/>
          <w:i/>
          <w:sz w:val="22"/>
          <w:szCs w:val="22"/>
        </w:rPr>
        <w:t>Epidemiol</w:t>
      </w:r>
      <w:proofErr w:type="spellEnd"/>
      <w:r w:rsidRPr="0057415D">
        <w:rPr>
          <w:rFonts w:asciiTheme="majorHAnsi" w:hAnsiTheme="majorHAnsi"/>
          <w:i/>
          <w:sz w:val="22"/>
          <w:szCs w:val="22"/>
        </w:rPr>
        <w:t xml:space="preserve"> Community Health</w:t>
      </w:r>
      <w:r w:rsidRPr="0057415D">
        <w:rPr>
          <w:rFonts w:asciiTheme="majorHAnsi" w:hAnsiTheme="majorHAnsi"/>
          <w:sz w:val="22"/>
          <w:szCs w:val="22"/>
        </w:rPr>
        <w:t xml:space="preserve"> 2011</w:t>
      </w:r>
      <w:proofErr w:type="gramStart"/>
      <w:r w:rsidRPr="0057415D">
        <w:rPr>
          <w:rFonts w:asciiTheme="majorHAnsi" w:hAnsiTheme="majorHAnsi"/>
          <w:sz w:val="22"/>
          <w:szCs w:val="22"/>
        </w:rPr>
        <w:t>;65</w:t>
      </w:r>
      <w:proofErr w:type="gramEnd"/>
      <w:r w:rsidRPr="0057415D">
        <w:rPr>
          <w:rFonts w:asciiTheme="majorHAnsi" w:hAnsiTheme="majorHAnsi"/>
          <w:sz w:val="22"/>
          <w:szCs w:val="22"/>
        </w:rPr>
        <w:t>(4):346-352.</w:t>
      </w:r>
    </w:p>
    <w:p w14:paraId="465F8D58"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Quinn SC, Kumar S, </w:t>
      </w:r>
      <w:proofErr w:type="spellStart"/>
      <w:r w:rsidRPr="0057415D">
        <w:rPr>
          <w:rFonts w:asciiTheme="majorHAnsi" w:hAnsiTheme="majorHAnsi"/>
          <w:sz w:val="22"/>
          <w:szCs w:val="22"/>
        </w:rPr>
        <w:t>Freimuth</w:t>
      </w:r>
      <w:proofErr w:type="spellEnd"/>
      <w:r w:rsidRPr="0057415D">
        <w:rPr>
          <w:rFonts w:asciiTheme="majorHAnsi" w:hAnsiTheme="majorHAnsi"/>
          <w:sz w:val="22"/>
          <w:szCs w:val="22"/>
        </w:rPr>
        <w:t xml:space="preserve"> VS, Kidwell K, Musa D. Public willingness to take a vaccine or drug under Emergency Use Authorization during the 2009 H1N1 pandemic. </w:t>
      </w:r>
      <w:proofErr w:type="spellStart"/>
      <w:r w:rsidRPr="0057415D">
        <w:rPr>
          <w:rFonts w:asciiTheme="majorHAnsi" w:hAnsiTheme="majorHAnsi"/>
          <w:i/>
          <w:sz w:val="22"/>
          <w:szCs w:val="22"/>
        </w:rPr>
        <w:t>Biosecur</w:t>
      </w:r>
      <w:proofErr w:type="spellEnd"/>
      <w:r w:rsidRPr="0057415D">
        <w:rPr>
          <w:rFonts w:asciiTheme="majorHAnsi" w:hAnsiTheme="majorHAnsi"/>
          <w:i/>
          <w:sz w:val="22"/>
          <w:szCs w:val="22"/>
        </w:rPr>
        <w:t xml:space="preserve"> </w:t>
      </w:r>
      <w:proofErr w:type="spellStart"/>
      <w:r w:rsidRPr="0057415D">
        <w:rPr>
          <w:rFonts w:asciiTheme="majorHAnsi" w:hAnsiTheme="majorHAnsi"/>
          <w:i/>
          <w:sz w:val="22"/>
          <w:szCs w:val="22"/>
        </w:rPr>
        <w:t>Bioterr</w:t>
      </w:r>
      <w:proofErr w:type="spellEnd"/>
      <w:r w:rsidRPr="0057415D">
        <w:rPr>
          <w:rFonts w:asciiTheme="majorHAnsi" w:hAnsiTheme="majorHAnsi"/>
          <w:sz w:val="22"/>
          <w:szCs w:val="22"/>
        </w:rPr>
        <w:t xml:space="preserve"> 2009</w:t>
      </w:r>
      <w:proofErr w:type="gramStart"/>
      <w:r w:rsidRPr="0057415D">
        <w:rPr>
          <w:rFonts w:asciiTheme="majorHAnsi" w:hAnsiTheme="majorHAnsi"/>
          <w:sz w:val="22"/>
          <w:szCs w:val="22"/>
        </w:rPr>
        <w:t>;7</w:t>
      </w:r>
      <w:proofErr w:type="gramEnd"/>
      <w:r w:rsidRPr="0057415D">
        <w:rPr>
          <w:rFonts w:asciiTheme="majorHAnsi" w:hAnsiTheme="majorHAnsi"/>
          <w:sz w:val="22"/>
          <w:szCs w:val="22"/>
        </w:rPr>
        <w:t>(3):275-290.</w:t>
      </w:r>
    </w:p>
    <w:p w14:paraId="5ABE48BA"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Timmermans DR, </w:t>
      </w:r>
      <w:proofErr w:type="spellStart"/>
      <w:r w:rsidRPr="0057415D">
        <w:rPr>
          <w:rFonts w:asciiTheme="majorHAnsi" w:hAnsiTheme="majorHAnsi"/>
          <w:sz w:val="22"/>
          <w:szCs w:val="22"/>
        </w:rPr>
        <w:t>Henneman</w:t>
      </w:r>
      <w:proofErr w:type="spellEnd"/>
      <w:r w:rsidRPr="0057415D">
        <w:rPr>
          <w:rFonts w:asciiTheme="majorHAnsi" w:hAnsiTheme="majorHAnsi"/>
          <w:sz w:val="22"/>
          <w:szCs w:val="22"/>
        </w:rPr>
        <w:t xml:space="preserve"> L, </w:t>
      </w:r>
      <w:proofErr w:type="spellStart"/>
      <w:r w:rsidRPr="0057415D">
        <w:rPr>
          <w:rFonts w:asciiTheme="majorHAnsi" w:hAnsiTheme="majorHAnsi"/>
          <w:sz w:val="22"/>
          <w:szCs w:val="22"/>
        </w:rPr>
        <w:t>Hirasing</w:t>
      </w:r>
      <w:proofErr w:type="spellEnd"/>
      <w:r w:rsidRPr="0057415D">
        <w:rPr>
          <w:rFonts w:asciiTheme="majorHAnsi" w:hAnsiTheme="majorHAnsi"/>
          <w:sz w:val="22"/>
          <w:szCs w:val="22"/>
        </w:rPr>
        <w:t xml:space="preserve"> RA, Van der </w:t>
      </w:r>
      <w:proofErr w:type="spellStart"/>
      <w:r w:rsidRPr="0057415D">
        <w:rPr>
          <w:rFonts w:asciiTheme="majorHAnsi" w:hAnsiTheme="majorHAnsi"/>
          <w:sz w:val="22"/>
          <w:szCs w:val="22"/>
        </w:rPr>
        <w:t>Wal</w:t>
      </w:r>
      <w:proofErr w:type="spellEnd"/>
      <w:r w:rsidRPr="0057415D">
        <w:rPr>
          <w:rFonts w:asciiTheme="majorHAnsi" w:hAnsiTheme="majorHAnsi"/>
          <w:sz w:val="22"/>
          <w:szCs w:val="22"/>
        </w:rPr>
        <w:t xml:space="preserve"> G. Attitudes and risk perception of parents of different ethnic backgrounds regarding meningococcal C vaccination.</w:t>
      </w:r>
      <w:r w:rsidRPr="0057415D">
        <w:rPr>
          <w:rFonts w:asciiTheme="majorHAnsi" w:hAnsiTheme="majorHAnsi"/>
          <w:i/>
          <w:sz w:val="22"/>
          <w:szCs w:val="22"/>
        </w:rPr>
        <w:t xml:space="preserve"> Vaccine </w:t>
      </w:r>
      <w:r w:rsidRPr="0057415D">
        <w:rPr>
          <w:rFonts w:asciiTheme="majorHAnsi" w:hAnsiTheme="majorHAnsi"/>
          <w:sz w:val="22"/>
          <w:szCs w:val="22"/>
        </w:rPr>
        <w:t>2005</w:t>
      </w:r>
      <w:proofErr w:type="gramStart"/>
      <w:r w:rsidRPr="0057415D">
        <w:rPr>
          <w:rFonts w:asciiTheme="majorHAnsi" w:hAnsiTheme="majorHAnsi"/>
          <w:sz w:val="22"/>
          <w:szCs w:val="22"/>
        </w:rPr>
        <w:t>;23</w:t>
      </w:r>
      <w:proofErr w:type="gramEnd"/>
      <w:r w:rsidRPr="0057415D">
        <w:rPr>
          <w:rFonts w:asciiTheme="majorHAnsi" w:hAnsiTheme="majorHAnsi"/>
          <w:sz w:val="22"/>
          <w:szCs w:val="22"/>
        </w:rPr>
        <w:t>(25):3329-3335.</w:t>
      </w:r>
    </w:p>
    <w:p w14:paraId="50F8E6A7"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proofErr w:type="spellStart"/>
      <w:r w:rsidRPr="0057415D">
        <w:rPr>
          <w:rFonts w:asciiTheme="majorHAnsi" w:hAnsiTheme="majorHAnsi"/>
          <w:sz w:val="22"/>
          <w:szCs w:val="22"/>
        </w:rPr>
        <w:t>Coupland</w:t>
      </w:r>
      <w:proofErr w:type="spellEnd"/>
      <w:r w:rsidRPr="0057415D">
        <w:rPr>
          <w:rFonts w:asciiTheme="majorHAnsi" w:hAnsiTheme="majorHAnsi"/>
          <w:sz w:val="22"/>
          <w:szCs w:val="22"/>
        </w:rPr>
        <w:t xml:space="preserve"> C, Harcourt S, </w:t>
      </w:r>
      <w:proofErr w:type="spellStart"/>
      <w:r w:rsidRPr="0057415D">
        <w:rPr>
          <w:rFonts w:asciiTheme="majorHAnsi" w:hAnsiTheme="majorHAnsi"/>
          <w:sz w:val="22"/>
          <w:szCs w:val="22"/>
        </w:rPr>
        <w:t>Vinogradova</w:t>
      </w:r>
      <w:proofErr w:type="spellEnd"/>
      <w:r w:rsidRPr="0057415D">
        <w:rPr>
          <w:rFonts w:asciiTheme="majorHAnsi" w:hAnsiTheme="majorHAnsi"/>
          <w:sz w:val="22"/>
          <w:szCs w:val="22"/>
        </w:rPr>
        <w:t xml:space="preserve"> Y, Smith G, Joseph C, Pringle M, et al. Inequalities in uptake of influenza vaccine by deprivation and risk group: time trends analysis. Vaccine 2007</w:t>
      </w:r>
      <w:proofErr w:type="gramStart"/>
      <w:r w:rsidRPr="0057415D">
        <w:rPr>
          <w:rFonts w:asciiTheme="majorHAnsi" w:hAnsiTheme="majorHAnsi"/>
          <w:sz w:val="22"/>
          <w:szCs w:val="22"/>
        </w:rPr>
        <w:t>;25</w:t>
      </w:r>
      <w:proofErr w:type="gramEnd"/>
      <w:r w:rsidRPr="0057415D">
        <w:rPr>
          <w:rFonts w:asciiTheme="majorHAnsi" w:hAnsiTheme="majorHAnsi"/>
          <w:sz w:val="22"/>
          <w:szCs w:val="22"/>
        </w:rPr>
        <w:t>(42):7363-7371.</w:t>
      </w:r>
    </w:p>
    <w:p w14:paraId="77B581C3"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Department for Communities and Local Government. </w:t>
      </w:r>
      <w:r w:rsidRPr="0057415D">
        <w:rPr>
          <w:rFonts w:asciiTheme="majorHAnsi" w:hAnsiTheme="majorHAnsi"/>
          <w:i/>
          <w:sz w:val="22"/>
          <w:szCs w:val="22"/>
        </w:rPr>
        <w:t>English Indices of Deprivation 2015. File 10: Local authority district summaries.</w:t>
      </w:r>
      <w:r w:rsidRPr="0057415D">
        <w:rPr>
          <w:rFonts w:asciiTheme="majorHAnsi" w:hAnsiTheme="majorHAnsi"/>
          <w:sz w:val="22"/>
          <w:szCs w:val="22"/>
        </w:rPr>
        <w:t xml:space="preserve"> 30 September 2015. Available at: </w:t>
      </w:r>
      <w:r w:rsidR="00994262" w:rsidRPr="0057415D">
        <w:fldChar w:fldCharType="begin"/>
      </w:r>
      <w:r w:rsidR="00994262" w:rsidRPr="0057415D">
        <w:instrText xml:space="preserve"> HYPERLINK "https://www.gov.uk/government/uploads/system/uploads/attachment_data/file/464464/File_10_ID2015_Local_Authority_District_Summaries.xlsx" \t "_blank" </w:instrText>
      </w:r>
      <w:r w:rsidR="00994262" w:rsidRPr="0057415D">
        <w:fldChar w:fldCharType="separate"/>
      </w:r>
      <w:r w:rsidRPr="0057415D">
        <w:rPr>
          <w:rStyle w:val="Hyperlink"/>
          <w:rFonts w:asciiTheme="majorHAnsi" w:hAnsiTheme="majorHAnsi"/>
          <w:sz w:val="22"/>
          <w:szCs w:val="22"/>
        </w:rPr>
        <w:t>https://www.gov.uk/government/uploads/system/uploads/attachment_data/file/464464/File_10_ID2015_Local_Authority_District_Summaries.xlsx</w:t>
      </w:r>
      <w:r w:rsidR="00994262" w:rsidRPr="0057415D">
        <w:rPr>
          <w:rStyle w:val="Hyperlink"/>
          <w:rFonts w:asciiTheme="majorHAnsi" w:hAnsiTheme="majorHAnsi"/>
          <w:sz w:val="22"/>
          <w:szCs w:val="22"/>
        </w:rPr>
        <w:fldChar w:fldCharType="end"/>
      </w:r>
      <w:r w:rsidRPr="0057415D">
        <w:rPr>
          <w:rFonts w:asciiTheme="majorHAnsi" w:hAnsiTheme="majorHAnsi"/>
          <w:sz w:val="22"/>
          <w:szCs w:val="22"/>
        </w:rPr>
        <w:t>. (Accessed 4 July 2017).</w:t>
      </w:r>
    </w:p>
    <w:p w14:paraId="094001AA"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lastRenderedPageBreak/>
        <w:t xml:space="preserve">Blackburn with </w:t>
      </w:r>
      <w:proofErr w:type="spellStart"/>
      <w:r w:rsidRPr="0057415D">
        <w:rPr>
          <w:rFonts w:asciiTheme="majorHAnsi" w:hAnsiTheme="majorHAnsi"/>
          <w:sz w:val="22"/>
          <w:szCs w:val="22"/>
        </w:rPr>
        <w:t>Darwen</w:t>
      </w:r>
      <w:proofErr w:type="spellEnd"/>
      <w:r w:rsidRPr="0057415D">
        <w:rPr>
          <w:rFonts w:asciiTheme="majorHAnsi" w:hAnsiTheme="majorHAnsi"/>
          <w:sz w:val="22"/>
          <w:szCs w:val="22"/>
        </w:rPr>
        <w:t xml:space="preserve"> Borough Council.</w:t>
      </w:r>
      <w:r w:rsidRPr="0057415D">
        <w:rPr>
          <w:rFonts w:asciiTheme="majorHAnsi" w:hAnsiTheme="majorHAnsi"/>
          <w:i/>
          <w:sz w:val="22"/>
          <w:szCs w:val="22"/>
        </w:rPr>
        <w:t xml:space="preserve"> 2011 Census - Ethnicity and Religion profile for Blackburn with </w:t>
      </w:r>
      <w:proofErr w:type="spellStart"/>
      <w:r w:rsidRPr="0057415D">
        <w:rPr>
          <w:rFonts w:asciiTheme="majorHAnsi" w:hAnsiTheme="majorHAnsi"/>
          <w:i/>
          <w:sz w:val="22"/>
          <w:szCs w:val="22"/>
        </w:rPr>
        <w:t>Darwen</w:t>
      </w:r>
      <w:proofErr w:type="spellEnd"/>
      <w:r w:rsidRPr="0057415D">
        <w:rPr>
          <w:rFonts w:asciiTheme="majorHAnsi" w:hAnsiTheme="majorHAnsi"/>
          <w:i/>
          <w:sz w:val="22"/>
          <w:szCs w:val="22"/>
        </w:rPr>
        <w:t>.</w:t>
      </w:r>
      <w:r w:rsidRPr="0057415D">
        <w:rPr>
          <w:rFonts w:asciiTheme="majorHAnsi" w:hAnsiTheme="majorHAnsi"/>
          <w:sz w:val="22"/>
          <w:szCs w:val="22"/>
        </w:rPr>
        <w:t xml:space="preserve"> August 2013. Available at: </w:t>
      </w:r>
      <w:r w:rsidR="00994262" w:rsidRPr="0057415D">
        <w:fldChar w:fldCharType="begin"/>
      </w:r>
      <w:r w:rsidR="00994262" w:rsidRPr="0057415D">
        <w:instrText xml:space="preserve"> HYPERLINK "https://www.blackburn.gov.uk/Lists/DownloadableDocuments/EthnicityAndReligionProfile2011.pdf" \t "_blank" </w:instrText>
      </w:r>
      <w:r w:rsidR="00994262" w:rsidRPr="0057415D">
        <w:fldChar w:fldCharType="separate"/>
      </w:r>
      <w:r w:rsidRPr="0057415D">
        <w:rPr>
          <w:rStyle w:val="Hyperlink"/>
          <w:rFonts w:asciiTheme="majorHAnsi" w:hAnsiTheme="majorHAnsi"/>
          <w:sz w:val="22"/>
          <w:szCs w:val="22"/>
        </w:rPr>
        <w:t>https://www.blackburn.gov.uk/Lists/DownloadableDocuments/EthnicityAndReligionProfile2011.pdf</w:t>
      </w:r>
      <w:r w:rsidR="00994262" w:rsidRPr="0057415D">
        <w:rPr>
          <w:rStyle w:val="Hyperlink"/>
          <w:rFonts w:asciiTheme="majorHAnsi" w:hAnsiTheme="majorHAnsi"/>
          <w:sz w:val="22"/>
          <w:szCs w:val="22"/>
        </w:rPr>
        <w:fldChar w:fldCharType="end"/>
      </w:r>
      <w:r w:rsidRPr="0057415D">
        <w:rPr>
          <w:rFonts w:asciiTheme="majorHAnsi" w:hAnsiTheme="majorHAnsi"/>
          <w:sz w:val="22"/>
          <w:szCs w:val="22"/>
        </w:rPr>
        <w:t>. (Accessed 4 July 2017).</w:t>
      </w:r>
    </w:p>
    <w:p w14:paraId="778C98EB"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proofErr w:type="spellStart"/>
      <w:r w:rsidRPr="0057415D">
        <w:rPr>
          <w:rFonts w:asciiTheme="majorHAnsi" w:hAnsiTheme="majorHAnsi"/>
          <w:sz w:val="22"/>
          <w:szCs w:val="22"/>
        </w:rPr>
        <w:t>Knowsley</w:t>
      </w:r>
      <w:proofErr w:type="spellEnd"/>
      <w:r w:rsidRPr="0057415D">
        <w:rPr>
          <w:rFonts w:asciiTheme="majorHAnsi" w:hAnsiTheme="majorHAnsi"/>
          <w:sz w:val="22"/>
          <w:szCs w:val="22"/>
        </w:rPr>
        <w:t xml:space="preserve"> Council. </w:t>
      </w:r>
      <w:r w:rsidRPr="0057415D">
        <w:rPr>
          <w:rFonts w:asciiTheme="majorHAnsi" w:hAnsiTheme="majorHAnsi"/>
          <w:i/>
          <w:sz w:val="22"/>
          <w:szCs w:val="22"/>
        </w:rPr>
        <w:t xml:space="preserve">Diversity Profile. </w:t>
      </w:r>
      <w:r w:rsidRPr="0057415D">
        <w:rPr>
          <w:rFonts w:asciiTheme="majorHAnsi" w:hAnsiTheme="majorHAnsi"/>
          <w:sz w:val="22"/>
          <w:szCs w:val="22"/>
        </w:rPr>
        <w:t xml:space="preserve">December 2012. Available at: </w:t>
      </w:r>
      <w:r w:rsidR="00994262" w:rsidRPr="0057415D">
        <w:fldChar w:fldCharType="begin"/>
      </w:r>
      <w:r w:rsidR="00994262" w:rsidRPr="0057415D">
        <w:instrText xml:space="preserve"> HYPERLINK "http://knowsleyknowledge.org.uk/wp-content/uploads/2014/09/Census-Information-Summary-3-Dec-2012-Diversity-Profile-of-Knowsley.pdf" \t "_blank" </w:instrText>
      </w:r>
      <w:r w:rsidR="00994262" w:rsidRPr="0057415D">
        <w:fldChar w:fldCharType="separate"/>
      </w:r>
      <w:r w:rsidRPr="0057415D">
        <w:rPr>
          <w:rStyle w:val="Hyperlink"/>
          <w:rFonts w:asciiTheme="majorHAnsi" w:hAnsiTheme="majorHAnsi"/>
          <w:sz w:val="22"/>
          <w:szCs w:val="22"/>
        </w:rPr>
        <w:t>http://knowsleyknowledge.org.uk/wp-content/uploads/2014/09/Census-Information-Summary-3-Dec-2012-Diversity-Profile-of-Knowsley.pdf</w:t>
      </w:r>
      <w:r w:rsidR="00994262" w:rsidRPr="0057415D">
        <w:rPr>
          <w:rStyle w:val="Hyperlink"/>
          <w:rFonts w:asciiTheme="majorHAnsi" w:hAnsiTheme="majorHAnsi"/>
          <w:sz w:val="22"/>
          <w:szCs w:val="22"/>
        </w:rPr>
        <w:fldChar w:fldCharType="end"/>
      </w:r>
      <w:r w:rsidRPr="0057415D">
        <w:rPr>
          <w:rFonts w:asciiTheme="majorHAnsi" w:hAnsiTheme="majorHAnsi"/>
          <w:sz w:val="22"/>
          <w:szCs w:val="22"/>
        </w:rPr>
        <w:t>. (Accessed 4 July 2017).</w:t>
      </w:r>
    </w:p>
    <w:p w14:paraId="67D3581E"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Office for National Statistics. </w:t>
      </w:r>
      <w:r w:rsidRPr="0057415D">
        <w:rPr>
          <w:rFonts w:asciiTheme="majorHAnsi" w:hAnsiTheme="majorHAnsi"/>
          <w:i/>
          <w:sz w:val="22"/>
          <w:szCs w:val="22"/>
        </w:rPr>
        <w:t>Portrait of the North West.</w:t>
      </w:r>
      <w:r w:rsidRPr="0057415D">
        <w:rPr>
          <w:rFonts w:asciiTheme="majorHAnsi" w:hAnsiTheme="majorHAnsi"/>
          <w:sz w:val="22"/>
          <w:szCs w:val="22"/>
        </w:rPr>
        <w:t xml:space="preserve"> 2011. Available at: </w:t>
      </w:r>
      <w:r w:rsidR="00994262" w:rsidRPr="0057415D">
        <w:fldChar w:fldCharType="begin"/>
      </w:r>
      <w:r w:rsidR="00994262" w:rsidRPr="0057415D">
        <w:instrText xml:space="preserve"> HYPERLINK "https://www.google.co.uk/url?sa=t&amp;rct=j&amp;q=&amp;esrc=s&amp;source=web&amp;cd=1&amp;cad=rja&amp;uact=8&amp;ved=0ahUKEwjJg8KTxO3UAhUJK1AKHUiqBRcQFggiMAA&amp;url=https%3A%2F%2Fwww.ons.gov.uk%2Fons%2Frel%2Fregional-trends%2Fregional-trends%2Fno--43--2011-edition%2Fportrait-of-the-north-west.pdf&amp;usg=AFQjCNHNVFZr3gWBi9dFWIQwvWWM-vqq9g" \t "_blank" </w:instrText>
      </w:r>
      <w:r w:rsidR="00994262" w:rsidRPr="0057415D">
        <w:fldChar w:fldCharType="separate"/>
      </w:r>
      <w:r w:rsidRPr="0057415D">
        <w:rPr>
          <w:rStyle w:val="Hyperlink"/>
          <w:rFonts w:asciiTheme="majorHAnsi" w:hAnsiTheme="majorHAnsi"/>
          <w:sz w:val="22"/>
          <w:szCs w:val="22"/>
        </w:rPr>
        <w:t>https://www.google.co.uk/url?sa=t&amp;rct=j&amp;q=&amp;esrc=s&amp;source=web&amp;cd=1&amp;cad=rja&amp;uact=8&amp;ved=0ahUKEwjJg8KTxO3UAhUJK1AKHUiqBRcQFggiMAA&amp;url=https%3A%2F%2Fwww.ons.gov.uk%2Fons%2Frel%2Fregional-trends%2Fregional-trends%2Fno--43--2011-edition%2Fportrait-of-the-north-west.pdf&amp;usg=AFQjCNHNVFZr3gWBi9dFWIQwvWWM-vqq9g</w:t>
      </w:r>
      <w:r w:rsidR="00994262" w:rsidRPr="0057415D">
        <w:rPr>
          <w:rStyle w:val="Hyperlink"/>
          <w:rFonts w:asciiTheme="majorHAnsi" w:hAnsiTheme="majorHAnsi"/>
          <w:sz w:val="22"/>
          <w:szCs w:val="22"/>
        </w:rPr>
        <w:fldChar w:fldCharType="end"/>
      </w:r>
      <w:r w:rsidRPr="0057415D">
        <w:rPr>
          <w:rFonts w:asciiTheme="majorHAnsi" w:hAnsiTheme="majorHAnsi"/>
          <w:sz w:val="22"/>
          <w:szCs w:val="22"/>
        </w:rPr>
        <w:t>. (Accessed 3 July 2017).</w:t>
      </w:r>
    </w:p>
    <w:p w14:paraId="31E874B4" w14:textId="54C2CB2D"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Office for National Statistics. </w:t>
      </w:r>
      <w:r w:rsidRPr="0057415D">
        <w:rPr>
          <w:rFonts w:asciiTheme="majorHAnsi" w:hAnsiTheme="majorHAnsi"/>
          <w:bCs/>
          <w:i/>
          <w:sz w:val="22"/>
          <w:szCs w:val="22"/>
        </w:rPr>
        <w:t>Dataset:</w:t>
      </w:r>
      <w:r w:rsidR="00BC2ACD" w:rsidRPr="0057415D">
        <w:rPr>
          <w:rFonts w:asciiTheme="majorHAnsi" w:hAnsiTheme="majorHAnsi"/>
          <w:bCs/>
          <w:i/>
          <w:sz w:val="22"/>
          <w:szCs w:val="22"/>
        </w:rPr>
        <w:t xml:space="preserve"> Clinical Commissioning Group Mid-Year</w:t>
      </w:r>
      <w:r w:rsidRPr="0057415D">
        <w:rPr>
          <w:rFonts w:asciiTheme="majorHAnsi" w:hAnsiTheme="majorHAnsi"/>
          <w:bCs/>
          <w:i/>
          <w:sz w:val="22"/>
          <w:szCs w:val="22"/>
        </w:rPr>
        <w:t xml:space="preserve"> Population Estimates</w:t>
      </w:r>
      <w:r w:rsidRPr="0057415D">
        <w:rPr>
          <w:rFonts w:asciiTheme="majorHAnsi" w:hAnsiTheme="majorHAnsi"/>
          <w:i/>
          <w:sz w:val="22"/>
          <w:szCs w:val="22"/>
        </w:rPr>
        <w:t>.</w:t>
      </w:r>
      <w:r w:rsidR="00BC2ACD" w:rsidRPr="0057415D">
        <w:rPr>
          <w:rFonts w:asciiTheme="majorHAnsi" w:hAnsiTheme="majorHAnsi"/>
          <w:sz w:val="22"/>
          <w:szCs w:val="22"/>
        </w:rPr>
        <w:t xml:space="preserve"> 26 October 2016</w:t>
      </w:r>
      <w:r w:rsidRPr="0057415D">
        <w:rPr>
          <w:rFonts w:asciiTheme="majorHAnsi" w:hAnsiTheme="majorHAnsi"/>
          <w:sz w:val="22"/>
          <w:szCs w:val="22"/>
        </w:rPr>
        <w:t xml:space="preserve">. Available at: </w:t>
      </w:r>
      <w:r w:rsidR="00BC2ACD" w:rsidRPr="0057415D">
        <w:rPr>
          <w:rFonts w:asciiTheme="majorHAnsi" w:hAnsiTheme="majorHAnsi"/>
          <w:sz w:val="22"/>
          <w:szCs w:val="22"/>
        </w:rPr>
        <w:t xml:space="preserve">https://www.ons.gov.uk/peoplepopulationandcommunity/populationandmigration/populationestimates/datasets/clinicalcommissioninggroupmidyearpopulationestimates. </w:t>
      </w:r>
      <w:r w:rsidRPr="0057415D">
        <w:rPr>
          <w:rFonts w:asciiTheme="majorHAnsi" w:hAnsiTheme="majorHAnsi"/>
          <w:sz w:val="22"/>
          <w:szCs w:val="22"/>
        </w:rPr>
        <w:t>(Accessed 28 June 2017).</w:t>
      </w:r>
    </w:p>
    <w:p w14:paraId="3DD1F642"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Public Health England. </w:t>
      </w:r>
      <w:proofErr w:type="spellStart"/>
      <w:r w:rsidRPr="0057415D">
        <w:rPr>
          <w:rFonts w:asciiTheme="majorHAnsi" w:hAnsiTheme="majorHAnsi"/>
          <w:i/>
          <w:sz w:val="22"/>
          <w:szCs w:val="22"/>
        </w:rPr>
        <w:t>ImmForm</w:t>
      </w:r>
      <w:proofErr w:type="spellEnd"/>
      <w:r w:rsidRPr="0057415D">
        <w:rPr>
          <w:rFonts w:asciiTheme="majorHAnsi" w:hAnsiTheme="majorHAnsi"/>
          <w:sz w:val="22"/>
          <w:szCs w:val="22"/>
        </w:rPr>
        <w:t xml:space="preserve">. 6 November 2013. Available at: </w:t>
      </w:r>
      <w:r w:rsidR="00994262" w:rsidRPr="0057415D">
        <w:fldChar w:fldCharType="begin"/>
      </w:r>
      <w:r w:rsidR="00994262" w:rsidRPr="0057415D">
        <w:instrText xml:space="preserve"> HYPERLINK "https://www.gov.uk/government/collections/immform" \t "_blank" </w:instrText>
      </w:r>
      <w:r w:rsidR="00994262" w:rsidRPr="0057415D">
        <w:fldChar w:fldCharType="separate"/>
      </w:r>
      <w:r w:rsidRPr="0057415D">
        <w:rPr>
          <w:rStyle w:val="Hyperlink"/>
          <w:rFonts w:asciiTheme="majorHAnsi" w:hAnsiTheme="majorHAnsi"/>
          <w:sz w:val="22"/>
          <w:szCs w:val="22"/>
        </w:rPr>
        <w:t>https://www.gov.uk/government/collections/immform</w:t>
      </w:r>
      <w:r w:rsidR="00994262" w:rsidRPr="0057415D">
        <w:rPr>
          <w:rStyle w:val="Hyperlink"/>
          <w:rFonts w:asciiTheme="majorHAnsi" w:hAnsiTheme="majorHAnsi"/>
          <w:sz w:val="22"/>
          <w:szCs w:val="22"/>
        </w:rPr>
        <w:fldChar w:fldCharType="end"/>
      </w:r>
      <w:r w:rsidRPr="0057415D">
        <w:rPr>
          <w:rFonts w:asciiTheme="majorHAnsi" w:hAnsiTheme="majorHAnsi"/>
          <w:sz w:val="22"/>
          <w:szCs w:val="22"/>
        </w:rPr>
        <w:t>. (Accessed 28 June 2017).</w:t>
      </w:r>
    </w:p>
    <w:p w14:paraId="3AE105CA"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Public Health England. </w:t>
      </w:r>
      <w:r w:rsidRPr="0057415D">
        <w:rPr>
          <w:rFonts w:asciiTheme="majorHAnsi" w:hAnsiTheme="majorHAnsi"/>
          <w:i/>
          <w:sz w:val="22"/>
          <w:szCs w:val="22"/>
        </w:rPr>
        <w:t>National General Practice Profiles.</w:t>
      </w:r>
      <w:r w:rsidRPr="0057415D">
        <w:rPr>
          <w:rFonts w:asciiTheme="majorHAnsi" w:hAnsiTheme="majorHAnsi"/>
          <w:sz w:val="22"/>
          <w:szCs w:val="22"/>
        </w:rPr>
        <w:t xml:space="preserve"> December 2016. Available at: </w:t>
      </w:r>
      <w:r w:rsidR="00994262" w:rsidRPr="0057415D">
        <w:fldChar w:fldCharType="begin"/>
      </w:r>
      <w:r w:rsidR="00994262" w:rsidRPr="0057415D">
        <w:instrText xml:space="preserve"> HYPERLINK "http://fingertips.phe.org.uk/profile/general-practice" \t "_blank" </w:instrText>
      </w:r>
      <w:r w:rsidR="00994262" w:rsidRPr="0057415D">
        <w:fldChar w:fldCharType="separate"/>
      </w:r>
      <w:r w:rsidRPr="0057415D">
        <w:rPr>
          <w:rStyle w:val="Hyperlink"/>
          <w:rFonts w:asciiTheme="majorHAnsi" w:hAnsiTheme="majorHAnsi"/>
          <w:sz w:val="22"/>
          <w:szCs w:val="22"/>
        </w:rPr>
        <w:t>http://fingertips.phe.org.uk/profile/general-practice</w:t>
      </w:r>
      <w:r w:rsidR="00994262" w:rsidRPr="0057415D">
        <w:rPr>
          <w:rStyle w:val="Hyperlink"/>
          <w:rFonts w:asciiTheme="majorHAnsi" w:hAnsiTheme="majorHAnsi"/>
          <w:sz w:val="22"/>
          <w:szCs w:val="22"/>
        </w:rPr>
        <w:fldChar w:fldCharType="end"/>
      </w:r>
      <w:r w:rsidRPr="0057415D">
        <w:rPr>
          <w:rFonts w:asciiTheme="majorHAnsi" w:hAnsiTheme="majorHAnsi"/>
          <w:sz w:val="22"/>
          <w:szCs w:val="22"/>
        </w:rPr>
        <w:t>. (Accessed 28 June 2017).</w:t>
      </w:r>
    </w:p>
    <w:p w14:paraId="65A7D89E"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NHS Digital.</w:t>
      </w:r>
      <w:r w:rsidRPr="0057415D">
        <w:rPr>
          <w:rFonts w:asciiTheme="majorHAnsi" w:hAnsiTheme="majorHAnsi"/>
          <w:i/>
          <w:sz w:val="22"/>
          <w:szCs w:val="22"/>
        </w:rPr>
        <w:t xml:space="preserve"> Quality and Outcomes Framework.</w:t>
      </w:r>
      <w:r w:rsidRPr="0057415D">
        <w:rPr>
          <w:rFonts w:asciiTheme="majorHAnsi" w:hAnsiTheme="majorHAnsi"/>
          <w:sz w:val="22"/>
          <w:szCs w:val="22"/>
        </w:rPr>
        <w:t xml:space="preserve"> 27 October 2016. Available at: </w:t>
      </w:r>
      <w:r w:rsidR="00994262" w:rsidRPr="0057415D">
        <w:fldChar w:fldCharType="begin"/>
      </w:r>
      <w:r w:rsidR="00994262" w:rsidRPr="0057415D">
        <w:instrText xml:space="preserve"> HYPERLINK "http://content.digital.nhs.uk/qof" \t "_blank" </w:instrText>
      </w:r>
      <w:r w:rsidR="00994262" w:rsidRPr="0057415D">
        <w:fldChar w:fldCharType="separate"/>
      </w:r>
      <w:r w:rsidRPr="0057415D">
        <w:rPr>
          <w:rStyle w:val="Hyperlink"/>
          <w:rFonts w:asciiTheme="majorHAnsi" w:hAnsiTheme="majorHAnsi"/>
          <w:sz w:val="22"/>
          <w:szCs w:val="22"/>
        </w:rPr>
        <w:t>http://content.digital.nhs.uk/qof</w:t>
      </w:r>
      <w:r w:rsidR="00994262" w:rsidRPr="0057415D">
        <w:rPr>
          <w:rStyle w:val="Hyperlink"/>
          <w:rFonts w:asciiTheme="majorHAnsi" w:hAnsiTheme="majorHAnsi"/>
          <w:sz w:val="22"/>
          <w:szCs w:val="22"/>
        </w:rPr>
        <w:fldChar w:fldCharType="end"/>
      </w:r>
      <w:r w:rsidRPr="0057415D">
        <w:rPr>
          <w:rFonts w:asciiTheme="majorHAnsi" w:hAnsiTheme="majorHAnsi"/>
          <w:sz w:val="22"/>
          <w:szCs w:val="22"/>
        </w:rPr>
        <w:t>. (Accessed 28 June 2017.</w:t>
      </w:r>
    </w:p>
    <w:p w14:paraId="732E151D"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NHS England.</w:t>
      </w:r>
      <w:r w:rsidRPr="0057415D">
        <w:rPr>
          <w:rFonts w:asciiTheme="majorHAnsi" w:hAnsiTheme="majorHAnsi"/>
          <w:i/>
          <w:sz w:val="22"/>
          <w:szCs w:val="22"/>
        </w:rPr>
        <w:t xml:space="preserve"> GP Patient Survey. About the survey</w:t>
      </w:r>
      <w:r w:rsidRPr="0057415D">
        <w:rPr>
          <w:rFonts w:asciiTheme="majorHAnsi" w:hAnsiTheme="majorHAnsi"/>
          <w:sz w:val="22"/>
          <w:szCs w:val="22"/>
        </w:rPr>
        <w:t xml:space="preserve">. 2016. Available at: </w:t>
      </w:r>
      <w:r w:rsidR="00994262" w:rsidRPr="0057415D">
        <w:fldChar w:fldCharType="begin"/>
      </w:r>
      <w:r w:rsidR="00994262" w:rsidRPr="0057415D">
        <w:instrText xml:space="preserve"> HYPERLINK "https://www.gp-patient.co.uk/default?pageid=1" \t "_blank" </w:instrText>
      </w:r>
      <w:r w:rsidR="00994262" w:rsidRPr="0057415D">
        <w:fldChar w:fldCharType="separate"/>
      </w:r>
      <w:r w:rsidRPr="0057415D">
        <w:rPr>
          <w:rStyle w:val="Hyperlink"/>
          <w:rFonts w:asciiTheme="majorHAnsi" w:hAnsiTheme="majorHAnsi"/>
          <w:sz w:val="22"/>
          <w:szCs w:val="22"/>
        </w:rPr>
        <w:t>https://www.gp-patient.co.uk/default?pageid=1</w:t>
      </w:r>
      <w:r w:rsidR="00994262" w:rsidRPr="0057415D">
        <w:rPr>
          <w:rStyle w:val="Hyperlink"/>
          <w:rFonts w:asciiTheme="majorHAnsi" w:hAnsiTheme="majorHAnsi"/>
          <w:sz w:val="22"/>
          <w:szCs w:val="22"/>
        </w:rPr>
        <w:fldChar w:fldCharType="end"/>
      </w:r>
      <w:r w:rsidRPr="0057415D">
        <w:rPr>
          <w:rFonts w:asciiTheme="majorHAnsi" w:hAnsiTheme="majorHAnsi"/>
          <w:sz w:val="22"/>
          <w:szCs w:val="22"/>
        </w:rPr>
        <w:t>. (Accessed 28 June 2017).</w:t>
      </w:r>
    </w:p>
    <w:p w14:paraId="46519C70" w14:textId="23166CEB" w:rsidR="00063FFE" w:rsidRPr="0057415D" w:rsidRDefault="00063FFE"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lastRenderedPageBreak/>
        <w:t xml:space="preserve">NHS Digital. </w:t>
      </w:r>
      <w:r w:rsidRPr="0057415D">
        <w:rPr>
          <w:rFonts w:asciiTheme="majorHAnsi" w:hAnsiTheme="majorHAnsi"/>
          <w:i/>
          <w:sz w:val="22"/>
          <w:szCs w:val="22"/>
        </w:rPr>
        <w:t>General and Personal Medical Services, England September 2015 – March 2016</w:t>
      </w:r>
      <w:r w:rsidRPr="0057415D">
        <w:rPr>
          <w:rFonts w:asciiTheme="majorHAnsi" w:hAnsiTheme="majorHAnsi"/>
          <w:sz w:val="22"/>
          <w:szCs w:val="22"/>
        </w:rPr>
        <w:t>. 27 September 2016. Available at: http://content.digital.nhs.uk/catalogue/PUB21772/nhs-staf-sept-2015-mar-2016-gene-prac-rep.pdf. Accessed 14 August 2017.</w:t>
      </w:r>
    </w:p>
    <w:p w14:paraId="49ECF312"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Turner DP, Oldfield NJ, </w:t>
      </w:r>
      <w:proofErr w:type="spellStart"/>
      <w:r w:rsidRPr="0057415D">
        <w:rPr>
          <w:rFonts w:asciiTheme="majorHAnsi" w:hAnsiTheme="majorHAnsi"/>
          <w:sz w:val="22"/>
          <w:szCs w:val="22"/>
        </w:rPr>
        <w:t>Bayliss</w:t>
      </w:r>
      <w:proofErr w:type="spellEnd"/>
      <w:r w:rsidRPr="0057415D">
        <w:rPr>
          <w:rFonts w:asciiTheme="majorHAnsi" w:hAnsiTheme="majorHAnsi"/>
          <w:sz w:val="22"/>
          <w:szCs w:val="22"/>
        </w:rPr>
        <w:t xml:space="preserve"> CD. University vaccine campaign increases meningococcal ACWY vaccine coverage. </w:t>
      </w:r>
      <w:r w:rsidRPr="0057415D">
        <w:rPr>
          <w:rFonts w:asciiTheme="majorHAnsi" w:hAnsiTheme="majorHAnsi"/>
          <w:i/>
          <w:sz w:val="22"/>
          <w:szCs w:val="22"/>
        </w:rPr>
        <w:t xml:space="preserve">Public Health </w:t>
      </w:r>
      <w:r w:rsidRPr="0057415D">
        <w:rPr>
          <w:rFonts w:asciiTheme="majorHAnsi" w:hAnsiTheme="majorHAnsi"/>
          <w:sz w:val="22"/>
          <w:szCs w:val="22"/>
        </w:rPr>
        <w:t>2017</w:t>
      </w:r>
      <w:proofErr w:type="gramStart"/>
      <w:r w:rsidRPr="0057415D">
        <w:rPr>
          <w:rFonts w:asciiTheme="majorHAnsi" w:hAnsiTheme="majorHAnsi"/>
          <w:sz w:val="22"/>
          <w:szCs w:val="22"/>
        </w:rPr>
        <w:t>;145:1</w:t>
      </w:r>
      <w:proofErr w:type="gramEnd"/>
      <w:r w:rsidRPr="0057415D">
        <w:rPr>
          <w:rFonts w:asciiTheme="majorHAnsi" w:hAnsiTheme="majorHAnsi"/>
          <w:sz w:val="22"/>
          <w:szCs w:val="22"/>
        </w:rPr>
        <w:t>-3.</w:t>
      </w:r>
    </w:p>
    <w:p w14:paraId="35CF04AE" w14:textId="159BE8B6" w:rsidR="004B372A" w:rsidRPr="0057415D" w:rsidRDefault="004B372A"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Blagden S, Seddon D, Hungerford D, Stanistreet D. Uptake of a new meningitis vaccination programme amongst first-year undergraduate students in the United Kingdom: A cross-sectional study. </w:t>
      </w:r>
      <w:proofErr w:type="spellStart"/>
      <w:r w:rsidRPr="0057415D">
        <w:rPr>
          <w:rFonts w:asciiTheme="majorHAnsi" w:hAnsiTheme="majorHAnsi"/>
          <w:i/>
          <w:sz w:val="22"/>
          <w:szCs w:val="22"/>
        </w:rPr>
        <w:t>PLoS</w:t>
      </w:r>
      <w:proofErr w:type="spellEnd"/>
      <w:r w:rsidRPr="0057415D">
        <w:rPr>
          <w:rFonts w:asciiTheme="majorHAnsi" w:hAnsiTheme="majorHAnsi"/>
          <w:i/>
          <w:sz w:val="22"/>
          <w:szCs w:val="22"/>
        </w:rPr>
        <w:t xml:space="preserve"> One </w:t>
      </w:r>
      <w:r w:rsidRPr="0057415D">
        <w:rPr>
          <w:rFonts w:asciiTheme="majorHAnsi" w:hAnsiTheme="majorHAnsi"/>
          <w:sz w:val="22"/>
          <w:szCs w:val="22"/>
        </w:rPr>
        <w:t>2017 12(8):e0181817.doi:10.1371/journal.pone.0181817.eCollection 2017.</w:t>
      </w:r>
    </w:p>
    <w:p w14:paraId="2235C4FE"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proofErr w:type="spellStart"/>
      <w:r w:rsidRPr="0057415D">
        <w:rPr>
          <w:rFonts w:asciiTheme="majorHAnsi" w:hAnsiTheme="majorHAnsi"/>
          <w:sz w:val="22"/>
          <w:szCs w:val="22"/>
        </w:rPr>
        <w:t>Damiani</w:t>
      </w:r>
      <w:proofErr w:type="spellEnd"/>
      <w:r w:rsidRPr="0057415D">
        <w:rPr>
          <w:rFonts w:asciiTheme="majorHAnsi" w:hAnsiTheme="majorHAnsi"/>
          <w:sz w:val="22"/>
          <w:szCs w:val="22"/>
        </w:rPr>
        <w:t xml:space="preserve"> G, Federico B, </w:t>
      </w:r>
      <w:proofErr w:type="spellStart"/>
      <w:r w:rsidRPr="0057415D">
        <w:rPr>
          <w:rFonts w:asciiTheme="majorHAnsi" w:hAnsiTheme="majorHAnsi"/>
          <w:sz w:val="22"/>
          <w:szCs w:val="22"/>
        </w:rPr>
        <w:t>Visca</w:t>
      </w:r>
      <w:proofErr w:type="spellEnd"/>
      <w:r w:rsidRPr="0057415D">
        <w:rPr>
          <w:rFonts w:asciiTheme="majorHAnsi" w:hAnsiTheme="majorHAnsi"/>
          <w:sz w:val="22"/>
          <w:szCs w:val="22"/>
        </w:rPr>
        <w:t xml:space="preserve"> M, </w:t>
      </w:r>
      <w:proofErr w:type="spellStart"/>
      <w:r w:rsidRPr="0057415D">
        <w:rPr>
          <w:rFonts w:asciiTheme="majorHAnsi" w:hAnsiTheme="majorHAnsi"/>
          <w:sz w:val="22"/>
          <w:szCs w:val="22"/>
        </w:rPr>
        <w:t>Agostini</w:t>
      </w:r>
      <w:proofErr w:type="spellEnd"/>
      <w:r w:rsidRPr="0057415D">
        <w:rPr>
          <w:rFonts w:asciiTheme="majorHAnsi" w:hAnsiTheme="majorHAnsi"/>
          <w:sz w:val="22"/>
          <w:szCs w:val="22"/>
        </w:rPr>
        <w:t xml:space="preserve"> F, </w:t>
      </w:r>
      <w:proofErr w:type="spellStart"/>
      <w:r w:rsidRPr="0057415D">
        <w:rPr>
          <w:rFonts w:asciiTheme="majorHAnsi" w:hAnsiTheme="majorHAnsi"/>
          <w:sz w:val="22"/>
          <w:szCs w:val="22"/>
        </w:rPr>
        <w:t>Ricciardi</w:t>
      </w:r>
      <w:proofErr w:type="spellEnd"/>
      <w:r w:rsidRPr="0057415D">
        <w:rPr>
          <w:rFonts w:asciiTheme="majorHAnsi" w:hAnsiTheme="majorHAnsi"/>
          <w:sz w:val="22"/>
          <w:szCs w:val="22"/>
        </w:rPr>
        <w:t xml:space="preserve"> W. The impact of socioeconomic level on influenza vaccination among Italian adults and elderly: a cross-sectional study. </w:t>
      </w:r>
      <w:proofErr w:type="spellStart"/>
      <w:r w:rsidRPr="0057415D">
        <w:rPr>
          <w:rFonts w:asciiTheme="majorHAnsi" w:hAnsiTheme="majorHAnsi"/>
          <w:i/>
          <w:sz w:val="22"/>
          <w:szCs w:val="22"/>
        </w:rPr>
        <w:t>Prev</w:t>
      </w:r>
      <w:proofErr w:type="spellEnd"/>
      <w:r w:rsidRPr="0057415D">
        <w:rPr>
          <w:rFonts w:asciiTheme="majorHAnsi" w:hAnsiTheme="majorHAnsi"/>
          <w:i/>
          <w:sz w:val="22"/>
          <w:szCs w:val="22"/>
        </w:rPr>
        <w:t xml:space="preserve"> Med</w:t>
      </w:r>
      <w:r w:rsidRPr="0057415D">
        <w:rPr>
          <w:rFonts w:asciiTheme="majorHAnsi" w:hAnsiTheme="majorHAnsi"/>
          <w:sz w:val="22"/>
          <w:szCs w:val="22"/>
        </w:rPr>
        <w:t xml:space="preserve"> 2007</w:t>
      </w:r>
      <w:proofErr w:type="gramStart"/>
      <w:r w:rsidRPr="0057415D">
        <w:rPr>
          <w:rFonts w:asciiTheme="majorHAnsi" w:hAnsiTheme="majorHAnsi"/>
          <w:sz w:val="22"/>
          <w:szCs w:val="22"/>
        </w:rPr>
        <w:t>;45</w:t>
      </w:r>
      <w:proofErr w:type="gramEnd"/>
      <w:r w:rsidRPr="0057415D">
        <w:rPr>
          <w:rFonts w:asciiTheme="majorHAnsi" w:hAnsiTheme="majorHAnsi"/>
          <w:sz w:val="22"/>
          <w:szCs w:val="22"/>
        </w:rPr>
        <w:t>(5):373-379.</w:t>
      </w:r>
    </w:p>
    <w:p w14:paraId="03D31ABF"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Schreiber SMS, </w:t>
      </w:r>
      <w:proofErr w:type="spellStart"/>
      <w:r w:rsidRPr="0057415D">
        <w:rPr>
          <w:rFonts w:asciiTheme="majorHAnsi" w:hAnsiTheme="majorHAnsi"/>
          <w:sz w:val="22"/>
          <w:szCs w:val="22"/>
        </w:rPr>
        <w:t>Juul</w:t>
      </w:r>
      <w:proofErr w:type="spellEnd"/>
      <w:r w:rsidRPr="0057415D">
        <w:rPr>
          <w:rFonts w:asciiTheme="majorHAnsi" w:hAnsiTheme="majorHAnsi"/>
          <w:sz w:val="22"/>
          <w:szCs w:val="22"/>
        </w:rPr>
        <w:t xml:space="preserve"> KE, </w:t>
      </w:r>
      <w:proofErr w:type="spellStart"/>
      <w:r w:rsidRPr="0057415D">
        <w:rPr>
          <w:rFonts w:asciiTheme="majorHAnsi" w:hAnsiTheme="majorHAnsi"/>
          <w:sz w:val="22"/>
          <w:szCs w:val="22"/>
        </w:rPr>
        <w:t>Dehlendorff</w:t>
      </w:r>
      <w:proofErr w:type="spellEnd"/>
      <w:r w:rsidRPr="0057415D">
        <w:rPr>
          <w:rFonts w:asciiTheme="majorHAnsi" w:hAnsiTheme="majorHAnsi"/>
          <w:sz w:val="22"/>
          <w:szCs w:val="22"/>
        </w:rPr>
        <w:t xml:space="preserve"> C, </w:t>
      </w:r>
      <w:proofErr w:type="spellStart"/>
      <w:r w:rsidRPr="0057415D">
        <w:rPr>
          <w:rFonts w:asciiTheme="majorHAnsi" w:hAnsiTheme="majorHAnsi"/>
          <w:sz w:val="22"/>
          <w:szCs w:val="22"/>
        </w:rPr>
        <w:t>Kjær</w:t>
      </w:r>
      <w:proofErr w:type="spellEnd"/>
      <w:r w:rsidRPr="0057415D">
        <w:rPr>
          <w:rFonts w:asciiTheme="majorHAnsi" w:hAnsiTheme="majorHAnsi"/>
          <w:sz w:val="22"/>
          <w:szCs w:val="22"/>
        </w:rPr>
        <w:t xml:space="preserve"> SK. Socioeconomic predictors of human papillomavirus vaccination among girls in the Danish childhood immunization program. </w:t>
      </w:r>
      <w:r w:rsidRPr="0057415D">
        <w:rPr>
          <w:rFonts w:asciiTheme="majorHAnsi" w:hAnsiTheme="majorHAnsi"/>
          <w:i/>
          <w:sz w:val="22"/>
          <w:szCs w:val="22"/>
        </w:rPr>
        <w:t xml:space="preserve">J </w:t>
      </w:r>
      <w:proofErr w:type="spellStart"/>
      <w:r w:rsidRPr="0057415D">
        <w:rPr>
          <w:rFonts w:asciiTheme="majorHAnsi" w:hAnsiTheme="majorHAnsi"/>
          <w:i/>
          <w:sz w:val="22"/>
          <w:szCs w:val="22"/>
        </w:rPr>
        <w:t>Adolesc</w:t>
      </w:r>
      <w:proofErr w:type="spellEnd"/>
      <w:r w:rsidRPr="0057415D">
        <w:rPr>
          <w:rFonts w:asciiTheme="majorHAnsi" w:hAnsiTheme="majorHAnsi"/>
          <w:i/>
          <w:sz w:val="22"/>
          <w:szCs w:val="22"/>
        </w:rPr>
        <w:t xml:space="preserve"> Health </w:t>
      </w:r>
      <w:r w:rsidRPr="0057415D">
        <w:rPr>
          <w:rFonts w:asciiTheme="majorHAnsi" w:hAnsiTheme="majorHAnsi"/>
          <w:sz w:val="22"/>
          <w:szCs w:val="22"/>
        </w:rPr>
        <w:t>2015</w:t>
      </w:r>
      <w:proofErr w:type="gramStart"/>
      <w:r w:rsidRPr="0057415D">
        <w:rPr>
          <w:rFonts w:asciiTheme="majorHAnsi" w:hAnsiTheme="majorHAnsi"/>
          <w:sz w:val="22"/>
          <w:szCs w:val="22"/>
        </w:rPr>
        <w:t>;56</w:t>
      </w:r>
      <w:proofErr w:type="gramEnd"/>
      <w:r w:rsidRPr="0057415D">
        <w:rPr>
          <w:rFonts w:asciiTheme="majorHAnsi" w:hAnsiTheme="majorHAnsi"/>
          <w:sz w:val="22"/>
          <w:szCs w:val="22"/>
        </w:rPr>
        <w:t>(4):402-407.</w:t>
      </w:r>
    </w:p>
    <w:p w14:paraId="54B5B607"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Doherty E, Walsh B, O’Neill C. Decomposing socioeconomic inequality in child vaccination: results from Ireland. </w:t>
      </w:r>
      <w:r w:rsidRPr="0057415D">
        <w:rPr>
          <w:rFonts w:asciiTheme="majorHAnsi" w:hAnsiTheme="majorHAnsi"/>
          <w:i/>
          <w:sz w:val="22"/>
          <w:szCs w:val="22"/>
        </w:rPr>
        <w:t xml:space="preserve">Vaccine </w:t>
      </w:r>
      <w:r w:rsidRPr="0057415D">
        <w:rPr>
          <w:rFonts w:asciiTheme="majorHAnsi" w:hAnsiTheme="majorHAnsi"/>
          <w:sz w:val="22"/>
          <w:szCs w:val="22"/>
        </w:rPr>
        <w:t>2014</w:t>
      </w:r>
      <w:proofErr w:type="gramStart"/>
      <w:r w:rsidRPr="0057415D">
        <w:rPr>
          <w:rFonts w:asciiTheme="majorHAnsi" w:hAnsiTheme="majorHAnsi"/>
          <w:sz w:val="22"/>
          <w:szCs w:val="22"/>
        </w:rPr>
        <w:t>;32</w:t>
      </w:r>
      <w:proofErr w:type="gramEnd"/>
      <w:r w:rsidRPr="0057415D">
        <w:rPr>
          <w:rFonts w:asciiTheme="majorHAnsi" w:hAnsiTheme="majorHAnsi"/>
          <w:sz w:val="22"/>
          <w:szCs w:val="22"/>
        </w:rPr>
        <w:t>(27):3438-3444.</w:t>
      </w:r>
    </w:p>
    <w:p w14:paraId="5A14FD90"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Wooten KG, </w:t>
      </w:r>
      <w:proofErr w:type="spellStart"/>
      <w:r w:rsidRPr="0057415D">
        <w:rPr>
          <w:rFonts w:asciiTheme="majorHAnsi" w:hAnsiTheme="majorHAnsi"/>
          <w:sz w:val="22"/>
          <w:szCs w:val="22"/>
        </w:rPr>
        <w:t>Luman</w:t>
      </w:r>
      <w:proofErr w:type="spellEnd"/>
      <w:r w:rsidRPr="0057415D">
        <w:rPr>
          <w:rFonts w:asciiTheme="majorHAnsi" w:hAnsiTheme="majorHAnsi"/>
          <w:sz w:val="22"/>
          <w:szCs w:val="22"/>
        </w:rPr>
        <w:t xml:space="preserve"> ET, Barker LE. Socioeconomic factors and persistent racial disparities in childhood vaccination. </w:t>
      </w:r>
      <w:r w:rsidRPr="0057415D">
        <w:rPr>
          <w:rFonts w:asciiTheme="majorHAnsi" w:hAnsiTheme="majorHAnsi"/>
          <w:i/>
          <w:sz w:val="22"/>
          <w:szCs w:val="22"/>
        </w:rPr>
        <w:t xml:space="preserve">Am J Health </w:t>
      </w:r>
      <w:proofErr w:type="spellStart"/>
      <w:r w:rsidRPr="0057415D">
        <w:rPr>
          <w:rFonts w:asciiTheme="majorHAnsi" w:hAnsiTheme="majorHAnsi"/>
          <w:i/>
          <w:sz w:val="22"/>
          <w:szCs w:val="22"/>
        </w:rPr>
        <w:t>Behav</w:t>
      </w:r>
      <w:proofErr w:type="spellEnd"/>
      <w:r w:rsidRPr="0057415D">
        <w:rPr>
          <w:rFonts w:asciiTheme="majorHAnsi" w:hAnsiTheme="majorHAnsi"/>
          <w:sz w:val="22"/>
          <w:szCs w:val="22"/>
        </w:rPr>
        <w:t xml:space="preserve"> 2007</w:t>
      </w:r>
      <w:proofErr w:type="gramStart"/>
      <w:r w:rsidRPr="0057415D">
        <w:rPr>
          <w:rFonts w:asciiTheme="majorHAnsi" w:hAnsiTheme="majorHAnsi"/>
          <w:sz w:val="22"/>
          <w:szCs w:val="22"/>
        </w:rPr>
        <w:t>;31</w:t>
      </w:r>
      <w:proofErr w:type="gramEnd"/>
      <w:r w:rsidRPr="0057415D">
        <w:rPr>
          <w:rFonts w:asciiTheme="majorHAnsi" w:hAnsiTheme="majorHAnsi"/>
          <w:sz w:val="22"/>
          <w:szCs w:val="22"/>
        </w:rPr>
        <w:t>(4):434-445.</w:t>
      </w:r>
    </w:p>
    <w:p w14:paraId="7250610A"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Hawker JI, </w:t>
      </w:r>
      <w:proofErr w:type="spellStart"/>
      <w:r w:rsidRPr="0057415D">
        <w:rPr>
          <w:rFonts w:asciiTheme="majorHAnsi" w:hAnsiTheme="majorHAnsi"/>
          <w:sz w:val="22"/>
          <w:szCs w:val="22"/>
        </w:rPr>
        <w:t>Olowokure</w:t>
      </w:r>
      <w:proofErr w:type="spellEnd"/>
      <w:r w:rsidRPr="0057415D">
        <w:rPr>
          <w:rFonts w:asciiTheme="majorHAnsi" w:hAnsiTheme="majorHAnsi"/>
          <w:sz w:val="22"/>
          <w:szCs w:val="22"/>
        </w:rPr>
        <w:t xml:space="preserve"> B, Wood AL, Wilson RC, Johnson R. Widening inequalities in MMR vaccine uptake rates among ethnic groups in an urban area of the UK during a period of vaccine controversy (1994–2000). </w:t>
      </w:r>
      <w:r w:rsidRPr="0057415D">
        <w:rPr>
          <w:rFonts w:asciiTheme="majorHAnsi" w:hAnsiTheme="majorHAnsi"/>
          <w:i/>
          <w:sz w:val="22"/>
          <w:szCs w:val="22"/>
        </w:rPr>
        <w:t>Vaccine</w:t>
      </w:r>
      <w:r w:rsidRPr="0057415D">
        <w:rPr>
          <w:rFonts w:asciiTheme="majorHAnsi" w:hAnsiTheme="majorHAnsi"/>
          <w:sz w:val="22"/>
          <w:szCs w:val="22"/>
        </w:rPr>
        <w:t xml:space="preserve"> 2007</w:t>
      </w:r>
      <w:proofErr w:type="gramStart"/>
      <w:r w:rsidRPr="0057415D">
        <w:rPr>
          <w:rFonts w:asciiTheme="majorHAnsi" w:hAnsiTheme="majorHAnsi"/>
          <w:sz w:val="22"/>
          <w:szCs w:val="22"/>
        </w:rPr>
        <w:t>;25</w:t>
      </w:r>
      <w:proofErr w:type="gramEnd"/>
      <w:r w:rsidRPr="0057415D">
        <w:rPr>
          <w:rFonts w:asciiTheme="majorHAnsi" w:hAnsiTheme="majorHAnsi"/>
          <w:sz w:val="22"/>
          <w:szCs w:val="22"/>
        </w:rPr>
        <w:t>(43):7516-7519.</w:t>
      </w:r>
    </w:p>
    <w:p w14:paraId="10A7B3C6"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Rubin GJ, Potts H, </w:t>
      </w:r>
      <w:proofErr w:type="spellStart"/>
      <w:r w:rsidRPr="0057415D">
        <w:rPr>
          <w:rFonts w:asciiTheme="majorHAnsi" w:hAnsiTheme="majorHAnsi"/>
          <w:sz w:val="22"/>
          <w:szCs w:val="22"/>
        </w:rPr>
        <w:t>Michie</w:t>
      </w:r>
      <w:proofErr w:type="spellEnd"/>
      <w:r w:rsidRPr="0057415D">
        <w:rPr>
          <w:rFonts w:asciiTheme="majorHAnsi" w:hAnsiTheme="majorHAnsi"/>
          <w:sz w:val="22"/>
          <w:szCs w:val="22"/>
        </w:rPr>
        <w:t xml:space="preserve"> S. The impact of communications about swine flu (influenza A H1N1v) on public responses to the outbreak: results from 36 national telephone surveys in the UK. </w:t>
      </w:r>
      <w:r w:rsidRPr="0057415D">
        <w:rPr>
          <w:rFonts w:asciiTheme="majorHAnsi" w:hAnsiTheme="majorHAnsi"/>
          <w:i/>
          <w:sz w:val="22"/>
          <w:szCs w:val="22"/>
        </w:rPr>
        <w:t xml:space="preserve">Health </w:t>
      </w:r>
      <w:proofErr w:type="spellStart"/>
      <w:r w:rsidRPr="0057415D">
        <w:rPr>
          <w:rFonts w:asciiTheme="majorHAnsi" w:hAnsiTheme="majorHAnsi"/>
          <w:i/>
          <w:sz w:val="22"/>
          <w:szCs w:val="22"/>
        </w:rPr>
        <w:t>Technol</w:t>
      </w:r>
      <w:proofErr w:type="spellEnd"/>
      <w:r w:rsidRPr="0057415D">
        <w:rPr>
          <w:rFonts w:asciiTheme="majorHAnsi" w:hAnsiTheme="majorHAnsi"/>
          <w:i/>
          <w:sz w:val="22"/>
          <w:szCs w:val="22"/>
        </w:rPr>
        <w:t xml:space="preserve"> Assess </w:t>
      </w:r>
      <w:r w:rsidRPr="0057415D">
        <w:rPr>
          <w:rFonts w:asciiTheme="majorHAnsi" w:hAnsiTheme="majorHAnsi"/>
          <w:sz w:val="22"/>
          <w:szCs w:val="22"/>
        </w:rPr>
        <w:t>2010</w:t>
      </w:r>
      <w:proofErr w:type="gramStart"/>
      <w:r w:rsidRPr="0057415D">
        <w:rPr>
          <w:rFonts w:asciiTheme="majorHAnsi" w:hAnsiTheme="majorHAnsi"/>
          <w:sz w:val="22"/>
          <w:szCs w:val="22"/>
        </w:rPr>
        <w:t>;14</w:t>
      </w:r>
      <w:proofErr w:type="gramEnd"/>
      <w:r w:rsidRPr="0057415D">
        <w:rPr>
          <w:rFonts w:asciiTheme="majorHAnsi" w:hAnsiTheme="majorHAnsi"/>
          <w:sz w:val="22"/>
          <w:szCs w:val="22"/>
        </w:rPr>
        <w:t>(34):183-266.</w:t>
      </w:r>
    </w:p>
    <w:p w14:paraId="0CA85F37"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Wagner KS, van </w:t>
      </w:r>
      <w:proofErr w:type="spellStart"/>
      <w:r w:rsidRPr="0057415D">
        <w:rPr>
          <w:rFonts w:asciiTheme="majorHAnsi" w:hAnsiTheme="majorHAnsi"/>
          <w:sz w:val="22"/>
          <w:szCs w:val="22"/>
        </w:rPr>
        <w:t>Wijgerden</w:t>
      </w:r>
      <w:proofErr w:type="spellEnd"/>
      <w:r w:rsidRPr="0057415D">
        <w:rPr>
          <w:rFonts w:asciiTheme="majorHAnsi" w:hAnsiTheme="majorHAnsi"/>
          <w:sz w:val="22"/>
          <w:szCs w:val="22"/>
        </w:rPr>
        <w:t xml:space="preserve"> JC, Andrews N, </w:t>
      </w:r>
      <w:proofErr w:type="spellStart"/>
      <w:r w:rsidRPr="0057415D">
        <w:rPr>
          <w:rFonts w:asciiTheme="majorHAnsi" w:hAnsiTheme="majorHAnsi"/>
          <w:sz w:val="22"/>
          <w:szCs w:val="22"/>
        </w:rPr>
        <w:t>Goulden</w:t>
      </w:r>
      <w:proofErr w:type="spellEnd"/>
      <w:r w:rsidRPr="0057415D">
        <w:rPr>
          <w:rFonts w:asciiTheme="majorHAnsi" w:hAnsiTheme="majorHAnsi"/>
          <w:sz w:val="22"/>
          <w:szCs w:val="22"/>
        </w:rPr>
        <w:t xml:space="preserve"> K, White JM. Childhood vaccination coverage by ethnicity within London between 2006/2007 and 2010/2011. </w:t>
      </w:r>
      <w:r w:rsidRPr="0057415D">
        <w:rPr>
          <w:rFonts w:asciiTheme="majorHAnsi" w:hAnsiTheme="majorHAnsi"/>
          <w:i/>
          <w:sz w:val="22"/>
          <w:szCs w:val="22"/>
        </w:rPr>
        <w:t>Arch Dis Child</w:t>
      </w:r>
      <w:r w:rsidRPr="0057415D">
        <w:rPr>
          <w:rFonts w:asciiTheme="majorHAnsi" w:hAnsiTheme="majorHAnsi"/>
          <w:sz w:val="22"/>
          <w:szCs w:val="22"/>
        </w:rPr>
        <w:t xml:space="preserve"> 2014</w:t>
      </w:r>
      <w:proofErr w:type="gramStart"/>
      <w:r w:rsidRPr="0057415D">
        <w:rPr>
          <w:rFonts w:asciiTheme="majorHAnsi" w:hAnsiTheme="majorHAnsi"/>
          <w:sz w:val="22"/>
          <w:szCs w:val="22"/>
        </w:rPr>
        <w:t>;99</w:t>
      </w:r>
      <w:proofErr w:type="gramEnd"/>
      <w:r w:rsidRPr="0057415D">
        <w:rPr>
          <w:rFonts w:asciiTheme="majorHAnsi" w:hAnsiTheme="majorHAnsi"/>
          <w:sz w:val="22"/>
          <w:szCs w:val="22"/>
        </w:rPr>
        <w:t>(4):348-353.</w:t>
      </w:r>
    </w:p>
    <w:p w14:paraId="325981DF"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lastRenderedPageBreak/>
        <w:t xml:space="preserve">Walker IF, Lord PA, </w:t>
      </w:r>
      <w:proofErr w:type="spellStart"/>
      <w:r w:rsidRPr="0057415D">
        <w:rPr>
          <w:rFonts w:asciiTheme="majorHAnsi" w:hAnsiTheme="majorHAnsi"/>
          <w:sz w:val="22"/>
          <w:szCs w:val="22"/>
        </w:rPr>
        <w:t>Farragher</w:t>
      </w:r>
      <w:proofErr w:type="spellEnd"/>
      <w:r w:rsidRPr="0057415D">
        <w:rPr>
          <w:rFonts w:asciiTheme="majorHAnsi" w:hAnsiTheme="majorHAnsi"/>
          <w:sz w:val="22"/>
          <w:szCs w:val="22"/>
        </w:rPr>
        <w:t xml:space="preserve"> TM. Variations in dementia diagnosis in England and association with general practice characteristics. </w:t>
      </w:r>
      <w:r w:rsidRPr="0057415D">
        <w:rPr>
          <w:rFonts w:asciiTheme="majorHAnsi" w:hAnsiTheme="majorHAnsi"/>
          <w:i/>
          <w:sz w:val="22"/>
          <w:szCs w:val="22"/>
        </w:rPr>
        <w:t xml:space="preserve">Prim Health Care Res Dev </w:t>
      </w:r>
      <w:r w:rsidRPr="0057415D">
        <w:rPr>
          <w:rFonts w:asciiTheme="majorHAnsi" w:hAnsiTheme="majorHAnsi"/>
          <w:sz w:val="22"/>
          <w:szCs w:val="22"/>
        </w:rPr>
        <w:t>2017</w:t>
      </w:r>
      <w:proofErr w:type="gramStart"/>
      <w:r w:rsidRPr="0057415D">
        <w:rPr>
          <w:rFonts w:asciiTheme="majorHAnsi" w:hAnsiTheme="majorHAnsi"/>
          <w:sz w:val="22"/>
          <w:szCs w:val="22"/>
        </w:rPr>
        <w:t>;18</w:t>
      </w:r>
      <w:proofErr w:type="gramEnd"/>
      <w:r w:rsidRPr="0057415D">
        <w:rPr>
          <w:rFonts w:asciiTheme="majorHAnsi" w:hAnsiTheme="majorHAnsi"/>
          <w:sz w:val="22"/>
          <w:szCs w:val="22"/>
        </w:rPr>
        <w:t>(3):235-241.</w:t>
      </w:r>
    </w:p>
    <w:p w14:paraId="2ED80707"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Wareham H. Does good practice quality equate to earlier cancer stage at diagnosis? 2015. Durham theses, Durham University. Available at Durham E-Theses online: http://etheses.dur.ac.uk/11065/1/ (Accessed 4 July 2017).</w:t>
      </w:r>
    </w:p>
    <w:p w14:paraId="3092682B"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Ryan AM, Doran T. The effect of improving processes of care on patient outcomes: evidence from the United Kingdom's quality and outcomes framework. </w:t>
      </w:r>
      <w:r w:rsidRPr="0057415D">
        <w:rPr>
          <w:rFonts w:asciiTheme="majorHAnsi" w:hAnsiTheme="majorHAnsi"/>
          <w:i/>
          <w:sz w:val="22"/>
          <w:szCs w:val="22"/>
        </w:rPr>
        <w:t>Med Care</w:t>
      </w:r>
      <w:r w:rsidRPr="0057415D">
        <w:rPr>
          <w:rFonts w:asciiTheme="majorHAnsi" w:hAnsiTheme="majorHAnsi"/>
          <w:sz w:val="22"/>
          <w:szCs w:val="22"/>
        </w:rPr>
        <w:t xml:space="preserve"> 2012 Mar</w:t>
      </w:r>
      <w:proofErr w:type="gramStart"/>
      <w:r w:rsidRPr="0057415D">
        <w:rPr>
          <w:rFonts w:asciiTheme="majorHAnsi" w:hAnsiTheme="majorHAnsi"/>
          <w:sz w:val="22"/>
          <w:szCs w:val="22"/>
        </w:rPr>
        <w:t>;50</w:t>
      </w:r>
      <w:proofErr w:type="gramEnd"/>
      <w:r w:rsidRPr="0057415D">
        <w:rPr>
          <w:rFonts w:asciiTheme="majorHAnsi" w:hAnsiTheme="majorHAnsi"/>
          <w:sz w:val="22"/>
          <w:szCs w:val="22"/>
        </w:rPr>
        <w:t>(3):191-199.</w:t>
      </w:r>
    </w:p>
    <w:p w14:paraId="7BB2FE2D"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proofErr w:type="spellStart"/>
      <w:r w:rsidRPr="0057415D">
        <w:rPr>
          <w:rFonts w:asciiTheme="majorHAnsi" w:hAnsiTheme="majorHAnsi"/>
          <w:sz w:val="22"/>
          <w:szCs w:val="22"/>
        </w:rPr>
        <w:t>Tammes</w:t>
      </w:r>
      <w:proofErr w:type="spellEnd"/>
      <w:r w:rsidRPr="0057415D">
        <w:rPr>
          <w:rFonts w:asciiTheme="majorHAnsi" w:hAnsiTheme="majorHAnsi"/>
          <w:sz w:val="22"/>
          <w:szCs w:val="22"/>
        </w:rPr>
        <w:t xml:space="preserve"> P, Morris RW, Brangan E, et al. Exploring the relationship between general practice characteristics, and attendance at walk-in centres, minor injuries units and EDs in England 2012/2013: a cross-sectional study. </w:t>
      </w:r>
      <w:proofErr w:type="spellStart"/>
      <w:r w:rsidRPr="0057415D">
        <w:rPr>
          <w:rFonts w:asciiTheme="majorHAnsi" w:hAnsiTheme="majorHAnsi"/>
          <w:i/>
          <w:sz w:val="22"/>
          <w:szCs w:val="22"/>
        </w:rPr>
        <w:t>Emerg</w:t>
      </w:r>
      <w:proofErr w:type="spellEnd"/>
      <w:r w:rsidRPr="0057415D">
        <w:rPr>
          <w:rFonts w:asciiTheme="majorHAnsi" w:hAnsiTheme="majorHAnsi"/>
          <w:i/>
          <w:sz w:val="22"/>
          <w:szCs w:val="22"/>
        </w:rPr>
        <w:t xml:space="preserve"> Med J</w:t>
      </w:r>
      <w:r w:rsidRPr="0057415D">
        <w:rPr>
          <w:rFonts w:asciiTheme="majorHAnsi" w:hAnsiTheme="majorHAnsi"/>
          <w:sz w:val="22"/>
          <w:szCs w:val="22"/>
        </w:rPr>
        <w:t xml:space="preserve"> 2016</w:t>
      </w:r>
      <w:proofErr w:type="gramStart"/>
      <w:r w:rsidRPr="0057415D">
        <w:rPr>
          <w:rFonts w:asciiTheme="majorHAnsi" w:hAnsiTheme="majorHAnsi"/>
          <w:sz w:val="22"/>
          <w:szCs w:val="22"/>
        </w:rPr>
        <w:t>;33</w:t>
      </w:r>
      <w:proofErr w:type="gramEnd"/>
      <w:r w:rsidRPr="0057415D">
        <w:rPr>
          <w:rFonts w:asciiTheme="majorHAnsi" w:hAnsiTheme="majorHAnsi"/>
          <w:sz w:val="22"/>
          <w:szCs w:val="22"/>
        </w:rPr>
        <w:t>(10):702-708.</w:t>
      </w:r>
    </w:p>
    <w:p w14:paraId="1CCE0C45"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Williams CJ, Willocks LJ, Lake IR, Hunter PR. Geographic correlation between deprivation and risk of meningococcal disease: an ecological study. </w:t>
      </w:r>
      <w:r w:rsidRPr="0057415D">
        <w:rPr>
          <w:rFonts w:asciiTheme="majorHAnsi" w:hAnsiTheme="majorHAnsi"/>
          <w:i/>
          <w:sz w:val="22"/>
          <w:szCs w:val="22"/>
        </w:rPr>
        <w:t>BMC Public Health</w:t>
      </w:r>
      <w:r w:rsidRPr="0057415D">
        <w:rPr>
          <w:rFonts w:asciiTheme="majorHAnsi" w:hAnsiTheme="majorHAnsi"/>
          <w:sz w:val="22"/>
          <w:szCs w:val="22"/>
        </w:rPr>
        <w:t xml:space="preserve"> 2004</w:t>
      </w:r>
      <w:proofErr w:type="gramStart"/>
      <w:r w:rsidRPr="0057415D">
        <w:rPr>
          <w:rFonts w:asciiTheme="majorHAnsi" w:hAnsiTheme="majorHAnsi"/>
          <w:sz w:val="22"/>
          <w:szCs w:val="22"/>
        </w:rPr>
        <w:t>;4:30</w:t>
      </w:r>
      <w:proofErr w:type="gramEnd"/>
      <w:r w:rsidRPr="0057415D">
        <w:rPr>
          <w:rFonts w:asciiTheme="majorHAnsi" w:hAnsiTheme="majorHAnsi"/>
          <w:sz w:val="22"/>
          <w:szCs w:val="22"/>
        </w:rPr>
        <w:t>.</w:t>
      </w:r>
    </w:p>
    <w:p w14:paraId="27B979BA"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Stuart JM, Middleton N, </w:t>
      </w:r>
      <w:proofErr w:type="spellStart"/>
      <w:r w:rsidRPr="0057415D">
        <w:rPr>
          <w:rFonts w:asciiTheme="majorHAnsi" w:hAnsiTheme="majorHAnsi"/>
          <w:sz w:val="22"/>
          <w:szCs w:val="22"/>
        </w:rPr>
        <w:t>Gunnell</w:t>
      </w:r>
      <w:proofErr w:type="spellEnd"/>
      <w:r w:rsidRPr="0057415D">
        <w:rPr>
          <w:rFonts w:asciiTheme="majorHAnsi" w:hAnsiTheme="majorHAnsi"/>
          <w:sz w:val="22"/>
          <w:szCs w:val="22"/>
        </w:rPr>
        <w:t xml:space="preserve"> DJ. Socioeconomic inequality and meningococcal disease. </w:t>
      </w:r>
      <w:proofErr w:type="spellStart"/>
      <w:r w:rsidRPr="0057415D">
        <w:rPr>
          <w:rFonts w:asciiTheme="majorHAnsi" w:hAnsiTheme="majorHAnsi"/>
          <w:i/>
          <w:sz w:val="22"/>
          <w:szCs w:val="22"/>
        </w:rPr>
        <w:t>Commun</w:t>
      </w:r>
      <w:proofErr w:type="spellEnd"/>
      <w:r w:rsidRPr="0057415D">
        <w:rPr>
          <w:rFonts w:asciiTheme="majorHAnsi" w:hAnsiTheme="majorHAnsi"/>
          <w:i/>
          <w:sz w:val="22"/>
          <w:szCs w:val="22"/>
        </w:rPr>
        <w:t xml:space="preserve"> Dis Public Health </w:t>
      </w:r>
      <w:r w:rsidRPr="0057415D">
        <w:rPr>
          <w:rFonts w:asciiTheme="majorHAnsi" w:hAnsiTheme="majorHAnsi"/>
          <w:sz w:val="22"/>
          <w:szCs w:val="22"/>
        </w:rPr>
        <w:t>2002</w:t>
      </w:r>
      <w:proofErr w:type="gramStart"/>
      <w:r w:rsidRPr="0057415D">
        <w:rPr>
          <w:rFonts w:asciiTheme="majorHAnsi" w:hAnsiTheme="majorHAnsi"/>
          <w:sz w:val="22"/>
          <w:szCs w:val="22"/>
        </w:rPr>
        <w:t>;5</w:t>
      </w:r>
      <w:proofErr w:type="gramEnd"/>
      <w:r w:rsidRPr="0057415D">
        <w:rPr>
          <w:rFonts w:asciiTheme="majorHAnsi" w:hAnsiTheme="majorHAnsi"/>
          <w:sz w:val="22"/>
          <w:szCs w:val="22"/>
        </w:rPr>
        <w:t>(4):327-328.</w:t>
      </w:r>
    </w:p>
    <w:p w14:paraId="117F9310"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proofErr w:type="spellStart"/>
      <w:r w:rsidRPr="0057415D">
        <w:rPr>
          <w:rFonts w:asciiTheme="majorHAnsi" w:hAnsiTheme="majorHAnsi"/>
          <w:sz w:val="22"/>
          <w:szCs w:val="22"/>
        </w:rPr>
        <w:t>Fone</w:t>
      </w:r>
      <w:proofErr w:type="spellEnd"/>
      <w:r w:rsidRPr="0057415D">
        <w:rPr>
          <w:rFonts w:asciiTheme="majorHAnsi" w:hAnsiTheme="majorHAnsi"/>
          <w:sz w:val="22"/>
          <w:szCs w:val="22"/>
        </w:rPr>
        <w:t xml:space="preserve"> DL, Harries J, Lester N, </w:t>
      </w:r>
      <w:proofErr w:type="spellStart"/>
      <w:r w:rsidRPr="0057415D">
        <w:rPr>
          <w:rFonts w:asciiTheme="majorHAnsi" w:hAnsiTheme="majorHAnsi"/>
          <w:sz w:val="22"/>
          <w:szCs w:val="22"/>
        </w:rPr>
        <w:t>Nehaul</w:t>
      </w:r>
      <w:proofErr w:type="spellEnd"/>
      <w:r w:rsidRPr="0057415D">
        <w:rPr>
          <w:rFonts w:asciiTheme="majorHAnsi" w:hAnsiTheme="majorHAnsi"/>
          <w:sz w:val="22"/>
          <w:szCs w:val="22"/>
        </w:rPr>
        <w:t xml:space="preserve"> L. Meningococcal disease and social deprivation: a small area geographical study in Gwent, UK. </w:t>
      </w:r>
      <w:proofErr w:type="spellStart"/>
      <w:r w:rsidRPr="0057415D">
        <w:rPr>
          <w:rFonts w:asciiTheme="majorHAnsi" w:hAnsiTheme="majorHAnsi"/>
          <w:i/>
          <w:sz w:val="22"/>
          <w:szCs w:val="22"/>
        </w:rPr>
        <w:t>Epidemiol</w:t>
      </w:r>
      <w:proofErr w:type="spellEnd"/>
      <w:r w:rsidRPr="0057415D">
        <w:rPr>
          <w:rFonts w:asciiTheme="majorHAnsi" w:hAnsiTheme="majorHAnsi"/>
          <w:i/>
          <w:sz w:val="22"/>
          <w:szCs w:val="22"/>
        </w:rPr>
        <w:t xml:space="preserve"> Infect</w:t>
      </w:r>
      <w:r w:rsidRPr="0057415D">
        <w:rPr>
          <w:rFonts w:asciiTheme="majorHAnsi" w:hAnsiTheme="majorHAnsi"/>
          <w:sz w:val="22"/>
          <w:szCs w:val="22"/>
        </w:rPr>
        <w:t xml:space="preserve"> 2003</w:t>
      </w:r>
      <w:proofErr w:type="gramStart"/>
      <w:r w:rsidRPr="0057415D">
        <w:rPr>
          <w:rFonts w:asciiTheme="majorHAnsi" w:hAnsiTheme="majorHAnsi"/>
          <w:sz w:val="22"/>
          <w:szCs w:val="22"/>
        </w:rPr>
        <w:t>;130</w:t>
      </w:r>
      <w:proofErr w:type="gramEnd"/>
      <w:r w:rsidRPr="0057415D">
        <w:rPr>
          <w:rFonts w:asciiTheme="majorHAnsi" w:hAnsiTheme="majorHAnsi"/>
          <w:sz w:val="22"/>
          <w:szCs w:val="22"/>
        </w:rPr>
        <w:t>(01):53-58.</w:t>
      </w:r>
    </w:p>
    <w:p w14:paraId="66399305"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proofErr w:type="spellStart"/>
      <w:r w:rsidRPr="0057415D">
        <w:rPr>
          <w:rFonts w:asciiTheme="majorHAnsi" w:hAnsiTheme="majorHAnsi"/>
          <w:sz w:val="22"/>
          <w:szCs w:val="22"/>
        </w:rPr>
        <w:t>Heyderman</w:t>
      </w:r>
      <w:proofErr w:type="spellEnd"/>
      <w:r w:rsidRPr="0057415D">
        <w:rPr>
          <w:rFonts w:asciiTheme="majorHAnsi" w:hAnsiTheme="majorHAnsi"/>
          <w:sz w:val="22"/>
          <w:szCs w:val="22"/>
        </w:rPr>
        <w:t xml:space="preserve"> RS, Ben-</w:t>
      </w:r>
      <w:proofErr w:type="spellStart"/>
      <w:r w:rsidRPr="0057415D">
        <w:rPr>
          <w:rFonts w:asciiTheme="majorHAnsi" w:hAnsiTheme="majorHAnsi"/>
          <w:sz w:val="22"/>
          <w:szCs w:val="22"/>
        </w:rPr>
        <w:t>Shlomo</w:t>
      </w:r>
      <w:proofErr w:type="spellEnd"/>
      <w:r w:rsidRPr="0057415D">
        <w:rPr>
          <w:rFonts w:asciiTheme="majorHAnsi" w:hAnsiTheme="majorHAnsi"/>
          <w:sz w:val="22"/>
          <w:szCs w:val="22"/>
        </w:rPr>
        <w:t xml:space="preserve"> Y, Brennan CA, Somerset M. The incidence and mortality for meningococcal disease associated with area deprivation: an ecological study of hospital episode statistics. </w:t>
      </w:r>
      <w:r w:rsidRPr="0057415D">
        <w:rPr>
          <w:rFonts w:asciiTheme="majorHAnsi" w:hAnsiTheme="majorHAnsi"/>
          <w:i/>
          <w:sz w:val="22"/>
          <w:szCs w:val="22"/>
        </w:rPr>
        <w:t xml:space="preserve">Arch Dis Child </w:t>
      </w:r>
      <w:r w:rsidRPr="0057415D">
        <w:rPr>
          <w:rFonts w:asciiTheme="majorHAnsi" w:hAnsiTheme="majorHAnsi"/>
          <w:sz w:val="22"/>
          <w:szCs w:val="22"/>
        </w:rPr>
        <w:t>2004</w:t>
      </w:r>
      <w:proofErr w:type="gramStart"/>
      <w:r w:rsidRPr="0057415D">
        <w:rPr>
          <w:rFonts w:asciiTheme="majorHAnsi" w:hAnsiTheme="majorHAnsi"/>
          <w:sz w:val="22"/>
          <w:szCs w:val="22"/>
        </w:rPr>
        <w:t>;89</w:t>
      </w:r>
      <w:proofErr w:type="gramEnd"/>
      <w:r w:rsidRPr="0057415D">
        <w:rPr>
          <w:rFonts w:asciiTheme="majorHAnsi" w:hAnsiTheme="majorHAnsi"/>
          <w:sz w:val="22"/>
          <w:szCs w:val="22"/>
        </w:rPr>
        <w:t>(11):1064-1068.</w:t>
      </w:r>
    </w:p>
    <w:p w14:paraId="49CA0839" w14:textId="77777777" w:rsidR="00A7693F" w:rsidRPr="0057415D" w:rsidRDefault="00A7693F" w:rsidP="00A7693F">
      <w:pPr>
        <w:pStyle w:val="NormalWeb"/>
        <w:numPr>
          <w:ilvl w:val="0"/>
          <w:numId w:val="3"/>
        </w:numPr>
        <w:spacing w:line="480" w:lineRule="auto"/>
        <w:ind w:left="426" w:right="-57" w:hanging="568"/>
        <w:rPr>
          <w:rFonts w:asciiTheme="majorHAnsi" w:hAnsiTheme="majorHAnsi"/>
          <w:sz w:val="22"/>
          <w:szCs w:val="22"/>
        </w:rPr>
      </w:pPr>
      <w:r w:rsidRPr="0057415D">
        <w:rPr>
          <w:rFonts w:asciiTheme="majorHAnsi" w:hAnsiTheme="majorHAnsi"/>
          <w:sz w:val="22"/>
          <w:szCs w:val="22"/>
        </w:rPr>
        <w:t xml:space="preserve">Jones IR, </w:t>
      </w:r>
      <w:proofErr w:type="spellStart"/>
      <w:r w:rsidRPr="0057415D">
        <w:rPr>
          <w:rFonts w:asciiTheme="majorHAnsi" w:hAnsiTheme="majorHAnsi"/>
          <w:sz w:val="22"/>
          <w:szCs w:val="22"/>
        </w:rPr>
        <w:t>Urwin</w:t>
      </w:r>
      <w:proofErr w:type="spellEnd"/>
      <w:r w:rsidRPr="0057415D">
        <w:rPr>
          <w:rFonts w:asciiTheme="majorHAnsi" w:hAnsiTheme="majorHAnsi"/>
          <w:sz w:val="22"/>
          <w:szCs w:val="22"/>
        </w:rPr>
        <w:t xml:space="preserve"> G, Feldman RA, </w:t>
      </w:r>
      <w:proofErr w:type="spellStart"/>
      <w:r w:rsidRPr="0057415D">
        <w:rPr>
          <w:rFonts w:asciiTheme="majorHAnsi" w:hAnsiTheme="majorHAnsi"/>
          <w:sz w:val="22"/>
          <w:szCs w:val="22"/>
        </w:rPr>
        <w:t>Banatvala</w:t>
      </w:r>
      <w:proofErr w:type="spellEnd"/>
      <w:r w:rsidRPr="0057415D">
        <w:rPr>
          <w:rFonts w:asciiTheme="majorHAnsi" w:hAnsiTheme="majorHAnsi"/>
          <w:sz w:val="22"/>
          <w:szCs w:val="22"/>
        </w:rPr>
        <w:t xml:space="preserve"> N. Social deprivation and bacterial meningitis in north east Thames region: three year study using small area statistics. </w:t>
      </w:r>
      <w:r w:rsidRPr="0057415D">
        <w:rPr>
          <w:rFonts w:asciiTheme="majorHAnsi" w:hAnsiTheme="majorHAnsi"/>
          <w:i/>
          <w:sz w:val="22"/>
          <w:szCs w:val="22"/>
        </w:rPr>
        <w:t xml:space="preserve">BMJ </w:t>
      </w:r>
      <w:r w:rsidRPr="0057415D">
        <w:rPr>
          <w:rFonts w:asciiTheme="majorHAnsi" w:hAnsiTheme="majorHAnsi"/>
          <w:sz w:val="22"/>
          <w:szCs w:val="22"/>
        </w:rPr>
        <w:t>1997</w:t>
      </w:r>
      <w:proofErr w:type="gramStart"/>
      <w:r w:rsidRPr="0057415D">
        <w:rPr>
          <w:rFonts w:asciiTheme="majorHAnsi" w:hAnsiTheme="majorHAnsi"/>
          <w:sz w:val="22"/>
          <w:szCs w:val="22"/>
        </w:rPr>
        <w:t>;314</w:t>
      </w:r>
      <w:proofErr w:type="gramEnd"/>
      <w:r w:rsidRPr="0057415D">
        <w:rPr>
          <w:rFonts w:asciiTheme="majorHAnsi" w:hAnsiTheme="majorHAnsi"/>
          <w:sz w:val="22"/>
          <w:szCs w:val="22"/>
        </w:rPr>
        <w:t>(7083):794-795.</w:t>
      </w:r>
    </w:p>
    <w:p w14:paraId="47D9E398" w14:textId="339F0300" w:rsidR="00560864" w:rsidRPr="0057415D" w:rsidRDefault="00A7693F" w:rsidP="00AA732D">
      <w:pPr>
        <w:pStyle w:val="NormalWeb"/>
        <w:numPr>
          <w:ilvl w:val="0"/>
          <w:numId w:val="3"/>
        </w:numPr>
        <w:spacing w:line="480" w:lineRule="auto"/>
        <w:ind w:left="426" w:right="-57" w:hanging="568"/>
        <w:rPr>
          <w:rFonts w:asciiTheme="majorHAnsi" w:hAnsiTheme="majorHAnsi"/>
          <w:sz w:val="22"/>
          <w:szCs w:val="22"/>
        </w:rPr>
      </w:pPr>
      <w:proofErr w:type="spellStart"/>
      <w:r w:rsidRPr="0057415D">
        <w:rPr>
          <w:rFonts w:asciiTheme="majorHAnsi" w:hAnsiTheme="majorHAnsi"/>
          <w:sz w:val="22"/>
          <w:szCs w:val="22"/>
        </w:rPr>
        <w:t>Idrovo</w:t>
      </w:r>
      <w:proofErr w:type="spellEnd"/>
      <w:r w:rsidRPr="0057415D">
        <w:rPr>
          <w:rFonts w:asciiTheme="majorHAnsi" w:hAnsiTheme="majorHAnsi"/>
          <w:sz w:val="22"/>
          <w:szCs w:val="22"/>
        </w:rPr>
        <w:t xml:space="preserve"> AJ. Three criteria for ecological fallacy. </w:t>
      </w:r>
      <w:r w:rsidRPr="0057415D">
        <w:rPr>
          <w:rFonts w:asciiTheme="majorHAnsi" w:hAnsiTheme="majorHAnsi"/>
          <w:i/>
          <w:sz w:val="22"/>
          <w:szCs w:val="22"/>
        </w:rPr>
        <w:t xml:space="preserve">Environ Health </w:t>
      </w:r>
      <w:proofErr w:type="spellStart"/>
      <w:r w:rsidRPr="0057415D">
        <w:rPr>
          <w:rFonts w:asciiTheme="majorHAnsi" w:hAnsiTheme="majorHAnsi"/>
          <w:i/>
          <w:sz w:val="22"/>
          <w:szCs w:val="22"/>
        </w:rPr>
        <w:t>Perspect</w:t>
      </w:r>
      <w:proofErr w:type="spellEnd"/>
      <w:r w:rsidRPr="0057415D">
        <w:rPr>
          <w:rFonts w:asciiTheme="majorHAnsi" w:hAnsiTheme="majorHAnsi"/>
          <w:sz w:val="22"/>
          <w:szCs w:val="22"/>
        </w:rPr>
        <w:t xml:space="preserve"> 2011</w:t>
      </w:r>
      <w:proofErr w:type="gramStart"/>
      <w:r w:rsidRPr="0057415D">
        <w:rPr>
          <w:rFonts w:asciiTheme="majorHAnsi" w:hAnsiTheme="majorHAnsi"/>
          <w:sz w:val="22"/>
          <w:szCs w:val="22"/>
        </w:rPr>
        <w:t>;119</w:t>
      </w:r>
      <w:proofErr w:type="gramEnd"/>
      <w:r w:rsidRPr="0057415D">
        <w:rPr>
          <w:rFonts w:asciiTheme="majorHAnsi" w:hAnsiTheme="majorHAnsi"/>
          <w:sz w:val="22"/>
          <w:szCs w:val="22"/>
        </w:rPr>
        <w:t>(8):A332.</w:t>
      </w:r>
    </w:p>
    <w:sectPr w:rsidR="00560864" w:rsidRPr="0057415D" w:rsidSect="008D4D37">
      <w:headerReference w:type="default" r:id="rId12"/>
      <w:footerReference w:type="default" r:id="rId13"/>
      <w:pgSz w:w="11900" w:h="16840"/>
      <w:pgMar w:top="1276" w:right="1127" w:bottom="1440" w:left="1134"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D0554F" w15:done="0"/>
  <w15:commentEx w15:paraId="7F511843" w15:done="0"/>
  <w15:commentEx w15:paraId="4A0C50A0" w15:done="0"/>
  <w15:commentEx w15:paraId="032F4FD7"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09413" w14:textId="77777777" w:rsidR="007275BF" w:rsidRDefault="007275BF" w:rsidP="00F85C87">
      <w:r>
        <w:separator/>
      </w:r>
    </w:p>
  </w:endnote>
  <w:endnote w:type="continuationSeparator" w:id="0">
    <w:p w14:paraId="191B5584" w14:textId="77777777" w:rsidR="007275BF" w:rsidRDefault="007275BF" w:rsidP="00F8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D4C4F" w14:textId="5C2101D0" w:rsidR="007275BF" w:rsidRPr="00F85C87" w:rsidRDefault="007275BF" w:rsidP="00F85C87">
    <w:pPr>
      <w:pStyle w:val="Footer"/>
      <w:jc w:val="center"/>
      <w:rPr>
        <w:rFonts w:asciiTheme="majorHAnsi" w:hAnsiTheme="majorHAnsi"/>
        <w:sz w:val="22"/>
      </w:rPr>
    </w:pPr>
    <w:r w:rsidRPr="00F85C87">
      <w:rPr>
        <w:rStyle w:val="PageNumber"/>
        <w:rFonts w:asciiTheme="majorHAnsi" w:hAnsiTheme="majorHAnsi"/>
        <w:sz w:val="22"/>
      </w:rPr>
      <w:fldChar w:fldCharType="begin"/>
    </w:r>
    <w:r w:rsidRPr="00F85C87">
      <w:rPr>
        <w:rStyle w:val="PageNumber"/>
        <w:rFonts w:asciiTheme="majorHAnsi" w:hAnsiTheme="majorHAnsi"/>
        <w:sz w:val="22"/>
      </w:rPr>
      <w:instrText xml:space="preserve"> PAGE </w:instrText>
    </w:r>
    <w:r w:rsidRPr="00F85C87">
      <w:rPr>
        <w:rStyle w:val="PageNumber"/>
        <w:rFonts w:asciiTheme="majorHAnsi" w:hAnsiTheme="majorHAnsi"/>
        <w:sz w:val="22"/>
      </w:rPr>
      <w:fldChar w:fldCharType="separate"/>
    </w:r>
    <w:r w:rsidR="000C5E76">
      <w:rPr>
        <w:rStyle w:val="PageNumber"/>
        <w:rFonts w:asciiTheme="majorHAnsi" w:hAnsiTheme="majorHAnsi"/>
        <w:noProof/>
        <w:sz w:val="22"/>
      </w:rPr>
      <w:t>1</w:t>
    </w:r>
    <w:r w:rsidRPr="00F85C87">
      <w:rPr>
        <w:rStyle w:val="PageNumber"/>
        <w:rFonts w:asciiTheme="majorHAnsi" w:hAnsiTheme="majorHAnsi"/>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184E3" w14:textId="77777777" w:rsidR="007275BF" w:rsidRDefault="007275BF" w:rsidP="00F85C87">
      <w:r>
        <w:separator/>
      </w:r>
    </w:p>
  </w:footnote>
  <w:footnote w:type="continuationSeparator" w:id="0">
    <w:p w14:paraId="54FF0C0C" w14:textId="77777777" w:rsidR="007275BF" w:rsidRDefault="007275BF" w:rsidP="00F85C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D3176" w14:textId="56ECCD40" w:rsidR="007275BF" w:rsidRPr="00F85C87" w:rsidRDefault="007275BF" w:rsidP="00F85C87">
    <w:pPr>
      <w:pStyle w:val="Header"/>
      <w:jc w:val="right"/>
      <w:rPr>
        <w:rFonts w:asciiTheme="majorHAnsi" w:hAnsiTheme="majorHAnsi"/>
        <w:sz w:val="22"/>
      </w:rPr>
    </w:pPr>
    <w:r>
      <w:rPr>
        <w:rFonts w:asciiTheme="majorHAnsi" w:hAnsiTheme="majorHAnsi"/>
        <w:sz w:val="22"/>
      </w:rPr>
      <w:t xml:space="preserve">Dr Sarah Blagden, Daniel Hungerford, Dr Mark </w:t>
    </w:r>
    <w:proofErr w:type="spellStart"/>
    <w:r>
      <w:rPr>
        <w:rFonts w:asciiTheme="majorHAnsi" w:hAnsiTheme="majorHAnsi"/>
        <w:sz w:val="22"/>
      </w:rPr>
      <w:t>Limmer</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849"/>
    <w:multiLevelType w:val="hybridMultilevel"/>
    <w:tmpl w:val="D668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D22AF0"/>
    <w:multiLevelType w:val="hybridMultilevel"/>
    <w:tmpl w:val="22C0A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9063D"/>
    <w:multiLevelType w:val="hybridMultilevel"/>
    <w:tmpl w:val="E130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73353"/>
    <w:multiLevelType w:val="hybridMultilevel"/>
    <w:tmpl w:val="8A2A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61FA7"/>
    <w:multiLevelType w:val="hybridMultilevel"/>
    <w:tmpl w:val="DA1C1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F55300"/>
    <w:multiLevelType w:val="hybridMultilevel"/>
    <w:tmpl w:val="BBF8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ngerford, Dan">
    <w15:presenceInfo w15:providerId="AD" w15:userId="S-1-5-21-137024685-2204166116-4157399963-300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F8"/>
    <w:rsid w:val="0000584B"/>
    <w:rsid w:val="00017B49"/>
    <w:rsid w:val="0002119C"/>
    <w:rsid w:val="000345B0"/>
    <w:rsid w:val="00054A1F"/>
    <w:rsid w:val="00060236"/>
    <w:rsid w:val="00063FFE"/>
    <w:rsid w:val="00093C94"/>
    <w:rsid w:val="000B1536"/>
    <w:rsid w:val="000C5E76"/>
    <w:rsid w:val="000F41AD"/>
    <w:rsid w:val="001001B1"/>
    <w:rsid w:val="00110A72"/>
    <w:rsid w:val="00147C3A"/>
    <w:rsid w:val="001923CE"/>
    <w:rsid w:val="001A1BA3"/>
    <w:rsid w:val="001A42DC"/>
    <w:rsid w:val="001A602C"/>
    <w:rsid w:val="001C20EA"/>
    <w:rsid w:val="001C46CF"/>
    <w:rsid w:val="001C6BE2"/>
    <w:rsid w:val="001D6DD3"/>
    <w:rsid w:val="001F1615"/>
    <w:rsid w:val="002026CF"/>
    <w:rsid w:val="00202DAB"/>
    <w:rsid w:val="002030E7"/>
    <w:rsid w:val="00203D9B"/>
    <w:rsid w:val="002162B7"/>
    <w:rsid w:val="00220283"/>
    <w:rsid w:val="00220522"/>
    <w:rsid w:val="00232DF9"/>
    <w:rsid w:val="002525BA"/>
    <w:rsid w:val="00252F64"/>
    <w:rsid w:val="002A6BD4"/>
    <w:rsid w:val="002C5D8B"/>
    <w:rsid w:val="002C7148"/>
    <w:rsid w:val="003141B9"/>
    <w:rsid w:val="00316DBC"/>
    <w:rsid w:val="00335F3B"/>
    <w:rsid w:val="003438BE"/>
    <w:rsid w:val="00345D11"/>
    <w:rsid w:val="00347DBD"/>
    <w:rsid w:val="003556A1"/>
    <w:rsid w:val="00371054"/>
    <w:rsid w:val="0038527E"/>
    <w:rsid w:val="003A3DA1"/>
    <w:rsid w:val="003A55FB"/>
    <w:rsid w:val="003C1F94"/>
    <w:rsid w:val="003D4E84"/>
    <w:rsid w:val="0042280D"/>
    <w:rsid w:val="0042722E"/>
    <w:rsid w:val="00427AA1"/>
    <w:rsid w:val="00434C6B"/>
    <w:rsid w:val="00451D96"/>
    <w:rsid w:val="004553E2"/>
    <w:rsid w:val="00466DE0"/>
    <w:rsid w:val="004712AA"/>
    <w:rsid w:val="00475CA6"/>
    <w:rsid w:val="00475EAF"/>
    <w:rsid w:val="004776C0"/>
    <w:rsid w:val="004B04B1"/>
    <w:rsid w:val="004B3360"/>
    <w:rsid w:val="004B372A"/>
    <w:rsid w:val="004D3C4E"/>
    <w:rsid w:val="004E145A"/>
    <w:rsid w:val="004E25D3"/>
    <w:rsid w:val="004E35EE"/>
    <w:rsid w:val="004E52F8"/>
    <w:rsid w:val="00517076"/>
    <w:rsid w:val="00535CA8"/>
    <w:rsid w:val="00553631"/>
    <w:rsid w:val="00556A89"/>
    <w:rsid w:val="00560521"/>
    <w:rsid w:val="00560864"/>
    <w:rsid w:val="0057415D"/>
    <w:rsid w:val="005768B1"/>
    <w:rsid w:val="005811AB"/>
    <w:rsid w:val="005901C4"/>
    <w:rsid w:val="005923C5"/>
    <w:rsid w:val="005A30F1"/>
    <w:rsid w:val="005E69C2"/>
    <w:rsid w:val="005E7CB0"/>
    <w:rsid w:val="005F4DA7"/>
    <w:rsid w:val="00635333"/>
    <w:rsid w:val="006502E5"/>
    <w:rsid w:val="006646BE"/>
    <w:rsid w:val="00665D6F"/>
    <w:rsid w:val="00671C99"/>
    <w:rsid w:val="006A2C67"/>
    <w:rsid w:val="006E6F21"/>
    <w:rsid w:val="00707FC2"/>
    <w:rsid w:val="0071753F"/>
    <w:rsid w:val="00726988"/>
    <w:rsid w:val="007275BF"/>
    <w:rsid w:val="00727D32"/>
    <w:rsid w:val="00733353"/>
    <w:rsid w:val="007351A4"/>
    <w:rsid w:val="0074159F"/>
    <w:rsid w:val="00742BE2"/>
    <w:rsid w:val="00753970"/>
    <w:rsid w:val="00760CD4"/>
    <w:rsid w:val="0076101C"/>
    <w:rsid w:val="007649D1"/>
    <w:rsid w:val="0079072B"/>
    <w:rsid w:val="007A02EB"/>
    <w:rsid w:val="007E045D"/>
    <w:rsid w:val="007E3CE2"/>
    <w:rsid w:val="007E7002"/>
    <w:rsid w:val="00803E5E"/>
    <w:rsid w:val="008150A2"/>
    <w:rsid w:val="008241D2"/>
    <w:rsid w:val="008417D3"/>
    <w:rsid w:val="00874F17"/>
    <w:rsid w:val="008814DF"/>
    <w:rsid w:val="0088576A"/>
    <w:rsid w:val="008955F0"/>
    <w:rsid w:val="008A4D4E"/>
    <w:rsid w:val="008A740D"/>
    <w:rsid w:val="008B2CBE"/>
    <w:rsid w:val="008C0DE2"/>
    <w:rsid w:val="008D3F67"/>
    <w:rsid w:val="008D4D37"/>
    <w:rsid w:val="00902C37"/>
    <w:rsid w:val="009217F5"/>
    <w:rsid w:val="00923F5D"/>
    <w:rsid w:val="00931033"/>
    <w:rsid w:val="00961C86"/>
    <w:rsid w:val="00966954"/>
    <w:rsid w:val="0098799E"/>
    <w:rsid w:val="00994262"/>
    <w:rsid w:val="009C293D"/>
    <w:rsid w:val="009C486B"/>
    <w:rsid w:val="009D4B0B"/>
    <w:rsid w:val="009E48C6"/>
    <w:rsid w:val="00A02DEA"/>
    <w:rsid w:val="00A06FC7"/>
    <w:rsid w:val="00A13336"/>
    <w:rsid w:val="00A36F0E"/>
    <w:rsid w:val="00A415E6"/>
    <w:rsid w:val="00A527C5"/>
    <w:rsid w:val="00A7693F"/>
    <w:rsid w:val="00A77446"/>
    <w:rsid w:val="00A8197D"/>
    <w:rsid w:val="00A91ACF"/>
    <w:rsid w:val="00AA721E"/>
    <w:rsid w:val="00AA732D"/>
    <w:rsid w:val="00AA7409"/>
    <w:rsid w:val="00AB39F7"/>
    <w:rsid w:val="00AB5446"/>
    <w:rsid w:val="00AC5863"/>
    <w:rsid w:val="00AD4DB0"/>
    <w:rsid w:val="00AD53EA"/>
    <w:rsid w:val="00AD5AF2"/>
    <w:rsid w:val="00AF55A1"/>
    <w:rsid w:val="00B00C07"/>
    <w:rsid w:val="00B53AE3"/>
    <w:rsid w:val="00BC2ACD"/>
    <w:rsid w:val="00BC7B07"/>
    <w:rsid w:val="00BD0FCE"/>
    <w:rsid w:val="00BD5099"/>
    <w:rsid w:val="00BE1BAF"/>
    <w:rsid w:val="00BE39F3"/>
    <w:rsid w:val="00C16283"/>
    <w:rsid w:val="00C35B40"/>
    <w:rsid w:val="00C76219"/>
    <w:rsid w:val="00CD1129"/>
    <w:rsid w:val="00CD3795"/>
    <w:rsid w:val="00CE62E7"/>
    <w:rsid w:val="00CE6492"/>
    <w:rsid w:val="00CF15BA"/>
    <w:rsid w:val="00D01386"/>
    <w:rsid w:val="00D22211"/>
    <w:rsid w:val="00D2252A"/>
    <w:rsid w:val="00D32E92"/>
    <w:rsid w:val="00D37CE8"/>
    <w:rsid w:val="00D521E3"/>
    <w:rsid w:val="00D57F17"/>
    <w:rsid w:val="00D730CB"/>
    <w:rsid w:val="00D8466E"/>
    <w:rsid w:val="00D84A33"/>
    <w:rsid w:val="00D9554A"/>
    <w:rsid w:val="00D96FB8"/>
    <w:rsid w:val="00DA1EBC"/>
    <w:rsid w:val="00DB6CBE"/>
    <w:rsid w:val="00DC6F82"/>
    <w:rsid w:val="00DD512F"/>
    <w:rsid w:val="00DE0332"/>
    <w:rsid w:val="00DE6ED2"/>
    <w:rsid w:val="00DF0803"/>
    <w:rsid w:val="00E041AC"/>
    <w:rsid w:val="00E15FCB"/>
    <w:rsid w:val="00E244C1"/>
    <w:rsid w:val="00E27083"/>
    <w:rsid w:val="00E60287"/>
    <w:rsid w:val="00E65869"/>
    <w:rsid w:val="00E727E5"/>
    <w:rsid w:val="00E72C82"/>
    <w:rsid w:val="00E73C32"/>
    <w:rsid w:val="00E81071"/>
    <w:rsid w:val="00E83B73"/>
    <w:rsid w:val="00E87834"/>
    <w:rsid w:val="00E92963"/>
    <w:rsid w:val="00EB4052"/>
    <w:rsid w:val="00ED38A7"/>
    <w:rsid w:val="00ED3FBD"/>
    <w:rsid w:val="00ED596E"/>
    <w:rsid w:val="00EF3A4B"/>
    <w:rsid w:val="00F107A1"/>
    <w:rsid w:val="00F1081C"/>
    <w:rsid w:val="00F413F8"/>
    <w:rsid w:val="00F55BD3"/>
    <w:rsid w:val="00F81B7A"/>
    <w:rsid w:val="00F85C87"/>
    <w:rsid w:val="00F87FF0"/>
    <w:rsid w:val="00F96742"/>
    <w:rsid w:val="00FB4AAB"/>
    <w:rsid w:val="00FC2AAB"/>
    <w:rsid w:val="00FD1741"/>
    <w:rsid w:val="00FD65E6"/>
    <w:rsid w:val="00FF0926"/>
    <w:rsid w:val="00FF0A34"/>
    <w:rsid w:val="00FF5127"/>
    <w:rsid w:val="00FF74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18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E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EBC"/>
    <w:rPr>
      <w:rFonts w:ascii="Lucida Grande" w:hAnsi="Lucida Grande" w:cs="Lucida Grande"/>
      <w:sz w:val="18"/>
      <w:szCs w:val="18"/>
    </w:rPr>
  </w:style>
  <w:style w:type="table" w:styleId="TableGrid">
    <w:name w:val="Table Grid"/>
    <w:basedOn w:val="TableNormal"/>
    <w:uiPriority w:val="59"/>
    <w:rsid w:val="001C2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7CB0"/>
    <w:pPr>
      <w:ind w:left="720"/>
      <w:contextualSpacing/>
    </w:pPr>
  </w:style>
  <w:style w:type="paragraph" w:styleId="Header">
    <w:name w:val="header"/>
    <w:basedOn w:val="Normal"/>
    <w:link w:val="HeaderChar"/>
    <w:uiPriority w:val="99"/>
    <w:unhideWhenUsed/>
    <w:rsid w:val="00F85C87"/>
    <w:pPr>
      <w:tabs>
        <w:tab w:val="center" w:pos="4320"/>
        <w:tab w:val="right" w:pos="8640"/>
      </w:tabs>
    </w:pPr>
  </w:style>
  <w:style w:type="character" w:customStyle="1" w:styleId="HeaderChar">
    <w:name w:val="Header Char"/>
    <w:basedOn w:val="DefaultParagraphFont"/>
    <w:link w:val="Header"/>
    <w:uiPriority w:val="99"/>
    <w:rsid w:val="00F85C87"/>
  </w:style>
  <w:style w:type="paragraph" w:styleId="Footer">
    <w:name w:val="footer"/>
    <w:basedOn w:val="Normal"/>
    <w:link w:val="FooterChar"/>
    <w:uiPriority w:val="99"/>
    <w:unhideWhenUsed/>
    <w:rsid w:val="00F85C87"/>
    <w:pPr>
      <w:tabs>
        <w:tab w:val="center" w:pos="4320"/>
        <w:tab w:val="right" w:pos="8640"/>
      </w:tabs>
    </w:pPr>
  </w:style>
  <w:style w:type="character" w:customStyle="1" w:styleId="FooterChar">
    <w:name w:val="Footer Char"/>
    <w:basedOn w:val="DefaultParagraphFont"/>
    <w:link w:val="Footer"/>
    <w:uiPriority w:val="99"/>
    <w:rsid w:val="00F85C87"/>
  </w:style>
  <w:style w:type="character" w:styleId="PageNumber">
    <w:name w:val="page number"/>
    <w:basedOn w:val="DefaultParagraphFont"/>
    <w:uiPriority w:val="99"/>
    <w:semiHidden/>
    <w:unhideWhenUsed/>
    <w:rsid w:val="00F85C87"/>
  </w:style>
  <w:style w:type="paragraph" w:styleId="NormalWeb">
    <w:name w:val="Normal (Web)"/>
    <w:basedOn w:val="Normal"/>
    <w:uiPriority w:val="99"/>
    <w:unhideWhenUsed/>
    <w:rsid w:val="00FD65E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D65E6"/>
    <w:rPr>
      <w:color w:val="0000FF"/>
      <w:u w:val="single"/>
    </w:rPr>
  </w:style>
  <w:style w:type="character" w:styleId="FollowedHyperlink">
    <w:name w:val="FollowedHyperlink"/>
    <w:basedOn w:val="DefaultParagraphFont"/>
    <w:uiPriority w:val="99"/>
    <w:semiHidden/>
    <w:unhideWhenUsed/>
    <w:rsid w:val="0038527E"/>
    <w:rPr>
      <w:color w:val="800080" w:themeColor="followedHyperlink"/>
      <w:u w:val="single"/>
    </w:rPr>
  </w:style>
  <w:style w:type="character" w:styleId="LineNumber">
    <w:name w:val="line number"/>
    <w:basedOn w:val="DefaultParagraphFont"/>
    <w:uiPriority w:val="99"/>
    <w:semiHidden/>
    <w:unhideWhenUsed/>
    <w:rsid w:val="008D4D37"/>
  </w:style>
  <w:style w:type="character" w:styleId="CommentReference">
    <w:name w:val="annotation reference"/>
    <w:basedOn w:val="DefaultParagraphFont"/>
    <w:uiPriority w:val="99"/>
    <w:semiHidden/>
    <w:unhideWhenUsed/>
    <w:rsid w:val="001001B1"/>
    <w:rPr>
      <w:sz w:val="16"/>
      <w:szCs w:val="16"/>
    </w:rPr>
  </w:style>
  <w:style w:type="paragraph" w:styleId="CommentText">
    <w:name w:val="annotation text"/>
    <w:basedOn w:val="Normal"/>
    <w:link w:val="CommentTextChar"/>
    <w:uiPriority w:val="99"/>
    <w:semiHidden/>
    <w:unhideWhenUsed/>
    <w:rsid w:val="001001B1"/>
    <w:rPr>
      <w:sz w:val="20"/>
      <w:szCs w:val="20"/>
    </w:rPr>
  </w:style>
  <w:style w:type="character" w:customStyle="1" w:styleId="CommentTextChar">
    <w:name w:val="Comment Text Char"/>
    <w:basedOn w:val="DefaultParagraphFont"/>
    <w:link w:val="CommentText"/>
    <w:uiPriority w:val="99"/>
    <w:semiHidden/>
    <w:rsid w:val="001001B1"/>
    <w:rPr>
      <w:sz w:val="20"/>
      <w:szCs w:val="20"/>
    </w:rPr>
  </w:style>
  <w:style w:type="paragraph" w:styleId="CommentSubject">
    <w:name w:val="annotation subject"/>
    <w:basedOn w:val="CommentText"/>
    <w:next w:val="CommentText"/>
    <w:link w:val="CommentSubjectChar"/>
    <w:uiPriority w:val="99"/>
    <w:semiHidden/>
    <w:unhideWhenUsed/>
    <w:rsid w:val="001001B1"/>
    <w:rPr>
      <w:b/>
      <w:bCs/>
    </w:rPr>
  </w:style>
  <w:style w:type="character" w:customStyle="1" w:styleId="CommentSubjectChar">
    <w:name w:val="Comment Subject Char"/>
    <w:basedOn w:val="CommentTextChar"/>
    <w:link w:val="CommentSubject"/>
    <w:uiPriority w:val="99"/>
    <w:semiHidden/>
    <w:rsid w:val="001001B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E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EBC"/>
    <w:rPr>
      <w:rFonts w:ascii="Lucida Grande" w:hAnsi="Lucida Grande" w:cs="Lucida Grande"/>
      <w:sz w:val="18"/>
      <w:szCs w:val="18"/>
    </w:rPr>
  </w:style>
  <w:style w:type="table" w:styleId="TableGrid">
    <w:name w:val="Table Grid"/>
    <w:basedOn w:val="TableNormal"/>
    <w:uiPriority w:val="59"/>
    <w:rsid w:val="001C2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7CB0"/>
    <w:pPr>
      <w:ind w:left="720"/>
      <w:contextualSpacing/>
    </w:pPr>
  </w:style>
  <w:style w:type="paragraph" w:styleId="Header">
    <w:name w:val="header"/>
    <w:basedOn w:val="Normal"/>
    <w:link w:val="HeaderChar"/>
    <w:uiPriority w:val="99"/>
    <w:unhideWhenUsed/>
    <w:rsid w:val="00F85C87"/>
    <w:pPr>
      <w:tabs>
        <w:tab w:val="center" w:pos="4320"/>
        <w:tab w:val="right" w:pos="8640"/>
      </w:tabs>
    </w:pPr>
  </w:style>
  <w:style w:type="character" w:customStyle="1" w:styleId="HeaderChar">
    <w:name w:val="Header Char"/>
    <w:basedOn w:val="DefaultParagraphFont"/>
    <w:link w:val="Header"/>
    <w:uiPriority w:val="99"/>
    <w:rsid w:val="00F85C87"/>
  </w:style>
  <w:style w:type="paragraph" w:styleId="Footer">
    <w:name w:val="footer"/>
    <w:basedOn w:val="Normal"/>
    <w:link w:val="FooterChar"/>
    <w:uiPriority w:val="99"/>
    <w:unhideWhenUsed/>
    <w:rsid w:val="00F85C87"/>
    <w:pPr>
      <w:tabs>
        <w:tab w:val="center" w:pos="4320"/>
        <w:tab w:val="right" w:pos="8640"/>
      </w:tabs>
    </w:pPr>
  </w:style>
  <w:style w:type="character" w:customStyle="1" w:styleId="FooterChar">
    <w:name w:val="Footer Char"/>
    <w:basedOn w:val="DefaultParagraphFont"/>
    <w:link w:val="Footer"/>
    <w:uiPriority w:val="99"/>
    <w:rsid w:val="00F85C87"/>
  </w:style>
  <w:style w:type="character" w:styleId="PageNumber">
    <w:name w:val="page number"/>
    <w:basedOn w:val="DefaultParagraphFont"/>
    <w:uiPriority w:val="99"/>
    <w:semiHidden/>
    <w:unhideWhenUsed/>
    <w:rsid w:val="00F85C87"/>
  </w:style>
  <w:style w:type="paragraph" w:styleId="NormalWeb">
    <w:name w:val="Normal (Web)"/>
    <w:basedOn w:val="Normal"/>
    <w:uiPriority w:val="99"/>
    <w:unhideWhenUsed/>
    <w:rsid w:val="00FD65E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D65E6"/>
    <w:rPr>
      <w:color w:val="0000FF"/>
      <w:u w:val="single"/>
    </w:rPr>
  </w:style>
  <w:style w:type="character" w:styleId="FollowedHyperlink">
    <w:name w:val="FollowedHyperlink"/>
    <w:basedOn w:val="DefaultParagraphFont"/>
    <w:uiPriority w:val="99"/>
    <w:semiHidden/>
    <w:unhideWhenUsed/>
    <w:rsid w:val="0038527E"/>
    <w:rPr>
      <w:color w:val="800080" w:themeColor="followedHyperlink"/>
      <w:u w:val="single"/>
    </w:rPr>
  </w:style>
  <w:style w:type="character" w:styleId="LineNumber">
    <w:name w:val="line number"/>
    <w:basedOn w:val="DefaultParagraphFont"/>
    <w:uiPriority w:val="99"/>
    <w:semiHidden/>
    <w:unhideWhenUsed/>
    <w:rsid w:val="008D4D37"/>
  </w:style>
  <w:style w:type="character" w:styleId="CommentReference">
    <w:name w:val="annotation reference"/>
    <w:basedOn w:val="DefaultParagraphFont"/>
    <w:uiPriority w:val="99"/>
    <w:semiHidden/>
    <w:unhideWhenUsed/>
    <w:rsid w:val="001001B1"/>
    <w:rPr>
      <w:sz w:val="16"/>
      <w:szCs w:val="16"/>
    </w:rPr>
  </w:style>
  <w:style w:type="paragraph" w:styleId="CommentText">
    <w:name w:val="annotation text"/>
    <w:basedOn w:val="Normal"/>
    <w:link w:val="CommentTextChar"/>
    <w:uiPriority w:val="99"/>
    <w:semiHidden/>
    <w:unhideWhenUsed/>
    <w:rsid w:val="001001B1"/>
    <w:rPr>
      <w:sz w:val="20"/>
      <w:szCs w:val="20"/>
    </w:rPr>
  </w:style>
  <w:style w:type="character" w:customStyle="1" w:styleId="CommentTextChar">
    <w:name w:val="Comment Text Char"/>
    <w:basedOn w:val="DefaultParagraphFont"/>
    <w:link w:val="CommentText"/>
    <w:uiPriority w:val="99"/>
    <w:semiHidden/>
    <w:rsid w:val="001001B1"/>
    <w:rPr>
      <w:sz w:val="20"/>
      <w:szCs w:val="20"/>
    </w:rPr>
  </w:style>
  <w:style w:type="paragraph" w:styleId="CommentSubject">
    <w:name w:val="annotation subject"/>
    <w:basedOn w:val="CommentText"/>
    <w:next w:val="CommentText"/>
    <w:link w:val="CommentSubjectChar"/>
    <w:uiPriority w:val="99"/>
    <w:semiHidden/>
    <w:unhideWhenUsed/>
    <w:rsid w:val="001001B1"/>
    <w:rPr>
      <w:b/>
      <w:bCs/>
    </w:rPr>
  </w:style>
  <w:style w:type="character" w:customStyle="1" w:styleId="CommentSubjectChar">
    <w:name w:val="Comment Subject Char"/>
    <w:basedOn w:val="CommentTextChar"/>
    <w:link w:val="CommentSubject"/>
    <w:uiPriority w:val="99"/>
    <w:semiHidden/>
    <w:rsid w:val="001001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298">
      <w:bodyDiv w:val="1"/>
      <w:marLeft w:val="0"/>
      <w:marRight w:val="0"/>
      <w:marTop w:val="0"/>
      <w:marBottom w:val="0"/>
      <w:divBdr>
        <w:top w:val="none" w:sz="0" w:space="0" w:color="auto"/>
        <w:left w:val="none" w:sz="0" w:space="0" w:color="auto"/>
        <w:bottom w:val="none" w:sz="0" w:space="0" w:color="auto"/>
        <w:right w:val="none" w:sz="0" w:space="0" w:color="auto"/>
      </w:divBdr>
    </w:div>
    <w:div w:id="82841768">
      <w:bodyDiv w:val="1"/>
      <w:marLeft w:val="0"/>
      <w:marRight w:val="0"/>
      <w:marTop w:val="0"/>
      <w:marBottom w:val="0"/>
      <w:divBdr>
        <w:top w:val="none" w:sz="0" w:space="0" w:color="auto"/>
        <w:left w:val="none" w:sz="0" w:space="0" w:color="auto"/>
        <w:bottom w:val="none" w:sz="0" w:space="0" w:color="auto"/>
        <w:right w:val="none" w:sz="0" w:space="0" w:color="auto"/>
      </w:divBdr>
    </w:div>
    <w:div w:id="352727257">
      <w:bodyDiv w:val="1"/>
      <w:marLeft w:val="0"/>
      <w:marRight w:val="0"/>
      <w:marTop w:val="0"/>
      <w:marBottom w:val="0"/>
      <w:divBdr>
        <w:top w:val="none" w:sz="0" w:space="0" w:color="auto"/>
        <w:left w:val="none" w:sz="0" w:space="0" w:color="auto"/>
        <w:bottom w:val="none" w:sz="0" w:space="0" w:color="auto"/>
        <w:right w:val="none" w:sz="0" w:space="0" w:color="auto"/>
      </w:divBdr>
    </w:div>
    <w:div w:id="836652434">
      <w:bodyDiv w:val="1"/>
      <w:marLeft w:val="0"/>
      <w:marRight w:val="0"/>
      <w:marTop w:val="0"/>
      <w:marBottom w:val="0"/>
      <w:divBdr>
        <w:top w:val="none" w:sz="0" w:space="0" w:color="auto"/>
        <w:left w:val="none" w:sz="0" w:space="0" w:color="auto"/>
        <w:bottom w:val="none" w:sz="0" w:space="0" w:color="auto"/>
        <w:right w:val="none" w:sz="0" w:space="0" w:color="auto"/>
      </w:divBdr>
    </w:div>
    <w:div w:id="918755672">
      <w:bodyDiv w:val="1"/>
      <w:marLeft w:val="0"/>
      <w:marRight w:val="0"/>
      <w:marTop w:val="0"/>
      <w:marBottom w:val="0"/>
      <w:divBdr>
        <w:top w:val="none" w:sz="0" w:space="0" w:color="auto"/>
        <w:left w:val="none" w:sz="0" w:space="0" w:color="auto"/>
        <w:bottom w:val="none" w:sz="0" w:space="0" w:color="auto"/>
        <w:right w:val="none" w:sz="0" w:space="0" w:color="auto"/>
      </w:divBdr>
    </w:div>
    <w:div w:id="1148598296">
      <w:bodyDiv w:val="1"/>
      <w:marLeft w:val="0"/>
      <w:marRight w:val="0"/>
      <w:marTop w:val="0"/>
      <w:marBottom w:val="0"/>
      <w:divBdr>
        <w:top w:val="none" w:sz="0" w:space="0" w:color="auto"/>
        <w:left w:val="none" w:sz="0" w:space="0" w:color="auto"/>
        <w:bottom w:val="none" w:sz="0" w:space="0" w:color="auto"/>
        <w:right w:val="none" w:sz="0" w:space="0" w:color="auto"/>
      </w:divBdr>
    </w:div>
    <w:div w:id="1215580913">
      <w:bodyDiv w:val="1"/>
      <w:marLeft w:val="0"/>
      <w:marRight w:val="0"/>
      <w:marTop w:val="0"/>
      <w:marBottom w:val="0"/>
      <w:divBdr>
        <w:top w:val="none" w:sz="0" w:space="0" w:color="auto"/>
        <w:left w:val="none" w:sz="0" w:space="0" w:color="auto"/>
        <w:bottom w:val="none" w:sz="0" w:space="0" w:color="auto"/>
        <w:right w:val="none" w:sz="0" w:space="0" w:color="auto"/>
      </w:divBdr>
    </w:div>
    <w:div w:id="1624724309">
      <w:bodyDiv w:val="1"/>
      <w:marLeft w:val="0"/>
      <w:marRight w:val="0"/>
      <w:marTop w:val="0"/>
      <w:marBottom w:val="0"/>
      <w:divBdr>
        <w:top w:val="none" w:sz="0" w:space="0" w:color="auto"/>
        <w:left w:val="none" w:sz="0" w:space="0" w:color="auto"/>
        <w:bottom w:val="none" w:sz="0" w:space="0" w:color="auto"/>
        <w:right w:val="none" w:sz="0" w:space="0" w:color="auto"/>
      </w:divBdr>
    </w:div>
    <w:div w:id="1669792485">
      <w:bodyDiv w:val="1"/>
      <w:marLeft w:val="0"/>
      <w:marRight w:val="0"/>
      <w:marTop w:val="0"/>
      <w:marBottom w:val="0"/>
      <w:divBdr>
        <w:top w:val="none" w:sz="0" w:space="0" w:color="auto"/>
        <w:left w:val="none" w:sz="0" w:space="0" w:color="auto"/>
        <w:bottom w:val="none" w:sz="0" w:space="0" w:color="auto"/>
        <w:right w:val="none" w:sz="0" w:space="0" w:color="auto"/>
      </w:divBdr>
    </w:div>
    <w:div w:id="2033219867">
      <w:bodyDiv w:val="1"/>
      <w:marLeft w:val="0"/>
      <w:marRight w:val="0"/>
      <w:marTop w:val="0"/>
      <w:marBottom w:val="0"/>
      <w:divBdr>
        <w:top w:val="none" w:sz="0" w:space="0" w:color="auto"/>
        <w:left w:val="none" w:sz="0" w:space="0" w:color="auto"/>
        <w:bottom w:val="none" w:sz="0" w:space="0" w:color="auto"/>
        <w:right w:val="none" w:sz="0" w:space="0" w:color="auto"/>
      </w:divBdr>
    </w:div>
    <w:div w:id="204586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1" Type="http://schemas.microsoft.com/office/2011/relationships/people" Target="people.xml"/><Relationship Id="rId32" Type="http://schemas.microsoft.com/office/2011/relationships/commentsExtended" Target="commentsExtended.xml"/><Relationship Id="rId10" Type="http://schemas.openxmlformats.org/officeDocument/2006/relationships/hyperlink" Target="mailto:s.blagde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03153-DA38-FC4E-A917-8DC52B2F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6779</Words>
  <Characters>38642</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sarah</dc:creator>
  <cp:keywords/>
  <dc:description/>
  <cp:lastModifiedBy>sarah</cp:lastModifiedBy>
  <cp:revision>7</cp:revision>
  <dcterms:created xsi:type="dcterms:W3CDTF">2017-11-02T16:25:00Z</dcterms:created>
  <dcterms:modified xsi:type="dcterms:W3CDTF">2017-11-09T11:37:00Z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17206</vt:lpwstr>
  </property>
  <property fmtid="{D5CDD505-2E9C-101B-9397-08002B2CF9AE}" pid="3" name="WnCSubscriberId">
    <vt:lpwstr>4115</vt:lpwstr>
  </property>
  <property fmtid="{D5CDD505-2E9C-101B-9397-08002B2CF9AE}" pid="4" name="WnCOutputStyleId">
    <vt:lpwstr>165</vt:lpwstr>
  </property>
  <property fmtid="{D5CDD505-2E9C-101B-9397-08002B2CF9AE}" pid="5" name="RWProductId">
    <vt:lpwstr>WnC</vt:lpwstr>
  </property>
  <property fmtid="{D5CDD505-2E9C-101B-9397-08002B2CF9AE}" pid="6" name="WnCUser">
    <vt:lpwstr>sarahblagden@hotmail.com_4115</vt:lpwstr>
  </property>
  <property fmtid="{D5CDD505-2E9C-101B-9397-08002B2CF9AE}" pid="7" name="WnC4Folder">
    <vt:lpwstr>Documents///SBlagden MenACWY JPH_amendments(2)</vt:lpwstr>
  </property>
</Properties>
</file>