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228D4" w14:textId="1BBD9B0F" w:rsidR="00B550EB" w:rsidRPr="000263D7" w:rsidRDefault="005C3A6B" w:rsidP="000263D7">
      <w:pPr>
        <w:spacing w:line="360" w:lineRule="auto"/>
        <w:rPr>
          <w:rFonts w:asciiTheme="minorBidi" w:hAnsiTheme="minorBidi" w:cstheme="minorBidi"/>
          <w:b/>
          <w:bCs/>
          <w:sz w:val="24"/>
          <w:szCs w:val="24"/>
          <w:lang w:val="en-US"/>
        </w:rPr>
      </w:pPr>
      <w:bookmarkStart w:id="0" w:name="_GoBack"/>
      <w:bookmarkEnd w:id="0"/>
      <w:r w:rsidRPr="000263D7">
        <w:rPr>
          <w:rFonts w:asciiTheme="minorBidi" w:hAnsiTheme="minorBidi" w:cstheme="minorBidi"/>
          <w:b/>
          <w:bCs/>
          <w:sz w:val="24"/>
          <w:szCs w:val="24"/>
          <w:lang w:val="en-US"/>
        </w:rPr>
        <w:t xml:space="preserve">The detection of </w:t>
      </w:r>
      <w:r w:rsidR="005B2208" w:rsidRPr="000263D7">
        <w:rPr>
          <w:rFonts w:asciiTheme="minorBidi" w:hAnsiTheme="minorBidi" w:cstheme="minorBidi"/>
          <w:b/>
          <w:bCs/>
          <w:sz w:val="24"/>
          <w:szCs w:val="24"/>
          <w:lang w:val="en-US"/>
        </w:rPr>
        <w:t>r</w:t>
      </w:r>
      <w:r w:rsidRPr="000263D7">
        <w:rPr>
          <w:rFonts w:asciiTheme="minorBidi" w:hAnsiTheme="minorBidi" w:cstheme="minorBidi"/>
          <w:b/>
          <w:bCs/>
          <w:sz w:val="24"/>
          <w:szCs w:val="24"/>
          <w:lang w:val="en-US"/>
        </w:rPr>
        <w:t xml:space="preserve">otavirus in </w:t>
      </w:r>
      <w:r w:rsidR="00BD3DD3">
        <w:rPr>
          <w:rFonts w:asciiTheme="minorBidi" w:hAnsiTheme="minorBidi" w:cstheme="minorBidi"/>
          <w:b/>
          <w:bCs/>
          <w:sz w:val="24"/>
          <w:szCs w:val="24"/>
          <w:lang w:val="en-US"/>
        </w:rPr>
        <w:t>paediatric oncology patients</w:t>
      </w:r>
      <w:r w:rsidR="005B2208" w:rsidRPr="000263D7">
        <w:rPr>
          <w:rFonts w:asciiTheme="minorBidi" w:hAnsiTheme="minorBidi" w:cstheme="minorBidi"/>
          <w:b/>
          <w:bCs/>
          <w:sz w:val="24"/>
          <w:szCs w:val="24"/>
          <w:lang w:val="en-US"/>
        </w:rPr>
        <w:t xml:space="preserve"> with </w:t>
      </w:r>
      <w:r w:rsidR="00BD3DD3">
        <w:rPr>
          <w:rFonts w:asciiTheme="minorBidi" w:hAnsiTheme="minorBidi" w:cstheme="minorBidi"/>
          <w:b/>
          <w:bCs/>
          <w:sz w:val="24"/>
          <w:szCs w:val="24"/>
          <w:lang w:val="en-US"/>
        </w:rPr>
        <w:t>diarrh</w:t>
      </w:r>
      <w:r w:rsidR="00C0581C">
        <w:rPr>
          <w:rFonts w:asciiTheme="minorBidi" w:hAnsiTheme="minorBidi" w:cstheme="minorBidi"/>
          <w:b/>
          <w:bCs/>
          <w:sz w:val="24"/>
          <w:szCs w:val="24"/>
          <w:lang w:val="en-US"/>
        </w:rPr>
        <w:t>o</w:t>
      </w:r>
      <w:r w:rsidR="00BD3DD3">
        <w:rPr>
          <w:rFonts w:asciiTheme="minorBidi" w:hAnsiTheme="minorBidi" w:cstheme="minorBidi"/>
          <w:b/>
          <w:bCs/>
          <w:sz w:val="24"/>
          <w:szCs w:val="24"/>
          <w:lang w:val="en-US"/>
        </w:rPr>
        <w:t>ea:</w:t>
      </w:r>
      <w:r w:rsidRPr="000263D7">
        <w:rPr>
          <w:rFonts w:asciiTheme="minorBidi" w:hAnsiTheme="minorBidi" w:cstheme="minorBidi"/>
          <w:b/>
          <w:bCs/>
          <w:sz w:val="24"/>
          <w:szCs w:val="24"/>
          <w:lang w:val="en-US"/>
        </w:rPr>
        <w:t xml:space="preserve"> </w:t>
      </w:r>
      <w:r w:rsidR="005B2208" w:rsidRPr="000263D7">
        <w:rPr>
          <w:rFonts w:asciiTheme="minorBidi" w:hAnsiTheme="minorBidi" w:cstheme="minorBidi"/>
          <w:b/>
          <w:bCs/>
          <w:sz w:val="24"/>
          <w:szCs w:val="24"/>
          <w:lang w:val="en-US"/>
        </w:rPr>
        <w:t>the impact</w:t>
      </w:r>
      <w:r w:rsidRPr="000263D7">
        <w:rPr>
          <w:rFonts w:asciiTheme="minorBidi" w:hAnsiTheme="minorBidi" w:cstheme="minorBidi"/>
          <w:b/>
          <w:bCs/>
          <w:sz w:val="24"/>
          <w:szCs w:val="24"/>
          <w:lang w:val="en-US"/>
        </w:rPr>
        <w:t xml:space="preserve"> </w:t>
      </w:r>
      <w:r w:rsidR="004B3F37" w:rsidRPr="000263D7">
        <w:rPr>
          <w:rFonts w:asciiTheme="minorBidi" w:hAnsiTheme="minorBidi" w:cstheme="minorBidi"/>
          <w:b/>
          <w:bCs/>
          <w:sz w:val="24"/>
          <w:szCs w:val="24"/>
          <w:lang w:val="en-US"/>
        </w:rPr>
        <w:t xml:space="preserve">of </w:t>
      </w:r>
      <w:r w:rsidRPr="000263D7">
        <w:rPr>
          <w:rFonts w:asciiTheme="minorBidi" w:hAnsiTheme="minorBidi" w:cstheme="minorBidi"/>
          <w:b/>
          <w:bCs/>
          <w:sz w:val="24"/>
          <w:szCs w:val="24"/>
          <w:lang w:val="en-US"/>
        </w:rPr>
        <w:t xml:space="preserve">rotavirus vaccine. </w:t>
      </w:r>
    </w:p>
    <w:p w14:paraId="754D7BB5" w14:textId="77777777" w:rsidR="00A62A9E" w:rsidRDefault="00A62A9E" w:rsidP="000263D7">
      <w:pPr>
        <w:spacing w:line="360" w:lineRule="auto"/>
        <w:rPr>
          <w:rFonts w:asciiTheme="minorBidi" w:hAnsiTheme="minorBidi" w:cstheme="minorBidi"/>
          <w:b/>
          <w:bCs/>
          <w:sz w:val="24"/>
          <w:szCs w:val="24"/>
          <w:lang w:val="en-US"/>
        </w:rPr>
      </w:pPr>
    </w:p>
    <w:p w14:paraId="17F51300" w14:textId="53F57C90" w:rsidR="00B550EB" w:rsidRPr="000263D7" w:rsidRDefault="005C3A6B" w:rsidP="000263D7">
      <w:pPr>
        <w:spacing w:line="360" w:lineRule="auto"/>
        <w:rPr>
          <w:rFonts w:asciiTheme="minorBidi" w:hAnsiTheme="minorBidi" w:cstheme="minorBidi"/>
          <w:b/>
          <w:bCs/>
          <w:sz w:val="24"/>
          <w:szCs w:val="24"/>
          <w:lang w:val="en-US"/>
        </w:rPr>
      </w:pPr>
      <w:r w:rsidRPr="000263D7">
        <w:rPr>
          <w:rFonts w:asciiTheme="minorBidi" w:hAnsiTheme="minorBidi" w:cstheme="minorBidi"/>
          <w:b/>
          <w:bCs/>
          <w:sz w:val="24"/>
          <w:szCs w:val="24"/>
          <w:lang w:val="en-US"/>
        </w:rPr>
        <w:t>Akhtar T</w:t>
      </w:r>
      <w:r w:rsidR="00A62A9E" w:rsidRPr="00A62A9E">
        <w:rPr>
          <w:rFonts w:asciiTheme="minorBidi" w:hAnsiTheme="minorBidi" w:cstheme="minorBidi"/>
          <w:b/>
          <w:bCs/>
          <w:sz w:val="24"/>
          <w:szCs w:val="24"/>
          <w:vertAlign w:val="superscript"/>
          <w:lang w:val="en-US"/>
        </w:rPr>
        <w:t>1</w:t>
      </w:r>
      <w:r w:rsidRPr="000263D7">
        <w:rPr>
          <w:rFonts w:asciiTheme="minorBidi" w:hAnsiTheme="minorBidi" w:cstheme="minorBidi"/>
          <w:b/>
          <w:bCs/>
          <w:sz w:val="24"/>
          <w:szCs w:val="24"/>
          <w:lang w:val="en-US"/>
        </w:rPr>
        <w:t>, Cargill J</w:t>
      </w:r>
      <w:r w:rsidR="00A62A9E" w:rsidRPr="00A62A9E">
        <w:rPr>
          <w:rFonts w:asciiTheme="minorBidi" w:hAnsiTheme="minorBidi" w:cstheme="minorBidi"/>
          <w:b/>
          <w:bCs/>
          <w:sz w:val="24"/>
          <w:szCs w:val="24"/>
          <w:vertAlign w:val="superscript"/>
          <w:lang w:val="en-US"/>
        </w:rPr>
        <w:t>2</w:t>
      </w:r>
      <w:r w:rsidRPr="000263D7">
        <w:rPr>
          <w:rFonts w:asciiTheme="minorBidi" w:hAnsiTheme="minorBidi" w:cstheme="minorBidi"/>
          <w:b/>
          <w:bCs/>
          <w:sz w:val="24"/>
          <w:szCs w:val="24"/>
          <w:lang w:val="en-US"/>
        </w:rPr>
        <w:t>, Gerrard C</w:t>
      </w:r>
      <w:r w:rsidR="00A62A9E" w:rsidRPr="00A62A9E">
        <w:rPr>
          <w:rFonts w:asciiTheme="minorBidi" w:hAnsiTheme="minorBidi" w:cstheme="minorBidi"/>
          <w:b/>
          <w:bCs/>
          <w:sz w:val="24"/>
          <w:szCs w:val="24"/>
          <w:vertAlign w:val="superscript"/>
          <w:lang w:val="en-US"/>
        </w:rPr>
        <w:t>2</w:t>
      </w:r>
      <w:r w:rsidRPr="000263D7">
        <w:rPr>
          <w:rFonts w:asciiTheme="minorBidi" w:hAnsiTheme="minorBidi" w:cstheme="minorBidi"/>
          <w:b/>
          <w:bCs/>
          <w:sz w:val="24"/>
          <w:szCs w:val="24"/>
          <w:lang w:val="en-US"/>
        </w:rPr>
        <w:t xml:space="preserve">, </w:t>
      </w:r>
      <w:r w:rsidRPr="000263D7">
        <w:rPr>
          <w:rFonts w:asciiTheme="minorBidi" w:hAnsiTheme="minorBidi" w:cstheme="minorBidi"/>
          <w:b/>
          <w:bCs/>
          <w:color w:val="000000"/>
          <w:sz w:val="24"/>
          <w:szCs w:val="24"/>
          <w:shd w:val="clear" w:color="auto" w:fill="FFFFFF"/>
        </w:rPr>
        <w:t>S</w:t>
      </w:r>
      <w:r w:rsidR="008C4DC4" w:rsidRPr="000263D7">
        <w:rPr>
          <w:rFonts w:asciiTheme="minorBidi" w:hAnsiTheme="minorBidi" w:cstheme="minorBidi"/>
          <w:b/>
          <w:bCs/>
          <w:color w:val="000000"/>
          <w:sz w:val="24"/>
          <w:szCs w:val="24"/>
          <w:shd w:val="clear" w:color="auto" w:fill="FFFFFF"/>
        </w:rPr>
        <w:t>haw F</w:t>
      </w:r>
      <w:r w:rsidR="00A62A9E" w:rsidRPr="00A62A9E">
        <w:rPr>
          <w:rFonts w:asciiTheme="minorBidi" w:hAnsiTheme="minorBidi" w:cstheme="minorBidi"/>
          <w:b/>
          <w:bCs/>
          <w:color w:val="000000"/>
          <w:sz w:val="24"/>
          <w:szCs w:val="24"/>
          <w:shd w:val="clear" w:color="auto" w:fill="FFFFFF"/>
          <w:vertAlign w:val="superscript"/>
        </w:rPr>
        <w:t>2</w:t>
      </w:r>
      <w:r w:rsidRPr="000263D7">
        <w:rPr>
          <w:rFonts w:asciiTheme="minorBidi" w:hAnsiTheme="minorBidi" w:cstheme="minorBidi"/>
          <w:b/>
          <w:bCs/>
          <w:color w:val="000000"/>
          <w:sz w:val="24"/>
          <w:szCs w:val="24"/>
          <w:shd w:val="clear" w:color="auto" w:fill="FFFFFF"/>
        </w:rPr>
        <w:t>, Cunliffe N</w:t>
      </w:r>
      <w:r w:rsidR="006047CF">
        <w:rPr>
          <w:rFonts w:asciiTheme="minorBidi" w:hAnsiTheme="minorBidi" w:cstheme="minorBidi"/>
          <w:b/>
          <w:bCs/>
          <w:color w:val="000000"/>
          <w:sz w:val="24"/>
          <w:szCs w:val="24"/>
          <w:shd w:val="clear" w:color="auto" w:fill="FFFFFF"/>
        </w:rPr>
        <w:t>A</w:t>
      </w:r>
      <w:r w:rsidR="00C0581C">
        <w:rPr>
          <w:rFonts w:asciiTheme="minorBidi" w:hAnsiTheme="minorBidi" w:cstheme="minorBidi"/>
          <w:b/>
          <w:bCs/>
          <w:color w:val="000000"/>
          <w:sz w:val="24"/>
          <w:szCs w:val="24"/>
          <w:shd w:val="clear" w:color="auto" w:fill="FFFFFF"/>
        </w:rPr>
        <w:t xml:space="preserve"> </w:t>
      </w:r>
      <w:r w:rsidR="00C0581C">
        <w:rPr>
          <w:rFonts w:asciiTheme="minorBidi" w:hAnsiTheme="minorBidi" w:cstheme="minorBidi"/>
          <w:b/>
          <w:bCs/>
          <w:color w:val="000000"/>
          <w:sz w:val="24"/>
          <w:szCs w:val="24"/>
          <w:shd w:val="clear" w:color="auto" w:fill="FFFFFF"/>
          <w:vertAlign w:val="superscript"/>
        </w:rPr>
        <w:t>2,</w:t>
      </w:r>
      <w:r w:rsidR="00A62A9E" w:rsidRPr="00A62A9E">
        <w:rPr>
          <w:rFonts w:asciiTheme="minorBidi" w:hAnsiTheme="minorBidi" w:cstheme="minorBidi"/>
          <w:b/>
          <w:bCs/>
          <w:color w:val="000000"/>
          <w:sz w:val="24"/>
          <w:szCs w:val="24"/>
          <w:shd w:val="clear" w:color="auto" w:fill="FFFFFF"/>
          <w:vertAlign w:val="superscript"/>
        </w:rPr>
        <w:t>3</w:t>
      </w:r>
      <w:r w:rsidRPr="000263D7">
        <w:rPr>
          <w:rFonts w:asciiTheme="minorBidi" w:hAnsiTheme="minorBidi" w:cstheme="minorBidi"/>
          <w:b/>
          <w:bCs/>
          <w:color w:val="000000"/>
          <w:sz w:val="24"/>
          <w:szCs w:val="24"/>
          <w:shd w:val="clear" w:color="auto" w:fill="FFFFFF"/>
        </w:rPr>
        <w:t>, Cooke R</w:t>
      </w:r>
      <w:r w:rsidR="00BD3DD3">
        <w:rPr>
          <w:rFonts w:asciiTheme="minorBidi" w:hAnsiTheme="minorBidi" w:cstheme="minorBidi"/>
          <w:b/>
          <w:bCs/>
          <w:color w:val="000000"/>
          <w:sz w:val="24"/>
          <w:szCs w:val="24"/>
          <w:shd w:val="clear" w:color="auto" w:fill="FFFFFF"/>
        </w:rPr>
        <w:t>PD</w:t>
      </w:r>
      <w:r w:rsidR="00A62A9E" w:rsidRPr="00A62A9E">
        <w:rPr>
          <w:rFonts w:asciiTheme="minorBidi" w:hAnsiTheme="minorBidi" w:cstheme="minorBidi"/>
          <w:b/>
          <w:bCs/>
          <w:color w:val="000000"/>
          <w:sz w:val="24"/>
          <w:szCs w:val="24"/>
          <w:shd w:val="clear" w:color="auto" w:fill="FFFFFF"/>
          <w:vertAlign w:val="superscript"/>
        </w:rPr>
        <w:t>3</w:t>
      </w:r>
      <w:r w:rsidRPr="000263D7">
        <w:rPr>
          <w:rFonts w:asciiTheme="minorBidi" w:hAnsiTheme="minorBidi" w:cstheme="minorBidi"/>
          <w:b/>
          <w:bCs/>
          <w:color w:val="000000"/>
          <w:sz w:val="24"/>
          <w:szCs w:val="24"/>
          <w:shd w:val="clear" w:color="auto" w:fill="FFFFFF"/>
        </w:rPr>
        <w:t>,</w:t>
      </w:r>
      <w:r w:rsidRPr="000263D7">
        <w:rPr>
          <w:rFonts w:asciiTheme="minorBidi" w:hAnsiTheme="minorBidi" w:cstheme="minorBidi"/>
          <w:b/>
          <w:bCs/>
          <w:sz w:val="24"/>
          <w:szCs w:val="24"/>
          <w:lang w:val="en-US"/>
        </w:rPr>
        <w:t xml:space="preserve"> Pizer B</w:t>
      </w:r>
      <w:r w:rsidR="00A62A9E" w:rsidRPr="00A62A9E">
        <w:rPr>
          <w:rFonts w:asciiTheme="minorBidi" w:hAnsiTheme="minorBidi" w:cstheme="minorBidi"/>
          <w:b/>
          <w:bCs/>
          <w:sz w:val="24"/>
          <w:szCs w:val="24"/>
          <w:vertAlign w:val="superscript"/>
          <w:lang w:val="en-US"/>
        </w:rPr>
        <w:t>1</w:t>
      </w:r>
      <w:r w:rsidRPr="000263D7">
        <w:rPr>
          <w:rFonts w:asciiTheme="minorBidi" w:hAnsiTheme="minorBidi" w:cstheme="minorBidi"/>
          <w:b/>
          <w:bCs/>
          <w:sz w:val="24"/>
          <w:szCs w:val="24"/>
          <w:lang w:val="en-US"/>
        </w:rPr>
        <w:t>,</w:t>
      </w:r>
    </w:p>
    <w:p w14:paraId="15F2764F" w14:textId="2B357FC9" w:rsidR="00514E44" w:rsidRPr="000263D7" w:rsidRDefault="00C0581C" w:rsidP="000263D7">
      <w:pPr>
        <w:spacing w:line="360" w:lineRule="auto"/>
        <w:rPr>
          <w:rFonts w:asciiTheme="minorBidi" w:hAnsiTheme="minorBidi" w:cstheme="minorBidi"/>
          <w:sz w:val="24"/>
          <w:szCs w:val="24"/>
          <w:lang w:val="en-US"/>
        </w:rPr>
      </w:pPr>
      <w:r>
        <w:rPr>
          <w:rFonts w:asciiTheme="minorBidi" w:hAnsiTheme="minorBidi" w:cstheme="minorBidi"/>
          <w:sz w:val="24"/>
          <w:szCs w:val="24"/>
          <w:lang w:val="en-US"/>
        </w:rPr>
        <w:t>1.</w:t>
      </w:r>
      <w:r w:rsidR="00514E44" w:rsidRPr="000263D7">
        <w:rPr>
          <w:rFonts w:asciiTheme="minorBidi" w:hAnsiTheme="minorBidi" w:cstheme="minorBidi"/>
          <w:sz w:val="24"/>
          <w:szCs w:val="24"/>
          <w:lang w:val="en-US"/>
        </w:rPr>
        <w:t xml:space="preserve">Department of Paediatric Oncology </w:t>
      </w:r>
      <w:r w:rsidR="001D7C42">
        <w:rPr>
          <w:rFonts w:asciiTheme="minorBidi" w:hAnsiTheme="minorBidi" w:cstheme="minorBidi"/>
          <w:sz w:val="24"/>
          <w:szCs w:val="24"/>
          <w:lang w:val="en-US"/>
        </w:rPr>
        <w:t xml:space="preserve">and </w:t>
      </w:r>
      <w:r w:rsidR="00514E44" w:rsidRPr="000263D7">
        <w:rPr>
          <w:rFonts w:asciiTheme="minorBidi" w:hAnsiTheme="minorBidi" w:cstheme="minorBidi"/>
          <w:sz w:val="24"/>
          <w:szCs w:val="24"/>
          <w:lang w:val="en-US"/>
        </w:rPr>
        <w:t>Haematology, Alder Hey Children’s Hospital, UK</w:t>
      </w:r>
    </w:p>
    <w:p w14:paraId="11B17A3D" w14:textId="0A0CF589" w:rsidR="00514E44" w:rsidRDefault="00C0581C" w:rsidP="000263D7">
      <w:pPr>
        <w:spacing w:line="360" w:lineRule="auto"/>
        <w:rPr>
          <w:rFonts w:asciiTheme="minorBidi" w:hAnsiTheme="minorBidi" w:cstheme="minorBidi"/>
          <w:sz w:val="24"/>
          <w:szCs w:val="24"/>
          <w:lang w:val="en-US"/>
        </w:rPr>
      </w:pPr>
      <w:r>
        <w:rPr>
          <w:rFonts w:asciiTheme="minorBidi" w:hAnsiTheme="minorBidi" w:cstheme="minorBidi"/>
          <w:sz w:val="24"/>
          <w:szCs w:val="24"/>
          <w:lang w:val="en-US"/>
        </w:rPr>
        <w:t>2.</w:t>
      </w:r>
      <w:r w:rsidR="00514E44" w:rsidRPr="000263D7">
        <w:rPr>
          <w:rFonts w:asciiTheme="minorBidi" w:hAnsiTheme="minorBidi" w:cstheme="minorBidi"/>
          <w:sz w:val="24"/>
          <w:szCs w:val="24"/>
          <w:lang w:val="en-US"/>
        </w:rPr>
        <w:t>Department of Microbiology, Alder Hey Children’s Hospital, UK</w:t>
      </w:r>
    </w:p>
    <w:p w14:paraId="53F2600C" w14:textId="2E34435D" w:rsidR="00C0581C" w:rsidRPr="000263D7" w:rsidRDefault="00C0581C" w:rsidP="000263D7">
      <w:pPr>
        <w:spacing w:line="360" w:lineRule="auto"/>
        <w:rPr>
          <w:rFonts w:asciiTheme="minorBidi" w:hAnsiTheme="minorBidi" w:cstheme="minorBidi"/>
          <w:sz w:val="24"/>
          <w:szCs w:val="24"/>
          <w:lang w:val="en-US"/>
        </w:rPr>
      </w:pPr>
      <w:r>
        <w:rPr>
          <w:rFonts w:asciiTheme="minorBidi" w:hAnsiTheme="minorBidi" w:cstheme="minorBidi"/>
          <w:sz w:val="24"/>
          <w:szCs w:val="24"/>
          <w:lang w:val="en-US"/>
        </w:rPr>
        <w:t>3.Institute of Infection and Global Health, University of Liverpool, UK</w:t>
      </w:r>
    </w:p>
    <w:p w14:paraId="652FC961" w14:textId="77777777" w:rsidR="00A62A9E" w:rsidRDefault="00A62A9E" w:rsidP="000263D7">
      <w:pPr>
        <w:spacing w:line="360" w:lineRule="auto"/>
        <w:rPr>
          <w:rFonts w:asciiTheme="minorBidi" w:hAnsiTheme="minorBidi" w:cstheme="minorBidi"/>
          <w:b/>
          <w:bCs/>
          <w:sz w:val="24"/>
          <w:szCs w:val="24"/>
          <w:lang w:val="en-US"/>
        </w:rPr>
      </w:pPr>
    </w:p>
    <w:p w14:paraId="59C1F01E" w14:textId="1554E7AD" w:rsidR="00B52E82" w:rsidRPr="000263D7" w:rsidRDefault="00F31D8B" w:rsidP="007044F8">
      <w:pPr>
        <w:spacing w:line="360" w:lineRule="auto"/>
        <w:jc w:val="both"/>
        <w:rPr>
          <w:rFonts w:asciiTheme="minorBidi" w:hAnsiTheme="minorBidi" w:cstheme="minorBidi"/>
          <w:b/>
          <w:bCs/>
          <w:sz w:val="24"/>
          <w:szCs w:val="24"/>
          <w:lang w:val="en-US"/>
        </w:rPr>
      </w:pPr>
      <w:r w:rsidRPr="000263D7">
        <w:rPr>
          <w:rFonts w:asciiTheme="minorBidi" w:hAnsiTheme="minorBidi" w:cstheme="minorBidi"/>
          <w:b/>
          <w:bCs/>
          <w:sz w:val="24"/>
          <w:szCs w:val="24"/>
          <w:lang w:val="en-US"/>
        </w:rPr>
        <w:t>Summary:</w:t>
      </w:r>
    </w:p>
    <w:p w14:paraId="0F6FD398" w14:textId="77777777" w:rsidR="00F129A4" w:rsidRPr="00F129A4" w:rsidRDefault="00F129A4" w:rsidP="00F129A4">
      <w:pPr>
        <w:shd w:val="clear" w:color="auto" w:fill="FFFFFF"/>
        <w:spacing w:after="0" w:line="360" w:lineRule="auto"/>
        <w:jc w:val="both"/>
        <w:rPr>
          <w:rFonts w:asciiTheme="minorBidi" w:eastAsia="Times New Roman" w:hAnsiTheme="minorBidi" w:cstheme="minorBidi"/>
          <w:color w:val="000000"/>
          <w:sz w:val="24"/>
          <w:szCs w:val="24"/>
          <w:lang w:eastAsia="en-GB"/>
        </w:rPr>
      </w:pPr>
      <w:r w:rsidRPr="00F129A4">
        <w:rPr>
          <w:rFonts w:asciiTheme="minorBidi" w:eastAsia="Times New Roman" w:hAnsiTheme="minorBidi" w:cstheme="minorBidi"/>
          <w:color w:val="000000"/>
          <w:sz w:val="24"/>
          <w:szCs w:val="24"/>
          <w:lang w:eastAsia="en-GB"/>
        </w:rPr>
        <w:t>We reviewed seven year's data to examine stool testing for rotavirus in patents treated on a regional Paediatric Oncology Unit before and after the introduction of UK-wide rotavirus immunisation in July 2013.</w:t>
      </w:r>
    </w:p>
    <w:p w14:paraId="5015376C" w14:textId="77777777" w:rsidR="00F129A4" w:rsidRPr="00F129A4" w:rsidRDefault="00F129A4" w:rsidP="00F129A4">
      <w:pPr>
        <w:shd w:val="clear" w:color="auto" w:fill="FFFFFF"/>
        <w:spacing w:after="0" w:line="360" w:lineRule="auto"/>
        <w:jc w:val="both"/>
        <w:rPr>
          <w:rFonts w:asciiTheme="minorBidi" w:eastAsia="Times New Roman" w:hAnsiTheme="minorBidi" w:cstheme="minorBidi"/>
          <w:color w:val="000000"/>
          <w:sz w:val="24"/>
          <w:szCs w:val="24"/>
          <w:lang w:eastAsia="en-GB"/>
        </w:rPr>
      </w:pPr>
    </w:p>
    <w:p w14:paraId="7D707929" w14:textId="77777777" w:rsidR="00A71F14" w:rsidRDefault="00F129A4" w:rsidP="007044F8">
      <w:pPr>
        <w:spacing w:line="360" w:lineRule="auto"/>
        <w:jc w:val="both"/>
        <w:rPr>
          <w:rFonts w:asciiTheme="minorBidi" w:eastAsia="Times New Roman" w:hAnsiTheme="minorBidi" w:cstheme="minorBidi"/>
          <w:color w:val="000000"/>
          <w:sz w:val="24"/>
          <w:szCs w:val="24"/>
          <w:lang w:eastAsia="en-GB"/>
        </w:rPr>
      </w:pPr>
      <w:r w:rsidRPr="00F129A4">
        <w:rPr>
          <w:rFonts w:asciiTheme="minorBidi" w:eastAsia="Times New Roman" w:hAnsiTheme="minorBidi" w:cstheme="minorBidi"/>
          <w:color w:val="000000"/>
          <w:sz w:val="24"/>
          <w:szCs w:val="24"/>
          <w:lang w:eastAsia="en-GB"/>
        </w:rPr>
        <w:t>We showed that the prevalence of rotavirus positivity has diminished since the introduction of rotavirus immunisation with 21 of 416 positive samples between 2010 and 2012 but only one positive test out of 122 samples in 2015/2016.  Based on these results, we suggest there is very little utility for routine rotavirus testing in children and young people with cancer presenting with diarrhoea.</w:t>
      </w:r>
    </w:p>
    <w:p w14:paraId="149A54AE" w14:textId="77777777" w:rsidR="00A71F14" w:rsidRDefault="00A71F14" w:rsidP="007044F8">
      <w:pPr>
        <w:spacing w:line="360" w:lineRule="auto"/>
        <w:jc w:val="both"/>
        <w:rPr>
          <w:rFonts w:asciiTheme="minorBidi" w:eastAsia="Times New Roman" w:hAnsiTheme="minorBidi" w:cstheme="minorBidi"/>
          <w:color w:val="000000"/>
          <w:sz w:val="24"/>
          <w:szCs w:val="24"/>
          <w:lang w:eastAsia="en-GB"/>
        </w:rPr>
      </w:pPr>
    </w:p>
    <w:p w14:paraId="7FAF4A75" w14:textId="77777777" w:rsidR="00A71F14" w:rsidRDefault="00A71F14" w:rsidP="007044F8">
      <w:pPr>
        <w:spacing w:line="360" w:lineRule="auto"/>
        <w:jc w:val="both"/>
        <w:rPr>
          <w:rFonts w:asciiTheme="minorBidi" w:eastAsia="Times New Roman" w:hAnsiTheme="minorBidi" w:cstheme="minorBidi"/>
          <w:color w:val="000000"/>
          <w:sz w:val="24"/>
          <w:szCs w:val="24"/>
          <w:lang w:eastAsia="en-GB"/>
        </w:rPr>
      </w:pPr>
    </w:p>
    <w:p w14:paraId="02C87400" w14:textId="77777777" w:rsidR="00A71F14" w:rsidRDefault="00A71F14" w:rsidP="007044F8">
      <w:pPr>
        <w:spacing w:line="360" w:lineRule="auto"/>
        <w:jc w:val="both"/>
        <w:rPr>
          <w:rFonts w:asciiTheme="minorBidi" w:eastAsia="Times New Roman" w:hAnsiTheme="minorBidi" w:cstheme="minorBidi"/>
          <w:color w:val="000000"/>
          <w:sz w:val="24"/>
          <w:szCs w:val="24"/>
          <w:lang w:eastAsia="en-GB"/>
        </w:rPr>
      </w:pPr>
    </w:p>
    <w:p w14:paraId="5F16E376" w14:textId="77777777" w:rsidR="00A71F14" w:rsidRDefault="00A71F14" w:rsidP="007044F8">
      <w:pPr>
        <w:spacing w:line="360" w:lineRule="auto"/>
        <w:jc w:val="both"/>
        <w:rPr>
          <w:rFonts w:asciiTheme="minorBidi" w:eastAsia="Times New Roman" w:hAnsiTheme="minorBidi" w:cstheme="minorBidi"/>
          <w:color w:val="000000"/>
          <w:sz w:val="24"/>
          <w:szCs w:val="24"/>
          <w:lang w:eastAsia="en-GB"/>
        </w:rPr>
      </w:pPr>
    </w:p>
    <w:p w14:paraId="0C21204E" w14:textId="77777777" w:rsidR="00A71F14" w:rsidRDefault="00A71F14" w:rsidP="007044F8">
      <w:pPr>
        <w:spacing w:line="360" w:lineRule="auto"/>
        <w:jc w:val="both"/>
        <w:rPr>
          <w:rFonts w:asciiTheme="minorBidi" w:eastAsia="Times New Roman" w:hAnsiTheme="minorBidi" w:cstheme="minorBidi"/>
          <w:color w:val="000000"/>
          <w:sz w:val="24"/>
          <w:szCs w:val="24"/>
          <w:lang w:eastAsia="en-GB"/>
        </w:rPr>
      </w:pPr>
    </w:p>
    <w:p w14:paraId="6DE1132B" w14:textId="77777777" w:rsidR="00A71F14" w:rsidRDefault="00A71F14" w:rsidP="007044F8">
      <w:pPr>
        <w:spacing w:line="360" w:lineRule="auto"/>
        <w:jc w:val="both"/>
        <w:rPr>
          <w:rFonts w:asciiTheme="minorBidi" w:eastAsia="Times New Roman" w:hAnsiTheme="minorBidi" w:cstheme="minorBidi"/>
          <w:color w:val="000000"/>
          <w:sz w:val="24"/>
          <w:szCs w:val="24"/>
          <w:lang w:eastAsia="en-GB"/>
        </w:rPr>
      </w:pPr>
    </w:p>
    <w:p w14:paraId="6EA959B8" w14:textId="77777777" w:rsidR="00A71F14" w:rsidRDefault="00A71F14" w:rsidP="007044F8">
      <w:pPr>
        <w:spacing w:line="360" w:lineRule="auto"/>
        <w:jc w:val="both"/>
        <w:rPr>
          <w:rFonts w:asciiTheme="minorBidi" w:eastAsia="Times New Roman" w:hAnsiTheme="minorBidi" w:cstheme="minorBidi"/>
          <w:color w:val="000000"/>
          <w:sz w:val="24"/>
          <w:szCs w:val="24"/>
          <w:lang w:eastAsia="en-GB"/>
        </w:rPr>
      </w:pPr>
    </w:p>
    <w:p w14:paraId="71E3E6D8" w14:textId="77777777" w:rsidR="00A71F14" w:rsidRDefault="00A71F14" w:rsidP="007044F8">
      <w:pPr>
        <w:spacing w:line="360" w:lineRule="auto"/>
        <w:jc w:val="both"/>
        <w:rPr>
          <w:rFonts w:asciiTheme="minorBidi" w:eastAsia="Times New Roman" w:hAnsiTheme="minorBidi" w:cstheme="minorBidi"/>
          <w:color w:val="000000"/>
          <w:sz w:val="24"/>
          <w:szCs w:val="24"/>
          <w:lang w:eastAsia="en-GB"/>
        </w:rPr>
      </w:pPr>
    </w:p>
    <w:p w14:paraId="2FE6B381" w14:textId="5EE50FC1" w:rsidR="00B550EB" w:rsidRPr="000263D7" w:rsidRDefault="005C3A6B" w:rsidP="007044F8">
      <w:pPr>
        <w:spacing w:line="360" w:lineRule="auto"/>
        <w:jc w:val="both"/>
        <w:rPr>
          <w:rFonts w:asciiTheme="minorBidi" w:hAnsiTheme="minorBidi" w:cstheme="minorBidi"/>
          <w:b/>
          <w:bCs/>
          <w:sz w:val="24"/>
          <w:szCs w:val="24"/>
          <w:lang w:val="en-US"/>
        </w:rPr>
      </w:pPr>
      <w:r w:rsidRPr="000263D7">
        <w:rPr>
          <w:rFonts w:asciiTheme="minorBidi" w:hAnsiTheme="minorBidi" w:cstheme="minorBidi"/>
          <w:b/>
          <w:bCs/>
          <w:sz w:val="24"/>
          <w:szCs w:val="24"/>
          <w:lang w:val="en-US"/>
        </w:rPr>
        <w:lastRenderedPageBreak/>
        <w:t>Background</w:t>
      </w:r>
    </w:p>
    <w:p w14:paraId="408120CC" w14:textId="4AB85F5A" w:rsidR="00B550EB" w:rsidRPr="000263D7" w:rsidRDefault="005C3A6B" w:rsidP="007044F8">
      <w:pPr>
        <w:spacing w:line="360" w:lineRule="auto"/>
        <w:jc w:val="both"/>
        <w:rPr>
          <w:rFonts w:asciiTheme="minorBidi" w:hAnsiTheme="minorBidi" w:cstheme="minorBidi"/>
          <w:sz w:val="24"/>
          <w:szCs w:val="24"/>
        </w:rPr>
      </w:pPr>
      <w:r w:rsidRPr="000263D7">
        <w:rPr>
          <w:rFonts w:asciiTheme="minorBidi" w:hAnsiTheme="minorBidi" w:cstheme="minorBidi"/>
          <w:sz w:val="24"/>
          <w:szCs w:val="24"/>
          <w:lang w:val="en-US"/>
        </w:rPr>
        <w:t xml:space="preserve">Diarrhoea is a frequent problem in paediatric oncology patients. The causes of diarrhoea in children and young people being treated for cancer include infections, antibiotics, chemotherapy, and radiotherapy. Less common </w:t>
      </w:r>
      <w:r w:rsidR="00BD3DD3">
        <w:rPr>
          <w:rFonts w:asciiTheme="minorBidi" w:hAnsiTheme="minorBidi" w:cstheme="minorBidi"/>
          <w:sz w:val="24"/>
          <w:szCs w:val="24"/>
          <w:lang w:val="en-US"/>
        </w:rPr>
        <w:t>aetiologies include</w:t>
      </w:r>
      <w:r w:rsidRPr="000263D7">
        <w:rPr>
          <w:rFonts w:asciiTheme="minorBidi" w:hAnsiTheme="minorBidi" w:cstheme="minorBidi"/>
          <w:sz w:val="24"/>
          <w:szCs w:val="24"/>
          <w:lang w:val="en-US"/>
        </w:rPr>
        <w:t xml:space="preserve"> graft versus host disease and anxiety related to cancer diagnosis.</w:t>
      </w:r>
      <w:r w:rsidR="00083978">
        <w:rPr>
          <w:rFonts w:asciiTheme="minorBidi" w:hAnsiTheme="minorBidi" w:cstheme="minorBidi"/>
          <w:sz w:val="24"/>
          <w:szCs w:val="24"/>
          <w:lang w:val="en-US"/>
        </w:rPr>
        <w:t xml:space="preserve"> </w:t>
      </w:r>
      <w:r w:rsidR="00083978">
        <w:rPr>
          <w:rFonts w:asciiTheme="minorBidi" w:hAnsiTheme="minorBidi" w:cstheme="minorBidi"/>
          <w:sz w:val="24"/>
          <w:szCs w:val="24"/>
          <w:lang w:val="en-US"/>
        </w:rPr>
        <w:fldChar w:fldCharType="begin" w:fldLock="1"/>
      </w:r>
      <w:r w:rsidR="00083978">
        <w:rPr>
          <w:rFonts w:asciiTheme="minorBidi" w:hAnsiTheme="minorBidi" w:cstheme="minorBidi"/>
          <w:sz w:val="24"/>
          <w:szCs w:val="24"/>
          <w:lang w:val="en-US"/>
        </w:rPr>
        <w:instrText>ADDIN CSL_CITATION { "citationItems" : [ { "id" : "ITEM-1", "itemData" : { "DOI" : "10.1016/j.jhin.2016.10.005", "ISSN" : "1532-2939", "PMID" : "27825673", "abstract" : "Diarrhoea is a frequently occurring symptom in paediatric oncology patients. The role of routine testing for enteric bacteria in hospitalized patients with diarrhoea is considered limited, but the diagnostic value of testing in children with oncological conditions has not been reported. Therefore, we conducted a five-year retrospective service evaluation in our tertiary paediatric oncology unit together with a national survey of 21 centres to estimate the utility of stool cultures in oncology patients with diarrhoea and the national approach to testing. Our local survey demonstrated very low diagnostic yield using routine enteric stool cultures with only one sample out of 842 (0.1%) testing positive. The national survey demonstrated considerable variation in practice. There is little evidence to support the use of conventional stool culture for enteric bacteria in children with cancer in our centre. These findings should inform national testing policies.", "author" : [ { "dropping-particle" : "", "family" : "O'Connor", "given" : "O", "non-dropping-particle" : "", "parse-names" : false, "suffix" : "" }, { "dropping-particle" : "", "family" : "Cooke", "given" : "R P D", "non-dropping-particle" : "", "parse-names" : false, "suffix" : "" }, { "dropping-particle" : "", "family" : "Cunliffe", "given" : "N A", "non-dropping-particle" : "", "parse-names" : false, "suffix" : "" }, { "dropping-particle" : "", "family" : "Pizer", "given" : "B", "non-dropping-particle" : "", "parse-names" : false, "suffix" : "" } ], "container-title" : "The Journal of hospital infection", "id" : "ITEM-1", "issue" : "1", "issued" : { "date-parts" : [ [ "2016" ] ] }, "page" : "123-125", "publisher" : "Elsevier Ltd", "title" : "Clinical value of stool culture in paediatric oncology patients: hospital evaluation and UK survey of practice.", "type" : "article-journal", "volume" : "95" }, "uris" : [ "http://www.mendeley.com/documents/?uuid=af738bba-24fc-4ab0-866c-88d2bbf1b2b5" ] } ], "mendeley" : { "formattedCitation" : "&lt;sup&gt;1&lt;/sup&gt;", "plainTextFormattedCitation" : "1", "previouslyFormattedCitation" : "&lt;sup&gt;1&lt;/sup&gt;" }, "properties" : { "noteIndex" : 0 }, "schema" : "https://github.com/citation-style-language/schema/raw/master/csl-citation.json" }</w:instrText>
      </w:r>
      <w:r w:rsidR="00083978">
        <w:rPr>
          <w:rFonts w:asciiTheme="minorBidi" w:hAnsiTheme="minorBidi" w:cstheme="minorBidi"/>
          <w:sz w:val="24"/>
          <w:szCs w:val="24"/>
          <w:lang w:val="en-US"/>
        </w:rPr>
        <w:fldChar w:fldCharType="separate"/>
      </w:r>
      <w:r w:rsidR="00083978" w:rsidRPr="00083978">
        <w:rPr>
          <w:rFonts w:asciiTheme="minorBidi" w:hAnsiTheme="minorBidi" w:cstheme="minorBidi"/>
          <w:noProof/>
          <w:sz w:val="24"/>
          <w:szCs w:val="24"/>
          <w:vertAlign w:val="superscript"/>
          <w:lang w:val="en-US"/>
        </w:rPr>
        <w:t>1</w:t>
      </w:r>
      <w:r w:rsidR="00083978">
        <w:rPr>
          <w:rFonts w:asciiTheme="minorBidi" w:hAnsiTheme="minorBidi" w:cstheme="minorBidi"/>
          <w:sz w:val="24"/>
          <w:szCs w:val="24"/>
          <w:lang w:val="en-US"/>
        </w:rPr>
        <w:fldChar w:fldCharType="end"/>
      </w:r>
    </w:p>
    <w:p w14:paraId="34D41025" w14:textId="00FCA384" w:rsidR="00B550EB" w:rsidRPr="000263D7" w:rsidRDefault="005C3A6B" w:rsidP="007044F8">
      <w:pPr>
        <w:spacing w:line="360" w:lineRule="auto"/>
        <w:jc w:val="both"/>
        <w:rPr>
          <w:rFonts w:asciiTheme="minorBidi" w:hAnsiTheme="minorBidi" w:cstheme="minorBidi"/>
          <w:sz w:val="24"/>
          <w:szCs w:val="24"/>
          <w:lang w:val="en-US"/>
        </w:rPr>
      </w:pPr>
      <w:r w:rsidRPr="000263D7">
        <w:rPr>
          <w:rFonts w:asciiTheme="minorBidi" w:hAnsiTheme="minorBidi" w:cstheme="minorBidi"/>
          <w:sz w:val="24"/>
          <w:szCs w:val="24"/>
          <w:lang w:val="en-US"/>
        </w:rPr>
        <w:t>Diarrhoea leads to complications such as fluid loss, electrolyte imbalance and acute renal failure.  It may be fatal if not treated in a timely fashion</w:t>
      </w:r>
      <w:r w:rsidR="00083978">
        <w:rPr>
          <w:rFonts w:asciiTheme="minorBidi" w:hAnsiTheme="minorBidi" w:cstheme="minorBidi"/>
          <w:sz w:val="24"/>
          <w:szCs w:val="24"/>
          <w:lang w:val="en-US"/>
        </w:rPr>
        <w:t>.</w:t>
      </w:r>
      <w:r w:rsidRPr="000263D7">
        <w:rPr>
          <w:rFonts w:asciiTheme="minorBidi" w:hAnsiTheme="minorBidi" w:cstheme="minorBidi"/>
          <w:sz w:val="24"/>
          <w:szCs w:val="24"/>
          <w:lang w:val="en-US"/>
        </w:rPr>
        <w:t xml:space="preserve"> </w:t>
      </w:r>
    </w:p>
    <w:p w14:paraId="38CC9637" w14:textId="246C0295" w:rsidR="006047CF" w:rsidRPr="000263D7" w:rsidRDefault="006047CF" w:rsidP="006047CF">
      <w:pPr>
        <w:spacing w:line="360" w:lineRule="auto"/>
        <w:jc w:val="both"/>
        <w:rPr>
          <w:rFonts w:asciiTheme="minorBidi" w:hAnsiTheme="minorBidi" w:cstheme="minorBidi"/>
          <w:sz w:val="24"/>
          <w:szCs w:val="24"/>
        </w:rPr>
      </w:pPr>
      <w:r w:rsidRPr="000263D7">
        <w:rPr>
          <w:rFonts w:asciiTheme="minorBidi" w:hAnsiTheme="minorBidi" w:cstheme="minorBidi"/>
          <w:sz w:val="24"/>
          <w:szCs w:val="24"/>
          <w:lang w:val="en-US"/>
        </w:rPr>
        <w:t xml:space="preserve">Stool samples </w:t>
      </w:r>
      <w:r>
        <w:rPr>
          <w:rFonts w:asciiTheme="minorBidi" w:hAnsiTheme="minorBidi" w:cstheme="minorBidi"/>
          <w:sz w:val="24"/>
          <w:szCs w:val="24"/>
          <w:lang w:val="en-US"/>
        </w:rPr>
        <w:t>can</w:t>
      </w:r>
      <w:r w:rsidRPr="000263D7">
        <w:rPr>
          <w:rFonts w:asciiTheme="minorBidi" w:hAnsiTheme="minorBidi" w:cstheme="minorBidi"/>
          <w:sz w:val="24"/>
          <w:szCs w:val="24"/>
          <w:lang w:val="en-US"/>
        </w:rPr>
        <w:t xml:space="preserve"> be tested </w:t>
      </w:r>
      <w:r>
        <w:rPr>
          <w:rFonts w:asciiTheme="minorBidi" w:hAnsiTheme="minorBidi" w:cstheme="minorBidi"/>
          <w:sz w:val="24"/>
          <w:szCs w:val="24"/>
          <w:lang w:val="en-US"/>
        </w:rPr>
        <w:t>for a variety of</w:t>
      </w:r>
      <w:r w:rsidRPr="000263D7">
        <w:rPr>
          <w:rFonts w:asciiTheme="minorBidi" w:hAnsiTheme="minorBidi" w:cstheme="minorBidi"/>
          <w:sz w:val="24"/>
          <w:szCs w:val="24"/>
          <w:lang w:val="en-US"/>
        </w:rPr>
        <w:t xml:space="preserve"> infective causes of diarrhoea. The</w:t>
      </w:r>
      <w:r>
        <w:rPr>
          <w:rFonts w:asciiTheme="minorBidi" w:hAnsiTheme="minorBidi" w:cstheme="minorBidi"/>
          <w:sz w:val="24"/>
          <w:szCs w:val="24"/>
          <w:lang w:val="en-US"/>
        </w:rPr>
        <w:t>se</w:t>
      </w:r>
      <w:r w:rsidRPr="000263D7">
        <w:rPr>
          <w:rFonts w:asciiTheme="minorBidi" w:hAnsiTheme="minorBidi" w:cstheme="minorBidi"/>
          <w:sz w:val="24"/>
          <w:szCs w:val="24"/>
          <w:lang w:val="en-US"/>
        </w:rPr>
        <w:t xml:space="preserve"> include viruses</w:t>
      </w:r>
      <w:r>
        <w:rPr>
          <w:rFonts w:asciiTheme="minorBidi" w:hAnsiTheme="minorBidi" w:cstheme="minorBidi"/>
          <w:sz w:val="24"/>
          <w:szCs w:val="24"/>
          <w:lang w:val="en-US"/>
        </w:rPr>
        <w:t>,</w:t>
      </w:r>
      <w:r w:rsidRPr="000263D7">
        <w:rPr>
          <w:rFonts w:asciiTheme="minorBidi" w:hAnsiTheme="minorBidi" w:cstheme="minorBidi"/>
          <w:sz w:val="24"/>
          <w:szCs w:val="24"/>
          <w:lang w:val="en-US"/>
        </w:rPr>
        <w:t xml:space="preserve"> </w:t>
      </w:r>
      <w:r>
        <w:rPr>
          <w:rFonts w:asciiTheme="minorBidi" w:hAnsiTheme="minorBidi" w:cstheme="minorBidi"/>
          <w:sz w:val="24"/>
          <w:szCs w:val="24"/>
          <w:lang w:val="en-US"/>
        </w:rPr>
        <w:t>parasites and</w:t>
      </w:r>
      <w:r w:rsidRPr="000263D7">
        <w:rPr>
          <w:rFonts w:asciiTheme="minorBidi" w:hAnsiTheme="minorBidi" w:cstheme="minorBidi"/>
          <w:sz w:val="24"/>
          <w:szCs w:val="24"/>
          <w:lang w:val="en-US"/>
        </w:rPr>
        <w:t xml:space="preserve"> bacteria </w:t>
      </w:r>
      <w:r>
        <w:rPr>
          <w:rFonts w:asciiTheme="minorBidi" w:hAnsiTheme="minorBidi" w:cstheme="minorBidi"/>
          <w:sz w:val="24"/>
          <w:szCs w:val="24"/>
          <w:lang w:val="en-US"/>
        </w:rPr>
        <w:t>including toxin-associate</w:t>
      </w:r>
      <w:r w:rsidR="00C0581C">
        <w:rPr>
          <w:rFonts w:asciiTheme="minorBidi" w:hAnsiTheme="minorBidi" w:cstheme="minorBidi"/>
          <w:sz w:val="24"/>
          <w:szCs w:val="24"/>
          <w:lang w:val="en-US"/>
        </w:rPr>
        <w:t>d</w:t>
      </w:r>
      <w:r w:rsidRPr="000263D7">
        <w:rPr>
          <w:rFonts w:asciiTheme="minorBidi" w:hAnsiTheme="minorBidi" w:cstheme="minorBidi"/>
          <w:sz w:val="24"/>
          <w:szCs w:val="24"/>
          <w:lang w:val="en-US"/>
        </w:rPr>
        <w:t xml:space="preserve"> </w:t>
      </w:r>
      <w:r w:rsidRPr="00C0581C">
        <w:rPr>
          <w:rFonts w:asciiTheme="minorBidi" w:hAnsiTheme="minorBidi" w:cstheme="minorBidi"/>
          <w:i/>
          <w:sz w:val="24"/>
          <w:szCs w:val="24"/>
          <w:lang w:val="en-US"/>
        </w:rPr>
        <w:t>Clostridium difficile</w:t>
      </w:r>
      <w:r>
        <w:rPr>
          <w:rFonts w:asciiTheme="minorBidi" w:hAnsiTheme="minorBidi" w:cstheme="minorBidi"/>
          <w:sz w:val="24"/>
          <w:szCs w:val="24"/>
          <w:lang w:val="en-US"/>
        </w:rPr>
        <w:t xml:space="preserve"> infection</w:t>
      </w:r>
      <w:r w:rsidRPr="000263D7">
        <w:rPr>
          <w:rFonts w:asciiTheme="minorBidi" w:hAnsiTheme="minorBidi" w:cstheme="minorBidi"/>
          <w:sz w:val="24"/>
          <w:szCs w:val="24"/>
          <w:lang w:val="en-US"/>
        </w:rPr>
        <w:t xml:space="preserve">. </w:t>
      </w:r>
    </w:p>
    <w:p w14:paraId="25D87F8C" w14:textId="220005E1" w:rsidR="00B550EB" w:rsidRPr="000263D7" w:rsidRDefault="00BD3DD3" w:rsidP="007044F8">
      <w:pPr>
        <w:spacing w:line="360" w:lineRule="auto"/>
        <w:jc w:val="both"/>
        <w:rPr>
          <w:rFonts w:asciiTheme="minorBidi" w:hAnsiTheme="minorBidi" w:cstheme="minorBidi"/>
          <w:sz w:val="24"/>
          <w:szCs w:val="24"/>
        </w:rPr>
      </w:pPr>
      <w:r>
        <w:rPr>
          <w:rFonts w:asciiTheme="minorBidi" w:hAnsiTheme="minorBidi" w:cstheme="minorBidi"/>
          <w:sz w:val="24"/>
          <w:szCs w:val="24"/>
          <w:lang w:val="en-US"/>
        </w:rPr>
        <w:t xml:space="preserve">Before the introduction of </w:t>
      </w:r>
      <w:r w:rsidR="006047CF">
        <w:rPr>
          <w:rFonts w:asciiTheme="minorBidi" w:hAnsiTheme="minorBidi" w:cstheme="minorBidi"/>
          <w:sz w:val="24"/>
          <w:szCs w:val="24"/>
          <w:lang w:val="en-US"/>
        </w:rPr>
        <w:t>rotavirus</w:t>
      </w:r>
      <w:r>
        <w:rPr>
          <w:rFonts w:asciiTheme="minorBidi" w:hAnsiTheme="minorBidi" w:cstheme="minorBidi"/>
          <w:sz w:val="24"/>
          <w:szCs w:val="24"/>
          <w:lang w:val="en-US"/>
        </w:rPr>
        <w:t xml:space="preserve"> </w:t>
      </w:r>
      <w:r w:rsidR="005C3A6B" w:rsidRPr="000263D7">
        <w:rPr>
          <w:rFonts w:asciiTheme="minorBidi" w:hAnsiTheme="minorBidi" w:cstheme="minorBidi"/>
          <w:sz w:val="24"/>
          <w:szCs w:val="24"/>
          <w:lang w:val="en-US"/>
        </w:rPr>
        <w:t xml:space="preserve">vaccine, </w:t>
      </w:r>
      <w:r>
        <w:rPr>
          <w:rFonts w:asciiTheme="minorBidi" w:hAnsiTheme="minorBidi" w:cstheme="minorBidi"/>
          <w:sz w:val="24"/>
          <w:szCs w:val="24"/>
          <w:lang w:val="en-US"/>
        </w:rPr>
        <w:t>rotavirus</w:t>
      </w:r>
      <w:r w:rsidR="005C3A6B" w:rsidRPr="000263D7">
        <w:rPr>
          <w:rFonts w:asciiTheme="minorBidi" w:hAnsiTheme="minorBidi" w:cstheme="minorBidi"/>
          <w:sz w:val="24"/>
          <w:szCs w:val="24"/>
          <w:lang w:val="en-US"/>
        </w:rPr>
        <w:t xml:space="preserve"> was the most common pathogen </w:t>
      </w:r>
      <w:r>
        <w:rPr>
          <w:rFonts w:asciiTheme="minorBidi" w:hAnsiTheme="minorBidi" w:cstheme="minorBidi"/>
          <w:sz w:val="24"/>
          <w:szCs w:val="24"/>
          <w:lang w:val="en-US"/>
        </w:rPr>
        <w:t>associated with paediatric</w:t>
      </w:r>
      <w:r w:rsidR="005C3A6B" w:rsidRPr="000263D7">
        <w:rPr>
          <w:rFonts w:asciiTheme="minorBidi" w:hAnsiTheme="minorBidi" w:cstheme="minorBidi"/>
          <w:sz w:val="24"/>
          <w:szCs w:val="24"/>
          <w:lang w:val="en-US"/>
        </w:rPr>
        <w:t xml:space="preserve"> diarrhoea. Other </w:t>
      </w:r>
      <w:r>
        <w:rPr>
          <w:rFonts w:asciiTheme="minorBidi" w:hAnsiTheme="minorBidi" w:cstheme="minorBidi"/>
          <w:sz w:val="24"/>
          <w:szCs w:val="24"/>
          <w:lang w:val="en-US"/>
        </w:rPr>
        <w:t xml:space="preserve">less commonly associated </w:t>
      </w:r>
      <w:r w:rsidR="005C3A6B" w:rsidRPr="000263D7">
        <w:rPr>
          <w:rFonts w:asciiTheme="minorBidi" w:hAnsiTheme="minorBidi" w:cstheme="minorBidi"/>
          <w:sz w:val="24"/>
          <w:szCs w:val="24"/>
          <w:lang w:val="en-US"/>
        </w:rPr>
        <w:t xml:space="preserve">viruses include novovirus, </w:t>
      </w:r>
      <w:r w:rsidR="00C0581C">
        <w:rPr>
          <w:rFonts w:asciiTheme="minorBidi" w:hAnsiTheme="minorBidi" w:cstheme="minorBidi"/>
          <w:sz w:val="24"/>
          <w:szCs w:val="24"/>
          <w:lang w:val="en-US"/>
        </w:rPr>
        <w:t xml:space="preserve">enteric </w:t>
      </w:r>
      <w:r w:rsidR="005C3A6B" w:rsidRPr="000263D7">
        <w:rPr>
          <w:rFonts w:asciiTheme="minorBidi" w:hAnsiTheme="minorBidi" w:cstheme="minorBidi"/>
          <w:sz w:val="24"/>
          <w:szCs w:val="24"/>
          <w:lang w:val="en-US"/>
        </w:rPr>
        <w:t xml:space="preserve">adenovirus, astrovirus and sapovirus. </w:t>
      </w:r>
      <w:r w:rsidR="00083978">
        <w:rPr>
          <w:rFonts w:asciiTheme="minorBidi" w:hAnsiTheme="minorBidi" w:cstheme="minorBidi"/>
          <w:sz w:val="24"/>
          <w:szCs w:val="24"/>
          <w:lang w:val="en-US"/>
        </w:rPr>
        <w:fldChar w:fldCharType="begin" w:fldLock="1"/>
      </w:r>
      <w:r w:rsidR="00083978">
        <w:rPr>
          <w:rFonts w:asciiTheme="minorBidi" w:hAnsiTheme="minorBidi" w:cstheme="minorBidi"/>
          <w:sz w:val="24"/>
          <w:szCs w:val="24"/>
          <w:lang w:val="en-US"/>
        </w:rPr>
        <w:instrText>ADDIN CSL_CITATION { "citationItems" : [ { "id" : "ITEM-1", "itemData" : { "DOI" : "10.1016/j.jpeds.2016.05.068", "ISSN" : "1097-6833", "PMID" : "27329497", "abstract" : "OBJECTIVE To detect the etiologic agents of acute gastroenteritis (AGE) in children using broad molecular-based techniques, and compare clinical presentations among etiologies. STUDY DESIGN This was a prospective population-based surveillance study of children aged &lt;6\u00a0years with AGE conducted between 2008 and 2011 as part of the New Vaccine Surveillance Network. Stools from patients and healthy controls were tested for 21 gastrointestinal pathogens using the analyte-specific reagent Gastrointestinal Pathogen Panel and an additional reverse transcription real-time polymerase chain reaction assay for sapovirus and astrovirus. RESULTS Of the 216 stool samples from patients with AGE, 152 (70.4%) tested positive for a pathogen, with norovirus genogroup II (n\u00a0=\u00a078; 36.1%) and Clostridium difficile (n\u00a0=\u00a035; 16.2%) the most common pathogens detected. Forty-nine patients (22.7%) tested positive for more than 1 pathogen, including 25 (71%) with a C difficile detection. There were no significant clinical differences among the patients with no pathogen detected, those with a single pathogen detected, and those with \u22652 pathogens detected. CONCLUSION Using a broad molecular testing approach, high rates of enteropathogens were detected in children with AGE, dominated by norovirus genogroup II and C difficile. Coinfections were common but had no identifiable impact on clinical manifestations. As routine diagnostics of AGE progressively evolve toward nucleic acid-based pathogen detection, ongoing systematic studies are needed to better analyze the clinical significance of results.", "author" : [ { "dropping-particle" : "", "family" : "Nicholson", "given" : "Maribeth R", "non-dropping-particle" : "", "parse-names" : false, "suffix" : "" }, { "dropping-particle" : "", "family" : "Horn", "given" : "Gerald T", "non-dropping-particle" : "Van", "parse-names" : false, "suffix" : "" }, { "dropping-particle" : "", "family" : "Tang", "given" : "Yi-Wei", "non-dropping-particle" : "", "parse-names" : false, "suffix" : "" }, { "dropping-particle" : "", "family" : "Vinj\u00e9", "given" : "Jan", "non-dropping-particle" : "", "parse-names" : false, "suffix" : "" }, { "dropping-particle" : "", "family" : "Payne", "given" : "Daniel C", "non-dropping-particle" : "", "parse-names" : false, "suffix" : "" }, { "dropping-particle" : "", "family" : "Edwards", "given" : "Kathryn M", "non-dropping-particle" : "", "parse-names" : false, "suffix" : "" }, { "dropping-particle" : "", "family" : "Chappell", "given" : "James D", "non-dropping-particle" : "", "parse-names" : false, "suffix" : "" } ], "container-title" : "The Journal of pediatrics", "id" : "ITEM-1", "issued" : { "date-parts" : [ [ "2016" ] ] }, "title" : "Using Multiplex Molecular Testing to Determine the Etiology of Acute\u00a0Gastroenteritis in Children.", "type" : "article-journal" }, "uris" : [ "http://www.mendeley.com/documents/?uuid=8db590a5-4eae-4959-9756-0251a5eb9d81" ] } ], "mendeley" : { "formattedCitation" : "&lt;sup&gt;2&lt;/sup&gt;", "plainTextFormattedCitation" : "2", "previouslyFormattedCitation" : "&lt;sup&gt;2&lt;/sup&gt;" }, "properties" : { "noteIndex" : 0 }, "schema" : "https://github.com/citation-style-language/schema/raw/master/csl-citation.json" }</w:instrText>
      </w:r>
      <w:r w:rsidR="00083978">
        <w:rPr>
          <w:rFonts w:asciiTheme="minorBidi" w:hAnsiTheme="minorBidi" w:cstheme="minorBidi"/>
          <w:sz w:val="24"/>
          <w:szCs w:val="24"/>
          <w:lang w:val="en-US"/>
        </w:rPr>
        <w:fldChar w:fldCharType="separate"/>
      </w:r>
      <w:r w:rsidR="00083978" w:rsidRPr="00083978">
        <w:rPr>
          <w:rFonts w:asciiTheme="minorBidi" w:hAnsiTheme="minorBidi" w:cstheme="minorBidi"/>
          <w:noProof/>
          <w:sz w:val="24"/>
          <w:szCs w:val="24"/>
          <w:vertAlign w:val="superscript"/>
          <w:lang w:val="en-US"/>
        </w:rPr>
        <w:t>2</w:t>
      </w:r>
      <w:r w:rsidR="00083978">
        <w:rPr>
          <w:rFonts w:asciiTheme="minorBidi" w:hAnsiTheme="minorBidi" w:cstheme="minorBidi"/>
          <w:sz w:val="24"/>
          <w:szCs w:val="24"/>
          <w:lang w:val="en-US"/>
        </w:rPr>
        <w:fldChar w:fldCharType="end"/>
      </w:r>
      <w:r w:rsidR="00083978">
        <w:rPr>
          <w:rFonts w:asciiTheme="minorBidi" w:hAnsiTheme="minorBidi" w:cstheme="minorBidi"/>
          <w:sz w:val="24"/>
          <w:szCs w:val="24"/>
          <w:lang w:val="en-US"/>
        </w:rPr>
        <w:t xml:space="preserve"> </w:t>
      </w:r>
      <w:r w:rsidR="00083978">
        <w:rPr>
          <w:rFonts w:asciiTheme="minorBidi" w:hAnsiTheme="minorBidi" w:cstheme="minorBidi"/>
          <w:sz w:val="24"/>
          <w:szCs w:val="24"/>
          <w:lang w:val="en-US"/>
        </w:rPr>
        <w:fldChar w:fldCharType="begin" w:fldLock="1"/>
      </w:r>
      <w:r w:rsidR="00996785">
        <w:rPr>
          <w:rFonts w:asciiTheme="minorBidi" w:hAnsiTheme="minorBidi" w:cstheme="minorBidi"/>
          <w:sz w:val="24"/>
          <w:szCs w:val="24"/>
          <w:lang w:val="en-US"/>
        </w:rPr>
        <w:instrText>ADDIN CSL_CITATION { "citationItems" : [ { "id" : "ITEM-1", "itemData" : { "DOI" : "10.3201/eid1601.090401", "ISBN" : "1080-6059 (Electronic)\\n1080-6040 (Linking)", "ISSN" : "10806040", "PMID" : "20031043", "abstract" : "Viruses are the major pathogens of community-acquired (CA) acute gastroenteritis (AGE) in children, but their role in healthcare-associated (HA) AGE is poorly understood. Children with AGE hospitalized at Alder Hey Children's Hospital, Liverpool, UK, were enrolled over a 2-year period. AGE was classified as HA if diarrhea developed &gt; or =48 hours after admission. Rotavirus, norovirus, adenovirus 40/41, astrovirus, and sapovirus were detected by PCR. A total of 225 children with HA-AGE and 351 with CA-AGE were enrolled in the study. HA viral gastroenteritis constituted one fifth of the diarrheal diseases among hospitalized children and commonly occurred in critical care areas. We detected &gt; or =1 virus in 120 (53%) of HA-AGE cases; rotavirus (31%), norovirus (16%), and adenovirus 40/41 (15%) were the predominant viruses identified. Molecular evidence indicated rotaviruses and noroviruses were frequently introduced into the hospital from the community. Rotavirus vaccines could substantially reduce the incidence of HA-AGE in children.", "author" : [ { "dropping-particle" : "", "family" : "Cunliffe", "given" : "Nigel A.", "non-dropping-particle" : "", "parse-names" : false, "suffix" : "" }, { "dropping-particle" : "", "family" : "Booth", "given" : "J. Angela", "non-dropping-particle" : "", "parse-names" : false, "suffix" : "" }, { "dropping-particle" : "", "family" : "Elliot", "given" : "Claire", "non-dropping-particle" : "", "parse-names" : false, "suffix" : "" }, { "dropping-particle" : "", "family" : "Lowe", "given" : "Sharon J.", "non-dropping-particle" : "", "parse-names" : false, "suffix" : "" }, { "dropping-particle" : "", "family" : "Sopwith", "given" : "Will", "non-dropping-particle" : "", "parse-names" : false, "suffix" : "" }, { "dropping-particle" : "", "family" : "Kitchin", "given" : "Nick", "non-dropping-particle" : "", "parse-names" : false, "suffix" : "" }, { "dropping-particle" : "", "family" : "Nakagomi", "given" : "Osamu", "non-dropping-particle" : "", "parse-names" : false, "suffix" : "" }, { "dropping-particle" : "", "family" : "Nakagomi", "given" : "Toyoko", "non-dropping-particle" : "", "parse-names" : false, "suffix" : "" }, { "dropping-particle" : "", "family" : "Hart", "given" : "C. Anthony", "non-dropping-particle" : "", "parse-names" : false, "suffix" : "" }, { "dropping-particle" : "", "family" : "Regan", "given" : "Martyn", "non-dropping-particle" : "", "parse-names" : false, "suffix" : "" } ], "container-title" : "Emerging Infectious Diseases", "id" : "ITEM-1", "issued" : { "date-parts" : [ [ "2010" ] ] }, "title" : "Healthcare-associated viral gastroenteritis among children in a large pediatric hospital, United Kingdom", "type" : "article-journal", "volume" : "16" }, "uris" : [ "http://www.mendeley.com/documents/?uuid=35c85619-0b9b-3f3b-9b7d-554d364112f0" ] } ], "mendeley" : { "formattedCitation" : "&lt;sup&gt;3&lt;/sup&gt;", "plainTextFormattedCitation" : "3", "previouslyFormattedCitation" : "&lt;sup&gt;3&lt;/sup&gt;" }, "properties" : { "noteIndex" : 0 }, "schema" : "https://github.com/citation-style-language/schema/raw/master/csl-citation.json" }</w:instrText>
      </w:r>
      <w:r w:rsidR="00083978">
        <w:rPr>
          <w:rFonts w:asciiTheme="minorBidi" w:hAnsiTheme="minorBidi" w:cstheme="minorBidi"/>
          <w:sz w:val="24"/>
          <w:szCs w:val="24"/>
          <w:lang w:val="en-US"/>
        </w:rPr>
        <w:fldChar w:fldCharType="separate"/>
      </w:r>
      <w:r w:rsidR="00083978" w:rsidRPr="00083978">
        <w:rPr>
          <w:rFonts w:asciiTheme="minorBidi" w:hAnsiTheme="minorBidi" w:cstheme="minorBidi"/>
          <w:noProof/>
          <w:sz w:val="24"/>
          <w:szCs w:val="24"/>
          <w:vertAlign w:val="superscript"/>
          <w:lang w:val="en-US"/>
        </w:rPr>
        <w:t>3</w:t>
      </w:r>
      <w:r w:rsidR="00083978">
        <w:rPr>
          <w:rFonts w:asciiTheme="minorBidi" w:hAnsiTheme="minorBidi" w:cstheme="minorBidi"/>
          <w:sz w:val="24"/>
          <w:szCs w:val="24"/>
          <w:lang w:val="en-US"/>
        </w:rPr>
        <w:fldChar w:fldCharType="end"/>
      </w:r>
    </w:p>
    <w:p w14:paraId="6144C9A2" w14:textId="4945B7E7" w:rsidR="00C0581C" w:rsidRPr="000263D7" w:rsidRDefault="005C3A6B" w:rsidP="00C0581C">
      <w:pPr>
        <w:spacing w:line="360" w:lineRule="auto"/>
        <w:jc w:val="both"/>
        <w:rPr>
          <w:rFonts w:asciiTheme="minorBidi" w:hAnsiTheme="minorBidi" w:cstheme="minorBidi"/>
          <w:sz w:val="24"/>
          <w:szCs w:val="24"/>
        </w:rPr>
      </w:pPr>
      <w:r w:rsidRPr="000263D7">
        <w:rPr>
          <w:rFonts w:asciiTheme="minorBidi" w:hAnsiTheme="minorBidi" w:cstheme="minorBidi"/>
          <w:sz w:val="24"/>
          <w:szCs w:val="24"/>
        </w:rPr>
        <w:t xml:space="preserve">Rotavirus is a </w:t>
      </w:r>
      <w:r w:rsidR="006047CF">
        <w:rPr>
          <w:rFonts w:asciiTheme="minorBidi" w:hAnsiTheme="minorBidi" w:cstheme="minorBidi"/>
          <w:sz w:val="24"/>
          <w:szCs w:val="24"/>
        </w:rPr>
        <w:t>70</w:t>
      </w:r>
      <w:r w:rsidR="006047CF" w:rsidRPr="000263D7">
        <w:rPr>
          <w:rFonts w:asciiTheme="minorBidi" w:hAnsiTheme="minorBidi" w:cstheme="minorBidi"/>
          <w:sz w:val="24"/>
          <w:szCs w:val="24"/>
        </w:rPr>
        <w:t xml:space="preserve"> </w:t>
      </w:r>
      <w:r w:rsidRPr="000263D7">
        <w:rPr>
          <w:rFonts w:asciiTheme="minorBidi" w:hAnsiTheme="minorBidi" w:cstheme="minorBidi"/>
          <w:sz w:val="24"/>
          <w:szCs w:val="24"/>
        </w:rPr>
        <w:t xml:space="preserve">nm, non-enveloped RNA virus. It has </w:t>
      </w:r>
      <w:r w:rsidR="00C0581C">
        <w:rPr>
          <w:rFonts w:asciiTheme="minorBidi" w:hAnsiTheme="minorBidi" w:cstheme="minorBidi"/>
          <w:sz w:val="24"/>
          <w:szCs w:val="24"/>
        </w:rPr>
        <w:t xml:space="preserve">a </w:t>
      </w:r>
      <w:r w:rsidRPr="000263D7">
        <w:rPr>
          <w:rFonts w:asciiTheme="minorBidi" w:hAnsiTheme="minorBidi" w:cstheme="minorBidi"/>
          <w:sz w:val="24"/>
          <w:szCs w:val="24"/>
        </w:rPr>
        <w:t xml:space="preserve">viral genome of double stranded RNA, which is surrounded by </w:t>
      </w:r>
      <w:r w:rsidR="00C0581C">
        <w:rPr>
          <w:rFonts w:asciiTheme="minorBidi" w:hAnsiTheme="minorBidi" w:cstheme="minorBidi"/>
          <w:sz w:val="24"/>
          <w:szCs w:val="24"/>
        </w:rPr>
        <w:t xml:space="preserve">a </w:t>
      </w:r>
      <w:r w:rsidRPr="000263D7">
        <w:rPr>
          <w:rFonts w:asciiTheme="minorBidi" w:hAnsiTheme="minorBidi" w:cstheme="minorBidi"/>
          <w:sz w:val="24"/>
          <w:szCs w:val="24"/>
        </w:rPr>
        <w:t>triple layered protein capsid. The VP7 glycoprotein and the VP4 protein are outer layer structural proteins. These two proteins</w:t>
      </w:r>
      <w:r w:rsidR="00C0581C" w:rsidRPr="00C0581C">
        <w:rPr>
          <w:rFonts w:asciiTheme="minorBidi" w:hAnsiTheme="minorBidi" w:cstheme="minorBidi"/>
          <w:sz w:val="24"/>
          <w:szCs w:val="24"/>
        </w:rPr>
        <w:t xml:space="preserve"> </w:t>
      </w:r>
      <w:r w:rsidR="00C0581C" w:rsidRPr="000263D7">
        <w:rPr>
          <w:rFonts w:asciiTheme="minorBidi" w:hAnsiTheme="minorBidi" w:cstheme="minorBidi"/>
          <w:sz w:val="24"/>
          <w:szCs w:val="24"/>
        </w:rPr>
        <w:t>induce the production of neutralising antibodies.</w:t>
      </w:r>
    </w:p>
    <w:p w14:paraId="7DA1DAB3" w14:textId="12B2AE14" w:rsidR="00B550EB" w:rsidRPr="000263D7" w:rsidRDefault="005C3A6B" w:rsidP="007044F8">
      <w:pPr>
        <w:spacing w:line="360" w:lineRule="auto"/>
        <w:jc w:val="both"/>
        <w:rPr>
          <w:rFonts w:asciiTheme="minorBidi" w:hAnsiTheme="minorBidi" w:cstheme="minorBidi"/>
          <w:sz w:val="24"/>
          <w:szCs w:val="24"/>
        </w:rPr>
      </w:pPr>
      <w:r w:rsidRPr="000263D7">
        <w:rPr>
          <w:rFonts w:asciiTheme="minorBidi" w:hAnsiTheme="minorBidi" w:cstheme="minorBidi"/>
          <w:sz w:val="24"/>
          <w:szCs w:val="24"/>
        </w:rPr>
        <w:t xml:space="preserve"> </w:t>
      </w:r>
      <w:r w:rsidR="00C0581C">
        <w:rPr>
          <w:rFonts w:asciiTheme="minorBidi" w:hAnsiTheme="minorBidi" w:cstheme="minorBidi"/>
          <w:sz w:val="24"/>
          <w:szCs w:val="24"/>
        </w:rPr>
        <w:t>and determine</w:t>
      </w:r>
      <w:r w:rsidRPr="000263D7">
        <w:rPr>
          <w:rFonts w:asciiTheme="minorBidi" w:hAnsiTheme="minorBidi" w:cstheme="minorBidi"/>
          <w:sz w:val="24"/>
          <w:szCs w:val="24"/>
        </w:rPr>
        <w:t xml:space="preserve">regulate the G and P serotypes respectively and </w:t>
      </w:r>
      <w:r w:rsidR="00BD3DD3">
        <w:rPr>
          <w:rFonts w:asciiTheme="minorBidi" w:hAnsiTheme="minorBidi" w:cstheme="minorBidi"/>
          <w:sz w:val="24"/>
          <w:szCs w:val="24"/>
        </w:rPr>
        <w:t>which have been</w:t>
      </w:r>
      <w:r w:rsidRPr="000263D7">
        <w:rPr>
          <w:rFonts w:asciiTheme="minorBidi" w:hAnsiTheme="minorBidi" w:cstheme="minorBidi"/>
          <w:sz w:val="24"/>
          <w:szCs w:val="24"/>
        </w:rPr>
        <w:t xml:space="preserve"> used in the development of </w:t>
      </w:r>
      <w:r w:rsidR="00BD3DD3">
        <w:rPr>
          <w:rFonts w:asciiTheme="minorBidi" w:hAnsiTheme="minorBidi" w:cstheme="minorBidi"/>
          <w:sz w:val="24"/>
          <w:szCs w:val="24"/>
        </w:rPr>
        <w:t xml:space="preserve">rotavirus </w:t>
      </w:r>
      <w:r w:rsidRPr="000263D7">
        <w:rPr>
          <w:rFonts w:asciiTheme="minorBidi" w:hAnsiTheme="minorBidi" w:cstheme="minorBidi"/>
          <w:sz w:val="24"/>
          <w:szCs w:val="24"/>
        </w:rPr>
        <w:t xml:space="preserve">vaccines. </w:t>
      </w:r>
    </w:p>
    <w:p w14:paraId="454FF1C0" w14:textId="4347C3A6" w:rsidR="00B550EB" w:rsidRPr="00B317CA" w:rsidRDefault="005C3A6B" w:rsidP="007044F8">
      <w:pPr>
        <w:spacing w:line="360" w:lineRule="auto"/>
        <w:jc w:val="both"/>
        <w:rPr>
          <w:rFonts w:asciiTheme="minorBidi" w:hAnsiTheme="minorBidi" w:cstheme="minorBidi"/>
          <w:sz w:val="24"/>
          <w:szCs w:val="24"/>
        </w:rPr>
      </w:pPr>
      <w:r w:rsidRPr="000263D7">
        <w:rPr>
          <w:rFonts w:asciiTheme="minorBidi" w:hAnsiTheme="minorBidi" w:cstheme="minorBidi"/>
          <w:sz w:val="24"/>
          <w:szCs w:val="24"/>
        </w:rPr>
        <w:t>Mechanisms responsible for</w:t>
      </w:r>
      <w:r w:rsidR="003A2D1E" w:rsidRPr="000263D7">
        <w:rPr>
          <w:rFonts w:asciiTheme="minorBidi" w:hAnsiTheme="minorBidi" w:cstheme="minorBidi"/>
          <w:sz w:val="24"/>
          <w:szCs w:val="24"/>
        </w:rPr>
        <w:t xml:space="preserve"> diarrhoea related to rotavirus</w:t>
      </w:r>
      <w:r w:rsidRPr="000263D7">
        <w:rPr>
          <w:rFonts w:asciiTheme="minorBidi" w:hAnsiTheme="minorBidi" w:cstheme="minorBidi"/>
          <w:sz w:val="24"/>
          <w:szCs w:val="24"/>
        </w:rPr>
        <w:t xml:space="preserve"> include loss of epithelium leading to loss of brush border enzymes, effect of rotavirus enterotoxin and activation of </w:t>
      </w:r>
      <w:r w:rsidR="006A3B29">
        <w:rPr>
          <w:rFonts w:asciiTheme="minorBidi" w:hAnsiTheme="minorBidi" w:cstheme="minorBidi"/>
          <w:sz w:val="24"/>
          <w:szCs w:val="24"/>
        </w:rPr>
        <w:t xml:space="preserve">the </w:t>
      </w:r>
      <w:r w:rsidRPr="000263D7">
        <w:rPr>
          <w:rFonts w:asciiTheme="minorBidi" w:hAnsiTheme="minorBidi" w:cstheme="minorBidi"/>
          <w:sz w:val="24"/>
          <w:szCs w:val="24"/>
        </w:rPr>
        <w:t xml:space="preserve">enteric nervous system. The destruction of epithelium leading to loss of enzymes, leads to carbohydrate malabsorption </w:t>
      </w:r>
      <w:r w:rsidR="006A3B29">
        <w:rPr>
          <w:rFonts w:asciiTheme="minorBidi" w:hAnsiTheme="minorBidi" w:cstheme="minorBidi"/>
          <w:sz w:val="24"/>
          <w:szCs w:val="24"/>
        </w:rPr>
        <w:t>resulting in</w:t>
      </w:r>
      <w:r w:rsidRPr="000263D7">
        <w:rPr>
          <w:rFonts w:asciiTheme="minorBidi" w:hAnsiTheme="minorBidi" w:cstheme="minorBidi"/>
          <w:sz w:val="24"/>
          <w:szCs w:val="24"/>
        </w:rPr>
        <w:t xml:space="preserve"> an osmotic type of diarrhoea. The spread of disease is via faecal-oral </w:t>
      </w:r>
      <w:r w:rsidR="00631630" w:rsidRPr="000263D7">
        <w:rPr>
          <w:rFonts w:asciiTheme="minorBidi" w:hAnsiTheme="minorBidi" w:cstheme="minorBidi"/>
          <w:sz w:val="24"/>
          <w:szCs w:val="24"/>
        </w:rPr>
        <w:t>route;</w:t>
      </w:r>
      <w:r w:rsidRPr="000263D7">
        <w:rPr>
          <w:rFonts w:asciiTheme="minorBidi" w:hAnsiTheme="minorBidi" w:cstheme="minorBidi"/>
          <w:sz w:val="24"/>
          <w:szCs w:val="24"/>
        </w:rPr>
        <w:t xml:space="preserve"> the incubation period is less than 48 hours. A small </w:t>
      </w:r>
      <w:r w:rsidRPr="007044F8">
        <w:rPr>
          <w:rFonts w:asciiTheme="minorBidi" w:hAnsiTheme="minorBidi" w:cstheme="minorBidi"/>
          <w:sz w:val="24"/>
          <w:szCs w:val="24"/>
        </w:rPr>
        <w:t>inoculum is needed for transmission</w:t>
      </w:r>
      <w:r w:rsidR="006A3B29" w:rsidRPr="007044F8">
        <w:rPr>
          <w:rFonts w:asciiTheme="minorBidi" w:hAnsiTheme="minorBidi" w:cstheme="minorBidi"/>
          <w:sz w:val="24"/>
          <w:szCs w:val="24"/>
        </w:rPr>
        <w:t xml:space="preserve">, typically no more than 100 colony-forming units per </w:t>
      </w:r>
      <w:r w:rsidR="006A3B29" w:rsidRPr="00B317CA">
        <w:rPr>
          <w:rFonts w:asciiTheme="minorBidi" w:hAnsiTheme="minorBidi" w:cstheme="minorBidi"/>
          <w:sz w:val="24"/>
          <w:szCs w:val="24"/>
        </w:rPr>
        <w:t>gram</w:t>
      </w:r>
      <w:r w:rsidRPr="00B317CA">
        <w:rPr>
          <w:rFonts w:asciiTheme="minorBidi" w:hAnsiTheme="minorBidi" w:cstheme="minorBidi"/>
          <w:sz w:val="24"/>
          <w:szCs w:val="24"/>
        </w:rPr>
        <w:t>.</w:t>
      </w:r>
      <w:r w:rsidR="00B317CA">
        <w:rPr>
          <w:rFonts w:asciiTheme="minorBidi" w:hAnsiTheme="minorBidi" w:cstheme="minorBidi"/>
          <w:sz w:val="24"/>
          <w:szCs w:val="24"/>
        </w:rPr>
        <w:t xml:space="preserve"> </w:t>
      </w:r>
      <w:r w:rsidR="00B317CA" w:rsidRPr="00B317CA">
        <w:rPr>
          <w:rFonts w:asciiTheme="minorBidi" w:hAnsiTheme="minorBidi" w:cstheme="minorBidi"/>
          <w:sz w:val="24"/>
          <w:szCs w:val="24"/>
          <w:vertAlign w:val="superscript"/>
        </w:rPr>
        <w:t>5</w:t>
      </w:r>
      <w:r w:rsidRPr="00B317CA">
        <w:rPr>
          <w:rFonts w:asciiTheme="minorBidi" w:hAnsiTheme="minorBidi" w:cstheme="minorBidi"/>
          <w:sz w:val="24"/>
          <w:szCs w:val="24"/>
        </w:rPr>
        <w:t xml:space="preserve">  </w:t>
      </w:r>
    </w:p>
    <w:p w14:paraId="26FA1BCF" w14:textId="0EABFB68" w:rsidR="00B550EB" w:rsidRPr="000263D7" w:rsidRDefault="005C3A6B" w:rsidP="007044F8">
      <w:pPr>
        <w:spacing w:line="360" w:lineRule="auto"/>
        <w:jc w:val="both"/>
        <w:rPr>
          <w:rFonts w:asciiTheme="minorBidi" w:hAnsiTheme="minorBidi" w:cstheme="minorBidi"/>
          <w:sz w:val="24"/>
          <w:szCs w:val="24"/>
        </w:rPr>
      </w:pPr>
      <w:r w:rsidRPr="00B317CA">
        <w:rPr>
          <w:rFonts w:asciiTheme="minorBidi" w:hAnsiTheme="minorBidi" w:cstheme="minorBidi"/>
          <w:sz w:val="24"/>
          <w:szCs w:val="24"/>
        </w:rPr>
        <w:t>Two oral live attenuated rotavirus va</w:t>
      </w:r>
      <w:r w:rsidR="0014350B" w:rsidRPr="00B317CA">
        <w:rPr>
          <w:rFonts w:asciiTheme="minorBidi" w:hAnsiTheme="minorBidi" w:cstheme="minorBidi"/>
          <w:sz w:val="24"/>
          <w:szCs w:val="24"/>
        </w:rPr>
        <w:t>ccines</w:t>
      </w:r>
      <w:r w:rsidR="0014350B" w:rsidRPr="000263D7">
        <w:rPr>
          <w:rFonts w:asciiTheme="minorBidi" w:hAnsiTheme="minorBidi" w:cstheme="minorBidi"/>
          <w:sz w:val="24"/>
          <w:szCs w:val="24"/>
        </w:rPr>
        <w:t xml:space="preserve"> are available to be used;</w:t>
      </w:r>
      <w:r w:rsidRPr="000263D7">
        <w:rPr>
          <w:rFonts w:asciiTheme="minorBidi" w:hAnsiTheme="minorBidi" w:cstheme="minorBidi"/>
          <w:sz w:val="24"/>
          <w:szCs w:val="24"/>
        </w:rPr>
        <w:t xml:space="preserve"> Rotarix</w:t>
      </w:r>
      <w:r w:rsidR="0014350B" w:rsidRPr="000263D7">
        <w:rPr>
          <w:rFonts w:asciiTheme="minorBidi" w:hAnsiTheme="minorBidi" w:cstheme="minorBidi"/>
          <w:sz w:val="24"/>
          <w:szCs w:val="24"/>
          <w:vertAlign w:val="superscript"/>
        </w:rPr>
        <w:t>TM</w:t>
      </w:r>
      <w:r w:rsidRPr="000263D7">
        <w:rPr>
          <w:rFonts w:asciiTheme="minorBidi" w:hAnsiTheme="minorBidi" w:cstheme="minorBidi"/>
          <w:sz w:val="24"/>
          <w:szCs w:val="24"/>
        </w:rPr>
        <w:t>, a monovalent vaccine</w:t>
      </w:r>
      <w:r w:rsidR="006A3B29">
        <w:rPr>
          <w:rFonts w:asciiTheme="minorBidi" w:hAnsiTheme="minorBidi" w:cstheme="minorBidi"/>
          <w:sz w:val="24"/>
          <w:szCs w:val="24"/>
        </w:rPr>
        <w:t xml:space="preserve"> derived from the most common human rotavirus serotype (G1P</w:t>
      </w:r>
      <w:r w:rsidR="00C0581C">
        <w:rPr>
          <w:rFonts w:asciiTheme="minorBidi" w:hAnsiTheme="minorBidi" w:cstheme="minorBidi"/>
          <w:sz w:val="24"/>
          <w:szCs w:val="24"/>
        </w:rPr>
        <w:t>[8]</w:t>
      </w:r>
      <w:r w:rsidR="006A3B29">
        <w:rPr>
          <w:rFonts w:asciiTheme="minorBidi" w:hAnsiTheme="minorBidi" w:cstheme="minorBidi"/>
          <w:sz w:val="24"/>
          <w:szCs w:val="24"/>
        </w:rPr>
        <w:t>)</w:t>
      </w:r>
      <w:r w:rsidRPr="000263D7">
        <w:rPr>
          <w:rFonts w:asciiTheme="minorBidi" w:hAnsiTheme="minorBidi" w:cstheme="minorBidi"/>
          <w:sz w:val="24"/>
          <w:szCs w:val="24"/>
        </w:rPr>
        <w:t>, and secondly a pentavalent vaccine, RotaTeq</w:t>
      </w:r>
      <w:r w:rsidR="0014350B" w:rsidRPr="000263D7">
        <w:rPr>
          <w:rFonts w:asciiTheme="minorBidi" w:hAnsiTheme="minorBidi" w:cstheme="minorBidi"/>
          <w:sz w:val="24"/>
          <w:szCs w:val="24"/>
          <w:vertAlign w:val="superscript"/>
        </w:rPr>
        <w:t>TM</w:t>
      </w:r>
      <w:r w:rsidR="006A3B29">
        <w:rPr>
          <w:rFonts w:asciiTheme="minorBidi" w:hAnsiTheme="minorBidi" w:cstheme="minorBidi"/>
          <w:sz w:val="24"/>
          <w:szCs w:val="24"/>
        </w:rPr>
        <w:t xml:space="preserve">, incorporating  </w:t>
      </w:r>
      <w:r w:rsidR="00D15DD6">
        <w:rPr>
          <w:rFonts w:asciiTheme="minorBidi" w:hAnsiTheme="minorBidi" w:cstheme="minorBidi"/>
          <w:sz w:val="24"/>
          <w:szCs w:val="24"/>
        </w:rPr>
        <w:t>five common</w:t>
      </w:r>
      <w:r w:rsidR="006A3B29">
        <w:rPr>
          <w:rFonts w:asciiTheme="minorBidi" w:hAnsiTheme="minorBidi" w:cstheme="minorBidi"/>
          <w:sz w:val="24"/>
          <w:szCs w:val="24"/>
        </w:rPr>
        <w:t>human serotypes (G1, G2, G3, G4 and P</w:t>
      </w:r>
      <w:r w:rsidR="00D15DD6">
        <w:rPr>
          <w:rFonts w:asciiTheme="minorBidi" w:hAnsiTheme="minorBidi" w:cstheme="minorBidi"/>
          <w:sz w:val="24"/>
          <w:szCs w:val="24"/>
        </w:rPr>
        <w:t>[8]</w:t>
      </w:r>
      <w:r w:rsidR="006A3B29">
        <w:rPr>
          <w:rFonts w:asciiTheme="minorBidi" w:hAnsiTheme="minorBidi" w:cstheme="minorBidi"/>
          <w:sz w:val="24"/>
          <w:szCs w:val="24"/>
        </w:rPr>
        <w:t>)</w:t>
      </w:r>
      <w:r w:rsidRPr="000263D7">
        <w:rPr>
          <w:rFonts w:asciiTheme="minorBidi" w:hAnsiTheme="minorBidi" w:cstheme="minorBidi"/>
          <w:sz w:val="24"/>
          <w:szCs w:val="24"/>
        </w:rPr>
        <w:t xml:space="preserve"> </w:t>
      </w:r>
    </w:p>
    <w:p w14:paraId="0E24B892" w14:textId="6B397A3F" w:rsidR="006047CF" w:rsidRPr="000263D7" w:rsidRDefault="006047CF" w:rsidP="006047CF">
      <w:pPr>
        <w:spacing w:line="360" w:lineRule="auto"/>
        <w:jc w:val="both"/>
        <w:rPr>
          <w:rFonts w:asciiTheme="minorBidi" w:hAnsiTheme="minorBidi" w:cstheme="minorBidi"/>
          <w:sz w:val="24"/>
          <w:szCs w:val="24"/>
        </w:rPr>
      </w:pPr>
      <w:r w:rsidRPr="000263D7">
        <w:rPr>
          <w:rFonts w:asciiTheme="minorBidi" w:hAnsiTheme="minorBidi" w:cstheme="minorBidi"/>
          <w:sz w:val="24"/>
          <w:szCs w:val="24"/>
        </w:rPr>
        <w:lastRenderedPageBreak/>
        <w:t xml:space="preserve">The World Health Organisation has recommended rotavirus vaccine in the </w:t>
      </w:r>
      <w:r>
        <w:rPr>
          <w:rFonts w:asciiTheme="minorBidi" w:hAnsiTheme="minorBidi" w:cstheme="minorBidi"/>
          <w:sz w:val="24"/>
          <w:szCs w:val="24"/>
        </w:rPr>
        <w:t xml:space="preserve">childhood </w:t>
      </w:r>
      <w:r w:rsidRPr="000263D7">
        <w:rPr>
          <w:rFonts w:asciiTheme="minorBidi" w:hAnsiTheme="minorBidi" w:cstheme="minorBidi"/>
          <w:sz w:val="24"/>
          <w:szCs w:val="24"/>
        </w:rPr>
        <w:t xml:space="preserve">immunisation schedule globally. It was </w:t>
      </w:r>
      <w:r>
        <w:rPr>
          <w:rFonts w:asciiTheme="minorBidi" w:hAnsiTheme="minorBidi" w:cstheme="minorBidi"/>
          <w:sz w:val="24"/>
          <w:szCs w:val="24"/>
        </w:rPr>
        <w:t xml:space="preserve">first </w:t>
      </w:r>
      <w:r w:rsidRPr="000263D7">
        <w:rPr>
          <w:rFonts w:asciiTheme="minorBidi" w:hAnsiTheme="minorBidi" w:cstheme="minorBidi"/>
          <w:sz w:val="24"/>
          <w:szCs w:val="24"/>
        </w:rPr>
        <w:t>licensed in 2006. Vaccination has been added to national vaccination schedule over time in a number of countries; 82 countries had started using it by December 2016.</w:t>
      </w:r>
      <w:r>
        <w:rPr>
          <w:rFonts w:asciiTheme="minorBidi" w:hAnsiTheme="minorBidi" w:cstheme="minorBidi"/>
          <w:sz w:val="24"/>
          <w:szCs w:val="24"/>
        </w:rPr>
        <w:t xml:space="preserve"> </w:t>
      </w:r>
      <w:r>
        <w:rPr>
          <w:rFonts w:asciiTheme="minorBidi" w:hAnsiTheme="minorBidi" w:cstheme="minorBidi"/>
          <w:sz w:val="24"/>
          <w:szCs w:val="24"/>
        </w:rPr>
        <w:fldChar w:fldCharType="begin" w:fldLock="1"/>
      </w:r>
      <w:r>
        <w:rPr>
          <w:rFonts w:asciiTheme="minorBidi" w:hAnsiTheme="minorBidi" w:cstheme="minorBidi"/>
          <w:sz w:val="24"/>
          <w:szCs w:val="24"/>
        </w:rPr>
        <w:instrText>ADDIN CSL_CITATION { "citationItems" : [ { "id" : "ITEM-1", "itemData" : { "DOI" : "10.1186/s12879-017-2613-4", "ISSN" : "1471-2334", "PMID" : "28810833", "abstract" : "BACKGROUND Rotavirus was the leading cause of acute gastroenteritis (AGE) in infants and young children prior to the introduction of routine vaccination. Since 2006 there have been two licensed vaccines available; with successful clinical trials leading the World Health Organization to recommend rotavirus vaccination for all children worldwide. In order to inform immunisation policy we have conducted a systematic review and meta-analysis of observation studies to assess population effectiveness against acute gastroenteritis. METHODS We systematically searched PubMed, Medline, Web of Science, Cinhal and Academic Search Premier and grey literature sources for studies published between January 2006 and April 2014. Studies were eligible for inclusion if they were observational measuring population effectiveness of rotavirus vaccination against health care attendances for rotavirus gastroenteritis or AGE. To evaluate study quality we use used the Newcastle-Ottawa Scale for non-randomised studies, categorising studies by risk of bias. Publication bias was assessed using funnel plots. If two or more studies reported a measure of vaccine effectiveness (VE), we conducted a random effects meta-analysis. We stratified analyses by World Bank country income level and used study quality in sensitivity analyses. RESULTS We identified 30 studies, 19 were from high-income countries and 11 from middle-income countries. Vaccine effectiveness against hospitalization for laboratory confirmed rotavirus gastroenteritis was highest in high-income countries (89% VE; 95% CI 84-92%) compared to middle-income countries (74% VE; 95% CI 67-80%). Vaccine effectiveness was higher for those receiving the complete vaccine schedule (81% VE; 95% CI 75-86%) compared to partial schedule (62% VE; 95% CI 55-69%). Two studies from high-income countries measured VE against community consultations for AGE with a pooled estimate of 40% (95% CI 13-58%; 2 studies). CONCLUSIONS We found strong evidence to further support the continued use of rotavirus vaccines. Vaccine effectiveness was similar to that reported in clinical trials for both high and middle-income countries. There is limited data from Low income settings at present. There was lower effectiveness against milder disease. Further studies, should continue to report effectiveness against AGE and less-severe rotavirus disease because as evidenced by pre-vaccine introduction studies this is likely to contribute the greatest burden on healthca\u2026", "author" : [ { "dropping-particle" : "", "family" : "Hungerford", "given" : "Daniel", "non-dropping-particle" : "", "parse-names" : false, "suffix" : "" }, { "dropping-particle" : "", "family" : "Smith", "given" : "Katie", "non-dropping-particle" : "", "parse-names" : false, "suffix" : "" }, { "dropping-particle" : "", "family" : "Tucker", "given" : "Angela", "non-dropping-particle" : "", "parse-names" : false, "suffix" : "" }, { "dropping-particle" : "", "family" : "Iturriza-G\u00f3mara", "given" : "Miren", "non-dropping-particle" : "", "parse-names" : false, "suffix" : "" }, { "dropping-particle" : "", "family" : "Vivancos", "given" : "Roberto", "non-dropping-particle" : "", "parse-names" : false, "suffix" : "" }, { "dropping-particle" : "", "family" : "McLeonard", "given" : "Catherine", "non-dropping-particle" : "", "parse-names" : false, "suffix" : "" }, { "dropping-particle" : "", "family" : "A Cunliffe", "given" : "Nigel", "non-dropping-particle" : "", "parse-names" : false, "suffix" : "" }, { "dropping-particle" : "", "family" : "French", "given" : "Neil", "non-dropping-particle" : "", "parse-names" : false, "suffix" : "" } ], "container-title" : "BMC infectious diseases", "id" : "ITEM-1", "issue" : "1", "issued" : { "date-parts" : [ [ "2017" ] ] }, "page" : "569", "publisher" : "BMC Infectious Diseases", "title" : "Population effectiveness of the pentavalent and monovalent rotavirus vaccines: a systematic review and meta-analysis of observational studies.", "type" : "article-journal", "volume" : "17" }, "uris" : [ "http://www.mendeley.com/documents/?uuid=c461e42c-50fb-47eb-ac6b-8503d977234c" ] } ], "mendeley" : { "formattedCitation" : "&lt;sup&gt;6&lt;/sup&gt;", "plainTextFormattedCitation" : "6", "previouslyFormattedCitation" : "&lt;sup&gt;6&lt;/sup&gt;" }, "properties" : { "noteIndex" : 0 }, "schema" : "https://github.com/citation-style-language/schema/raw/master/csl-citation.json" }</w:instrText>
      </w:r>
      <w:r>
        <w:rPr>
          <w:rFonts w:asciiTheme="minorBidi" w:hAnsiTheme="minorBidi" w:cstheme="minorBidi"/>
          <w:sz w:val="24"/>
          <w:szCs w:val="24"/>
        </w:rPr>
        <w:fldChar w:fldCharType="separate"/>
      </w:r>
      <w:r w:rsidRPr="003E41A5">
        <w:rPr>
          <w:rFonts w:asciiTheme="minorBidi" w:hAnsiTheme="minorBidi" w:cstheme="minorBidi"/>
          <w:noProof/>
          <w:sz w:val="24"/>
          <w:szCs w:val="24"/>
          <w:vertAlign w:val="superscript"/>
        </w:rPr>
        <w:t>6</w:t>
      </w:r>
      <w:r>
        <w:rPr>
          <w:rFonts w:asciiTheme="minorBidi" w:hAnsiTheme="minorBidi" w:cstheme="minorBidi"/>
          <w:sz w:val="24"/>
          <w:szCs w:val="24"/>
        </w:rPr>
        <w:fldChar w:fldCharType="end"/>
      </w:r>
      <w:r>
        <w:rPr>
          <w:rFonts w:asciiTheme="minorBidi" w:hAnsiTheme="minorBidi" w:cstheme="minorBidi"/>
          <w:sz w:val="24"/>
          <w:szCs w:val="24"/>
        </w:rPr>
        <w:t xml:space="preserve"> </w:t>
      </w:r>
      <w:r w:rsidR="00D15DD6">
        <w:rPr>
          <w:rFonts w:asciiTheme="minorBidi" w:hAnsiTheme="minorBidi" w:cstheme="minorBidi"/>
          <w:sz w:val="24"/>
          <w:szCs w:val="24"/>
        </w:rPr>
        <w:t>R</w:t>
      </w:r>
      <w:r w:rsidRPr="000263D7">
        <w:rPr>
          <w:rFonts w:asciiTheme="minorBidi" w:hAnsiTheme="minorBidi" w:cstheme="minorBidi"/>
          <w:sz w:val="24"/>
          <w:szCs w:val="24"/>
        </w:rPr>
        <w:t>otavirus vaccine is extremely effective against gastroenteritis in middle and high-income countries with a considerable positive effect on Public Health in developed countries.</w:t>
      </w:r>
      <w:r>
        <w:rPr>
          <w:rFonts w:asciiTheme="minorBidi" w:hAnsiTheme="minorBidi" w:cstheme="minorBidi"/>
          <w:sz w:val="24"/>
          <w:szCs w:val="24"/>
        </w:rPr>
        <w:t xml:space="preserve"> </w:t>
      </w:r>
      <w:r w:rsidRPr="000263D7">
        <w:rPr>
          <w:rFonts w:asciiTheme="minorBidi" w:hAnsiTheme="minorBidi" w:cstheme="minorBidi"/>
          <w:sz w:val="24"/>
          <w:szCs w:val="24"/>
        </w:rPr>
        <w:t xml:space="preserve">The proportion of severe gastroenteritis and mortality related to rotavirus infection is also decreased in low income countries. </w:t>
      </w:r>
      <w:r>
        <w:rPr>
          <w:rFonts w:asciiTheme="minorBidi" w:hAnsiTheme="minorBidi" w:cstheme="minorBidi"/>
          <w:sz w:val="24"/>
          <w:szCs w:val="24"/>
        </w:rPr>
        <w:fldChar w:fldCharType="begin" w:fldLock="1"/>
      </w:r>
      <w:r>
        <w:rPr>
          <w:rFonts w:asciiTheme="minorBidi" w:hAnsiTheme="minorBidi" w:cstheme="minorBidi"/>
          <w:sz w:val="24"/>
          <w:szCs w:val="24"/>
        </w:rPr>
        <w:instrText>ADDIN CSL_CITATION { "citationItems" : [ { "id" : "ITEM-1", "itemData" : { "DOI" : "10.1586/erv.10.17", "ISBN" : "1744-8395", "ISSN" : "1476-0584", "PMID" : "20370550", "abstract" : "The WHO has recently recommended the inclusion of rotavirus vaccine in the national immunization programs of all countries. In countries in the Americas, Europe and Australia that have adopted routine childhood immunization against rotavirus, significant reductions in the burden of severe childhood diarrhea have been observed. Besides protecting vaccinated children, disease rates also appear to be reduced in unvaccinated children, suggesting indirect benefits from vaccination (i.e., herd protection). Early clinical trial data from Africa and Asia are promising, and further efforts are needed to optimize the benefits of vaccination in developing countries where vaccines are likely to have their greatest impact.", "author" : [ { "dropping-particle" : "", "family" : "Tate", "given" : "Jacqueline E", "non-dropping-particle" : "", "parse-names" : false, "suffix" : "" }, { "dropping-particle" : "", "family" : "Patel", "given" : "Manish M", "non-dropping-particle" : "", "parse-names" : false, "suffix" : "" }, { "dropping-particle" : "", "family" : "Steele", "given" : "a Duncan", "non-dropping-particle" : "", "parse-names" : false, "suffix" : "" }, { "dropping-particle" : "", "family" : "Gentsch", "given" : "Jon R", "non-dropping-particle" : "", "parse-names" : false, "suffix" : "" }, { "dropping-particle" : "", "family" : "Payne", "given" : "Daniel C", "non-dropping-particle" : "", "parse-names" : false, "suffix" : "" }, { "dropping-particle" : "", "family" : "Cortese", "given" : "Margaret M", "non-dropping-particle" : "", "parse-names" : false, "suffix" : "" }, { "dropping-particle" : "", "family" : "Nakagomi", "given" : "Osamu", "non-dropping-particle" : "", "parse-names" : false, "suffix" : "" }, { "dropping-particle" : "", "family" : "Cunliffe", "given" : "Nigel a", "non-dropping-particle" : "", "parse-names" : false, "suffix" : "" }, { "dropping-particle" : "", "family" : "Jiang", "given" : "Baoming", "non-dropping-particle" : "", "parse-names" : false, "suffix" : "" }, { "dropping-particle" : "", "family" : "Neuzil", "given" : "Kathleen M", "non-dropping-particle" : "", "parse-names" : false, "suffix" : "" }, { "dropping-particle" : "", "family" : "Oliveira", "given" : "Lucia H", "non-dropping-particle" : "de", "parse-names" : false, "suffix" : "" }, { "dropping-particle" : "", "family" : "Glass", "given" : "Roger I", "non-dropping-particle" : "", "parse-names" : false, "suffix" : "" }, { "dropping-particle" : "", "family" : "Parashar", "given" : "Umesh D", "non-dropping-particle" : "", "parse-names" : false, "suffix" : "" } ], "container-title" : "Expert review of vaccines", "id" : "ITEM-1", "issue" : "4", "issued" : { "date-parts" : [ [ "2010" ] ] }, "page" : "395-407", "title" : "Global impact of rotavirus vaccines.", "type" : "article-journal", "volume" : "9" }, "uris" : [ "http://www.mendeley.com/documents/?uuid=09160db6-192d-47b6-b1b7-d5f829dcdbee" ] } ], "mendeley" : { "formattedCitation" : "&lt;sup&gt;7&lt;/sup&gt;", "plainTextFormattedCitation" : "7", "previouslyFormattedCitation" : "&lt;sup&gt;7&lt;/sup&gt;" }, "properties" : { "noteIndex" : 0 }, "schema" : "https://github.com/citation-style-language/schema/raw/master/csl-citation.json" }</w:instrText>
      </w:r>
      <w:r>
        <w:rPr>
          <w:rFonts w:asciiTheme="minorBidi" w:hAnsiTheme="minorBidi" w:cstheme="minorBidi"/>
          <w:sz w:val="24"/>
          <w:szCs w:val="24"/>
        </w:rPr>
        <w:fldChar w:fldCharType="separate"/>
      </w:r>
      <w:r w:rsidRPr="003E41A5">
        <w:rPr>
          <w:rFonts w:asciiTheme="minorBidi" w:hAnsiTheme="minorBidi" w:cstheme="minorBidi"/>
          <w:noProof/>
          <w:sz w:val="24"/>
          <w:szCs w:val="24"/>
          <w:vertAlign w:val="superscript"/>
        </w:rPr>
        <w:t>7</w:t>
      </w:r>
      <w:r>
        <w:rPr>
          <w:rFonts w:asciiTheme="minorBidi" w:hAnsiTheme="minorBidi" w:cstheme="minorBidi"/>
          <w:sz w:val="24"/>
          <w:szCs w:val="24"/>
        </w:rPr>
        <w:fldChar w:fldCharType="end"/>
      </w:r>
      <w:r>
        <w:rPr>
          <w:rFonts w:asciiTheme="minorBidi" w:hAnsiTheme="minorBidi" w:cstheme="minorBidi"/>
          <w:sz w:val="24"/>
          <w:szCs w:val="24"/>
        </w:rPr>
        <w:t xml:space="preserve"> </w:t>
      </w:r>
      <w:r>
        <w:rPr>
          <w:rFonts w:asciiTheme="minorBidi" w:hAnsiTheme="minorBidi" w:cstheme="minorBidi"/>
          <w:sz w:val="24"/>
          <w:szCs w:val="24"/>
        </w:rPr>
        <w:fldChar w:fldCharType="begin" w:fldLock="1"/>
      </w:r>
      <w:r>
        <w:rPr>
          <w:rFonts w:asciiTheme="minorBidi" w:hAnsiTheme="minorBidi" w:cstheme="minorBidi"/>
          <w:sz w:val="24"/>
          <w:szCs w:val="24"/>
        </w:rPr>
        <w:instrText>ADDIN CSL_CITATION { "citationItems" : [ { "id" : "ITEM-1", "itemData" : { "DOI" : "10.1186/s12879-015-0811-5", "ISBN" : "1471-2334", "ISSN" : "1471-2334", "PMID" : "25872565", "abstract" : "BACKGROUND: Although rotavirus vaccines have been licensed in Spain for over 8 years, they are not funded by its public health systems. The analysis of their effectiveness in the Valencia Region could better inform decisions about potential inclusion in the official immunization schedule. Our aim was to assess the effectiveness of Rotarix\u00ae (RV1) and RotaTeq\u00ae (RV5) against rotavirus hospitalizations.\\n\\nMETHODS: We conducted a retrospective cohort study using the region's health care databases, among resident children aged &lt;3 years covered by the National Health System, during January 2007-June 2012. We compared two cohorts of vaccinated children: the first included children who received at least one dose of a rotavirus vaccine, and the second included children who were not vaccinated with rotavirus vaccines but received at least one dose of a pneumococcal vaccine, another licensed but non-funded vaccine. The main outcome was rotavirus hospitalization, either laboratory-confirmed (confirmed) or codified as rotavirus (probable). Rotavirus vaccine effectiveness (RVE) by vaccine brand was assessed using Cox proportional hazards models.\\n\\nRESULTS: The study included 78,281 rotavirus and 96,643 pneumococcal vaccinees. Adjusted RVE against probable or confirmed rotavirus hospitalizations was 86% (95% CI: 78-91%) and 88% (95% CI: 81-92%) for a complete series of RV1 and RV5 respectively.\\n\\nCONCLUSIONS: Both rotavirus vaccines were over 85% effective against rotavirus hospitalization among young children. The high effectiveness shown argues in favor of their inclusion in the official schedule. Additional information on rotavirus vaccine safety, duration of protection, and benefit-risk will also be needed to inform such deliberations.", "author" : [ { "dropping-particle" : "", "family" : "P\u00e9rez-Vilar", "given" : "Silvia", "non-dropping-particle" : "", "parse-names" : false, "suffix" : "" }, { "dropping-particle" : "", "family" : "D\u00edez-Domingo", "given" : "Javier", "non-dropping-particle" : "", "parse-names" : false, "suffix" : "" }, { "dropping-particle" : "", "family" : "L\u00f3pez-Lacort", "given" : "M\u00f3nica", "non-dropping-particle" : "", "parse-names" : false, "suffix" : "" }, { "dropping-particle" : "", "family" : "Mart\u00ednez-\u00dabeda", "given" : "Sergio", "non-dropping-particle" : "", "parse-names" : false, "suffix" : "" }, { "dropping-particle" : "", "family" : "Martinez-Beneito", "given" : "Miguel A", "non-dropping-particle" : "", "parse-names" : false, "suffix" : "" } ], "container-title" : "BMC infectious diseases", "id" : "ITEM-1", "issued" : { "date-parts" : [ [ "2015" ] ] }, "page" : "92", "title" : "Effectiveness of rotavirus vaccines, licensed but not funded, against rotavirus hospitalizations in the Valencia Region, Spain.", "type" : "article-journal", "volume" : "15" }, "uris" : [ "http://www.mendeley.com/documents/?uuid=ebe45d0a-fa56-42ef-a4bd-2717a7e148ff" ] } ], "mendeley" : { "formattedCitation" : "&lt;sup&gt;8&lt;/sup&gt;", "plainTextFormattedCitation" : "8", "previouslyFormattedCitation" : "&lt;sup&gt;8&lt;/sup&gt;" }, "properties" : { "noteIndex" : 0 }, "schema" : "https://github.com/citation-style-language/schema/raw/master/csl-citation.json" }</w:instrText>
      </w:r>
      <w:r>
        <w:rPr>
          <w:rFonts w:asciiTheme="minorBidi" w:hAnsiTheme="minorBidi" w:cstheme="minorBidi"/>
          <w:sz w:val="24"/>
          <w:szCs w:val="24"/>
        </w:rPr>
        <w:fldChar w:fldCharType="separate"/>
      </w:r>
      <w:r w:rsidRPr="003E41A5">
        <w:rPr>
          <w:rFonts w:asciiTheme="minorBidi" w:hAnsiTheme="minorBidi" w:cstheme="minorBidi"/>
          <w:noProof/>
          <w:sz w:val="24"/>
          <w:szCs w:val="24"/>
          <w:vertAlign w:val="superscript"/>
        </w:rPr>
        <w:t>8</w:t>
      </w:r>
      <w:r>
        <w:rPr>
          <w:rFonts w:asciiTheme="minorBidi" w:hAnsiTheme="minorBidi" w:cstheme="minorBidi"/>
          <w:sz w:val="24"/>
          <w:szCs w:val="24"/>
        </w:rPr>
        <w:fldChar w:fldCharType="end"/>
      </w:r>
      <w:r>
        <w:rPr>
          <w:rFonts w:asciiTheme="minorBidi" w:hAnsiTheme="minorBidi" w:cstheme="minorBidi"/>
          <w:sz w:val="24"/>
          <w:szCs w:val="24"/>
        </w:rPr>
        <w:t xml:space="preserve"> </w:t>
      </w:r>
      <w:r w:rsidRPr="000263D7">
        <w:rPr>
          <w:rFonts w:asciiTheme="minorBidi" w:hAnsiTheme="minorBidi" w:cstheme="minorBidi"/>
          <w:sz w:val="24"/>
          <w:szCs w:val="24"/>
          <w:lang w:val="en-US"/>
        </w:rPr>
        <w:t xml:space="preserve">In United Kingdom, </w:t>
      </w:r>
      <w:r>
        <w:rPr>
          <w:rFonts w:asciiTheme="minorBidi" w:hAnsiTheme="minorBidi" w:cstheme="minorBidi"/>
          <w:sz w:val="24"/>
          <w:szCs w:val="24"/>
          <w:lang w:val="en-US"/>
        </w:rPr>
        <w:t>r</w:t>
      </w:r>
      <w:r w:rsidRPr="000263D7">
        <w:rPr>
          <w:rFonts w:asciiTheme="minorBidi" w:hAnsiTheme="minorBidi" w:cstheme="minorBidi"/>
          <w:sz w:val="24"/>
          <w:szCs w:val="24"/>
          <w:lang w:val="en-US"/>
        </w:rPr>
        <w:t>otavirus vaccine was introduced in national vaccination schedule in July 2013 using</w:t>
      </w:r>
      <w:r>
        <w:rPr>
          <w:rFonts w:asciiTheme="minorBidi" w:hAnsiTheme="minorBidi" w:cstheme="minorBidi"/>
          <w:sz w:val="24"/>
          <w:szCs w:val="24"/>
          <w:lang w:val="en-US"/>
        </w:rPr>
        <w:t xml:space="preserve"> Rotar</w:t>
      </w:r>
      <w:r w:rsidRPr="000263D7">
        <w:rPr>
          <w:rFonts w:asciiTheme="minorBidi" w:hAnsiTheme="minorBidi" w:cstheme="minorBidi"/>
          <w:sz w:val="24"/>
          <w:szCs w:val="24"/>
          <w:lang w:val="en-US"/>
        </w:rPr>
        <w:t>ix</w:t>
      </w:r>
      <w:r w:rsidRPr="000263D7">
        <w:rPr>
          <w:rFonts w:asciiTheme="minorBidi" w:hAnsiTheme="minorBidi" w:cstheme="minorBidi"/>
          <w:sz w:val="24"/>
          <w:szCs w:val="24"/>
          <w:vertAlign w:val="superscript"/>
          <w:lang w:val="en-US"/>
        </w:rPr>
        <w:t>TM</w:t>
      </w:r>
      <w:r>
        <w:rPr>
          <w:rFonts w:asciiTheme="minorBidi" w:hAnsiTheme="minorBidi" w:cstheme="minorBidi"/>
          <w:sz w:val="24"/>
          <w:szCs w:val="24"/>
          <w:lang w:val="en-US"/>
        </w:rPr>
        <w:t>.</w:t>
      </w:r>
      <w:r w:rsidRPr="000263D7">
        <w:rPr>
          <w:rFonts w:asciiTheme="minorBidi" w:hAnsiTheme="minorBidi" w:cstheme="minorBidi"/>
          <w:sz w:val="24"/>
          <w:szCs w:val="24"/>
          <w:lang w:val="en-US"/>
        </w:rPr>
        <w:t xml:space="preserve"> </w:t>
      </w:r>
      <w:r>
        <w:rPr>
          <w:rFonts w:asciiTheme="minorBidi" w:hAnsiTheme="minorBidi" w:cstheme="minorBidi"/>
          <w:sz w:val="24"/>
          <w:szCs w:val="24"/>
          <w:lang w:val="en-US"/>
        </w:rPr>
        <w:fldChar w:fldCharType="begin" w:fldLock="1"/>
      </w:r>
      <w:r>
        <w:rPr>
          <w:rFonts w:asciiTheme="minorBidi" w:hAnsiTheme="minorBidi" w:cstheme="minorBidi"/>
          <w:sz w:val="24"/>
          <w:szCs w:val="24"/>
          <w:lang w:val="en-US"/>
        </w:rPr>
        <w:instrText>ADDIN CSL_CITATION { "citationItems" : [ { "id" : "ITEM-1", "itemData" : { "DOI" : "10.1002/psb.1008", "ISBN" : "0959-6682", "ISSN" : "0959-6682", "abstract" : "Rotavirus is the infectious agent responsible for over half of all cases of childhood diarrhoea and vomiting. By the age of five all children will have had at least once episode of gastroenteritis caused by rotavirus. In November 2012 the Department of Health announced that after a successful tendering process GlaxoSmithKline\u2019s Rotarix vaccine would be introduced to the UK\u2019s childhood immunisation schedule in September 2013. 1", "author" : [ { "dropping-particle" : "", "family" : "Marlow", "given" : "Robin", "non-dropping-particle" : "", "parse-names" : false, "suffix" : "" }, { "dropping-particle" : "", "family" : "Finn", "given" : "Adam", "non-dropping-particle" : "", "parse-names" : false, "suffix" : "" } ], "container-title" : "Prescriber", "id" : "ITEM-1", "issued" : { "date-parts" : [ [ "2013" ] ] }, "page" : "6-7", "title" : "Introduction of immunisation against rotavirus in the UK", "type" : "article-journal", "volume" : "5 February" }, "uris" : [ "http://www.mendeley.com/documents/?uuid=407ecd9e-f124-4087-beec-2de8467058c8" ] } ], "mendeley" : { "formattedCitation" : "&lt;sup&gt;9&lt;/sup&gt;", "plainTextFormattedCitation" : "9", "previouslyFormattedCitation" : "&lt;sup&gt;9&lt;/sup&gt;" }, "properties" : { "noteIndex" : 0 }, "schema" : "https://github.com/citation-style-language/schema/raw/master/csl-citation.json" }</w:instrText>
      </w:r>
      <w:r>
        <w:rPr>
          <w:rFonts w:asciiTheme="minorBidi" w:hAnsiTheme="minorBidi" w:cstheme="minorBidi"/>
          <w:sz w:val="24"/>
          <w:szCs w:val="24"/>
          <w:lang w:val="en-US"/>
        </w:rPr>
        <w:fldChar w:fldCharType="separate"/>
      </w:r>
      <w:r w:rsidRPr="00F63DC0">
        <w:rPr>
          <w:rFonts w:asciiTheme="minorBidi" w:hAnsiTheme="minorBidi" w:cstheme="minorBidi"/>
          <w:noProof/>
          <w:sz w:val="24"/>
          <w:szCs w:val="24"/>
          <w:vertAlign w:val="superscript"/>
          <w:lang w:val="en-US"/>
        </w:rPr>
        <w:t>9</w:t>
      </w:r>
      <w:r>
        <w:rPr>
          <w:rFonts w:asciiTheme="minorBidi" w:hAnsiTheme="minorBidi" w:cstheme="minorBidi"/>
          <w:sz w:val="24"/>
          <w:szCs w:val="24"/>
          <w:lang w:val="en-US"/>
        </w:rPr>
        <w:fldChar w:fldCharType="end"/>
      </w:r>
      <w:r w:rsidR="006F3644">
        <w:rPr>
          <w:rFonts w:asciiTheme="minorBidi" w:hAnsiTheme="minorBidi" w:cstheme="minorBidi"/>
          <w:sz w:val="24"/>
          <w:szCs w:val="24"/>
          <w:lang w:val="en-US"/>
        </w:rPr>
        <w:t xml:space="preserve"> </w:t>
      </w:r>
      <w:r w:rsidR="00631630" w:rsidRPr="00631630">
        <w:rPr>
          <w:rFonts w:asciiTheme="minorBidi" w:hAnsiTheme="minorBidi" w:cstheme="minorBidi"/>
          <w:sz w:val="24"/>
          <w:szCs w:val="24"/>
          <w:lang w:val="en-US"/>
        </w:rPr>
        <w:t xml:space="preserve">A study at our institution of </w:t>
      </w:r>
      <w:r w:rsidR="00631630" w:rsidRPr="00631630">
        <w:rPr>
          <w:rFonts w:ascii="Arial" w:hAnsi="Arial" w:cs="Arial"/>
          <w:sz w:val="24"/>
          <w:szCs w:val="24"/>
          <w:lang w:val="en-US"/>
        </w:rPr>
        <w:t>1644 hospitalized children that tested positive for rotavirus between July 2002 and June 2015 suggested that r</w:t>
      </w:r>
      <w:r w:rsidR="006F3644" w:rsidRPr="00631630">
        <w:rPr>
          <w:rFonts w:ascii="Arial" w:hAnsi="Arial" w:cs="Arial"/>
          <w:sz w:val="24"/>
          <w:szCs w:val="24"/>
          <w:lang w:val="en-US"/>
        </w:rPr>
        <w:t>otavirus vaccination ha</w:t>
      </w:r>
      <w:r w:rsidR="00631630" w:rsidRPr="00631630">
        <w:rPr>
          <w:rFonts w:ascii="Arial" w:hAnsi="Arial" w:cs="Arial"/>
          <w:sz w:val="24"/>
          <w:szCs w:val="24"/>
          <w:lang w:val="en-US"/>
        </w:rPr>
        <w:t>d</w:t>
      </w:r>
      <w:r w:rsidR="006F3644" w:rsidRPr="00631630">
        <w:rPr>
          <w:rFonts w:ascii="Arial" w:hAnsi="Arial" w:cs="Arial"/>
          <w:sz w:val="24"/>
          <w:szCs w:val="24"/>
          <w:lang w:val="en-US"/>
        </w:rPr>
        <w:t xml:space="preserve"> rapidly reduced the rotavirus disease burden </w:t>
      </w:r>
      <w:r w:rsidR="00631630" w:rsidRPr="00631630">
        <w:rPr>
          <w:rFonts w:ascii="Arial" w:hAnsi="Arial" w:cs="Arial"/>
          <w:sz w:val="24"/>
          <w:szCs w:val="24"/>
          <w:lang w:val="en-US"/>
        </w:rPr>
        <w:t>for</w:t>
      </w:r>
      <w:r w:rsidR="006F3644" w:rsidRPr="00631630">
        <w:rPr>
          <w:rFonts w:ascii="Arial" w:hAnsi="Arial" w:cs="Arial"/>
          <w:sz w:val="24"/>
          <w:szCs w:val="24"/>
          <w:lang w:val="en-US"/>
        </w:rPr>
        <w:t xml:space="preserve"> both </w:t>
      </w:r>
      <w:r w:rsidR="00631630" w:rsidRPr="00631630">
        <w:rPr>
          <w:rFonts w:ascii="Arial" w:hAnsi="Arial" w:cs="Arial"/>
          <w:sz w:val="24"/>
          <w:szCs w:val="24"/>
          <w:lang w:val="en-US"/>
        </w:rPr>
        <w:t>community and hospital acquired cases</w:t>
      </w:r>
      <w:r w:rsidR="006F3644" w:rsidRPr="00631630">
        <w:rPr>
          <w:rFonts w:ascii="Arial" w:hAnsi="Arial" w:cs="Arial"/>
          <w:sz w:val="24"/>
          <w:szCs w:val="24"/>
          <w:lang w:val="en-US"/>
        </w:rPr>
        <w:t>.</w:t>
      </w:r>
      <w:r w:rsidR="00631630" w:rsidRPr="00631630">
        <w:rPr>
          <w:rFonts w:ascii="Arial" w:hAnsi="Arial" w:cs="Arial"/>
          <w:sz w:val="24"/>
          <w:szCs w:val="24"/>
          <w:lang w:val="en-US"/>
        </w:rPr>
        <w:t xml:space="preserve"> </w:t>
      </w:r>
      <w:r w:rsidR="00631630" w:rsidRPr="00631630">
        <w:rPr>
          <w:rFonts w:ascii="Arial" w:hAnsi="Arial" w:cs="Arial"/>
          <w:sz w:val="24"/>
          <w:szCs w:val="24"/>
          <w:vertAlign w:val="superscript"/>
          <w:lang w:val="en-US"/>
        </w:rPr>
        <w:t>10</w:t>
      </w:r>
    </w:p>
    <w:p w14:paraId="7D94E520" w14:textId="3841C024" w:rsidR="00B550EB" w:rsidRPr="000263D7" w:rsidRDefault="005C3A6B" w:rsidP="007044F8">
      <w:pPr>
        <w:spacing w:line="360" w:lineRule="auto"/>
        <w:jc w:val="both"/>
        <w:rPr>
          <w:rFonts w:asciiTheme="minorBidi" w:hAnsiTheme="minorBidi" w:cstheme="minorBidi"/>
          <w:sz w:val="24"/>
          <w:szCs w:val="24"/>
        </w:rPr>
      </w:pPr>
      <w:r w:rsidRPr="000263D7">
        <w:rPr>
          <w:rFonts w:asciiTheme="minorBidi" w:hAnsiTheme="minorBidi" w:cstheme="minorBidi"/>
          <w:sz w:val="24"/>
          <w:szCs w:val="24"/>
          <w:lang w:val="en-US"/>
        </w:rPr>
        <w:t xml:space="preserve">There are very </w:t>
      </w:r>
      <w:r w:rsidR="004C5760" w:rsidRPr="000263D7">
        <w:rPr>
          <w:rFonts w:asciiTheme="minorBidi" w:hAnsiTheme="minorBidi" w:cstheme="minorBidi"/>
          <w:sz w:val="24"/>
          <w:szCs w:val="24"/>
          <w:lang w:val="en-US"/>
        </w:rPr>
        <w:t xml:space="preserve">few </w:t>
      </w:r>
      <w:r w:rsidR="00395B6C" w:rsidRPr="000263D7">
        <w:rPr>
          <w:rFonts w:asciiTheme="minorBidi" w:hAnsiTheme="minorBidi" w:cstheme="minorBidi"/>
          <w:sz w:val="24"/>
          <w:szCs w:val="24"/>
          <w:lang w:val="en-US"/>
        </w:rPr>
        <w:t>published</w:t>
      </w:r>
      <w:r w:rsidRPr="000263D7">
        <w:rPr>
          <w:rFonts w:asciiTheme="minorBidi" w:hAnsiTheme="minorBidi" w:cstheme="minorBidi"/>
          <w:sz w:val="24"/>
          <w:szCs w:val="24"/>
          <w:lang w:val="en-US"/>
        </w:rPr>
        <w:t xml:space="preserve"> studies </w:t>
      </w:r>
      <w:r w:rsidR="00395B6C" w:rsidRPr="000263D7">
        <w:rPr>
          <w:rFonts w:asciiTheme="minorBidi" w:hAnsiTheme="minorBidi" w:cstheme="minorBidi"/>
          <w:sz w:val="24"/>
          <w:szCs w:val="24"/>
          <w:lang w:val="en-US"/>
        </w:rPr>
        <w:t>that</w:t>
      </w:r>
      <w:r w:rsidRPr="000263D7">
        <w:rPr>
          <w:rFonts w:asciiTheme="minorBidi" w:hAnsiTheme="minorBidi" w:cstheme="minorBidi"/>
          <w:sz w:val="24"/>
          <w:szCs w:val="24"/>
          <w:lang w:val="en-US"/>
        </w:rPr>
        <w:t xml:space="preserve"> </w:t>
      </w:r>
      <w:r w:rsidR="00E5761F">
        <w:rPr>
          <w:rFonts w:asciiTheme="minorBidi" w:hAnsiTheme="minorBidi" w:cstheme="minorBidi"/>
          <w:sz w:val="24"/>
          <w:szCs w:val="24"/>
          <w:lang w:val="en-US"/>
        </w:rPr>
        <w:t xml:space="preserve">have </w:t>
      </w:r>
      <w:r w:rsidRPr="000263D7">
        <w:rPr>
          <w:rFonts w:asciiTheme="minorBidi" w:hAnsiTheme="minorBidi" w:cstheme="minorBidi"/>
          <w:sz w:val="24"/>
          <w:szCs w:val="24"/>
          <w:lang w:val="en-US"/>
        </w:rPr>
        <w:t>evaluate</w:t>
      </w:r>
      <w:r w:rsidR="00E5761F">
        <w:rPr>
          <w:rFonts w:asciiTheme="minorBidi" w:hAnsiTheme="minorBidi" w:cstheme="minorBidi"/>
          <w:sz w:val="24"/>
          <w:szCs w:val="24"/>
          <w:lang w:val="en-US"/>
        </w:rPr>
        <w:t>d</w:t>
      </w:r>
      <w:r w:rsidRPr="000263D7">
        <w:rPr>
          <w:rFonts w:asciiTheme="minorBidi" w:hAnsiTheme="minorBidi" w:cstheme="minorBidi"/>
          <w:sz w:val="24"/>
          <w:szCs w:val="24"/>
          <w:lang w:val="en-US"/>
        </w:rPr>
        <w:t xml:space="preserve"> the </w:t>
      </w:r>
      <w:r w:rsidR="0014350B" w:rsidRPr="000263D7">
        <w:rPr>
          <w:rFonts w:asciiTheme="minorBidi" w:hAnsiTheme="minorBidi" w:cstheme="minorBidi"/>
          <w:sz w:val="24"/>
          <w:szCs w:val="24"/>
          <w:lang w:val="en-US"/>
        </w:rPr>
        <w:t>benefit of testing for</w:t>
      </w:r>
      <w:r w:rsidRPr="000263D7">
        <w:rPr>
          <w:rFonts w:asciiTheme="minorBidi" w:hAnsiTheme="minorBidi" w:cstheme="minorBidi"/>
          <w:sz w:val="24"/>
          <w:szCs w:val="24"/>
          <w:lang w:val="en-US"/>
        </w:rPr>
        <w:t xml:space="preserve"> </w:t>
      </w:r>
      <w:r w:rsidR="00E5761F">
        <w:rPr>
          <w:rFonts w:asciiTheme="minorBidi" w:hAnsiTheme="minorBidi" w:cstheme="minorBidi"/>
          <w:sz w:val="24"/>
          <w:szCs w:val="24"/>
          <w:lang w:val="en-US"/>
        </w:rPr>
        <w:t xml:space="preserve">common </w:t>
      </w:r>
      <w:r w:rsidRPr="000263D7">
        <w:rPr>
          <w:rFonts w:asciiTheme="minorBidi" w:hAnsiTheme="minorBidi" w:cstheme="minorBidi"/>
          <w:sz w:val="24"/>
          <w:szCs w:val="24"/>
          <w:lang w:val="en-US"/>
        </w:rPr>
        <w:t xml:space="preserve">infective agents in paediatric oncology patients with diarrhoea. One </w:t>
      </w:r>
      <w:r w:rsidR="00395B6C" w:rsidRPr="000263D7">
        <w:rPr>
          <w:rFonts w:asciiTheme="minorBidi" w:hAnsiTheme="minorBidi" w:cstheme="minorBidi"/>
          <w:sz w:val="24"/>
          <w:szCs w:val="24"/>
          <w:lang w:val="en-US"/>
        </w:rPr>
        <w:t xml:space="preserve">such </w:t>
      </w:r>
      <w:r w:rsidRPr="000263D7">
        <w:rPr>
          <w:rFonts w:asciiTheme="minorBidi" w:hAnsiTheme="minorBidi" w:cstheme="minorBidi"/>
          <w:sz w:val="24"/>
          <w:szCs w:val="24"/>
          <w:lang w:val="en-US"/>
        </w:rPr>
        <w:t xml:space="preserve">study was performed in our </w:t>
      </w:r>
      <w:r w:rsidR="0014350B" w:rsidRPr="000263D7">
        <w:rPr>
          <w:rFonts w:asciiTheme="minorBidi" w:hAnsiTheme="minorBidi" w:cstheme="minorBidi"/>
          <w:sz w:val="24"/>
          <w:szCs w:val="24"/>
          <w:lang w:val="en-US"/>
        </w:rPr>
        <w:t xml:space="preserve">own </w:t>
      </w:r>
      <w:r w:rsidRPr="000263D7">
        <w:rPr>
          <w:rFonts w:asciiTheme="minorBidi" w:hAnsiTheme="minorBidi" w:cstheme="minorBidi"/>
          <w:sz w:val="24"/>
          <w:szCs w:val="24"/>
          <w:lang w:val="en-US"/>
        </w:rPr>
        <w:t xml:space="preserve">center </w:t>
      </w:r>
      <w:r w:rsidR="00E5761F">
        <w:rPr>
          <w:rFonts w:asciiTheme="minorBidi" w:hAnsiTheme="minorBidi" w:cstheme="minorBidi"/>
          <w:sz w:val="24"/>
          <w:szCs w:val="24"/>
          <w:lang w:val="en-US"/>
        </w:rPr>
        <w:t>that as</w:t>
      </w:r>
      <w:r w:rsidR="00E5761F" w:rsidRPr="00E938A6">
        <w:rPr>
          <w:rFonts w:asciiTheme="minorBidi" w:hAnsiTheme="minorBidi" w:cstheme="minorBidi"/>
          <w:sz w:val="24"/>
          <w:szCs w:val="24"/>
          <w:lang w:val="en-US"/>
        </w:rPr>
        <w:t>sessed</w:t>
      </w:r>
      <w:r w:rsidRPr="000263D7">
        <w:rPr>
          <w:rFonts w:asciiTheme="minorBidi" w:hAnsiTheme="minorBidi" w:cstheme="minorBidi"/>
          <w:sz w:val="24"/>
          <w:szCs w:val="24"/>
          <w:lang w:val="en-US"/>
        </w:rPr>
        <w:t xml:space="preserve"> the yield of </w:t>
      </w:r>
      <w:r w:rsidR="00E938A6">
        <w:rPr>
          <w:rFonts w:asciiTheme="minorBidi" w:hAnsiTheme="minorBidi" w:cstheme="minorBidi"/>
          <w:sz w:val="24"/>
          <w:szCs w:val="24"/>
          <w:lang w:val="en-US"/>
        </w:rPr>
        <w:t xml:space="preserve">routine </w:t>
      </w:r>
      <w:r w:rsidRPr="000263D7">
        <w:rPr>
          <w:rFonts w:asciiTheme="minorBidi" w:hAnsiTheme="minorBidi" w:cstheme="minorBidi"/>
          <w:sz w:val="24"/>
          <w:szCs w:val="24"/>
          <w:lang w:val="en-US"/>
        </w:rPr>
        <w:t>stool microscopy and culture. This study revealed that less than 0.1 percent stool tests were positive for ba</w:t>
      </w:r>
      <w:r w:rsidR="00B52E82" w:rsidRPr="000263D7">
        <w:rPr>
          <w:rFonts w:asciiTheme="minorBidi" w:hAnsiTheme="minorBidi" w:cstheme="minorBidi"/>
          <w:sz w:val="24"/>
          <w:szCs w:val="24"/>
          <w:lang w:val="en-US"/>
        </w:rPr>
        <w:t xml:space="preserve">cterial </w:t>
      </w:r>
      <w:r w:rsidR="00E938A6">
        <w:rPr>
          <w:rFonts w:asciiTheme="minorBidi" w:hAnsiTheme="minorBidi" w:cstheme="minorBidi"/>
          <w:sz w:val="24"/>
          <w:szCs w:val="24"/>
          <w:lang w:val="en-US"/>
        </w:rPr>
        <w:t xml:space="preserve">pathogens </w:t>
      </w:r>
      <w:r w:rsidR="0014350B" w:rsidRPr="000263D7">
        <w:rPr>
          <w:rFonts w:asciiTheme="minorBidi" w:hAnsiTheme="minorBidi" w:cstheme="minorBidi"/>
          <w:sz w:val="24"/>
          <w:szCs w:val="24"/>
          <w:lang w:val="en-US"/>
        </w:rPr>
        <w:t xml:space="preserve">and </w:t>
      </w:r>
      <w:r w:rsidR="00E938A6">
        <w:rPr>
          <w:rFonts w:asciiTheme="minorBidi" w:hAnsiTheme="minorBidi" w:cstheme="minorBidi"/>
          <w:sz w:val="24"/>
          <w:szCs w:val="24"/>
          <w:lang w:val="en-US"/>
        </w:rPr>
        <w:t>as a consequence</w:t>
      </w:r>
      <w:r w:rsidR="0014350B" w:rsidRPr="000263D7">
        <w:rPr>
          <w:rFonts w:asciiTheme="minorBidi" w:hAnsiTheme="minorBidi" w:cstheme="minorBidi"/>
          <w:sz w:val="24"/>
          <w:szCs w:val="24"/>
          <w:lang w:val="en-US"/>
        </w:rPr>
        <w:t xml:space="preserve"> we </w:t>
      </w:r>
      <w:r w:rsidR="00E938A6">
        <w:rPr>
          <w:rFonts w:asciiTheme="minorBidi" w:hAnsiTheme="minorBidi" w:cstheme="minorBidi"/>
          <w:sz w:val="24"/>
          <w:szCs w:val="24"/>
          <w:lang w:val="en-US"/>
        </w:rPr>
        <w:t xml:space="preserve">have </w:t>
      </w:r>
      <w:r w:rsidR="0014350B" w:rsidRPr="000263D7">
        <w:rPr>
          <w:rFonts w:asciiTheme="minorBidi" w:hAnsiTheme="minorBidi" w:cstheme="minorBidi"/>
          <w:sz w:val="24"/>
          <w:szCs w:val="24"/>
          <w:lang w:val="en-US"/>
        </w:rPr>
        <w:t>discontinued the routine testing of stool for bacteria</w:t>
      </w:r>
      <w:r w:rsidR="00E938A6">
        <w:rPr>
          <w:rFonts w:asciiTheme="minorBidi" w:hAnsiTheme="minorBidi" w:cstheme="minorBidi"/>
          <w:sz w:val="24"/>
          <w:szCs w:val="24"/>
          <w:lang w:val="en-US"/>
        </w:rPr>
        <w:t>l pathogens</w:t>
      </w:r>
      <w:r w:rsidR="0014350B" w:rsidRPr="000263D7">
        <w:rPr>
          <w:rFonts w:asciiTheme="minorBidi" w:hAnsiTheme="minorBidi" w:cstheme="minorBidi"/>
          <w:sz w:val="24"/>
          <w:szCs w:val="24"/>
          <w:lang w:val="en-US"/>
        </w:rPr>
        <w:t xml:space="preserve"> in children and young people with cancer presenting with</w:t>
      </w:r>
      <w:r w:rsidRPr="000263D7">
        <w:rPr>
          <w:rFonts w:asciiTheme="minorBidi" w:hAnsiTheme="minorBidi" w:cstheme="minorBidi"/>
          <w:sz w:val="24"/>
          <w:szCs w:val="24"/>
          <w:lang w:val="en-US"/>
        </w:rPr>
        <w:t xml:space="preserve"> </w:t>
      </w:r>
      <w:r w:rsidR="0014350B" w:rsidRPr="000263D7">
        <w:rPr>
          <w:rFonts w:asciiTheme="minorBidi" w:hAnsiTheme="minorBidi" w:cstheme="minorBidi"/>
          <w:sz w:val="24"/>
          <w:szCs w:val="24"/>
          <w:lang w:val="en-US"/>
        </w:rPr>
        <w:t>diarrhoea.</w:t>
      </w:r>
      <w:r w:rsidR="004C5760" w:rsidRPr="000263D7">
        <w:rPr>
          <w:rFonts w:asciiTheme="minorBidi" w:hAnsiTheme="minorBidi" w:cstheme="minorBidi"/>
          <w:sz w:val="24"/>
          <w:szCs w:val="24"/>
          <w:lang w:val="en-US"/>
        </w:rPr>
        <w:t xml:space="preserve"> </w:t>
      </w:r>
      <w:r w:rsidR="003E41A5">
        <w:rPr>
          <w:rFonts w:asciiTheme="minorBidi" w:hAnsiTheme="minorBidi" w:cstheme="minorBidi"/>
          <w:sz w:val="24"/>
          <w:szCs w:val="24"/>
          <w:lang w:val="en-US"/>
        </w:rPr>
        <w:fldChar w:fldCharType="begin" w:fldLock="1"/>
      </w:r>
      <w:r w:rsidR="00F63DC0">
        <w:rPr>
          <w:rFonts w:asciiTheme="minorBidi" w:hAnsiTheme="minorBidi" w:cstheme="minorBidi"/>
          <w:sz w:val="24"/>
          <w:szCs w:val="24"/>
          <w:lang w:val="en-US"/>
        </w:rPr>
        <w:instrText>ADDIN CSL_CITATION { "citationItems" : [ { "id" : "ITEM-1", "itemData" : { "DOI" : "10.1016/j.jhin.2016.10.005", "ISSN" : "1532-2939", "PMID" : "27825673", "abstract" : "Diarrhoea is a frequently occurring symptom in paediatric oncology patients. The role of routine testing for enteric bacteria in hospitalized patients with diarrhoea is considered limited, but the diagnostic value of testing in children with oncological conditions has not been reported. Therefore, we conducted a five-year retrospective service evaluation in our tertiary paediatric oncology unit together with a national survey of 21 centres to estimate the utility of stool cultures in oncology patients with diarrhoea and the national approach to testing. Our local survey demonstrated very low diagnostic yield using routine enteric stool cultures with only one sample out of 842 (0.1%) testing positive. The national survey demonstrated considerable variation in practice. There is little evidence to support the use of conventional stool culture for enteric bacteria in children with cancer in our centre. These findings should inform national testing policies.", "author" : [ { "dropping-particle" : "", "family" : "O'Connor", "given" : "O", "non-dropping-particle" : "", "parse-names" : false, "suffix" : "" }, { "dropping-particle" : "", "family" : "Cooke", "given" : "R P D", "non-dropping-particle" : "", "parse-names" : false, "suffix" : "" }, { "dropping-particle" : "", "family" : "Cunliffe", "given" : "N A", "non-dropping-particle" : "", "parse-names" : false, "suffix" : "" }, { "dropping-particle" : "", "family" : "Pizer", "given" : "B", "non-dropping-particle" : "", "parse-names" : false, "suffix" : "" } ], "container-title" : "The Journal of hospital infection", "id" : "ITEM-1", "issue" : "1", "issued" : { "date-parts" : [ [ "2016" ] ] }, "page" : "123-125", "publisher" : "Elsevier Ltd", "title" : "Clinical value of stool culture in paediatric oncology patients: hospital evaluation and UK survey of practice.", "type" : "article-journal", "volume" : "95" }, "uris" : [ "http://www.mendeley.com/documents/?uuid=af738bba-24fc-4ab0-866c-88d2bbf1b2b5" ] } ], "mendeley" : { "formattedCitation" : "&lt;sup&gt;1&lt;/sup&gt;", "plainTextFormattedCitation" : "1", "previouslyFormattedCitation" : "&lt;sup&gt;1&lt;/sup&gt;" }, "properties" : { "noteIndex" : 0 }, "schema" : "https://github.com/citation-style-language/schema/raw/master/csl-citation.json" }</w:instrText>
      </w:r>
      <w:r w:rsidR="003E41A5">
        <w:rPr>
          <w:rFonts w:asciiTheme="minorBidi" w:hAnsiTheme="minorBidi" w:cstheme="minorBidi"/>
          <w:sz w:val="24"/>
          <w:szCs w:val="24"/>
          <w:lang w:val="en-US"/>
        </w:rPr>
        <w:fldChar w:fldCharType="separate"/>
      </w:r>
      <w:r w:rsidR="003E41A5" w:rsidRPr="003E41A5">
        <w:rPr>
          <w:rFonts w:asciiTheme="minorBidi" w:hAnsiTheme="minorBidi" w:cstheme="minorBidi"/>
          <w:noProof/>
          <w:sz w:val="24"/>
          <w:szCs w:val="24"/>
          <w:vertAlign w:val="superscript"/>
          <w:lang w:val="en-US"/>
        </w:rPr>
        <w:t>1</w:t>
      </w:r>
      <w:r w:rsidR="003E41A5">
        <w:rPr>
          <w:rFonts w:asciiTheme="minorBidi" w:hAnsiTheme="minorBidi" w:cstheme="minorBidi"/>
          <w:sz w:val="24"/>
          <w:szCs w:val="24"/>
          <w:lang w:val="en-US"/>
        </w:rPr>
        <w:fldChar w:fldCharType="end"/>
      </w:r>
    </w:p>
    <w:p w14:paraId="0AFDD4F6" w14:textId="23DFA7E4" w:rsidR="00E938A6" w:rsidRDefault="00B52E82" w:rsidP="007044F8">
      <w:pPr>
        <w:spacing w:line="360" w:lineRule="auto"/>
        <w:jc w:val="both"/>
        <w:rPr>
          <w:rFonts w:asciiTheme="minorBidi" w:hAnsiTheme="minorBidi" w:cstheme="minorBidi"/>
          <w:sz w:val="24"/>
          <w:szCs w:val="24"/>
          <w:lang w:val="en-US"/>
        </w:rPr>
      </w:pPr>
      <w:r w:rsidRPr="000263D7">
        <w:rPr>
          <w:rFonts w:asciiTheme="minorBidi" w:hAnsiTheme="minorBidi" w:cstheme="minorBidi"/>
          <w:sz w:val="24"/>
          <w:szCs w:val="24"/>
          <w:lang w:val="en-US"/>
        </w:rPr>
        <w:t>Following on from this</w:t>
      </w:r>
      <w:r w:rsidR="005C3A6B" w:rsidRPr="000263D7">
        <w:rPr>
          <w:rFonts w:asciiTheme="minorBidi" w:hAnsiTheme="minorBidi" w:cstheme="minorBidi"/>
          <w:sz w:val="24"/>
          <w:szCs w:val="24"/>
          <w:lang w:val="en-US"/>
        </w:rPr>
        <w:t xml:space="preserve"> study, we undertook a service evaluation to assess the results of stool sent for </w:t>
      </w:r>
      <w:r w:rsidR="00E938A6">
        <w:rPr>
          <w:rFonts w:asciiTheme="minorBidi" w:hAnsiTheme="minorBidi" w:cstheme="minorBidi"/>
          <w:sz w:val="24"/>
          <w:szCs w:val="24"/>
          <w:lang w:val="en-US"/>
        </w:rPr>
        <w:t xml:space="preserve">enteric </w:t>
      </w:r>
      <w:r w:rsidR="005C3A6B" w:rsidRPr="000263D7">
        <w:rPr>
          <w:rFonts w:asciiTheme="minorBidi" w:hAnsiTheme="minorBidi" w:cstheme="minorBidi"/>
          <w:sz w:val="24"/>
          <w:szCs w:val="24"/>
          <w:lang w:val="en-US"/>
        </w:rPr>
        <w:t xml:space="preserve">virus testing before and after </w:t>
      </w:r>
      <w:r w:rsidR="00E938A6">
        <w:rPr>
          <w:rFonts w:asciiTheme="minorBidi" w:hAnsiTheme="minorBidi" w:cstheme="minorBidi"/>
          <w:sz w:val="24"/>
          <w:szCs w:val="24"/>
          <w:lang w:val="en-US"/>
        </w:rPr>
        <w:t xml:space="preserve">rotavirus </w:t>
      </w:r>
      <w:r w:rsidR="005C3A6B" w:rsidRPr="000263D7">
        <w:rPr>
          <w:rFonts w:asciiTheme="minorBidi" w:hAnsiTheme="minorBidi" w:cstheme="minorBidi"/>
          <w:sz w:val="24"/>
          <w:szCs w:val="24"/>
          <w:lang w:val="en-US"/>
        </w:rPr>
        <w:t xml:space="preserve">vaccine introduction. This study focused on rotavirus alone as this was </w:t>
      </w:r>
      <w:r w:rsidR="00E938A6">
        <w:rPr>
          <w:rFonts w:asciiTheme="minorBidi" w:hAnsiTheme="minorBidi" w:cstheme="minorBidi"/>
          <w:sz w:val="24"/>
          <w:szCs w:val="24"/>
          <w:lang w:val="en-US"/>
        </w:rPr>
        <w:t>routinely tested</w:t>
      </w:r>
      <w:r w:rsidR="005C3A6B" w:rsidRPr="000263D7">
        <w:rPr>
          <w:rFonts w:asciiTheme="minorBidi" w:hAnsiTheme="minorBidi" w:cstheme="minorBidi"/>
          <w:sz w:val="24"/>
          <w:szCs w:val="24"/>
          <w:lang w:val="en-US"/>
        </w:rPr>
        <w:t xml:space="preserve"> over 20 years whereas the policy for testing for other viruses varied over time.  </w:t>
      </w:r>
    </w:p>
    <w:p w14:paraId="7C6E67ED" w14:textId="5EB492F6" w:rsidR="00A62A9E" w:rsidRDefault="005C3A6B" w:rsidP="007044F8">
      <w:pPr>
        <w:spacing w:line="360" w:lineRule="auto"/>
        <w:jc w:val="both"/>
        <w:rPr>
          <w:rFonts w:asciiTheme="minorBidi" w:hAnsiTheme="minorBidi" w:cstheme="minorBidi"/>
          <w:sz w:val="24"/>
          <w:szCs w:val="24"/>
          <w:lang w:val="en-US"/>
        </w:rPr>
      </w:pPr>
      <w:r w:rsidRPr="000263D7">
        <w:rPr>
          <w:rFonts w:asciiTheme="minorBidi" w:hAnsiTheme="minorBidi" w:cstheme="minorBidi"/>
          <w:sz w:val="24"/>
          <w:szCs w:val="24"/>
          <w:lang w:val="en-US"/>
        </w:rPr>
        <w:t xml:space="preserve"> To </w:t>
      </w:r>
      <w:r w:rsidR="0014350B" w:rsidRPr="000263D7">
        <w:rPr>
          <w:rFonts w:asciiTheme="minorBidi" w:hAnsiTheme="minorBidi" w:cstheme="minorBidi"/>
          <w:sz w:val="24"/>
          <w:szCs w:val="24"/>
          <w:lang w:val="en-US"/>
        </w:rPr>
        <w:t xml:space="preserve">determine </w:t>
      </w:r>
      <w:r w:rsidRPr="000263D7">
        <w:rPr>
          <w:rFonts w:asciiTheme="minorBidi" w:hAnsiTheme="minorBidi" w:cstheme="minorBidi"/>
          <w:sz w:val="24"/>
          <w:szCs w:val="24"/>
          <w:lang w:val="en-US"/>
        </w:rPr>
        <w:t xml:space="preserve">the practice </w:t>
      </w:r>
      <w:r w:rsidR="00E938A6">
        <w:rPr>
          <w:rFonts w:asciiTheme="minorBidi" w:hAnsiTheme="minorBidi" w:cstheme="minorBidi"/>
          <w:sz w:val="24"/>
          <w:szCs w:val="24"/>
          <w:lang w:val="en-US"/>
        </w:rPr>
        <w:t>of routine rotavirus testing</w:t>
      </w:r>
      <w:r w:rsidR="0014350B" w:rsidRPr="000263D7">
        <w:rPr>
          <w:rFonts w:asciiTheme="minorBidi" w:hAnsiTheme="minorBidi" w:cstheme="minorBidi"/>
          <w:sz w:val="24"/>
          <w:szCs w:val="24"/>
          <w:lang w:val="en-US"/>
        </w:rPr>
        <w:t xml:space="preserve"> </w:t>
      </w:r>
      <w:r w:rsidR="00E938A6">
        <w:rPr>
          <w:rFonts w:asciiTheme="minorBidi" w:hAnsiTheme="minorBidi" w:cstheme="minorBidi"/>
          <w:sz w:val="24"/>
          <w:szCs w:val="24"/>
          <w:lang w:val="en-US"/>
        </w:rPr>
        <w:t xml:space="preserve">the </w:t>
      </w:r>
      <w:r w:rsidRPr="000263D7">
        <w:rPr>
          <w:rFonts w:asciiTheme="minorBidi" w:hAnsiTheme="minorBidi" w:cstheme="minorBidi"/>
          <w:sz w:val="24"/>
          <w:szCs w:val="24"/>
          <w:lang w:val="en-US"/>
        </w:rPr>
        <w:t>UK, we sent the questionnaire to other Paediatric Oncology</w:t>
      </w:r>
      <w:r w:rsidR="00D02EE6" w:rsidRPr="000263D7">
        <w:rPr>
          <w:rFonts w:asciiTheme="minorBidi" w:hAnsiTheme="minorBidi" w:cstheme="minorBidi"/>
          <w:sz w:val="24"/>
          <w:szCs w:val="24"/>
          <w:lang w:val="en-US"/>
        </w:rPr>
        <w:t xml:space="preserve"> Primary </w:t>
      </w:r>
      <w:r w:rsidR="00025CBC" w:rsidRPr="000263D7">
        <w:rPr>
          <w:rFonts w:asciiTheme="minorBidi" w:hAnsiTheme="minorBidi" w:cstheme="minorBidi"/>
          <w:sz w:val="24"/>
          <w:szCs w:val="24"/>
          <w:lang w:val="en-US"/>
        </w:rPr>
        <w:t>Treatment C</w:t>
      </w:r>
      <w:r w:rsidRPr="000263D7">
        <w:rPr>
          <w:rFonts w:asciiTheme="minorBidi" w:hAnsiTheme="minorBidi" w:cstheme="minorBidi"/>
          <w:sz w:val="24"/>
          <w:szCs w:val="24"/>
          <w:lang w:val="en-US"/>
        </w:rPr>
        <w:t>enters</w:t>
      </w:r>
      <w:r w:rsidR="00025CBC" w:rsidRPr="000263D7">
        <w:rPr>
          <w:rFonts w:asciiTheme="minorBidi" w:hAnsiTheme="minorBidi" w:cstheme="minorBidi"/>
          <w:sz w:val="24"/>
          <w:szCs w:val="24"/>
          <w:lang w:val="en-US"/>
        </w:rPr>
        <w:t xml:space="preserve"> in the UK and the Republic of Ireland (Childrens Cancer and Leukaemia </w:t>
      </w:r>
      <w:r w:rsidR="00395B6C" w:rsidRPr="000263D7">
        <w:rPr>
          <w:rFonts w:asciiTheme="minorBidi" w:hAnsiTheme="minorBidi" w:cstheme="minorBidi"/>
          <w:sz w:val="24"/>
          <w:szCs w:val="24"/>
          <w:lang w:val="en-US"/>
        </w:rPr>
        <w:t xml:space="preserve">[CCLG] </w:t>
      </w:r>
      <w:r w:rsidR="00025CBC" w:rsidRPr="000263D7">
        <w:rPr>
          <w:rFonts w:asciiTheme="minorBidi" w:hAnsiTheme="minorBidi" w:cstheme="minorBidi"/>
          <w:sz w:val="24"/>
          <w:szCs w:val="24"/>
          <w:lang w:val="en-US"/>
        </w:rPr>
        <w:t>affiliated centres)</w:t>
      </w:r>
      <w:r w:rsidRPr="000263D7">
        <w:rPr>
          <w:rFonts w:asciiTheme="minorBidi" w:hAnsiTheme="minorBidi" w:cstheme="minorBidi"/>
          <w:sz w:val="24"/>
          <w:szCs w:val="24"/>
          <w:lang w:val="en-US"/>
        </w:rPr>
        <w:t xml:space="preserve">. </w:t>
      </w:r>
    </w:p>
    <w:p w14:paraId="5076DE5A" w14:textId="77777777" w:rsidR="00631630" w:rsidRPr="00631630" w:rsidRDefault="00631630" w:rsidP="007044F8">
      <w:pPr>
        <w:spacing w:line="360" w:lineRule="auto"/>
        <w:jc w:val="both"/>
        <w:rPr>
          <w:rFonts w:asciiTheme="minorBidi" w:hAnsiTheme="minorBidi" w:cstheme="minorBidi"/>
          <w:sz w:val="24"/>
          <w:szCs w:val="24"/>
          <w:lang w:val="en-US"/>
        </w:rPr>
      </w:pPr>
    </w:p>
    <w:p w14:paraId="0AC9D044" w14:textId="77777777" w:rsidR="00B550EB" w:rsidRPr="000263D7" w:rsidRDefault="005C3A6B" w:rsidP="007044F8">
      <w:pPr>
        <w:spacing w:line="360" w:lineRule="auto"/>
        <w:jc w:val="both"/>
        <w:rPr>
          <w:rFonts w:asciiTheme="minorBidi" w:hAnsiTheme="minorBidi" w:cstheme="minorBidi"/>
          <w:b/>
          <w:bCs/>
          <w:sz w:val="24"/>
          <w:szCs w:val="24"/>
          <w:lang w:val="en-US"/>
        </w:rPr>
      </w:pPr>
      <w:r w:rsidRPr="000263D7">
        <w:rPr>
          <w:rFonts w:asciiTheme="minorBidi" w:hAnsiTheme="minorBidi" w:cstheme="minorBidi"/>
          <w:b/>
          <w:bCs/>
          <w:sz w:val="24"/>
          <w:szCs w:val="24"/>
          <w:lang w:val="en-US"/>
        </w:rPr>
        <w:t xml:space="preserve">Material and methods </w:t>
      </w:r>
    </w:p>
    <w:p w14:paraId="2B60287D" w14:textId="77777777" w:rsidR="00395B6C" w:rsidRPr="000263D7" w:rsidRDefault="00395B6C" w:rsidP="007044F8">
      <w:pPr>
        <w:spacing w:line="360" w:lineRule="auto"/>
        <w:jc w:val="both"/>
        <w:rPr>
          <w:rFonts w:asciiTheme="minorBidi" w:hAnsiTheme="minorBidi" w:cstheme="minorBidi"/>
          <w:sz w:val="24"/>
          <w:szCs w:val="24"/>
          <w:u w:val="single"/>
          <w:lang w:val="en-US"/>
        </w:rPr>
      </w:pPr>
      <w:r w:rsidRPr="000263D7">
        <w:rPr>
          <w:rFonts w:asciiTheme="minorBidi" w:hAnsiTheme="minorBidi" w:cstheme="minorBidi"/>
          <w:sz w:val="24"/>
          <w:szCs w:val="24"/>
          <w:u w:val="single"/>
          <w:lang w:val="en-US"/>
        </w:rPr>
        <w:t>Setting</w:t>
      </w:r>
    </w:p>
    <w:p w14:paraId="028834A0" w14:textId="7CD2B5E9" w:rsidR="00B550EB" w:rsidRPr="000263D7" w:rsidRDefault="005C3A6B" w:rsidP="007044F8">
      <w:pPr>
        <w:spacing w:line="360" w:lineRule="auto"/>
        <w:jc w:val="both"/>
        <w:rPr>
          <w:rFonts w:asciiTheme="minorBidi" w:hAnsiTheme="minorBidi" w:cstheme="minorBidi"/>
          <w:sz w:val="24"/>
          <w:szCs w:val="24"/>
        </w:rPr>
      </w:pPr>
      <w:r w:rsidRPr="000263D7">
        <w:rPr>
          <w:rFonts w:asciiTheme="minorBidi" w:hAnsiTheme="minorBidi" w:cstheme="minorBidi"/>
          <w:sz w:val="24"/>
          <w:szCs w:val="24"/>
          <w:lang w:val="en-US"/>
        </w:rPr>
        <w:t xml:space="preserve">This </w:t>
      </w:r>
      <w:r w:rsidR="00395B6C" w:rsidRPr="000263D7">
        <w:rPr>
          <w:rFonts w:asciiTheme="minorBidi" w:hAnsiTheme="minorBidi" w:cstheme="minorBidi"/>
          <w:color w:val="444444"/>
          <w:sz w:val="24"/>
          <w:szCs w:val="24"/>
          <w:shd w:val="clear" w:color="auto" w:fill="FFFFFF"/>
        </w:rPr>
        <w:t>retrospective, descriptive study</w:t>
      </w:r>
      <w:r w:rsidR="00395B6C" w:rsidRPr="000263D7">
        <w:rPr>
          <w:rFonts w:asciiTheme="minorBidi" w:hAnsiTheme="minorBidi" w:cstheme="minorBidi"/>
          <w:sz w:val="24"/>
          <w:szCs w:val="24"/>
          <w:lang w:val="en-US"/>
        </w:rPr>
        <w:t xml:space="preserve"> </w:t>
      </w:r>
      <w:r w:rsidRPr="000263D7">
        <w:rPr>
          <w:rFonts w:asciiTheme="minorBidi" w:hAnsiTheme="minorBidi" w:cstheme="minorBidi"/>
          <w:sz w:val="24"/>
          <w:szCs w:val="24"/>
          <w:lang w:val="en-US"/>
        </w:rPr>
        <w:t>was conducted at Alder Hey Children’s Hospital, which provides</w:t>
      </w:r>
      <w:r w:rsidRPr="000263D7">
        <w:rPr>
          <w:rFonts w:asciiTheme="minorBidi" w:hAnsiTheme="minorBidi" w:cstheme="minorBidi"/>
          <w:color w:val="000000"/>
          <w:sz w:val="24"/>
          <w:szCs w:val="24"/>
          <w:shd w:val="clear" w:color="auto" w:fill="FFFFFF"/>
        </w:rPr>
        <w:t xml:space="preserve"> primary, secondary, and tertiary care facilities for more than 270,000 </w:t>
      </w:r>
      <w:r w:rsidRPr="000263D7">
        <w:rPr>
          <w:rFonts w:asciiTheme="minorBidi" w:hAnsiTheme="minorBidi" w:cstheme="minorBidi"/>
          <w:color w:val="000000"/>
          <w:sz w:val="24"/>
          <w:szCs w:val="24"/>
          <w:shd w:val="clear" w:color="auto" w:fill="FFFFFF"/>
        </w:rPr>
        <w:lastRenderedPageBreak/>
        <w:t xml:space="preserve">children each year.  It has 270 inpatient beds. The oncology department treats around 130 new referrals each year. </w:t>
      </w:r>
      <w:r w:rsidRPr="000263D7">
        <w:rPr>
          <w:rFonts w:asciiTheme="minorBidi" w:hAnsiTheme="minorBidi" w:cstheme="minorBidi"/>
          <w:color w:val="444444"/>
          <w:sz w:val="24"/>
          <w:szCs w:val="24"/>
          <w:shd w:val="clear" w:color="auto" w:fill="FFFFFF"/>
        </w:rPr>
        <w:t>The Haematology / Oncology Unit has a large catchment area for patients from Merseyside and the North West to the Isle of Man, North Wales, and up as far as parts of Lancashire and Cheshi</w:t>
      </w:r>
      <w:r w:rsidR="00025CBC" w:rsidRPr="000263D7">
        <w:rPr>
          <w:rFonts w:asciiTheme="minorBidi" w:hAnsiTheme="minorBidi" w:cstheme="minorBidi"/>
          <w:color w:val="444444"/>
          <w:sz w:val="24"/>
          <w:szCs w:val="24"/>
          <w:shd w:val="clear" w:color="auto" w:fill="FFFFFF"/>
        </w:rPr>
        <w:t xml:space="preserve">re. </w:t>
      </w:r>
    </w:p>
    <w:p w14:paraId="5E2B3CC8" w14:textId="77777777" w:rsidR="00B550EB" w:rsidRDefault="005C3A6B" w:rsidP="007044F8">
      <w:pPr>
        <w:spacing w:line="360" w:lineRule="auto"/>
        <w:jc w:val="both"/>
        <w:rPr>
          <w:rFonts w:asciiTheme="minorBidi" w:hAnsiTheme="minorBidi" w:cstheme="minorBidi"/>
          <w:color w:val="444444"/>
          <w:sz w:val="24"/>
          <w:szCs w:val="24"/>
          <w:u w:val="single"/>
          <w:shd w:val="clear" w:color="auto" w:fill="FFFFFF"/>
        </w:rPr>
      </w:pPr>
      <w:r w:rsidRPr="000263D7">
        <w:rPr>
          <w:rFonts w:asciiTheme="minorBidi" w:hAnsiTheme="minorBidi" w:cstheme="minorBidi"/>
          <w:color w:val="444444"/>
          <w:sz w:val="24"/>
          <w:szCs w:val="24"/>
          <w:u w:val="single"/>
          <w:shd w:val="clear" w:color="auto" w:fill="FFFFFF"/>
        </w:rPr>
        <w:t>Study samples and participants</w:t>
      </w:r>
    </w:p>
    <w:p w14:paraId="1BD8D8CA" w14:textId="71C6B185" w:rsidR="00B550EB" w:rsidRPr="000263D7" w:rsidRDefault="005C3A6B" w:rsidP="007044F8">
      <w:pPr>
        <w:spacing w:line="360" w:lineRule="auto"/>
        <w:jc w:val="both"/>
        <w:rPr>
          <w:rFonts w:asciiTheme="minorBidi" w:hAnsiTheme="minorBidi" w:cstheme="minorBidi"/>
          <w:color w:val="444444"/>
          <w:sz w:val="24"/>
          <w:szCs w:val="24"/>
          <w:shd w:val="clear" w:color="auto" w:fill="FFFFFF"/>
        </w:rPr>
      </w:pPr>
      <w:r w:rsidRPr="000263D7">
        <w:rPr>
          <w:rFonts w:asciiTheme="minorBidi" w:hAnsiTheme="minorBidi" w:cstheme="minorBidi"/>
          <w:color w:val="595959" w:themeColor="text1" w:themeTint="A6"/>
          <w:sz w:val="24"/>
          <w:szCs w:val="24"/>
          <w:shd w:val="clear" w:color="auto" w:fill="FFFFFF"/>
        </w:rPr>
        <w:t xml:space="preserve">The </w:t>
      </w:r>
      <w:r w:rsidR="002D10C0" w:rsidRPr="000263D7">
        <w:rPr>
          <w:rStyle w:val="Strong"/>
          <w:rFonts w:asciiTheme="minorBidi" w:hAnsiTheme="minorBidi" w:cstheme="minorBidi"/>
          <w:b w:val="0"/>
          <w:color w:val="595959" w:themeColor="text1" w:themeTint="A6"/>
          <w:sz w:val="24"/>
          <w:szCs w:val="24"/>
          <w:lang w:val="en"/>
        </w:rPr>
        <w:t>ProSpecT</w:t>
      </w:r>
      <w:r w:rsidR="002D10C0" w:rsidRPr="000263D7">
        <w:rPr>
          <w:rFonts w:asciiTheme="minorBidi" w:hAnsiTheme="minorBidi" w:cstheme="minorBidi"/>
          <w:b/>
          <w:color w:val="595959" w:themeColor="text1" w:themeTint="A6"/>
          <w:sz w:val="24"/>
          <w:szCs w:val="24"/>
          <w:lang w:val="en"/>
        </w:rPr>
        <w:t>™</w:t>
      </w:r>
      <w:r w:rsidR="002D10C0" w:rsidRPr="000263D7">
        <w:rPr>
          <w:rFonts w:asciiTheme="minorBidi" w:hAnsiTheme="minorBidi" w:cstheme="minorBidi"/>
          <w:color w:val="595959" w:themeColor="text1" w:themeTint="A6"/>
          <w:sz w:val="24"/>
          <w:szCs w:val="24"/>
          <w:shd w:val="clear" w:color="auto" w:fill="FFFFFF"/>
        </w:rPr>
        <w:t xml:space="preserve"> </w:t>
      </w:r>
      <w:r w:rsidRPr="000263D7">
        <w:rPr>
          <w:rFonts w:asciiTheme="minorBidi" w:hAnsiTheme="minorBidi" w:cstheme="minorBidi"/>
          <w:color w:val="595959" w:themeColor="text1" w:themeTint="A6"/>
          <w:sz w:val="24"/>
          <w:szCs w:val="24"/>
          <w:shd w:val="clear" w:color="auto" w:fill="FFFFFF"/>
        </w:rPr>
        <w:t xml:space="preserve">enzyme linked immunosorbent </w:t>
      </w:r>
      <w:r w:rsidRPr="000263D7">
        <w:rPr>
          <w:rFonts w:asciiTheme="minorBidi" w:hAnsiTheme="minorBidi" w:cstheme="minorBidi"/>
          <w:color w:val="444444"/>
          <w:sz w:val="24"/>
          <w:szCs w:val="24"/>
          <w:shd w:val="clear" w:color="auto" w:fill="FFFFFF"/>
        </w:rPr>
        <w:t xml:space="preserve">assay </w:t>
      </w:r>
      <w:r w:rsidR="00395B6C" w:rsidRPr="000263D7">
        <w:rPr>
          <w:rFonts w:asciiTheme="minorBidi" w:hAnsiTheme="minorBidi" w:cstheme="minorBidi"/>
          <w:color w:val="444444"/>
          <w:sz w:val="24"/>
          <w:szCs w:val="24"/>
          <w:shd w:val="clear" w:color="auto" w:fill="FFFFFF"/>
        </w:rPr>
        <w:t>was</w:t>
      </w:r>
      <w:r w:rsidRPr="000263D7">
        <w:rPr>
          <w:rFonts w:asciiTheme="minorBidi" w:hAnsiTheme="minorBidi" w:cstheme="minorBidi"/>
          <w:color w:val="444444"/>
          <w:sz w:val="24"/>
          <w:szCs w:val="24"/>
          <w:shd w:val="clear" w:color="auto" w:fill="FFFFFF"/>
        </w:rPr>
        <w:t xml:space="preserve"> </w:t>
      </w:r>
      <w:r w:rsidR="00D15DD6">
        <w:rPr>
          <w:rFonts w:asciiTheme="minorBidi" w:hAnsiTheme="minorBidi" w:cstheme="minorBidi"/>
          <w:color w:val="444444"/>
          <w:sz w:val="24"/>
          <w:szCs w:val="24"/>
          <w:shd w:val="clear" w:color="auto" w:fill="FFFFFF"/>
        </w:rPr>
        <w:t xml:space="preserve">used </w:t>
      </w:r>
      <w:r w:rsidR="00E938A6">
        <w:rPr>
          <w:rFonts w:asciiTheme="minorBidi" w:hAnsiTheme="minorBidi" w:cstheme="minorBidi"/>
          <w:color w:val="444444"/>
          <w:sz w:val="24"/>
          <w:szCs w:val="24"/>
          <w:shd w:val="clear" w:color="auto" w:fill="FFFFFF"/>
        </w:rPr>
        <w:t>for the</w:t>
      </w:r>
      <w:r w:rsidRPr="000263D7">
        <w:rPr>
          <w:rFonts w:asciiTheme="minorBidi" w:hAnsiTheme="minorBidi" w:cstheme="minorBidi"/>
          <w:color w:val="444444"/>
          <w:sz w:val="24"/>
          <w:szCs w:val="24"/>
          <w:shd w:val="clear" w:color="auto" w:fill="FFFFFF"/>
        </w:rPr>
        <w:t xml:space="preserve"> qualitative</w:t>
      </w:r>
      <w:r w:rsidR="00E938A6">
        <w:rPr>
          <w:rFonts w:asciiTheme="minorBidi" w:hAnsiTheme="minorBidi" w:cstheme="minorBidi"/>
          <w:color w:val="444444"/>
          <w:sz w:val="24"/>
          <w:szCs w:val="24"/>
          <w:shd w:val="clear" w:color="auto" w:fill="FFFFFF"/>
        </w:rPr>
        <w:t xml:space="preserve"> </w:t>
      </w:r>
      <w:r w:rsidRPr="000263D7">
        <w:rPr>
          <w:rFonts w:asciiTheme="minorBidi" w:hAnsiTheme="minorBidi" w:cstheme="minorBidi"/>
          <w:color w:val="444444"/>
          <w:sz w:val="24"/>
          <w:szCs w:val="24"/>
          <w:shd w:val="clear" w:color="auto" w:fill="FFFFFF"/>
        </w:rPr>
        <w:t xml:space="preserve">detection of rotavirus antigen in stool. We examined the results of the stool samples sent for </w:t>
      </w:r>
      <w:r w:rsidR="00114E8F">
        <w:rPr>
          <w:rFonts w:asciiTheme="minorBidi" w:hAnsiTheme="minorBidi" w:cstheme="minorBidi"/>
          <w:color w:val="444444"/>
          <w:sz w:val="24"/>
          <w:szCs w:val="24"/>
          <w:shd w:val="clear" w:color="auto" w:fill="FFFFFF"/>
        </w:rPr>
        <w:t xml:space="preserve">routine </w:t>
      </w:r>
      <w:r w:rsidRPr="000263D7">
        <w:rPr>
          <w:rFonts w:asciiTheme="minorBidi" w:hAnsiTheme="minorBidi" w:cstheme="minorBidi"/>
          <w:color w:val="444444"/>
          <w:sz w:val="24"/>
          <w:szCs w:val="24"/>
          <w:shd w:val="clear" w:color="auto" w:fill="FFFFFF"/>
        </w:rPr>
        <w:t xml:space="preserve">rotavirus analysis from </w:t>
      </w:r>
      <w:r w:rsidR="00395B6C" w:rsidRPr="000263D7">
        <w:rPr>
          <w:rFonts w:asciiTheme="minorBidi" w:hAnsiTheme="minorBidi" w:cstheme="minorBidi"/>
          <w:color w:val="444444"/>
          <w:sz w:val="24"/>
          <w:szCs w:val="24"/>
          <w:shd w:val="clear" w:color="auto" w:fill="FFFFFF"/>
        </w:rPr>
        <w:t xml:space="preserve">the </w:t>
      </w:r>
      <w:r w:rsidRPr="000263D7">
        <w:rPr>
          <w:rFonts w:asciiTheme="minorBidi" w:hAnsiTheme="minorBidi" w:cstheme="minorBidi"/>
          <w:color w:val="444444"/>
          <w:sz w:val="24"/>
          <w:szCs w:val="24"/>
          <w:shd w:val="clear" w:color="auto" w:fill="FFFFFF"/>
        </w:rPr>
        <w:t xml:space="preserve">paediatric oncology </w:t>
      </w:r>
      <w:r w:rsidR="00395B6C" w:rsidRPr="000263D7">
        <w:rPr>
          <w:rFonts w:asciiTheme="minorBidi" w:hAnsiTheme="minorBidi" w:cstheme="minorBidi"/>
          <w:color w:val="444444"/>
          <w:sz w:val="24"/>
          <w:szCs w:val="24"/>
          <w:shd w:val="clear" w:color="auto" w:fill="FFFFFF"/>
        </w:rPr>
        <w:t>unit</w:t>
      </w:r>
      <w:r w:rsidRPr="000263D7">
        <w:rPr>
          <w:rFonts w:asciiTheme="minorBidi" w:hAnsiTheme="minorBidi" w:cstheme="minorBidi"/>
          <w:color w:val="444444"/>
          <w:sz w:val="24"/>
          <w:szCs w:val="24"/>
          <w:shd w:val="clear" w:color="auto" w:fill="FFFFFF"/>
        </w:rPr>
        <w:t xml:space="preserve">, over </w:t>
      </w:r>
      <w:r w:rsidR="00114E8F">
        <w:rPr>
          <w:rFonts w:asciiTheme="minorBidi" w:hAnsiTheme="minorBidi" w:cstheme="minorBidi"/>
          <w:color w:val="444444"/>
          <w:sz w:val="24"/>
          <w:szCs w:val="24"/>
          <w:shd w:val="clear" w:color="auto" w:fill="FFFFFF"/>
        </w:rPr>
        <w:t>a 7 year</w:t>
      </w:r>
      <w:r w:rsidRPr="000263D7">
        <w:rPr>
          <w:rFonts w:asciiTheme="minorBidi" w:hAnsiTheme="minorBidi" w:cstheme="minorBidi"/>
          <w:color w:val="444444"/>
          <w:sz w:val="24"/>
          <w:szCs w:val="24"/>
          <w:shd w:val="clear" w:color="auto" w:fill="FFFFFF"/>
        </w:rPr>
        <w:t xml:space="preserve"> period, from January 2010 to December 2016. </w:t>
      </w:r>
      <w:r w:rsidR="00FC245B">
        <w:rPr>
          <w:rFonts w:asciiTheme="minorBidi" w:hAnsiTheme="minorBidi" w:cstheme="minorBidi"/>
          <w:color w:val="444444"/>
          <w:sz w:val="24"/>
          <w:szCs w:val="24"/>
          <w:shd w:val="clear" w:color="auto" w:fill="FFFFFF"/>
        </w:rPr>
        <w:t xml:space="preserve">During this time it was routine practice to send stools for rotavirus testing in all paediatric oncology patients with diarrhoea. </w:t>
      </w:r>
      <w:r w:rsidRPr="000263D7">
        <w:rPr>
          <w:rFonts w:asciiTheme="minorBidi" w:hAnsiTheme="minorBidi" w:cstheme="minorBidi"/>
          <w:color w:val="444444"/>
          <w:sz w:val="24"/>
          <w:szCs w:val="24"/>
          <w:shd w:val="clear" w:color="auto" w:fill="FFFFFF"/>
        </w:rPr>
        <w:t xml:space="preserve">The patients included </w:t>
      </w:r>
      <w:r w:rsidR="00395B6C" w:rsidRPr="000263D7">
        <w:rPr>
          <w:rFonts w:asciiTheme="minorBidi" w:hAnsiTheme="minorBidi" w:cstheme="minorBidi"/>
          <w:color w:val="444444"/>
          <w:sz w:val="24"/>
          <w:szCs w:val="24"/>
          <w:shd w:val="clear" w:color="auto" w:fill="FFFFFF"/>
        </w:rPr>
        <w:t>those with</w:t>
      </w:r>
      <w:r w:rsidRPr="000263D7">
        <w:rPr>
          <w:rFonts w:asciiTheme="minorBidi" w:hAnsiTheme="minorBidi" w:cstheme="minorBidi"/>
          <w:color w:val="444444"/>
          <w:sz w:val="24"/>
          <w:szCs w:val="24"/>
          <w:shd w:val="clear" w:color="auto" w:fill="FFFFFF"/>
        </w:rPr>
        <w:t xml:space="preserve"> solid tumours or haematological malignancies presented to day care centre or admitted as inpatient. </w:t>
      </w:r>
      <w:r w:rsidR="00D02EE6" w:rsidRPr="000263D7">
        <w:rPr>
          <w:rFonts w:asciiTheme="minorBidi" w:hAnsiTheme="minorBidi" w:cstheme="minorBidi"/>
          <w:color w:val="444444"/>
          <w:sz w:val="24"/>
          <w:szCs w:val="24"/>
          <w:shd w:val="clear" w:color="auto" w:fill="FFFFFF"/>
        </w:rPr>
        <w:t xml:space="preserve"> </w:t>
      </w:r>
    </w:p>
    <w:p w14:paraId="690188FC" w14:textId="7AF21BCC" w:rsidR="00B550EB" w:rsidRPr="000263D7" w:rsidRDefault="005C3A6B" w:rsidP="007044F8">
      <w:pPr>
        <w:spacing w:line="360" w:lineRule="auto"/>
        <w:jc w:val="both"/>
        <w:rPr>
          <w:rFonts w:asciiTheme="minorBidi" w:hAnsiTheme="minorBidi" w:cstheme="minorBidi"/>
          <w:color w:val="444444"/>
          <w:sz w:val="24"/>
          <w:szCs w:val="24"/>
          <w:shd w:val="clear" w:color="auto" w:fill="FFFFFF"/>
        </w:rPr>
      </w:pPr>
      <w:r w:rsidRPr="000263D7">
        <w:rPr>
          <w:rFonts w:asciiTheme="minorBidi" w:hAnsiTheme="minorBidi" w:cstheme="minorBidi"/>
          <w:color w:val="444444"/>
          <w:sz w:val="24"/>
          <w:szCs w:val="24"/>
          <w:shd w:val="clear" w:color="auto" w:fill="FFFFFF"/>
        </w:rPr>
        <w:t xml:space="preserve">This study </w:t>
      </w:r>
      <w:r w:rsidR="00114E8F">
        <w:rPr>
          <w:rFonts w:asciiTheme="minorBidi" w:hAnsiTheme="minorBidi" w:cstheme="minorBidi"/>
          <w:color w:val="444444"/>
          <w:sz w:val="24"/>
          <w:szCs w:val="24"/>
          <w:shd w:val="clear" w:color="auto" w:fill="FFFFFF"/>
        </w:rPr>
        <w:t xml:space="preserve">therefore </w:t>
      </w:r>
      <w:r w:rsidRPr="000263D7">
        <w:rPr>
          <w:rFonts w:asciiTheme="minorBidi" w:hAnsiTheme="minorBidi" w:cstheme="minorBidi"/>
          <w:color w:val="444444"/>
          <w:sz w:val="24"/>
          <w:szCs w:val="24"/>
          <w:shd w:val="clear" w:color="auto" w:fill="FFFFFF"/>
        </w:rPr>
        <w:t xml:space="preserve">included stool tests results </w:t>
      </w:r>
      <w:r w:rsidR="00114E8F">
        <w:rPr>
          <w:rFonts w:asciiTheme="minorBidi" w:hAnsiTheme="minorBidi" w:cstheme="minorBidi"/>
          <w:color w:val="444444"/>
          <w:sz w:val="24"/>
          <w:szCs w:val="24"/>
          <w:shd w:val="clear" w:color="auto" w:fill="FFFFFF"/>
        </w:rPr>
        <w:t>undertaken</w:t>
      </w:r>
      <w:r w:rsidRPr="000263D7">
        <w:rPr>
          <w:rFonts w:asciiTheme="minorBidi" w:hAnsiTheme="minorBidi" w:cstheme="minorBidi"/>
          <w:color w:val="444444"/>
          <w:sz w:val="24"/>
          <w:szCs w:val="24"/>
          <w:shd w:val="clear" w:color="auto" w:fill="FFFFFF"/>
        </w:rPr>
        <w:t xml:space="preserve"> approximately three and half year</w:t>
      </w:r>
      <w:r w:rsidR="00D15DD6">
        <w:rPr>
          <w:rFonts w:asciiTheme="minorBidi" w:hAnsiTheme="minorBidi" w:cstheme="minorBidi"/>
          <w:color w:val="444444"/>
          <w:sz w:val="24"/>
          <w:szCs w:val="24"/>
          <w:shd w:val="clear" w:color="auto" w:fill="FFFFFF"/>
        </w:rPr>
        <w:t>s</w:t>
      </w:r>
      <w:r w:rsidRPr="000263D7">
        <w:rPr>
          <w:rFonts w:asciiTheme="minorBidi" w:hAnsiTheme="minorBidi" w:cstheme="minorBidi"/>
          <w:color w:val="444444"/>
          <w:sz w:val="24"/>
          <w:szCs w:val="24"/>
          <w:shd w:val="clear" w:color="auto" w:fill="FFFFFF"/>
        </w:rPr>
        <w:t xml:space="preserve"> before</w:t>
      </w:r>
      <w:r w:rsidR="00D15DD6">
        <w:rPr>
          <w:rFonts w:asciiTheme="minorBidi" w:hAnsiTheme="minorBidi" w:cstheme="minorBidi"/>
          <w:color w:val="444444"/>
          <w:sz w:val="24"/>
          <w:szCs w:val="24"/>
          <w:shd w:val="clear" w:color="auto" w:fill="FFFFFF"/>
        </w:rPr>
        <w:t>,</w:t>
      </w:r>
      <w:r w:rsidRPr="000263D7">
        <w:rPr>
          <w:rFonts w:asciiTheme="minorBidi" w:hAnsiTheme="minorBidi" w:cstheme="minorBidi"/>
          <w:color w:val="444444"/>
          <w:sz w:val="24"/>
          <w:szCs w:val="24"/>
          <w:shd w:val="clear" w:color="auto" w:fill="FFFFFF"/>
        </w:rPr>
        <w:t xml:space="preserve"> and </w:t>
      </w:r>
      <w:r w:rsidR="00114E8F">
        <w:rPr>
          <w:rFonts w:asciiTheme="minorBidi" w:hAnsiTheme="minorBidi" w:cstheme="minorBidi"/>
          <w:color w:val="444444"/>
          <w:sz w:val="24"/>
          <w:szCs w:val="24"/>
          <w:shd w:val="clear" w:color="auto" w:fill="FFFFFF"/>
        </w:rPr>
        <w:t>a similar time</w:t>
      </w:r>
      <w:r w:rsidRPr="000263D7">
        <w:rPr>
          <w:rFonts w:asciiTheme="minorBidi" w:hAnsiTheme="minorBidi" w:cstheme="minorBidi"/>
          <w:color w:val="444444"/>
          <w:sz w:val="24"/>
          <w:szCs w:val="24"/>
          <w:shd w:val="clear" w:color="auto" w:fill="FFFFFF"/>
        </w:rPr>
        <w:t xml:space="preserve"> after</w:t>
      </w:r>
      <w:r w:rsidR="00D15DD6">
        <w:rPr>
          <w:rFonts w:asciiTheme="minorBidi" w:hAnsiTheme="minorBidi" w:cstheme="minorBidi"/>
          <w:color w:val="444444"/>
          <w:sz w:val="24"/>
          <w:szCs w:val="24"/>
          <w:shd w:val="clear" w:color="auto" w:fill="FFFFFF"/>
        </w:rPr>
        <w:t>,</w:t>
      </w:r>
      <w:r w:rsidRPr="000263D7">
        <w:rPr>
          <w:rFonts w:asciiTheme="minorBidi" w:hAnsiTheme="minorBidi" w:cstheme="minorBidi"/>
          <w:color w:val="444444"/>
          <w:sz w:val="24"/>
          <w:szCs w:val="24"/>
          <w:shd w:val="clear" w:color="auto" w:fill="FFFFFF"/>
        </w:rPr>
        <w:t xml:space="preserve"> </w:t>
      </w:r>
      <w:r w:rsidR="00D15DD6">
        <w:rPr>
          <w:rFonts w:asciiTheme="minorBidi" w:hAnsiTheme="minorBidi" w:cstheme="minorBidi"/>
          <w:color w:val="444444"/>
          <w:sz w:val="24"/>
          <w:szCs w:val="24"/>
          <w:shd w:val="clear" w:color="auto" w:fill="FFFFFF"/>
        </w:rPr>
        <w:t xml:space="preserve">rotavirus </w:t>
      </w:r>
      <w:r w:rsidRPr="000263D7">
        <w:rPr>
          <w:rFonts w:asciiTheme="minorBidi" w:hAnsiTheme="minorBidi" w:cstheme="minorBidi"/>
          <w:color w:val="444444"/>
          <w:sz w:val="24"/>
          <w:szCs w:val="24"/>
          <w:shd w:val="clear" w:color="auto" w:fill="FFFFFF"/>
        </w:rPr>
        <w:t>vaccine introduction</w:t>
      </w:r>
      <w:r w:rsidR="00114E8F">
        <w:rPr>
          <w:rFonts w:asciiTheme="minorBidi" w:hAnsiTheme="minorBidi" w:cstheme="minorBidi"/>
          <w:color w:val="444444"/>
          <w:sz w:val="24"/>
          <w:szCs w:val="24"/>
          <w:shd w:val="clear" w:color="auto" w:fill="FFFFFF"/>
        </w:rPr>
        <w:t xml:space="preserve"> in the UK</w:t>
      </w:r>
      <w:r w:rsidRPr="000263D7">
        <w:rPr>
          <w:rFonts w:asciiTheme="minorBidi" w:hAnsiTheme="minorBidi" w:cstheme="minorBidi"/>
          <w:color w:val="444444"/>
          <w:sz w:val="24"/>
          <w:szCs w:val="24"/>
          <w:shd w:val="clear" w:color="auto" w:fill="FFFFFF"/>
        </w:rPr>
        <w:t xml:space="preserve">. </w:t>
      </w:r>
    </w:p>
    <w:p w14:paraId="7AF10FF3" w14:textId="4066662D" w:rsidR="00B550EB" w:rsidRPr="000263D7" w:rsidRDefault="00395B6C" w:rsidP="007044F8">
      <w:pPr>
        <w:spacing w:line="360" w:lineRule="auto"/>
        <w:jc w:val="both"/>
        <w:rPr>
          <w:rFonts w:asciiTheme="minorBidi" w:eastAsia="Times New Roman" w:hAnsiTheme="minorBidi" w:cstheme="minorBidi"/>
          <w:color w:val="000000"/>
          <w:sz w:val="24"/>
          <w:szCs w:val="24"/>
          <w:lang w:eastAsia="en-GB"/>
        </w:rPr>
      </w:pPr>
      <w:r w:rsidRPr="000263D7">
        <w:rPr>
          <w:rFonts w:asciiTheme="minorBidi" w:eastAsia="Times New Roman" w:hAnsiTheme="minorBidi" w:cstheme="minorBidi"/>
          <w:color w:val="000000"/>
          <w:sz w:val="24"/>
          <w:szCs w:val="24"/>
          <w:lang w:eastAsia="en-GB"/>
        </w:rPr>
        <w:t xml:space="preserve">A </w:t>
      </w:r>
      <w:r w:rsidR="00114E8F">
        <w:rPr>
          <w:rFonts w:asciiTheme="minorBidi" w:eastAsia="Times New Roman" w:hAnsiTheme="minorBidi" w:cstheme="minorBidi"/>
          <w:color w:val="000000"/>
          <w:sz w:val="24"/>
          <w:szCs w:val="24"/>
          <w:lang w:eastAsia="en-GB"/>
        </w:rPr>
        <w:t>n</w:t>
      </w:r>
      <w:r w:rsidR="005C3A6B" w:rsidRPr="000263D7">
        <w:rPr>
          <w:rFonts w:asciiTheme="minorBidi" w:eastAsia="Times New Roman" w:hAnsiTheme="minorBidi" w:cstheme="minorBidi"/>
          <w:color w:val="000000"/>
          <w:sz w:val="24"/>
          <w:szCs w:val="24"/>
          <w:lang w:eastAsia="en-GB"/>
        </w:rPr>
        <w:t xml:space="preserve">ational </w:t>
      </w:r>
      <w:r w:rsidR="00114E8F">
        <w:rPr>
          <w:rFonts w:asciiTheme="minorBidi" w:eastAsia="Times New Roman" w:hAnsiTheme="minorBidi" w:cstheme="minorBidi"/>
          <w:color w:val="000000"/>
          <w:sz w:val="24"/>
          <w:szCs w:val="24"/>
          <w:lang w:eastAsia="en-GB"/>
        </w:rPr>
        <w:t>s</w:t>
      </w:r>
      <w:r w:rsidR="005C3A6B" w:rsidRPr="000263D7">
        <w:rPr>
          <w:rFonts w:asciiTheme="minorBidi" w:eastAsia="Times New Roman" w:hAnsiTheme="minorBidi" w:cstheme="minorBidi"/>
          <w:color w:val="000000"/>
          <w:sz w:val="24"/>
          <w:szCs w:val="24"/>
          <w:lang w:eastAsia="en-GB"/>
        </w:rPr>
        <w:t xml:space="preserve">urvey was sent to other </w:t>
      </w:r>
      <w:r w:rsidRPr="000263D7">
        <w:rPr>
          <w:rFonts w:asciiTheme="minorBidi" w:eastAsia="Times New Roman" w:hAnsiTheme="minorBidi" w:cstheme="minorBidi"/>
          <w:color w:val="000000"/>
          <w:sz w:val="24"/>
          <w:szCs w:val="24"/>
          <w:lang w:eastAsia="en-GB"/>
        </w:rPr>
        <w:t xml:space="preserve">CCLG affiliated centres in the UK and the Republic of Ireland </w:t>
      </w:r>
      <w:r w:rsidR="005C3A6B" w:rsidRPr="000263D7">
        <w:rPr>
          <w:rFonts w:asciiTheme="minorBidi" w:eastAsia="Times New Roman" w:hAnsiTheme="minorBidi" w:cstheme="minorBidi"/>
          <w:color w:val="000000"/>
          <w:sz w:val="24"/>
          <w:szCs w:val="24"/>
          <w:lang w:eastAsia="en-GB"/>
        </w:rPr>
        <w:t xml:space="preserve">paediatric oncology treatment centres to </w:t>
      </w:r>
      <w:r w:rsidRPr="000263D7">
        <w:rPr>
          <w:rFonts w:asciiTheme="minorBidi" w:eastAsia="Times New Roman" w:hAnsiTheme="minorBidi" w:cstheme="minorBidi"/>
          <w:color w:val="000000"/>
          <w:sz w:val="24"/>
          <w:szCs w:val="24"/>
          <w:lang w:eastAsia="en-GB"/>
        </w:rPr>
        <w:t>determine</w:t>
      </w:r>
      <w:r w:rsidR="005C3A6B" w:rsidRPr="000263D7">
        <w:rPr>
          <w:rFonts w:asciiTheme="minorBidi" w:eastAsia="Times New Roman" w:hAnsiTheme="minorBidi" w:cstheme="minorBidi"/>
          <w:color w:val="000000"/>
          <w:sz w:val="24"/>
          <w:szCs w:val="24"/>
          <w:lang w:eastAsia="en-GB"/>
        </w:rPr>
        <w:t xml:space="preserve"> their </w:t>
      </w:r>
      <w:r w:rsidRPr="000263D7">
        <w:rPr>
          <w:rFonts w:asciiTheme="minorBidi" w:eastAsia="Times New Roman" w:hAnsiTheme="minorBidi" w:cstheme="minorBidi"/>
          <w:color w:val="000000"/>
          <w:sz w:val="24"/>
          <w:szCs w:val="24"/>
          <w:lang w:eastAsia="en-GB"/>
        </w:rPr>
        <w:t xml:space="preserve">current </w:t>
      </w:r>
      <w:r w:rsidR="005C3A6B" w:rsidRPr="000263D7">
        <w:rPr>
          <w:rFonts w:asciiTheme="minorBidi" w:eastAsia="Times New Roman" w:hAnsiTheme="minorBidi" w:cstheme="minorBidi"/>
          <w:color w:val="000000"/>
          <w:sz w:val="24"/>
          <w:szCs w:val="24"/>
          <w:lang w:eastAsia="en-GB"/>
        </w:rPr>
        <w:t>practice</w:t>
      </w:r>
      <w:r w:rsidR="00114E8F">
        <w:rPr>
          <w:rFonts w:asciiTheme="minorBidi" w:eastAsia="Times New Roman" w:hAnsiTheme="minorBidi" w:cstheme="minorBidi"/>
          <w:color w:val="000000"/>
          <w:sz w:val="24"/>
          <w:szCs w:val="24"/>
          <w:lang w:eastAsia="en-GB"/>
        </w:rPr>
        <w:t>s</w:t>
      </w:r>
      <w:r w:rsidRPr="000263D7">
        <w:rPr>
          <w:rFonts w:asciiTheme="minorBidi" w:eastAsia="Times New Roman" w:hAnsiTheme="minorBidi" w:cstheme="minorBidi"/>
          <w:color w:val="000000"/>
          <w:sz w:val="24"/>
          <w:szCs w:val="24"/>
          <w:lang w:eastAsia="en-GB"/>
        </w:rPr>
        <w:t xml:space="preserve"> with respect to virology testing in patients with diarrhoea</w:t>
      </w:r>
      <w:r w:rsidR="00114E8F">
        <w:rPr>
          <w:rFonts w:asciiTheme="minorBidi" w:eastAsia="Times New Roman" w:hAnsiTheme="minorBidi" w:cstheme="minorBidi"/>
          <w:color w:val="000000"/>
          <w:sz w:val="24"/>
          <w:szCs w:val="24"/>
          <w:lang w:eastAsia="en-GB"/>
        </w:rPr>
        <w:t>,</w:t>
      </w:r>
      <w:r w:rsidRPr="000263D7">
        <w:rPr>
          <w:rFonts w:asciiTheme="minorBidi" w:eastAsia="Times New Roman" w:hAnsiTheme="minorBidi" w:cstheme="minorBidi"/>
          <w:color w:val="000000"/>
          <w:sz w:val="24"/>
          <w:szCs w:val="24"/>
          <w:lang w:eastAsia="en-GB"/>
        </w:rPr>
        <w:t xml:space="preserve"> using a proforma (</w:t>
      </w:r>
      <w:r w:rsidR="00B52E82" w:rsidRPr="000263D7">
        <w:rPr>
          <w:rFonts w:asciiTheme="minorBidi" w:eastAsia="Times New Roman" w:hAnsiTheme="minorBidi" w:cstheme="minorBidi"/>
          <w:color w:val="000000"/>
          <w:sz w:val="24"/>
          <w:szCs w:val="24"/>
          <w:lang w:eastAsia="en-GB"/>
        </w:rPr>
        <w:t>Figure</w:t>
      </w:r>
      <w:r w:rsidRPr="000263D7">
        <w:rPr>
          <w:rFonts w:asciiTheme="minorBidi" w:eastAsia="Times New Roman" w:hAnsiTheme="minorBidi" w:cstheme="minorBidi"/>
          <w:color w:val="000000"/>
          <w:sz w:val="24"/>
          <w:szCs w:val="24"/>
          <w:lang w:eastAsia="en-GB"/>
        </w:rPr>
        <w:t xml:space="preserve"> 1)</w:t>
      </w:r>
      <w:r w:rsidR="005C3A6B" w:rsidRPr="000263D7">
        <w:rPr>
          <w:rFonts w:asciiTheme="minorBidi" w:eastAsia="Times New Roman" w:hAnsiTheme="minorBidi" w:cstheme="minorBidi"/>
          <w:color w:val="000000"/>
          <w:sz w:val="24"/>
          <w:szCs w:val="24"/>
          <w:lang w:eastAsia="en-GB"/>
        </w:rPr>
        <w:t xml:space="preserve">. </w:t>
      </w:r>
    </w:p>
    <w:p w14:paraId="43C3C9DB" w14:textId="77777777" w:rsidR="006047CF" w:rsidRPr="000263D7" w:rsidRDefault="006047CF" w:rsidP="006047CF">
      <w:pPr>
        <w:spacing w:line="360" w:lineRule="auto"/>
        <w:jc w:val="both"/>
        <w:rPr>
          <w:rFonts w:asciiTheme="minorBidi" w:hAnsiTheme="minorBidi" w:cstheme="minorBidi"/>
          <w:color w:val="444444"/>
          <w:sz w:val="24"/>
          <w:szCs w:val="24"/>
          <w:u w:val="single"/>
          <w:shd w:val="clear" w:color="auto" w:fill="FFFFFF"/>
        </w:rPr>
      </w:pPr>
      <w:r w:rsidRPr="000263D7">
        <w:rPr>
          <w:rFonts w:asciiTheme="minorBidi" w:hAnsiTheme="minorBidi" w:cstheme="minorBidi"/>
          <w:color w:val="444444"/>
          <w:sz w:val="24"/>
          <w:szCs w:val="24"/>
          <w:u w:val="single"/>
          <w:shd w:val="clear" w:color="auto" w:fill="FFFFFF"/>
        </w:rPr>
        <w:t>Data Collection</w:t>
      </w:r>
    </w:p>
    <w:p w14:paraId="4923B438" w14:textId="77777777" w:rsidR="006047CF" w:rsidRPr="000263D7" w:rsidRDefault="006047CF" w:rsidP="006047CF">
      <w:pPr>
        <w:spacing w:line="360" w:lineRule="auto"/>
        <w:jc w:val="both"/>
        <w:rPr>
          <w:rFonts w:asciiTheme="minorBidi" w:hAnsiTheme="minorBidi" w:cstheme="minorBidi"/>
          <w:color w:val="444444"/>
          <w:sz w:val="24"/>
          <w:szCs w:val="24"/>
          <w:shd w:val="clear" w:color="auto" w:fill="FFFFFF"/>
        </w:rPr>
      </w:pPr>
      <w:r>
        <w:rPr>
          <w:rFonts w:asciiTheme="minorBidi" w:hAnsiTheme="minorBidi" w:cstheme="minorBidi"/>
          <w:color w:val="444444"/>
          <w:sz w:val="24"/>
          <w:szCs w:val="24"/>
          <w:shd w:val="clear" w:color="auto" w:fill="FFFFFF"/>
        </w:rPr>
        <w:t>Our laboratory c</w:t>
      </w:r>
      <w:r w:rsidRPr="000263D7">
        <w:rPr>
          <w:rFonts w:asciiTheme="minorBidi" w:hAnsiTheme="minorBidi" w:cstheme="minorBidi"/>
          <w:color w:val="444444"/>
          <w:sz w:val="24"/>
          <w:szCs w:val="24"/>
          <w:shd w:val="clear" w:color="auto" w:fill="FFFFFF"/>
        </w:rPr>
        <w:t xml:space="preserve">omputerised microbiology records were examined retrospectively. </w:t>
      </w:r>
      <w:r>
        <w:rPr>
          <w:rFonts w:asciiTheme="minorBidi" w:hAnsiTheme="minorBidi" w:cstheme="minorBidi"/>
          <w:color w:val="444444"/>
          <w:sz w:val="24"/>
          <w:szCs w:val="24"/>
          <w:shd w:val="clear" w:color="auto" w:fill="FFFFFF"/>
        </w:rPr>
        <w:t>Stool</w:t>
      </w:r>
      <w:r w:rsidRPr="000263D7">
        <w:rPr>
          <w:rFonts w:asciiTheme="minorBidi" w:hAnsiTheme="minorBidi" w:cstheme="minorBidi"/>
          <w:color w:val="444444"/>
          <w:sz w:val="24"/>
          <w:szCs w:val="24"/>
          <w:shd w:val="clear" w:color="auto" w:fill="FFFFFF"/>
        </w:rPr>
        <w:t xml:space="preserve"> samples repeated within two weeks were not included in the analysis, as it was assumed that symptoms were part of the same episode of gastroenteritis. </w:t>
      </w:r>
    </w:p>
    <w:p w14:paraId="13665F1F" w14:textId="77777777" w:rsidR="006C68B4" w:rsidRPr="000263D7" w:rsidRDefault="006C68B4" w:rsidP="007044F8">
      <w:pPr>
        <w:shd w:val="clear" w:color="auto" w:fill="FFFFFF"/>
        <w:spacing w:after="0" w:line="360" w:lineRule="auto"/>
        <w:jc w:val="both"/>
        <w:rPr>
          <w:rFonts w:asciiTheme="minorBidi" w:eastAsia="Times New Roman" w:hAnsiTheme="minorBidi" w:cstheme="minorBidi"/>
          <w:b/>
          <w:color w:val="000000"/>
          <w:sz w:val="24"/>
          <w:szCs w:val="24"/>
          <w:lang w:eastAsia="en-GB"/>
        </w:rPr>
      </w:pPr>
    </w:p>
    <w:p w14:paraId="34AD5D3E" w14:textId="77777777" w:rsidR="00B550EB" w:rsidRPr="000263D7" w:rsidRDefault="005C3A6B" w:rsidP="007044F8">
      <w:pPr>
        <w:shd w:val="clear" w:color="auto" w:fill="FFFFFF"/>
        <w:spacing w:after="0" w:line="360" w:lineRule="auto"/>
        <w:jc w:val="both"/>
        <w:rPr>
          <w:rFonts w:asciiTheme="minorBidi" w:eastAsia="Times New Roman" w:hAnsiTheme="minorBidi" w:cstheme="minorBidi"/>
          <w:b/>
          <w:color w:val="000000"/>
          <w:sz w:val="24"/>
          <w:szCs w:val="24"/>
          <w:lang w:eastAsia="en-GB"/>
        </w:rPr>
      </w:pPr>
      <w:r w:rsidRPr="000263D7">
        <w:rPr>
          <w:rFonts w:asciiTheme="minorBidi" w:eastAsia="Times New Roman" w:hAnsiTheme="minorBidi" w:cstheme="minorBidi"/>
          <w:b/>
          <w:color w:val="000000"/>
          <w:sz w:val="24"/>
          <w:szCs w:val="24"/>
          <w:lang w:eastAsia="en-GB"/>
        </w:rPr>
        <w:t>Results</w:t>
      </w:r>
    </w:p>
    <w:p w14:paraId="74036B78" w14:textId="21A632A0" w:rsidR="00B550EB" w:rsidRPr="000263D7" w:rsidRDefault="005C3A6B" w:rsidP="007044F8">
      <w:pPr>
        <w:shd w:val="clear" w:color="auto" w:fill="FFFFFF"/>
        <w:spacing w:after="0" w:line="360" w:lineRule="auto"/>
        <w:jc w:val="both"/>
        <w:rPr>
          <w:rFonts w:asciiTheme="minorBidi" w:eastAsia="Times New Roman" w:hAnsiTheme="minorBidi" w:cstheme="minorBidi"/>
          <w:color w:val="000000"/>
          <w:sz w:val="24"/>
          <w:szCs w:val="24"/>
          <w:u w:val="single"/>
          <w:lang w:eastAsia="en-GB"/>
        </w:rPr>
      </w:pPr>
      <w:r w:rsidRPr="000263D7">
        <w:rPr>
          <w:rFonts w:asciiTheme="minorBidi" w:eastAsia="Times New Roman" w:hAnsiTheme="minorBidi" w:cstheme="minorBidi"/>
          <w:color w:val="000000"/>
          <w:sz w:val="24"/>
          <w:szCs w:val="24"/>
          <w:u w:val="single"/>
          <w:lang w:eastAsia="en-GB"/>
        </w:rPr>
        <w:t xml:space="preserve">Alder </w:t>
      </w:r>
      <w:r w:rsidR="00B52E82" w:rsidRPr="000263D7">
        <w:rPr>
          <w:rFonts w:asciiTheme="minorBidi" w:eastAsia="Times New Roman" w:hAnsiTheme="minorBidi" w:cstheme="minorBidi"/>
          <w:color w:val="000000"/>
          <w:sz w:val="24"/>
          <w:szCs w:val="24"/>
          <w:u w:val="single"/>
          <w:lang w:eastAsia="en-GB"/>
        </w:rPr>
        <w:t>H</w:t>
      </w:r>
      <w:r w:rsidRPr="000263D7">
        <w:rPr>
          <w:rFonts w:asciiTheme="minorBidi" w:eastAsia="Times New Roman" w:hAnsiTheme="minorBidi" w:cstheme="minorBidi"/>
          <w:color w:val="000000"/>
          <w:sz w:val="24"/>
          <w:szCs w:val="24"/>
          <w:u w:val="single"/>
          <w:lang w:eastAsia="en-GB"/>
        </w:rPr>
        <w:t>ey results</w:t>
      </w:r>
    </w:p>
    <w:p w14:paraId="423ECF68" w14:textId="6B7D930C" w:rsidR="00B550EB" w:rsidRPr="000263D7" w:rsidRDefault="005C3A6B" w:rsidP="007044F8">
      <w:pPr>
        <w:shd w:val="clear" w:color="auto" w:fill="FFFFFF"/>
        <w:spacing w:after="0" w:line="360" w:lineRule="auto"/>
        <w:jc w:val="both"/>
        <w:rPr>
          <w:rFonts w:asciiTheme="minorBidi" w:eastAsia="Times New Roman" w:hAnsiTheme="minorBidi" w:cstheme="minorBidi"/>
          <w:color w:val="000000"/>
          <w:sz w:val="24"/>
          <w:szCs w:val="24"/>
          <w:lang w:eastAsia="en-GB"/>
        </w:rPr>
      </w:pPr>
      <w:r w:rsidRPr="000263D7">
        <w:rPr>
          <w:rFonts w:asciiTheme="minorBidi" w:eastAsia="Times New Roman" w:hAnsiTheme="minorBidi" w:cstheme="minorBidi"/>
          <w:color w:val="000000"/>
          <w:sz w:val="24"/>
          <w:szCs w:val="24"/>
          <w:lang w:eastAsia="en-GB"/>
        </w:rPr>
        <w:t>A total of 1118 samples were reviewed.  After rejecting repeat samples taken within two weeks, a total of 819 samples formed the basis for the analysis.  Of these 819 samples, 46 (5.6%) were positive for rotavirus from a total of 38 patients (age 0-19 years, 19 males; 19 female).  The results by year (positives/numbers tested and percentages) were as follows: 2010 (15/141,10.6%), 2011 (10/143,6.9%), 2012 (6/132(4.5%), 2013 (8/158, 5.1%), 2014 (5/123,4.1%), 2015 (0/68,&lt;0.1%), 2016(1/54,(1.9%)</w:t>
      </w:r>
      <w:r w:rsidR="006C68B4" w:rsidRPr="000263D7">
        <w:rPr>
          <w:rFonts w:asciiTheme="minorBidi" w:eastAsia="Times New Roman" w:hAnsiTheme="minorBidi" w:cstheme="minorBidi"/>
          <w:color w:val="000000"/>
          <w:sz w:val="24"/>
          <w:szCs w:val="24"/>
          <w:lang w:eastAsia="en-GB"/>
        </w:rPr>
        <w:t xml:space="preserve"> (Table 1)</w:t>
      </w:r>
      <w:r w:rsidRPr="000263D7">
        <w:rPr>
          <w:rFonts w:asciiTheme="minorBidi" w:eastAsia="Times New Roman" w:hAnsiTheme="minorBidi" w:cstheme="minorBidi"/>
          <w:color w:val="000000"/>
          <w:sz w:val="24"/>
          <w:szCs w:val="24"/>
          <w:lang w:eastAsia="en-GB"/>
        </w:rPr>
        <w:t>.</w:t>
      </w:r>
      <w:r w:rsidR="00114E8F">
        <w:rPr>
          <w:rFonts w:asciiTheme="minorBidi" w:eastAsia="Times New Roman" w:hAnsiTheme="minorBidi" w:cstheme="minorBidi"/>
          <w:color w:val="000000"/>
          <w:sz w:val="24"/>
          <w:szCs w:val="24"/>
          <w:lang w:eastAsia="en-GB"/>
        </w:rPr>
        <w:t xml:space="preserve">  None of the rotavirus positive patients from 2013 to 2016 had recently received rotavirus vaccine prior to stool testing.</w:t>
      </w:r>
    </w:p>
    <w:p w14:paraId="24786B86" w14:textId="77777777" w:rsidR="006047CF" w:rsidRPr="000263D7" w:rsidRDefault="006047CF" w:rsidP="006047CF">
      <w:pPr>
        <w:shd w:val="clear" w:color="auto" w:fill="FFFFFF"/>
        <w:spacing w:after="0" w:line="360" w:lineRule="auto"/>
        <w:jc w:val="both"/>
        <w:rPr>
          <w:rFonts w:asciiTheme="minorBidi" w:eastAsia="Times New Roman" w:hAnsiTheme="minorBidi" w:cstheme="minorBidi"/>
          <w:color w:val="000000"/>
          <w:sz w:val="24"/>
          <w:szCs w:val="24"/>
          <w:lang w:eastAsia="en-GB"/>
        </w:rPr>
      </w:pPr>
    </w:p>
    <w:p w14:paraId="7FEE5921" w14:textId="77777777" w:rsidR="00114E8F" w:rsidRDefault="00114E8F" w:rsidP="007044F8">
      <w:pPr>
        <w:spacing w:line="360" w:lineRule="auto"/>
        <w:jc w:val="both"/>
        <w:rPr>
          <w:rFonts w:ascii="Arial" w:hAnsi="Arial" w:cs="Arial"/>
          <w:color w:val="444444"/>
          <w:sz w:val="24"/>
          <w:szCs w:val="24"/>
          <w:u w:val="single"/>
          <w:shd w:val="clear" w:color="auto" w:fill="FFFFFF"/>
        </w:rPr>
      </w:pPr>
    </w:p>
    <w:p w14:paraId="6C72DCE6" w14:textId="77777777" w:rsidR="00A62A9E" w:rsidRPr="00A62A9E" w:rsidRDefault="00A62A9E" w:rsidP="007044F8">
      <w:pPr>
        <w:spacing w:line="360" w:lineRule="auto"/>
        <w:jc w:val="both"/>
        <w:rPr>
          <w:rFonts w:ascii="Arial" w:hAnsi="Arial" w:cs="Arial"/>
          <w:color w:val="444444"/>
          <w:sz w:val="24"/>
          <w:szCs w:val="24"/>
          <w:u w:val="single"/>
          <w:shd w:val="clear" w:color="auto" w:fill="FFFFFF"/>
        </w:rPr>
      </w:pPr>
      <w:r w:rsidRPr="00A62A9E">
        <w:rPr>
          <w:rFonts w:ascii="Arial" w:hAnsi="Arial" w:cs="Arial"/>
          <w:color w:val="444444"/>
          <w:sz w:val="24"/>
          <w:szCs w:val="24"/>
          <w:u w:val="single"/>
          <w:shd w:val="clear" w:color="auto" w:fill="FFFFFF"/>
        </w:rPr>
        <w:t>National Survey</w:t>
      </w:r>
    </w:p>
    <w:p w14:paraId="0D914809" w14:textId="64916052" w:rsidR="00A62A9E" w:rsidRPr="00A62A9E" w:rsidRDefault="00A62A9E" w:rsidP="007044F8">
      <w:pPr>
        <w:spacing w:line="360" w:lineRule="auto"/>
        <w:jc w:val="both"/>
        <w:rPr>
          <w:rFonts w:ascii="Arial" w:eastAsia="Times New Roman" w:hAnsi="Arial" w:cs="Arial"/>
          <w:color w:val="000000"/>
          <w:sz w:val="24"/>
          <w:szCs w:val="24"/>
          <w:lang w:eastAsia="en-GB"/>
        </w:rPr>
      </w:pPr>
      <w:r w:rsidRPr="00A62A9E">
        <w:rPr>
          <w:rFonts w:ascii="Arial" w:hAnsi="Arial" w:cs="Arial"/>
          <w:color w:val="444444"/>
          <w:sz w:val="24"/>
          <w:szCs w:val="24"/>
          <w:shd w:val="clear" w:color="auto" w:fill="FFFFFF"/>
        </w:rPr>
        <w:t>All 20 of the</w:t>
      </w:r>
      <w:r w:rsidR="00631630">
        <w:rPr>
          <w:rFonts w:ascii="Arial" w:hAnsi="Arial" w:cs="Arial"/>
          <w:color w:val="444444"/>
          <w:sz w:val="24"/>
          <w:szCs w:val="24"/>
          <w:u w:val="single"/>
          <w:shd w:val="clear" w:color="auto" w:fill="FFFFFF"/>
        </w:rPr>
        <w:t xml:space="preserve"> </w:t>
      </w:r>
      <w:r w:rsidRPr="00A62A9E">
        <w:rPr>
          <w:rFonts w:ascii="Arial" w:eastAsia="Times New Roman" w:hAnsi="Arial" w:cs="Arial"/>
          <w:color w:val="000000"/>
          <w:sz w:val="24"/>
          <w:szCs w:val="24"/>
          <w:lang w:eastAsia="en-GB"/>
        </w:rPr>
        <w:t xml:space="preserve">CCLG affiliated Primary Treatment Centres other than Alder Hey responded.   Twelve centres had unit guidelines or pathway for the management of diarrhoea and </w:t>
      </w:r>
      <w:r w:rsidR="00D17170">
        <w:rPr>
          <w:rFonts w:ascii="Arial" w:eastAsia="Times New Roman" w:hAnsi="Arial" w:cs="Arial"/>
          <w:color w:val="000000"/>
          <w:sz w:val="24"/>
          <w:szCs w:val="24"/>
          <w:lang w:eastAsia="en-GB"/>
        </w:rPr>
        <w:t>8</w:t>
      </w:r>
      <w:r w:rsidRPr="00A62A9E">
        <w:rPr>
          <w:rFonts w:ascii="Arial" w:eastAsia="Times New Roman" w:hAnsi="Arial" w:cs="Arial"/>
          <w:color w:val="000000"/>
          <w:sz w:val="24"/>
          <w:szCs w:val="24"/>
          <w:lang w:eastAsia="en-GB"/>
        </w:rPr>
        <w:t xml:space="preserve"> did not.  Ten centres had guidelines for ordering stool virology testing and </w:t>
      </w:r>
      <w:r w:rsidR="00D17170">
        <w:rPr>
          <w:rFonts w:ascii="Arial" w:eastAsia="Times New Roman" w:hAnsi="Arial" w:cs="Arial"/>
          <w:color w:val="000000"/>
          <w:sz w:val="24"/>
          <w:szCs w:val="24"/>
          <w:lang w:eastAsia="en-GB"/>
        </w:rPr>
        <w:t xml:space="preserve">10 </w:t>
      </w:r>
      <w:r w:rsidRPr="00A62A9E">
        <w:rPr>
          <w:rFonts w:ascii="Arial" w:eastAsia="Times New Roman" w:hAnsi="Arial" w:cs="Arial"/>
          <w:color w:val="000000"/>
          <w:sz w:val="24"/>
          <w:szCs w:val="24"/>
          <w:lang w:eastAsia="en-GB"/>
        </w:rPr>
        <w:t xml:space="preserve">did not.  Thirteen centres 'always' order stool virology in patients with diarrhoea, </w:t>
      </w:r>
      <w:r w:rsidR="00D17170">
        <w:rPr>
          <w:rFonts w:ascii="Arial" w:eastAsia="Times New Roman" w:hAnsi="Arial" w:cs="Arial"/>
          <w:color w:val="000000"/>
          <w:sz w:val="24"/>
          <w:szCs w:val="24"/>
          <w:lang w:eastAsia="en-GB"/>
        </w:rPr>
        <w:t xml:space="preserve">one centre ‘very frequently (75-99%), </w:t>
      </w:r>
      <w:r w:rsidRPr="00A62A9E">
        <w:rPr>
          <w:rFonts w:ascii="Arial" w:eastAsia="Times New Roman" w:hAnsi="Arial" w:cs="Arial"/>
          <w:color w:val="000000"/>
          <w:sz w:val="24"/>
          <w:szCs w:val="24"/>
          <w:lang w:eastAsia="en-GB"/>
        </w:rPr>
        <w:t xml:space="preserve">3 centres 'usually' (50-74 %) and 3 'sometimes' (25-49 %).  A few centres reported the use of specific testing during 'outbreaks' with one centre stating that their testing policy was seasonal.  The </w:t>
      </w:r>
      <w:r w:rsidR="00D17170">
        <w:rPr>
          <w:rFonts w:ascii="Arial" w:eastAsia="Times New Roman" w:hAnsi="Arial" w:cs="Arial"/>
          <w:color w:val="000000"/>
          <w:sz w:val="24"/>
          <w:szCs w:val="24"/>
          <w:lang w:eastAsia="en-GB"/>
        </w:rPr>
        <w:t xml:space="preserve">large </w:t>
      </w:r>
      <w:r w:rsidRPr="00A62A9E">
        <w:rPr>
          <w:rFonts w:ascii="Arial" w:eastAsia="Times New Roman" w:hAnsi="Arial" w:cs="Arial"/>
          <w:color w:val="000000"/>
          <w:sz w:val="24"/>
          <w:szCs w:val="24"/>
          <w:lang w:eastAsia="en-GB"/>
        </w:rPr>
        <w:t>majority of centres (1</w:t>
      </w:r>
      <w:r w:rsidR="00D17170">
        <w:rPr>
          <w:rFonts w:ascii="Arial" w:eastAsia="Times New Roman" w:hAnsi="Arial" w:cs="Arial"/>
          <w:color w:val="000000"/>
          <w:sz w:val="24"/>
          <w:szCs w:val="24"/>
          <w:lang w:eastAsia="en-GB"/>
        </w:rPr>
        <w:t>9</w:t>
      </w:r>
      <w:r w:rsidRPr="00A62A9E">
        <w:rPr>
          <w:rFonts w:ascii="Arial" w:eastAsia="Times New Roman" w:hAnsi="Arial" w:cs="Arial"/>
          <w:color w:val="000000"/>
          <w:sz w:val="24"/>
          <w:szCs w:val="24"/>
          <w:lang w:eastAsia="en-GB"/>
        </w:rPr>
        <w:t>/20) test</w:t>
      </w:r>
      <w:r w:rsidR="00114E8F">
        <w:rPr>
          <w:rFonts w:ascii="Arial" w:eastAsia="Times New Roman" w:hAnsi="Arial" w:cs="Arial"/>
          <w:color w:val="000000"/>
          <w:sz w:val="24"/>
          <w:szCs w:val="24"/>
          <w:lang w:eastAsia="en-GB"/>
        </w:rPr>
        <w:t>ed</w:t>
      </w:r>
      <w:r w:rsidRPr="00A62A9E">
        <w:rPr>
          <w:rFonts w:ascii="Arial" w:eastAsia="Times New Roman" w:hAnsi="Arial" w:cs="Arial"/>
          <w:color w:val="000000"/>
          <w:sz w:val="24"/>
          <w:szCs w:val="24"/>
          <w:lang w:eastAsia="en-GB"/>
        </w:rPr>
        <w:t xml:space="preserve"> stools for both rotavirus and adenovirus, with some centres testing for other viruses such as norovirus</w:t>
      </w:r>
      <w:r w:rsidR="0061780E">
        <w:rPr>
          <w:rFonts w:ascii="Arial" w:eastAsia="Times New Roman" w:hAnsi="Arial" w:cs="Arial"/>
          <w:color w:val="000000"/>
          <w:sz w:val="24"/>
          <w:szCs w:val="24"/>
          <w:lang w:eastAsia="en-GB"/>
        </w:rPr>
        <w:t>.</w:t>
      </w:r>
      <w:r w:rsidRPr="00A62A9E">
        <w:rPr>
          <w:rFonts w:ascii="Arial" w:eastAsia="Times New Roman" w:hAnsi="Arial" w:cs="Arial"/>
          <w:color w:val="000000"/>
          <w:sz w:val="24"/>
          <w:szCs w:val="24"/>
          <w:lang w:eastAsia="en-GB"/>
        </w:rPr>
        <w:t xml:space="preserve"> </w:t>
      </w:r>
      <w:r w:rsidR="0061780E">
        <w:rPr>
          <w:rFonts w:ascii="Arial" w:eastAsia="Times New Roman" w:hAnsi="Arial" w:cs="Arial"/>
          <w:color w:val="000000"/>
          <w:sz w:val="24"/>
          <w:szCs w:val="24"/>
          <w:lang w:eastAsia="en-GB"/>
        </w:rPr>
        <w:t>O</w:t>
      </w:r>
      <w:r w:rsidRPr="00A62A9E">
        <w:rPr>
          <w:rFonts w:ascii="Arial" w:eastAsia="Times New Roman" w:hAnsi="Arial" w:cs="Arial"/>
          <w:color w:val="000000"/>
          <w:sz w:val="24"/>
          <w:szCs w:val="24"/>
          <w:lang w:eastAsia="en-GB"/>
        </w:rPr>
        <w:t>ne centre routinely testing for six viruses</w:t>
      </w:r>
      <w:r w:rsidR="00D17170">
        <w:rPr>
          <w:rFonts w:ascii="Arial" w:eastAsia="Times New Roman" w:hAnsi="Arial" w:cs="Arial"/>
          <w:color w:val="000000"/>
          <w:sz w:val="24"/>
          <w:szCs w:val="24"/>
          <w:lang w:eastAsia="en-GB"/>
        </w:rPr>
        <w:t>,</w:t>
      </w:r>
      <w:r w:rsidRPr="00A62A9E">
        <w:rPr>
          <w:rFonts w:ascii="Arial" w:eastAsia="Times New Roman" w:hAnsi="Arial" w:cs="Arial"/>
          <w:color w:val="000000"/>
          <w:sz w:val="24"/>
          <w:szCs w:val="24"/>
          <w:lang w:eastAsia="en-GB"/>
        </w:rPr>
        <w:t xml:space="preserve"> one testing for five viruses</w:t>
      </w:r>
      <w:r w:rsidR="00D17170">
        <w:rPr>
          <w:rFonts w:ascii="Arial" w:eastAsia="Times New Roman" w:hAnsi="Arial" w:cs="Arial"/>
          <w:color w:val="000000"/>
          <w:sz w:val="24"/>
          <w:szCs w:val="24"/>
          <w:lang w:eastAsia="en-GB"/>
        </w:rPr>
        <w:t xml:space="preserve"> and one centre, three viruses</w:t>
      </w:r>
      <w:r w:rsidRPr="00A62A9E">
        <w:rPr>
          <w:rFonts w:ascii="Arial" w:eastAsia="Times New Roman" w:hAnsi="Arial" w:cs="Arial"/>
          <w:color w:val="000000"/>
          <w:sz w:val="24"/>
          <w:szCs w:val="24"/>
          <w:lang w:eastAsia="en-GB"/>
        </w:rPr>
        <w:t>.  Two centre</w:t>
      </w:r>
      <w:r w:rsidR="0061780E">
        <w:rPr>
          <w:rFonts w:ascii="Arial" w:eastAsia="Times New Roman" w:hAnsi="Arial" w:cs="Arial"/>
          <w:color w:val="000000"/>
          <w:sz w:val="24"/>
          <w:szCs w:val="24"/>
          <w:lang w:eastAsia="en-GB"/>
        </w:rPr>
        <w:t>s</w:t>
      </w:r>
      <w:r w:rsidRPr="00A62A9E">
        <w:rPr>
          <w:rFonts w:ascii="Arial" w:eastAsia="Times New Roman" w:hAnsi="Arial" w:cs="Arial"/>
          <w:color w:val="000000"/>
          <w:sz w:val="24"/>
          <w:szCs w:val="24"/>
          <w:lang w:eastAsia="en-GB"/>
        </w:rPr>
        <w:t xml:space="preserve"> reported testing for norovirus during outbreaks but this practice </w:t>
      </w:r>
      <w:r w:rsidR="0061780E">
        <w:rPr>
          <w:rFonts w:ascii="Arial" w:eastAsia="Times New Roman" w:hAnsi="Arial" w:cs="Arial"/>
          <w:color w:val="000000"/>
          <w:sz w:val="24"/>
          <w:szCs w:val="24"/>
          <w:lang w:eastAsia="en-GB"/>
        </w:rPr>
        <w:t>might well</w:t>
      </w:r>
      <w:r w:rsidRPr="00A62A9E">
        <w:rPr>
          <w:rFonts w:ascii="Arial" w:eastAsia="Times New Roman" w:hAnsi="Arial" w:cs="Arial"/>
          <w:color w:val="000000"/>
          <w:sz w:val="24"/>
          <w:szCs w:val="24"/>
          <w:lang w:eastAsia="en-GB"/>
        </w:rPr>
        <w:t xml:space="preserve"> apply in most centres.</w:t>
      </w:r>
    </w:p>
    <w:p w14:paraId="19854B14" w14:textId="525ED572" w:rsidR="00A62A9E" w:rsidRPr="00A62A9E" w:rsidRDefault="00A62A9E" w:rsidP="007044F8">
      <w:pPr>
        <w:spacing w:line="360" w:lineRule="auto"/>
        <w:jc w:val="both"/>
        <w:rPr>
          <w:rFonts w:ascii="Arial" w:hAnsi="Arial" w:cs="Arial"/>
          <w:color w:val="444444"/>
          <w:sz w:val="24"/>
          <w:szCs w:val="24"/>
          <w:u w:val="single"/>
          <w:shd w:val="clear" w:color="auto" w:fill="FFFFFF"/>
        </w:rPr>
      </w:pPr>
      <w:r w:rsidRPr="00A62A9E">
        <w:rPr>
          <w:rFonts w:ascii="Arial" w:eastAsia="Times New Roman" w:hAnsi="Arial" w:cs="Arial"/>
          <w:color w:val="000000"/>
          <w:sz w:val="24"/>
          <w:szCs w:val="24"/>
          <w:lang w:eastAsia="en-GB"/>
        </w:rPr>
        <w:t xml:space="preserve">All but 3 centres stated that their policy did not depend on the patients neutrophil count.  </w:t>
      </w:r>
      <w:r w:rsidR="00D17170">
        <w:rPr>
          <w:rFonts w:ascii="Arial" w:eastAsia="Times New Roman" w:hAnsi="Arial" w:cs="Arial"/>
          <w:color w:val="000000"/>
          <w:sz w:val="24"/>
          <w:szCs w:val="24"/>
          <w:lang w:eastAsia="en-GB"/>
        </w:rPr>
        <w:t>Sixteen</w:t>
      </w:r>
      <w:r w:rsidRPr="00A62A9E">
        <w:rPr>
          <w:rFonts w:ascii="Arial" w:eastAsia="Times New Roman" w:hAnsi="Arial" w:cs="Arial"/>
          <w:color w:val="000000"/>
          <w:sz w:val="24"/>
          <w:szCs w:val="24"/>
          <w:lang w:eastAsia="en-GB"/>
        </w:rPr>
        <w:t xml:space="preserve"> centres stated there unit had no </w:t>
      </w:r>
      <w:r w:rsidR="0061780E">
        <w:rPr>
          <w:rFonts w:ascii="Arial" w:eastAsia="Times New Roman" w:hAnsi="Arial" w:cs="Arial"/>
          <w:color w:val="000000"/>
          <w:sz w:val="24"/>
          <w:szCs w:val="24"/>
          <w:lang w:eastAsia="en-GB"/>
        </w:rPr>
        <w:t xml:space="preserve">change in practice </w:t>
      </w:r>
      <w:r w:rsidRPr="00A62A9E">
        <w:rPr>
          <w:rFonts w:ascii="Arial" w:eastAsia="Times New Roman" w:hAnsi="Arial" w:cs="Arial"/>
          <w:color w:val="000000"/>
          <w:sz w:val="24"/>
          <w:szCs w:val="24"/>
          <w:lang w:eastAsia="en-GB"/>
        </w:rPr>
        <w:t>based on factors such as stem cell transplant recipients, whereas four units stated that they had</w:t>
      </w:r>
      <w:r>
        <w:rPr>
          <w:rFonts w:ascii="Arial" w:eastAsia="Times New Roman" w:hAnsi="Arial" w:cs="Arial"/>
          <w:color w:val="000000"/>
          <w:sz w:val="24"/>
          <w:szCs w:val="24"/>
          <w:lang w:eastAsia="en-GB"/>
        </w:rPr>
        <w:t xml:space="preserve"> a </w:t>
      </w:r>
      <w:r w:rsidR="00D17170">
        <w:rPr>
          <w:rFonts w:ascii="Arial" w:eastAsia="Times New Roman" w:hAnsi="Arial" w:cs="Arial"/>
          <w:color w:val="000000"/>
          <w:sz w:val="24"/>
          <w:szCs w:val="24"/>
          <w:lang w:eastAsia="en-GB"/>
        </w:rPr>
        <w:t xml:space="preserve"> such a variation in policy.</w:t>
      </w:r>
    </w:p>
    <w:p w14:paraId="1B71ACCF" w14:textId="77777777" w:rsidR="00B550EB" w:rsidRPr="000263D7" w:rsidRDefault="00B550EB" w:rsidP="007044F8">
      <w:pPr>
        <w:spacing w:line="360" w:lineRule="auto"/>
        <w:jc w:val="both"/>
        <w:rPr>
          <w:rFonts w:asciiTheme="minorBidi" w:hAnsiTheme="minorBidi" w:cstheme="minorBidi"/>
          <w:color w:val="444444"/>
          <w:sz w:val="24"/>
          <w:szCs w:val="24"/>
          <w:shd w:val="clear" w:color="auto" w:fill="FFFFFF"/>
        </w:rPr>
      </w:pPr>
    </w:p>
    <w:p w14:paraId="435850BD" w14:textId="40AD8198" w:rsidR="00B550EB" w:rsidRPr="000263D7" w:rsidRDefault="007719CB" w:rsidP="007044F8">
      <w:pPr>
        <w:shd w:val="clear" w:color="auto" w:fill="FFFFFF"/>
        <w:spacing w:after="0" w:line="360" w:lineRule="auto"/>
        <w:jc w:val="both"/>
        <w:rPr>
          <w:rFonts w:asciiTheme="minorBidi" w:eastAsia="Times New Roman" w:hAnsiTheme="minorBidi" w:cstheme="minorBidi"/>
          <w:b/>
          <w:bCs/>
          <w:color w:val="000000"/>
          <w:sz w:val="24"/>
          <w:szCs w:val="24"/>
          <w:lang w:eastAsia="en-GB"/>
        </w:rPr>
      </w:pPr>
      <w:r w:rsidRPr="000263D7">
        <w:rPr>
          <w:rFonts w:asciiTheme="minorBidi" w:eastAsia="Times New Roman" w:hAnsiTheme="minorBidi" w:cstheme="minorBidi"/>
          <w:b/>
          <w:bCs/>
          <w:color w:val="000000"/>
          <w:sz w:val="24"/>
          <w:szCs w:val="24"/>
          <w:lang w:eastAsia="en-GB"/>
        </w:rPr>
        <w:t>Discussion</w:t>
      </w:r>
    </w:p>
    <w:p w14:paraId="3B8BA131" w14:textId="68AB57D9" w:rsidR="004363BC" w:rsidRPr="000263D7" w:rsidRDefault="005C3A6B" w:rsidP="007044F8">
      <w:pPr>
        <w:shd w:val="clear" w:color="auto" w:fill="FFFFFF"/>
        <w:spacing w:after="0" w:line="360" w:lineRule="auto"/>
        <w:jc w:val="both"/>
        <w:rPr>
          <w:rFonts w:asciiTheme="minorBidi" w:eastAsia="Times New Roman" w:hAnsiTheme="minorBidi" w:cstheme="minorBidi"/>
          <w:color w:val="000000"/>
          <w:sz w:val="24"/>
          <w:szCs w:val="24"/>
          <w:lang w:eastAsia="en-GB"/>
        </w:rPr>
      </w:pPr>
      <w:r w:rsidRPr="000263D7">
        <w:rPr>
          <w:rFonts w:asciiTheme="minorBidi" w:eastAsia="Times New Roman" w:hAnsiTheme="minorBidi" w:cstheme="minorBidi"/>
          <w:color w:val="000000"/>
          <w:sz w:val="24"/>
          <w:szCs w:val="24"/>
          <w:lang w:eastAsia="en-GB"/>
        </w:rPr>
        <w:t xml:space="preserve">A comprehensive service evaluation of all stool tests performed for rotavirus performed in </w:t>
      </w:r>
      <w:r w:rsidR="007044F8">
        <w:rPr>
          <w:rFonts w:asciiTheme="minorBidi" w:eastAsia="Times New Roman" w:hAnsiTheme="minorBidi" w:cstheme="minorBidi"/>
          <w:color w:val="000000"/>
          <w:sz w:val="24"/>
          <w:szCs w:val="24"/>
          <w:lang w:eastAsia="en-GB"/>
        </w:rPr>
        <w:t xml:space="preserve">our </w:t>
      </w:r>
      <w:r w:rsidRPr="000263D7">
        <w:rPr>
          <w:rFonts w:asciiTheme="minorBidi" w:eastAsia="Times New Roman" w:hAnsiTheme="minorBidi" w:cstheme="minorBidi"/>
          <w:color w:val="000000"/>
          <w:sz w:val="24"/>
          <w:szCs w:val="24"/>
          <w:lang w:eastAsia="en-GB"/>
        </w:rPr>
        <w:t xml:space="preserve">paediatric oncology patients during a 7-year period has demonstrated that the incidence of rotavirus positivity has diminished </w:t>
      </w:r>
      <w:r w:rsidR="004363BC">
        <w:rPr>
          <w:rFonts w:asciiTheme="minorBidi" w:eastAsia="Times New Roman" w:hAnsiTheme="minorBidi" w:cstheme="minorBidi"/>
          <w:color w:val="000000"/>
          <w:sz w:val="24"/>
          <w:szCs w:val="24"/>
          <w:lang w:eastAsia="en-GB"/>
        </w:rPr>
        <w:t xml:space="preserve">with </w:t>
      </w:r>
      <w:r w:rsidR="004363BC" w:rsidRPr="00A62A9E">
        <w:rPr>
          <w:rFonts w:ascii="Arial" w:hAnsi="Arial" w:cs="Arial"/>
          <w:color w:val="444444"/>
          <w:sz w:val="24"/>
          <w:szCs w:val="24"/>
          <w:shd w:val="clear" w:color="auto" w:fill="FFFFFF"/>
        </w:rPr>
        <w:t xml:space="preserve">a clear decline of rotavirus detection temporally associated with the introduction of rotavirus vaccine. </w:t>
      </w:r>
      <w:r w:rsidR="004363BC">
        <w:rPr>
          <w:rFonts w:asciiTheme="minorBidi" w:eastAsia="Times New Roman" w:hAnsiTheme="minorBidi" w:cstheme="minorBidi"/>
          <w:color w:val="000000"/>
          <w:sz w:val="24"/>
          <w:szCs w:val="24"/>
          <w:lang w:eastAsia="en-GB"/>
        </w:rPr>
        <w:t xml:space="preserve">There was </w:t>
      </w:r>
      <w:r w:rsidRPr="000263D7">
        <w:rPr>
          <w:rFonts w:asciiTheme="minorBidi" w:eastAsia="Times New Roman" w:hAnsiTheme="minorBidi" w:cstheme="minorBidi"/>
          <w:color w:val="000000"/>
          <w:sz w:val="24"/>
          <w:szCs w:val="24"/>
          <w:lang w:eastAsia="en-GB"/>
        </w:rPr>
        <w:t>only one positive test out of 122 samples in 2015/2016.  Based on these results, we suggest there is very little utility for routine rotavirus testing in children and young people with cancer presenting with diarrhoea. </w:t>
      </w:r>
      <w:r w:rsidR="00BF6FF5" w:rsidRPr="000263D7">
        <w:rPr>
          <w:rFonts w:asciiTheme="minorBidi" w:eastAsia="Times New Roman" w:hAnsiTheme="minorBidi" w:cstheme="minorBidi"/>
          <w:color w:val="000000"/>
          <w:sz w:val="24"/>
          <w:szCs w:val="24"/>
          <w:lang w:eastAsia="en-GB"/>
        </w:rPr>
        <w:t xml:space="preserve">  </w:t>
      </w:r>
    </w:p>
    <w:p w14:paraId="56E1A4BE" w14:textId="77777777" w:rsidR="00B550EB" w:rsidRPr="000263D7" w:rsidRDefault="00B550EB" w:rsidP="004363BC">
      <w:pPr>
        <w:shd w:val="clear" w:color="auto" w:fill="FFFFFF"/>
        <w:spacing w:after="0" w:line="360" w:lineRule="auto"/>
        <w:jc w:val="both"/>
        <w:rPr>
          <w:rFonts w:asciiTheme="minorBidi" w:hAnsiTheme="minorBidi" w:cstheme="minorBidi"/>
          <w:sz w:val="24"/>
          <w:szCs w:val="24"/>
        </w:rPr>
      </w:pPr>
    </w:p>
    <w:p w14:paraId="5F14DE23" w14:textId="77777777" w:rsidR="006047CF" w:rsidRPr="000263D7" w:rsidRDefault="006047CF" w:rsidP="006047CF">
      <w:pPr>
        <w:spacing w:line="360" w:lineRule="auto"/>
        <w:jc w:val="both"/>
        <w:rPr>
          <w:rFonts w:asciiTheme="minorBidi" w:hAnsiTheme="minorBidi" w:cstheme="minorBidi"/>
          <w:color w:val="444444"/>
          <w:sz w:val="24"/>
          <w:szCs w:val="24"/>
          <w:shd w:val="clear" w:color="auto" w:fill="FFFFFF"/>
        </w:rPr>
      </w:pPr>
      <w:r w:rsidRPr="000263D7">
        <w:rPr>
          <w:rFonts w:asciiTheme="minorBidi" w:hAnsiTheme="minorBidi" w:cstheme="minorBidi"/>
          <w:color w:val="444444"/>
          <w:sz w:val="24"/>
          <w:szCs w:val="24"/>
          <w:shd w:val="clear" w:color="auto" w:fill="FFFFFF"/>
        </w:rPr>
        <w:t xml:space="preserve">After a recent service evaluation on </w:t>
      </w:r>
      <w:r>
        <w:rPr>
          <w:rFonts w:asciiTheme="minorBidi" w:hAnsiTheme="minorBidi" w:cstheme="minorBidi"/>
          <w:color w:val="444444"/>
          <w:sz w:val="24"/>
          <w:szCs w:val="24"/>
          <w:shd w:val="clear" w:color="auto" w:fill="FFFFFF"/>
        </w:rPr>
        <w:t xml:space="preserve">routine bacterial </w:t>
      </w:r>
      <w:r w:rsidRPr="000263D7">
        <w:rPr>
          <w:rFonts w:asciiTheme="minorBidi" w:hAnsiTheme="minorBidi" w:cstheme="minorBidi"/>
          <w:color w:val="444444"/>
          <w:sz w:val="24"/>
          <w:szCs w:val="24"/>
          <w:shd w:val="clear" w:color="auto" w:fill="FFFFFF"/>
        </w:rPr>
        <w:t xml:space="preserve">stool cultures in our department we </w:t>
      </w:r>
      <w:r>
        <w:rPr>
          <w:rFonts w:asciiTheme="minorBidi" w:hAnsiTheme="minorBidi" w:cstheme="minorBidi"/>
          <w:color w:val="444444"/>
          <w:sz w:val="24"/>
          <w:szCs w:val="24"/>
          <w:shd w:val="clear" w:color="auto" w:fill="FFFFFF"/>
        </w:rPr>
        <w:t>no longer</w:t>
      </w:r>
      <w:r w:rsidRPr="000263D7">
        <w:rPr>
          <w:rFonts w:asciiTheme="minorBidi" w:hAnsiTheme="minorBidi" w:cstheme="minorBidi"/>
          <w:color w:val="444444"/>
          <w:sz w:val="24"/>
          <w:szCs w:val="24"/>
          <w:shd w:val="clear" w:color="auto" w:fill="FFFFFF"/>
        </w:rPr>
        <w:t xml:space="preserve"> send </w:t>
      </w:r>
      <w:r>
        <w:rPr>
          <w:rFonts w:asciiTheme="minorBidi" w:hAnsiTheme="minorBidi" w:cstheme="minorBidi"/>
          <w:color w:val="444444"/>
          <w:sz w:val="24"/>
          <w:szCs w:val="24"/>
          <w:shd w:val="clear" w:color="auto" w:fill="FFFFFF"/>
        </w:rPr>
        <w:t>samples for routine</w:t>
      </w:r>
      <w:r w:rsidRPr="000263D7">
        <w:rPr>
          <w:rFonts w:asciiTheme="minorBidi" w:hAnsiTheme="minorBidi" w:cstheme="minorBidi"/>
          <w:color w:val="444444"/>
          <w:sz w:val="24"/>
          <w:szCs w:val="24"/>
          <w:shd w:val="clear" w:color="auto" w:fill="FFFFFF"/>
        </w:rPr>
        <w:t xml:space="preserve"> stool microscopy and culture, unless there are complicating symptoms in addition to diarrhoea</w:t>
      </w:r>
      <w:r>
        <w:rPr>
          <w:rFonts w:asciiTheme="minorBidi" w:hAnsiTheme="minorBidi" w:cstheme="minorBidi"/>
          <w:color w:val="444444"/>
          <w:sz w:val="24"/>
          <w:szCs w:val="24"/>
          <w:shd w:val="clear" w:color="auto" w:fill="FFFFFF"/>
        </w:rPr>
        <w:t>,</w:t>
      </w:r>
      <w:r w:rsidRPr="000263D7">
        <w:rPr>
          <w:rFonts w:asciiTheme="minorBidi" w:hAnsiTheme="minorBidi" w:cstheme="minorBidi"/>
          <w:color w:val="444444"/>
          <w:sz w:val="24"/>
          <w:szCs w:val="24"/>
          <w:shd w:val="clear" w:color="auto" w:fill="FFFFFF"/>
        </w:rPr>
        <w:t xml:space="preserve"> for example abdominal pain, blood in stool and other significant symptomatology. </w:t>
      </w:r>
    </w:p>
    <w:p w14:paraId="15F5CDD9" w14:textId="0EFE0A17" w:rsidR="006047CF" w:rsidRPr="000263D7" w:rsidRDefault="006047CF" w:rsidP="006047CF">
      <w:pPr>
        <w:spacing w:line="360" w:lineRule="auto"/>
        <w:rPr>
          <w:rFonts w:asciiTheme="minorBidi" w:hAnsiTheme="minorBidi" w:cstheme="minorBidi"/>
          <w:color w:val="444444"/>
          <w:sz w:val="24"/>
          <w:szCs w:val="24"/>
          <w:shd w:val="clear" w:color="auto" w:fill="FFFFFF"/>
        </w:rPr>
      </w:pPr>
      <w:r w:rsidRPr="000263D7">
        <w:rPr>
          <w:rFonts w:asciiTheme="minorBidi" w:hAnsiTheme="minorBidi" w:cstheme="minorBidi"/>
          <w:color w:val="444444"/>
          <w:sz w:val="24"/>
          <w:szCs w:val="24"/>
          <w:shd w:val="clear" w:color="auto" w:fill="FFFFFF"/>
        </w:rPr>
        <w:t xml:space="preserve">As a result of this </w:t>
      </w:r>
      <w:r>
        <w:rPr>
          <w:rFonts w:asciiTheme="minorBidi" w:hAnsiTheme="minorBidi" w:cstheme="minorBidi"/>
          <w:color w:val="444444"/>
          <w:sz w:val="24"/>
          <w:szCs w:val="24"/>
          <w:shd w:val="clear" w:color="auto" w:fill="FFFFFF"/>
        </w:rPr>
        <w:t xml:space="preserve">current </w:t>
      </w:r>
      <w:r w:rsidRPr="000263D7">
        <w:rPr>
          <w:rFonts w:asciiTheme="minorBidi" w:hAnsiTheme="minorBidi" w:cstheme="minorBidi"/>
          <w:color w:val="444444"/>
          <w:sz w:val="24"/>
          <w:szCs w:val="24"/>
          <w:shd w:val="clear" w:color="auto" w:fill="FFFFFF"/>
        </w:rPr>
        <w:t>study, we now also no longer routinely send for rotavirus testing.  In a similar vein to our bacteriological testing policy, we will continue to test stools for rotavirus and other viruses (on discussion with the microbiology department) in prolonged and severe cases of gastroenteritis.  In addition, we will continue to test stool for viruses including adenovirus in stem cell transplantation patients with diarrhoea although specific treatment for adenoviral infection is usually guided by the results of blood PCR.</w:t>
      </w:r>
      <w:r w:rsidR="004363BC">
        <w:rPr>
          <w:rFonts w:asciiTheme="minorBidi" w:hAnsiTheme="minorBidi" w:cstheme="minorBidi"/>
          <w:color w:val="444444"/>
          <w:sz w:val="24"/>
          <w:szCs w:val="24"/>
          <w:shd w:val="clear" w:color="auto" w:fill="FFFFFF"/>
        </w:rPr>
        <w:t xml:space="preserve"> Furthermore we will test for appropriate viruses at the time of outbreaks. </w:t>
      </w:r>
    </w:p>
    <w:p w14:paraId="6CDBA73C" w14:textId="316B1B68" w:rsidR="006C68B4" w:rsidRPr="000263D7" w:rsidRDefault="00E06354" w:rsidP="000263D7">
      <w:pPr>
        <w:spacing w:line="360" w:lineRule="auto"/>
        <w:rPr>
          <w:rFonts w:asciiTheme="minorBidi" w:hAnsiTheme="minorBidi" w:cstheme="minorBidi"/>
          <w:color w:val="444444"/>
          <w:sz w:val="24"/>
          <w:szCs w:val="24"/>
          <w:shd w:val="clear" w:color="auto" w:fill="FFFFFF"/>
        </w:rPr>
      </w:pPr>
      <w:r w:rsidRPr="000263D7">
        <w:rPr>
          <w:rFonts w:asciiTheme="minorBidi" w:hAnsiTheme="minorBidi" w:cstheme="minorBidi"/>
          <w:color w:val="444444"/>
          <w:sz w:val="24"/>
          <w:szCs w:val="24"/>
          <w:shd w:val="clear" w:color="auto" w:fill="FFFFFF"/>
        </w:rPr>
        <w:t xml:space="preserve">This evaluation </w:t>
      </w:r>
      <w:r w:rsidR="001C79EE" w:rsidRPr="000263D7">
        <w:rPr>
          <w:rFonts w:asciiTheme="minorBidi" w:hAnsiTheme="minorBidi" w:cstheme="minorBidi"/>
          <w:color w:val="444444"/>
          <w:sz w:val="24"/>
          <w:szCs w:val="24"/>
          <w:shd w:val="clear" w:color="auto" w:fill="FFFFFF"/>
        </w:rPr>
        <w:t>suggests that the</w:t>
      </w:r>
      <w:r w:rsidR="007044F8">
        <w:rPr>
          <w:rFonts w:asciiTheme="minorBidi" w:hAnsiTheme="minorBidi" w:cstheme="minorBidi"/>
          <w:color w:val="444444"/>
          <w:sz w:val="24"/>
          <w:szCs w:val="24"/>
          <w:shd w:val="clear" w:color="auto" w:fill="FFFFFF"/>
        </w:rPr>
        <w:t xml:space="preserve"> global </w:t>
      </w:r>
      <w:r w:rsidR="001C79EE" w:rsidRPr="000263D7">
        <w:rPr>
          <w:rFonts w:asciiTheme="minorBidi" w:hAnsiTheme="minorBidi" w:cstheme="minorBidi"/>
          <w:color w:val="444444"/>
          <w:sz w:val="24"/>
          <w:szCs w:val="24"/>
          <w:shd w:val="clear" w:color="auto" w:fill="FFFFFF"/>
        </w:rPr>
        <w:t xml:space="preserve">effectiveness of rotavirus vaccination </w:t>
      </w:r>
      <w:r w:rsidR="007044F8">
        <w:rPr>
          <w:rFonts w:asciiTheme="minorBidi" w:hAnsiTheme="minorBidi" w:cstheme="minorBidi"/>
          <w:color w:val="444444"/>
          <w:sz w:val="24"/>
          <w:szCs w:val="24"/>
          <w:shd w:val="clear" w:color="auto" w:fill="FFFFFF"/>
        </w:rPr>
        <w:t xml:space="preserve">for childhood diarrhoea </w:t>
      </w:r>
      <w:r w:rsidR="001C79EE" w:rsidRPr="000263D7">
        <w:rPr>
          <w:rFonts w:asciiTheme="minorBidi" w:hAnsiTheme="minorBidi" w:cstheme="minorBidi"/>
          <w:color w:val="444444"/>
          <w:sz w:val="24"/>
          <w:szCs w:val="24"/>
          <w:shd w:val="clear" w:color="auto" w:fill="FFFFFF"/>
        </w:rPr>
        <w:t xml:space="preserve">extends to children and young people being treated for cancer.  Although </w:t>
      </w:r>
      <w:r w:rsidR="00A85FF8" w:rsidRPr="000263D7">
        <w:rPr>
          <w:rFonts w:asciiTheme="minorBidi" w:hAnsiTheme="minorBidi" w:cstheme="minorBidi"/>
          <w:color w:val="444444"/>
          <w:sz w:val="24"/>
          <w:szCs w:val="24"/>
          <w:shd w:val="clear" w:color="auto" w:fill="FFFFFF"/>
        </w:rPr>
        <w:t xml:space="preserve">from our survey, the majority of </w:t>
      </w:r>
      <w:r w:rsidR="001C79EE" w:rsidRPr="000263D7">
        <w:rPr>
          <w:rFonts w:asciiTheme="minorBidi" w:hAnsiTheme="minorBidi" w:cstheme="minorBidi"/>
          <w:color w:val="444444"/>
          <w:sz w:val="24"/>
          <w:szCs w:val="24"/>
          <w:shd w:val="clear" w:color="auto" w:fill="FFFFFF"/>
        </w:rPr>
        <w:t xml:space="preserve">UK </w:t>
      </w:r>
      <w:r w:rsidR="00A85FF8" w:rsidRPr="000263D7">
        <w:rPr>
          <w:rFonts w:asciiTheme="minorBidi" w:hAnsiTheme="minorBidi" w:cstheme="minorBidi"/>
          <w:color w:val="444444"/>
          <w:sz w:val="24"/>
          <w:szCs w:val="24"/>
          <w:shd w:val="clear" w:color="auto" w:fill="FFFFFF"/>
        </w:rPr>
        <w:t>units</w:t>
      </w:r>
      <w:r w:rsidR="001C79EE" w:rsidRPr="000263D7">
        <w:rPr>
          <w:rFonts w:asciiTheme="minorBidi" w:hAnsiTheme="minorBidi" w:cstheme="minorBidi"/>
          <w:color w:val="444444"/>
          <w:sz w:val="24"/>
          <w:szCs w:val="24"/>
          <w:shd w:val="clear" w:color="auto" w:fill="FFFFFF"/>
        </w:rPr>
        <w:t xml:space="preserve"> </w:t>
      </w:r>
      <w:r w:rsidR="00A85FF8" w:rsidRPr="000263D7">
        <w:rPr>
          <w:rFonts w:asciiTheme="minorBidi" w:hAnsiTheme="minorBidi" w:cstheme="minorBidi"/>
          <w:color w:val="444444"/>
          <w:sz w:val="24"/>
          <w:szCs w:val="24"/>
          <w:shd w:val="clear" w:color="auto" w:fill="FFFFFF"/>
        </w:rPr>
        <w:t xml:space="preserve">routinely test for </w:t>
      </w:r>
      <w:r w:rsidR="007044F8">
        <w:rPr>
          <w:rFonts w:asciiTheme="minorBidi" w:hAnsiTheme="minorBidi" w:cstheme="minorBidi"/>
          <w:color w:val="444444"/>
          <w:sz w:val="24"/>
          <w:szCs w:val="24"/>
          <w:shd w:val="clear" w:color="auto" w:fill="FFFFFF"/>
        </w:rPr>
        <w:t xml:space="preserve">enteric </w:t>
      </w:r>
      <w:r w:rsidR="00A85FF8" w:rsidRPr="000263D7">
        <w:rPr>
          <w:rFonts w:asciiTheme="minorBidi" w:hAnsiTheme="minorBidi" w:cstheme="minorBidi"/>
          <w:color w:val="444444"/>
          <w:sz w:val="24"/>
          <w:szCs w:val="24"/>
          <w:shd w:val="clear" w:color="auto" w:fill="FFFFFF"/>
        </w:rPr>
        <w:t xml:space="preserve">viruses in patients with diarrhoea (both rotavirus and adenovirus) we </w:t>
      </w:r>
      <w:r w:rsidR="00602B14" w:rsidRPr="000263D7">
        <w:rPr>
          <w:rFonts w:asciiTheme="minorBidi" w:hAnsiTheme="minorBidi" w:cstheme="minorBidi"/>
          <w:color w:val="444444"/>
          <w:sz w:val="24"/>
          <w:szCs w:val="24"/>
          <w:shd w:val="clear" w:color="auto" w:fill="FFFFFF"/>
        </w:rPr>
        <w:t xml:space="preserve">propose </w:t>
      </w:r>
      <w:r w:rsidR="00B975DC" w:rsidRPr="000263D7">
        <w:rPr>
          <w:rFonts w:asciiTheme="minorBidi" w:hAnsiTheme="minorBidi" w:cstheme="minorBidi"/>
          <w:color w:val="444444"/>
          <w:sz w:val="24"/>
          <w:szCs w:val="24"/>
          <w:shd w:val="clear" w:color="auto" w:fill="FFFFFF"/>
        </w:rPr>
        <w:t>a</w:t>
      </w:r>
      <w:r w:rsidR="00A85FF8" w:rsidRPr="000263D7">
        <w:rPr>
          <w:rFonts w:asciiTheme="minorBidi" w:hAnsiTheme="minorBidi" w:cstheme="minorBidi"/>
          <w:color w:val="444444"/>
          <w:sz w:val="24"/>
          <w:szCs w:val="24"/>
          <w:shd w:val="clear" w:color="auto" w:fill="FFFFFF"/>
        </w:rPr>
        <w:t xml:space="preserve"> re-evaluation of </w:t>
      </w:r>
      <w:r w:rsidR="007044F8">
        <w:rPr>
          <w:rFonts w:asciiTheme="minorBidi" w:hAnsiTheme="minorBidi" w:cstheme="minorBidi"/>
          <w:color w:val="444444"/>
          <w:sz w:val="24"/>
          <w:szCs w:val="24"/>
          <w:shd w:val="clear" w:color="auto" w:fill="FFFFFF"/>
        </w:rPr>
        <w:t xml:space="preserve">such </w:t>
      </w:r>
      <w:r w:rsidR="00A85FF8" w:rsidRPr="000263D7">
        <w:rPr>
          <w:rFonts w:asciiTheme="minorBidi" w:hAnsiTheme="minorBidi" w:cstheme="minorBidi"/>
          <w:color w:val="444444"/>
          <w:sz w:val="24"/>
          <w:szCs w:val="24"/>
          <w:shd w:val="clear" w:color="auto" w:fill="FFFFFF"/>
        </w:rPr>
        <w:t xml:space="preserve">practice.   </w:t>
      </w:r>
      <w:r w:rsidR="006B5EE9" w:rsidRPr="000263D7">
        <w:rPr>
          <w:rFonts w:asciiTheme="minorBidi" w:hAnsiTheme="minorBidi" w:cstheme="minorBidi"/>
          <w:color w:val="444444"/>
          <w:sz w:val="24"/>
          <w:szCs w:val="24"/>
          <w:shd w:val="clear" w:color="auto" w:fill="FFFFFF"/>
        </w:rPr>
        <w:t xml:space="preserve">This could address the </w:t>
      </w:r>
      <w:r w:rsidRPr="000263D7">
        <w:rPr>
          <w:rFonts w:asciiTheme="minorBidi" w:hAnsiTheme="minorBidi" w:cstheme="minorBidi"/>
          <w:color w:val="444444"/>
          <w:sz w:val="24"/>
          <w:szCs w:val="24"/>
          <w:shd w:val="clear" w:color="auto" w:fill="FFFFFF"/>
        </w:rPr>
        <w:t>utility</w:t>
      </w:r>
      <w:r w:rsidR="006B5EE9" w:rsidRPr="000263D7">
        <w:rPr>
          <w:rFonts w:asciiTheme="minorBidi" w:hAnsiTheme="minorBidi" w:cstheme="minorBidi"/>
          <w:color w:val="444444"/>
          <w:sz w:val="24"/>
          <w:szCs w:val="24"/>
          <w:shd w:val="clear" w:color="auto" w:fill="FFFFFF"/>
        </w:rPr>
        <w:t xml:space="preserve"> of </w:t>
      </w:r>
      <w:r w:rsidRPr="000263D7">
        <w:rPr>
          <w:rFonts w:asciiTheme="minorBidi" w:hAnsiTheme="minorBidi" w:cstheme="minorBidi"/>
          <w:color w:val="444444"/>
          <w:sz w:val="24"/>
          <w:szCs w:val="24"/>
          <w:shd w:val="clear" w:color="auto" w:fill="FFFFFF"/>
        </w:rPr>
        <w:t xml:space="preserve">routine </w:t>
      </w:r>
      <w:r w:rsidR="006B5EE9" w:rsidRPr="000263D7">
        <w:rPr>
          <w:rFonts w:asciiTheme="minorBidi" w:hAnsiTheme="minorBidi" w:cstheme="minorBidi"/>
          <w:color w:val="444444"/>
          <w:sz w:val="24"/>
          <w:szCs w:val="24"/>
          <w:shd w:val="clear" w:color="auto" w:fill="FFFFFF"/>
        </w:rPr>
        <w:t>testing for both rotavirus and ad</w:t>
      </w:r>
      <w:r w:rsidRPr="000263D7">
        <w:rPr>
          <w:rFonts w:asciiTheme="minorBidi" w:hAnsiTheme="minorBidi" w:cstheme="minorBidi"/>
          <w:color w:val="444444"/>
          <w:sz w:val="24"/>
          <w:szCs w:val="24"/>
          <w:shd w:val="clear" w:color="auto" w:fill="FFFFFF"/>
        </w:rPr>
        <w:t xml:space="preserve">enovirus.  </w:t>
      </w:r>
      <w:r w:rsidR="00A85FF8" w:rsidRPr="000263D7">
        <w:rPr>
          <w:rFonts w:asciiTheme="minorBidi" w:hAnsiTheme="minorBidi" w:cstheme="minorBidi"/>
          <w:color w:val="444444"/>
          <w:sz w:val="24"/>
          <w:szCs w:val="24"/>
          <w:shd w:val="clear" w:color="auto" w:fill="FFFFFF"/>
        </w:rPr>
        <w:t>This study was limited by the fact that only rotavirus results were examined but, as above, this was the only virus consist</w:t>
      </w:r>
      <w:r w:rsidR="007044F8">
        <w:rPr>
          <w:rFonts w:asciiTheme="minorBidi" w:hAnsiTheme="minorBidi" w:cstheme="minorBidi"/>
          <w:color w:val="444444"/>
          <w:sz w:val="24"/>
          <w:szCs w:val="24"/>
          <w:shd w:val="clear" w:color="auto" w:fill="FFFFFF"/>
        </w:rPr>
        <w:t>ently tested by</w:t>
      </w:r>
      <w:r w:rsidR="00A85FF8" w:rsidRPr="000263D7">
        <w:rPr>
          <w:rFonts w:asciiTheme="minorBidi" w:hAnsiTheme="minorBidi" w:cstheme="minorBidi"/>
          <w:color w:val="444444"/>
          <w:sz w:val="24"/>
          <w:szCs w:val="24"/>
          <w:shd w:val="clear" w:color="auto" w:fill="FFFFFF"/>
        </w:rPr>
        <w:t xml:space="preserve"> our unit </w:t>
      </w:r>
      <w:r w:rsidR="007044F8">
        <w:rPr>
          <w:rFonts w:asciiTheme="minorBidi" w:hAnsiTheme="minorBidi" w:cstheme="minorBidi"/>
          <w:color w:val="444444"/>
          <w:sz w:val="24"/>
          <w:szCs w:val="24"/>
          <w:shd w:val="clear" w:color="auto" w:fill="FFFFFF"/>
        </w:rPr>
        <w:t xml:space="preserve">over </w:t>
      </w:r>
      <w:r w:rsidR="00A85FF8" w:rsidRPr="000263D7">
        <w:rPr>
          <w:rFonts w:asciiTheme="minorBidi" w:hAnsiTheme="minorBidi" w:cstheme="minorBidi"/>
          <w:color w:val="444444"/>
          <w:sz w:val="24"/>
          <w:szCs w:val="24"/>
          <w:shd w:val="clear" w:color="auto" w:fill="FFFFFF"/>
        </w:rPr>
        <w:t>recent years</w:t>
      </w:r>
      <w:r w:rsidR="00B975DC" w:rsidRPr="000263D7">
        <w:rPr>
          <w:rFonts w:asciiTheme="minorBidi" w:hAnsiTheme="minorBidi" w:cstheme="minorBidi"/>
          <w:color w:val="444444"/>
          <w:sz w:val="24"/>
          <w:szCs w:val="24"/>
          <w:shd w:val="clear" w:color="auto" w:fill="FFFFFF"/>
        </w:rPr>
        <w:t>.   With or without the use of stool testing we suggest that the policy for isolating oncology patients presenting to a unit with diarrhoea should not depend on the results from stool microbiological testing although it is certainly reasonable to test stools for patients with prolonged diarrhoea or those with clinical important symptoms</w:t>
      </w:r>
      <w:r w:rsidR="00602B14" w:rsidRPr="000263D7">
        <w:rPr>
          <w:rFonts w:asciiTheme="minorBidi" w:hAnsiTheme="minorBidi" w:cstheme="minorBidi"/>
          <w:color w:val="444444"/>
          <w:sz w:val="24"/>
          <w:szCs w:val="24"/>
          <w:shd w:val="clear" w:color="auto" w:fill="FFFFFF"/>
        </w:rPr>
        <w:t>.</w:t>
      </w:r>
      <w:r w:rsidR="00B975DC" w:rsidRPr="000263D7">
        <w:rPr>
          <w:rFonts w:asciiTheme="minorBidi" w:hAnsiTheme="minorBidi" w:cstheme="minorBidi"/>
          <w:color w:val="444444"/>
          <w:sz w:val="24"/>
          <w:szCs w:val="24"/>
          <w:shd w:val="clear" w:color="auto" w:fill="FFFFFF"/>
        </w:rPr>
        <w:t xml:space="preserve"> </w:t>
      </w:r>
    </w:p>
    <w:p w14:paraId="0E07313B" w14:textId="02EC27B2" w:rsidR="0009251E" w:rsidRDefault="00E06354" w:rsidP="000263D7">
      <w:pPr>
        <w:spacing w:line="360" w:lineRule="auto"/>
        <w:rPr>
          <w:rFonts w:asciiTheme="minorBidi" w:hAnsiTheme="minorBidi" w:cstheme="minorBidi"/>
          <w:color w:val="444444"/>
          <w:sz w:val="24"/>
          <w:szCs w:val="24"/>
          <w:shd w:val="clear" w:color="auto" w:fill="FFFFFF"/>
        </w:rPr>
      </w:pPr>
      <w:r w:rsidRPr="000263D7">
        <w:rPr>
          <w:rFonts w:asciiTheme="minorBidi" w:hAnsiTheme="minorBidi" w:cstheme="minorBidi"/>
          <w:color w:val="444444"/>
          <w:sz w:val="24"/>
          <w:szCs w:val="24"/>
          <w:shd w:val="clear" w:color="auto" w:fill="FFFFFF"/>
        </w:rPr>
        <w:t xml:space="preserve">This study </w:t>
      </w:r>
      <w:r w:rsidR="00B975DC" w:rsidRPr="000263D7">
        <w:rPr>
          <w:rFonts w:asciiTheme="minorBidi" w:hAnsiTheme="minorBidi" w:cstheme="minorBidi"/>
          <w:color w:val="444444"/>
          <w:sz w:val="24"/>
          <w:szCs w:val="24"/>
          <w:shd w:val="clear" w:color="auto" w:fill="FFFFFF"/>
        </w:rPr>
        <w:t xml:space="preserve">was easy to perform and provides further useful information to guide the appropriate use of laboratory facilities in the paediatric oncology population.  </w:t>
      </w:r>
    </w:p>
    <w:p w14:paraId="38BB7915" w14:textId="77777777" w:rsidR="0009251E" w:rsidRDefault="0009251E">
      <w:pPr>
        <w:suppressAutoHyphens w:val="0"/>
        <w:spacing w:after="200" w:line="276" w:lineRule="auto"/>
        <w:rPr>
          <w:rFonts w:asciiTheme="minorBidi" w:hAnsiTheme="minorBidi" w:cstheme="minorBidi"/>
          <w:color w:val="444444"/>
          <w:sz w:val="24"/>
          <w:szCs w:val="24"/>
          <w:shd w:val="clear" w:color="auto" w:fill="FFFFFF"/>
        </w:rPr>
      </w:pPr>
      <w:r>
        <w:rPr>
          <w:rFonts w:asciiTheme="minorBidi" w:hAnsiTheme="minorBidi" w:cstheme="minorBidi"/>
          <w:color w:val="444444"/>
          <w:sz w:val="24"/>
          <w:szCs w:val="24"/>
          <w:shd w:val="clear" w:color="auto" w:fill="FFFFFF"/>
        </w:rPr>
        <w:br w:type="page"/>
      </w:r>
    </w:p>
    <w:p w14:paraId="5013520E" w14:textId="77777777" w:rsidR="0009251E" w:rsidRDefault="0009251E" w:rsidP="0009251E">
      <w:pPr>
        <w:spacing w:line="360" w:lineRule="auto"/>
        <w:rPr>
          <w:rFonts w:asciiTheme="minorBidi" w:hAnsiTheme="minorBidi" w:cstheme="minorBidi"/>
          <w:sz w:val="24"/>
          <w:szCs w:val="24"/>
        </w:rPr>
      </w:pPr>
      <w:r>
        <w:rPr>
          <w:rFonts w:asciiTheme="minorBidi" w:hAnsiTheme="minorBidi" w:cstheme="minorBidi"/>
          <w:sz w:val="24"/>
          <w:szCs w:val="24"/>
        </w:rPr>
        <w:t>Acknowledgement</w:t>
      </w:r>
    </w:p>
    <w:p w14:paraId="103FC40C" w14:textId="77777777" w:rsidR="0009251E" w:rsidRDefault="0009251E" w:rsidP="0009251E">
      <w:pPr>
        <w:spacing w:line="360" w:lineRule="auto"/>
        <w:rPr>
          <w:rFonts w:asciiTheme="minorBidi" w:hAnsiTheme="minorBidi" w:cstheme="minorBidi"/>
          <w:sz w:val="24"/>
          <w:szCs w:val="24"/>
        </w:rPr>
      </w:pPr>
    </w:p>
    <w:p w14:paraId="7950B57B" w14:textId="77777777" w:rsidR="0009251E" w:rsidRDefault="0009251E" w:rsidP="0009251E">
      <w:pPr>
        <w:spacing w:line="360" w:lineRule="auto"/>
        <w:rPr>
          <w:rFonts w:asciiTheme="minorBidi" w:hAnsiTheme="minorBidi" w:cstheme="minorBidi"/>
          <w:sz w:val="24"/>
          <w:szCs w:val="24"/>
        </w:rPr>
      </w:pPr>
      <w:r>
        <w:rPr>
          <w:rFonts w:asciiTheme="minorBidi" w:hAnsiTheme="minorBidi" w:cstheme="minorBidi"/>
          <w:sz w:val="24"/>
          <w:szCs w:val="24"/>
        </w:rPr>
        <w:t>The authors wish to thank representatives from each CCLG centre for participation in the national survey of practice.</w:t>
      </w:r>
    </w:p>
    <w:p w14:paraId="27E47869" w14:textId="77777777" w:rsidR="00B975DC" w:rsidRPr="000263D7" w:rsidRDefault="00B975DC" w:rsidP="000263D7">
      <w:pPr>
        <w:spacing w:line="360" w:lineRule="auto"/>
        <w:rPr>
          <w:rFonts w:asciiTheme="minorBidi" w:hAnsiTheme="minorBidi" w:cstheme="minorBidi"/>
          <w:sz w:val="24"/>
          <w:szCs w:val="24"/>
        </w:rPr>
      </w:pPr>
    </w:p>
    <w:p w14:paraId="23A9B662" w14:textId="77777777" w:rsidR="006C68B4" w:rsidRPr="000263D7" w:rsidRDefault="006C68B4" w:rsidP="000263D7">
      <w:pPr>
        <w:spacing w:line="360" w:lineRule="auto"/>
        <w:rPr>
          <w:rFonts w:asciiTheme="minorBidi" w:hAnsiTheme="minorBidi" w:cstheme="minorBidi"/>
          <w:color w:val="444444"/>
          <w:sz w:val="24"/>
          <w:szCs w:val="24"/>
          <w:shd w:val="clear" w:color="auto" w:fill="FFFFFF"/>
        </w:rPr>
      </w:pPr>
    </w:p>
    <w:p w14:paraId="6F9C0366" w14:textId="6251C5EB" w:rsidR="00317903" w:rsidRPr="000263D7" w:rsidRDefault="00317903" w:rsidP="002342A6">
      <w:pPr>
        <w:suppressAutoHyphens w:val="0"/>
        <w:spacing w:after="200" w:line="360" w:lineRule="auto"/>
        <w:rPr>
          <w:rFonts w:asciiTheme="minorBidi" w:hAnsiTheme="minorBidi" w:cstheme="minorBidi"/>
          <w:color w:val="444444"/>
          <w:sz w:val="24"/>
          <w:szCs w:val="24"/>
          <w:shd w:val="clear" w:color="auto" w:fill="FFFFFF"/>
        </w:rPr>
      </w:pPr>
      <w:r w:rsidRPr="000263D7">
        <w:rPr>
          <w:rFonts w:asciiTheme="minorBidi" w:eastAsia="Times New Roman" w:hAnsiTheme="minorBidi" w:cstheme="minorBidi"/>
          <w:color w:val="000000"/>
          <w:sz w:val="24"/>
          <w:szCs w:val="24"/>
          <w:lang w:eastAsia="en-GB"/>
        </w:rPr>
        <w:br w:type="page"/>
      </w:r>
    </w:p>
    <w:p w14:paraId="4F3B4D9A" w14:textId="1997BF99" w:rsidR="00395B6C" w:rsidRPr="00F63DC0" w:rsidRDefault="00F63DC0" w:rsidP="00F63DC0">
      <w:pPr>
        <w:spacing w:line="360" w:lineRule="auto"/>
        <w:rPr>
          <w:rFonts w:asciiTheme="minorBidi" w:hAnsiTheme="minorBidi" w:cstheme="minorBidi"/>
          <w:b/>
          <w:bCs/>
          <w:sz w:val="24"/>
          <w:szCs w:val="24"/>
        </w:rPr>
      </w:pPr>
      <w:r w:rsidRPr="00F63DC0">
        <w:rPr>
          <w:rFonts w:asciiTheme="minorBidi" w:hAnsiTheme="minorBidi" w:cstheme="minorBidi"/>
          <w:b/>
          <w:bCs/>
          <w:sz w:val="24"/>
          <w:szCs w:val="24"/>
        </w:rPr>
        <w:t>References</w:t>
      </w:r>
    </w:p>
    <w:p w14:paraId="23CAC791" w14:textId="41B4F9C8" w:rsidR="00F63DC0" w:rsidRPr="00F63DC0" w:rsidRDefault="00F63DC0" w:rsidP="00F63DC0">
      <w:pPr>
        <w:widowControl w:val="0"/>
        <w:autoSpaceDE w:val="0"/>
        <w:adjustRightInd w:val="0"/>
        <w:spacing w:line="360" w:lineRule="auto"/>
        <w:ind w:left="640" w:hanging="640"/>
        <w:rPr>
          <w:rFonts w:ascii="Arial" w:hAnsi="Arial" w:cs="Arial"/>
          <w:noProof/>
          <w:sz w:val="24"/>
          <w:szCs w:val="24"/>
        </w:rPr>
      </w:pPr>
      <w:r>
        <w:rPr>
          <w:rFonts w:asciiTheme="minorBidi" w:hAnsiTheme="minorBidi" w:cstheme="minorBidi"/>
          <w:sz w:val="24"/>
          <w:szCs w:val="24"/>
        </w:rPr>
        <w:fldChar w:fldCharType="begin" w:fldLock="1"/>
      </w:r>
      <w:r>
        <w:rPr>
          <w:rFonts w:asciiTheme="minorBidi" w:hAnsiTheme="minorBidi" w:cstheme="minorBidi"/>
          <w:sz w:val="24"/>
          <w:szCs w:val="24"/>
        </w:rPr>
        <w:instrText xml:space="preserve">ADDIN Mendeley Bibliography CSL_BIBLIOGRAPHY </w:instrText>
      </w:r>
      <w:r>
        <w:rPr>
          <w:rFonts w:asciiTheme="minorBidi" w:hAnsiTheme="minorBidi" w:cstheme="minorBidi"/>
          <w:sz w:val="24"/>
          <w:szCs w:val="24"/>
        </w:rPr>
        <w:fldChar w:fldCharType="separate"/>
      </w:r>
      <w:r w:rsidRPr="00F63DC0">
        <w:rPr>
          <w:rFonts w:ascii="Arial" w:hAnsi="Arial" w:cs="Arial"/>
          <w:noProof/>
          <w:sz w:val="24"/>
          <w:szCs w:val="24"/>
        </w:rPr>
        <w:t>1</w:t>
      </w:r>
      <w:r w:rsidR="00631630">
        <w:rPr>
          <w:rFonts w:ascii="Arial" w:hAnsi="Arial" w:cs="Arial"/>
          <w:noProof/>
          <w:sz w:val="24"/>
          <w:szCs w:val="24"/>
        </w:rPr>
        <w:t>.</w:t>
      </w:r>
      <w:r w:rsidRPr="00F63DC0">
        <w:rPr>
          <w:rFonts w:ascii="Arial" w:hAnsi="Arial" w:cs="Arial"/>
          <w:noProof/>
          <w:sz w:val="24"/>
          <w:szCs w:val="24"/>
        </w:rPr>
        <w:tab/>
        <w:t xml:space="preserve">O’Connor O., Cooke RPD., Cunliffe NA., Pizer B. Clinical value of stool culture in paediatric oncology patients: hospital evaluation and UK survey of practice. </w:t>
      </w:r>
      <w:r w:rsidRPr="00F63DC0">
        <w:rPr>
          <w:rFonts w:ascii="Arial" w:hAnsi="Arial" w:cs="Arial"/>
          <w:i/>
          <w:iCs/>
          <w:noProof/>
          <w:sz w:val="24"/>
          <w:szCs w:val="24"/>
        </w:rPr>
        <w:t>J Hosp Infect</w:t>
      </w:r>
      <w:r w:rsidRPr="00F63DC0">
        <w:rPr>
          <w:rFonts w:ascii="Arial" w:hAnsi="Arial" w:cs="Arial"/>
          <w:noProof/>
          <w:sz w:val="24"/>
          <w:szCs w:val="24"/>
        </w:rPr>
        <w:t xml:space="preserve"> 2016;</w:t>
      </w:r>
      <w:r w:rsidRPr="00F63DC0">
        <w:rPr>
          <w:rFonts w:ascii="Arial" w:hAnsi="Arial" w:cs="Arial"/>
          <w:b/>
          <w:bCs/>
          <w:noProof/>
          <w:sz w:val="24"/>
          <w:szCs w:val="24"/>
        </w:rPr>
        <w:t>95</w:t>
      </w:r>
      <w:r w:rsidRPr="00F63DC0">
        <w:rPr>
          <w:rFonts w:ascii="Arial" w:hAnsi="Arial" w:cs="Arial"/>
          <w:noProof/>
          <w:sz w:val="24"/>
          <w:szCs w:val="24"/>
        </w:rPr>
        <w:t>(1):123–5. Doi: 10.1016/j.jhin.2016.10.005.</w:t>
      </w:r>
    </w:p>
    <w:p w14:paraId="3556C225" w14:textId="56DF4DCA" w:rsidR="00F63DC0" w:rsidRPr="00F63DC0" w:rsidRDefault="00F63DC0" w:rsidP="00F63DC0">
      <w:pPr>
        <w:widowControl w:val="0"/>
        <w:autoSpaceDE w:val="0"/>
        <w:adjustRightInd w:val="0"/>
        <w:spacing w:line="360" w:lineRule="auto"/>
        <w:ind w:left="640" w:hanging="640"/>
        <w:rPr>
          <w:rFonts w:ascii="Arial" w:hAnsi="Arial" w:cs="Arial"/>
          <w:noProof/>
          <w:sz w:val="24"/>
          <w:szCs w:val="24"/>
        </w:rPr>
      </w:pPr>
      <w:r w:rsidRPr="00F63DC0">
        <w:rPr>
          <w:rFonts w:ascii="Arial" w:hAnsi="Arial" w:cs="Arial"/>
          <w:noProof/>
          <w:sz w:val="24"/>
          <w:szCs w:val="24"/>
        </w:rPr>
        <w:t>2</w:t>
      </w:r>
      <w:r w:rsidR="00631630">
        <w:rPr>
          <w:rFonts w:ascii="Arial" w:hAnsi="Arial" w:cs="Arial"/>
          <w:noProof/>
          <w:sz w:val="24"/>
          <w:szCs w:val="24"/>
        </w:rPr>
        <w:t>.</w:t>
      </w:r>
      <w:r w:rsidRPr="00F63DC0">
        <w:rPr>
          <w:rFonts w:ascii="Arial" w:hAnsi="Arial" w:cs="Arial"/>
          <w:noProof/>
          <w:sz w:val="24"/>
          <w:szCs w:val="24"/>
        </w:rPr>
        <w:tab/>
        <w:t xml:space="preserve">Nicholson MR., Van Horn GT., Tang Y-W., et al. Using Multiplex Molecular Testing to Determine the Etiology of Acute Gastroenteritis in Children. </w:t>
      </w:r>
      <w:r w:rsidRPr="00F63DC0">
        <w:rPr>
          <w:rFonts w:ascii="Arial" w:hAnsi="Arial" w:cs="Arial"/>
          <w:i/>
          <w:iCs/>
          <w:noProof/>
          <w:sz w:val="24"/>
          <w:szCs w:val="24"/>
        </w:rPr>
        <w:t>J Pediatr</w:t>
      </w:r>
      <w:r w:rsidRPr="00F63DC0">
        <w:rPr>
          <w:rFonts w:ascii="Arial" w:hAnsi="Arial" w:cs="Arial"/>
          <w:noProof/>
          <w:sz w:val="24"/>
          <w:szCs w:val="24"/>
        </w:rPr>
        <w:t xml:space="preserve"> 2016. Doi: 10.1016/j.jpeds.2016.05.068.</w:t>
      </w:r>
    </w:p>
    <w:p w14:paraId="5C62CF52" w14:textId="4FB819F2" w:rsidR="00F63DC0" w:rsidRPr="00F63DC0" w:rsidRDefault="00F63DC0" w:rsidP="00F63DC0">
      <w:pPr>
        <w:widowControl w:val="0"/>
        <w:autoSpaceDE w:val="0"/>
        <w:adjustRightInd w:val="0"/>
        <w:spacing w:line="360" w:lineRule="auto"/>
        <w:ind w:left="640" w:hanging="640"/>
        <w:rPr>
          <w:rFonts w:ascii="Arial" w:hAnsi="Arial" w:cs="Arial"/>
          <w:noProof/>
          <w:sz w:val="24"/>
          <w:szCs w:val="24"/>
        </w:rPr>
      </w:pPr>
      <w:r w:rsidRPr="00F63DC0">
        <w:rPr>
          <w:rFonts w:ascii="Arial" w:hAnsi="Arial" w:cs="Arial"/>
          <w:noProof/>
          <w:sz w:val="24"/>
          <w:szCs w:val="24"/>
        </w:rPr>
        <w:t>3</w:t>
      </w:r>
      <w:r w:rsidR="00631630">
        <w:rPr>
          <w:rFonts w:ascii="Arial" w:hAnsi="Arial" w:cs="Arial"/>
          <w:noProof/>
          <w:sz w:val="24"/>
          <w:szCs w:val="24"/>
        </w:rPr>
        <w:t>.</w:t>
      </w:r>
      <w:r w:rsidRPr="00F63DC0">
        <w:rPr>
          <w:rFonts w:ascii="Arial" w:hAnsi="Arial" w:cs="Arial"/>
          <w:noProof/>
          <w:sz w:val="24"/>
          <w:szCs w:val="24"/>
        </w:rPr>
        <w:tab/>
        <w:t xml:space="preserve">Cunliffe NA., Booth JA., Elliot C., et al. Healthcare-associated viral gastroenteritis among children in a large pediatric hospital, United Kingdom. </w:t>
      </w:r>
      <w:r w:rsidRPr="00F63DC0">
        <w:rPr>
          <w:rFonts w:ascii="Arial" w:hAnsi="Arial" w:cs="Arial"/>
          <w:i/>
          <w:iCs/>
          <w:noProof/>
          <w:sz w:val="24"/>
          <w:szCs w:val="24"/>
        </w:rPr>
        <w:t>Emerg Infect Dis</w:t>
      </w:r>
      <w:r w:rsidRPr="00F63DC0">
        <w:rPr>
          <w:rFonts w:ascii="Arial" w:hAnsi="Arial" w:cs="Arial"/>
          <w:noProof/>
          <w:sz w:val="24"/>
          <w:szCs w:val="24"/>
        </w:rPr>
        <w:t xml:space="preserve"> 2010;</w:t>
      </w:r>
      <w:r w:rsidRPr="00F63DC0">
        <w:rPr>
          <w:rFonts w:ascii="Arial" w:hAnsi="Arial" w:cs="Arial"/>
          <w:b/>
          <w:bCs/>
          <w:noProof/>
          <w:sz w:val="24"/>
          <w:szCs w:val="24"/>
        </w:rPr>
        <w:t>16</w:t>
      </w:r>
      <w:r w:rsidRPr="00F63DC0">
        <w:rPr>
          <w:rFonts w:ascii="Arial" w:hAnsi="Arial" w:cs="Arial"/>
          <w:noProof/>
          <w:sz w:val="24"/>
          <w:szCs w:val="24"/>
        </w:rPr>
        <w:t>. Doi: 10.3201/eid1601.090401.</w:t>
      </w:r>
    </w:p>
    <w:p w14:paraId="55B85A60" w14:textId="64C83167" w:rsidR="00F63DC0" w:rsidRPr="00F63DC0" w:rsidRDefault="00F63DC0" w:rsidP="00F63DC0">
      <w:pPr>
        <w:widowControl w:val="0"/>
        <w:autoSpaceDE w:val="0"/>
        <w:adjustRightInd w:val="0"/>
        <w:spacing w:line="360" w:lineRule="auto"/>
        <w:ind w:left="640" w:hanging="640"/>
        <w:rPr>
          <w:rFonts w:ascii="Arial" w:hAnsi="Arial" w:cs="Arial"/>
          <w:noProof/>
          <w:sz w:val="24"/>
          <w:szCs w:val="24"/>
        </w:rPr>
      </w:pPr>
      <w:r w:rsidRPr="00F63DC0">
        <w:rPr>
          <w:rFonts w:ascii="Arial" w:hAnsi="Arial" w:cs="Arial"/>
          <w:noProof/>
          <w:sz w:val="24"/>
          <w:szCs w:val="24"/>
        </w:rPr>
        <w:t>4</w:t>
      </w:r>
      <w:r w:rsidR="00631630">
        <w:rPr>
          <w:rFonts w:ascii="Arial" w:hAnsi="Arial" w:cs="Arial"/>
          <w:noProof/>
          <w:sz w:val="24"/>
          <w:szCs w:val="24"/>
        </w:rPr>
        <w:t>.</w:t>
      </w:r>
      <w:r w:rsidRPr="00F63DC0">
        <w:rPr>
          <w:rFonts w:ascii="Arial" w:hAnsi="Arial" w:cs="Arial"/>
          <w:noProof/>
          <w:sz w:val="24"/>
          <w:szCs w:val="24"/>
        </w:rPr>
        <w:tab/>
        <w:t xml:space="preserve">Yen C., Tate JE., Patel MM., et al. Rotavirus vaccines: update on global impact and future priorities. </w:t>
      </w:r>
      <w:r w:rsidRPr="00F63DC0">
        <w:rPr>
          <w:rFonts w:ascii="Arial" w:hAnsi="Arial" w:cs="Arial"/>
          <w:i/>
          <w:iCs/>
          <w:noProof/>
          <w:sz w:val="24"/>
          <w:szCs w:val="24"/>
        </w:rPr>
        <w:t>Hum Vaccin</w:t>
      </w:r>
      <w:r w:rsidRPr="00F63DC0">
        <w:rPr>
          <w:rFonts w:ascii="Arial" w:hAnsi="Arial" w:cs="Arial"/>
          <w:noProof/>
          <w:sz w:val="24"/>
          <w:szCs w:val="24"/>
        </w:rPr>
        <w:t xml:space="preserve"> 2011;</w:t>
      </w:r>
      <w:r w:rsidRPr="00F63DC0">
        <w:rPr>
          <w:rFonts w:ascii="Arial" w:hAnsi="Arial" w:cs="Arial"/>
          <w:b/>
          <w:bCs/>
          <w:noProof/>
          <w:sz w:val="24"/>
          <w:szCs w:val="24"/>
        </w:rPr>
        <w:t>7</w:t>
      </w:r>
      <w:r w:rsidRPr="00F63DC0">
        <w:rPr>
          <w:rFonts w:ascii="Arial" w:hAnsi="Arial" w:cs="Arial"/>
          <w:noProof/>
          <w:sz w:val="24"/>
          <w:szCs w:val="24"/>
        </w:rPr>
        <w:t>(12):1282–90. Doi: 10.4161/hv.7.12.18321.</w:t>
      </w:r>
    </w:p>
    <w:p w14:paraId="1C6FE9B2" w14:textId="6F1C2A1C" w:rsidR="00F63DC0" w:rsidRPr="00F63DC0" w:rsidRDefault="00F63DC0" w:rsidP="00F63DC0">
      <w:pPr>
        <w:widowControl w:val="0"/>
        <w:autoSpaceDE w:val="0"/>
        <w:adjustRightInd w:val="0"/>
        <w:spacing w:line="360" w:lineRule="auto"/>
        <w:ind w:left="640" w:hanging="640"/>
        <w:rPr>
          <w:rFonts w:ascii="Arial" w:hAnsi="Arial" w:cs="Arial"/>
          <w:noProof/>
          <w:sz w:val="24"/>
          <w:szCs w:val="24"/>
        </w:rPr>
      </w:pPr>
      <w:r w:rsidRPr="00F63DC0">
        <w:rPr>
          <w:rFonts w:ascii="Arial" w:hAnsi="Arial" w:cs="Arial"/>
          <w:noProof/>
          <w:sz w:val="24"/>
          <w:szCs w:val="24"/>
        </w:rPr>
        <w:t>5</w:t>
      </w:r>
      <w:r w:rsidR="00631630">
        <w:rPr>
          <w:rFonts w:ascii="Arial" w:hAnsi="Arial" w:cs="Arial"/>
          <w:noProof/>
          <w:sz w:val="24"/>
          <w:szCs w:val="24"/>
        </w:rPr>
        <w:t>.</w:t>
      </w:r>
      <w:r w:rsidRPr="00F63DC0">
        <w:rPr>
          <w:rFonts w:ascii="Arial" w:hAnsi="Arial" w:cs="Arial"/>
          <w:noProof/>
          <w:sz w:val="24"/>
          <w:szCs w:val="24"/>
        </w:rPr>
        <w:tab/>
        <w:t xml:space="preserve">Mavromichalis J., Evans N., McNeish AS., Bryden AS., Davies HA., Flewett TH. Intestinal damage in rotavirus and adenovirus gastroenteritis assessed by d-xylose malabsorption. </w:t>
      </w:r>
      <w:r w:rsidRPr="00F63DC0">
        <w:rPr>
          <w:rFonts w:ascii="Arial" w:hAnsi="Arial" w:cs="Arial"/>
          <w:i/>
          <w:iCs/>
          <w:noProof/>
          <w:sz w:val="24"/>
          <w:szCs w:val="24"/>
        </w:rPr>
        <w:t>Arch Dis Child</w:t>
      </w:r>
      <w:r w:rsidRPr="00F63DC0">
        <w:rPr>
          <w:rFonts w:ascii="Arial" w:hAnsi="Arial" w:cs="Arial"/>
          <w:noProof/>
          <w:sz w:val="24"/>
          <w:szCs w:val="24"/>
        </w:rPr>
        <w:t xml:space="preserve"> 1977;</w:t>
      </w:r>
      <w:r w:rsidRPr="00F63DC0">
        <w:rPr>
          <w:rFonts w:ascii="Arial" w:hAnsi="Arial" w:cs="Arial"/>
          <w:b/>
          <w:bCs/>
          <w:noProof/>
          <w:sz w:val="24"/>
          <w:szCs w:val="24"/>
        </w:rPr>
        <w:t>52</w:t>
      </w:r>
      <w:r w:rsidRPr="00F63DC0">
        <w:rPr>
          <w:rFonts w:ascii="Arial" w:hAnsi="Arial" w:cs="Arial"/>
          <w:noProof/>
          <w:sz w:val="24"/>
          <w:szCs w:val="24"/>
        </w:rPr>
        <w:t>(7):589–91. Doi: 10.1136/adc.52.7.589.</w:t>
      </w:r>
    </w:p>
    <w:p w14:paraId="0C651CD2" w14:textId="26887161" w:rsidR="00F63DC0" w:rsidRPr="00F63DC0" w:rsidRDefault="00F63DC0" w:rsidP="00F63DC0">
      <w:pPr>
        <w:widowControl w:val="0"/>
        <w:autoSpaceDE w:val="0"/>
        <w:adjustRightInd w:val="0"/>
        <w:spacing w:line="360" w:lineRule="auto"/>
        <w:ind w:left="640" w:hanging="640"/>
        <w:rPr>
          <w:rFonts w:ascii="Arial" w:hAnsi="Arial" w:cs="Arial"/>
          <w:noProof/>
          <w:sz w:val="24"/>
          <w:szCs w:val="24"/>
        </w:rPr>
      </w:pPr>
      <w:r w:rsidRPr="00F63DC0">
        <w:rPr>
          <w:rFonts w:ascii="Arial" w:hAnsi="Arial" w:cs="Arial"/>
          <w:noProof/>
          <w:sz w:val="24"/>
          <w:szCs w:val="24"/>
        </w:rPr>
        <w:t>6</w:t>
      </w:r>
      <w:r w:rsidR="00631630">
        <w:rPr>
          <w:rFonts w:ascii="Arial" w:hAnsi="Arial" w:cs="Arial"/>
          <w:noProof/>
          <w:sz w:val="24"/>
          <w:szCs w:val="24"/>
        </w:rPr>
        <w:t>.</w:t>
      </w:r>
      <w:r w:rsidRPr="00F63DC0">
        <w:rPr>
          <w:rFonts w:ascii="Arial" w:hAnsi="Arial" w:cs="Arial"/>
          <w:noProof/>
          <w:sz w:val="24"/>
          <w:szCs w:val="24"/>
        </w:rPr>
        <w:tab/>
        <w:t xml:space="preserve">Hungerford D., Smith K., Tucker A., et al. Population effectiveness of the pentavalent and monovalent rotavirus vaccines: a systematic review and meta-analysis of observational studies. </w:t>
      </w:r>
      <w:r w:rsidRPr="00F63DC0">
        <w:rPr>
          <w:rFonts w:ascii="Arial" w:hAnsi="Arial" w:cs="Arial"/>
          <w:i/>
          <w:iCs/>
          <w:noProof/>
          <w:sz w:val="24"/>
          <w:szCs w:val="24"/>
        </w:rPr>
        <w:t>BMC Infect Dis</w:t>
      </w:r>
      <w:r w:rsidRPr="00F63DC0">
        <w:rPr>
          <w:rFonts w:ascii="Arial" w:hAnsi="Arial" w:cs="Arial"/>
          <w:noProof/>
          <w:sz w:val="24"/>
          <w:szCs w:val="24"/>
        </w:rPr>
        <w:t xml:space="preserve"> 2017;</w:t>
      </w:r>
      <w:r w:rsidRPr="00F63DC0">
        <w:rPr>
          <w:rFonts w:ascii="Arial" w:hAnsi="Arial" w:cs="Arial"/>
          <w:b/>
          <w:bCs/>
          <w:noProof/>
          <w:sz w:val="24"/>
          <w:szCs w:val="24"/>
        </w:rPr>
        <w:t>17</w:t>
      </w:r>
      <w:r w:rsidRPr="00F63DC0">
        <w:rPr>
          <w:rFonts w:ascii="Arial" w:hAnsi="Arial" w:cs="Arial"/>
          <w:noProof/>
          <w:sz w:val="24"/>
          <w:szCs w:val="24"/>
        </w:rPr>
        <w:t>(1):569. Doi: 10.1186/s12879-017-2613-4.</w:t>
      </w:r>
    </w:p>
    <w:p w14:paraId="1E0F5EE3" w14:textId="5B725DCB" w:rsidR="00F63DC0" w:rsidRPr="00F63DC0" w:rsidRDefault="00F63DC0" w:rsidP="00F63DC0">
      <w:pPr>
        <w:widowControl w:val="0"/>
        <w:autoSpaceDE w:val="0"/>
        <w:adjustRightInd w:val="0"/>
        <w:spacing w:line="360" w:lineRule="auto"/>
        <w:ind w:left="640" w:hanging="640"/>
        <w:rPr>
          <w:rFonts w:ascii="Arial" w:hAnsi="Arial" w:cs="Arial"/>
          <w:noProof/>
          <w:sz w:val="24"/>
          <w:szCs w:val="24"/>
        </w:rPr>
      </w:pPr>
      <w:r w:rsidRPr="00F63DC0">
        <w:rPr>
          <w:rFonts w:ascii="Arial" w:hAnsi="Arial" w:cs="Arial"/>
          <w:noProof/>
          <w:sz w:val="24"/>
          <w:szCs w:val="24"/>
        </w:rPr>
        <w:t>7</w:t>
      </w:r>
      <w:r w:rsidR="00631630">
        <w:rPr>
          <w:rFonts w:ascii="Arial" w:hAnsi="Arial" w:cs="Arial"/>
          <w:noProof/>
          <w:sz w:val="24"/>
          <w:szCs w:val="24"/>
        </w:rPr>
        <w:t>.</w:t>
      </w:r>
      <w:r w:rsidRPr="00F63DC0">
        <w:rPr>
          <w:rFonts w:ascii="Arial" w:hAnsi="Arial" w:cs="Arial"/>
          <w:noProof/>
          <w:sz w:val="24"/>
          <w:szCs w:val="24"/>
        </w:rPr>
        <w:tab/>
        <w:t xml:space="preserve">Tate JE., Patel MM., Steele  a D., et al. Global impact of rotavirus vaccines. </w:t>
      </w:r>
      <w:r w:rsidRPr="00F63DC0">
        <w:rPr>
          <w:rFonts w:ascii="Arial" w:hAnsi="Arial" w:cs="Arial"/>
          <w:i/>
          <w:iCs/>
          <w:noProof/>
          <w:sz w:val="24"/>
          <w:szCs w:val="24"/>
        </w:rPr>
        <w:t>Expert Rev Vaccines</w:t>
      </w:r>
      <w:r w:rsidRPr="00F63DC0">
        <w:rPr>
          <w:rFonts w:ascii="Arial" w:hAnsi="Arial" w:cs="Arial"/>
          <w:noProof/>
          <w:sz w:val="24"/>
          <w:szCs w:val="24"/>
        </w:rPr>
        <w:t xml:space="preserve"> 2010;</w:t>
      </w:r>
      <w:r w:rsidRPr="00F63DC0">
        <w:rPr>
          <w:rFonts w:ascii="Arial" w:hAnsi="Arial" w:cs="Arial"/>
          <w:b/>
          <w:bCs/>
          <w:noProof/>
          <w:sz w:val="24"/>
          <w:szCs w:val="24"/>
        </w:rPr>
        <w:t>9</w:t>
      </w:r>
      <w:r w:rsidRPr="00F63DC0">
        <w:rPr>
          <w:rFonts w:ascii="Arial" w:hAnsi="Arial" w:cs="Arial"/>
          <w:noProof/>
          <w:sz w:val="24"/>
          <w:szCs w:val="24"/>
        </w:rPr>
        <w:t>(4):395–407. Doi: 10.1586/erv.10.17.</w:t>
      </w:r>
    </w:p>
    <w:p w14:paraId="4EB7DF97" w14:textId="4D85207E" w:rsidR="00F63DC0" w:rsidRPr="00F63DC0" w:rsidRDefault="00F63DC0" w:rsidP="00F63DC0">
      <w:pPr>
        <w:widowControl w:val="0"/>
        <w:autoSpaceDE w:val="0"/>
        <w:adjustRightInd w:val="0"/>
        <w:spacing w:line="360" w:lineRule="auto"/>
        <w:ind w:left="640" w:hanging="640"/>
        <w:rPr>
          <w:rFonts w:ascii="Arial" w:hAnsi="Arial" w:cs="Arial"/>
          <w:noProof/>
          <w:sz w:val="24"/>
          <w:szCs w:val="24"/>
        </w:rPr>
      </w:pPr>
      <w:r w:rsidRPr="00F63DC0">
        <w:rPr>
          <w:rFonts w:ascii="Arial" w:hAnsi="Arial" w:cs="Arial"/>
          <w:noProof/>
          <w:sz w:val="24"/>
          <w:szCs w:val="24"/>
        </w:rPr>
        <w:t>8</w:t>
      </w:r>
      <w:r w:rsidR="00631630">
        <w:rPr>
          <w:rFonts w:ascii="Arial" w:hAnsi="Arial" w:cs="Arial"/>
          <w:noProof/>
          <w:sz w:val="24"/>
          <w:szCs w:val="24"/>
        </w:rPr>
        <w:t>.</w:t>
      </w:r>
      <w:r w:rsidRPr="00F63DC0">
        <w:rPr>
          <w:rFonts w:ascii="Arial" w:hAnsi="Arial" w:cs="Arial"/>
          <w:noProof/>
          <w:sz w:val="24"/>
          <w:szCs w:val="24"/>
        </w:rPr>
        <w:tab/>
        <w:t xml:space="preserve">Pérez-Vilar S., Díez-Domingo J., López-Lacort M., Martínez-Úbeda S., Martinez-Beneito MA. Effectiveness of rotavirus vaccines, licensed but not funded, against rotavirus hospitalizations in the Valencia Region, Spain. </w:t>
      </w:r>
      <w:r w:rsidRPr="00F63DC0">
        <w:rPr>
          <w:rFonts w:ascii="Arial" w:hAnsi="Arial" w:cs="Arial"/>
          <w:i/>
          <w:iCs/>
          <w:noProof/>
          <w:sz w:val="24"/>
          <w:szCs w:val="24"/>
        </w:rPr>
        <w:t>BMC Infect Dis</w:t>
      </w:r>
      <w:r w:rsidRPr="00F63DC0">
        <w:rPr>
          <w:rFonts w:ascii="Arial" w:hAnsi="Arial" w:cs="Arial"/>
          <w:noProof/>
          <w:sz w:val="24"/>
          <w:szCs w:val="24"/>
        </w:rPr>
        <w:t xml:space="preserve"> 2015;</w:t>
      </w:r>
      <w:r w:rsidRPr="00F63DC0">
        <w:rPr>
          <w:rFonts w:ascii="Arial" w:hAnsi="Arial" w:cs="Arial"/>
          <w:b/>
          <w:bCs/>
          <w:noProof/>
          <w:sz w:val="24"/>
          <w:szCs w:val="24"/>
        </w:rPr>
        <w:t>15</w:t>
      </w:r>
      <w:r w:rsidRPr="00F63DC0">
        <w:rPr>
          <w:rFonts w:ascii="Arial" w:hAnsi="Arial" w:cs="Arial"/>
          <w:noProof/>
          <w:sz w:val="24"/>
          <w:szCs w:val="24"/>
        </w:rPr>
        <w:t>:92. Doi: 10.1186/s12879-015-0811-5.</w:t>
      </w:r>
    </w:p>
    <w:p w14:paraId="7F097560" w14:textId="073C6342" w:rsidR="00F63DC0" w:rsidRDefault="00F63DC0" w:rsidP="00F63DC0">
      <w:pPr>
        <w:widowControl w:val="0"/>
        <w:autoSpaceDE w:val="0"/>
        <w:adjustRightInd w:val="0"/>
        <w:spacing w:line="360" w:lineRule="auto"/>
        <w:ind w:left="640" w:hanging="640"/>
        <w:rPr>
          <w:rFonts w:ascii="Arial" w:hAnsi="Arial" w:cs="Arial"/>
          <w:noProof/>
          <w:sz w:val="24"/>
          <w:szCs w:val="24"/>
        </w:rPr>
      </w:pPr>
      <w:r w:rsidRPr="00F63DC0">
        <w:rPr>
          <w:rFonts w:ascii="Arial" w:hAnsi="Arial" w:cs="Arial"/>
          <w:noProof/>
          <w:sz w:val="24"/>
          <w:szCs w:val="24"/>
        </w:rPr>
        <w:t>9</w:t>
      </w:r>
      <w:r w:rsidR="00631630">
        <w:rPr>
          <w:rFonts w:ascii="Arial" w:hAnsi="Arial" w:cs="Arial"/>
          <w:noProof/>
          <w:sz w:val="24"/>
          <w:szCs w:val="24"/>
        </w:rPr>
        <w:t>.</w:t>
      </w:r>
      <w:r w:rsidRPr="00F63DC0">
        <w:rPr>
          <w:rFonts w:ascii="Arial" w:hAnsi="Arial" w:cs="Arial"/>
          <w:noProof/>
          <w:sz w:val="24"/>
          <w:szCs w:val="24"/>
        </w:rPr>
        <w:tab/>
        <w:t xml:space="preserve">Marlow R., Finn A. Introduction of immunisation against rotavirus in the UK. </w:t>
      </w:r>
      <w:r w:rsidRPr="00F63DC0">
        <w:rPr>
          <w:rFonts w:ascii="Arial" w:hAnsi="Arial" w:cs="Arial"/>
          <w:i/>
          <w:iCs/>
          <w:noProof/>
          <w:sz w:val="24"/>
          <w:szCs w:val="24"/>
        </w:rPr>
        <w:t>Prescriber</w:t>
      </w:r>
      <w:r w:rsidRPr="00F63DC0">
        <w:rPr>
          <w:rFonts w:ascii="Arial" w:hAnsi="Arial" w:cs="Arial"/>
          <w:noProof/>
          <w:sz w:val="24"/>
          <w:szCs w:val="24"/>
        </w:rPr>
        <w:t xml:space="preserve"> 2013;</w:t>
      </w:r>
      <w:r w:rsidRPr="00F63DC0">
        <w:rPr>
          <w:rFonts w:ascii="Arial" w:hAnsi="Arial" w:cs="Arial"/>
          <w:b/>
          <w:bCs/>
          <w:noProof/>
          <w:sz w:val="24"/>
          <w:szCs w:val="24"/>
        </w:rPr>
        <w:t>5 February</w:t>
      </w:r>
      <w:r w:rsidRPr="00F63DC0">
        <w:rPr>
          <w:rFonts w:ascii="Arial" w:hAnsi="Arial" w:cs="Arial"/>
          <w:noProof/>
          <w:sz w:val="24"/>
          <w:szCs w:val="24"/>
        </w:rPr>
        <w:t>:6–7. Doi: 10.1002/psb.1008.</w:t>
      </w:r>
    </w:p>
    <w:p w14:paraId="5402C64E" w14:textId="77777777" w:rsidR="00631630" w:rsidRDefault="00631630" w:rsidP="00631630">
      <w:pPr>
        <w:widowControl w:val="0"/>
        <w:suppressAutoHyphens w:val="0"/>
        <w:autoSpaceDE w:val="0"/>
        <w:adjustRightInd w:val="0"/>
        <w:spacing w:after="0"/>
        <w:textAlignment w:val="auto"/>
        <w:rPr>
          <w:rFonts w:ascii="Arial" w:hAnsi="Arial" w:cs="Arial"/>
          <w:bCs/>
          <w:sz w:val="24"/>
          <w:szCs w:val="24"/>
          <w:lang w:val="en-US"/>
        </w:rPr>
      </w:pPr>
      <w:r w:rsidRPr="00631630">
        <w:rPr>
          <w:rFonts w:ascii="Arial" w:hAnsi="Arial" w:cs="Arial"/>
          <w:bCs/>
          <w:sz w:val="24"/>
          <w:szCs w:val="24"/>
          <w:lang w:val="en-US"/>
        </w:rPr>
        <w:t>10.</w:t>
      </w:r>
      <w:r w:rsidRPr="00631630">
        <w:rPr>
          <w:rFonts w:ascii="Arial" w:hAnsi="Arial" w:cs="Arial"/>
          <w:bCs/>
          <w:sz w:val="24"/>
          <w:szCs w:val="24"/>
          <w:lang w:val="en-US"/>
        </w:rPr>
        <w:tab/>
        <w:t>Hungerford D</w:t>
      </w:r>
      <w:r w:rsidRPr="00631630">
        <w:rPr>
          <w:rFonts w:ascii="Arial" w:hAnsi="Arial" w:cs="Arial"/>
          <w:sz w:val="24"/>
          <w:szCs w:val="24"/>
          <w:lang w:val="en-US"/>
        </w:rPr>
        <w:t xml:space="preserve">, Read JM, Cooke RP, Vivancos R, Iturriza-Gómara M, Allen DJ, </w:t>
      </w:r>
      <w:r>
        <w:rPr>
          <w:rFonts w:ascii="Arial" w:hAnsi="Arial" w:cs="Arial"/>
          <w:sz w:val="24"/>
          <w:szCs w:val="24"/>
          <w:lang w:val="en-US"/>
        </w:rPr>
        <w:tab/>
      </w:r>
      <w:r w:rsidRPr="00631630">
        <w:rPr>
          <w:rFonts w:ascii="Arial" w:hAnsi="Arial" w:cs="Arial"/>
          <w:sz w:val="24"/>
          <w:szCs w:val="24"/>
          <w:lang w:val="en-US"/>
        </w:rPr>
        <w:t xml:space="preserve">French N, </w:t>
      </w:r>
      <w:r w:rsidRPr="00631630">
        <w:rPr>
          <w:rFonts w:ascii="Arial" w:hAnsi="Arial" w:cs="Arial"/>
          <w:bCs/>
          <w:sz w:val="24"/>
          <w:szCs w:val="24"/>
          <w:lang w:val="en-US"/>
        </w:rPr>
        <w:t>Cunliffe</w:t>
      </w:r>
      <w:r w:rsidRPr="00631630">
        <w:rPr>
          <w:rFonts w:ascii="Arial" w:hAnsi="Arial" w:cs="Arial"/>
          <w:sz w:val="24"/>
          <w:szCs w:val="24"/>
          <w:lang w:val="en-US"/>
        </w:rPr>
        <w:t xml:space="preserve"> N.  </w:t>
      </w:r>
      <w:r w:rsidR="006F3644" w:rsidRPr="00631630">
        <w:rPr>
          <w:rFonts w:ascii="Arial" w:hAnsi="Arial" w:cs="Arial"/>
          <w:bCs/>
          <w:sz w:val="24"/>
          <w:szCs w:val="24"/>
          <w:lang w:val="en-US"/>
        </w:rPr>
        <w:t xml:space="preserve">Early impact of rotavirus vaccination in a large </w:t>
      </w:r>
    </w:p>
    <w:p w14:paraId="443EAA33" w14:textId="512BA13B" w:rsidR="006F3644" w:rsidRPr="00631630" w:rsidRDefault="00631630" w:rsidP="00631630">
      <w:pPr>
        <w:widowControl w:val="0"/>
        <w:suppressAutoHyphens w:val="0"/>
        <w:autoSpaceDE w:val="0"/>
        <w:adjustRightInd w:val="0"/>
        <w:spacing w:after="0"/>
        <w:textAlignment w:val="auto"/>
        <w:rPr>
          <w:rFonts w:ascii="Arial" w:hAnsi="Arial" w:cs="Arial"/>
          <w:sz w:val="24"/>
          <w:szCs w:val="24"/>
          <w:lang w:val="en-US"/>
        </w:rPr>
      </w:pPr>
      <w:r>
        <w:rPr>
          <w:rFonts w:ascii="Arial" w:hAnsi="Arial" w:cs="Arial"/>
          <w:bCs/>
          <w:sz w:val="24"/>
          <w:szCs w:val="24"/>
          <w:lang w:val="en-US"/>
        </w:rPr>
        <w:tab/>
      </w:r>
      <w:r w:rsidR="006F3644" w:rsidRPr="00631630">
        <w:rPr>
          <w:rFonts w:ascii="Arial" w:hAnsi="Arial" w:cs="Arial"/>
          <w:bCs/>
          <w:sz w:val="24"/>
          <w:szCs w:val="24"/>
          <w:lang w:val="en-US"/>
        </w:rPr>
        <w:t>pae</w:t>
      </w:r>
      <w:r>
        <w:rPr>
          <w:rFonts w:ascii="Arial" w:hAnsi="Arial" w:cs="Arial"/>
          <w:bCs/>
          <w:sz w:val="24"/>
          <w:szCs w:val="24"/>
          <w:lang w:val="en-US"/>
        </w:rPr>
        <w:t>diat</w:t>
      </w:r>
      <w:r w:rsidR="006F3644" w:rsidRPr="00631630">
        <w:rPr>
          <w:rFonts w:ascii="Arial" w:hAnsi="Arial" w:cs="Arial"/>
          <w:bCs/>
          <w:sz w:val="24"/>
          <w:szCs w:val="24"/>
          <w:lang w:val="en-US"/>
        </w:rPr>
        <w:t>ric hos</w:t>
      </w:r>
      <w:r>
        <w:rPr>
          <w:rFonts w:ascii="Arial" w:hAnsi="Arial" w:cs="Arial"/>
          <w:bCs/>
          <w:sz w:val="24"/>
          <w:szCs w:val="24"/>
          <w:lang w:val="en-US"/>
        </w:rPr>
        <w:t xml:space="preserve">pital in the UK. </w:t>
      </w:r>
      <w:r w:rsidR="006F3644" w:rsidRPr="00631630">
        <w:rPr>
          <w:rFonts w:ascii="Arial" w:hAnsi="Arial" w:cs="Arial"/>
          <w:i/>
          <w:sz w:val="24"/>
          <w:szCs w:val="24"/>
          <w:lang w:val="en-US"/>
        </w:rPr>
        <w:t xml:space="preserve">J Hosp Infect. </w:t>
      </w:r>
      <w:r w:rsidR="006F3644" w:rsidRPr="00631630">
        <w:rPr>
          <w:rFonts w:ascii="Arial" w:hAnsi="Arial" w:cs="Arial"/>
          <w:sz w:val="24"/>
          <w:szCs w:val="24"/>
          <w:lang w:val="en-US"/>
        </w:rPr>
        <w:t xml:space="preserve">2016 Jun;93(2):117-20. </w:t>
      </w:r>
    </w:p>
    <w:p w14:paraId="7E772A17" w14:textId="766F92F3" w:rsidR="00F63DC0" w:rsidRPr="000263D7" w:rsidRDefault="00F63DC0" w:rsidP="00F63DC0">
      <w:pPr>
        <w:spacing w:line="360" w:lineRule="auto"/>
        <w:rPr>
          <w:rFonts w:asciiTheme="minorBidi" w:hAnsiTheme="minorBidi" w:cstheme="minorBidi"/>
          <w:sz w:val="24"/>
          <w:szCs w:val="24"/>
        </w:rPr>
      </w:pPr>
      <w:r>
        <w:rPr>
          <w:rFonts w:asciiTheme="minorBidi" w:hAnsiTheme="minorBidi" w:cstheme="minorBidi"/>
          <w:sz w:val="24"/>
          <w:szCs w:val="24"/>
        </w:rPr>
        <w:fldChar w:fldCharType="end"/>
      </w:r>
    </w:p>
    <w:sectPr w:rsidR="00F63DC0" w:rsidRPr="000263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2A1B" w14:textId="77777777" w:rsidR="00667D54" w:rsidRDefault="00667D54">
      <w:pPr>
        <w:spacing w:after="0"/>
      </w:pPr>
      <w:r>
        <w:separator/>
      </w:r>
    </w:p>
  </w:endnote>
  <w:endnote w:type="continuationSeparator" w:id="0">
    <w:p w14:paraId="1B4B4BE8" w14:textId="77777777" w:rsidR="00667D54" w:rsidRDefault="00667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F74AC" w14:textId="77777777" w:rsidR="00667D54" w:rsidRDefault="00667D54">
      <w:pPr>
        <w:spacing w:after="0"/>
      </w:pPr>
      <w:r>
        <w:rPr>
          <w:color w:val="000000"/>
        </w:rPr>
        <w:separator/>
      </w:r>
    </w:p>
  </w:footnote>
  <w:footnote w:type="continuationSeparator" w:id="0">
    <w:p w14:paraId="3BAF4C71" w14:textId="77777777" w:rsidR="00667D54" w:rsidRDefault="00667D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22E"/>
    <w:multiLevelType w:val="multilevel"/>
    <w:tmpl w:val="2CB45A6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BF735B"/>
    <w:multiLevelType w:val="multilevel"/>
    <w:tmpl w:val="6CFA3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EB"/>
    <w:rsid w:val="00025CBC"/>
    <w:rsid w:val="000263D7"/>
    <w:rsid w:val="00040704"/>
    <w:rsid w:val="00056953"/>
    <w:rsid w:val="0007086E"/>
    <w:rsid w:val="00074733"/>
    <w:rsid w:val="00083978"/>
    <w:rsid w:val="000910DD"/>
    <w:rsid w:val="0009251E"/>
    <w:rsid w:val="00114E8F"/>
    <w:rsid w:val="0014350B"/>
    <w:rsid w:val="00166357"/>
    <w:rsid w:val="00173F5A"/>
    <w:rsid w:val="001C79EE"/>
    <w:rsid w:val="001D7C42"/>
    <w:rsid w:val="00230B53"/>
    <w:rsid w:val="002342A6"/>
    <w:rsid w:val="0024548A"/>
    <w:rsid w:val="0028471E"/>
    <w:rsid w:val="00292FC6"/>
    <w:rsid w:val="00297C0A"/>
    <w:rsid w:val="002D10C0"/>
    <w:rsid w:val="002F2043"/>
    <w:rsid w:val="00317903"/>
    <w:rsid w:val="003346F3"/>
    <w:rsid w:val="00336617"/>
    <w:rsid w:val="00346CB9"/>
    <w:rsid w:val="00395B6C"/>
    <w:rsid w:val="003A2D1E"/>
    <w:rsid w:val="003A421A"/>
    <w:rsid w:val="003B3D42"/>
    <w:rsid w:val="003C02FF"/>
    <w:rsid w:val="003D0191"/>
    <w:rsid w:val="003D14DD"/>
    <w:rsid w:val="003E41A5"/>
    <w:rsid w:val="004340BB"/>
    <w:rsid w:val="004363BC"/>
    <w:rsid w:val="004511C5"/>
    <w:rsid w:val="004B3F37"/>
    <w:rsid w:val="004C5760"/>
    <w:rsid w:val="004F5568"/>
    <w:rsid w:val="00503A1D"/>
    <w:rsid w:val="00514E44"/>
    <w:rsid w:val="005A7C9A"/>
    <w:rsid w:val="005B2208"/>
    <w:rsid w:val="005C3A6B"/>
    <w:rsid w:val="005F08C1"/>
    <w:rsid w:val="00602B14"/>
    <w:rsid w:val="006047CF"/>
    <w:rsid w:val="0060647C"/>
    <w:rsid w:val="0061780E"/>
    <w:rsid w:val="00631630"/>
    <w:rsid w:val="00636A8C"/>
    <w:rsid w:val="00665CC5"/>
    <w:rsid w:val="00667D54"/>
    <w:rsid w:val="006A3B29"/>
    <w:rsid w:val="006B5EE9"/>
    <w:rsid w:val="006C68B4"/>
    <w:rsid w:val="006E75B2"/>
    <w:rsid w:val="006F3644"/>
    <w:rsid w:val="007044F8"/>
    <w:rsid w:val="007063C4"/>
    <w:rsid w:val="00720529"/>
    <w:rsid w:val="007464D5"/>
    <w:rsid w:val="00756D8F"/>
    <w:rsid w:val="0076415D"/>
    <w:rsid w:val="007719CB"/>
    <w:rsid w:val="007A1953"/>
    <w:rsid w:val="00805E99"/>
    <w:rsid w:val="00813747"/>
    <w:rsid w:val="00835976"/>
    <w:rsid w:val="008903D8"/>
    <w:rsid w:val="008C4DC4"/>
    <w:rsid w:val="0090314B"/>
    <w:rsid w:val="00904DAF"/>
    <w:rsid w:val="00996785"/>
    <w:rsid w:val="00A604C4"/>
    <w:rsid w:val="00A62A9E"/>
    <w:rsid w:val="00A71F14"/>
    <w:rsid w:val="00A85FF8"/>
    <w:rsid w:val="00A92B44"/>
    <w:rsid w:val="00AA690F"/>
    <w:rsid w:val="00AB5421"/>
    <w:rsid w:val="00B1499A"/>
    <w:rsid w:val="00B317CA"/>
    <w:rsid w:val="00B52E82"/>
    <w:rsid w:val="00B550EB"/>
    <w:rsid w:val="00B91CE9"/>
    <w:rsid w:val="00B975DC"/>
    <w:rsid w:val="00BD3DD3"/>
    <w:rsid w:val="00BE3B64"/>
    <w:rsid w:val="00BE532A"/>
    <w:rsid w:val="00BF6FF5"/>
    <w:rsid w:val="00C0581C"/>
    <w:rsid w:val="00C87C87"/>
    <w:rsid w:val="00C94738"/>
    <w:rsid w:val="00CE6D43"/>
    <w:rsid w:val="00CF4C91"/>
    <w:rsid w:val="00D02EE6"/>
    <w:rsid w:val="00D15DD6"/>
    <w:rsid w:val="00D17170"/>
    <w:rsid w:val="00DD56B0"/>
    <w:rsid w:val="00E06354"/>
    <w:rsid w:val="00E467EA"/>
    <w:rsid w:val="00E5761F"/>
    <w:rsid w:val="00E60976"/>
    <w:rsid w:val="00E938A6"/>
    <w:rsid w:val="00F07D2E"/>
    <w:rsid w:val="00F129A4"/>
    <w:rsid w:val="00F31D8B"/>
    <w:rsid w:val="00F425B5"/>
    <w:rsid w:val="00F63DC0"/>
    <w:rsid w:val="00FA0559"/>
    <w:rsid w:val="00FC24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DAD37"/>
  <w15:docId w15:val="{CAA1BA7C-9C8B-4CB8-BD75-F0250493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suppressAutoHyphens w:val="0"/>
      <w:spacing w:after="200" w:line="276" w:lineRule="auto"/>
      <w:ind w:left="720"/>
      <w:textAlignment w:val="auto"/>
    </w:pPr>
  </w:style>
  <w:style w:type="table" w:styleId="TableGrid">
    <w:name w:val="Table Grid"/>
    <w:basedOn w:val="TableNormal"/>
    <w:uiPriority w:val="39"/>
    <w:rsid w:val="00835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1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4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B7E5931-15C6-463D-8C41-37BAD1F0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5718</Words>
  <Characters>32596</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Akhtar Taslim</dc:creator>
  <cp:lastModifiedBy>Cunliffe, Nigel</cp:lastModifiedBy>
  <cp:revision>2</cp:revision>
  <dcterms:created xsi:type="dcterms:W3CDTF">2018-02-10T15:48:00Z</dcterms:created>
  <dcterms:modified xsi:type="dcterms:W3CDTF">2018-02-10T15:48:00Z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http://www.zotero.org/styles/journal-of-hospital-infection</vt:lpwstr>
  </property>
  <property fmtid="{D5CDD505-2E9C-101B-9397-08002B2CF9AE}" pid="13" name="Mendeley Recent Style Name 5_1">
    <vt:lpwstr>Journal of Hospital Infection</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http://www.zotero.org/styles/journal-of-hospital-infection</vt:lpwstr>
  </property>
  <property fmtid="{D5CDD505-2E9C-101B-9397-08002B2CF9AE}" pid="24" name="Mendeley Unique User Id_1">
    <vt:lpwstr>f3d7b4da-b966-3f63-8203-2547bca47b07</vt:lpwstr>
  </property>
</Properties>
</file>