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837" w:rsidRPr="00277CA4" w:rsidRDefault="00093837" w:rsidP="00B71E2F">
      <w:pPr>
        <w:spacing w:after="0" w:line="480" w:lineRule="auto"/>
        <w:jc w:val="both"/>
        <w:rPr>
          <w:rFonts w:ascii="Arial" w:hAnsi="Arial" w:cs="Arial"/>
          <w:b/>
        </w:rPr>
      </w:pPr>
      <w:bookmarkStart w:id="0" w:name="OLE_LINK3"/>
      <w:bookmarkStart w:id="1" w:name="OLE_LINK4"/>
      <w:bookmarkStart w:id="2" w:name="OLE_LINK5"/>
      <w:proofErr w:type="gramStart"/>
      <w:r w:rsidRPr="00277CA4">
        <w:rPr>
          <w:rFonts w:ascii="Arial" w:hAnsi="Arial" w:cs="Arial"/>
          <w:b/>
        </w:rPr>
        <w:t>Comparison of piperacillin exposure in the lung of critically ill patients and healthy volunteers.</w:t>
      </w:r>
      <w:proofErr w:type="gramEnd"/>
      <w:r w:rsidRPr="00277CA4">
        <w:rPr>
          <w:rFonts w:ascii="Arial" w:hAnsi="Arial" w:cs="Arial"/>
          <w:b/>
        </w:rPr>
        <w:t xml:space="preserve"> </w:t>
      </w:r>
    </w:p>
    <w:bookmarkEnd w:id="0"/>
    <w:bookmarkEnd w:id="1"/>
    <w:bookmarkEnd w:id="2"/>
    <w:p w:rsidR="00093837" w:rsidRPr="00277CA4" w:rsidRDefault="00093837" w:rsidP="00B71E2F">
      <w:pPr>
        <w:spacing w:after="0" w:line="480" w:lineRule="auto"/>
        <w:jc w:val="both"/>
        <w:rPr>
          <w:rFonts w:ascii="Arial" w:hAnsi="Arial" w:cs="Arial"/>
          <w:u w:val="single"/>
        </w:rPr>
      </w:pPr>
    </w:p>
    <w:p w:rsidR="00093837" w:rsidRPr="00277CA4" w:rsidRDefault="00093837" w:rsidP="00B71E2F">
      <w:pPr>
        <w:spacing w:after="0" w:line="480" w:lineRule="auto"/>
        <w:jc w:val="both"/>
        <w:rPr>
          <w:rFonts w:ascii="Arial" w:hAnsi="Arial" w:cs="Arial"/>
        </w:rPr>
      </w:pPr>
      <w:r w:rsidRPr="00277CA4">
        <w:rPr>
          <w:rFonts w:ascii="Arial" w:hAnsi="Arial" w:cs="Arial"/>
          <w:u w:val="single"/>
        </w:rPr>
        <w:t>Short title</w:t>
      </w:r>
      <w:r w:rsidRPr="00277CA4">
        <w:rPr>
          <w:rFonts w:ascii="Arial" w:hAnsi="Arial" w:cs="Arial"/>
        </w:rPr>
        <w:t>: Pulmonary piperacillin penetration</w:t>
      </w:r>
    </w:p>
    <w:p w:rsidR="00093837" w:rsidRPr="00277CA4" w:rsidRDefault="00093837" w:rsidP="00B71E2F">
      <w:pPr>
        <w:spacing w:after="0" w:line="480" w:lineRule="auto"/>
        <w:jc w:val="both"/>
        <w:rPr>
          <w:rFonts w:ascii="Arial" w:hAnsi="Arial" w:cs="Arial"/>
        </w:rPr>
      </w:pPr>
    </w:p>
    <w:p w:rsidR="00093837" w:rsidRPr="00277CA4" w:rsidRDefault="00093837" w:rsidP="00B71E2F">
      <w:pPr>
        <w:spacing w:after="0" w:line="480" w:lineRule="auto"/>
        <w:jc w:val="both"/>
        <w:rPr>
          <w:rFonts w:ascii="Arial" w:hAnsi="Arial" w:cs="Arial"/>
        </w:rPr>
      </w:pPr>
      <w:r w:rsidRPr="00277CA4">
        <w:rPr>
          <w:rFonts w:ascii="Arial" w:hAnsi="Arial" w:cs="Arial"/>
        </w:rPr>
        <w:t>TW Felton</w:t>
      </w:r>
      <w:r w:rsidRPr="00277CA4">
        <w:rPr>
          <w:rFonts w:ascii="Arial" w:hAnsi="Arial" w:cs="Arial"/>
          <w:vertAlign w:val="superscript"/>
        </w:rPr>
        <w:t>1</w:t>
      </w:r>
      <w:proofErr w:type="gramStart"/>
      <w:r w:rsidRPr="00277CA4">
        <w:rPr>
          <w:rFonts w:ascii="Arial" w:hAnsi="Arial" w:cs="Arial"/>
          <w:vertAlign w:val="superscript"/>
        </w:rPr>
        <w:t>,2</w:t>
      </w:r>
      <w:proofErr w:type="gramEnd"/>
      <w:r w:rsidRPr="00277CA4">
        <w:rPr>
          <w:rFonts w:ascii="Arial" w:hAnsi="Arial" w:cs="Arial"/>
          <w:vertAlign w:val="superscript"/>
        </w:rPr>
        <w:t>*</w:t>
      </w:r>
      <w:r w:rsidRPr="00277CA4">
        <w:rPr>
          <w:rFonts w:ascii="Arial" w:hAnsi="Arial" w:cs="Arial"/>
        </w:rPr>
        <w:t>, K Ogungbenro</w:t>
      </w:r>
      <w:r w:rsidRPr="00277CA4">
        <w:rPr>
          <w:rFonts w:ascii="Arial" w:hAnsi="Arial" w:cs="Arial"/>
          <w:vertAlign w:val="superscript"/>
        </w:rPr>
        <w:t>3</w:t>
      </w:r>
      <w:r w:rsidRPr="00277CA4">
        <w:rPr>
          <w:rFonts w:ascii="Arial" w:hAnsi="Arial" w:cs="Arial"/>
        </w:rPr>
        <w:t>, E Boselli</w:t>
      </w:r>
      <w:r w:rsidRPr="00277CA4">
        <w:rPr>
          <w:rFonts w:ascii="Arial" w:hAnsi="Arial" w:cs="Arial"/>
          <w:vertAlign w:val="superscript"/>
        </w:rPr>
        <w:t>4</w:t>
      </w:r>
      <w:r w:rsidRPr="00277CA4">
        <w:rPr>
          <w:rFonts w:ascii="Arial" w:hAnsi="Arial" w:cs="Arial"/>
        </w:rPr>
        <w:t>, WW Hope</w:t>
      </w:r>
      <w:r w:rsidRPr="00277CA4">
        <w:rPr>
          <w:rFonts w:ascii="Arial" w:hAnsi="Arial" w:cs="Arial"/>
          <w:vertAlign w:val="superscript"/>
        </w:rPr>
        <w:t>5</w:t>
      </w:r>
      <w:r w:rsidRPr="00277CA4">
        <w:rPr>
          <w:rFonts w:ascii="Arial" w:hAnsi="Arial" w:cs="Arial"/>
        </w:rPr>
        <w:t>, KA Rodvold</w:t>
      </w:r>
      <w:r w:rsidRPr="00277CA4">
        <w:rPr>
          <w:rFonts w:ascii="Arial" w:hAnsi="Arial" w:cs="Arial"/>
          <w:vertAlign w:val="superscript"/>
        </w:rPr>
        <w:t>6</w:t>
      </w:r>
    </w:p>
    <w:p w:rsidR="00093837" w:rsidRPr="00277CA4" w:rsidRDefault="00093837" w:rsidP="00B71E2F">
      <w:pPr>
        <w:spacing w:after="0" w:line="480" w:lineRule="auto"/>
        <w:jc w:val="both"/>
        <w:rPr>
          <w:rFonts w:ascii="Arial" w:hAnsi="Arial" w:cs="Arial"/>
        </w:rPr>
      </w:pPr>
      <w:r w:rsidRPr="00277CA4">
        <w:rPr>
          <w:rFonts w:ascii="Arial" w:hAnsi="Arial" w:cs="Arial"/>
          <w:vertAlign w:val="superscript"/>
        </w:rPr>
        <w:t>1</w:t>
      </w:r>
      <w:r w:rsidRPr="00277CA4">
        <w:rPr>
          <w:rFonts w:ascii="Arial" w:hAnsi="Arial" w:cs="Arial"/>
        </w:rPr>
        <w:t xml:space="preserve">Division of Infection, Immunity and Respiratory Medicine, </w:t>
      </w:r>
      <w:proofErr w:type="gramStart"/>
      <w:r w:rsidRPr="00277CA4">
        <w:rPr>
          <w:rFonts w:ascii="Arial" w:hAnsi="Arial" w:cs="Arial"/>
        </w:rPr>
        <w:t>The</w:t>
      </w:r>
      <w:proofErr w:type="gramEnd"/>
      <w:r w:rsidRPr="00277CA4">
        <w:rPr>
          <w:rFonts w:ascii="Arial" w:hAnsi="Arial" w:cs="Arial"/>
        </w:rPr>
        <w:t xml:space="preserve"> University of Manchester, Manchester, UK.</w:t>
      </w:r>
    </w:p>
    <w:p w:rsidR="00093837" w:rsidRPr="00277CA4" w:rsidRDefault="00093837" w:rsidP="00B71E2F">
      <w:pPr>
        <w:spacing w:after="0" w:line="480" w:lineRule="auto"/>
        <w:jc w:val="both"/>
        <w:rPr>
          <w:rFonts w:ascii="Arial" w:hAnsi="Arial" w:cs="Arial"/>
        </w:rPr>
      </w:pPr>
      <w:proofErr w:type="gramStart"/>
      <w:r w:rsidRPr="00277CA4">
        <w:rPr>
          <w:rFonts w:ascii="Arial" w:hAnsi="Arial" w:cs="Arial"/>
          <w:vertAlign w:val="superscript"/>
        </w:rPr>
        <w:t>2</w:t>
      </w:r>
      <w:r w:rsidRPr="00277CA4">
        <w:rPr>
          <w:rFonts w:ascii="Arial" w:hAnsi="Arial" w:cs="Arial"/>
        </w:rPr>
        <w:t>Acute Intensive Care Unit, Manchester University NHS Foundation Trust, Manchester, UK.</w:t>
      </w:r>
      <w:proofErr w:type="gramEnd"/>
    </w:p>
    <w:p w:rsidR="00093837" w:rsidRPr="00277CA4" w:rsidRDefault="00093837" w:rsidP="00B71E2F">
      <w:pPr>
        <w:spacing w:after="0" w:line="480" w:lineRule="auto"/>
        <w:jc w:val="both"/>
        <w:rPr>
          <w:rFonts w:ascii="Arial" w:hAnsi="Arial" w:cs="Arial"/>
        </w:rPr>
      </w:pPr>
      <w:r w:rsidRPr="00277CA4">
        <w:rPr>
          <w:rFonts w:ascii="Arial" w:hAnsi="Arial" w:cs="Arial"/>
          <w:vertAlign w:val="superscript"/>
        </w:rPr>
        <w:t>3</w:t>
      </w:r>
      <w:r w:rsidRPr="00277CA4">
        <w:rPr>
          <w:rFonts w:ascii="Arial" w:hAnsi="Arial" w:cs="Arial"/>
        </w:rPr>
        <w:t xml:space="preserve">Division of Pharmacy and Optometry, </w:t>
      </w:r>
      <w:proofErr w:type="gramStart"/>
      <w:r w:rsidRPr="00277CA4">
        <w:rPr>
          <w:rFonts w:ascii="Arial" w:hAnsi="Arial" w:cs="Arial"/>
        </w:rPr>
        <w:t>The</w:t>
      </w:r>
      <w:proofErr w:type="gramEnd"/>
      <w:r w:rsidRPr="00277CA4">
        <w:rPr>
          <w:rFonts w:ascii="Arial" w:hAnsi="Arial" w:cs="Arial"/>
        </w:rPr>
        <w:t xml:space="preserve"> University of Manchester, Manchester, UK.</w:t>
      </w:r>
    </w:p>
    <w:p w:rsidR="00093837" w:rsidRPr="00277CA4" w:rsidRDefault="00093837" w:rsidP="00F56F31">
      <w:pPr>
        <w:rPr>
          <w:rFonts w:ascii="Arial" w:hAnsi="Arial" w:cs="Arial"/>
        </w:rPr>
      </w:pPr>
      <w:proofErr w:type="gramStart"/>
      <w:r w:rsidRPr="00277CA4">
        <w:rPr>
          <w:rFonts w:ascii="Arial" w:hAnsi="Arial" w:cs="Arial"/>
          <w:vertAlign w:val="superscript"/>
        </w:rPr>
        <w:t>4</w:t>
      </w:r>
      <w:r w:rsidRPr="00277CA4">
        <w:rPr>
          <w:rFonts w:ascii="Arial" w:hAnsi="Arial" w:cs="Arial"/>
        </w:rPr>
        <w:t xml:space="preserve">APCSe UPSP 2016.A101, </w:t>
      </w:r>
      <w:proofErr w:type="spellStart"/>
      <w:r w:rsidRPr="00277CA4">
        <w:rPr>
          <w:rFonts w:ascii="Arial" w:hAnsi="Arial" w:cs="Arial"/>
        </w:rPr>
        <w:t>VetAgro</w:t>
      </w:r>
      <w:proofErr w:type="spellEnd"/>
      <w:r w:rsidRPr="00277CA4">
        <w:rPr>
          <w:rFonts w:ascii="Arial" w:hAnsi="Arial" w:cs="Arial"/>
        </w:rPr>
        <w:t xml:space="preserve"> Sup, University Lyon I Claude Bernard, University of Lyon, Lyon, France.</w:t>
      </w:r>
      <w:proofErr w:type="gramEnd"/>
    </w:p>
    <w:p w:rsidR="00093837" w:rsidRPr="00277CA4" w:rsidRDefault="00093837" w:rsidP="00B71E2F">
      <w:pPr>
        <w:spacing w:after="0" w:line="480" w:lineRule="auto"/>
        <w:jc w:val="both"/>
        <w:rPr>
          <w:rFonts w:ascii="Arial" w:hAnsi="Arial" w:cs="Arial"/>
        </w:rPr>
      </w:pPr>
      <w:proofErr w:type="gramStart"/>
      <w:r w:rsidRPr="00277CA4">
        <w:rPr>
          <w:rFonts w:ascii="Arial" w:hAnsi="Arial" w:cs="Arial"/>
          <w:vertAlign w:val="superscript"/>
        </w:rPr>
        <w:t>5</w:t>
      </w:r>
      <w:r w:rsidRPr="00277CA4">
        <w:rPr>
          <w:rFonts w:ascii="Arial" w:hAnsi="Arial" w:cs="Arial"/>
        </w:rPr>
        <w:t>Department of Molecular and Clinical Pharmacology, University of Liverpool, Liverpool, UK.</w:t>
      </w:r>
      <w:proofErr w:type="gramEnd"/>
    </w:p>
    <w:p w:rsidR="00093837" w:rsidRPr="00277CA4" w:rsidRDefault="00093837" w:rsidP="00B71E2F">
      <w:pPr>
        <w:spacing w:after="0" w:line="480" w:lineRule="auto"/>
        <w:jc w:val="both"/>
        <w:rPr>
          <w:rFonts w:ascii="Arial" w:hAnsi="Arial" w:cs="Arial"/>
        </w:rPr>
      </w:pPr>
      <w:proofErr w:type="gramStart"/>
      <w:r w:rsidRPr="00277CA4">
        <w:rPr>
          <w:rFonts w:ascii="Arial" w:hAnsi="Arial" w:cs="Arial"/>
          <w:vertAlign w:val="superscript"/>
        </w:rPr>
        <w:t>6</w:t>
      </w:r>
      <w:r w:rsidRPr="00277CA4">
        <w:rPr>
          <w:rFonts w:ascii="Arial" w:hAnsi="Arial" w:cs="Arial"/>
          <w:color w:val="000000"/>
          <w:shd w:val="clear" w:color="auto" w:fill="FFFFFF"/>
        </w:rPr>
        <w:t>University of Illinois at Chicago, Chicago, Illinois, USA.</w:t>
      </w:r>
      <w:proofErr w:type="gramEnd"/>
      <w:r w:rsidRPr="00277CA4">
        <w:rPr>
          <w:rStyle w:val="apple-converted-space"/>
          <w:rFonts w:ascii="Arial" w:hAnsi="Arial" w:cs="Arial"/>
          <w:color w:val="000000"/>
          <w:shd w:val="clear" w:color="auto" w:fill="FFFFFF"/>
        </w:rPr>
        <w:t> </w:t>
      </w:r>
    </w:p>
    <w:p w:rsidR="00093837" w:rsidRPr="00277CA4" w:rsidRDefault="00093837" w:rsidP="00B71E2F">
      <w:pPr>
        <w:spacing w:after="0" w:line="480" w:lineRule="auto"/>
        <w:jc w:val="both"/>
        <w:rPr>
          <w:rFonts w:ascii="Arial" w:hAnsi="Arial" w:cs="Arial"/>
          <w:b/>
        </w:rPr>
      </w:pPr>
    </w:p>
    <w:p w:rsidR="00093837" w:rsidRPr="00277CA4" w:rsidRDefault="00093837" w:rsidP="00B71E2F">
      <w:pPr>
        <w:spacing w:after="0" w:line="480" w:lineRule="auto"/>
        <w:jc w:val="both"/>
        <w:rPr>
          <w:rFonts w:ascii="Arial" w:hAnsi="Arial" w:cs="Arial"/>
          <w:u w:val="single"/>
        </w:rPr>
      </w:pPr>
      <w:r w:rsidRPr="00277CA4">
        <w:rPr>
          <w:rFonts w:ascii="Arial" w:hAnsi="Arial" w:cs="Arial"/>
        </w:rPr>
        <w:t>*Corresponding Author</w:t>
      </w:r>
      <w:r w:rsidRPr="00277CA4">
        <w:rPr>
          <w:rFonts w:ascii="Arial" w:hAnsi="Arial" w:cs="Arial"/>
          <w:b/>
        </w:rPr>
        <w:t xml:space="preserve">: </w:t>
      </w:r>
      <w:r w:rsidRPr="00277CA4">
        <w:rPr>
          <w:rFonts w:ascii="Arial" w:hAnsi="Arial" w:cs="Arial"/>
        </w:rPr>
        <w:t xml:space="preserve">Dr Tim Felton, Acute Intensive Care Unit, Manchester University NHS Foundation Trust, Wythenshawe Hospital, </w:t>
      </w:r>
      <w:proofErr w:type="spellStart"/>
      <w:r w:rsidRPr="00277CA4">
        <w:rPr>
          <w:rFonts w:ascii="Arial" w:hAnsi="Arial" w:cs="Arial"/>
        </w:rPr>
        <w:t>Southmoor</w:t>
      </w:r>
      <w:proofErr w:type="spellEnd"/>
      <w:r w:rsidRPr="00277CA4">
        <w:rPr>
          <w:rFonts w:ascii="Arial" w:hAnsi="Arial" w:cs="Arial"/>
        </w:rPr>
        <w:t xml:space="preserve"> Road, Manchester, UK. Tel: +44 161 291 6420. </w:t>
      </w:r>
      <w:hyperlink r:id="rId7" w:history="1">
        <w:r w:rsidRPr="00277CA4">
          <w:rPr>
            <w:rStyle w:val="Hyperlink"/>
            <w:rFonts w:ascii="Arial" w:hAnsi="Arial" w:cs="Arial"/>
          </w:rPr>
          <w:t>timothy.felton@manchester.ac.uk</w:t>
        </w:r>
      </w:hyperlink>
    </w:p>
    <w:p w:rsidR="00093837" w:rsidRPr="00277CA4" w:rsidRDefault="00093837" w:rsidP="00B71E2F">
      <w:pPr>
        <w:spacing w:after="0" w:line="480" w:lineRule="auto"/>
        <w:jc w:val="both"/>
        <w:rPr>
          <w:rFonts w:ascii="Arial" w:hAnsi="Arial" w:cs="Arial"/>
        </w:rPr>
      </w:pPr>
    </w:p>
    <w:p w:rsidR="00093837" w:rsidRPr="00277CA4" w:rsidRDefault="00093837" w:rsidP="00B71E2F">
      <w:pPr>
        <w:spacing w:after="0" w:line="480" w:lineRule="auto"/>
        <w:jc w:val="both"/>
        <w:rPr>
          <w:rFonts w:ascii="Arial" w:hAnsi="Arial" w:cs="Arial"/>
          <w:u w:val="single"/>
        </w:rPr>
      </w:pPr>
      <w:r w:rsidRPr="00277CA4">
        <w:rPr>
          <w:rFonts w:ascii="Arial" w:hAnsi="Arial" w:cs="Arial"/>
        </w:rPr>
        <w:t>Word count: Abstract: 233; Manuscript: 3,924</w:t>
      </w:r>
      <w:r w:rsidRPr="00277CA4">
        <w:rPr>
          <w:rFonts w:ascii="Arial" w:hAnsi="Arial" w:cs="Arial"/>
          <w:u w:val="single"/>
        </w:rPr>
        <w:br w:type="page"/>
      </w:r>
    </w:p>
    <w:p w:rsidR="00093837" w:rsidRPr="00277CA4" w:rsidRDefault="00093837" w:rsidP="00B71E2F">
      <w:pPr>
        <w:spacing w:after="0" w:line="480" w:lineRule="auto"/>
        <w:jc w:val="both"/>
        <w:rPr>
          <w:rFonts w:ascii="Arial" w:hAnsi="Arial" w:cs="Arial"/>
          <w:u w:val="single"/>
        </w:rPr>
      </w:pPr>
      <w:r w:rsidRPr="00277CA4">
        <w:rPr>
          <w:rFonts w:ascii="Arial" w:hAnsi="Arial" w:cs="Arial"/>
          <w:u w:val="single"/>
        </w:rPr>
        <w:lastRenderedPageBreak/>
        <w:t>Abstract</w:t>
      </w:r>
    </w:p>
    <w:p w:rsidR="00093837" w:rsidRPr="00277CA4" w:rsidRDefault="00093837" w:rsidP="00B71E2F">
      <w:pPr>
        <w:spacing w:after="0" w:line="480" w:lineRule="auto"/>
        <w:jc w:val="both"/>
        <w:rPr>
          <w:rFonts w:ascii="Arial" w:hAnsi="Arial" w:cs="Arial"/>
        </w:rPr>
      </w:pPr>
      <w:proofErr w:type="spellStart"/>
      <w:r w:rsidRPr="00277CA4">
        <w:rPr>
          <w:rFonts w:ascii="Arial" w:hAnsi="Arial" w:cs="Arial"/>
          <w:b/>
        </w:rPr>
        <w:t>Backgound</w:t>
      </w:r>
      <w:proofErr w:type="spellEnd"/>
      <w:r w:rsidRPr="00277CA4">
        <w:rPr>
          <w:rFonts w:ascii="Arial" w:hAnsi="Arial" w:cs="Arial"/>
          <w:b/>
        </w:rPr>
        <w:t>:</w:t>
      </w:r>
      <w:r w:rsidRPr="00277CA4">
        <w:rPr>
          <w:rFonts w:ascii="Arial" w:hAnsi="Arial" w:cs="Arial"/>
        </w:rPr>
        <w:t xml:space="preserve"> Severe infections of the respiratory tract of critically ill patients are common and associated with excess morbidity and mortality. Piperacillin is commonly used to treat pulmonary infections in critically ill patients. Adequate antibiotic concentration in the epithelial lining fluid (ELF) of the lung is essential for successful treatment of pulmonary infection. </w:t>
      </w:r>
    </w:p>
    <w:p w:rsidR="00093837" w:rsidRPr="00277CA4" w:rsidRDefault="00093837" w:rsidP="00B71E2F">
      <w:pPr>
        <w:spacing w:after="0" w:line="480" w:lineRule="auto"/>
        <w:jc w:val="both"/>
        <w:rPr>
          <w:rFonts w:ascii="Arial" w:hAnsi="Arial" w:cs="Arial"/>
        </w:rPr>
      </w:pPr>
      <w:r w:rsidRPr="00277CA4">
        <w:rPr>
          <w:rFonts w:ascii="Arial" w:hAnsi="Arial" w:cs="Arial"/>
          <w:b/>
        </w:rPr>
        <w:t>Objectives:</w:t>
      </w:r>
      <w:r w:rsidRPr="00277CA4">
        <w:rPr>
          <w:rFonts w:ascii="Arial" w:hAnsi="Arial" w:cs="Arial"/>
        </w:rPr>
        <w:t xml:space="preserve"> To compare piperacillin pharmacokinetic-pharmacodynamics in the serum and ELF of healthy volunteers and critically ill patients. </w:t>
      </w:r>
    </w:p>
    <w:p w:rsidR="00093837" w:rsidRPr="00277CA4" w:rsidRDefault="00093837" w:rsidP="0000004E">
      <w:pPr>
        <w:spacing w:after="0" w:line="480" w:lineRule="auto"/>
        <w:jc w:val="both"/>
        <w:rPr>
          <w:rFonts w:ascii="Arial" w:hAnsi="Arial" w:cs="Arial"/>
        </w:rPr>
      </w:pPr>
      <w:r w:rsidRPr="00277CA4">
        <w:rPr>
          <w:rFonts w:ascii="Arial" w:hAnsi="Arial" w:cs="Arial"/>
          <w:b/>
        </w:rPr>
        <w:t xml:space="preserve">Methods: </w:t>
      </w:r>
      <w:r w:rsidRPr="00277CA4">
        <w:rPr>
          <w:rFonts w:ascii="Arial" w:hAnsi="Arial" w:cs="Arial"/>
        </w:rPr>
        <w:t xml:space="preserve">Piperacillin concentrations in serum and ELF healthy volunteers and critically ill patients were compared using population methodologies. </w:t>
      </w:r>
    </w:p>
    <w:p w:rsidR="00093837" w:rsidRPr="00277CA4" w:rsidRDefault="00093837" w:rsidP="00B71E2F">
      <w:pPr>
        <w:spacing w:after="0" w:line="480" w:lineRule="auto"/>
        <w:jc w:val="both"/>
        <w:rPr>
          <w:rFonts w:ascii="Arial" w:hAnsi="Arial" w:cs="Arial"/>
        </w:rPr>
      </w:pPr>
      <w:r w:rsidRPr="00277CA4">
        <w:rPr>
          <w:rFonts w:ascii="Arial" w:hAnsi="Arial" w:cs="Arial"/>
          <w:b/>
        </w:rPr>
        <w:t>Results:</w:t>
      </w:r>
      <w:r w:rsidRPr="00277CA4">
        <w:rPr>
          <w:rFonts w:ascii="Arial" w:hAnsi="Arial" w:cs="Arial"/>
        </w:rPr>
        <w:t xml:space="preserve"> Median piperacillin exposure was significantly higher in the serum and the ELF of critically ill patients compared with healthy volunteers. The interquartile range for serum piperacillin exposure in critically ill patients was six times greater than for healthy volunteers. The interquartile range for piperacillin exposure in the ELF of critically ill patients was four times greater than for healthy volunteers. The median pulmonary piperacillin penetration ratio was 0.31 in healthy volunteers and 0.54 in critically ill patients. </w:t>
      </w:r>
    </w:p>
    <w:p w:rsidR="00093837" w:rsidRPr="00277CA4" w:rsidRDefault="00093837" w:rsidP="00B71E2F">
      <w:pPr>
        <w:spacing w:after="0" w:line="480" w:lineRule="auto"/>
        <w:jc w:val="both"/>
        <w:rPr>
          <w:rFonts w:ascii="Arial" w:hAnsi="Arial" w:cs="Arial"/>
        </w:rPr>
      </w:pPr>
      <w:r w:rsidRPr="00277CA4">
        <w:rPr>
          <w:rFonts w:ascii="Arial" w:hAnsi="Arial" w:cs="Arial"/>
          <w:b/>
        </w:rPr>
        <w:t>Conclusions:</w:t>
      </w:r>
      <w:r w:rsidRPr="00277CA4">
        <w:rPr>
          <w:rFonts w:ascii="Arial" w:hAnsi="Arial" w:cs="Arial"/>
        </w:rPr>
        <w:t xml:space="preserve"> Greater variability in serum and ELF piperacillin concentrations is observed in critically ill patients compared to healthy adult subjects and must to be considered in the development of dosage regimens. Pulmonary penetration of antimicrobial agents should be studied in critically ill patients, as well as healthy volunteers, during drug development to ensure appropriate dosing of patients with pneumonia. </w:t>
      </w:r>
    </w:p>
    <w:p w:rsidR="00093837" w:rsidRPr="00277CA4" w:rsidRDefault="00093837" w:rsidP="00B71E2F">
      <w:pPr>
        <w:spacing w:after="0" w:line="480" w:lineRule="auto"/>
        <w:jc w:val="both"/>
        <w:rPr>
          <w:rFonts w:ascii="Arial" w:hAnsi="Arial" w:cs="Arial"/>
          <w:u w:val="single"/>
        </w:rPr>
      </w:pPr>
      <w:r w:rsidRPr="00277CA4">
        <w:rPr>
          <w:rFonts w:ascii="Arial" w:hAnsi="Arial" w:cs="Arial"/>
          <w:u w:val="single"/>
        </w:rPr>
        <w:br w:type="page"/>
      </w:r>
    </w:p>
    <w:p w:rsidR="00093837" w:rsidRPr="00277CA4" w:rsidRDefault="00093837" w:rsidP="00B71E2F">
      <w:pPr>
        <w:spacing w:after="0" w:line="480" w:lineRule="auto"/>
        <w:jc w:val="both"/>
        <w:rPr>
          <w:rFonts w:ascii="Arial" w:hAnsi="Arial" w:cs="Arial"/>
          <w:u w:val="single"/>
        </w:rPr>
      </w:pPr>
      <w:r w:rsidRPr="00277CA4">
        <w:rPr>
          <w:rFonts w:ascii="Arial" w:hAnsi="Arial" w:cs="Arial"/>
          <w:u w:val="single"/>
        </w:rPr>
        <w:lastRenderedPageBreak/>
        <w:t>Introduction</w:t>
      </w:r>
    </w:p>
    <w:p w:rsidR="00093837" w:rsidRPr="00277CA4" w:rsidRDefault="00093837" w:rsidP="00B71E2F">
      <w:pPr>
        <w:spacing w:after="0" w:line="480" w:lineRule="auto"/>
        <w:jc w:val="both"/>
        <w:rPr>
          <w:rFonts w:ascii="Arial" w:hAnsi="Arial" w:cs="Arial"/>
        </w:rPr>
      </w:pPr>
      <w:r w:rsidRPr="00277CA4">
        <w:rPr>
          <w:rFonts w:ascii="Arial" w:hAnsi="Arial" w:cs="Arial"/>
        </w:rPr>
        <w:t>Pulmonary infections in critically ill patients are associated with an unacceptable high morbidity and mortality, which results in an increase in length of ICU stay and excess treatment costs.</w:t>
      </w:r>
      <w:r w:rsidRPr="00277CA4">
        <w:rPr>
          <w:rFonts w:ascii="Arial" w:hAnsi="Arial" w:cs="Arial"/>
          <w:noProof/>
          <w:vertAlign w:val="superscript"/>
        </w:rPr>
        <w:t>1, 2</w:t>
      </w:r>
      <w:r w:rsidRPr="00277CA4">
        <w:rPr>
          <w:rFonts w:ascii="Arial" w:hAnsi="Arial" w:cs="Arial"/>
        </w:rPr>
        <w:t xml:space="preserve"> The lung is a common site of infection with approximately 16% of critically ill patients presenting with pulmonary infections </w:t>
      </w:r>
      <w:r w:rsidRPr="00277CA4">
        <w:rPr>
          <w:rFonts w:ascii="Arial" w:hAnsi="Arial" w:cs="Arial"/>
        </w:rPr>
        <w:fldChar w:fldCharType="begin" w:fldLock="1"/>
      </w:r>
      <w:r w:rsidRPr="00277CA4">
        <w:rPr>
          <w:rFonts w:ascii="Arial" w:hAnsi="Arial" w:cs="Arial"/>
        </w:rPr>
        <w:instrText>ADDIN CSL_CITATION { "citationItems" : [ { "id" : "ITEM-1", "itemData" : { "author" : [ { "dropping-particle" : "", "family" : "Vincent", "given" : "Jean-Louis", "non-dropping-particle" : "", "parse-names" : false, "suffix" : "" }, { "dropping-particle" : "", "family" : "Rello", "given" : "Jordi", "non-dropping-particle" : "", "parse-names" : false, "suffix" : "" }, { "dropping-particle" : "", "family" : "Marshall", "given" : "John", "non-dropping-particle" : "", "parse-names" : false, "suffix" : "" }, { "dropping-particle" : "", "family" : "Silva", "given" : "E.", "non-dropping-particle" : "", "parse-names" : false, "suffix" : "" }, { "dropping-particle" : "", "family" : "Anzueto", "given" : "Antonio", "non-dropping-particle" : "", "parse-names" : false, "suffix" : "" }, { "dropping-particle" : "", "family" : "Martin", "given" : "Claude D C.D.", "non-dropping-particle" : "", "parse-names" : false, "suffix" : "" }, { "dropping-particle" : "", "family" : "Gomersall", "given" : "Charles", "non-dropping-particle" : "", "parse-names" : false, "suffix" : "" }, { "dropping-particle" : "", "family" : "Moreno", "given" : "R.", "non-dropping-particle" : "", "parse-names" : false, "suffix" : "" }, { "dropping-particle" : "", "family" : "Lipman", "given" : "Jeffrey", "non-dropping-particle" : "", "parse-names" : false, "suffix" : "" }, { "dropping-particle" : "", "family" : "Sakr", "given" : "Y.", "non-dropping-particle" : "", "parse-names" : false, "suffix" : "" }, { "dropping-particle" : "", "family" : "others", "given" : "", "non-dropping-particle" : "", "parse-names" : false, "suffix" : "" } ], "container-title" : "JAMA: the Journal of the American Medical Association", "id" : "ITEM-1", "issue" : "21", "issued" : { "date-parts" : [ [ "2009" ] ] }, "page" : "2323", "publisher" : "Am Med Assoc", "title" : "International Study of the Prevalence and Outcomes of Infection in Intensive Care Units", "type" : "article-journal", "volume" : "302" }, "uris" : [ "http://www.mendeley.com/documents/?uuid=f4b445fe-6d08-4fb9-b435-302c7259b204" ] } ], "mendeley" : { "formattedCitation" : "(1)", "plainTextFormattedCitation" : "(1)", "previouslyFormattedCitation" : "(3)" }, "properties" : { "noteIndex" : 0 }, "schema" : "https://github.com/citation-style-language/schema/raw/master/csl-citation.json" }</w:instrText>
      </w:r>
      <w:r w:rsidRPr="00277CA4">
        <w:rPr>
          <w:rFonts w:ascii="Arial" w:hAnsi="Arial" w:cs="Arial"/>
        </w:rPr>
        <w:fldChar w:fldCharType="separate"/>
      </w:r>
      <w:r w:rsidRPr="00277CA4">
        <w:rPr>
          <w:rFonts w:ascii="Arial" w:hAnsi="Arial" w:cs="Arial"/>
          <w:noProof/>
        </w:rPr>
        <w:t>(1)</w:t>
      </w:r>
      <w:r w:rsidRPr="00277CA4">
        <w:rPr>
          <w:rFonts w:ascii="Arial" w:hAnsi="Arial" w:cs="Arial"/>
        </w:rPr>
        <w:fldChar w:fldCharType="end"/>
      </w:r>
      <w:r w:rsidRPr="00277CA4">
        <w:rPr>
          <w:rFonts w:ascii="Arial" w:hAnsi="Arial" w:cs="Arial"/>
        </w:rPr>
        <w:t>. The lung is also the primary site of infection in 60% of healthcare associated infections developing in the ICU.</w:t>
      </w:r>
      <w:r w:rsidRPr="00277CA4">
        <w:rPr>
          <w:rFonts w:ascii="Arial" w:hAnsi="Arial" w:cs="Arial"/>
          <w:noProof/>
          <w:vertAlign w:val="superscript"/>
        </w:rPr>
        <w:t>3</w:t>
      </w:r>
      <w:r w:rsidRPr="00277CA4">
        <w:rPr>
          <w:rFonts w:ascii="Arial" w:hAnsi="Arial" w:cs="Arial"/>
          <w:shd w:val="clear" w:color="auto" w:fill="FFFFFF"/>
        </w:rPr>
        <w:t xml:space="preserve"> Community-acquired pneumonia (CAP) resulting in ICU admission </w:t>
      </w:r>
      <w:r w:rsidRPr="00277CA4">
        <w:rPr>
          <w:rFonts w:ascii="Arial" w:hAnsi="Arial" w:cs="Arial"/>
        </w:rPr>
        <w:t>has a mortality of 14–26% while the attributable mortality from ventilator-associated pneumonia (VAP) is estimated to be 13%.</w:t>
      </w:r>
      <w:r w:rsidRPr="00277CA4">
        <w:rPr>
          <w:rFonts w:ascii="Arial" w:hAnsi="Arial" w:cs="Arial"/>
          <w:noProof/>
          <w:vertAlign w:val="superscript"/>
        </w:rPr>
        <w:t>4, 5</w:t>
      </w:r>
      <w:r w:rsidRPr="00277CA4">
        <w:rPr>
          <w:rFonts w:ascii="Arial" w:hAnsi="Arial" w:cs="Arial"/>
        </w:rPr>
        <w:t xml:space="preserve"> Timely administration of appropriate antimicrobial agent is associated with improved clinical outcomes.</w:t>
      </w:r>
      <w:r w:rsidRPr="00277CA4">
        <w:rPr>
          <w:rFonts w:ascii="Arial" w:hAnsi="Arial" w:cs="Arial"/>
          <w:noProof/>
          <w:vertAlign w:val="superscript"/>
        </w:rPr>
        <w:t>6, 7</w:t>
      </w:r>
      <w:r w:rsidRPr="00277CA4">
        <w:rPr>
          <w:rFonts w:ascii="Arial" w:hAnsi="Arial" w:cs="Arial"/>
        </w:rPr>
        <w:t xml:space="preserve"> Administration of currently licensed regimens to critically ill patients results in sub-optimal drug exposures due to pharmacokinetic variability in this patient cohort.</w:t>
      </w:r>
      <w:r w:rsidRPr="00277CA4">
        <w:rPr>
          <w:rFonts w:ascii="Arial" w:hAnsi="Arial" w:cs="Arial"/>
          <w:noProof/>
          <w:vertAlign w:val="superscript"/>
        </w:rPr>
        <w:t>8</w:t>
      </w:r>
      <w:r w:rsidRPr="00277CA4">
        <w:rPr>
          <w:rFonts w:ascii="Arial" w:hAnsi="Arial" w:cs="Arial"/>
        </w:rPr>
        <w:t xml:space="preserve"> Marked pharmacokinetic variability is seen in critically ill patients due to changes in cardiac output, tissue perfusion and end-organ failure often supported by extracorporeal circuits.</w:t>
      </w:r>
      <w:r w:rsidRPr="00277CA4">
        <w:rPr>
          <w:rFonts w:ascii="Arial" w:hAnsi="Arial" w:cs="Arial"/>
          <w:noProof/>
          <w:vertAlign w:val="superscript"/>
        </w:rPr>
        <w:t>8</w:t>
      </w:r>
      <w:r w:rsidRPr="00277CA4">
        <w:rPr>
          <w:rFonts w:ascii="Arial" w:hAnsi="Arial" w:cs="Arial"/>
        </w:rPr>
        <w:t xml:space="preserve"> Low exposures of antimicrobial agents are associated with treatment failure and emergence of antimicrobial resistance while high exposures may result in drug-induced toxicity.</w:t>
      </w:r>
      <w:r w:rsidRPr="00277CA4">
        <w:rPr>
          <w:rFonts w:ascii="Arial" w:hAnsi="Arial" w:cs="Arial"/>
          <w:noProof/>
          <w:vertAlign w:val="superscript"/>
        </w:rPr>
        <w:t>8</w:t>
      </w:r>
      <w:r w:rsidRPr="00277CA4">
        <w:rPr>
          <w:rFonts w:ascii="Arial" w:hAnsi="Arial" w:cs="Arial"/>
        </w:rPr>
        <w:t xml:space="preserve"> </w:t>
      </w:r>
    </w:p>
    <w:p w:rsidR="00093837" w:rsidRPr="00277CA4" w:rsidRDefault="00093837" w:rsidP="00B71E2F">
      <w:pPr>
        <w:spacing w:after="0" w:line="480" w:lineRule="auto"/>
        <w:jc w:val="both"/>
        <w:rPr>
          <w:rFonts w:ascii="Arial" w:hAnsi="Arial" w:cs="Arial"/>
        </w:rPr>
      </w:pPr>
    </w:p>
    <w:p w:rsidR="00093837" w:rsidRPr="00277CA4" w:rsidRDefault="00093837" w:rsidP="00B71E2F">
      <w:pPr>
        <w:spacing w:after="0" w:line="480" w:lineRule="auto"/>
        <w:jc w:val="both"/>
        <w:rPr>
          <w:rFonts w:ascii="Arial" w:hAnsi="Arial" w:cs="Arial"/>
        </w:rPr>
      </w:pPr>
      <w:r w:rsidRPr="00277CA4">
        <w:rPr>
          <w:rFonts w:ascii="Arial" w:hAnsi="Arial" w:cs="Arial"/>
        </w:rPr>
        <w:t xml:space="preserve">Piperacillin is an extended spectrum β-lactam antibiotic that is commonly administered in combination with the β-lactamase inhibitor </w:t>
      </w:r>
      <w:proofErr w:type="spellStart"/>
      <w:r w:rsidRPr="00277CA4">
        <w:rPr>
          <w:rFonts w:ascii="Arial" w:hAnsi="Arial" w:cs="Arial"/>
        </w:rPr>
        <w:t>tazobactam</w:t>
      </w:r>
      <w:proofErr w:type="spellEnd"/>
      <w:r w:rsidRPr="00277CA4">
        <w:rPr>
          <w:rFonts w:ascii="Arial" w:hAnsi="Arial" w:cs="Arial"/>
        </w:rPr>
        <w:t>. Piperacillin</w:t>
      </w:r>
      <w:r w:rsidR="008F6B7A" w:rsidRPr="00277CA4">
        <w:rPr>
          <w:rFonts w:ascii="Arial" w:hAnsi="Arial" w:cs="Arial"/>
        </w:rPr>
        <w:t>/</w:t>
      </w:r>
      <w:proofErr w:type="spellStart"/>
      <w:r w:rsidRPr="00277CA4">
        <w:rPr>
          <w:rFonts w:ascii="Arial" w:hAnsi="Arial" w:cs="Arial"/>
        </w:rPr>
        <w:t>tazobactam</w:t>
      </w:r>
      <w:proofErr w:type="spellEnd"/>
      <w:r w:rsidRPr="00277CA4">
        <w:rPr>
          <w:rFonts w:ascii="Arial" w:hAnsi="Arial" w:cs="Arial"/>
        </w:rPr>
        <w:t xml:space="preserve"> has a broad-spectrum of action with activity against both gram-positive and gram-negative bacteria. Piperacillin is a common treatment choice for critically ill patients and is recommended, first-line therapy in the management of VAP.</w:t>
      </w:r>
      <w:r w:rsidRPr="00277CA4">
        <w:rPr>
          <w:rFonts w:ascii="Arial" w:hAnsi="Arial" w:cs="Arial"/>
          <w:noProof/>
          <w:vertAlign w:val="superscript"/>
        </w:rPr>
        <w:t>9</w:t>
      </w:r>
      <w:r w:rsidRPr="00277CA4">
        <w:rPr>
          <w:rFonts w:ascii="Arial" w:hAnsi="Arial" w:cs="Arial"/>
        </w:rPr>
        <w:t xml:space="preserve"> The </w:t>
      </w:r>
      <w:proofErr w:type="spellStart"/>
      <w:r w:rsidRPr="00277CA4">
        <w:rPr>
          <w:rFonts w:ascii="Arial" w:hAnsi="Arial" w:cs="Arial"/>
        </w:rPr>
        <w:t>pharmacodynamic</w:t>
      </w:r>
      <w:proofErr w:type="spellEnd"/>
      <w:r w:rsidRPr="00277CA4">
        <w:rPr>
          <w:rFonts w:ascii="Arial" w:hAnsi="Arial" w:cs="Arial"/>
        </w:rPr>
        <w:t xml:space="preserve"> index that best links piperacillin concentrations with antimicrobial effect is the fraction of the dosing interval that unbound piperacillin concentrations are above the MIC.</w:t>
      </w:r>
      <w:r w:rsidRPr="00277CA4">
        <w:rPr>
          <w:rFonts w:ascii="Arial" w:hAnsi="Arial" w:cs="Arial"/>
          <w:noProof/>
          <w:vertAlign w:val="superscript"/>
        </w:rPr>
        <w:t>10</w:t>
      </w:r>
      <w:r w:rsidRPr="00277CA4">
        <w:rPr>
          <w:rFonts w:ascii="Arial" w:hAnsi="Arial" w:cs="Arial"/>
        </w:rPr>
        <w:t xml:space="preserve"> Near-maximal antimicrobial effect is generally observed when free piperacillin concentrations exceed the MIC for at least 50% of the dosing interval (50% </w:t>
      </w:r>
      <w:proofErr w:type="spellStart"/>
      <w:r w:rsidRPr="00277CA4">
        <w:rPr>
          <w:rFonts w:ascii="Arial" w:hAnsi="Arial" w:cs="Arial"/>
        </w:rPr>
        <w:t>fT</w:t>
      </w:r>
      <w:proofErr w:type="spellEnd"/>
      <w:r w:rsidRPr="00277CA4">
        <w:rPr>
          <w:rFonts w:ascii="Arial" w:hAnsi="Arial" w:cs="Arial"/>
          <w:vertAlign w:val="subscript"/>
        </w:rPr>
        <w:t>&gt;MIC</w:t>
      </w:r>
      <w:r w:rsidRPr="00277CA4">
        <w:rPr>
          <w:rFonts w:ascii="Arial" w:hAnsi="Arial" w:cs="Arial"/>
        </w:rPr>
        <w:t>).</w:t>
      </w:r>
      <w:r w:rsidRPr="00277CA4">
        <w:rPr>
          <w:rFonts w:ascii="Arial" w:hAnsi="Arial" w:cs="Arial"/>
          <w:noProof/>
          <w:vertAlign w:val="superscript"/>
        </w:rPr>
        <w:t>8</w:t>
      </w:r>
      <w:r w:rsidRPr="00277CA4">
        <w:rPr>
          <w:rFonts w:ascii="Arial" w:hAnsi="Arial" w:cs="Arial"/>
        </w:rPr>
        <w:t xml:space="preserve"> </w:t>
      </w:r>
    </w:p>
    <w:p w:rsidR="00093837" w:rsidRPr="00277CA4" w:rsidRDefault="00093837" w:rsidP="00B71E2F">
      <w:pPr>
        <w:spacing w:after="0" w:line="480" w:lineRule="auto"/>
        <w:jc w:val="both"/>
        <w:rPr>
          <w:rFonts w:ascii="Arial" w:hAnsi="Arial" w:cs="Arial"/>
        </w:rPr>
      </w:pPr>
    </w:p>
    <w:p w:rsidR="00093837" w:rsidRPr="00277CA4" w:rsidRDefault="00093837" w:rsidP="00B71E2F">
      <w:pPr>
        <w:spacing w:after="0" w:line="480" w:lineRule="auto"/>
        <w:jc w:val="both"/>
        <w:rPr>
          <w:rFonts w:ascii="Arial" w:hAnsi="Arial" w:cs="Arial"/>
        </w:rPr>
      </w:pPr>
      <w:r w:rsidRPr="00277CA4">
        <w:rPr>
          <w:rFonts w:ascii="Arial" w:hAnsi="Arial" w:cs="Arial"/>
        </w:rPr>
        <w:t>To be effective, an antimicrobial agent must reach efficacious concentrations at the site of infection.</w:t>
      </w:r>
      <w:r w:rsidRPr="00277CA4">
        <w:rPr>
          <w:rFonts w:ascii="Arial" w:hAnsi="Arial" w:cs="Arial"/>
          <w:noProof/>
          <w:vertAlign w:val="superscript"/>
        </w:rPr>
        <w:t>11, 12</w:t>
      </w:r>
      <w:r w:rsidRPr="00277CA4">
        <w:rPr>
          <w:rFonts w:ascii="Arial" w:hAnsi="Arial" w:cs="Arial"/>
        </w:rPr>
        <w:t xml:space="preserve"> </w:t>
      </w:r>
      <w:proofErr w:type="gramStart"/>
      <w:r w:rsidRPr="00277CA4">
        <w:rPr>
          <w:rFonts w:ascii="Arial" w:hAnsi="Arial" w:cs="Arial"/>
        </w:rPr>
        <w:t>The</w:t>
      </w:r>
      <w:proofErr w:type="gramEnd"/>
      <w:r w:rsidRPr="00277CA4">
        <w:rPr>
          <w:rFonts w:ascii="Arial" w:hAnsi="Arial" w:cs="Arial"/>
        </w:rPr>
        <w:t xml:space="preserve"> alveolus is the site of infection for respiratory tract infections, such as CAP </w:t>
      </w:r>
      <w:r w:rsidRPr="00277CA4">
        <w:rPr>
          <w:rFonts w:ascii="Arial" w:hAnsi="Arial" w:cs="Arial"/>
        </w:rPr>
        <w:lastRenderedPageBreak/>
        <w:t>and VAP. Epithelial lining fluid (ELF) of the alveolus is accessible to sampling and represents a clinically relevant compartment to measure antimicrobial agent concentration in patients with pneumonia. Penetration of antimicrobial agents into ELF and the exposure-response relationship in the lung is poorly understood even for commonly used antimicrobial agents such as piperacillin.</w:t>
      </w:r>
      <w:r w:rsidRPr="00277CA4">
        <w:rPr>
          <w:rFonts w:ascii="Arial" w:hAnsi="Arial" w:cs="Arial"/>
          <w:noProof/>
          <w:vertAlign w:val="superscript"/>
        </w:rPr>
        <w:t>13</w:t>
      </w:r>
      <w:r w:rsidRPr="00277CA4">
        <w:rPr>
          <w:rFonts w:ascii="Arial" w:hAnsi="Arial" w:cs="Arial"/>
        </w:rPr>
        <w:t xml:space="preserve"> In healthy volunteers the AUC for piperacillin in ELF is approximately 25% of the serum piperacillin AUC.</w:t>
      </w:r>
      <w:r w:rsidRPr="00277CA4">
        <w:rPr>
          <w:rFonts w:ascii="Arial" w:hAnsi="Arial" w:cs="Arial"/>
          <w:noProof/>
          <w:vertAlign w:val="superscript"/>
        </w:rPr>
        <w:t>14</w:t>
      </w:r>
      <w:r w:rsidRPr="00277CA4">
        <w:rPr>
          <w:rFonts w:ascii="Arial" w:hAnsi="Arial" w:cs="Arial"/>
        </w:rPr>
        <w:t xml:space="preserve"> Pharmacokinetic alterations in critically ill patients result in an increase in piperacillin penetration into ELF with a much greater degree of variability.</w:t>
      </w:r>
      <w:r w:rsidRPr="00277CA4">
        <w:rPr>
          <w:rFonts w:ascii="Arial" w:hAnsi="Arial" w:cs="Arial"/>
          <w:noProof/>
          <w:vertAlign w:val="superscript"/>
        </w:rPr>
        <w:t>15</w:t>
      </w:r>
      <w:r w:rsidRPr="00277CA4">
        <w:rPr>
          <w:rFonts w:ascii="Arial" w:hAnsi="Arial" w:cs="Arial"/>
        </w:rPr>
        <w:t xml:space="preserve"> The difference in pulmonary penetration between healthy volunteers (in phase I clinical trials) and critically ill patients (in phase II/III clinical trials and in clinical practice) makes identifying the optimal regimen to treat pneumonia complex. </w:t>
      </w:r>
    </w:p>
    <w:p w:rsidR="00093837" w:rsidRPr="00277CA4" w:rsidRDefault="00093837" w:rsidP="00B71E2F">
      <w:pPr>
        <w:spacing w:after="0" w:line="480" w:lineRule="auto"/>
        <w:jc w:val="both"/>
        <w:rPr>
          <w:rFonts w:ascii="Arial" w:hAnsi="Arial" w:cs="Arial"/>
        </w:rPr>
      </w:pPr>
    </w:p>
    <w:p w:rsidR="00093837" w:rsidRPr="00277CA4" w:rsidRDefault="00093837" w:rsidP="00B71E2F">
      <w:pPr>
        <w:spacing w:after="0" w:line="480" w:lineRule="auto"/>
        <w:jc w:val="both"/>
        <w:rPr>
          <w:rFonts w:ascii="Arial" w:hAnsi="Arial" w:cs="Arial"/>
        </w:rPr>
      </w:pPr>
      <w:r w:rsidRPr="00277CA4">
        <w:rPr>
          <w:rFonts w:ascii="Arial" w:hAnsi="Arial" w:cs="Arial"/>
        </w:rPr>
        <w:t xml:space="preserve">Clinical drug development pathways typically begin in healthy subjects before progressing into patients. Here, we use a population pharmacokinetic modelling approach to investigate if piperacillin exposures in serum and ELF in healthy volunteers predict serum and ELF exposures in critically ill patients.   </w:t>
      </w:r>
      <w:r w:rsidRPr="00277CA4">
        <w:rPr>
          <w:rFonts w:ascii="Arial" w:hAnsi="Arial" w:cs="Arial"/>
          <w:u w:val="single"/>
        </w:rPr>
        <w:br w:type="page"/>
      </w:r>
    </w:p>
    <w:p w:rsidR="00093837" w:rsidRPr="00277CA4" w:rsidRDefault="00093837" w:rsidP="007F1675">
      <w:pPr>
        <w:tabs>
          <w:tab w:val="left" w:pos="1509"/>
        </w:tabs>
        <w:spacing w:after="0" w:line="480" w:lineRule="auto"/>
        <w:jc w:val="both"/>
        <w:rPr>
          <w:rFonts w:ascii="Arial" w:hAnsi="Arial" w:cs="Arial"/>
          <w:u w:val="single"/>
        </w:rPr>
      </w:pPr>
      <w:r w:rsidRPr="00277CA4">
        <w:rPr>
          <w:rFonts w:ascii="Arial" w:hAnsi="Arial" w:cs="Arial"/>
          <w:u w:val="single"/>
        </w:rPr>
        <w:lastRenderedPageBreak/>
        <w:t>Methods</w:t>
      </w:r>
    </w:p>
    <w:p w:rsidR="00093837" w:rsidRPr="00277CA4" w:rsidRDefault="00093837" w:rsidP="00B71E2F">
      <w:pPr>
        <w:spacing w:after="0" w:line="480" w:lineRule="auto"/>
        <w:jc w:val="both"/>
        <w:rPr>
          <w:rFonts w:ascii="Arial" w:hAnsi="Arial" w:cs="Arial"/>
        </w:rPr>
      </w:pPr>
      <w:r w:rsidRPr="00277CA4">
        <w:rPr>
          <w:rFonts w:ascii="Arial" w:hAnsi="Arial" w:cs="Arial"/>
          <w:b/>
        </w:rPr>
        <w:t>Pharmacokinetics studies of healthy volunteers</w:t>
      </w:r>
      <w:r w:rsidRPr="00277CA4">
        <w:rPr>
          <w:rFonts w:ascii="Arial" w:hAnsi="Arial" w:cs="Arial"/>
        </w:rPr>
        <w:t>. Pharmacokinetic data from 25 healthy volunteers from a previously published study was used.</w:t>
      </w:r>
      <w:r w:rsidRPr="00277CA4">
        <w:rPr>
          <w:rFonts w:ascii="Arial" w:hAnsi="Arial" w:cs="Arial"/>
          <w:noProof/>
          <w:vertAlign w:val="superscript"/>
        </w:rPr>
        <w:t>14</w:t>
      </w:r>
      <w:r w:rsidRPr="00277CA4">
        <w:rPr>
          <w:rFonts w:ascii="Arial" w:hAnsi="Arial" w:cs="Arial"/>
        </w:rPr>
        <w:t xml:space="preserve"> </w:t>
      </w:r>
      <w:proofErr w:type="gramStart"/>
      <w:r w:rsidRPr="00277CA4">
        <w:rPr>
          <w:rFonts w:ascii="Arial" w:hAnsi="Arial" w:cs="Arial"/>
        </w:rPr>
        <w:t>A</w:t>
      </w:r>
      <w:proofErr w:type="gramEnd"/>
      <w:r w:rsidRPr="00277CA4">
        <w:rPr>
          <w:rFonts w:ascii="Arial" w:hAnsi="Arial" w:cs="Arial"/>
        </w:rPr>
        <w:t xml:space="preserve"> total of 150 serum piperacillin concentrations and 25 ELF piperacillin concentrations were available. Each patient contributed 6 serum piperacillin concentrations and 1 ELF piperacillin concentration. Participants were administered 4 g of piperacillin by 30 minute infusions every 6 hours for three doses. Serum samples were obtained at 0, 0.5, 1, 2, 4, and 6 hours after the third dose. ELF samples were collected at random at one of the serum sampling time points. </w:t>
      </w:r>
    </w:p>
    <w:p w:rsidR="00093837" w:rsidRPr="00277CA4" w:rsidRDefault="00093837" w:rsidP="00B71E2F">
      <w:pPr>
        <w:spacing w:after="0" w:line="480" w:lineRule="auto"/>
        <w:jc w:val="both"/>
        <w:rPr>
          <w:rFonts w:ascii="Arial" w:hAnsi="Arial" w:cs="Arial"/>
        </w:rPr>
      </w:pPr>
    </w:p>
    <w:p w:rsidR="00093837" w:rsidRPr="00277CA4" w:rsidRDefault="00093837" w:rsidP="000361A9">
      <w:pPr>
        <w:spacing w:after="0" w:line="480" w:lineRule="auto"/>
        <w:jc w:val="both"/>
        <w:rPr>
          <w:rFonts w:ascii="Arial" w:hAnsi="Arial" w:cs="Arial"/>
        </w:rPr>
      </w:pPr>
      <w:r w:rsidRPr="00277CA4">
        <w:rPr>
          <w:rFonts w:ascii="Arial" w:hAnsi="Arial" w:cs="Arial"/>
          <w:b/>
        </w:rPr>
        <w:t>Pharmacokinetics studies of critically ill patients</w:t>
      </w:r>
      <w:r w:rsidRPr="00277CA4">
        <w:rPr>
          <w:rFonts w:ascii="Arial" w:hAnsi="Arial" w:cs="Arial"/>
        </w:rPr>
        <w:t>. Pharmacokinetic data from 53 critically ill patients from two previously published studies was used.</w:t>
      </w:r>
      <w:r w:rsidRPr="00277CA4">
        <w:rPr>
          <w:rFonts w:ascii="Arial" w:hAnsi="Arial" w:cs="Arial"/>
          <w:noProof/>
          <w:vertAlign w:val="superscript"/>
        </w:rPr>
        <w:t>15, 16</w:t>
      </w:r>
      <w:r w:rsidRPr="00277CA4">
        <w:rPr>
          <w:rFonts w:ascii="Arial" w:hAnsi="Arial" w:cs="Arial"/>
        </w:rPr>
        <w:t xml:space="preserve"> A </w:t>
      </w:r>
      <w:proofErr w:type="gramStart"/>
      <w:r w:rsidRPr="00277CA4">
        <w:rPr>
          <w:rFonts w:ascii="Arial" w:hAnsi="Arial" w:cs="Arial"/>
        </w:rPr>
        <w:t>total</w:t>
      </w:r>
      <w:proofErr w:type="gramEnd"/>
      <w:r w:rsidRPr="00277CA4">
        <w:rPr>
          <w:rFonts w:ascii="Arial" w:hAnsi="Arial" w:cs="Arial"/>
        </w:rPr>
        <w:t xml:space="preserve"> of 202 serum piperacillin concentrations and 63 ELF piperacillin concentrations were available. Felton </w:t>
      </w:r>
      <w:proofErr w:type="gramStart"/>
      <w:r w:rsidR="008F6B7A" w:rsidRPr="00277CA4">
        <w:rPr>
          <w:rFonts w:ascii="Arial" w:hAnsi="Arial" w:cs="Arial"/>
          <w:i/>
        </w:rPr>
        <w:t>et</w:t>
      </w:r>
      <w:proofErr w:type="gramEnd"/>
      <w:r w:rsidR="008F6B7A" w:rsidRPr="00277CA4">
        <w:rPr>
          <w:rFonts w:ascii="Arial" w:hAnsi="Arial" w:cs="Arial"/>
          <w:i/>
        </w:rPr>
        <w:t xml:space="preserve"> al</w:t>
      </w:r>
      <w:r w:rsidRPr="00277CA4">
        <w:rPr>
          <w:rFonts w:ascii="Arial" w:hAnsi="Arial" w:cs="Arial"/>
          <w:noProof/>
          <w:vertAlign w:val="superscript"/>
        </w:rPr>
        <w:t>15</w:t>
      </w:r>
      <w:r w:rsidRPr="00277CA4">
        <w:rPr>
          <w:rFonts w:ascii="Arial" w:hAnsi="Arial" w:cs="Arial"/>
        </w:rPr>
        <w:t xml:space="preserve"> contributed 13 critically ill, mechanically ventilated patients (4 patients were excluded from the analysis as they were receiving renal replacement therapy). Patients were administered 4 g of piperacillin by either 5 minute or 30 minute infusions every 8 hours. Serum samples were collected at 0.25, 0.75, 2, 3.5, and 4.5 h after initiation of the infusion at steady state in all 13 patients. Additionally, 2 of the 13 patients had serum samples collected at 0.5, 1.5, 2.5, 3.75, 5, and 6 h after initiation of the first dose. ELF samples were collected at 0.75 and 2 h or at 0.75 and 3.5 h after initiation of the infusion at steady state. Patients had between 4 and 12 serum and either 1 or 2 ELF samples collected. Boselli </w:t>
      </w:r>
      <w:proofErr w:type="gramStart"/>
      <w:r w:rsidR="008F6B7A" w:rsidRPr="00277CA4">
        <w:rPr>
          <w:rFonts w:ascii="Arial" w:hAnsi="Arial" w:cs="Arial"/>
          <w:i/>
        </w:rPr>
        <w:t>et</w:t>
      </w:r>
      <w:proofErr w:type="gramEnd"/>
      <w:r w:rsidR="008F6B7A" w:rsidRPr="00277CA4">
        <w:rPr>
          <w:rFonts w:ascii="Arial" w:hAnsi="Arial" w:cs="Arial"/>
          <w:i/>
        </w:rPr>
        <w:t xml:space="preserve"> al</w:t>
      </w:r>
      <w:r w:rsidRPr="00277CA4">
        <w:rPr>
          <w:rFonts w:ascii="Arial" w:hAnsi="Arial" w:cs="Arial"/>
          <w:noProof/>
          <w:vertAlign w:val="superscript"/>
        </w:rPr>
        <w:t>16</w:t>
      </w:r>
      <w:r w:rsidRPr="00277CA4">
        <w:rPr>
          <w:rFonts w:ascii="Arial" w:hAnsi="Arial" w:cs="Arial"/>
        </w:rPr>
        <w:t xml:space="preserve"> contributed 40 critically ill patients with VAP. Patients were administered either 12 g or 16 g of piperacillin by continuous infusion. Three serum samples and 1 ELF sample were collected during the second 24 hours of treatment. </w:t>
      </w:r>
    </w:p>
    <w:p w:rsidR="00093837" w:rsidRPr="00277CA4" w:rsidRDefault="00093837" w:rsidP="000361A9">
      <w:pPr>
        <w:spacing w:after="0" w:line="480" w:lineRule="auto"/>
        <w:jc w:val="both"/>
        <w:rPr>
          <w:rFonts w:ascii="Arial" w:hAnsi="Arial" w:cs="Arial"/>
        </w:rPr>
      </w:pPr>
    </w:p>
    <w:p w:rsidR="00093837" w:rsidRPr="00277CA4" w:rsidRDefault="00093837" w:rsidP="000361A9">
      <w:pPr>
        <w:spacing w:after="0" w:line="480" w:lineRule="auto"/>
        <w:jc w:val="both"/>
        <w:rPr>
          <w:rFonts w:ascii="Arial" w:hAnsi="Arial" w:cs="Arial"/>
        </w:rPr>
      </w:pPr>
      <w:r w:rsidRPr="00277CA4">
        <w:rPr>
          <w:rFonts w:ascii="Arial" w:hAnsi="Arial" w:cs="Arial"/>
          <w:b/>
        </w:rPr>
        <w:t xml:space="preserve">Piperacillin and urea assays. </w:t>
      </w:r>
      <w:r w:rsidRPr="00277CA4">
        <w:rPr>
          <w:rFonts w:ascii="Arial" w:hAnsi="Arial" w:cs="Arial"/>
        </w:rPr>
        <w:t>Piperacillin was quantified using either high-performance liquid chromatography or liquid chromatography–tandem mass spectrometry assays.</w:t>
      </w:r>
      <w:r w:rsidRPr="00277CA4">
        <w:rPr>
          <w:rFonts w:ascii="Arial" w:hAnsi="Arial" w:cs="Arial"/>
          <w:noProof/>
          <w:vertAlign w:val="superscript"/>
        </w:rPr>
        <w:t>14-16</w:t>
      </w:r>
      <w:r w:rsidRPr="00277CA4">
        <w:rPr>
          <w:rFonts w:ascii="Arial" w:hAnsi="Arial" w:cs="Arial"/>
        </w:rPr>
        <w:t xml:space="preserve"> Urea was quantified using a colorimetric technique (</w:t>
      </w:r>
      <w:proofErr w:type="spellStart"/>
      <w:r w:rsidRPr="00277CA4">
        <w:rPr>
          <w:rFonts w:ascii="Arial" w:hAnsi="Arial" w:cs="Arial"/>
        </w:rPr>
        <w:t>QuantiChromTM</w:t>
      </w:r>
      <w:proofErr w:type="spellEnd"/>
      <w:r w:rsidRPr="00277CA4">
        <w:rPr>
          <w:rFonts w:ascii="Arial" w:hAnsi="Arial" w:cs="Arial"/>
        </w:rPr>
        <w:t xml:space="preserve"> Urea Assay, </w:t>
      </w:r>
      <w:proofErr w:type="spellStart"/>
      <w:r w:rsidRPr="00277CA4">
        <w:rPr>
          <w:rFonts w:ascii="Arial" w:hAnsi="Arial" w:cs="Arial"/>
        </w:rPr>
        <w:t>Bioxys</w:t>
      </w:r>
      <w:proofErr w:type="spellEnd"/>
      <w:r w:rsidRPr="00277CA4">
        <w:rPr>
          <w:rFonts w:ascii="Arial" w:hAnsi="Arial" w:cs="Arial"/>
        </w:rPr>
        <w:t xml:space="preserve">. </w:t>
      </w:r>
      <w:r w:rsidRPr="00277CA4">
        <w:rPr>
          <w:rFonts w:ascii="Arial" w:hAnsi="Arial" w:cs="Arial"/>
        </w:rPr>
        <w:lastRenderedPageBreak/>
        <w:t>Belgium).</w:t>
      </w:r>
      <w:r w:rsidRPr="00277CA4">
        <w:rPr>
          <w:rFonts w:ascii="Arial" w:hAnsi="Arial" w:cs="Arial"/>
          <w:noProof/>
          <w:vertAlign w:val="superscript"/>
        </w:rPr>
        <w:t>14-16</w:t>
      </w:r>
      <w:r w:rsidRPr="00277CA4">
        <w:rPr>
          <w:rFonts w:ascii="Arial" w:hAnsi="Arial" w:cs="Arial"/>
        </w:rPr>
        <w:t xml:space="preserve"> Piperacillin concentration in ELF was corrected for dilution introduced by lavage sampling using the urea dilution method.</w:t>
      </w:r>
      <w:r w:rsidRPr="00277CA4">
        <w:rPr>
          <w:rFonts w:ascii="Arial" w:hAnsi="Arial" w:cs="Arial"/>
          <w:noProof/>
          <w:vertAlign w:val="superscript"/>
        </w:rPr>
        <w:t>17</w:t>
      </w:r>
      <w:r w:rsidRPr="00277CA4">
        <w:rPr>
          <w:rFonts w:ascii="Arial" w:hAnsi="Arial" w:cs="Arial"/>
        </w:rPr>
        <w:t xml:space="preserve"> </w:t>
      </w:r>
    </w:p>
    <w:p w:rsidR="00093837" w:rsidRPr="00277CA4" w:rsidRDefault="00093837" w:rsidP="000361A9">
      <w:pPr>
        <w:spacing w:after="0" w:line="480" w:lineRule="auto"/>
        <w:jc w:val="both"/>
        <w:rPr>
          <w:rFonts w:ascii="Arial" w:hAnsi="Arial" w:cs="Arial"/>
        </w:rPr>
      </w:pPr>
    </w:p>
    <w:p w:rsidR="00093837" w:rsidRPr="00277CA4" w:rsidRDefault="00093837" w:rsidP="00DD07A9">
      <w:pPr>
        <w:keepNext/>
        <w:spacing w:line="480" w:lineRule="auto"/>
        <w:jc w:val="both"/>
        <w:rPr>
          <w:rFonts w:ascii="Arial" w:hAnsi="Arial" w:cs="Arial"/>
          <w:color w:val="000000"/>
          <w:shd w:val="clear" w:color="auto" w:fill="FFFFFF"/>
        </w:rPr>
      </w:pPr>
      <w:proofErr w:type="gramStart"/>
      <w:r w:rsidRPr="00277CA4">
        <w:rPr>
          <w:rFonts w:ascii="Arial" w:hAnsi="Arial" w:cs="Arial"/>
          <w:b/>
          <w:color w:val="000000"/>
          <w:shd w:val="clear" w:color="auto" w:fill="FFFFFF"/>
        </w:rPr>
        <w:t>Population pharmacokinetic analysis.</w:t>
      </w:r>
      <w:proofErr w:type="gramEnd"/>
      <w:r w:rsidRPr="00277CA4">
        <w:rPr>
          <w:rFonts w:ascii="Arial" w:hAnsi="Arial" w:cs="Arial"/>
          <w:b/>
          <w:color w:val="000000"/>
          <w:shd w:val="clear" w:color="auto" w:fill="FFFFFF"/>
        </w:rPr>
        <w:t xml:space="preserve"> </w:t>
      </w:r>
      <w:r w:rsidRPr="00277CA4">
        <w:rPr>
          <w:rFonts w:ascii="Arial" w:hAnsi="Arial" w:cs="Arial"/>
          <w:color w:val="000000"/>
          <w:shd w:val="clear" w:color="auto" w:fill="FFFFFF"/>
        </w:rPr>
        <w:t xml:space="preserve">Data from the healthy volunteers and critically ill patients were analysed independently using a population pharmacokinetic methodology with the non-parametric adaptive grid program </w:t>
      </w:r>
      <w:proofErr w:type="spellStart"/>
      <w:r w:rsidRPr="00277CA4">
        <w:rPr>
          <w:rFonts w:ascii="Arial" w:hAnsi="Arial" w:cs="Arial"/>
          <w:color w:val="000000"/>
          <w:shd w:val="clear" w:color="auto" w:fill="FFFFFF"/>
        </w:rPr>
        <w:t>Pmetrics</w:t>
      </w:r>
      <w:proofErr w:type="spellEnd"/>
      <w:r w:rsidRPr="00277CA4">
        <w:rPr>
          <w:rFonts w:ascii="Arial" w:hAnsi="Arial" w:cs="Arial"/>
          <w:color w:val="000000"/>
          <w:shd w:val="clear" w:color="auto" w:fill="FFFFFF"/>
        </w:rPr>
        <w:t xml:space="preserve"> 1.4.</w:t>
      </w:r>
      <w:r w:rsidRPr="00277CA4">
        <w:rPr>
          <w:rFonts w:ascii="Arial" w:hAnsi="Arial" w:cs="Arial"/>
          <w:noProof/>
          <w:color w:val="000000"/>
          <w:shd w:val="clear" w:color="auto" w:fill="FFFFFF"/>
          <w:vertAlign w:val="superscript"/>
        </w:rPr>
        <w:t>18</w:t>
      </w:r>
      <w:r w:rsidRPr="00277CA4">
        <w:rPr>
          <w:rFonts w:ascii="Arial" w:hAnsi="Arial" w:cs="Arial"/>
          <w:color w:val="000000"/>
          <w:shd w:val="clear" w:color="auto" w:fill="FFFFFF"/>
        </w:rPr>
        <w:t xml:space="preserve"> A three-compartment structural, mathematical model was assumed to be most appropriate for population analysis.</w:t>
      </w:r>
      <w:r w:rsidRPr="00277CA4">
        <w:rPr>
          <w:rFonts w:ascii="Arial" w:hAnsi="Arial" w:cs="Arial"/>
          <w:noProof/>
          <w:color w:val="000000"/>
          <w:shd w:val="clear" w:color="auto" w:fill="FFFFFF"/>
          <w:vertAlign w:val="superscript"/>
        </w:rPr>
        <w:t>15</w:t>
      </w:r>
      <w:r w:rsidRPr="00277CA4">
        <w:rPr>
          <w:rFonts w:ascii="Arial" w:hAnsi="Arial" w:cs="Arial"/>
          <w:color w:val="000000"/>
          <w:shd w:val="clear" w:color="auto" w:fill="FFFFFF"/>
        </w:rPr>
        <w:t xml:space="preserve"> </w:t>
      </w:r>
    </w:p>
    <w:p w:rsidR="00093837" w:rsidRPr="00277CA4" w:rsidRDefault="00277CA4" w:rsidP="00DD07A9">
      <w:pPr>
        <w:spacing w:line="480" w:lineRule="auto"/>
        <w:jc w:val="both"/>
        <w:rPr>
          <w:rFonts w:ascii="Arial" w:hAnsi="Arial" w:cs="Arial"/>
        </w:rPr>
      </w:pPr>
      <m:oMathPara>
        <m:oMathParaPr>
          <m:jc m:val="left"/>
        </m:oMathParaPr>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num>
            <m:den>
              <m:r>
                <w:rPr>
                  <w:rFonts w:ascii="Cambria Math" w:hAnsi="Cambria Math" w:cs="Arial"/>
                </w:rPr>
                <m:t>dt</m:t>
              </m:r>
            </m:den>
          </m:f>
          <m:r>
            <w:rPr>
              <w:rFonts w:ascii="Cambria Math" w:hAnsi="Cambria Math" w:cs="Arial"/>
            </w:rPr>
            <m:t>=R</m:t>
          </m:r>
          <m:d>
            <m:dPr>
              <m:ctrlPr>
                <w:rPr>
                  <w:rFonts w:ascii="Cambria Math" w:hAnsi="Cambria Math" w:cs="Arial"/>
                  <w:i/>
                </w:rPr>
              </m:ctrlPr>
            </m:dPr>
            <m:e>
              <m:r>
                <w:rPr>
                  <w:rFonts w:ascii="Cambria Math" w:hAnsi="Cambria Math" w:cs="Arial"/>
                </w:rPr>
                <m:t>1</m:t>
              </m:r>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Cl</m:t>
                  </m:r>
                </m:num>
                <m:den>
                  <m:r>
                    <w:rPr>
                      <w:rFonts w:ascii="Cambria Math" w:hAnsi="Cambria Math" w:cs="Arial"/>
                    </w:rPr>
                    <m:t>Vc</m:t>
                  </m:r>
                </m:den>
              </m:f>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cp</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cl</m:t>
                  </m:r>
                </m:sub>
              </m:sSub>
            </m:e>
          </m:d>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pc</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lc</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oMath>
      </m:oMathPara>
    </w:p>
    <w:p w:rsidR="00093837" w:rsidRPr="00277CA4" w:rsidRDefault="00277CA4" w:rsidP="00DD07A9">
      <w:pPr>
        <w:keepNext/>
        <w:spacing w:line="480" w:lineRule="auto"/>
        <w:jc w:val="both"/>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cp</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pc</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m:oMathPara>
    </w:p>
    <w:p w:rsidR="00093837" w:rsidRPr="00277CA4" w:rsidRDefault="00277CA4" w:rsidP="00DD07A9">
      <w:pPr>
        <w:keepNext/>
        <w:spacing w:line="480" w:lineRule="auto"/>
        <w:jc w:val="both"/>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cl</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lc</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oMath>
      </m:oMathPara>
    </w:p>
    <w:p w:rsidR="00093837" w:rsidRPr="00277CA4" w:rsidRDefault="00093837" w:rsidP="00DD07A9">
      <w:pPr>
        <w:keepNext/>
        <w:spacing w:line="480" w:lineRule="auto"/>
        <w:jc w:val="both"/>
        <w:rPr>
          <w:rFonts w:ascii="Arial" w:eastAsiaTheme="minorEastAsia" w:hAnsi="Arial" w:cs="Arial"/>
        </w:rPr>
      </w:pPr>
      <m:oMathPara>
        <m:oMathParaPr>
          <m:jc m:val="left"/>
        </m:oMathParaPr>
        <m:oMath>
          <m:r>
            <w:rPr>
              <w:rFonts w:ascii="Cambria Math" w:hAnsi="Cambria Math" w:cs="Arial"/>
            </w:rPr>
            <m:t>Cl=Clnr+(Clr ×CG/80)</m:t>
          </m:r>
        </m:oMath>
      </m:oMathPara>
    </w:p>
    <w:p w:rsidR="00093837" w:rsidRPr="00277CA4" w:rsidRDefault="00093837" w:rsidP="00C00AAE">
      <w:pPr>
        <w:keepNext/>
        <w:spacing w:after="0" w:line="480" w:lineRule="auto"/>
        <w:jc w:val="both"/>
        <w:rPr>
          <w:rFonts w:ascii="Arial" w:eastAsiaTheme="minorEastAsia" w:hAnsi="Arial" w:cs="Arial"/>
        </w:rPr>
      </w:pPr>
      <w:r w:rsidRPr="00277CA4">
        <w:rPr>
          <w:rFonts w:ascii="Arial" w:hAnsi="Arial" w:cs="Arial"/>
        </w:rPr>
        <w:t>The differential equations</w:t>
      </w:r>
      <w:r w:rsidRPr="00277CA4">
        <w:rPr>
          <w:rFonts w:ascii="Arial" w:hAnsi="Arial" w:cs="Arial"/>
          <w:color w:val="000000"/>
          <w:shd w:val="clear" w:color="auto" w:fill="FFFFFF"/>
        </w:rPr>
        <w:t xml:space="preserve"> for the three-compartment structural mathematical model used are shown above</w:t>
      </w:r>
      <w:r w:rsidRPr="00277CA4">
        <w:rPr>
          <w:rFonts w:ascii="Arial" w:hAnsi="Arial" w:cs="Arial"/>
        </w:rPr>
        <w:t>. X</w:t>
      </w:r>
      <w:r w:rsidRPr="00277CA4">
        <w:rPr>
          <w:rFonts w:ascii="Arial" w:hAnsi="Arial" w:cs="Arial"/>
          <w:vertAlign w:val="subscript"/>
        </w:rPr>
        <w:t>1</w:t>
      </w:r>
      <w:r w:rsidRPr="00277CA4">
        <w:rPr>
          <w:rFonts w:ascii="Arial" w:hAnsi="Arial" w:cs="Arial"/>
        </w:rPr>
        <w:t>, X</w:t>
      </w:r>
      <w:r w:rsidRPr="00277CA4">
        <w:rPr>
          <w:rFonts w:ascii="Arial" w:hAnsi="Arial" w:cs="Arial"/>
          <w:vertAlign w:val="subscript"/>
        </w:rPr>
        <w:t xml:space="preserve">2 </w:t>
      </w:r>
      <w:r w:rsidRPr="00277CA4">
        <w:rPr>
          <w:rFonts w:ascii="Arial" w:hAnsi="Arial" w:cs="Arial"/>
        </w:rPr>
        <w:t>and X</w:t>
      </w:r>
      <w:r w:rsidRPr="00277CA4">
        <w:rPr>
          <w:rFonts w:ascii="Arial" w:hAnsi="Arial" w:cs="Arial"/>
          <w:vertAlign w:val="subscript"/>
        </w:rPr>
        <w:t>3</w:t>
      </w:r>
      <w:r w:rsidRPr="00277CA4">
        <w:rPr>
          <w:rFonts w:ascii="Arial" w:hAnsi="Arial" w:cs="Arial"/>
        </w:rPr>
        <w:t xml:space="preserve"> are the amounts (in mg) of piperacillin in the central, peripheral and ELF compartments, respectively. </w:t>
      </w:r>
      <w:proofErr w:type="gramStart"/>
      <w:r w:rsidRPr="00277CA4">
        <w:rPr>
          <w:rFonts w:ascii="Arial" w:hAnsi="Arial" w:cs="Arial"/>
        </w:rPr>
        <w:t>R(</w:t>
      </w:r>
      <w:proofErr w:type="gramEnd"/>
      <w:r w:rsidRPr="00277CA4">
        <w:rPr>
          <w:rFonts w:ascii="Arial" w:hAnsi="Arial" w:cs="Arial"/>
        </w:rPr>
        <w:t xml:space="preserve">1) represents the infusion of piperacillin. Cl (L/hr) is the clearance, and </w:t>
      </w:r>
      <w:proofErr w:type="spellStart"/>
      <w:proofErr w:type="gramStart"/>
      <w:r w:rsidRPr="00277CA4">
        <w:rPr>
          <w:rFonts w:ascii="Arial" w:hAnsi="Arial" w:cs="Arial"/>
        </w:rPr>
        <w:t>Vc</w:t>
      </w:r>
      <w:proofErr w:type="spellEnd"/>
      <w:proofErr w:type="gramEnd"/>
      <w:r w:rsidRPr="00277CA4">
        <w:rPr>
          <w:rFonts w:ascii="Arial" w:hAnsi="Arial" w:cs="Arial"/>
        </w:rPr>
        <w:t xml:space="preserve"> is the volume of the central compartment (L). </w:t>
      </w:r>
      <w:proofErr w:type="spellStart"/>
      <w:r w:rsidRPr="00277CA4">
        <w:rPr>
          <w:rFonts w:ascii="Arial" w:hAnsi="Arial" w:cs="Arial"/>
        </w:rPr>
        <w:t>K</w:t>
      </w:r>
      <w:r w:rsidRPr="00277CA4">
        <w:rPr>
          <w:rFonts w:ascii="Arial" w:hAnsi="Arial" w:cs="Arial"/>
          <w:vertAlign w:val="subscript"/>
        </w:rPr>
        <w:t>cp</w:t>
      </w:r>
      <w:proofErr w:type="spellEnd"/>
      <w:r w:rsidRPr="00277CA4">
        <w:rPr>
          <w:rFonts w:ascii="Arial" w:hAnsi="Arial" w:cs="Arial"/>
        </w:rPr>
        <w:t xml:space="preserve">, </w:t>
      </w:r>
      <w:proofErr w:type="spellStart"/>
      <w:r w:rsidRPr="00277CA4">
        <w:rPr>
          <w:rFonts w:ascii="Arial" w:hAnsi="Arial" w:cs="Arial"/>
        </w:rPr>
        <w:t>K</w:t>
      </w:r>
      <w:r w:rsidRPr="00277CA4">
        <w:rPr>
          <w:rFonts w:ascii="Arial" w:hAnsi="Arial" w:cs="Arial"/>
          <w:vertAlign w:val="subscript"/>
        </w:rPr>
        <w:t>pc</w:t>
      </w:r>
      <w:proofErr w:type="spellEnd"/>
      <w:r w:rsidRPr="00277CA4">
        <w:rPr>
          <w:rFonts w:ascii="Arial" w:hAnsi="Arial" w:cs="Arial"/>
        </w:rPr>
        <w:t>, K</w:t>
      </w:r>
      <w:r w:rsidRPr="00277CA4">
        <w:rPr>
          <w:rFonts w:ascii="Arial" w:hAnsi="Arial" w:cs="Arial"/>
          <w:vertAlign w:val="subscript"/>
        </w:rPr>
        <w:t>cl</w:t>
      </w:r>
      <w:r w:rsidRPr="00277CA4">
        <w:rPr>
          <w:rFonts w:ascii="Arial" w:hAnsi="Arial" w:cs="Arial"/>
        </w:rPr>
        <w:t xml:space="preserve"> and </w:t>
      </w:r>
      <w:proofErr w:type="spellStart"/>
      <w:r w:rsidRPr="00277CA4">
        <w:rPr>
          <w:rFonts w:ascii="Arial" w:hAnsi="Arial" w:cs="Arial"/>
        </w:rPr>
        <w:t>K</w:t>
      </w:r>
      <w:r w:rsidRPr="00277CA4">
        <w:rPr>
          <w:rFonts w:ascii="Arial" w:hAnsi="Arial" w:cs="Arial"/>
          <w:vertAlign w:val="subscript"/>
        </w:rPr>
        <w:t>lc</w:t>
      </w:r>
      <w:proofErr w:type="spellEnd"/>
      <w:r w:rsidRPr="00277CA4">
        <w:rPr>
          <w:rFonts w:ascii="Arial" w:hAnsi="Arial" w:cs="Arial"/>
        </w:rPr>
        <w:t xml:space="preserve"> are the first-order inter-compartmental rate constants between the central and peripheral and central and ELF compartments. For the analysis of the critically ill patients, creatinine clearance (estimated by Cockcroft-Gault) (CG) was included as a covariate for piperacillin clearance in the structural model. </w:t>
      </w:r>
      <w:proofErr w:type="spellStart"/>
      <w:r w:rsidRPr="00277CA4">
        <w:rPr>
          <w:rFonts w:ascii="Arial" w:hAnsi="Arial" w:cs="Arial"/>
        </w:rPr>
        <w:t>Cl</w:t>
      </w:r>
      <w:r w:rsidRPr="00277CA4">
        <w:rPr>
          <w:rFonts w:ascii="Arial" w:hAnsi="Arial" w:cs="Arial"/>
          <w:vertAlign w:val="subscript"/>
        </w:rPr>
        <w:t>r</w:t>
      </w:r>
      <w:proofErr w:type="spellEnd"/>
      <w:r w:rsidRPr="00277CA4">
        <w:rPr>
          <w:rFonts w:ascii="Arial" w:hAnsi="Arial" w:cs="Arial"/>
        </w:rPr>
        <w:t xml:space="preserve"> (L/hr) and </w:t>
      </w:r>
      <w:proofErr w:type="spellStart"/>
      <w:r w:rsidRPr="00277CA4">
        <w:rPr>
          <w:rFonts w:ascii="Arial" w:hAnsi="Arial" w:cs="Arial"/>
        </w:rPr>
        <w:t>Cl</w:t>
      </w:r>
      <w:r w:rsidRPr="00277CA4">
        <w:rPr>
          <w:rFonts w:ascii="Arial" w:hAnsi="Arial" w:cs="Arial"/>
          <w:vertAlign w:val="subscript"/>
        </w:rPr>
        <w:t>nr</w:t>
      </w:r>
      <w:proofErr w:type="spellEnd"/>
      <w:r w:rsidRPr="00277CA4">
        <w:rPr>
          <w:rFonts w:ascii="Arial" w:hAnsi="Arial" w:cs="Arial"/>
        </w:rPr>
        <w:t xml:space="preserve"> (L/hr) are the renal and non-renal piperacillin clearance. A linear total clearance term was used for healthy volunteers as there was an insufficient range of creatinine clearances to define renal and non-renal piperacillin clearance</w:t>
      </w:r>
    </w:p>
    <w:p w:rsidR="00093837" w:rsidRPr="00277CA4" w:rsidRDefault="00093837" w:rsidP="00C00AAE">
      <w:pPr>
        <w:spacing w:after="0" w:line="480" w:lineRule="auto"/>
        <w:jc w:val="both"/>
        <w:rPr>
          <w:rFonts w:ascii="Arial" w:hAnsi="Arial" w:cs="Arial"/>
          <w:color w:val="000000"/>
          <w:shd w:val="clear" w:color="auto" w:fill="FFFFFF"/>
        </w:rPr>
      </w:pPr>
    </w:p>
    <w:p w:rsidR="00093837" w:rsidRPr="00277CA4" w:rsidRDefault="00093837" w:rsidP="00C00AAE">
      <w:pPr>
        <w:spacing w:after="0" w:line="480" w:lineRule="auto"/>
        <w:jc w:val="both"/>
        <w:rPr>
          <w:rFonts w:ascii="Arial" w:hAnsi="Arial" w:cs="Arial"/>
          <w:color w:val="000000"/>
          <w:shd w:val="clear" w:color="auto" w:fill="FFFFFF"/>
        </w:rPr>
      </w:pPr>
      <w:r w:rsidRPr="00277CA4">
        <w:rPr>
          <w:rFonts w:ascii="Arial" w:hAnsi="Arial" w:cs="Arial"/>
          <w:color w:val="000000"/>
          <w:shd w:val="clear" w:color="auto" w:fill="FFFFFF"/>
        </w:rPr>
        <w:lastRenderedPageBreak/>
        <w:t xml:space="preserve">The pharmacokinetic data were weighted by the inverse of the measured piperacillin assay variance at that concentration. The polynomial describing the assay variance used in Felton </w:t>
      </w:r>
      <w:r w:rsidR="008F6B7A" w:rsidRPr="00277CA4">
        <w:rPr>
          <w:rFonts w:ascii="Arial" w:hAnsi="Arial" w:cs="Arial"/>
          <w:i/>
          <w:color w:val="000000"/>
          <w:shd w:val="clear" w:color="auto" w:fill="FFFFFF"/>
        </w:rPr>
        <w:t>et al</w:t>
      </w:r>
      <w:r w:rsidRPr="00277CA4">
        <w:rPr>
          <w:rFonts w:ascii="Arial" w:hAnsi="Arial" w:cs="Arial"/>
          <w:color w:val="000000"/>
          <w:shd w:val="clear" w:color="auto" w:fill="FFFFFF"/>
        </w:rPr>
        <w:t xml:space="preserve"> was used.</w:t>
      </w:r>
      <w:r w:rsidRPr="00277CA4">
        <w:rPr>
          <w:rFonts w:ascii="Arial" w:hAnsi="Arial" w:cs="Arial"/>
          <w:noProof/>
          <w:color w:val="000000"/>
          <w:shd w:val="clear" w:color="auto" w:fill="FFFFFF"/>
          <w:vertAlign w:val="superscript"/>
        </w:rPr>
        <w:t>15</w:t>
      </w:r>
      <w:r w:rsidRPr="00277CA4">
        <w:rPr>
          <w:rFonts w:ascii="Arial" w:hAnsi="Arial" w:cs="Arial"/>
          <w:color w:val="000000"/>
          <w:shd w:val="clear" w:color="auto" w:fill="FFFFFF"/>
        </w:rPr>
        <w:t xml:space="preserve"> </w:t>
      </w:r>
      <w:proofErr w:type="gramStart"/>
      <w:r w:rsidRPr="00277CA4">
        <w:rPr>
          <w:rFonts w:ascii="Arial" w:hAnsi="Arial" w:cs="Arial"/>
          <w:color w:val="000000"/>
          <w:shd w:val="clear" w:color="auto" w:fill="FFFFFF"/>
        </w:rPr>
        <w:t>The</w:t>
      </w:r>
      <w:proofErr w:type="gramEnd"/>
      <w:r w:rsidRPr="00277CA4">
        <w:rPr>
          <w:rFonts w:ascii="Arial" w:hAnsi="Arial" w:cs="Arial"/>
          <w:color w:val="000000"/>
          <w:shd w:val="clear" w:color="auto" w:fill="FFFFFF"/>
        </w:rPr>
        <w:t xml:space="preserve"> means, medians, and standard deviations of the population parameters were estimated. Bayesian posterior estimates for each parameter were also obtained for each patient (using the “population of one” utility in </w:t>
      </w:r>
      <w:proofErr w:type="spellStart"/>
      <w:r w:rsidR="008F6B7A" w:rsidRPr="00277CA4">
        <w:rPr>
          <w:rFonts w:ascii="Arial" w:hAnsi="Arial" w:cs="Arial"/>
          <w:color w:val="000000"/>
          <w:shd w:val="clear" w:color="auto" w:fill="FFFFFF"/>
        </w:rPr>
        <w:t>Pmetrics</w:t>
      </w:r>
      <w:proofErr w:type="spellEnd"/>
      <w:r w:rsidRPr="00277CA4">
        <w:rPr>
          <w:rFonts w:ascii="Arial" w:hAnsi="Arial" w:cs="Arial"/>
          <w:color w:val="000000"/>
          <w:shd w:val="clear" w:color="auto" w:fill="FFFFFF"/>
        </w:rPr>
        <w:t>). Scatter plots of observed versus predicted piperacillin concentrations were examined for the population as a whole and for individual patients. The fit of the structural model to the data were assessed in the following way: (a) the log-likelihood value; (b) the coefficients of determination (</w:t>
      </w:r>
      <w:r w:rsidRPr="00277CA4">
        <w:rPr>
          <w:rFonts w:ascii="Arial" w:hAnsi="Arial" w:cs="Arial"/>
          <w:i/>
          <w:color w:val="000000"/>
          <w:shd w:val="clear" w:color="auto" w:fill="FFFFFF"/>
        </w:rPr>
        <w:t>r</w:t>
      </w:r>
      <w:r w:rsidRPr="00277CA4">
        <w:rPr>
          <w:rFonts w:ascii="Arial" w:hAnsi="Arial" w:cs="Arial"/>
          <w:i/>
          <w:color w:val="000000"/>
          <w:shd w:val="clear" w:color="auto" w:fill="FFFFFF"/>
          <w:vertAlign w:val="superscript"/>
        </w:rPr>
        <w:t>2</w:t>
      </w:r>
      <w:r w:rsidRPr="00277CA4">
        <w:rPr>
          <w:rFonts w:ascii="Arial" w:hAnsi="Arial" w:cs="Arial"/>
          <w:color w:val="000000"/>
          <w:shd w:val="clear" w:color="auto" w:fill="FFFFFF"/>
        </w:rPr>
        <w:t xml:space="preserve">), slope and y-intercept from regression of the observed-predicted plots before and after the Bayesian step; and (c) the </w:t>
      </w:r>
      <w:proofErr w:type="spellStart"/>
      <w:r w:rsidRPr="00277CA4">
        <w:rPr>
          <w:rFonts w:ascii="Arial" w:hAnsi="Arial" w:cs="Arial"/>
          <w:color w:val="000000"/>
          <w:shd w:val="clear" w:color="auto" w:fill="FFFFFF"/>
        </w:rPr>
        <w:t>Akaike</w:t>
      </w:r>
      <w:proofErr w:type="spellEnd"/>
      <w:r w:rsidRPr="00277CA4">
        <w:rPr>
          <w:rFonts w:ascii="Arial" w:hAnsi="Arial" w:cs="Arial"/>
          <w:color w:val="000000"/>
          <w:shd w:val="clear" w:color="auto" w:fill="FFFFFF"/>
        </w:rPr>
        <w:t xml:space="preserve"> information criterion (AIC). </w:t>
      </w:r>
    </w:p>
    <w:p w:rsidR="00093837" w:rsidRPr="00277CA4" w:rsidRDefault="00093837" w:rsidP="000361A9">
      <w:pPr>
        <w:spacing w:after="0" w:line="480" w:lineRule="auto"/>
        <w:jc w:val="both"/>
        <w:rPr>
          <w:rFonts w:ascii="Arial" w:hAnsi="Arial" w:cs="Arial"/>
        </w:rPr>
      </w:pPr>
    </w:p>
    <w:p w:rsidR="00093837" w:rsidRPr="00277CA4" w:rsidRDefault="00093837" w:rsidP="00B36229">
      <w:pPr>
        <w:spacing w:after="0" w:line="480" w:lineRule="auto"/>
        <w:jc w:val="both"/>
        <w:rPr>
          <w:rFonts w:ascii="Arial" w:hAnsi="Arial" w:cs="Arial"/>
        </w:rPr>
      </w:pPr>
      <w:proofErr w:type="gramStart"/>
      <w:r w:rsidRPr="00277CA4">
        <w:rPr>
          <w:rFonts w:ascii="Arial" w:hAnsi="Arial" w:cs="Arial"/>
          <w:b/>
        </w:rPr>
        <w:t>Simulation to estimate piperacillin exposure in serum and ELF and Fractional Target Attainment.</w:t>
      </w:r>
      <w:proofErr w:type="gramEnd"/>
      <w:r w:rsidRPr="00277CA4">
        <w:rPr>
          <w:rFonts w:ascii="Arial" w:hAnsi="Arial" w:cs="Arial"/>
          <w:b/>
        </w:rPr>
        <w:t xml:space="preserve"> </w:t>
      </w:r>
      <w:r w:rsidRPr="00277CA4">
        <w:rPr>
          <w:rFonts w:ascii="Arial" w:hAnsi="Arial" w:cs="Arial"/>
        </w:rPr>
        <w:t xml:space="preserve">Monte Carlo simulation was performed using 5,000 subject simulations in </w:t>
      </w:r>
      <w:proofErr w:type="spellStart"/>
      <w:r w:rsidRPr="00277CA4">
        <w:rPr>
          <w:rFonts w:ascii="Arial" w:hAnsi="Arial" w:cs="Arial"/>
        </w:rPr>
        <w:t>Pmetrics</w:t>
      </w:r>
      <w:proofErr w:type="spellEnd"/>
      <w:r w:rsidRPr="00277CA4">
        <w:rPr>
          <w:rFonts w:ascii="Arial" w:hAnsi="Arial" w:cs="Arial"/>
        </w:rPr>
        <w:t xml:space="preserve"> 1.4.</w:t>
      </w:r>
      <w:r w:rsidRPr="00277CA4">
        <w:rPr>
          <w:rFonts w:ascii="Arial" w:hAnsi="Arial" w:cs="Arial"/>
          <w:noProof/>
          <w:vertAlign w:val="superscript"/>
        </w:rPr>
        <w:t>18</w:t>
      </w:r>
      <w:r w:rsidRPr="00277CA4">
        <w:rPr>
          <w:rFonts w:ascii="Arial" w:hAnsi="Arial" w:cs="Arial"/>
        </w:rPr>
        <w:t xml:space="preserve"> </w:t>
      </w:r>
      <w:proofErr w:type="gramStart"/>
      <w:r w:rsidRPr="00277CA4">
        <w:rPr>
          <w:rFonts w:ascii="Arial" w:hAnsi="Arial" w:cs="Arial"/>
        </w:rPr>
        <w:t>The</w:t>
      </w:r>
      <w:proofErr w:type="gramEnd"/>
      <w:r w:rsidRPr="00277CA4">
        <w:rPr>
          <w:rFonts w:ascii="Arial" w:hAnsi="Arial" w:cs="Arial"/>
        </w:rPr>
        <w:t xml:space="preserve"> “semi-parametric” simulation method was used for both the healthy volunteers and critically ill patients. The observed distribution of creatinine clearance from the population of critically ill patients was used in the simulations with covariates for critically ill patients. A regimen of 4 g of piperacillin administered over 30 minutes every 8 hours was used. Generation of the serum and ELF piperacillin AUCs and for the fractional target attainment analysis was performed for the third dosing interval. The ratio of serum to ELF piperacillin AUC was calculated for each of the 5,000 simulated patients. From the simulation the geometric mean, median, 5</w:t>
      </w:r>
      <w:r w:rsidRPr="00277CA4">
        <w:rPr>
          <w:rFonts w:ascii="Arial" w:hAnsi="Arial" w:cs="Arial"/>
          <w:vertAlign w:val="superscript"/>
        </w:rPr>
        <w:t>th</w:t>
      </w:r>
      <w:r w:rsidRPr="00277CA4">
        <w:rPr>
          <w:rFonts w:ascii="Arial" w:hAnsi="Arial" w:cs="Arial"/>
        </w:rPr>
        <w:t>-percentile, 25</w:t>
      </w:r>
      <w:r w:rsidRPr="00277CA4">
        <w:rPr>
          <w:rFonts w:ascii="Arial" w:hAnsi="Arial" w:cs="Arial"/>
          <w:vertAlign w:val="superscript"/>
        </w:rPr>
        <w:t>th</w:t>
      </w:r>
      <w:r w:rsidRPr="00277CA4">
        <w:rPr>
          <w:rFonts w:ascii="Arial" w:hAnsi="Arial" w:cs="Arial"/>
        </w:rPr>
        <w:t>–percentile, 75</w:t>
      </w:r>
      <w:r w:rsidRPr="00277CA4">
        <w:rPr>
          <w:rFonts w:ascii="Arial" w:hAnsi="Arial" w:cs="Arial"/>
          <w:vertAlign w:val="superscript"/>
        </w:rPr>
        <w:t>th</w:t>
      </w:r>
      <w:r w:rsidRPr="00277CA4">
        <w:rPr>
          <w:rFonts w:ascii="Arial" w:hAnsi="Arial" w:cs="Arial"/>
        </w:rPr>
        <w:t>–percentile, and 95</w:t>
      </w:r>
      <w:r w:rsidRPr="00277CA4">
        <w:rPr>
          <w:rFonts w:ascii="Arial" w:hAnsi="Arial" w:cs="Arial"/>
          <w:vertAlign w:val="superscript"/>
        </w:rPr>
        <w:t>th</w:t>
      </w:r>
      <w:r w:rsidRPr="00277CA4">
        <w:rPr>
          <w:rFonts w:ascii="Arial" w:hAnsi="Arial" w:cs="Arial"/>
        </w:rPr>
        <w:t xml:space="preserve">–percentile serum piperacillin AUC, ELF piperacillin AUC and </w:t>
      </w:r>
      <w:proofErr w:type="spellStart"/>
      <w:r w:rsidRPr="00277CA4">
        <w:rPr>
          <w:rFonts w:ascii="Arial" w:hAnsi="Arial" w:cs="Arial"/>
        </w:rPr>
        <w:t>serum</w:t>
      </w:r>
      <w:proofErr w:type="gramStart"/>
      <w:r w:rsidRPr="00277CA4">
        <w:rPr>
          <w:rFonts w:ascii="Arial" w:hAnsi="Arial" w:cs="Arial"/>
        </w:rPr>
        <w:t>:ELF</w:t>
      </w:r>
      <w:proofErr w:type="spellEnd"/>
      <w:proofErr w:type="gramEnd"/>
      <w:r w:rsidRPr="00277CA4">
        <w:rPr>
          <w:rFonts w:ascii="Arial" w:hAnsi="Arial" w:cs="Arial"/>
        </w:rPr>
        <w:t xml:space="preserve"> piperacillin AUC ratio was identified. Comparison between AUC distributions in healthy volunteers and critically ill patients was made using Mann-Whitney U test in </w:t>
      </w:r>
      <w:proofErr w:type="spellStart"/>
      <w:r w:rsidRPr="00277CA4">
        <w:rPr>
          <w:rFonts w:ascii="Arial" w:hAnsi="Arial" w:cs="Arial"/>
        </w:rPr>
        <w:t>GraphPad</w:t>
      </w:r>
      <w:proofErr w:type="spellEnd"/>
      <w:r w:rsidRPr="00277CA4">
        <w:rPr>
          <w:rFonts w:ascii="Arial" w:hAnsi="Arial" w:cs="Arial"/>
        </w:rPr>
        <w:t xml:space="preserve"> Prism version 7 for Windows. </w:t>
      </w:r>
    </w:p>
    <w:p w:rsidR="00093837" w:rsidRPr="00277CA4" w:rsidRDefault="00093837" w:rsidP="00B36229">
      <w:pPr>
        <w:spacing w:line="480" w:lineRule="auto"/>
        <w:jc w:val="both"/>
        <w:rPr>
          <w:rFonts w:ascii="Arial" w:hAnsi="Arial" w:cs="Arial"/>
        </w:rPr>
      </w:pPr>
      <w:r w:rsidRPr="00277CA4">
        <w:rPr>
          <w:rFonts w:ascii="Arial" w:hAnsi="Arial" w:cs="Arial"/>
        </w:rPr>
        <w:t>The fraction of simulated subjects who achieved (</w:t>
      </w:r>
      <w:proofErr w:type="spellStart"/>
      <w:r w:rsidRPr="00277CA4">
        <w:rPr>
          <w:rFonts w:ascii="Arial" w:hAnsi="Arial" w:cs="Arial"/>
        </w:rPr>
        <w:t>i</w:t>
      </w:r>
      <w:proofErr w:type="spellEnd"/>
      <w:r w:rsidRPr="00277CA4">
        <w:rPr>
          <w:rFonts w:ascii="Arial" w:hAnsi="Arial" w:cs="Arial"/>
        </w:rPr>
        <w:t xml:space="preserve">) an unbound serum piperacillin </w:t>
      </w:r>
      <w:bookmarkStart w:id="3" w:name="OLE_LINK1"/>
      <w:bookmarkStart w:id="4" w:name="OLE_LINK2"/>
      <w:r w:rsidRPr="00277CA4">
        <w:rPr>
          <w:rFonts w:ascii="Arial" w:hAnsi="Arial" w:cs="Arial"/>
        </w:rPr>
        <w:t xml:space="preserve">concentration above the MIC for 50% of the third dosing interval </w:t>
      </w:r>
      <w:bookmarkEnd w:id="3"/>
      <w:bookmarkEnd w:id="4"/>
      <w:r w:rsidRPr="00277CA4">
        <w:rPr>
          <w:rFonts w:ascii="Arial" w:hAnsi="Arial" w:cs="Arial"/>
        </w:rPr>
        <w:t xml:space="preserve">(50% </w:t>
      </w:r>
      <w:proofErr w:type="spellStart"/>
      <w:r w:rsidRPr="00277CA4">
        <w:rPr>
          <w:rFonts w:ascii="Arial" w:hAnsi="Arial" w:cs="Arial"/>
        </w:rPr>
        <w:t>fT</w:t>
      </w:r>
      <w:proofErr w:type="spellEnd"/>
      <w:r w:rsidRPr="00277CA4">
        <w:rPr>
          <w:rFonts w:ascii="Arial" w:hAnsi="Arial" w:cs="Arial"/>
          <w:vertAlign w:val="subscript"/>
        </w:rPr>
        <w:t>&gt;MIC</w:t>
      </w:r>
      <w:r w:rsidRPr="00277CA4">
        <w:rPr>
          <w:rFonts w:ascii="Arial" w:hAnsi="Arial" w:cs="Arial"/>
        </w:rPr>
        <w:t xml:space="preserve">) and (ii) an ELF piperacillin concentration above the MIC for 50% of the third dosing interval was identified for </w:t>
      </w:r>
      <w:r w:rsidRPr="00277CA4">
        <w:rPr>
          <w:rFonts w:ascii="Arial" w:hAnsi="Arial" w:cs="Arial"/>
        </w:rPr>
        <w:lastRenderedPageBreak/>
        <w:t>a range of MICs. A range of MICs from 0.5 to 128 mg/L was investigated. Serum protein binding for piperacillin was assumed to be 30%.</w:t>
      </w:r>
      <w:r w:rsidRPr="00277CA4">
        <w:rPr>
          <w:rFonts w:ascii="Arial" w:hAnsi="Arial" w:cs="Arial"/>
          <w:noProof/>
          <w:vertAlign w:val="superscript"/>
        </w:rPr>
        <w:t>19</w:t>
      </w:r>
      <w:r w:rsidRPr="00277CA4">
        <w:rPr>
          <w:rFonts w:ascii="Arial" w:hAnsi="Arial" w:cs="Arial"/>
        </w:rPr>
        <w:br w:type="page"/>
      </w:r>
    </w:p>
    <w:p w:rsidR="00093837" w:rsidRPr="00277CA4" w:rsidRDefault="00093837" w:rsidP="00B71E2F">
      <w:pPr>
        <w:spacing w:after="0" w:line="480" w:lineRule="auto"/>
        <w:jc w:val="both"/>
        <w:rPr>
          <w:rFonts w:ascii="Arial" w:hAnsi="Arial" w:cs="Arial"/>
          <w:u w:val="single"/>
        </w:rPr>
      </w:pPr>
      <w:r w:rsidRPr="00277CA4">
        <w:rPr>
          <w:rFonts w:ascii="Arial" w:hAnsi="Arial" w:cs="Arial"/>
          <w:u w:val="single"/>
        </w:rPr>
        <w:lastRenderedPageBreak/>
        <w:t>Results</w:t>
      </w:r>
    </w:p>
    <w:p w:rsidR="00093837" w:rsidRPr="00277CA4" w:rsidRDefault="00093837" w:rsidP="006C3009">
      <w:pPr>
        <w:spacing w:after="0" w:line="480" w:lineRule="auto"/>
        <w:jc w:val="both"/>
        <w:rPr>
          <w:rFonts w:ascii="Arial" w:hAnsi="Arial" w:cs="Arial"/>
        </w:rPr>
      </w:pPr>
      <w:proofErr w:type="gramStart"/>
      <w:r w:rsidRPr="00277CA4">
        <w:rPr>
          <w:rFonts w:ascii="Arial" w:hAnsi="Arial" w:cs="Arial"/>
          <w:b/>
        </w:rPr>
        <w:t>Pharmacokinetic studies.</w:t>
      </w:r>
      <w:proofErr w:type="gramEnd"/>
      <w:r w:rsidRPr="00277CA4">
        <w:rPr>
          <w:rFonts w:ascii="Arial" w:hAnsi="Arial" w:cs="Arial"/>
        </w:rPr>
        <w:t xml:space="preserve"> The mean age of the healthy volunteers and critically ill patients was 34 and 60 years, respectively (Table 1). Fifty-six percent of the healthy volunteers and 58% of the critically ill patients were male. Creatinine clearance ranged from 78.9 to 170.3 mL/min in the healthy volunteers compared with a range of 14.0 to 245.7 mL/min in the critically ill patients. </w:t>
      </w:r>
    </w:p>
    <w:p w:rsidR="00093837" w:rsidRPr="00277CA4" w:rsidRDefault="00093837">
      <w:pPr>
        <w:rPr>
          <w:rFonts w:ascii="Arial" w:hAnsi="Arial" w:cs="Arial"/>
        </w:rPr>
      </w:pPr>
    </w:p>
    <w:p w:rsidR="00093837" w:rsidRPr="00277CA4" w:rsidRDefault="00093837" w:rsidP="00DF0015">
      <w:pPr>
        <w:spacing w:line="480" w:lineRule="auto"/>
        <w:jc w:val="both"/>
        <w:rPr>
          <w:rFonts w:ascii="Arial" w:hAnsi="Arial" w:cs="Arial"/>
          <w:color w:val="000000"/>
          <w:shd w:val="clear" w:color="auto" w:fill="FFFFFF"/>
        </w:rPr>
      </w:pPr>
      <w:proofErr w:type="gramStart"/>
      <w:r w:rsidRPr="00277CA4">
        <w:rPr>
          <w:rFonts w:ascii="Arial" w:hAnsi="Arial" w:cs="Arial"/>
          <w:b/>
          <w:color w:val="000000"/>
          <w:shd w:val="clear" w:color="auto" w:fill="FFFFFF"/>
        </w:rPr>
        <w:t>Population pharmacokinetic analysis.</w:t>
      </w:r>
      <w:proofErr w:type="gramEnd"/>
      <w:r w:rsidRPr="00277CA4">
        <w:rPr>
          <w:rFonts w:ascii="Arial" w:hAnsi="Arial" w:cs="Arial"/>
          <w:b/>
          <w:color w:val="000000"/>
          <w:shd w:val="clear" w:color="auto" w:fill="FFFFFF"/>
        </w:rPr>
        <w:t xml:space="preserve"> </w:t>
      </w:r>
      <w:r w:rsidRPr="00277CA4">
        <w:rPr>
          <w:rFonts w:ascii="Arial" w:hAnsi="Arial" w:cs="Arial"/>
          <w:color w:val="000000"/>
          <w:shd w:val="clear" w:color="auto" w:fill="FFFFFF"/>
        </w:rPr>
        <w:t>The fit of the mathematical model to the observed data for both the healthy volunteers and the critically ill patients was acceptable (Figure 1). Linear regression of the predicted-</w:t>
      </w:r>
      <w:r w:rsidR="008F6B7A" w:rsidRPr="00277CA4">
        <w:rPr>
          <w:rFonts w:ascii="Arial" w:hAnsi="Arial" w:cs="Arial"/>
          <w:color w:val="000000"/>
          <w:shd w:val="clear" w:color="auto" w:fill="FFFFFF"/>
        </w:rPr>
        <w:t>versus</w:t>
      </w:r>
      <w:r w:rsidRPr="00277CA4">
        <w:rPr>
          <w:rFonts w:ascii="Arial" w:hAnsi="Arial" w:cs="Arial"/>
          <w:color w:val="000000"/>
          <w:shd w:val="clear" w:color="auto" w:fill="FFFFFF"/>
        </w:rPr>
        <w:t>-observed piperacillin concentrations in the healthy volunteers were: observed piperacillin serum concentration = 0.97 x predicted piperacillin serum concentration + 2.74; r</w:t>
      </w:r>
      <w:r w:rsidRPr="00277CA4">
        <w:rPr>
          <w:rFonts w:ascii="Arial" w:hAnsi="Arial" w:cs="Arial"/>
          <w:color w:val="000000"/>
          <w:shd w:val="clear" w:color="auto" w:fill="FFFFFF"/>
          <w:vertAlign w:val="superscript"/>
        </w:rPr>
        <w:t>2</w:t>
      </w:r>
      <w:r w:rsidRPr="00277CA4">
        <w:rPr>
          <w:rFonts w:ascii="Arial" w:hAnsi="Arial" w:cs="Arial"/>
          <w:color w:val="000000"/>
          <w:shd w:val="clear" w:color="auto" w:fill="FFFFFF"/>
        </w:rPr>
        <w:t xml:space="preserve"> = 0.99 and observed piperacillin ELF concentration = 1.00 x predicted piperacillin ELF concentration – 0.03; r</w:t>
      </w:r>
      <w:r w:rsidRPr="00277CA4">
        <w:rPr>
          <w:rFonts w:ascii="Arial" w:hAnsi="Arial" w:cs="Arial"/>
          <w:color w:val="000000"/>
          <w:shd w:val="clear" w:color="auto" w:fill="FFFFFF"/>
          <w:vertAlign w:val="superscript"/>
        </w:rPr>
        <w:t>2</w:t>
      </w:r>
      <w:r w:rsidRPr="00277CA4">
        <w:rPr>
          <w:rFonts w:ascii="Arial" w:hAnsi="Arial" w:cs="Arial"/>
          <w:color w:val="000000"/>
          <w:shd w:val="clear" w:color="auto" w:fill="FFFFFF"/>
        </w:rPr>
        <w:t xml:space="preserve"> = 1. For critically ill patients the observed piperacillin serum concentration = 1.02 x predicted piperacillin serum concentration + 2.30; r</w:t>
      </w:r>
      <w:r w:rsidRPr="00277CA4">
        <w:rPr>
          <w:rFonts w:ascii="Arial" w:hAnsi="Arial" w:cs="Arial"/>
          <w:color w:val="000000"/>
          <w:shd w:val="clear" w:color="auto" w:fill="FFFFFF"/>
          <w:vertAlign w:val="superscript"/>
        </w:rPr>
        <w:t>2</w:t>
      </w:r>
      <w:r w:rsidRPr="00277CA4">
        <w:rPr>
          <w:rFonts w:ascii="Arial" w:hAnsi="Arial" w:cs="Arial"/>
          <w:color w:val="000000"/>
          <w:shd w:val="clear" w:color="auto" w:fill="FFFFFF"/>
        </w:rPr>
        <w:t xml:space="preserve"> = 0.93 and observed piperacillin ELF concentration = 1.2 x predicted piperacillin ELF concentration – 0.86; r</w:t>
      </w:r>
      <w:r w:rsidRPr="00277CA4">
        <w:rPr>
          <w:rFonts w:ascii="Arial" w:hAnsi="Arial" w:cs="Arial"/>
          <w:color w:val="000000"/>
          <w:shd w:val="clear" w:color="auto" w:fill="FFFFFF"/>
          <w:vertAlign w:val="superscript"/>
        </w:rPr>
        <w:t>2</w:t>
      </w:r>
      <w:r w:rsidRPr="00277CA4">
        <w:rPr>
          <w:rFonts w:ascii="Arial" w:hAnsi="Arial" w:cs="Arial"/>
          <w:color w:val="000000"/>
          <w:shd w:val="clear" w:color="auto" w:fill="FFFFFF"/>
        </w:rPr>
        <w:t xml:space="preserve"> = 0.87. For serum piperacillin concentration for the healthy volunteers and critically ill patients the mean weighted biases were -0.09 and -0.05, respectively, and the bias-adjusted mean weighted precision values were 1.19 and 0.74, respectively. For ELF piperacillin concentration for the healthy volunteers and critically ill patients the mean weighted biases were 0.36 and -1.28, respectively, and the bias-adjusted mean weighted precision values were 1.41 and 30.4, respectively. The parameter estimates from both the population analyses are summarised in Table 2. </w:t>
      </w:r>
    </w:p>
    <w:p w:rsidR="00093837" w:rsidRPr="00277CA4" w:rsidRDefault="00093837" w:rsidP="000B1F46">
      <w:pPr>
        <w:spacing w:after="0" w:line="480" w:lineRule="auto"/>
        <w:jc w:val="both"/>
        <w:rPr>
          <w:rFonts w:ascii="Arial" w:hAnsi="Arial" w:cs="Arial"/>
        </w:rPr>
      </w:pPr>
      <w:proofErr w:type="gramStart"/>
      <w:r w:rsidRPr="00277CA4">
        <w:rPr>
          <w:rFonts w:ascii="Arial" w:hAnsi="Arial" w:cs="Arial"/>
          <w:b/>
          <w:color w:val="000000"/>
          <w:shd w:val="clear" w:color="auto" w:fill="FFFFFF"/>
        </w:rPr>
        <w:t>Piperacillin concentration in the serum and the lung of healthy volunteers and critically ill patients.</w:t>
      </w:r>
      <w:proofErr w:type="gramEnd"/>
      <w:r w:rsidRPr="00277CA4">
        <w:rPr>
          <w:rFonts w:ascii="Arial" w:hAnsi="Arial" w:cs="Arial"/>
          <w:b/>
          <w:color w:val="000000"/>
          <w:shd w:val="clear" w:color="auto" w:fill="FFFFFF"/>
        </w:rPr>
        <w:t xml:space="preserve"> </w:t>
      </w:r>
      <w:r w:rsidRPr="00277CA4">
        <w:rPr>
          <w:rFonts w:ascii="Arial" w:hAnsi="Arial" w:cs="Arial"/>
          <w:color w:val="000000"/>
          <w:shd w:val="clear" w:color="auto" w:fill="FFFFFF"/>
        </w:rPr>
        <w:t xml:space="preserve">Simulated piperacillin </w:t>
      </w:r>
      <w:r w:rsidRPr="00277CA4">
        <w:rPr>
          <w:rFonts w:ascii="Arial" w:hAnsi="Arial" w:cs="Arial"/>
        </w:rPr>
        <w:t>concentration-time profiles in serum and ELF in healthy volunteers and critically ill patients are shown in Figure 2. Each simulation shows the median, 5</w:t>
      </w:r>
      <w:r w:rsidRPr="00277CA4">
        <w:rPr>
          <w:rFonts w:ascii="Arial" w:hAnsi="Arial" w:cs="Arial"/>
          <w:vertAlign w:val="superscript"/>
        </w:rPr>
        <w:t>th</w:t>
      </w:r>
      <w:r w:rsidRPr="00277CA4">
        <w:rPr>
          <w:rFonts w:ascii="Arial" w:hAnsi="Arial" w:cs="Arial"/>
        </w:rPr>
        <w:t xml:space="preserve"> and 95</w:t>
      </w:r>
      <w:r w:rsidRPr="00277CA4">
        <w:rPr>
          <w:rFonts w:ascii="Arial" w:hAnsi="Arial" w:cs="Arial"/>
          <w:vertAlign w:val="superscript"/>
        </w:rPr>
        <w:t>th</w:t>
      </w:r>
      <w:r w:rsidRPr="00277CA4">
        <w:rPr>
          <w:rFonts w:ascii="Arial" w:hAnsi="Arial" w:cs="Arial"/>
        </w:rPr>
        <w:t xml:space="preserve"> percentile piperacillin concentration following administration of 3 doses of 4 g of piperacillin as a 30-minute infusion every 8 hours. The median AUC</w:t>
      </w:r>
      <w:r w:rsidRPr="00277CA4">
        <w:rPr>
          <w:rFonts w:ascii="Arial" w:hAnsi="Arial" w:cs="Arial"/>
          <w:vertAlign w:val="subscript"/>
        </w:rPr>
        <w:t>serum18-24</w:t>
      </w:r>
      <w:r w:rsidRPr="00277CA4">
        <w:rPr>
          <w:rFonts w:ascii="Arial" w:hAnsi="Arial" w:cs="Arial"/>
        </w:rPr>
        <w:t xml:space="preserve"> for the </w:t>
      </w:r>
      <w:r w:rsidRPr="00277CA4">
        <w:rPr>
          <w:rFonts w:ascii="Arial" w:hAnsi="Arial" w:cs="Arial"/>
        </w:rPr>
        <w:lastRenderedPageBreak/>
        <w:t>healthy volunteers was 238.4 mg.hr.L</w:t>
      </w:r>
      <w:r w:rsidRPr="00277CA4">
        <w:rPr>
          <w:rFonts w:ascii="Arial" w:hAnsi="Arial" w:cs="Arial"/>
          <w:vertAlign w:val="superscript"/>
        </w:rPr>
        <w:t>-1</w:t>
      </w:r>
      <w:r w:rsidRPr="00277CA4">
        <w:rPr>
          <w:rFonts w:ascii="Arial" w:hAnsi="Arial" w:cs="Arial"/>
        </w:rPr>
        <w:t xml:space="preserve"> </w:t>
      </w:r>
      <w:proofErr w:type="gramStart"/>
      <w:r w:rsidRPr="00277CA4">
        <w:rPr>
          <w:rFonts w:ascii="Arial" w:hAnsi="Arial" w:cs="Arial"/>
        </w:rPr>
        <w:t>(interquartile range (IQR) 48.3 mg.hr.L</w:t>
      </w:r>
      <w:r w:rsidRPr="00277CA4">
        <w:rPr>
          <w:rFonts w:ascii="Arial" w:hAnsi="Arial" w:cs="Arial"/>
          <w:vertAlign w:val="superscript"/>
        </w:rPr>
        <w:t>-1</w:t>
      </w:r>
      <w:r w:rsidRPr="00277CA4">
        <w:rPr>
          <w:rFonts w:ascii="Arial" w:hAnsi="Arial" w:cs="Arial"/>
        </w:rPr>
        <w:t>)</w:t>
      </w:r>
      <w:proofErr w:type="gramEnd"/>
      <w:r w:rsidRPr="00277CA4">
        <w:rPr>
          <w:rFonts w:ascii="Arial" w:hAnsi="Arial" w:cs="Arial"/>
        </w:rPr>
        <w:t xml:space="preserve"> compared with median AUC</w:t>
      </w:r>
      <w:r w:rsidRPr="00277CA4">
        <w:rPr>
          <w:rFonts w:ascii="Arial" w:hAnsi="Arial" w:cs="Arial"/>
          <w:vertAlign w:val="subscript"/>
        </w:rPr>
        <w:t>serum18-24</w:t>
      </w:r>
      <w:r w:rsidRPr="00277CA4">
        <w:rPr>
          <w:rFonts w:ascii="Arial" w:hAnsi="Arial" w:cs="Arial"/>
        </w:rPr>
        <w:t xml:space="preserve"> of 304.2 mg.hr.L</w:t>
      </w:r>
      <w:r w:rsidRPr="00277CA4">
        <w:rPr>
          <w:rFonts w:ascii="Arial" w:hAnsi="Arial" w:cs="Arial"/>
          <w:vertAlign w:val="superscript"/>
        </w:rPr>
        <w:t>-1</w:t>
      </w:r>
      <w:r w:rsidRPr="00277CA4">
        <w:rPr>
          <w:rFonts w:ascii="Arial" w:hAnsi="Arial" w:cs="Arial"/>
        </w:rPr>
        <w:t xml:space="preserve"> (IQR 331.7 mg.hr.L</w:t>
      </w:r>
      <w:r w:rsidRPr="00277CA4">
        <w:rPr>
          <w:rFonts w:ascii="Arial" w:hAnsi="Arial" w:cs="Arial"/>
          <w:vertAlign w:val="superscript"/>
        </w:rPr>
        <w:t>-1</w:t>
      </w:r>
      <w:r w:rsidRPr="00277CA4">
        <w:rPr>
          <w:rFonts w:ascii="Arial" w:hAnsi="Arial" w:cs="Arial"/>
        </w:rPr>
        <w:t>) for critically ill patients (Table 3 and Figure 3). While the median AUC</w:t>
      </w:r>
      <w:r w:rsidRPr="00277CA4">
        <w:rPr>
          <w:rFonts w:ascii="Arial" w:hAnsi="Arial" w:cs="Arial"/>
          <w:vertAlign w:val="subscript"/>
        </w:rPr>
        <w:t>ELF18-24</w:t>
      </w:r>
      <w:r w:rsidRPr="00277CA4">
        <w:rPr>
          <w:rFonts w:ascii="Arial" w:hAnsi="Arial" w:cs="Arial"/>
        </w:rPr>
        <w:t xml:space="preserve"> for the healthy volunteers was </w:t>
      </w:r>
      <w:proofErr w:type="gramStart"/>
      <w:r w:rsidRPr="00277CA4">
        <w:rPr>
          <w:rFonts w:ascii="Arial" w:hAnsi="Arial" w:cs="Arial"/>
        </w:rPr>
        <w:t>78.8 mg.hr.L</w:t>
      </w:r>
      <w:r w:rsidRPr="00277CA4">
        <w:rPr>
          <w:rFonts w:ascii="Arial" w:hAnsi="Arial" w:cs="Arial"/>
          <w:vertAlign w:val="superscript"/>
        </w:rPr>
        <w:t>-1</w:t>
      </w:r>
      <w:proofErr w:type="gramEnd"/>
      <w:r w:rsidRPr="00277CA4">
        <w:rPr>
          <w:rFonts w:ascii="Arial" w:hAnsi="Arial" w:cs="Arial"/>
        </w:rPr>
        <w:t xml:space="preserve"> (IQR 51.3 mg.hr.L</w:t>
      </w:r>
      <w:r w:rsidRPr="00277CA4">
        <w:rPr>
          <w:rFonts w:ascii="Arial" w:hAnsi="Arial" w:cs="Arial"/>
          <w:vertAlign w:val="superscript"/>
        </w:rPr>
        <w:t>-1</w:t>
      </w:r>
      <w:r w:rsidRPr="00277CA4">
        <w:rPr>
          <w:rFonts w:ascii="Arial" w:hAnsi="Arial" w:cs="Arial"/>
        </w:rPr>
        <w:t>) compared with median AUC</w:t>
      </w:r>
      <w:r w:rsidRPr="00277CA4">
        <w:rPr>
          <w:rFonts w:ascii="Arial" w:hAnsi="Arial" w:cs="Arial"/>
          <w:vertAlign w:val="subscript"/>
        </w:rPr>
        <w:t>ELF18-24</w:t>
      </w:r>
      <w:r w:rsidRPr="00277CA4">
        <w:rPr>
          <w:rFonts w:ascii="Arial" w:hAnsi="Arial" w:cs="Arial"/>
        </w:rPr>
        <w:t xml:space="preserve"> of 173.3 mg.hr.L</w:t>
      </w:r>
      <w:r w:rsidRPr="00277CA4">
        <w:rPr>
          <w:rFonts w:ascii="Arial" w:hAnsi="Arial" w:cs="Arial"/>
          <w:vertAlign w:val="superscript"/>
        </w:rPr>
        <w:t>-1</w:t>
      </w:r>
      <w:r w:rsidRPr="00277CA4">
        <w:rPr>
          <w:rFonts w:ascii="Arial" w:hAnsi="Arial" w:cs="Arial"/>
        </w:rPr>
        <w:t xml:space="preserve"> (IQR 218.7 mg.hr.L</w:t>
      </w:r>
      <w:r w:rsidRPr="00277CA4">
        <w:rPr>
          <w:rFonts w:ascii="Arial" w:hAnsi="Arial" w:cs="Arial"/>
          <w:vertAlign w:val="superscript"/>
        </w:rPr>
        <w:t>-1</w:t>
      </w:r>
      <w:r w:rsidRPr="00277CA4">
        <w:rPr>
          <w:rFonts w:ascii="Arial" w:hAnsi="Arial" w:cs="Arial"/>
        </w:rPr>
        <w:t>) for critically ill patients. The AUC</w:t>
      </w:r>
      <w:r w:rsidRPr="00277CA4">
        <w:rPr>
          <w:rFonts w:ascii="Arial" w:hAnsi="Arial" w:cs="Arial"/>
          <w:vertAlign w:val="subscript"/>
        </w:rPr>
        <w:t>serum18-24</w:t>
      </w:r>
      <w:r w:rsidRPr="00277CA4">
        <w:rPr>
          <w:rFonts w:ascii="Arial" w:hAnsi="Arial" w:cs="Arial"/>
        </w:rPr>
        <w:t xml:space="preserve"> was higher in patients with reduced creatinine clearance but the median AUC</w:t>
      </w:r>
      <w:r w:rsidRPr="00277CA4">
        <w:rPr>
          <w:rFonts w:ascii="Arial" w:hAnsi="Arial" w:cs="Arial"/>
          <w:vertAlign w:val="subscript"/>
        </w:rPr>
        <w:t>ELF18-24</w:t>
      </w:r>
      <w:r w:rsidRPr="00277CA4">
        <w:rPr>
          <w:rFonts w:ascii="Arial" w:hAnsi="Arial" w:cs="Arial"/>
        </w:rPr>
        <w:t>–to-AUC</w:t>
      </w:r>
      <w:r w:rsidRPr="00277CA4">
        <w:rPr>
          <w:rFonts w:ascii="Arial" w:hAnsi="Arial" w:cs="Arial"/>
          <w:vertAlign w:val="subscript"/>
        </w:rPr>
        <w:t>serum18-24</w:t>
      </w:r>
      <w:r w:rsidRPr="00277CA4">
        <w:rPr>
          <w:rFonts w:ascii="Arial" w:hAnsi="Arial" w:cs="Arial"/>
        </w:rPr>
        <w:t xml:space="preserve"> ratio was unaffected by creatinine clearance (Figure 4). The median AUC</w:t>
      </w:r>
      <w:r w:rsidRPr="00277CA4">
        <w:rPr>
          <w:rFonts w:ascii="Arial" w:hAnsi="Arial" w:cs="Arial"/>
          <w:vertAlign w:val="subscript"/>
        </w:rPr>
        <w:t>ELF18-24</w:t>
      </w:r>
      <w:r w:rsidRPr="00277CA4">
        <w:rPr>
          <w:rFonts w:ascii="Arial" w:hAnsi="Arial" w:cs="Arial"/>
        </w:rPr>
        <w:t>–to-AUC</w:t>
      </w:r>
      <w:r w:rsidRPr="00277CA4">
        <w:rPr>
          <w:rFonts w:ascii="Arial" w:hAnsi="Arial" w:cs="Arial"/>
          <w:vertAlign w:val="subscript"/>
        </w:rPr>
        <w:t>serum18-24</w:t>
      </w:r>
      <w:r w:rsidRPr="00277CA4">
        <w:rPr>
          <w:rFonts w:ascii="Arial" w:hAnsi="Arial" w:cs="Arial"/>
        </w:rPr>
        <w:t xml:space="preserve"> ratio for the healthy volunteers was 0.33 (IQR 0.18) compared with median AUC</w:t>
      </w:r>
      <w:r w:rsidRPr="00277CA4">
        <w:rPr>
          <w:rFonts w:ascii="Arial" w:hAnsi="Arial" w:cs="Arial"/>
          <w:vertAlign w:val="subscript"/>
        </w:rPr>
        <w:t>ELF18-24</w:t>
      </w:r>
      <w:r w:rsidRPr="00277CA4">
        <w:rPr>
          <w:rFonts w:ascii="Arial" w:hAnsi="Arial" w:cs="Arial"/>
        </w:rPr>
        <w:t>–to-AUC</w:t>
      </w:r>
      <w:r w:rsidRPr="00277CA4">
        <w:rPr>
          <w:rFonts w:ascii="Arial" w:hAnsi="Arial" w:cs="Arial"/>
          <w:vertAlign w:val="subscript"/>
        </w:rPr>
        <w:t>serum18-24</w:t>
      </w:r>
      <w:r w:rsidRPr="00277CA4">
        <w:rPr>
          <w:rFonts w:ascii="Arial" w:hAnsi="Arial" w:cs="Arial"/>
        </w:rPr>
        <w:t xml:space="preserve"> ratio of 0.54 (IQR 0.51) for critically ill patients (Table 3 and Figure 5). Comparison of each of the AUC</w:t>
      </w:r>
      <w:r w:rsidRPr="00277CA4">
        <w:rPr>
          <w:rFonts w:ascii="Arial" w:hAnsi="Arial" w:cs="Arial"/>
          <w:vertAlign w:val="subscript"/>
        </w:rPr>
        <w:t>serum18-24</w:t>
      </w:r>
      <w:r w:rsidRPr="00277CA4">
        <w:rPr>
          <w:rFonts w:ascii="Arial" w:hAnsi="Arial" w:cs="Arial"/>
        </w:rPr>
        <w:t>, AUC</w:t>
      </w:r>
      <w:r w:rsidRPr="00277CA4">
        <w:rPr>
          <w:rFonts w:ascii="Arial" w:hAnsi="Arial" w:cs="Arial"/>
          <w:vertAlign w:val="subscript"/>
        </w:rPr>
        <w:t>ELF18-24</w:t>
      </w:r>
      <w:r w:rsidRPr="00277CA4">
        <w:rPr>
          <w:rFonts w:ascii="Arial" w:hAnsi="Arial" w:cs="Arial"/>
        </w:rPr>
        <w:t xml:space="preserve"> and AUC</w:t>
      </w:r>
      <w:r w:rsidRPr="00277CA4">
        <w:rPr>
          <w:rFonts w:ascii="Arial" w:hAnsi="Arial" w:cs="Arial"/>
          <w:vertAlign w:val="subscript"/>
        </w:rPr>
        <w:t>ELF18-24</w:t>
      </w:r>
      <w:r w:rsidRPr="00277CA4">
        <w:rPr>
          <w:rFonts w:ascii="Arial" w:hAnsi="Arial" w:cs="Arial"/>
        </w:rPr>
        <w:t>–to-AUC</w:t>
      </w:r>
      <w:r w:rsidRPr="00277CA4">
        <w:rPr>
          <w:rFonts w:ascii="Arial" w:hAnsi="Arial" w:cs="Arial"/>
          <w:vertAlign w:val="subscript"/>
        </w:rPr>
        <w:t>serum18-24</w:t>
      </w:r>
      <w:r w:rsidRPr="00277CA4">
        <w:rPr>
          <w:rFonts w:ascii="Arial" w:hAnsi="Arial" w:cs="Arial"/>
        </w:rPr>
        <w:t xml:space="preserve"> in healthy volunteers to critically ill patients was shown to be significantly different for each of the 3 comparisons (P &lt; 0.0001). </w:t>
      </w:r>
    </w:p>
    <w:p w:rsidR="00093837" w:rsidRPr="00277CA4" w:rsidRDefault="00093837" w:rsidP="000B1F46">
      <w:pPr>
        <w:spacing w:after="0" w:line="480" w:lineRule="auto"/>
        <w:jc w:val="both"/>
        <w:rPr>
          <w:rFonts w:ascii="Arial" w:hAnsi="Arial" w:cs="Arial"/>
        </w:rPr>
      </w:pPr>
    </w:p>
    <w:p w:rsidR="00093837" w:rsidRPr="00277CA4" w:rsidRDefault="00093837" w:rsidP="000B1F46">
      <w:pPr>
        <w:spacing w:after="0" w:line="480" w:lineRule="auto"/>
        <w:jc w:val="both"/>
        <w:rPr>
          <w:rFonts w:ascii="Arial" w:hAnsi="Arial" w:cs="Arial"/>
        </w:rPr>
      </w:pPr>
      <w:proofErr w:type="gramStart"/>
      <w:r w:rsidRPr="00277CA4">
        <w:rPr>
          <w:rFonts w:ascii="Arial" w:hAnsi="Arial" w:cs="Arial"/>
          <w:b/>
        </w:rPr>
        <w:t>Fractional Target Attainment analysis.</w:t>
      </w:r>
      <w:proofErr w:type="gramEnd"/>
      <w:r w:rsidRPr="00277CA4">
        <w:rPr>
          <w:rFonts w:ascii="Arial" w:hAnsi="Arial" w:cs="Arial"/>
          <w:b/>
        </w:rPr>
        <w:t xml:space="preserve"> </w:t>
      </w:r>
      <w:r w:rsidRPr="00277CA4">
        <w:rPr>
          <w:rFonts w:ascii="Arial" w:hAnsi="Arial" w:cs="Arial"/>
        </w:rPr>
        <w:t xml:space="preserve">The results of the target attainment analysis are shown in Figure 6. Administration of 4 g of piperacillin three times daily as a 30-minute infusion to treat an organism with an MIC of 1 mg/L results in &gt;95% of healthy volunteers and critically ill patients achieving an adequate exposure in serum and the ELF. Simulation suggests that administration of 4 g piperacillin three times daily as a 30-minute infusion would be insufficient to achieve an effective piperacillin exposure in either the serum or ELF of healthy volunteers to treat an organism with an MIC of 16 mg/L (the current recommended breakpoint for </w:t>
      </w:r>
      <w:r w:rsidRPr="00277CA4">
        <w:rPr>
          <w:rFonts w:ascii="Arial" w:hAnsi="Arial" w:cs="Arial"/>
          <w:i/>
        </w:rPr>
        <w:t>Pseudomonas aeruginosa</w:t>
      </w:r>
      <w:r w:rsidRPr="00277CA4">
        <w:rPr>
          <w:rFonts w:ascii="Arial" w:hAnsi="Arial" w:cs="Arial"/>
        </w:rPr>
        <w:t>).</w:t>
      </w:r>
      <w:r w:rsidRPr="00277CA4">
        <w:rPr>
          <w:rFonts w:ascii="Arial" w:hAnsi="Arial" w:cs="Arial"/>
          <w:noProof/>
          <w:vertAlign w:val="superscript"/>
        </w:rPr>
        <w:t>20, 21</w:t>
      </w:r>
      <w:r w:rsidRPr="00277CA4">
        <w:rPr>
          <w:rFonts w:ascii="Arial" w:hAnsi="Arial" w:cs="Arial"/>
        </w:rPr>
        <w:t xml:space="preserve"> However, approximately 50% of critically ill patients will achieve a sufficient serum and ELF piperacillin exposure to treat an organism with an MIC of 16 mg/L following administration of 4 g piperacillin three times daily as a 30-minute infusion as a result of increased penetration into ELF. </w:t>
      </w:r>
      <w:r w:rsidRPr="00277CA4">
        <w:rPr>
          <w:rFonts w:ascii="Arial" w:hAnsi="Arial" w:cs="Arial"/>
        </w:rPr>
        <w:br w:type="page"/>
      </w:r>
    </w:p>
    <w:p w:rsidR="00093837" w:rsidRPr="00277CA4" w:rsidRDefault="00093837" w:rsidP="00E219BA">
      <w:pPr>
        <w:spacing w:after="0" w:line="480" w:lineRule="auto"/>
        <w:jc w:val="both"/>
        <w:rPr>
          <w:rFonts w:ascii="Arial" w:hAnsi="Arial" w:cs="Arial"/>
          <w:u w:val="single"/>
        </w:rPr>
      </w:pPr>
      <w:r w:rsidRPr="00277CA4">
        <w:rPr>
          <w:rFonts w:ascii="Arial" w:hAnsi="Arial" w:cs="Arial"/>
          <w:u w:val="single"/>
        </w:rPr>
        <w:lastRenderedPageBreak/>
        <w:t>Discussion</w:t>
      </w:r>
    </w:p>
    <w:p w:rsidR="00093837" w:rsidRPr="00277CA4" w:rsidRDefault="00093837" w:rsidP="00E219BA">
      <w:pPr>
        <w:spacing w:after="0" w:line="480" w:lineRule="auto"/>
        <w:jc w:val="both"/>
        <w:rPr>
          <w:rFonts w:ascii="Arial" w:hAnsi="Arial" w:cs="Arial"/>
        </w:rPr>
      </w:pPr>
      <w:r w:rsidRPr="00277CA4">
        <w:rPr>
          <w:rFonts w:ascii="Arial" w:hAnsi="Arial" w:cs="Arial"/>
        </w:rPr>
        <w:t>Pharmacokinetic variability is a common finding with hydrophilic antimicrobial agents, such as piperacillin, in critically ill patients.</w:t>
      </w:r>
      <w:r w:rsidRPr="00277CA4">
        <w:rPr>
          <w:rFonts w:ascii="Arial" w:hAnsi="Arial" w:cs="Arial"/>
          <w:noProof/>
          <w:vertAlign w:val="superscript"/>
        </w:rPr>
        <w:t>8, 22</w:t>
      </w:r>
      <w:r w:rsidRPr="00277CA4">
        <w:rPr>
          <w:rFonts w:ascii="Arial" w:hAnsi="Arial" w:cs="Arial"/>
        </w:rPr>
        <w:t xml:space="preserve"> Variability occurs due to pathophysiological changes associated with critical illness and includes alterations in renal function, both acute kidney injury and augmented renal clearance, and variation in a drug’s volume of distribution. The concentration-time profiles in Figure 2 illustrate the marked pharmacokinetic variability in critically ill patients compared with healthy volunteers. The median serum piperacillin AUC in critically ill patients </w:t>
      </w:r>
      <w:proofErr w:type="gramStart"/>
      <w:r w:rsidRPr="00277CA4">
        <w:rPr>
          <w:rFonts w:ascii="Arial" w:hAnsi="Arial" w:cs="Arial"/>
        </w:rPr>
        <w:t>(304.2 mg.hr.L</w:t>
      </w:r>
      <w:r w:rsidRPr="00277CA4">
        <w:rPr>
          <w:rFonts w:ascii="Arial" w:hAnsi="Arial" w:cs="Arial"/>
          <w:vertAlign w:val="superscript"/>
        </w:rPr>
        <w:t>-1</w:t>
      </w:r>
      <w:r w:rsidRPr="00277CA4">
        <w:rPr>
          <w:rFonts w:ascii="Arial" w:hAnsi="Arial" w:cs="Arial"/>
        </w:rPr>
        <w:t>)</w:t>
      </w:r>
      <w:proofErr w:type="gramEnd"/>
      <w:r w:rsidRPr="00277CA4">
        <w:rPr>
          <w:rFonts w:ascii="Arial" w:hAnsi="Arial" w:cs="Arial"/>
        </w:rPr>
        <w:t xml:space="preserve"> was significantly higher compared with healthy volunteers (238.4 mg.hr.L</w:t>
      </w:r>
      <w:r w:rsidRPr="00277CA4">
        <w:rPr>
          <w:rFonts w:ascii="Arial" w:hAnsi="Arial" w:cs="Arial"/>
          <w:vertAlign w:val="superscript"/>
        </w:rPr>
        <w:t>-1</w:t>
      </w:r>
      <w:r w:rsidRPr="00277CA4">
        <w:rPr>
          <w:rFonts w:ascii="Arial" w:hAnsi="Arial" w:cs="Arial"/>
        </w:rPr>
        <w:t xml:space="preserve">). What is more striking is the difference in the interquartile range which is more than 6 times higher in critically ill patients </w:t>
      </w:r>
      <w:proofErr w:type="gramStart"/>
      <w:r w:rsidRPr="00277CA4">
        <w:rPr>
          <w:rFonts w:ascii="Arial" w:hAnsi="Arial" w:cs="Arial"/>
        </w:rPr>
        <w:t>(331.7 mg.hr.L</w:t>
      </w:r>
      <w:r w:rsidRPr="00277CA4">
        <w:rPr>
          <w:rFonts w:ascii="Arial" w:hAnsi="Arial" w:cs="Arial"/>
          <w:vertAlign w:val="superscript"/>
        </w:rPr>
        <w:t>-1</w:t>
      </w:r>
      <w:r w:rsidRPr="00277CA4">
        <w:rPr>
          <w:rFonts w:ascii="Arial" w:hAnsi="Arial" w:cs="Arial"/>
        </w:rPr>
        <w:t>)</w:t>
      </w:r>
      <w:proofErr w:type="gramEnd"/>
      <w:r w:rsidRPr="00277CA4">
        <w:rPr>
          <w:rFonts w:ascii="Arial" w:hAnsi="Arial" w:cs="Arial"/>
        </w:rPr>
        <w:t xml:space="preserve"> compared with healthy volunteers (48.3 mg.hr.L</w:t>
      </w:r>
      <w:r w:rsidRPr="00277CA4">
        <w:rPr>
          <w:rFonts w:ascii="Arial" w:hAnsi="Arial" w:cs="Arial"/>
          <w:vertAlign w:val="superscript"/>
        </w:rPr>
        <w:t>-1</w:t>
      </w:r>
      <w:r w:rsidRPr="00277CA4">
        <w:rPr>
          <w:rFonts w:ascii="Arial" w:hAnsi="Arial" w:cs="Arial"/>
        </w:rPr>
        <w:t xml:space="preserve">). The extent of the variability is also illustrated in the histogram plots of AUC in Figure 3. </w:t>
      </w:r>
    </w:p>
    <w:p w:rsidR="00093837" w:rsidRPr="00277CA4" w:rsidRDefault="00093837" w:rsidP="00E219BA">
      <w:pPr>
        <w:spacing w:after="0" w:line="480" w:lineRule="auto"/>
        <w:jc w:val="both"/>
        <w:rPr>
          <w:rFonts w:ascii="Arial" w:hAnsi="Arial" w:cs="Arial"/>
        </w:rPr>
      </w:pPr>
    </w:p>
    <w:p w:rsidR="00093837" w:rsidRPr="00277CA4" w:rsidRDefault="00093837" w:rsidP="00B71E2F">
      <w:pPr>
        <w:spacing w:after="0" w:line="480" w:lineRule="auto"/>
        <w:jc w:val="both"/>
        <w:rPr>
          <w:rFonts w:ascii="Arial" w:hAnsi="Arial" w:cs="Arial"/>
        </w:rPr>
      </w:pPr>
      <w:r w:rsidRPr="00277CA4">
        <w:rPr>
          <w:rFonts w:ascii="Arial" w:hAnsi="Arial" w:cs="Arial"/>
        </w:rPr>
        <w:t xml:space="preserve">Marked variability is also demonstrated with piperacillin exposures seen in the lung. The median ELF piperacillin AUC in critically ill patients </w:t>
      </w:r>
      <w:proofErr w:type="gramStart"/>
      <w:r w:rsidRPr="00277CA4">
        <w:rPr>
          <w:rFonts w:ascii="Arial" w:hAnsi="Arial" w:cs="Arial"/>
        </w:rPr>
        <w:t>(173.5 mg.hr.L</w:t>
      </w:r>
      <w:r w:rsidRPr="00277CA4">
        <w:rPr>
          <w:rFonts w:ascii="Arial" w:hAnsi="Arial" w:cs="Arial"/>
          <w:vertAlign w:val="superscript"/>
        </w:rPr>
        <w:t>-1</w:t>
      </w:r>
      <w:r w:rsidRPr="00277CA4">
        <w:rPr>
          <w:rFonts w:ascii="Arial" w:hAnsi="Arial" w:cs="Arial"/>
        </w:rPr>
        <w:t>)</w:t>
      </w:r>
      <w:proofErr w:type="gramEnd"/>
      <w:r w:rsidRPr="00277CA4">
        <w:rPr>
          <w:rFonts w:ascii="Arial" w:hAnsi="Arial" w:cs="Arial"/>
        </w:rPr>
        <w:t xml:space="preserve"> is more than double the median ELF piperacillin AUC in healthy volunteers (78.8 mg.hr.L</w:t>
      </w:r>
      <w:r w:rsidRPr="00277CA4">
        <w:rPr>
          <w:rFonts w:ascii="Arial" w:hAnsi="Arial" w:cs="Arial"/>
          <w:vertAlign w:val="superscript"/>
        </w:rPr>
        <w:t>-1</w:t>
      </w:r>
      <w:r w:rsidRPr="00277CA4">
        <w:rPr>
          <w:rFonts w:ascii="Arial" w:hAnsi="Arial" w:cs="Arial"/>
        </w:rPr>
        <w:t xml:space="preserve">). The interquartile range is more than four times higher in critically ill patients </w:t>
      </w:r>
      <w:proofErr w:type="gramStart"/>
      <w:r w:rsidRPr="00277CA4">
        <w:rPr>
          <w:rFonts w:ascii="Arial" w:hAnsi="Arial" w:cs="Arial"/>
        </w:rPr>
        <w:t>(218.7 mg.hr.L</w:t>
      </w:r>
      <w:r w:rsidRPr="00277CA4">
        <w:rPr>
          <w:rFonts w:ascii="Arial" w:hAnsi="Arial" w:cs="Arial"/>
          <w:vertAlign w:val="superscript"/>
        </w:rPr>
        <w:t>-1</w:t>
      </w:r>
      <w:r w:rsidRPr="00277CA4">
        <w:rPr>
          <w:rFonts w:ascii="Arial" w:hAnsi="Arial" w:cs="Arial"/>
        </w:rPr>
        <w:t>)</w:t>
      </w:r>
      <w:proofErr w:type="gramEnd"/>
      <w:r w:rsidRPr="00277CA4">
        <w:rPr>
          <w:rFonts w:ascii="Arial" w:hAnsi="Arial" w:cs="Arial"/>
        </w:rPr>
        <w:t xml:space="preserve"> compared with healthy volunteers (51.3 mg.hr.L</w:t>
      </w:r>
      <w:r w:rsidRPr="00277CA4">
        <w:rPr>
          <w:rFonts w:ascii="Arial" w:hAnsi="Arial" w:cs="Arial"/>
          <w:vertAlign w:val="superscript"/>
        </w:rPr>
        <w:t>-1</w:t>
      </w:r>
      <w:r w:rsidRPr="00277CA4">
        <w:rPr>
          <w:rFonts w:ascii="Arial" w:hAnsi="Arial" w:cs="Arial"/>
        </w:rPr>
        <w:t>). The penetration ratio for piperacillin into the lung of healthy volunteers is 0.33 (IQR 0.18) compared with the penetration ratio for piperacillin into the lung of critically ill patients which was 0.54 (IQR 0.51). Previous analysis of ELF pharmacokinetics has demonstrated that serum pharmacokinetic variability alone is insufficient to explain ELF variability.</w:t>
      </w:r>
      <w:r w:rsidRPr="00277CA4">
        <w:rPr>
          <w:rFonts w:ascii="Arial" w:hAnsi="Arial" w:cs="Arial"/>
          <w:noProof/>
          <w:vertAlign w:val="superscript"/>
        </w:rPr>
        <w:t>15</w:t>
      </w:r>
      <w:r w:rsidRPr="00277CA4">
        <w:rPr>
          <w:rFonts w:ascii="Arial" w:hAnsi="Arial" w:cs="Arial"/>
        </w:rPr>
        <w:t xml:space="preserve"> The only previous study of piperacillin penetration into ELF of critically ill patients, whose data is not included in this analysis, demonstrated a similar penetration ratio of 0.54.</w:t>
      </w:r>
      <w:r w:rsidRPr="00277CA4">
        <w:rPr>
          <w:rFonts w:ascii="Arial" w:hAnsi="Arial" w:cs="Arial"/>
          <w:noProof/>
          <w:vertAlign w:val="superscript"/>
        </w:rPr>
        <w:t>23</w:t>
      </w:r>
      <w:r w:rsidRPr="00277CA4">
        <w:rPr>
          <w:rFonts w:ascii="Arial" w:hAnsi="Arial" w:cs="Arial"/>
        </w:rPr>
        <w:t xml:space="preserve"> Renal function does not appear to have an effect on the penetration ratio of piperacillin into the lung. Increasing evidence suggests that drugs cross the blood-alveolar barrier using carrier-mediated active transport rather than by passive diffusion as previously thought.</w:t>
      </w:r>
      <w:r w:rsidRPr="00277CA4">
        <w:rPr>
          <w:rFonts w:ascii="Arial" w:hAnsi="Arial" w:cs="Arial"/>
          <w:noProof/>
          <w:vertAlign w:val="superscript"/>
        </w:rPr>
        <w:t>24, 25</w:t>
      </w:r>
      <w:r w:rsidRPr="00277CA4">
        <w:rPr>
          <w:rFonts w:ascii="Arial" w:hAnsi="Arial" w:cs="Arial"/>
        </w:rPr>
        <w:t xml:space="preserve"> </w:t>
      </w:r>
      <w:proofErr w:type="gramStart"/>
      <w:r w:rsidRPr="00277CA4">
        <w:rPr>
          <w:rFonts w:ascii="Arial" w:hAnsi="Arial" w:cs="Arial"/>
        </w:rPr>
        <w:t>Here</w:t>
      </w:r>
      <w:proofErr w:type="gramEnd"/>
      <w:r w:rsidRPr="00277CA4">
        <w:rPr>
          <w:rFonts w:ascii="Arial" w:hAnsi="Arial" w:cs="Arial"/>
        </w:rPr>
        <w:t xml:space="preserve">, pulmonary infection and inflammation, associated with critical illness, may increase pulmonary permeability to antimicrobial agents increasing </w:t>
      </w:r>
      <w:r w:rsidRPr="00277CA4">
        <w:rPr>
          <w:rFonts w:ascii="Arial" w:hAnsi="Arial" w:cs="Arial"/>
        </w:rPr>
        <w:lastRenderedPageBreak/>
        <w:t xml:space="preserve">lung exposures. Additionally, these changes to pulmonary penetration are likely to change during the course of critical illness as the injured lung recovers. </w:t>
      </w:r>
    </w:p>
    <w:p w:rsidR="00093837" w:rsidRPr="00277CA4" w:rsidRDefault="00093837" w:rsidP="00CA48FB">
      <w:pPr>
        <w:spacing w:after="0" w:line="480" w:lineRule="auto"/>
        <w:jc w:val="both"/>
        <w:rPr>
          <w:rFonts w:ascii="Arial" w:hAnsi="Arial" w:cs="Arial"/>
        </w:rPr>
      </w:pPr>
    </w:p>
    <w:p w:rsidR="00093837" w:rsidRPr="00277CA4" w:rsidRDefault="00093837" w:rsidP="00CA48FB">
      <w:pPr>
        <w:spacing w:after="0" w:line="480" w:lineRule="auto"/>
        <w:jc w:val="both"/>
        <w:rPr>
          <w:rFonts w:ascii="Arial" w:hAnsi="Arial" w:cs="Arial"/>
        </w:rPr>
      </w:pPr>
      <w:r w:rsidRPr="00277CA4">
        <w:rPr>
          <w:rFonts w:ascii="Arial" w:hAnsi="Arial" w:cs="Arial"/>
        </w:rPr>
        <w:t>During the past 25 years, there have been numerous intrapulmonary penetration studies performed to compare serum and ELF concentrations of anti-infective agents.</w:t>
      </w:r>
      <w:r w:rsidRPr="00277CA4">
        <w:rPr>
          <w:rFonts w:ascii="Arial" w:hAnsi="Arial" w:cs="Arial"/>
          <w:noProof/>
          <w:vertAlign w:val="superscript"/>
        </w:rPr>
        <w:t>13</w:t>
      </w:r>
      <w:r w:rsidRPr="00277CA4">
        <w:rPr>
          <w:rFonts w:ascii="Arial" w:hAnsi="Arial" w:cs="Arial"/>
        </w:rPr>
        <w:t xml:space="preserve"> The majority of these intrapulmonary penetration studies were conducted in healthy adult subjects participating in a Phase 1 clinical pharmacokinetic and safety trial or outpatients undergoing diagnostic bronchoscopy.</w:t>
      </w:r>
      <w:r w:rsidRPr="00277CA4">
        <w:rPr>
          <w:rFonts w:ascii="Arial" w:hAnsi="Arial" w:cs="Arial"/>
          <w:noProof/>
          <w:vertAlign w:val="superscript"/>
        </w:rPr>
        <w:t>13</w:t>
      </w:r>
      <w:r w:rsidRPr="00277CA4">
        <w:rPr>
          <w:rFonts w:ascii="Arial" w:hAnsi="Arial" w:cs="Arial"/>
        </w:rPr>
        <w:t xml:space="preserve"> The results of these studies are useful for assessing if an antimicrobial agent penetrates to the potential site of infection and investigating the time course and magnitude of extracellular concentrations in the ELF. Determining these initial pharmacokinetic data has become important during the early phase of drug development programs for investigational antimicrobial agents being considered for the treatment of lower respiratory tract infections.</w:t>
      </w:r>
      <w:r w:rsidRPr="00277CA4">
        <w:rPr>
          <w:rFonts w:ascii="Arial" w:hAnsi="Arial" w:cs="Arial"/>
          <w:noProof/>
          <w:vertAlign w:val="superscript"/>
        </w:rPr>
        <w:t>11</w:t>
      </w:r>
      <w:r w:rsidRPr="00277CA4">
        <w:rPr>
          <w:rFonts w:ascii="Arial" w:hAnsi="Arial" w:cs="Arial"/>
        </w:rPr>
        <w:t xml:space="preserve"> Here we have illustrated, for the first time (Figure 3), the variability and/or magnitude of serum and ELF drug concentrations observed in healthy subjects may not be reflective of those observed in severely ill patients. Simulation using a population pharmacokinetic model of an antimicrobial agent from a healthy volunteer study but with a broader, that observed, range of drug clearance may help predict serum pharmacokinetics in critically ill patents. However we recommend investigation, early in a development programme, of the pulmonary penetration in critically ill patients for antimicrobial agents being developed for the treatment of severe respiratory infections.  We also suggest that pulmonary penetrations sub-studies are incorporated into phase 2 and phase 3 clinical trials for antimicrobial agents being developed for the treatment of severe respiratory infections to determine the magnitude of serum and ELF drug concentrations. The intrapulmonary penetration results from this targeted patient population along with the appropriate application of mathematical modelling and evaluation of target attainment can subsequently be used to guide and confirm the selected dosage regimen designs of patients with severe pneumonia.</w:t>
      </w:r>
    </w:p>
    <w:p w:rsidR="00093837" w:rsidRPr="00277CA4" w:rsidRDefault="00093837" w:rsidP="00B71E2F">
      <w:pPr>
        <w:spacing w:after="0" w:line="480" w:lineRule="auto"/>
        <w:jc w:val="both"/>
        <w:rPr>
          <w:rFonts w:ascii="Arial" w:hAnsi="Arial" w:cs="Arial"/>
        </w:rPr>
      </w:pPr>
    </w:p>
    <w:p w:rsidR="00093837" w:rsidRPr="00277CA4" w:rsidRDefault="00093837" w:rsidP="00D0185D">
      <w:pPr>
        <w:spacing w:after="0" w:line="480" w:lineRule="auto"/>
        <w:jc w:val="both"/>
        <w:rPr>
          <w:rFonts w:ascii="Arial" w:hAnsi="Arial" w:cs="Arial"/>
        </w:rPr>
      </w:pPr>
      <w:proofErr w:type="spellStart"/>
      <w:r w:rsidRPr="00277CA4">
        <w:rPr>
          <w:rFonts w:ascii="Arial" w:hAnsi="Arial" w:cs="Arial"/>
        </w:rPr>
        <w:lastRenderedPageBreak/>
        <w:t>Pharmacodynamic</w:t>
      </w:r>
      <w:proofErr w:type="spellEnd"/>
      <w:r w:rsidRPr="00277CA4">
        <w:rPr>
          <w:rFonts w:ascii="Arial" w:hAnsi="Arial" w:cs="Arial"/>
        </w:rPr>
        <w:t xml:space="preserve"> analysis using fractional target attainment illustrated the impact of the differences between healthy volunteers and critically ill patients (Figure 6). The higher exposures seen in critically ill patients results in higher target attainments for less susceptible MICs. The target attainment analysis shows how exposures calculated/predicted from pharmacokinetic analysis derived from healthy volunteers do not predict treatment success in the ELF. Although the fractional target attainment in the serum and ELF of critically ill patients is almost identical it has previously been demonstrated that serum exposure does not correlate well with lung exposure for piperacillin.</w:t>
      </w:r>
      <w:r w:rsidRPr="00277CA4">
        <w:rPr>
          <w:rFonts w:ascii="Arial" w:hAnsi="Arial" w:cs="Arial"/>
          <w:noProof/>
          <w:vertAlign w:val="superscript"/>
        </w:rPr>
        <w:t>15</w:t>
      </w:r>
      <w:r w:rsidRPr="00277CA4">
        <w:rPr>
          <w:rFonts w:ascii="Arial" w:hAnsi="Arial" w:cs="Arial"/>
        </w:rPr>
        <w:t xml:space="preserve"> Therefore, estimating the piperacillin regimen for critically ill patients from healthy volunteers would result in “overdosing” of critically ill patients. Therapeutic drug monitoring and dose adaption is increasingly being recommended for the optimal treatment of critically ill patients.</w:t>
      </w:r>
      <w:r w:rsidRPr="00277CA4">
        <w:rPr>
          <w:rFonts w:ascii="Arial" w:hAnsi="Arial" w:cs="Arial"/>
          <w:noProof/>
          <w:vertAlign w:val="superscript"/>
        </w:rPr>
        <w:t>8</w:t>
      </w:r>
      <w:r w:rsidRPr="00277CA4">
        <w:rPr>
          <w:rFonts w:ascii="Arial" w:hAnsi="Arial" w:cs="Arial"/>
        </w:rPr>
        <w:t xml:space="preserve"> </w:t>
      </w:r>
      <w:proofErr w:type="gramStart"/>
      <w:r w:rsidRPr="00277CA4">
        <w:rPr>
          <w:rFonts w:ascii="Arial" w:hAnsi="Arial" w:cs="Arial"/>
        </w:rPr>
        <w:t>However</w:t>
      </w:r>
      <w:proofErr w:type="gramEnd"/>
      <w:r w:rsidRPr="00277CA4">
        <w:rPr>
          <w:rFonts w:ascii="Arial" w:hAnsi="Arial" w:cs="Arial"/>
        </w:rPr>
        <w:t xml:space="preserve"> therapeutic drug monitoring based on serum drug concentration may be ineffective to optimise ELF drug concentrations and require an alternative strategy with sampling of ELF in high risk patients. </w:t>
      </w:r>
    </w:p>
    <w:p w:rsidR="00093837" w:rsidRPr="00277CA4" w:rsidRDefault="00093837" w:rsidP="00D0185D">
      <w:pPr>
        <w:spacing w:after="0" w:line="480" w:lineRule="auto"/>
        <w:jc w:val="both"/>
        <w:rPr>
          <w:rFonts w:ascii="Arial" w:hAnsi="Arial" w:cs="Arial"/>
        </w:rPr>
      </w:pPr>
    </w:p>
    <w:p w:rsidR="00093837" w:rsidRPr="00277CA4" w:rsidRDefault="00093837" w:rsidP="00D0185D">
      <w:pPr>
        <w:spacing w:after="0" w:line="480" w:lineRule="auto"/>
        <w:jc w:val="both"/>
        <w:rPr>
          <w:rFonts w:ascii="Arial" w:hAnsi="Arial" w:cs="Arial"/>
        </w:rPr>
      </w:pPr>
      <w:r w:rsidRPr="00277CA4">
        <w:rPr>
          <w:rFonts w:ascii="Arial" w:hAnsi="Arial" w:cs="Arial"/>
        </w:rPr>
        <w:t>The aim of this manuscript was to explore the differences in PK-PD between healthy volunteers and critically ill patients. As such the target attainment analysis was only performed for a single regimen (4 g piperacillin administered over 30 minutes every 8 hours). Using this regimen suggests the breakpoint for piperacillin in critically ill patients is an MIC ≤ 4 mg/L. It is well established that the administration of β-lactams, including piperacillin, as continuous or extended infusions results in improved target attainment even when using a lower total daily dose.</w:t>
      </w:r>
      <w:r w:rsidRPr="00277CA4">
        <w:rPr>
          <w:rFonts w:ascii="Arial" w:hAnsi="Arial" w:cs="Arial"/>
          <w:noProof/>
          <w:vertAlign w:val="superscript"/>
        </w:rPr>
        <w:t>26, 27</w:t>
      </w:r>
      <w:r w:rsidRPr="00277CA4">
        <w:rPr>
          <w:rFonts w:ascii="Arial" w:hAnsi="Arial" w:cs="Arial"/>
        </w:rPr>
        <w:t xml:space="preserve"> However, recent clinical trials have failed to demonstrate a survival advantage for delivery of β-lactams by continuous or extended infusions.</w:t>
      </w:r>
      <w:r w:rsidRPr="00277CA4">
        <w:rPr>
          <w:rFonts w:ascii="Arial" w:hAnsi="Arial" w:cs="Arial"/>
          <w:noProof/>
          <w:vertAlign w:val="superscript"/>
        </w:rPr>
        <w:t>28</w:t>
      </w:r>
      <w:r w:rsidRPr="00277CA4">
        <w:rPr>
          <w:rFonts w:ascii="Arial" w:hAnsi="Arial" w:cs="Arial"/>
        </w:rPr>
        <w:t xml:space="preserve"> </w:t>
      </w:r>
    </w:p>
    <w:p w:rsidR="00093837" w:rsidRPr="00277CA4" w:rsidRDefault="00093837" w:rsidP="00D0185D">
      <w:pPr>
        <w:spacing w:after="0" w:line="480" w:lineRule="auto"/>
        <w:jc w:val="both"/>
        <w:rPr>
          <w:rFonts w:ascii="Arial" w:hAnsi="Arial" w:cs="Arial"/>
        </w:rPr>
      </w:pPr>
    </w:p>
    <w:p w:rsidR="00093837" w:rsidRPr="00277CA4" w:rsidRDefault="00093837" w:rsidP="006577B5">
      <w:pPr>
        <w:spacing w:after="0" w:line="480" w:lineRule="auto"/>
        <w:jc w:val="both"/>
        <w:rPr>
          <w:rFonts w:ascii="Arial" w:hAnsi="Arial" w:cs="Arial"/>
        </w:rPr>
      </w:pPr>
      <w:r w:rsidRPr="00277CA4">
        <w:rPr>
          <w:rFonts w:ascii="Arial" w:hAnsi="Arial" w:cs="Arial"/>
        </w:rPr>
        <w:t xml:space="preserve">In conclusion, this study demonstrates significant differences in serum and ELF piperacillin exposures between healthy volunteers and critically ill patients. Both the median piperacillin exposure and variance was greater in critically ill patients, not only in serum but also in ELF, the site of extracellular respiratory tract infections. This further supports the importance of </w:t>
      </w:r>
      <w:r w:rsidRPr="00277CA4">
        <w:rPr>
          <w:rFonts w:ascii="Arial" w:hAnsi="Arial" w:cs="Arial"/>
        </w:rPr>
        <w:lastRenderedPageBreak/>
        <w:t>identifying the optimal dosage regimen to effectively reach the site of infection in critically ill patients.</w:t>
      </w:r>
      <w:r w:rsidRPr="00277CA4">
        <w:rPr>
          <w:rFonts w:ascii="Arial" w:hAnsi="Arial" w:cs="Arial"/>
          <w:noProof/>
          <w:vertAlign w:val="superscript"/>
        </w:rPr>
        <w:t>11</w:t>
      </w:r>
      <w:r w:rsidRPr="00277CA4">
        <w:rPr>
          <w:rFonts w:ascii="Arial" w:hAnsi="Arial" w:cs="Arial"/>
        </w:rPr>
        <w:t xml:space="preserve"> </w:t>
      </w:r>
      <w:r w:rsidRPr="00277CA4">
        <w:rPr>
          <w:rFonts w:ascii="Arial" w:hAnsi="Arial" w:cs="Arial"/>
        </w:rPr>
        <w:br w:type="page"/>
      </w:r>
    </w:p>
    <w:p w:rsidR="00093837" w:rsidRPr="00277CA4" w:rsidRDefault="00093837" w:rsidP="006577B5">
      <w:pPr>
        <w:spacing w:after="0" w:line="480" w:lineRule="auto"/>
        <w:jc w:val="both"/>
        <w:rPr>
          <w:rFonts w:ascii="Arial" w:hAnsi="Arial" w:cs="Arial"/>
          <w:u w:val="single"/>
        </w:rPr>
      </w:pPr>
      <w:r w:rsidRPr="00277CA4">
        <w:rPr>
          <w:rFonts w:ascii="Arial" w:hAnsi="Arial" w:cs="Arial"/>
          <w:u w:val="single"/>
        </w:rPr>
        <w:lastRenderedPageBreak/>
        <w:t>Funding</w:t>
      </w:r>
    </w:p>
    <w:p w:rsidR="008F6B7A" w:rsidRPr="00277CA4" w:rsidRDefault="008F6B7A" w:rsidP="008F6B7A">
      <w:pPr>
        <w:spacing w:after="0" w:line="480" w:lineRule="auto"/>
        <w:jc w:val="both"/>
        <w:rPr>
          <w:rFonts w:ascii="Arial" w:hAnsi="Arial" w:cs="Arial"/>
        </w:rPr>
      </w:pPr>
      <w:r w:rsidRPr="00277CA4">
        <w:rPr>
          <w:rFonts w:ascii="Arial" w:hAnsi="Arial" w:cs="Arial"/>
        </w:rPr>
        <w:t>This project was supported by researchers at the NIHR Manchester Biomedical Research Centre.</w:t>
      </w:r>
    </w:p>
    <w:p w:rsidR="00093837" w:rsidRPr="00277CA4" w:rsidRDefault="00093837" w:rsidP="006577B5">
      <w:pPr>
        <w:spacing w:after="0" w:line="480" w:lineRule="auto"/>
        <w:jc w:val="both"/>
        <w:rPr>
          <w:rFonts w:ascii="Arial" w:hAnsi="Arial" w:cs="Arial"/>
        </w:rPr>
      </w:pPr>
    </w:p>
    <w:p w:rsidR="00093837" w:rsidRPr="00277CA4" w:rsidRDefault="00093837" w:rsidP="006577B5">
      <w:pPr>
        <w:spacing w:after="0" w:line="480" w:lineRule="auto"/>
        <w:jc w:val="both"/>
        <w:rPr>
          <w:rFonts w:ascii="Arial" w:hAnsi="Arial" w:cs="Arial"/>
          <w:u w:val="single"/>
        </w:rPr>
      </w:pPr>
      <w:r w:rsidRPr="00277CA4">
        <w:rPr>
          <w:rFonts w:ascii="Arial" w:hAnsi="Arial" w:cs="Arial"/>
          <w:u w:val="single"/>
        </w:rPr>
        <w:t>Transparency declarations</w:t>
      </w:r>
    </w:p>
    <w:p w:rsidR="00093837" w:rsidRPr="00277CA4" w:rsidRDefault="00093837" w:rsidP="006577B5">
      <w:pPr>
        <w:spacing w:after="0" w:line="480" w:lineRule="auto"/>
        <w:jc w:val="both"/>
        <w:rPr>
          <w:rFonts w:ascii="Arial" w:hAnsi="Arial" w:cs="Arial"/>
        </w:rPr>
      </w:pPr>
      <w:r w:rsidRPr="00277CA4">
        <w:rPr>
          <w:rFonts w:ascii="Arial" w:hAnsi="Arial" w:cs="Arial"/>
        </w:rPr>
        <w:t>None to declare</w:t>
      </w:r>
    </w:p>
    <w:p w:rsidR="00093837" w:rsidRPr="00277CA4" w:rsidRDefault="00093837">
      <w:pPr>
        <w:rPr>
          <w:rFonts w:ascii="Arial" w:hAnsi="Arial" w:cs="Arial"/>
        </w:rPr>
      </w:pPr>
      <w:r w:rsidRPr="00277CA4">
        <w:rPr>
          <w:rFonts w:ascii="Arial" w:hAnsi="Arial" w:cs="Arial"/>
        </w:rPr>
        <w:br w:type="page"/>
      </w:r>
    </w:p>
    <w:p w:rsidR="00093837" w:rsidRPr="00277CA4" w:rsidRDefault="00093837" w:rsidP="0068388D">
      <w:pPr>
        <w:spacing w:after="0" w:line="480" w:lineRule="auto"/>
        <w:rPr>
          <w:rFonts w:ascii="Arial" w:hAnsi="Arial" w:cs="Arial"/>
          <w:u w:val="single"/>
        </w:rPr>
      </w:pPr>
      <w:r w:rsidRPr="00277CA4">
        <w:rPr>
          <w:rFonts w:ascii="Arial" w:hAnsi="Arial" w:cs="Arial"/>
          <w:u w:val="single"/>
        </w:rPr>
        <w:lastRenderedPageBreak/>
        <w:t>References</w:t>
      </w:r>
    </w:p>
    <w:p w:rsidR="00093837" w:rsidRPr="00277CA4" w:rsidRDefault="00093837" w:rsidP="008F6B7A">
      <w:pPr>
        <w:pStyle w:val="EndNoteBibliography"/>
        <w:spacing w:after="0" w:line="480" w:lineRule="auto"/>
        <w:jc w:val="both"/>
        <w:rPr>
          <w:rFonts w:ascii="Arial" w:hAnsi="Arial" w:cs="Arial"/>
        </w:rPr>
      </w:pPr>
      <w:bookmarkStart w:id="5" w:name="_ENREF_1"/>
      <w:r w:rsidRPr="00277CA4">
        <w:t>1.</w:t>
      </w:r>
      <w:r w:rsidRPr="00277CA4">
        <w:tab/>
      </w:r>
      <w:r w:rsidRPr="00277CA4">
        <w:rPr>
          <w:rFonts w:ascii="Arial" w:hAnsi="Arial" w:cs="Arial"/>
        </w:rPr>
        <w:t xml:space="preserve">Martin GS, Mannino DM, Eaton S et al. The epidemiology of sepsis in the United States from 1979 through 2000. </w:t>
      </w:r>
      <w:r w:rsidRPr="00277CA4">
        <w:rPr>
          <w:rFonts w:ascii="Arial" w:hAnsi="Arial" w:cs="Arial"/>
          <w:i/>
        </w:rPr>
        <w:t xml:space="preserve">The New England journal of medicine </w:t>
      </w:r>
      <w:r w:rsidRPr="00277CA4">
        <w:rPr>
          <w:rFonts w:ascii="Arial" w:hAnsi="Arial" w:cs="Arial"/>
        </w:rPr>
        <w:t xml:space="preserve">2003; </w:t>
      </w:r>
      <w:r w:rsidRPr="00277CA4">
        <w:rPr>
          <w:rFonts w:ascii="Arial" w:hAnsi="Arial" w:cs="Arial"/>
          <w:b/>
        </w:rPr>
        <w:t>348</w:t>
      </w:r>
      <w:r w:rsidRPr="00277CA4">
        <w:rPr>
          <w:rFonts w:ascii="Arial" w:hAnsi="Arial" w:cs="Arial"/>
        </w:rPr>
        <w:t>: 1546-54.</w:t>
      </w:r>
      <w:bookmarkEnd w:id="5"/>
    </w:p>
    <w:p w:rsidR="00093837" w:rsidRPr="00277CA4" w:rsidRDefault="00093837" w:rsidP="008F6B7A">
      <w:pPr>
        <w:pStyle w:val="EndNoteBibliography"/>
        <w:spacing w:after="0" w:line="480" w:lineRule="auto"/>
        <w:jc w:val="both"/>
        <w:rPr>
          <w:rFonts w:ascii="Arial" w:hAnsi="Arial" w:cs="Arial"/>
        </w:rPr>
      </w:pPr>
      <w:bookmarkStart w:id="6" w:name="_ENREF_2"/>
      <w:r w:rsidRPr="00277CA4">
        <w:rPr>
          <w:rFonts w:ascii="Arial" w:hAnsi="Arial" w:cs="Arial"/>
        </w:rPr>
        <w:t>2.</w:t>
      </w:r>
      <w:r w:rsidRPr="00277CA4">
        <w:rPr>
          <w:rFonts w:ascii="Arial" w:hAnsi="Arial" w:cs="Arial"/>
        </w:rPr>
        <w:tab/>
        <w:t xml:space="preserve">Vincent JL, Sakr Y, Sprung CL et al. Sepsis in European intensive care units: results of the SOAP study. </w:t>
      </w:r>
      <w:r w:rsidRPr="00277CA4">
        <w:rPr>
          <w:rFonts w:ascii="Arial" w:hAnsi="Arial" w:cs="Arial"/>
          <w:i/>
        </w:rPr>
        <w:t xml:space="preserve">Critical care medicine </w:t>
      </w:r>
      <w:r w:rsidRPr="00277CA4">
        <w:rPr>
          <w:rFonts w:ascii="Arial" w:hAnsi="Arial" w:cs="Arial"/>
        </w:rPr>
        <w:t xml:space="preserve">2006; </w:t>
      </w:r>
      <w:r w:rsidRPr="00277CA4">
        <w:rPr>
          <w:rFonts w:ascii="Arial" w:hAnsi="Arial" w:cs="Arial"/>
          <w:b/>
        </w:rPr>
        <w:t>34</w:t>
      </w:r>
      <w:r w:rsidRPr="00277CA4">
        <w:rPr>
          <w:rFonts w:ascii="Arial" w:hAnsi="Arial" w:cs="Arial"/>
        </w:rPr>
        <w:t>: 344-53.</w:t>
      </w:r>
      <w:bookmarkEnd w:id="6"/>
    </w:p>
    <w:p w:rsidR="00093837" w:rsidRPr="00277CA4" w:rsidRDefault="00093837" w:rsidP="008F6B7A">
      <w:pPr>
        <w:pStyle w:val="EndNoteBibliography"/>
        <w:spacing w:after="0" w:line="480" w:lineRule="auto"/>
        <w:jc w:val="both"/>
        <w:rPr>
          <w:rFonts w:ascii="Arial" w:hAnsi="Arial" w:cs="Arial"/>
        </w:rPr>
      </w:pPr>
      <w:bookmarkStart w:id="7" w:name="_ENREF_3"/>
      <w:r w:rsidRPr="00277CA4">
        <w:rPr>
          <w:rFonts w:ascii="Arial" w:hAnsi="Arial" w:cs="Arial"/>
        </w:rPr>
        <w:t>3.</w:t>
      </w:r>
      <w:r w:rsidRPr="00277CA4">
        <w:rPr>
          <w:rFonts w:ascii="Arial" w:hAnsi="Arial" w:cs="Arial"/>
        </w:rPr>
        <w:tab/>
        <w:t xml:space="preserve">Vincent JL, Rello J, Marshall J et al. International study of the prevalence and outcomes of infection in intensive care units. </w:t>
      </w:r>
      <w:r w:rsidRPr="00277CA4">
        <w:rPr>
          <w:rFonts w:ascii="Arial" w:hAnsi="Arial" w:cs="Arial"/>
          <w:i/>
        </w:rPr>
        <w:t xml:space="preserve">Jama </w:t>
      </w:r>
      <w:r w:rsidRPr="00277CA4">
        <w:rPr>
          <w:rFonts w:ascii="Arial" w:hAnsi="Arial" w:cs="Arial"/>
        </w:rPr>
        <w:t xml:space="preserve">2009; </w:t>
      </w:r>
      <w:r w:rsidRPr="00277CA4">
        <w:rPr>
          <w:rFonts w:ascii="Arial" w:hAnsi="Arial" w:cs="Arial"/>
          <w:b/>
        </w:rPr>
        <w:t>302</w:t>
      </w:r>
      <w:r w:rsidRPr="00277CA4">
        <w:rPr>
          <w:rFonts w:ascii="Arial" w:hAnsi="Arial" w:cs="Arial"/>
        </w:rPr>
        <w:t>: 2323-9.</w:t>
      </w:r>
      <w:bookmarkEnd w:id="7"/>
    </w:p>
    <w:p w:rsidR="00093837" w:rsidRPr="00277CA4" w:rsidRDefault="00093837" w:rsidP="008F6B7A">
      <w:pPr>
        <w:pStyle w:val="EndNoteBibliography"/>
        <w:spacing w:after="0" w:line="480" w:lineRule="auto"/>
        <w:jc w:val="both"/>
        <w:rPr>
          <w:rFonts w:ascii="Arial" w:hAnsi="Arial" w:cs="Arial"/>
        </w:rPr>
      </w:pPr>
      <w:bookmarkStart w:id="8" w:name="_ENREF_4"/>
      <w:r w:rsidRPr="00277CA4">
        <w:rPr>
          <w:rFonts w:ascii="Arial" w:hAnsi="Arial" w:cs="Arial"/>
        </w:rPr>
        <w:t>4.</w:t>
      </w:r>
      <w:r w:rsidRPr="00277CA4">
        <w:rPr>
          <w:rFonts w:ascii="Arial" w:hAnsi="Arial" w:cs="Arial"/>
        </w:rPr>
        <w:tab/>
        <w:t xml:space="preserve">Melsen WG, Rovers MM, Groenwold RH et al. Attributable mortality of ventilator-associated pneumonia: a meta-analysis of individual patient data from randomised prevention studies. </w:t>
      </w:r>
      <w:r w:rsidRPr="00277CA4">
        <w:rPr>
          <w:rFonts w:ascii="Arial" w:hAnsi="Arial" w:cs="Arial"/>
          <w:i/>
        </w:rPr>
        <w:t xml:space="preserve">The Lancet Infectious diseases </w:t>
      </w:r>
      <w:r w:rsidRPr="00277CA4">
        <w:rPr>
          <w:rFonts w:ascii="Arial" w:hAnsi="Arial" w:cs="Arial"/>
        </w:rPr>
        <w:t xml:space="preserve">2013; </w:t>
      </w:r>
      <w:r w:rsidRPr="00277CA4">
        <w:rPr>
          <w:rFonts w:ascii="Arial" w:hAnsi="Arial" w:cs="Arial"/>
          <w:b/>
        </w:rPr>
        <w:t>13</w:t>
      </w:r>
      <w:r w:rsidRPr="00277CA4">
        <w:rPr>
          <w:rFonts w:ascii="Arial" w:hAnsi="Arial" w:cs="Arial"/>
        </w:rPr>
        <w:t>: 665-71.</w:t>
      </w:r>
      <w:bookmarkEnd w:id="8"/>
    </w:p>
    <w:p w:rsidR="00093837" w:rsidRPr="00277CA4" w:rsidRDefault="00093837" w:rsidP="008F6B7A">
      <w:pPr>
        <w:pStyle w:val="EndNoteBibliography"/>
        <w:spacing w:after="0" w:line="480" w:lineRule="auto"/>
        <w:jc w:val="both"/>
        <w:rPr>
          <w:rFonts w:ascii="Arial" w:hAnsi="Arial" w:cs="Arial"/>
        </w:rPr>
      </w:pPr>
      <w:bookmarkStart w:id="9" w:name="_ENREF_5"/>
      <w:r w:rsidRPr="00277CA4">
        <w:rPr>
          <w:rFonts w:ascii="Arial" w:hAnsi="Arial" w:cs="Arial"/>
        </w:rPr>
        <w:t>5.</w:t>
      </w:r>
      <w:r w:rsidRPr="00277CA4">
        <w:rPr>
          <w:rFonts w:ascii="Arial" w:hAnsi="Arial" w:cs="Arial"/>
        </w:rPr>
        <w:tab/>
        <w:t xml:space="preserve">Woodhead M, Welch CA, Harrison DA et al. Community-acquired pneumonia on the intensive care unit: secondary analysis of 17,869 cases in the ICNARC Case Mix Programme Database. </w:t>
      </w:r>
      <w:r w:rsidRPr="00277CA4">
        <w:rPr>
          <w:rFonts w:ascii="Arial" w:hAnsi="Arial" w:cs="Arial"/>
          <w:i/>
        </w:rPr>
        <w:t xml:space="preserve">Critical care </w:t>
      </w:r>
      <w:r w:rsidRPr="00277CA4">
        <w:rPr>
          <w:rFonts w:ascii="Arial" w:hAnsi="Arial" w:cs="Arial"/>
        </w:rPr>
        <w:t xml:space="preserve">2006; </w:t>
      </w:r>
      <w:r w:rsidRPr="00277CA4">
        <w:rPr>
          <w:rFonts w:ascii="Arial" w:hAnsi="Arial" w:cs="Arial"/>
          <w:b/>
        </w:rPr>
        <w:t>10 Suppl 2</w:t>
      </w:r>
      <w:r w:rsidRPr="00277CA4">
        <w:rPr>
          <w:rFonts w:ascii="Arial" w:hAnsi="Arial" w:cs="Arial"/>
        </w:rPr>
        <w:t>: S1.</w:t>
      </w:r>
      <w:bookmarkEnd w:id="9"/>
    </w:p>
    <w:p w:rsidR="00093837" w:rsidRPr="00277CA4" w:rsidRDefault="00093837" w:rsidP="008F6B7A">
      <w:pPr>
        <w:pStyle w:val="EndNoteBibliography"/>
        <w:spacing w:after="0" w:line="480" w:lineRule="auto"/>
        <w:jc w:val="both"/>
        <w:rPr>
          <w:rFonts w:ascii="Arial" w:hAnsi="Arial" w:cs="Arial"/>
        </w:rPr>
      </w:pPr>
      <w:bookmarkStart w:id="10" w:name="_ENREF_6"/>
      <w:r w:rsidRPr="00277CA4">
        <w:rPr>
          <w:rFonts w:ascii="Arial" w:hAnsi="Arial" w:cs="Arial"/>
        </w:rPr>
        <w:t>6.</w:t>
      </w:r>
      <w:r w:rsidRPr="00277CA4">
        <w:rPr>
          <w:rFonts w:ascii="Arial" w:hAnsi="Arial" w:cs="Arial"/>
        </w:rPr>
        <w:tab/>
        <w:t xml:space="preserve">Kollef MH, Sherman G, Ward S et al. Inadequate antimicrobial treatment of infections: a risk factor for hospital mortality among critically ill patients. </w:t>
      </w:r>
      <w:r w:rsidRPr="00277CA4">
        <w:rPr>
          <w:rFonts w:ascii="Arial" w:hAnsi="Arial" w:cs="Arial"/>
          <w:i/>
        </w:rPr>
        <w:t xml:space="preserve">Chest </w:t>
      </w:r>
      <w:r w:rsidRPr="00277CA4">
        <w:rPr>
          <w:rFonts w:ascii="Arial" w:hAnsi="Arial" w:cs="Arial"/>
        </w:rPr>
        <w:t xml:space="preserve">1999; </w:t>
      </w:r>
      <w:r w:rsidRPr="00277CA4">
        <w:rPr>
          <w:rFonts w:ascii="Arial" w:hAnsi="Arial" w:cs="Arial"/>
          <w:b/>
        </w:rPr>
        <w:t>115</w:t>
      </w:r>
      <w:r w:rsidRPr="00277CA4">
        <w:rPr>
          <w:rFonts w:ascii="Arial" w:hAnsi="Arial" w:cs="Arial"/>
        </w:rPr>
        <w:t>: 462-74.</w:t>
      </w:r>
      <w:bookmarkEnd w:id="10"/>
    </w:p>
    <w:p w:rsidR="00093837" w:rsidRPr="00277CA4" w:rsidRDefault="00093837" w:rsidP="008F6B7A">
      <w:pPr>
        <w:pStyle w:val="EndNoteBibliography"/>
        <w:spacing w:after="0" w:line="480" w:lineRule="auto"/>
        <w:jc w:val="both"/>
        <w:rPr>
          <w:rFonts w:ascii="Arial" w:hAnsi="Arial" w:cs="Arial"/>
        </w:rPr>
      </w:pPr>
      <w:bookmarkStart w:id="11" w:name="_ENREF_7"/>
      <w:r w:rsidRPr="00277CA4">
        <w:rPr>
          <w:rFonts w:ascii="Arial" w:hAnsi="Arial" w:cs="Arial"/>
        </w:rPr>
        <w:t>7.</w:t>
      </w:r>
      <w:r w:rsidRPr="00277CA4">
        <w:rPr>
          <w:rFonts w:ascii="Arial" w:hAnsi="Arial" w:cs="Arial"/>
        </w:rPr>
        <w:tab/>
        <w:t xml:space="preserve">Kumar A, Roberts D, Wood KE et al. Duration of hypotension before initiation of effective antimicrobial therapy is the critical determinant of survival in human septic shock. </w:t>
      </w:r>
      <w:r w:rsidRPr="00277CA4">
        <w:rPr>
          <w:rFonts w:ascii="Arial" w:hAnsi="Arial" w:cs="Arial"/>
          <w:i/>
        </w:rPr>
        <w:t xml:space="preserve">Critical care medicine </w:t>
      </w:r>
      <w:r w:rsidRPr="00277CA4">
        <w:rPr>
          <w:rFonts w:ascii="Arial" w:hAnsi="Arial" w:cs="Arial"/>
        </w:rPr>
        <w:t xml:space="preserve">2006; </w:t>
      </w:r>
      <w:r w:rsidRPr="00277CA4">
        <w:rPr>
          <w:rFonts w:ascii="Arial" w:hAnsi="Arial" w:cs="Arial"/>
          <w:b/>
        </w:rPr>
        <w:t>34</w:t>
      </w:r>
      <w:r w:rsidRPr="00277CA4">
        <w:rPr>
          <w:rFonts w:ascii="Arial" w:hAnsi="Arial" w:cs="Arial"/>
        </w:rPr>
        <w:t>: 1589-96.</w:t>
      </w:r>
      <w:bookmarkEnd w:id="11"/>
    </w:p>
    <w:p w:rsidR="00093837" w:rsidRPr="00277CA4" w:rsidRDefault="00093837" w:rsidP="008F6B7A">
      <w:pPr>
        <w:pStyle w:val="EndNoteBibliography"/>
        <w:spacing w:after="0" w:line="480" w:lineRule="auto"/>
        <w:jc w:val="both"/>
        <w:rPr>
          <w:rFonts w:ascii="Arial" w:hAnsi="Arial" w:cs="Arial"/>
        </w:rPr>
      </w:pPr>
      <w:bookmarkStart w:id="12" w:name="_ENREF_8"/>
      <w:r w:rsidRPr="00277CA4">
        <w:rPr>
          <w:rFonts w:ascii="Arial" w:hAnsi="Arial" w:cs="Arial"/>
        </w:rPr>
        <w:t>8.</w:t>
      </w:r>
      <w:r w:rsidRPr="00277CA4">
        <w:rPr>
          <w:rFonts w:ascii="Arial" w:hAnsi="Arial" w:cs="Arial"/>
        </w:rPr>
        <w:tab/>
        <w:t xml:space="preserve">Roberts JA, Abdul-Aziz MH, Lipman J et al. Individualised antibiotic dosing for patients who are critically ill: challenges and potential solutions. </w:t>
      </w:r>
      <w:r w:rsidRPr="00277CA4">
        <w:rPr>
          <w:rFonts w:ascii="Arial" w:hAnsi="Arial" w:cs="Arial"/>
          <w:i/>
        </w:rPr>
        <w:t xml:space="preserve">The Lancet Infectious diseases </w:t>
      </w:r>
      <w:r w:rsidRPr="00277CA4">
        <w:rPr>
          <w:rFonts w:ascii="Arial" w:hAnsi="Arial" w:cs="Arial"/>
        </w:rPr>
        <w:t xml:space="preserve">2014; </w:t>
      </w:r>
      <w:r w:rsidRPr="00277CA4">
        <w:rPr>
          <w:rFonts w:ascii="Arial" w:hAnsi="Arial" w:cs="Arial"/>
          <w:b/>
        </w:rPr>
        <w:t>14</w:t>
      </w:r>
      <w:r w:rsidRPr="00277CA4">
        <w:rPr>
          <w:rFonts w:ascii="Arial" w:hAnsi="Arial" w:cs="Arial"/>
        </w:rPr>
        <w:t>: 498-509.</w:t>
      </w:r>
      <w:bookmarkEnd w:id="12"/>
    </w:p>
    <w:p w:rsidR="00093837" w:rsidRPr="00277CA4" w:rsidRDefault="00093837" w:rsidP="008F6B7A">
      <w:pPr>
        <w:pStyle w:val="EndNoteBibliography"/>
        <w:spacing w:after="0" w:line="480" w:lineRule="auto"/>
        <w:jc w:val="both"/>
        <w:rPr>
          <w:rFonts w:ascii="Arial" w:hAnsi="Arial" w:cs="Arial"/>
        </w:rPr>
      </w:pPr>
      <w:bookmarkStart w:id="13" w:name="_ENREF_9"/>
      <w:r w:rsidRPr="00277CA4">
        <w:rPr>
          <w:rFonts w:ascii="Arial" w:hAnsi="Arial" w:cs="Arial"/>
        </w:rPr>
        <w:t>9.</w:t>
      </w:r>
      <w:r w:rsidRPr="00277CA4">
        <w:rPr>
          <w:rFonts w:ascii="Arial" w:hAnsi="Arial" w:cs="Arial"/>
        </w:rPr>
        <w:tab/>
        <w:t xml:space="preserve">Kalil AC, Metersky ML, Klompas M et al. Management of Adults With Hospital-acquired and Ventilator-associated Pneumonia: 2016 Clinical Practice Guidelines by the Infectious Diseases Society of America and the American Thoracic Society. </w:t>
      </w:r>
      <w:r w:rsidRPr="00277CA4">
        <w:rPr>
          <w:rFonts w:ascii="Arial" w:hAnsi="Arial" w:cs="Arial"/>
          <w:i/>
        </w:rPr>
        <w:t xml:space="preserve">Clinical infectious diseases : an official publication of the Infectious Diseases Society of America </w:t>
      </w:r>
      <w:r w:rsidRPr="00277CA4">
        <w:rPr>
          <w:rFonts w:ascii="Arial" w:hAnsi="Arial" w:cs="Arial"/>
        </w:rPr>
        <w:t xml:space="preserve">2016; </w:t>
      </w:r>
      <w:r w:rsidRPr="00277CA4">
        <w:rPr>
          <w:rFonts w:ascii="Arial" w:hAnsi="Arial" w:cs="Arial"/>
          <w:b/>
        </w:rPr>
        <w:t>63</w:t>
      </w:r>
      <w:r w:rsidRPr="00277CA4">
        <w:rPr>
          <w:rFonts w:ascii="Arial" w:hAnsi="Arial" w:cs="Arial"/>
        </w:rPr>
        <w:t>: e61-e111.</w:t>
      </w:r>
      <w:bookmarkEnd w:id="13"/>
    </w:p>
    <w:p w:rsidR="00093837" w:rsidRPr="00277CA4" w:rsidRDefault="00093837" w:rsidP="008F6B7A">
      <w:pPr>
        <w:pStyle w:val="EndNoteBibliography"/>
        <w:spacing w:after="0" w:line="480" w:lineRule="auto"/>
        <w:jc w:val="both"/>
        <w:rPr>
          <w:rFonts w:ascii="Arial" w:hAnsi="Arial" w:cs="Arial"/>
        </w:rPr>
      </w:pPr>
      <w:bookmarkStart w:id="14" w:name="_ENREF_10"/>
      <w:r w:rsidRPr="00277CA4">
        <w:rPr>
          <w:rFonts w:ascii="Arial" w:hAnsi="Arial" w:cs="Arial"/>
        </w:rPr>
        <w:lastRenderedPageBreak/>
        <w:t>10.</w:t>
      </w:r>
      <w:r w:rsidRPr="00277CA4">
        <w:rPr>
          <w:rFonts w:ascii="Arial" w:hAnsi="Arial" w:cs="Arial"/>
        </w:rPr>
        <w:tab/>
        <w:t xml:space="preserve">Drusano GL. Antimicrobial pharmacodynamics: critical interactions of 'bug and drug'. </w:t>
      </w:r>
      <w:r w:rsidRPr="00277CA4">
        <w:rPr>
          <w:rFonts w:ascii="Arial" w:hAnsi="Arial" w:cs="Arial"/>
          <w:i/>
        </w:rPr>
        <w:t xml:space="preserve">Nature reviews Microbiology </w:t>
      </w:r>
      <w:r w:rsidRPr="00277CA4">
        <w:rPr>
          <w:rFonts w:ascii="Arial" w:hAnsi="Arial" w:cs="Arial"/>
        </w:rPr>
        <w:t xml:space="preserve">2004; </w:t>
      </w:r>
      <w:r w:rsidRPr="00277CA4">
        <w:rPr>
          <w:rFonts w:ascii="Arial" w:hAnsi="Arial" w:cs="Arial"/>
          <w:b/>
        </w:rPr>
        <w:t>2</w:t>
      </w:r>
      <w:r w:rsidRPr="00277CA4">
        <w:rPr>
          <w:rFonts w:ascii="Arial" w:hAnsi="Arial" w:cs="Arial"/>
        </w:rPr>
        <w:t>: 289-300.</w:t>
      </w:r>
      <w:bookmarkEnd w:id="14"/>
    </w:p>
    <w:p w:rsidR="00093837" w:rsidRPr="00277CA4" w:rsidRDefault="00093837" w:rsidP="008F6B7A">
      <w:pPr>
        <w:pStyle w:val="EndNoteBibliography"/>
        <w:spacing w:after="0" w:line="480" w:lineRule="auto"/>
        <w:jc w:val="both"/>
        <w:rPr>
          <w:rFonts w:ascii="Arial" w:hAnsi="Arial" w:cs="Arial"/>
        </w:rPr>
      </w:pPr>
      <w:bookmarkStart w:id="15" w:name="_ENREF_11"/>
      <w:r w:rsidRPr="00277CA4">
        <w:rPr>
          <w:rFonts w:ascii="Arial" w:hAnsi="Arial" w:cs="Arial"/>
        </w:rPr>
        <w:t>11.</w:t>
      </w:r>
      <w:r w:rsidRPr="00277CA4">
        <w:rPr>
          <w:rFonts w:ascii="Arial" w:hAnsi="Arial" w:cs="Arial"/>
        </w:rPr>
        <w:tab/>
        <w:t xml:space="preserve">Ambrose PG, Bhavnani SM, Ellis-Grosse EJ et al. Pharmacokinetic-pharmacodynamic considerations in the design of hospital-acquired or ventilator-associated bacterial pneumonia studies: look before you leap! </w:t>
      </w:r>
      <w:r w:rsidRPr="00277CA4">
        <w:rPr>
          <w:rFonts w:ascii="Arial" w:hAnsi="Arial" w:cs="Arial"/>
          <w:i/>
        </w:rPr>
        <w:t xml:space="preserve">Clinical infectious diseases : an official publication of the Infectious Diseases Society of America </w:t>
      </w:r>
      <w:r w:rsidRPr="00277CA4">
        <w:rPr>
          <w:rFonts w:ascii="Arial" w:hAnsi="Arial" w:cs="Arial"/>
        </w:rPr>
        <w:t xml:space="preserve">2010; </w:t>
      </w:r>
      <w:r w:rsidRPr="00277CA4">
        <w:rPr>
          <w:rFonts w:ascii="Arial" w:hAnsi="Arial" w:cs="Arial"/>
          <w:b/>
        </w:rPr>
        <w:t>51 Suppl 1</w:t>
      </w:r>
      <w:r w:rsidRPr="00277CA4">
        <w:rPr>
          <w:rFonts w:ascii="Arial" w:hAnsi="Arial" w:cs="Arial"/>
        </w:rPr>
        <w:t>: S103-10.</w:t>
      </w:r>
      <w:bookmarkEnd w:id="15"/>
    </w:p>
    <w:p w:rsidR="00093837" w:rsidRPr="00277CA4" w:rsidRDefault="00093837" w:rsidP="008F6B7A">
      <w:pPr>
        <w:pStyle w:val="EndNoteBibliography"/>
        <w:spacing w:after="0" w:line="480" w:lineRule="auto"/>
        <w:jc w:val="both"/>
        <w:rPr>
          <w:rFonts w:ascii="Arial" w:hAnsi="Arial" w:cs="Arial"/>
        </w:rPr>
      </w:pPr>
      <w:bookmarkStart w:id="16" w:name="_ENREF_12"/>
      <w:r w:rsidRPr="00277CA4">
        <w:rPr>
          <w:rFonts w:ascii="Arial" w:hAnsi="Arial" w:cs="Arial"/>
        </w:rPr>
        <w:t>12.</w:t>
      </w:r>
      <w:r w:rsidRPr="00277CA4">
        <w:rPr>
          <w:rFonts w:ascii="Arial" w:hAnsi="Arial" w:cs="Arial"/>
        </w:rPr>
        <w:tab/>
        <w:t xml:space="preserve">Felton T, Troke PF, Hope WW. Tissue penetration of antifungal agents. </w:t>
      </w:r>
      <w:r w:rsidRPr="00277CA4">
        <w:rPr>
          <w:rFonts w:ascii="Arial" w:hAnsi="Arial" w:cs="Arial"/>
          <w:i/>
        </w:rPr>
        <w:t xml:space="preserve">Clinical microbiology reviews </w:t>
      </w:r>
      <w:r w:rsidRPr="00277CA4">
        <w:rPr>
          <w:rFonts w:ascii="Arial" w:hAnsi="Arial" w:cs="Arial"/>
        </w:rPr>
        <w:t xml:space="preserve">2014; </w:t>
      </w:r>
      <w:r w:rsidRPr="00277CA4">
        <w:rPr>
          <w:rFonts w:ascii="Arial" w:hAnsi="Arial" w:cs="Arial"/>
          <w:b/>
        </w:rPr>
        <w:t>27</w:t>
      </w:r>
      <w:r w:rsidRPr="00277CA4">
        <w:rPr>
          <w:rFonts w:ascii="Arial" w:hAnsi="Arial" w:cs="Arial"/>
        </w:rPr>
        <w:t>: 68-88.</w:t>
      </w:r>
      <w:bookmarkEnd w:id="16"/>
    </w:p>
    <w:p w:rsidR="00093837" w:rsidRPr="00277CA4" w:rsidRDefault="00093837" w:rsidP="008F6B7A">
      <w:pPr>
        <w:pStyle w:val="EndNoteBibliography"/>
        <w:spacing w:after="0" w:line="480" w:lineRule="auto"/>
        <w:jc w:val="both"/>
        <w:rPr>
          <w:rFonts w:ascii="Arial" w:hAnsi="Arial" w:cs="Arial"/>
        </w:rPr>
      </w:pPr>
      <w:bookmarkStart w:id="17" w:name="_ENREF_13"/>
      <w:r w:rsidRPr="00277CA4">
        <w:rPr>
          <w:rFonts w:ascii="Arial" w:hAnsi="Arial" w:cs="Arial"/>
        </w:rPr>
        <w:t>13.</w:t>
      </w:r>
      <w:r w:rsidRPr="00277CA4">
        <w:rPr>
          <w:rFonts w:ascii="Arial" w:hAnsi="Arial" w:cs="Arial"/>
        </w:rPr>
        <w:tab/>
        <w:t xml:space="preserve">Rodvold KA, George JM, Yoo L. Penetration of anti-infective agents into pulmonary epithelial lining fluid: focus on antibacterial agents. </w:t>
      </w:r>
      <w:r w:rsidRPr="00277CA4">
        <w:rPr>
          <w:rFonts w:ascii="Arial" w:hAnsi="Arial" w:cs="Arial"/>
          <w:i/>
        </w:rPr>
        <w:t xml:space="preserve">Clinical pharmacokinetics </w:t>
      </w:r>
      <w:r w:rsidRPr="00277CA4">
        <w:rPr>
          <w:rFonts w:ascii="Arial" w:hAnsi="Arial" w:cs="Arial"/>
        </w:rPr>
        <w:t xml:space="preserve">2011; </w:t>
      </w:r>
      <w:r w:rsidRPr="00277CA4">
        <w:rPr>
          <w:rFonts w:ascii="Arial" w:hAnsi="Arial" w:cs="Arial"/>
          <w:b/>
        </w:rPr>
        <w:t>50</w:t>
      </w:r>
      <w:r w:rsidRPr="00277CA4">
        <w:rPr>
          <w:rFonts w:ascii="Arial" w:hAnsi="Arial" w:cs="Arial"/>
        </w:rPr>
        <w:t>: 637-64.</w:t>
      </w:r>
      <w:bookmarkEnd w:id="17"/>
    </w:p>
    <w:p w:rsidR="00093837" w:rsidRPr="00277CA4" w:rsidRDefault="00093837" w:rsidP="008F6B7A">
      <w:pPr>
        <w:pStyle w:val="EndNoteBibliography"/>
        <w:spacing w:after="0" w:line="480" w:lineRule="auto"/>
        <w:jc w:val="both"/>
        <w:rPr>
          <w:rFonts w:ascii="Arial" w:hAnsi="Arial" w:cs="Arial"/>
        </w:rPr>
      </w:pPr>
      <w:bookmarkStart w:id="18" w:name="_ENREF_14"/>
      <w:r w:rsidRPr="00277CA4">
        <w:rPr>
          <w:rFonts w:ascii="Arial" w:hAnsi="Arial" w:cs="Arial"/>
        </w:rPr>
        <w:t>14.</w:t>
      </w:r>
      <w:r w:rsidRPr="00277CA4">
        <w:rPr>
          <w:rFonts w:ascii="Arial" w:hAnsi="Arial" w:cs="Arial"/>
        </w:rPr>
        <w:tab/>
        <w:t xml:space="preserve">Chandorkar G, Huntington JA, Gotfried MH et al. Intrapulmonary penetration of ceftolozane/tazobactam and piperacillin/tazobactam in healthy adult subjects. </w:t>
      </w:r>
      <w:r w:rsidRPr="00277CA4">
        <w:rPr>
          <w:rFonts w:ascii="Arial" w:hAnsi="Arial" w:cs="Arial"/>
          <w:i/>
        </w:rPr>
        <w:t xml:space="preserve">The Journal of antimicrobial chemotherapy </w:t>
      </w:r>
      <w:r w:rsidRPr="00277CA4">
        <w:rPr>
          <w:rFonts w:ascii="Arial" w:hAnsi="Arial" w:cs="Arial"/>
        </w:rPr>
        <w:t xml:space="preserve">2012; </w:t>
      </w:r>
      <w:r w:rsidRPr="00277CA4">
        <w:rPr>
          <w:rFonts w:ascii="Arial" w:hAnsi="Arial" w:cs="Arial"/>
          <w:b/>
        </w:rPr>
        <w:t>67</w:t>
      </w:r>
      <w:r w:rsidRPr="00277CA4">
        <w:rPr>
          <w:rFonts w:ascii="Arial" w:hAnsi="Arial" w:cs="Arial"/>
        </w:rPr>
        <w:t>: 2463-9.</w:t>
      </w:r>
      <w:bookmarkEnd w:id="18"/>
    </w:p>
    <w:p w:rsidR="00093837" w:rsidRPr="00277CA4" w:rsidRDefault="00093837" w:rsidP="008F6B7A">
      <w:pPr>
        <w:pStyle w:val="EndNoteBibliography"/>
        <w:spacing w:after="0" w:line="480" w:lineRule="auto"/>
        <w:jc w:val="both"/>
        <w:rPr>
          <w:rFonts w:ascii="Arial" w:hAnsi="Arial" w:cs="Arial"/>
        </w:rPr>
      </w:pPr>
      <w:bookmarkStart w:id="19" w:name="_ENREF_15"/>
      <w:r w:rsidRPr="00277CA4">
        <w:rPr>
          <w:rFonts w:ascii="Arial" w:hAnsi="Arial" w:cs="Arial"/>
        </w:rPr>
        <w:t>15.</w:t>
      </w:r>
      <w:r w:rsidRPr="00277CA4">
        <w:rPr>
          <w:rFonts w:ascii="Arial" w:hAnsi="Arial" w:cs="Arial"/>
        </w:rPr>
        <w:tab/>
        <w:t xml:space="preserve">Felton TW, McCalman K, Malagon I et al. Pulmonary penetration of piperacillin and tazobactam in critically ill patients. </w:t>
      </w:r>
      <w:r w:rsidRPr="00277CA4">
        <w:rPr>
          <w:rFonts w:ascii="Arial" w:hAnsi="Arial" w:cs="Arial"/>
          <w:i/>
        </w:rPr>
        <w:t xml:space="preserve">Clinical pharmacology and therapeutics </w:t>
      </w:r>
      <w:r w:rsidRPr="00277CA4">
        <w:rPr>
          <w:rFonts w:ascii="Arial" w:hAnsi="Arial" w:cs="Arial"/>
        </w:rPr>
        <w:t xml:space="preserve">2014; </w:t>
      </w:r>
      <w:r w:rsidRPr="00277CA4">
        <w:rPr>
          <w:rFonts w:ascii="Arial" w:hAnsi="Arial" w:cs="Arial"/>
          <w:b/>
        </w:rPr>
        <w:t>96</w:t>
      </w:r>
      <w:r w:rsidRPr="00277CA4">
        <w:rPr>
          <w:rFonts w:ascii="Arial" w:hAnsi="Arial" w:cs="Arial"/>
        </w:rPr>
        <w:t>: 438-48.</w:t>
      </w:r>
      <w:bookmarkEnd w:id="19"/>
    </w:p>
    <w:p w:rsidR="00093837" w:rsidRPr="00277CA4" w:rsidRDefault="00093837" w:rsidP="008F6B7A">
      <w:pPr>
        <w:pStyle w:val="EndNoteBibliography"/>
        <w:spacing w:after="0" w:line="480" w:lineRule="auto"/>
        <w:jc w:val="both"/>
        <w:rPr>
          <w:rFonts w:ascii="Arial" w:hAnsi="Arial" w:cs="Arial"/>
        </w:rPr>
      </w:pPr>
      <w:bookmarkStart w:id="20" w:name="_ENREF_16"/>
      <w:r w:rsidRPr="00277CA4">
        <w:rPr>
          <w:rFonts w:ascii="Arial" w:hAnsi="Arial" w:cs="Arial"/>
        </w:rPr>
        <w:t>16.</w:t>
      </w:r>
      <w:r w:rsidRPr="00277CA4">
        <w:rPr>
          <w:rFonts w:ascii="Arial" w:hAnsi="Arial" w:cs="Arial"/>
        </w:rPr>
        <w:tab/>
        <w:t xml:space="preserve">Boselli E, Breilh D, Rimmele T et al. Alveolar concentrations of piperacillin/tazobactam administered in continuous infusion to patients with ventilator-associated pneumonia. </w:t>
      </w:r>
      <w:r w:rsidRPr="00277CA4">
        <w:rPr>
          <w:rFonts w:ascii="Arial" w:hAnsi="Arial" w:cs="Arial"/>
          <w:i/>
        </w:rPr>
        <w:t xml:space="preserve">Critical care medicine </w:t>
      </w:r>
      <w:r w:rsidRPr="00277CA4">
        <w:rPr>
          <w:rFonts w:ascii="Arial" w:hAnsi="Arial" w:cs="Arial"/>
        </w:rPr>
        <w:t xml:space="preserve">2008; </w:t>
      </w:r>
      <w:r w:rsidRPr="00277CA4">
        <w:rPr>
          <w:rFonts w:ascii="Arial" w:hAnsi="Arial" w:cs="Arial"/>
          <w:b/>
        </w:rPr>
        <w:t>36</w:t>
      </w:r>
      <w:r w:rsidRPr="00277CA4">
        <w:rPr>
          <w:rFonts w:ascii="Arial" w:hAnsi="Arial" w:cs="Arial"/>
        </w:rPr>
        <w:t>: 1500-6.</w:t>
      </w:r>
      <w:bookmarkEnd w:id="20"/>
    </w:p>
    <w:p w:rsidR="00093837" w:rsidRPr="00277CA4" w:rsidRDefault="00093837" w:rsidP="008F6B7A">
      <w:pPr>
        <w:pStyle w:val="EndNoteBibliography"/>
        <w:spacing w:after="0" w:line="480" w:lineRule="auto"/>
        <w:jc w:val="both"/>
        <w:rPr>
          <w:rFonts w:ascii="Arial" w:hAnsi="Arial" w:cs="Arial"/>
        </w:rPr>
      </w:pPr>
      <w:bookmarkStart w:id="21" w:name="_ENREF_17"/>
      <w:r w:rsidRPr="00277CA4">
        <w:rPr>
          <w:rFonts w:ascii="Arial" w:hAnsi="Arial" w:cs="Arial"/>
        </w:rPr>
        <w:t>17.</w:t>
      </w:r>
      <w:r w:rsidRPr="00277CA4">
        <w:rPr>
          <w:rFonts w:ascii="Arial" w:hAnsi="Arial" w:cs="Arial"/>
        </w:rPr>
        <w:tab/>
        <w:t xml:space="preserve">Dargaville PA, South M, Vervaart P et al. Validity of markers of dilution in small volume lung lavage. </w:t>
      </w:r>
      <w:r w:rsidRPr="00277CA4">
        <w:rPr>
          <w:rFonts w:ascii="Arial" w:hAnsi="Arial" w:cs="Arial"/>
          <w:i/>
        </w:rPr>
        <w:t xml:space="preserve">American journal of respiratory and critical care medicine </w:t>
      </w:r>
      <w:r w:rsidRPr="00277CA4">
        <w:rPr>
          <w:rFonts w:ascii="Arial" w:hAnsi="Arial" w:cs="Arial"/>
        </w:rPr>
        <w:t xml:space="preserve">1999; </w:t>
      </w:r>
      <w:r w:rsidRPr="00277CA4">
        <w:rPr>
          <w:rFonts w:ascii="Arial" w:hAnsi="Arial" w:cs="Arial"/>
          <w:b/>
        </w:rPr>
        <w:t>160</w:t>
      </w:r>
      <w:r w:rsidRPr="00277CA4">
        <w:rPr>
          <w:rFonts w:ascii="Arial" w:hAnsi="Arial" w:cs="Arial"/>
        </w:rPr>
        <w:t>: 778-84.</w:t>
      </w:r>
      <w:bookmarkEnd w:id="21"/>
    </w:p>
    <w:p w:rsidR="00093837" w:rsidRPr="00277CA4" w:rsidRDefault="00093837" w:rsidP="008F6B7A">
      <w:pPr>
        <w:pStyle w:val="EndNoteBibliography"/>
        <w:spacing w:after="0" w:line="480" w:lineRule="auto"/>
        <w:jc w:val="both"/>
        <w:rPr>
          <w:rFonts w:ascii="Arial" w:hAnsi="Arial" w:cs="Arial"/>
        </w:rPr>
      </w:pPr>
      <w:bookmarkStart w:id="22" w:name="_ENREF_18"/>
      <w:r w:rsidRPr="00277CA4">
        <w:rPr>
          <w:rFonts w:ascii="Arial" w:hAnsi="Arial" w:cs="Arial"/>
        </w:rPr>
        <w:t>18.</w:t>
      </w:r>
      <w:r w:rsidRPr="00277CA4">
        <w:rPr>
          <w:rFonts w:ascii="Arial" w:hAnsi="Arial" w:cs="Arial"/>
        </w:rPr>
        <w:tab/>
        <w:t xml:space="preserve">Neely MN, van Guilder MG, Yamada WM et al. Accurate detection of outliers and subpopulations with Pmetrics, a nonparametric and parametric pharmacometric modeling and simulation package for R. </w:t>
      </w:r>
      <w:r w:rsidRPr="00277CA4">
        <w:rPr>
          <w:rFonts w:ascii="Arial" w:hAnsi="Arial" w:cs="Arial"/>
          <w:i/>
        </w:rPr>
        <w:t xml:space="preserve">Therapeutic drug monitoring </w:t>
      </w:r>
      <w:r w:rsidRPr="00277CA4">
        <w:rPr>
          <w:rFonts w:ascii="Arial" w:hAnsi="Arial" w:cs="Arial"/>
        </w:rPr>
        <w:t xml:space="preserve">2012; </w:t>
      </w:r>
      <w:r w:rsidRPr="00277CA4">
        <w:rPr>
          <w:rFonts w:ascii="Arial" w:hAnsi="Arial" w:cs="Arial"/>
          <w:b/>
        </w:rPr>
        <w:t>34</w:t>
      </w:r>
      <w:r w:rsidRPr="00277CA4">
        <w:rPr>
          <w:rFonts w:ascii="Arial" w:hAnsi="Arial" w:cs="Arial"/>
        </w:rPr>
        <w:t>: 467-76.</w:t>
      </w:r>
      <w:bookmarkEnd w:id="22"/>
    </w:p>
    <w:p w:rsidR="00093837" w:rsidRPr="00277CA4" w:rsidRDefault="00093837" w:rsidP="008F6B7A">
      <w:pPr>
        <w:pStyle w:val="EndNoteBibliography"/>
        <w:spacing w:after="0" w:line="480" w:lineRule="auto"/>
        <w:jc w:val="both"/>
        <w:rPr>
          <w:rFonts w:ascii="Arial" w:hAnsi="Arial" w:cs="Arial"/>
        </w:rPr>
      </w:pPr>
      <w:bookmarkStart w:id="23" w:name="_ENREF_19"/>
      <w:r w:rsidRPr="00277CA4">
        <w:rPr>
          <w:rFonts w:ascii="Arial" w:hAnsi="Arial" w:cs="Arial"/>
        </w:rPr>
        <w:t>19.</w:t>
      </w:r>
      <w:r w:rsidRPr="00277CA4">
        <w:rPr>
          <w:rFonts w:ascii="Arial" w:hAnsi="Arial" w:cs="Arial"/>
        </w:rPr>
        <w:tab/>
        <w:t xml:space="preserve">Sorgel F, Kinzig M. The chemistry, pharmacokinetics and tissue distribution of piperacillin/tazobactam. </w:t>
      </w:r>
      <w:r w:rsidRPr="00277CA4">
        <w:rPr>
          <w:rFonts w:ascii="Arial" w:hAnsi="Arial" w:cs="Arial"/>
          <w:i/>
        </w:rPr>
        <w:t xml:space="preserve">The Journal of antimicrobial chemotherapy </w:t>
      </w:r>
      <w:r w:rsidRPr="00277CA4">
        <w:rPr>
          <w:rFonts w:ascii="Arial" w:hAnsi="Arial" w:cs="Arial"/>
        </w:rPr>
        <w:t xml:space="preserve">1993; </w:t>
      </w:r>
      <w:r w:rsidRPr="00277CA4">
        <w:rPr>
          <w:rFonts w:ascii="Arial" w:hAnsi="Arial" w:cs="Arial"/>
          <w:b/>
        </w:rPr>
        <w:t>31 Suppl A</w:t>
      </w:r>
      <w:r w:rsidRPr="00277CA4">
        <w:rPr>
          <w:rFonts w:ascii="Arial" w:hAnsi="Arial" w:cs="Arial"/>
        </w:rPr>
        <w:t>: 39-60.</w:t>
      </w:r>
      <w:bookmarkEnd w:id="23"/>
    </w:p>
    <w:p w:rsidR="00093837" w:rsidRPr="00277CA4" w:rsidRDefault="00093837" w:rsidP="008F6B7A">
      <w:pPr>
        <w:pStyle w:val="EndNoteBibliography"/>
        <w:spacing w:after="0" w:line="480" w:lineRule="auto"/>
        <w:jc w:val="both"/>
        <w:rPr>
          <w:rFonts w:ascii="Arial" w:hAnsi="Arial" w:cs="Arial"/>
        </w:rPr>
      </w:pPr>
      <w:bookmarkStart w:id="24" w:name="_ENREF_20"/>
      <w:r w:rsidRPr="00277CA4">
        <w:rPr>
          <w:rFonts w:ascii="Arial" w:hAnsi="Arial" w:cs="Arial"/>
        </w:rPr>
        <w:lastRenderedPageBreak/>
        <w:t>20.</w:t>
      </w:r>
      <w:r w:rsidRPr="00277CA4">
        <w:rPr>
          <w:rFonts w:ascii="Arial" w:hAnsi="Arial" w:cs="Arial"/>
        </w:rPr>
        <w:tab/>
        <w:t xml:space="preserve">Clinical and Laboratory Standards Institute. </w:t>
      </w:r>
      <w:r w:rsidRPr="00277CA4">
        <w:rPr>
          <w:rFonts w:ascii="Arial" w:hAnsi="Arial" w:cs="Arial"/>
          <w:i/>
        </w:rPr>
        <w:t>Performance Standards for Antimicrobial Susceptibility Testing; Twenty-First Informational Supplement. CLSI document M100-S23</w:t>
      </w:r>
      <w:r w:rsidRPr="00277CA4">
        <w:rPr>
          <w:rFonts w:ascii="Arial" w:hAnsi="Arial" w:cs="Arial"/>
        </w:rPr>
        <w:t xml:space="preserve">, </w:t>
      </w:r>
      <w:r w:rsidR="008F6B7A" w:rsidRPr="00277CA4">
        <w:rPr>
          <w:rFonts w:ascii="Arial" w:hAnsi="Arial" w:cs="Arial"/>
        </w:rPr>
        <w:t xml:space="preserve">CLSI, Wayne, PA, USA, </w:t>
      </w:r>
      <w:r w:rsidRPr="00277CA4">
        <w:rPr>
          <w:rFonts w:ascii="Arial" w:hAnsi="Arial" w:cs="Arial"/>
        </w:rPr>
        <w:t>2013.</w:t>
      </w:r>
      <w:bookmarkEnd w:id="24"/>
    </w:p>
    <w:p w:rsidR="00093837" w:rsidRPr="00277CA4" w:rsidRDefault="00093837" w:rsidP="008F6B7A">
      <w:pPr>
        <w:pStyle w:val="EndNoteBibliography"/>
        <w:spacing w:after="0" w:line="480" w:lineRule="auto"/>
        <w:jc w:val="both"/>
        <w:rPr>
          <w:rFonts w:ascii="Arial" w:hAnsi="Arial" w:cs="Arial"/>
        </w:rPr>
      </w:pPr>
      <w:bookmarkStart w:id="25" w:name="_ENREF_21"/>
      <w:r w:rsidRPr="00277CA4">
        <w:rPr>
          <w:rFonts w:ascii="Arial" w:hAnsi="Arial" w:cs="Arial"/>
        </w:rPr>
        <w:t>21.</w:t>
      </w:r>
      <w:r w:rsidRPr="00277CA4">
        <w:rPr>
          <w:rFonts w:ascii="Arial" w:hAnsi="Arial" w:cs="Arial"/>
        </w:rPr>
        <w:tab/>
        <w:t xml:space="preserve">European Committee on Antimicrobial Susceptibility Testing. </w:t>
      </w:r>
      <w:r w:rsidRPr="00277CA4">
        <w:rPr>
          <w:rFonts w:ascii="Arial" w:hAnsi="Arial" w:cs="Arial"/>
          <w:i/>
        </w:rPr>
        <w:t>EUCAST MIC Distribution. Piperacillin-tazobactam / Pseudomonas aeruginosa</w:t>
      </w:r>
      <w:r w:rsidRPr="00277CA4">
        <w:rPr>
          <w:rFonts w:ascii="Arial" w:hAnsi="Arial" w:cs="Arial"/>
        </w:rPr>
        <w:t>, 2013.</w:t>
      </w:r>
      <w:bookmarkEnd w:id="25"/>
    </w:p>
    <w:p w:rsidR="00093837" w:rsidRPr="00277CA4" w:rsidRDefault="00093837" w:rsidP="008F6B7A">
      <w:pPr>
        <w:pStyle w:val="EndNoteBibliography"/>
        <w:spacing w:after="0" w:line="480" w:lineRule="auto"/>
        <w:jc w:val="both"/>
        <w:rPr>
          <w:rFonts w:ascii="Arial" w:hAnsi="Arial" w:cs="Arial"/>
        </w:rPr>
      </w:pPr>
      <w:bookmarkStart w:id="26" w:name="_ENREF_22"/>
      <w:r w:rsidRPr="00277CA4">
        <w:rPr>
          <w:rFonts w:ascii="Arial" w:hAnsi="Arial" w:cs="Arial"/>
        </w:rPr>
        <w:t>22.</w:t>
      </w:r>
      <w:r w:rsidRPr="00277CA4">
        <w:rPr>
          <w:rFonts w:ascii="Arial" w:hAnsi="Arial" w:cs="Arial"/>
        </w:rPr>
        <w:tab/>
        <w:t xml:space="preserve">Felton TW, Hope WW, Roberts JA. How severe is antibiotic pharmacokinetic variability in critically ill patients and what can be done about it? </w:t>
      </w:r>
      <w:r w:rsidRPr="00277CA4">
        <w:rPr>
          <w:rFonts w:ascii="Arial" w:hAnsi="Arial" w:cs="Arial"/>
          <w:i/>
        </w:rPr>
        <w:t xml:space="preserve">Diagnostic microbiology and infectious disease </w:t>
      </w:r>
      <w:r w:rsidRPr="00277CA4">
        <w:rPr>
          <w:rFonts w:ascii="Arial" w:hAnsi="Arial" w:cs="Arial"/>
        </w:rPr>
        <w:t xml:space="preserve">2014; </w:t>
      </w:r>
      <w:r w:rsidRPr="00277CA4">
        <w:rPr>
          <w:rFonts w:ascii="Arial" w:hAnsi="Arial" w:cs="Arial"/>
          <w:b/>
        </w:rPr>
        <w:t>79</w:t>
      </w:r>
      <w:r w:rsidRPr="00277CA4">
        <w:rPr>
          <w:rFonts w:ascii="Arial" w:hAnsi="Arial" w:cs="Arial"/>
        </w:rPr>
        <w:t>: 441-7.</w:t>
      </w:r>
      <w:bookmarkEnd w:id="26"/>
    </w:p>
    <w:p w:rsidR="00093837" w:rsidRPr="00277CA4" w:rsidRDefault="00093837" w:rsidP="008F6B7A">
      <w:pPr>
        <w:pStyle w:val="EndNoteBibliography"/>
        <w:spacing w:after="0" w:line="480" w:lineRule="auto"/>
        <w:jc w:val="both"/>
        <w:rPr>
          <w:rFonts w:ascii="Arial" w:hAnsi="Arial" w:cs="Arial"/>
        </w:rPr>
      </w:pPr>
      <w:bookmarkStart w:id="27" w:name="_ENREF_23"/>
      <w:r w:rsidRPr="00277CA4">
        <w:rPr>
          <w:rFonts w:ascii="Arial" w:hAnsi="Arial" w:cs="Arial"/>
        </w:rPr>
        <w:t>23.</w:t>
      </w:r>
      <w:r w:rsidRPr="00277CA4">
        <w:rPr>
          <w:rFonts w:ascii="Arial" w:hAnsi="Arial" w:cs="Arial"/>
        </w:rPr>
        <w:tab/>
        <w:t xml:space="preserve">Boselli E, Breilh D, Cannesson M et al. Steady-state plasma and intrapulmonary concentrations of piperacillin/tazobactam 4 g/0.5 g administered to critically ill patients with severe nosocomial pneumonia. </w:t>
      </w:r>
      <w:r w:rsidRPr="00277CA4">
        <w:rPr>
          <w:rFonts w:ascii="Arial" w:hAnsi="Arial" w:cs="Arial"/>
          <w:i/>
        </w:rPr>
        <w:t xml:space="preserve">Intensive care medicine </w:t>
      </w:r>
      <w:r w:rsidRPr="00277CA4">
        <w:rPr>
          <w:rFonts w:ascii="Arial" w:hAnsi="Arial" w:cs="Arial"/>
        </w:rPr>
        <w:t xml:space="preserve">2004; </w:t>
      </w:r>
      <w:r w:rsidRPr="00277CA4">
        <w:rPr>
          <w:rFonts w:ascii="Arial" w:hAnsi="Arial" w:cs="Arial"/>
          <w:b/>
        </w:rPr>
        <w:t>30</w:t>
      </w:r>
      <w:r w:rsidRPr="00277CA4">
        <w:rPr>
          <w:rFonts w:ascii="Arial" w:hAnsi="Arial" w:cs="Arial"/>
        </w:rPr>
        <w:t>: 976-9.</w:t>
      </w:r>
      <w:bookmarkEnd w:id="27"/>
    </w:p>
    <w:p w:rsidR="00093837" w:rsidRPr="00277CA4" w:rsidRDefault="00093837" w:rsidP="008F6B7A">
      <w:pPr>
        <w:pStyle w:val="EndNoteBibliography"/>
        <w:spacing w:after="0" w:line="480" w:lineRule="auto"/>
        <w:jc w:val="both"/>
        <w:rPr>
          <w:rFonts w:ascii="Arial" w:hAnsi="Arial" w:cs="Arial"/>
        </w:rPr>
      </w:pPr>
      <w:bookmarkStart w:id="28" w:name="_ENREF_24"/>
      <w:r w:rsidRPr="00277CA4">
        <w:rPr>
          <w:rFonts w:ascii="Arial" w:hAnsi="Arial" w:cs="Arial"/>
        </w:rPr>
        <w:t>24.</w:t>
      </w:r>
      <w:r w:rsidRPr="00277CA4">
        <w:rPr>
          <w:rFonts w:ascii="Arial" w:hAnsi="Arial" w:cs="Arial"/>
        </w:rPr>
        <w:tab/>
        <w:t xml:space="preserve">Honeybourne D, Baldwin DR. The site concentrations of antimicrobial agents in the lung. </w:t>
      </w:r>
      <w:r w:rsidRPr="00277CA4">
        <w:rPr>
          <w:rFonts w:ascii="Arial" w:hAnsi="Arial" w:cs="Arial"/>
          <w:i/>
        </w:rPr>
        <w:t xml:space="preserve">The Journal of antimicrobial chemotherapy </w:t>
      </w:r>
      <w:r w:rsidRPr="00277CA4">
        <w:rPr>
          <w:rFonts w:ascii="Arial" w:hAnsi="Arial" w:cs="Arial"/>
        </w:rPr>
        <w:t xml:space="preserve">1992; </w:t>
      </w:r>
      <w:r w:rsidRPr="00277CA4">
        <w:rPr>
          <w:rFonts w:ascii="Arial" w:hAnsi="Arial" w:cs="Arial"/>
          <w:b/>
        </w:rPr>
        <w:t>30</w:t>
      </w:r>
      <w:r w:rsidRPr="00277CA4">
        <w:rPr>
          <w:rFonts w:ascii="Arial" w:hAnsi="Arial" w:cs="Arial"/>
        </w:rPr>
        <w:t>: 249-60.</w:t>
      </w:r>
      <w:bookmarkEnd w:id="28"/>
    </w:p>
    <w:p w:rsidR="00093837" w:rsidRPr="00277CA4" w:rsidRDefault="00093837" w:rsidP="008F6B7A">
      <w:pPr>
        <w:pStyle w:val="EndNoteBibliography"/>
        <w:spacing w:after="0" w:line="480" w:lineRule="auto"/>
        <w:jc w:val="both"/>
        <w:rPr>
          <w:rFonts w:ascii="Arial" w:hAnsi="Arial" w:cs="Arial"/>
        </w:rPr>
      </w:pPr>
      <w:bookmarkStart w:id="29" w:name="_ENREF_25"/>
      <w:r w:rsidRPr="00277CA4">
        <w:rPr>
          <w:rFonts w:ascii="Arial" w:hAnsi="Arial" w:cs="Arial"/>
        </w:rPr>
        <w:t>25.</w:t>
      </w:r>
      <w:r w:rsidRPr="00277CA4">
        <w:rPr>
          <w:rFonts w:ascii="Arial" w:hAnsi="Arial" w:cs="Arial"/>
        </w:rPr>
        <w:tab/>
        <w:t xml:space="preserve">Kell DB, Oliver SG. How drugs get into cells: tested and testable predictions to help discriminate between transporter-mediated uptake and lipoidal bilayer diffusion. </w:t>
      </w:r>
      <w:r w:rsidRPr="00277CA4">
        <w:rPr>
          <w:rFonts w:ascii="Arial" w:hAnsi="Arial" w:cs="Arial"/>
          <w:i/>
        </w:rPr>
        <w:t xml:space="preserve">Frontiers in pharmacology </w:t>
      </w:r>
      <w:r w:rsidRPr="00277CA4">
        <w:rPr>
          <w:rFonts w:ascii="Arial" w:hAnsi="Arial" w:cs="Arial"/>
        </w:rPr>
        <w:t xml:space="preserve">2014; </w:t>
      </w:r>
      <w:r w:rsidRPr="00277CA4">
        <w:rPr>
          <w:rFonts w:ascii="Arial" w:hAnsi="Arial" w:cs="Arial"/>
          <w:b/>
        </w:rPr>
        <w:t>5</w:t>
      </w:r>
      <w:r w:rsidRPr="00277CA4">
        <w:rPr>
          <w:rFonts w:ascii="Arial" w:hAnsi="Arial" w:cs="Arial"/>
        </w:rPr>
        <w:t>: 231.</w:t>
      </w:r>
      <w:bookmarkEnd w:id="29"/>
    </w:p>
    <w:p w:rsidR="00093837" w:rsidRPr="00277CA4" w:rsidRDefault="00093837" w:rsidP="008F6B7A">
      <w:pPr>
        <w:pStyle w:val="EndNoteBibliography"/>
        <w:spacing w:after="0" w:line="480" w:lineRule="auto"/>
        <w:jc w:val="both"/>
        <w:rPr>
          <w:rFonts w:ascii="Arial" w:hAnsi="Arial" w:cs="Arial"/>
        </w:rPr>
      </w:pPr>
      <w:bookmarkStart w:id="30" w:name="_ENREF_26"/>
      <w:r w:rsidRPr="00277CA4">
        <w:rPr>
          <w:rFonts w:ascii="Arial" w:hAnsi="Arial" w:cs="Arial"/>
        </w:rPr>
        <w:t>26.</w:t>
      </w:r>
      <w:r w:rsidRPr="00277CA4">
        <w:rPr>
          <w:rFonts w:ascii="Arial" w:hAnsi="Arial" w:cs="Arial"/>
        </w:rPr>
        <w:tab/>
        <w:t xml:space="preserve">Dulhunty JM, Roberts JA, Davis JS et al. Continuous infusion of beta-lactam antibiotics in severe sepsis: a multicenter double-blind, randomized controlled trial. </w:t>
      </w:r>
      <w:r w:rsidRPr="00277CA4">
        <w:rPr>
          <w:rFonts w:ascii="Arial" w:hAnsi="Arial" w:cs="Arial"/>
          <w:i/>
        </w:rPr>
        <w:t xml:space="preserve">Clinical infectious diseases : an official publication of the Infectious Diseases Society of America </w:t>
      </w:r>
      <w:r w:rsidRPr="00277CA4">
        <w:rPr>
          <w:rFonts w:ascii="Arial" w:hAnsi="Arial" w:cs="Arial"/>
        </w:rPr>
        <w:t xml:space="preserve">2013; </w:t>
      </w:r>
      <w:r w:rsidRPr="00277CA4">
        <w:rPr>
          <w:rFonts w:ascii="Arial" w:hAnsi="Arial" w:cs="Arial"/>
          <w:b/>
        </w:rPr>
        <w:t>56</w:t>
      </w:r>
      <w:r w:rsidRPr="00277CA4">
        <w:rPr>
          <w:rFonts w:ascii="Arial" w:hAnsi="Arial" w:cs="Arial"/>
        </w:rPr>
        <w:t>: 236-44.</w:t>
      </w:r>
      <w:bookmarkEnd w:id="30"/>
    </w:p>
    <w:p w:rsidR="00093837" w:rsidRPr="00277CA4" w:rsidRDefault="00093837" w:rsidP="008F6B7A">
      <w:pPr>
        <w:pStyle w:val="EndNoteBibliography"/>
        <w:spacing w:after="0" w:line="480" w:lineRule="auto"/>
        <w:jc w:val="both"/>
        <w:rPr>
          <w:rFonts w:ascii="Arial" w:hAnsi="Arial" w:cs="Arial"/>
        </w:rPr>
      </w:pPr>
      <w:bookmarkStart w:id="31" w:name="_ENREF_27"/>
      <w:r w:rsidRPr="00277CA4">
        <w:rPr>
          <w:rFonts w:ascii="Arial" w:hAnsi="Arial" w:cs="Arial"/>
        </w:rPr>
        <w:t>27.</w:t>
      </w:r>
      <w:r w:rsidRPr="00277CA4">
        <w:rPr>
          <w:rFonts w:ascii="Arial" w:hAnsi="Arial" w:cs="Arial"/>
        </w:rPr>
        <w:tab/>
        <w:t xml:space="preserve">Lodise TP, Jr., Lomaestro B, Drusano GL. Piperacillin-tazobactam for Pseudomonas aeruginosa infection: clinical implications of an extended-infusion dosing strategy. </w:t>
      </w:r>
      <w:r w:rsidRPr="00277CA4">
        <w:rPr>
          <w:rFonts w:ascii="Arial" w:hAnsi="Arial" w:cs="Arial"/>
          <w:i/>
        </w:rPr>
        <w:t xml:space="preserve">Clinical infectious diseases : an official publication of the Infectious Diseases Society of America </w:t>
      </w:r>
      <w:r w:rsidRPr="00277CA4">
        <w:rPr>
          <w:rFonts w:ascii="Arial" w:hAnsi="Arial" w:cs="Arial"/>
        </w:rPr>
        <w:t xml:space="preserve">2007; </w:t>
      </w:r>
      <w:r w:rsidRPr="00277CA4">
        <w:rPr>
          <w:rFonts w:ascii="Arial" w:hAnsi="Arial" w:cs="Arial"/>
          <w:b/>
        </w:rPr>
        <w:t>44</w:t>
      </w:r>
      <w:r w:rsidRPr="00277CA4">
        <w:rPr>
          <w:rFonts w:ascii="Arial" w:hAnsi="Arial" w:cs="Arial"/>
        </w:rPr>
        <w:t>: 357-63.</w:t>
      </w:r>
      <w:bookmarkEnd w:id="31"/>
    </w:p>
    <w:p w:rsidR="00093837" w:rsidRPr="00277CA4" w:rsidRDefault="00093837" w:rsidP="008F6B7A">
      <w:pPr>
        <w:pStyle w:val="EndNoteBibliography"/>
        <w:spacing w:line="480" w:lineRule="auto"/>
        <w:jc w:val="both"/>
        <w:rPr>
          <w:rFonts w:ascii="Arial" w:hAnsi="Arial" w:cs="Arial"/>
          <w:u w:val="single"/>
        </w:rPr>
      </w:pPr>
      <w:bookmarkStart w:id="32" w:name="_ENREF_28"/>
      <w:r w:rsidRPr="00277CA4">
        <w:rPr>
          <w:rFonts w:ascii="Arial" w:hAnsi="Arial" w:cs="Arial"/>
        </w:rPr>
        <w:t>28.</w:t>
      </w:r>
      <w:r w:rsidRPr="00277CA4">
        <w:rPr>
          <w:rFonts w:ascii="Arial" w:hAnsi="Arial" w:cs="Arial"/>
        </w:rPr>
        <w:tab/>
        <w:t xml:space="preserve">Dulhunty JM, Roberts JA, Davis JS et al. A Multicenter Randomized Trial of Continuous versus Intermittent beta-Lactam Infusion in Severe Sepsis. </w:t>
      </w:r>
      <w:r w:rsidRPr="00277CA4">
        <w:rPr>
          <w:rFonts w:ascii="Arial" w:hAnsi="Arial" w:cs="Arial"/>
          <w:i/>
        </w:rPr>
        <w:t xml:space="preserve">American journal of respiratory and critical care medicine </w:t>
      </w:r>
      <w:r w:rsidRPr="00277CA4">
        <w:rPr>
          <w:rFonts w:ascii="Arial" w:hAnsi="Arial" w:cs="Arial"/>
        </w:rPr>
        <w:t xml:space="preserve">2015; </w:t>
      </w:r>
      <w:r w:rsidRPr="00277CA4">
        <w:rPr>
          <w:rFonts w:ascii="Arial" w:hAnsi="Arial" w:cs="Arial"/>
          <w:b/>
        </w:rPr>
        <w:t>192</w:t>
      </w:r>
      <w:r w:rsidRPr="00277CA4">
        <w:rPr>
          <w:rFonts w:ascii="Arial" w:hAnsi="Arial" w:cs="Arial"/>
        </w:rPr>
        <w:t>: 1298-305.</w:t>
      </w:r>
      <w:bookmarkEnd w:id="32"/>
      <w:r w:rsidRPr="00277CA4">
        <w:rPr>
          <w:rFonts w:ascii="Arial" w:hAnsi="Arial" w:cs="Arial"/>
          <w:u w:val="single"/>
        </w:rPr>
        <w:br w:type="page"/>
      </w:r>
    </w:p>
    <w:p w:rsidR="00093837" w:rsidRPr="00277CA4" w:rsidRDefault="00093837" w:rsidP="0068388D">
      <w:pPr>
        <w:spacing w:after="0" w:line="240" w:lineRule="auto"/>
        <w:rPr>
          <w:rFonts w:ascii="Arial" w:hAnsi="Arial" w:cs="Arial"/>
          <w:u w:val="single"/>
        </w:rPr>
      </w:pPr>
      <w:proofErr w:type="gramStart"/>
      <w:r w:rsidRPr="00277CA4">
        <w:rPr>
          <w:rFonts w:ascii="Arial" w:hAnsi="Arial" w:cs="Arial"/>
          <w:u w:val="single"/>
        </w:rPr>
        <w:lastRenderedPageBreak/>
        <w:t>Table 1.</w:t>
      </w:r>
      <w:proofErr w:type="gramEnd"/>
      <w:r w:rsidRPr="00277CA4">
        <w:rPr>
          <w:rFonts w:ascii="Arial" w:hAnsi="Arial" w:cs="Arial"/>
          <w:u w:val="single"/>
        </w:rPr>
        <w:t xml:space="preserve"> </w:t>
      </w:r>
    </w:p>
    <w:p w:rsidR="00093837" w:rsidRPr="00277CA4" w:rsidRDefault="00093837" w:rsidP="0068388D">
      <w:pPr>
        <w:spacing w:after="0" w:line="240" w:lineRule="auto"/>
        <w:rPr>
          <w:rFonts w:ascii="Arial" w:hAnsi="Arial" w:cs="Arial"/>
          <w:u w:val="single"/>
        </w:rPr>
      </w:pPr>
    </w:p>
    <w:tbl>
      <w:tblPr>
        <w:tblW w:w="0" w:type="auto"/>
        <w:tblCellMar>
          <w:left w:w="0" w:type="dxa"/>
          <w:right w:w="0" w:type="dxa"/>
        </w:tblCellMar>
        <w:tblLook w:val="0600" w:firstRow="0" w:lastRow="0" w:firstColumn="0" w:lastColumn="0" w:noHBand="1" w:noVBand="1"/>
      </w:tblPr>
      <w:tblGrid>
        <w:gridCol w:w="3288"/>
        <w:gridCol w:w="2835"/>
        <w:gridCol w:w="2835"/>
        <w:gridCol w:w="30"/>
        <w:gridCol w:w="30"/>
        <w:gridCol w:w="30"/>
      </w:tblGrid>
      <w:tr w:rsidR="00093837" w:rsidRPr="00277CA4" w:rsidTr="00FC7076">
        <w:trPr>
          <w:trHeight w:val="567"/>
        </w:trPr>
        <w:tc>
          <w:tcPr>
            <w:tcW w:w="3288" w:type="dxa"/>
            <w:tcBorders>
              <w:bottom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color w:val="000000" w:themeColor="text1"/>
                <w:kern w:val="24"/>
                <w:lang w:eastAsia="en-GB"/>
              </w:rPr>
            </w:pPr>
          </w:p>
        </w:tc>
        <w:tc>
          <w:tcPr>
            <w:tcW w:w="2835" w:type="dxa"/>
            <w:tcBorders>
              <w:top w:val="single" w:sz="4" w:space="0" w:color="auto"/>
              <w:left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color w:val="000000" w:themeColor="text1"/>
                <w:kern w:val="24"/>
                <w:lang w:eastAsia="en-GB"/>
              </w:rPr>
            </w:pPr>
            <w:r w:rsidRPr="00277CA4">
              <w:rPr>
                <w:rFonts w:ascii="Arial" w:eastAsia="Times New Roman" w:hAnsi="Arial" w:cs="Arial"/>
                <w:color w:val="000000"/>
                <w:kern w:val="24"/>
                <w:lang w:eastAsia="en-GB"/>
              </w:rPr>
              <w:t>Healthy volunteers</w:t>
            </w:r>
          </w:p>
        </w:tc>
        <w:tc>
          <w:tcPr>
            <w:tcW w:w="2835" w:type="dxa"/>
            <w:tcBorders>
              <w:top w:val="single" w:sz="4" w:space="0" w:color="auto"/>
              <w:left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color w:val="000000" w:themeColor="text1"/>
                <w:kern w:val="24"/>
                <w:lang w:eastAsia="en-GB"/>
              </w:rPr>
            </w:pPr>
            <w:r w:rsidRPr="00277CA4">
              <w:rPr>
                <w:rFonts w:ascii="Arial" w:hAnsi="Arial" w:cs="Arial"/>
              </w:rPr>
              <w:t>Critically ill patients</w:t>
            </w:r>
          </w:p>
        </w:tc>
        <w:tc>
          <w:tcPr>
            <w:tcW w:w="0" w:type="auto"/>
            <w:tcBorders>
              <w:lef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eastAsia="Times New Roman" w:hAnsi="Arial" w:cs="Arial"/>
                <w:lang w:eastAsia="en-GB"/>
              </w:rPr>
            </w:pPr>
          </w:p>
        </w:tc>
      </w:tr>
      <w:tr w:rsidR="00093837" w:rsidRPr="00277CA4" w:rsidTr="00FC7076">
        <w:trPr>
          <w:trHeight w:val="567"/>
        </w:trPr>
        <w:tc>
          <w:tcPr>
            <w:tcW w:w="328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Number of patients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25</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53</w:t>
            </w:r>
          </w:p>
        </w:tc>
        <w:tc>
          <w:tcPr>
            <w:tcW w:w="0" w:type="auto"/>
            <w:tcBorders>
              <w:lef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rPr>
                <w:rFonts w:ascii="Arial" w:eastAsia="Times New Roman" w:hAnsi="Arial" w:cs="Arial"/>
                <w:lang w:eastAsia="en-GB"/>
              </w:rPr>
            </w:pPr>
          </w:p>
        </w:tc>
      </w:tr>
      <w:tr w:rsidR="00093837" w:rsidRPr="00277CA4" w:rsidTr="00FC7076">
        <w:trPr>
          <w:trHeight w:val="567"/>
        </w:trPr>
        <w:tc>
          <w:tcPr>
            <w:tcW w:w="328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color w:val="000000" w:themeColor="text1"/>
                <w:kern w:val="24"/>
                <w:lang w:eastAsia="en-GB"/>
              </w:rPr>
            </w:pP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color w:val="000000" w:themeColor="text1"/>
                <w:kern w:val="24"/>
                <w:lang w:eastAsia="en-GB"/>
              </w:rPr>
            </w:pPr>
            <w:r w:rsidRPr="00277CA4">
              <w:rPr>
                <w:rFonts w:ascii="Arial" w:eastAsia="Times New Roman" w:hAnsi="Arial" w:cs="Arial"/>
                <w:color w:val="000000" w:themeColor="text1"/>
                <w:kern w:val="24"/>
                <w:lang w:eastAsia="en-GB"/>
              </w:rPr>
              <w:t>Mean (median) [minimum to maximum]</w:t>
            </w:r>
          </w:p>
        </w:tc>
        <w:tc>
          <w:tcPr>
            <w:tcW w:w="0" w:type="auto"/>
            <w:tcBorders>
              <w:lef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eastAsia="Times New Roman" w:hAnsi="Arial" w:cs="Arial"/>
                <w:lang w:eastAsia="en-GB"/>
              </w:rPr>
            </w:pPr>
          </w:p>
        </w:tc>
      </w:tr>
      <w:tr w:rsidR="00093837" w:rsidRPr="00277CA4" w:rsidTr="00FC7076">
        <w:trPr>
          <w:trHeight w:val="567"/>
        </w:trPr>
        <w:tc>
          <w:tcPr>
            <w:tcW w:w="3288" w:type="dxa"/>
            <w:tcBorders>
              <w:top w:val="single" w:sz="4" w:space="0" w:color="auto"/>
              <w:left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Age (years)</w:t>
            </w:r>
          </w:p>
        </w:tc>
        <w:tc>
          <w:tcPr>
            <w:tcW w:w="2835" w:type="dxa"/>
            <w:tcBorders>
              <w:top w:val="single" w:sz="4" w:space="0" w:color="auto"/>
              <w:left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hAnsi="Arial" w:cs="Arial"/>
                <w:color w:val="000000"/>
              </w:rPr>
            </w:pPr>
            <w:r w:rsidRPr="00277CA4">
              <w:rPr>
                <w:rFonts w:ascii="Arial" w:hAnsi="Arial" w:cs="Arial"/>
                <w:color w:val="000000"/>
              </w:rPr>
              <w:t>34.2 (32.0) [22.0-50.0]</w:t>
            </w:r>
          </w:p>
        </w:tc>
        <w:tc>
          <w:tcPr>
            <w:tcW w:w="2835" w:type="dxa"/>
            <w:tcBorders>
              <w:top w:val="single" w:sz="4" w:space="0" w:color="auto"/>
              <w:left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hAnsi="Arial" w:cs="Arial"/>
                <w:color w:val="000000"/>
              </w:rPr>
            </w:pPr>
            <w:r w:rsidRPr="00277CA4">
              <w:rPr>
                <w:rFonts w:ascii="Arial" w:hAnsi="Arial" w:cs="Arial"/>
                <w:color w:val="000000"/>
              </w:rPr>
              <w:t>59.7 (56.4) [31.4-88.0]</w:t>
            </w:r>
          </w:p>
        </w:tc>
        <w:tc>
          <w:tcPr>
            <w:tcW w:w="0" w:type="auto"/>
            <w:tcBorders>
              <w:lef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r>
      <w:tr w:rsidR="00093837" w:rsidRPr="00277CA4" w:rsidTr="00FC7076">
        <w:trPr>
          <w:trHeight w:val="567"/>
        </w:trPr>
        <w:tc>
          <w:tcPr>
            <w:tcW w:w="3288" w:type="dxa"/>
            <w:tcBorders>
              <w:left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Weight (kg)</w:t>
            </w:r>
          </w:p>
        </w:tc>
        <w:tc>
          <w:tcPr>
            <w:tcW w:w="2835" w:type="dxa"/>
            <w:tcBorders>
              <w:left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hAnsi="Arial" w:cs="Arial"/>
                <w:color w:val="000000"/>
              </w:rPr>
            </w:pPr>
            <w:r w:rsidRPr="00277CA4">
              <w:rPr>
                <w:rFonts w:ascii="Arial" w:hAnsi="Arial" w:cs="Arial"/>
                <w:color w:val="000000"/>
              </w:rPr>
              <w:t>80.4 (81.0) [62.0-100.0]</w:t>
            </w:r>
          </w:p>
        </w:tc>
        <w:tc>
          <w:tcPr>
            <w:tcW w:w="2835" w:type="dxa"/>
            <w:tcBorders>
              <w:left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hAnsi="Arial" w:cs="Arial"/>
                <w:color w:val="000000"/>
              </w:rPr>
            </w:pPr>
            <w:r w:rsidRPr="00277CA4">
              <w:rPr>
                <w:rFonts w:ascii="Arial" w:hAnsi="Arial" w:cs="Arial"/>
                <w:color w:val="000000"/>
              </w:rPr>
              <w:t>74.0 (70.0) [49.0-113.0]</w:t>
            </w:r>
          </w:p>
        </w:tc>
        <w:tc>
          <w:tcPr>
            <w:tcW w:w="0" w:type="auto"/>
            <w:tcBorders>
              <w:lef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r>
      <w:tr w:rsidR="00093837" w:rsidRPr="00277CA4" w:rsidTr="00FC7076">
        <w:trPr>
          <w:trHeight w:val="567"/>
        </w:trPr>
        <w:tc>
          <w:tcPr>
            <w:tcW w:w="3288" w:type="dxa"/>
            <w:tcBorders>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Creatinine clearance (mL/min)</w:t>
            </w:r>
          </w:p>
        </w:tc>
        <w:tc>
          <w:tcPr>
            <w:tcW w:w="2835" w:type="dxa"/>
            <w:tcBorders>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hAnsi="Arial" w:cs="Arial"/>
                <w:color w:val="000000"/>
              </w:rPr>
            </w:pPr>
            <w:r w:rsidRPr="00277CA4">
              <w:rPr>
                <w:rFonts w:ascii="Arial" w:hAnsi="Arial" w:cs="Arial"/>
                <w:color w:val="000000"/>
              </w:rPr>
              <w:t>111.4 (108.5) [78.9-170.3]</w:t>
            </w:r>
          </w:p>
        </w:tc>
        <w:tc>
          <w:tcPr>
            <w:tcW w:w="2835" w:type="dxa"/>
            <w:tcBorders>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rPr>
                <w:rFonts w:ascii="Arial" w:hAnsi="Arial" w:cs="Arial"/>
                <w:color w:val="000000"/>
              </w:rPr>
            </w:pPr>
            <w:r w:rsidRPr="00277CA4">
              <w:rPr>
                <w:rFonts w:ascii="Arial" w:hAnsi="Arial" w:cs="Arial"/>
                <w:color w:val="000000"/>
              </w:rPr>
              <w:t>83.4 (77.4) [14.0-245.7]</w:t>
            </w:r>
          </w:p>
        </w:tc>
        <w:tc>
          <w:tcPr>
            <w:tcW w:w="0" w:type="auto"/>
            <w:tcBorders>
              <w:left w:val="single" w:sz="4" w:space="0" w:color="auto"/>
            </w:tcBorders>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tcPr>
          <w:p w:rsidR="00093837" w:rsidRPr="00277CA4" w:rsidRDefault="00093837" w:rsidP="00FC7076">
            <w:pPr>
              <w:spacing w:after="0" w:line="240" w:lineRule="auto"/>
              <w:jc w:val="center"/>
              <w:textAlignment w:val="bottom"/>
              <w:rPr>
                <w:rFonts w:ascii="Arial" w:eastAsia="Times New Roman" w:hAnsi="Arial" w:cs="Arial"/>
                <w:lang w:eastAsia="en-GB"/>
              </w:rPr>
            </w:pPr>
          </w:p>
        </w:tc>
      </w:tr>
      <w:tr w:rsidR="00093837" w:rsidRPr="00277CA4" w:rsidTr="00FC7076">
        <w:trPr>
          <w:trHeight w:val="567"/>
        </w:trPr>
        <w:tc>
          <w:tcPr>
            <w:tcW w:w="328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 xml:space="preserve">Sex (no of </w:t>
            </w:r>
            <w:proofErr w:type="spellStart"/>
            <w:r w:rsidRPr="00277CA4">
              <w:rPr>
                <w:rFonts w:ascii="Arial" w:eastAsia="Times New Roman" w:hAnsi="Arial" w:cs="Arial"/>
                <w:color w:val="000000" w:themeColor="text1"/>
                <w:kern w:val="24"/>
                <w:lang w:eastAsia="en-GB"/>
              </w:rPr>
              <w:t>males:no</w:t>
            </w:r>
            <w:proofErr w:type="spellEnd"/>
            <w:r w:rsidRPr="00277CA4">
              <w:rPr>
                <w:rFonts w:ascii="Arial" w:eastAsia="Times New Roman" w:hAnsi="Arial" w:cs="Arial"/>
                <w:color w:val="000000" w:themeColor="text1"/>
                <w:kern w:val="24"/>
                <w:lang w:eastAsia="en-GB"/>
              </w:rPr>
              <w:t xml:space="preserve"> of females)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14:11</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r w:rsidRPr="00277CA4">
              <w:rPr>
                <w:rFonts w:ascii="Arial" w:eastAsia="Times New Roman" w:hAnsi="Arial" w:cs="Arial"/>
                <w:color w:val="000000" w:themeColor="text1"/>
                <w:kern w:val="24"/>
                <w:lang w:eastAsia="en-GB"/>
              </w:rPr>
              <w:t>31:22</w:t>
            </w:r>
          </w:p>
        </w:tc>
        <w:tc>
          <w:tcPr>
            <w:tcW w:w="0" w:type="auto"/>
            <w:tcBorders>
              <w:left w:val="single" w:sz="4" w:space="0" w:color="auto"/>
            </w:tcBorders>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textAlignment w:val="bottom"/>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rPr>
                <w:rFonts w:ascii="Arial" w:eastAsia="Times New Roman" w:hAnsi="Arial" w:cs="Arial"/>
                <w:lang w:eastAsia="en-GB"/>
              </w:rPr>
            </w:pPr>
          </w:p>
        </w:tc>
        <w:tc>
          <w:tcPr>
            <w:tcW w:w="0" w:type="auto"/>
            <w:shd w:val="clear" w:color="auto" w:fill="auto"/>
            <w:tcMar>
              <w:top w:w="12" w:type="dxa"/>
              <w:left w:w="12" w:type="dxa"/>
              <w:bottom w:w="0" w:type="dxa"/>
              <w:right w:w="12" w:type="dxa"/>
            </w:tcMar>
            <w:vAlign w:val="center"/>
            <w:hideMark/>
          </w:tcPr>
          <w:p w:rsidR="00093837" w:rsidRPr="00277CA4" w:rsidRDefault="00093837" w:rsidP="00FC7076">
            <w:pPr>
              <w:spacing w:after="0" w:line="240" w:lineRule="auto"/>
              <w:jc w:val="center"/>
              <w:rPr>
                <w:rFonts w:ascii="Arial" w:eastAsia="Times New Roman" w:hAnsi="Arial" w:cs="Arial"/>
                <w:lang w:eastAsia="en-GB"/>
              </w:rPr>
            </w:pPr>
          </w:p>
        </w:tc>
      </w:tr>
    </w:tbl>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r w:rsidRPr="00277CA4">
        <w:rPr>
          <w:rFonts w:ascii="Arial" w:hAnsi="Arial" w:cs="Arial"/>
        </w:rPr>
        <w:br w:type="page"/>
      </w:r>
    </w:p>
    <w:p w:rsidR="00093837" w:rsidRPr="00277CA4" w:rsidRDefault="00093837" w:rsidP="0068388D">
      <w:pPr>
        <w:spacing w:after="0" w:line="240" w:lineRule="auto"/>
        <w:rPr>
          <w:rFonts w:ascii="Arial" w:hAnsi="Arial" w:cs="Arial"/>
          <w:u w:val="single"/>
        </w:rPr>
      </w:pPr>
      <w:proofErr w:type="gramStart"/>
      <w:r w:rsidRPr="00277CA4">
        <w:rPr>
          <w:rFonts w:ascii="Arial" w:hAnsi="Arial" w:cs="Arial"/>
          <w:u w:val="single"/>
        </w:rPr>
        <w:lastRenderedPageBreak/>
        <w:t>Table 2.</w:t>
      </w:r>
      <w:proofErr w:type="gramEnd"/>
      <w:r w:rsidRPr="00277CA4">
        <w:rPr>
          <w:rFonts w:ascii="Arial" w:hAnsi="Arial" w:cs="Arial"/>
          <w:u w:val="single"/>
        </w:rPr>
        <w:t xml:space="preserve"> </w:t>
      </w:r>
    </w:p>
    <w:tbl>
      <w:tblPr>
        <w:tblW w:w="0" w:type="auto"/>
        <w:tblInd w:w="93" w:type="dxa"/>
        <w:tblLook w:val="0600" w:firstRow="0" w:lastRow="0" w:firstColumn="0" w:lastColumn="0" w:noHBand="1" w:noVBand="1"/>
      </w:tblPr>
      <w:tblGrid>
        <w:gridCol w:w="567"/>
        <w:gridCol w:w="938"/>
        <w:gridCol w:w="767"/>
        <w:gridCol w:w="645"/>
        <w:gridCol w:w="645"/>
        <w:gridCol w:w="645"/>
        <w:gridCol w:w="767"/>
        <w:gridCol w:w="645"/>
        <w:gridCol w:w="645"/>
        <w:gridCol w:w="645"/>
        <w:gridCol w:w="645"/>
      </w:tblGrid>
      <w:tr w:rsidR="00093837" w:rsidRPr="00277CA4" w:rsidTr="00FC7076">
        <w:trPr>
          <w:trHeight w:val="420"/>
        </w:trPr>
        <w:tc>
          <w:tcPr>
            <w:tcW w:w="567" w:type="dxa"/>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lang w:eastAsia="en-GB"/>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Cl</w:t>
            </w:r>
          </w:p>
        </w:tc>
        <w:tc>
          <w:tcPr>
            <w:tcW w:w="0" w:type="auto"/>
            <w:tcBorders>
              <w:top w:val="single" w:sz="4" w:space="0" w:color="auto"/>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roofErr w:type="spellStart"/>
            <w:r w:rsidRPr="00277CA4">
              <w:rPr>
                <w:rFonts w:ascii="Arial" w:eastAsia="Times New Roman" w:hAnsi="Arial" w:cs="Arial"/>
                <w:color w:val="000000"/>
                <w:lang w:eastAsia="en-GB"/>
              </w:rPr>
              <w:t>Cl</w:t>
            </w:r>
            <w:r w:rsidRPr="00277CA4">
              <w:rPr>
                <w:rFonts w:ascii="Arial" w:eastAsia="Times New Roman" w:hAnsi="Arial" w:cs="Arial"/>
                <w:color w:val="000000"/>
                <w:vertAlign w:val="subscript"/>
                <w:lang w:eastAsia="en-GB"/>
              </w:rPr>
              <w:t>nr</w:t>
            </w:r>
            <w:proofErr w:type="spellEnd"/>
          </w:p>
        </w:tc>
        <w:tc>
          <w:tcPr>
            <w:tcW w:w="0" w:type="auto"/>
            <w:tcBorders>
              <w:top w:val="single" w:sz="4" w:space="0" w:color="auto"/>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roofErr w:type="spellStart"/>
            <w:r w:rsidRPr="00277CA4">
              <w:rPr>
                <w:rFonts w:ascii="Arial" w:eastAsia="Times New Roman" w:hAnsi="Arial" w:cs="Arial"/>
                <w:color w:val="000000"/>
                <w:lang w:eastAsia="en-GB"/>
              </w:rPr>
              <w:t>Cl</w:t>
            </w:r>
            <w:r w:rsidRPr="00277CA4">
              <w:rPr>
                <w:rFonts w:ascii="Arial" w:eastAsia="Times New Roman" w:hAnsi="Arial" w:cs="Arial"/>
                <w:color w:val="000000"/>
                <w:vertAlign w:val="subscript"/>
                <w:lang w:eastAsia="en-GB"/>
              </w:rPr>
              <w:t>r</w:t>
            </w:r>
            <w:proofErr w:type="spellEnd"/>
          </w:p>
        </w:tc>
        <w:tc>
          <w:tcPr>
            <w:tcW w:w="0" w:type="auto"/>
            <w:tcBorders>
              <w:top w:val="single" w:sz="4" w:space="0" w:color="auto"/>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roofErr w:type="spellStart"/>
            <w:r w:rsidRPr="00277CA4">
              <w:rPr>
                <w:rFonts w:ascii="Arial" w:eastAsia="Times New Roman" w:hAnsi="Arial" w:cs="Arial"/>
                <w:color w:val="000000"/>
                <w:lang w:eastAsia="en-GB"/>
              </w:rPr>
              <w:t>V</w:t>
            </w:r>
            <w:r w:rsidRPr="00277CA4">
              <w:rPr>
                <w:rFonts w:ascii="Arial" w:eastAsia="Times New Roman" w:hAnsi="Arial" w:cs="Arial"/>
                <w:color w:val="000000"/>
                <w:vertAlign w:val="subscript"/>
                <w:lang w:eastAsia="en-GB"/>
              </w:rPr>
              <w:t>c</w:t>
            </w:r>
            <w:proofErr w:type="spellEnd"/>
          </w:p>
        </w:tc>
        <w:tc>
          <w:tcPr>
            <w:tcW w:w="0" w:type="auto"/>
            <w:tcBorders>
              <w:top w:val="single" w:sz="4" w:space="0" w:color="auto"/>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roofErr w:type="spellStart"/>
            <w:r w:rsidRPr="00277CA4">
              <w:rPr>
                <w:rFonts w:ascii="Arial" w:eastAsia="Times New Roman" w:hAnsi="Arial" w:cs="Arial"/>
                <w:color w:val="000000"/>
                <w:lang w:eastAsia="en-GB"/>
              </w:rPr>
              <w:t>V</w:t>
            </w:r>
            <w:r w:rsidRPr="00277CA4">
              <w:rPr>
                <w:rFonts w:ascii="Arial" w:eastAsia="Times New Roman" w:hAnsi="Arial" w:cs="Arial"/>
                <w:color w:val="000000"/>
                <w:vertAlign w:val="subscript"/>
                <w:lang w:eastAsia="en-GB"/>
              </w:rPr>
              <w:t>l</w:t>
            </w:r>
            <w:proofErr w:type="spellEnd"/>
          </w:p>
        </w:tc>
        <w:tc>
          <w:tcPr>
            <w:tcW w:w="0" w:type="auto"/>
            <w:tcBorders>
              <w:top w:val="single" w:sz="4" w:space="0" w:color="auto"/>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K</w:t>
            </w:r>
            <w:r w:rsidRPr="00277CA4">
              <w:rPr>
                <w:rFonts w:ascii="Arial" w:eastAsia="Times New Roman" w:hAnsi="Arial" w:cs="Arial"/>
                <w:color w:val="000000"/>
                <w:vertAlign w:val="subscript"/>
                <w:lang w:eastAsia="en-GB"/>
              </w:rPr>
              <w:t>cl</w:t>
            </w:r>
          </w:p>
        </w:tc>
        <w:tc>
          <w:tcPr>
            <w:tcW w:w="0" w:type="auto"/>
            <w:tcBorders>
              <w:top w:val="single" w:sz="4" w:space="0" w:color="auto"/>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roofErr w:type="spellStart"/>
            <w:r w:rsidRPr="00277CA4">
              <w:rPr>
                <w:rFonts w:ascii="Arial" w:eastAsia="Times New Roman" w:hAnsi="Arial" w:cs="Arial"/>
                <w:color w:val="000000"/>
                <w:lang w:eastAsia="en-GB"/>
              </w:rPr>
              <w:t>K</w:t>
            </w:r>
            <w:r w:rsidRPr="00277CA4">
              <w:rPr>
                <w:rFonts w:ascii="Arial" w:eastAsia="Times New Roman" w:hAnsi="Arial" w:cs="Arial"/>
                <w:color w:val="000000"/>
                <w:vertAlign w:val="subscript"/>
                <w:lang w:eastAsia="en-GB"/>
              </w:rPr>
              <w:t>lc</w:t>
            </w:r>
            <w:proofErr w:type="spellEnd"/>
          </w:p>
        </w:tc>
        <w:tc>
          <w:tcPr>
            <w:tcW w:w="0" w:type="auto"/>
            <w:tcBorders>
              <w:top w:val="single" w:sz="4" w:space="0" w:color="auto"/>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roofErr w:type="spellStart"/>
            <w:r w:rsidRPr="00277CA4">
              <w:rPr>
                <w:rFonts w:ascii="Arial" w:eastAsia="Times New Roman" w:hAnsi="Arial" w:cs="Arial"/>
                <w:color w:val="000000"/>
                <w:lang w:eastAsia="en-GB"/>
              </w:rPr>
              <w:t>K</w:t>
            </w:r>
            <w:r w:rsidRPr="00277CA4">
              <w:rPr>
                <w:rFonts w:ascii="Arial" w:eastAsia="Times New Roman" w:hAnsi="Arial" w:cs="Arial"/>
                <w:color w:val="000000"/>
                <w:vertAlign w:val="subscript"/>
                <w:lang w:eastAsia="en-GB"/>
              </w:rPr>
              <w:t>cp</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roofErr w:type="spellStart"/>
            <w:r w:rsidRPr="00277CA4">
              <w:rPr>
                <w:rFonts w:ascii="Arial" w:eastAsia="Times New Roman" w:hAnsi="Arial" w:cs="Arial"/>
                <w:color w:val="000000"/>
                <w:lang w:eastAsia="en-GB"/>
              </w:rPr>
              <w:t>K</w:t>
            </w:r>
            <w:r w:rsidRPr="00277CA4">
              <w:rPr>
                <w:rFonts w:ascii="Arial" w:eastAsia="Times New Roman" w:hAnsi="Arial" w:cs="Arial"/>
                <w:color w:val="000000"/>
                <w:vertAlign w:val="subscript"/>
                <w:lang w:eastAsia="en-GB"/>
              </w:rPr>
              <w:t>pc</w:t>
            </w:r>
            <w:proofErr w:type="spellEnd"/>
          </w:p>
        </w:tc>
      </w:tr>
      <w:tr w:rsidR="00093837" w:rsidRPr="00277CA4" w:rsidTr="00FC7076">
        <w:trPr>
          <w:cantSplit/>
          <w:trHeight w:val="567"/>
        </w:trPr>
        <w:tc>
          <w:tcPr>
            <w:tcW w:w="567"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093837" w:rsidRPr="00277CA4" w:rsidRDefault="00093837" w:rsidP="00FC7076">
            <w:pPr>
              <w:spacing w:after="0" w:line="240" w:lineRule="auto"/>
              <w:ind w:left="113" w:right="113"/>
              <w:jc w:val="center"/>
              <w:rPr>
                <w:rFonts w:ascii="Arial" w:eastAsia="Times New Roman" w:hAnsi="Arial" w:cs="Arial"/>
                <w:color w:val="000000"/>
                <w:lang w:eastAsia="en-GB"/>
              </w:rPr>
            </w:pPr>
            <w:r w:rsidRPr="00277CA4">
              <w:rPr>
                <w:rFonts w:ascii="Arial" w:eastAsia="Times New Roman" w:hAnsi="Arial" w:cs="Arial"/>
                <w:color w:val="000000"/>
                <w:lang w:eastAsia="en-GB"/>
              </w:rPr>
              <w:t>Healthy volunteers</w:t>
            </w:r>
          </w:p>
        </w:tc>
        <w:tc>
          <w:tcPr>
            <w:tcW w:w="0" w:type="auto"/>
            <w:tcBorders>
              <w:top w:val="single" w:sz="4" w:space="0" w:color="auto"/>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Mean</w:t>
            </w:r>
          </w:p>
        </w:tc>
        <w:tc>
          <w:tcPr>
            <w:tcW w:w="0" w:type="auto"/>
            <w:tcBorders>
              <w:top w:val="single" w:sz="4" w:space="0" w:color="auto"/>
              <w:left w:val="single" w:sz="4" w:space="0" w:color="auto"/>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11.45</w:t>
            </w:r>
          </w:p>
        </w:tc>
        <w:tc>
          <w:tcPr>
            <w:tcW w:w="0" w:type="auto"/>
            <w:tcBorders>
              <w:top w:val="single" w:sz="4" w:space="0" w:color="auto"/>
              <w:left w:val="nil"/>
              <w:bottom w:val="nil"/>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single" w:sz="4" w:space="0" w:color="auto"/>
              <w:left w:val="nil"/>
              <w:bottom w:val="nil"/>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6.85</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15.25</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2.02</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2.97</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0.71</w:t>
            </w:r>
          </w:p>
        </w:tc>
        <w:tc>
          <w:tcPr>
            <w:tcW w:w="0" w:type="auto"/>
            <w:tcBorders>
              <w:top w:val="single" w:sz="4" w:space="0" w:color="auto"/>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3.67</w:t>
            </w:r>
          </w:p>
        </w:tc>
      </w:tr>
      <w:tr w:rsidR="00093837" w:rsidRPr="00277CA4" w:rsidTr="00FC7076">
        <w:trPr>
          <w:trHeight w:val="567"/>
        </w:trPr>
        <w:tc>
          <w:tcPr>
            <w:tcW w:w="567" w:type="dxa"/>
            <w:vMerge/>
            <w:tcBorders>
              <w:top w:val="single" w:sz="4" w:space="0" w:color="auto"/>
              <w:left w:val="single" w:sz="4" w:space="0" w:color="auto"/>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
        </w:tc>
        <w:tc>
          <w:tcPr>
            <w:tcW w:w="0" w:type="auto"/>
            <w:tcBorders>
              <w:top w:val="nil"/>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S.D.</w:t>
            </w:r>
          </w:p>
        </w:tc>
        <w:tc>
          <w:tcPr>
            <w:tcW w:w="0" w:type="auto"/>
            <w:tcBorders>
              <w:top w:val="nil"/>
              <w:left w:val="single" w:sz="4" w:space="0" w:color="auto"/>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1.94</w:t>
            </w:r>
          </w:p>
        </w:tc>
        <w:tc>
          <w:tcPr>
            <w:tcW w:w="0" w:type="auto"/>
            <w:tcBorders>
              <w:top w:val="nil"/>
              <w:left w:val="nil"/>
              <w:bottom w:val="nil"/>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nil"/>
              <w:left w:val="nil"/>
              <w:bottom w:val="nil"/>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2.27</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3.81</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1.62</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1.87</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1.15</w:t>
            </w:r>
          </w:p>
        </w:tc>
        <w:tc>
          <w:tcPr>
            <w:tcW w:w="0" w:type="auto"/>
            <w:tcBorders>
              <w:top w:val="nil"/>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1.97</w:t>
            </w:r>
          </w:p>
        </w:tc>
      </w:tr>
      <w:tr w:rsidR="00093837" w:rsidRPr="00277CA4" w:rsidTr="00FC7076">
        <w:trPr>
          <w:trHeight w:val="567"/>
        </w:trPr>
        <w:tc>
          <w:tcPr>
            <w:tcW w:w="567" w:type="dxa"/>
            <w:vMerge/>
            <w:tcBorders>
              <w:top w:val="single" w:sz="4" w:space="0" w:color="auto"/>
              <w:left w:val="single" w:sz="4" w:space="0" w:color="auto"/>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Median</w:t>
            </w:r>
          </w:p>
        </w:tc>
        <w:tc>
          <w:tcPr>
            <w:tcW w:w="0" w:type="auto"/>
            <w:tcBorders>
              <w:top w:val="nil"/>
              <w:left w:val="single" w:sz="4" w:space="0" w:color="auto"/>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11.57</w:t>
            </w:r>
          </w:p>
        </w:tc>
        <w:tc>
          <w:tcPr>
            <w:tcW w:w="0" w:type="auto"/>
            <w:tcBorders>
              <w:top w:val="nil"/>
              <w:left w:val="nil"/>
              <w:bottom w:val="single" w:sz="4" w:space="0" w:color="auto"/>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nil"/>
              <w:left w:val="nil"/>
              <w:bottom w:val="single" w:sz="4" w:space="0" w:color="auto"/>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6.86</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14.62</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2.16</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3.63</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0.14</w:t>
            </w:r>
          </w:p>
        </w:tc>
        <w:tc>
          <w:tcPr>
            <w:tcW w:w="0" w:type="auto"/>
            <w:tcBorders>
              <w:top w:val="nil"/>
              <w:left w:val="nil"/>
              <w:bottom w:val="single" w:sz="4" w:space="0" w:color="auto"/>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5.00</w:t>
            </w:r>
          </w:p>
        </w:tc>
      </w:tr>
      <w:tr w:rsidR="00093837" w:rsidRPr="00277CA4" w:rsidTr="00FC7076">
        <w:trPr>
          <w:cantSplit/>
          <w:trHeight w:val="567"/>
        </w:trPr>
        <w:tc>
          <w:tcPr>
            <w:tcW w:w="567"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093837" w:rsidRPr="00277CA4" w:rsidRDefault="00093837" w:rsidP="00FC7076">
            <w:pPr>
              <w:spacing w:after="0" w:line="240" w:lineRule="auto"/>
              <w:ind w:left="113" w:right="113"/>
              <w:jc w:val="center"/>
              <w:rPr>
                <w:rFonts w:ascii="Arial" w:eastAsia="Times New Roman" w:hAnsi="Arial" w:cs="Arial"/>
                <w:color w:val="000000"/>
                <w:lang w:eastAsia="en-GB"/>
              </w:rPr>
            </w:pPr>
            <w:r w:rsidRPr="00277CA4">
              <w:rPr>
                <w:rFonts w:ascii="Arial" w:eastAsia="Times New Roman" w:hAnsi="Arial" w:cs="Arial"/>
                <w:color w:val="000000"/>
                <w:lang w:eastAsia="en-GB"/>
              </w:rPr>
              <w:t>Critically ill patients</w:t>
            </w:r>
          </w:p>
        </w:tc>
        <w:tc>
          <w:tcPr>
            <w:tcW w:w="0" w:type="auto"/>
            <w:tcBorders>
              <w:top w:val="single" w:sz="4" w:space="0" w:color="auto"/>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Mean</w:t>
            </w:r>
          </w:p>
        </w:tc>
        <w:tc>
          <w:tcPr>
            <w:tcW w:w="0" w:type="auto"/>
            <w:tcBorders>
              <w:top w:val="single" w:sz="4" w:space="0" w:color="auto"/>
              <w:left w:val="single" w:sz="4" w:space="0" w:color="auto"/>
              <w:bottom w:val="nil"/>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3.52</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6.92</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7.54</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14.37</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4.78</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4.89</w:t>
            </w:r>
          </w:p>
        </w:tc>
        <w:tc>
          <w:tcPr>
            <w:tcW w:w="0" w:type="auto"/>
            <w:tcBorders>
              <w:top w:val="single" w:sz="4" w:space="0" w:color="auto"/>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4.84</w:t>
            </w:r>
          </w:p>
        </w:tc>
        <w:tc>
          <w:tcPr>
            <w:tcW w:w="0" w:type="auto"/>
            <w:tcBorders>
              <w:top w:val="single" w:sz="4" w:space="0" w:color="auto"/>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5.49</w:t>
            </w:r>
          </w:p>
        </w:tc>
      </w:tr>
      <w:tr w:rsidR="00093837" w:rsidRPr="00277CA4" w:rsidTr="00FC7076">
        <w:trPr>
          <w:trHeight w:val="567"/>
        </w:trPr>
        <w:tc>
          <w:tcPr>
            <w:tcW w:w="567" w:type="dxa"/>
            <w:vMerge/>
            <w:tcBorders>
              <w:top w:val="single" w:sz="4" w:space="0" w:color="auto"/>
              <w:left w:val="single" w:sz="4" w:space="0" w:color="auto"/>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
        </w:tc>
        <w:tc>
          <w:tcPr>
            <w:tcW w:w="0" w:type="auto"/>
            <w:tcBorders>
              <w:top w:val="nil"/>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S.D.</w:t>
            </w:r>
          </w:p>
        </w:tc>
        <w:tc>
          <w:tcPr>
            <w:tcW w:w="0" w:type="auto"/>
            <w:tcBorders>
              <w:top w:val="nil"/>
              <w:left w:val="single" w:sz="4" w:space="0" w:color="auto"/>
              <w:bottom w:val="nil"/>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1.72</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4.81</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3.78</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3.05</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3.12</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3.23</w:t>
            </w:r>
          </w:p>
        </w:tc>
        <w:tc>
          <w:tcPr>
            <w:tcW w:w="0" w:type="auto"/>
            <w:tcBorders>
              <w:top w:val="nil"/>
              <w:left w:val="nil"/>
              <w:bottom w:val="nil"/>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3.63</w:t>
            </w:r>
          </w:p>
        </w:tc>
        <w:tc>
          <w:tcPr>
            <w:tcW w:w="0" w:type="auto"/>
            <w:tcBorders>
              <w:top w:val="nil"/>
              <w:left w:val="nil"/>
              <w:bottom w:val="nil"/>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3.36</w:t>
            </w:r>
          </w:p>
        </w:tc>
      </w:tr>
      <w:tr w:rsidR="00093837" w:rsidRPr="00277CA4" w:rsidTr="00FC7076">
        <w:trPr>
          <w:trHeight w:val="567"/>
        </w:trPr>
        <w:tc>
          <w:tcPr>
            <w:tcW w:w="567" w:type="dxa"/>
            <w:vMerge/>
            <w:tcBorders>
              <w:top w:val="single" w:sz="4" w:space="0" w:color="auto"/>
              <w:left w:val="single" w:sz="4" w:space="0" w:color="auto"/>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Median</w:t>
            </w:r>
          </w:p>
        </w:tc>
        <w:tc>
          <w:tcPr>
            <w:tcW w:w="0" w:type="auto"/>
            <w:tcBorders>
              <w:top w:val="nil"/>
              <w:left w:val="single" w:sz="4" w:space="0" w:color="auto"/>
              <w:bottom w:val="single" w:sz="4" w:space="0" w:color="auto"/>
              <w:right w:val="nil"/>
            </w:tcBorders>
            <w:shd w:val="clear" w:color="auto" w:fill="auto"/>
            <w:noWrap/>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3.33</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6.69</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7.68</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13.78</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5.58</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4.77</w:t>
            </w:r>
          </w:p>
        </w:tc>
        <w:tc>
          <w:tcPr>
            <w:tcW w:w="0" w:type="auto"/>
            <w:tcBorders>
              <w:top w:val="nil"/>
              <w:left w:val="nil"/>
              <w:bottom w:val="single" w:sz="4" w:space="0" w:color="auto"/>
              <w:right w:val="nil"/>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4.41</w:t>
            </w:r>
          </w:p>
        </w:tc>
        <w:tc>
          <w:tcPr>
            <w:tcW w:w="0" w:type="auto"/>
            <w:tcBorders>
              <w:top w:val="nil"/>
              <w:left w:val="nil"/>
              <w:bottom w:val="single" w:sz="4" w:space="0" w:color="auto"/>
              <w:right w:val="single" w:sz="4" w:space="0" w:color="auto"/>
            </w:tcBorders>
            <w:shd w:val="clear" w:color="auto" w:fill="auto"/>
            <w:vAlign w:val="center"/>
            <w:hideMark/>
          </w:tcPr>
          <w:p w:rsidR="00093837" w:rsidRPr="00277CA4" w:rsidRDefault="00093837" w:rsidP="00FC7076">
            <w:pPr>
              <w:spacing w:after="0" w:line="240" w:lineRule="auto"/>
              <w:jc w:val="center"/>
              <w:rPr>
                <w:rFonts w:ascii="Arial" w:eastAsia="Times New Roman" w:hAnsi="Arial" w:cs="Arial"/>
                <w:color w:val="000000"/>
                <w:lang w:eastAsia="en-GB"/>
              </w:rPr>
            </w:pPr>
            <w:r w:rsidRPr="00277CA4">
              <w:rPr>
                <w:rFonts w:ascii="Arial" w:eastAsia="Times New Roman" w:hAnsi="Arial" w:cs="Arial"/>
                <w:color w:val="000000"/>
                <w:lang w:eastAsia="en-GB"/>
              </w:rPr>
              <w:t>5.85</w:t>
            </w:r>
          </w:p>
        </w:tc>
      </w:tr>
    </w:tbl>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r w:rsidRPr="00277CA4">
        <w:rPr>
          <w:rFonts w:ascii="Arial" w:hAnsi="Arial" w:cs="Arial"/>
        </w:rPr>
        <w:br w:type="page"/>
      </w:r>
    </w:p>
    <w:p w:rsidR="00093837" w:rsidRPr="00277CA4" w:rsidRDefault="00093837" w:rsidP="0068388D">
      <w:pPr>
        <w:spacing w:after="0" w:line="240" w:lineRule="auto"/>
        <w:rPr>
          <w:rFonts w:ascii="Arial" w:hAnsi="Arial" w:cs="Arial"/>
          <w:u w:val="single"/>
        </w:rPr>
      </w:pPr>
      <w:proofErr w:type="gramStart"/>
      <w:r w:rsidRPr="00277CA4">
        <w:rPr>
          <w:rFonts w:ascii="Arial" w:hAnsi="Arial" w:cs="Arial"/>
          <w:u w:val="single"/>
        </w:rPr>
        <w:lastRenderedPageBreak/>
        <w:t>Table 3.</w:t>
      </w:r>
      <w:proofErr w:type="gramEnd"/>
      <w:r w:rsidRPr="00277CA4">
        <w:rPr>
          <w:rFonts w:ascii="Arial" w:hAnsi="Arial" w:cs="Arial"/>
          <w:u w:val="single"/>
        </w:rPr>
        <w:t xml:space="preserve"> </w:t>
      </w:r>
    </w:p>
    <w:p w:rsidR="00093837" w:rsidRPr="00277CA4" w:rsidRDefault="00093837" w:rsidP="0068388D">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2608"/>
        <w:gridCol w:w="1231"/>
        <w:gridCol w:w="938"/>
        <w:gridCol w:w="1587"/>
        <w:gridCol w:w="1531"/>
      </w:tblGrid>
      <w:tr w:rsidR="00093837" w:rsidRPr="00277CA4" w:rsidTr="00FC7076">
        <w:trPr>
          <w:trHeight w:val="283"/>
        </w:trPr>
        <w:tc>
          <w:tcPr>
            <w:tcW w:w="680" w:type="dxa"/>
            <w:tcBorders>
              <w:bottom w:val="single" w:sz="4" w:space="0" w:color="auto"/>
            </w:tcBorders>
            <w:vAlign w:val="center"/>
          </w:tcPr>
          <w:p w:rsidR="00093837" w:rsidRPr="00277CA4" w:rsidRDefault="00093837" w:rsidP="00FC7076">
            <w:pPr>
              <w:jc w:val="center"/>
              <w:rPr>
                <w:rFonts w:ascii="Arial" w:hAnsi="Arial" w:cs="Arial"/>
              </w:rPr>
            </w:pPr>
          </w:p>
        </w:tc>
        <w:tc>
          <w:tcPr>
            <w:tcW w:w="2608" w:type="dxa"/>
            <w:tcBorders>
              <w:bottom w:val="single" w:sz="4" w:space="0" w:color="auto"/>
              <w:right w:val="single" w:sz="4" w:space="0" w:color="auto"/>
            </w:tcBorders>
            <w:vAlign w:val="center"/>
          </w:tcPr>
          <w:p w:rsidR="00093837" w:rsidRPr="00277CA4" w:rsidRDefault="00093837" w:rsidP="00FC7076">
            <w:pPr>
              <w:jc w:val="center"/>
              <w:rPr>
                <w:rFonts w:ascii="Arial" w:hAnsi="Arial" w:cs="Arial"/>
              </w:rPr>
            </w:pPr>
          </w:p>
        </w:tc>
        <w:tc>
          <w:tcPr>
            <w:tcW w:w="1231" w:type="dxa"/>
            <w:tcBorders>
              <w:top w:val="single" w:sz="4" w:space="0" w:color="auto"/>
              <w:bottom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Geometric mean</w:t>
            </w:r>
          </w:p>
        </w:tc>
        <w:tc>
          <w:tcPr>
            <w:tcW w:w="938" w:type="dxa"/>
            <w:tcBorders>
              <w:top w:val="single" w:sz="4" w:space="0" w:color="auto"/>
              <w:left w:val="nil"/>
              <w:bottom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Median</w:t>
            </w:r>
          </w:p>
        </w:tc>
        <w:tc>
          <w:tcPr>
            <w:tcW w:w="1587" w:type="dxa"/>
            <w:tcBorders>
              <w:top w:val="single" w:sz="4" w:space="0" w:color="auto"/>
              <w:bottom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25%-75% Percentile</w:t>
            </w:r>
          </w:p>
        </w:tc>
        <w:tc>
          <w:tcPr>
            <w:tcW w:w="1531" w:type="dxa"/>
            <w:tcBorders>
              <w:top w:val="single" w:sz="4" w:space="0" w:color="auto"/>
              <w:left w:val="nil"/>
              <w:bottom w:val="single" w:sz="4" w:space="0" w:color="auto"/>
              <w:righ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Interquartile range</w:t>
            </w:r>
          </w:p>
        </w:tc>
      </w:tr>
      <w:tr w:rsidR="00093837" w:rsidRPr="00277CA4" w:rsidTr="00FC7076">
        <w:trPr>
          <w:trHeight w:val="567"/>
        </w:trPr>
        <w:tc>
          <w:tcPr>
            <w:tcW w:w="680" w:type="dxa"/>
            <w:vMerge w:val="restart"/>
            <w:tcBorders>
              <w:top w:val="single" w:sz="4" w:space="0" w:color="auto"/>
              <w:left w:val="single" w:sz="4" w:space="0" w:color="auto"/>
            </w:tcBorders>
            <w:textDirection w:val="btLr"/>
            <w:vAlign w:val="center"/>
          </w:tcPr>
          <w:p w:rsidR="00093837" w:rsidRPr="00277CA4" w:rsidRDefault="00093837" w:rsidP="00FC7076">
            <w:pPr>
              <w:ind w:left="113" w:right="113"/>
              <w:jc w:val="center"/>
              <w:rPr>
                <w:rFonts w:ascii="Arial" w:hAnsi="Arial" w:cs="Arial"/>
              </w:rPr>
            </w:pPr>
            <w:r w:rsidRPr="00277CA4">
              <w:rPr>
                <w:rFonts w:ascii="Arial" w:hAnsi="Arial" w:cs="Arial"/>
              </w:rPr>
              <w:t>Healthy volunteers</w:t>
            </w:r>
          </w:p>
        </w:tc>
        <w:tc>
          <w:tcPr>
            <w:tcW w:w="2608" w:type="dxa"/>
            <w:tcBorders>
              <w:top w:val="single" w:sz="4" w:space="0" w:color="auto"/>
              <w:left w:val="nil"/>
              <w:right w:val="single" w:sz="4" w:space="0" w:color="auto"/>
            </w:tcBorders>
            <w:vAlign w:val="center"/>
          </w:tcPr>
          <w:p w:rsidR="00093837" w:rsidRPr="00277CA4" w:rsidRDefault="00093837" w:rsidP="00FC7076">
            <w:pPr>
              <w:jc w:val="center"/>
              <w:rPr>
                <w:rFonts w:ascii="Arial" w:hAnsi="Arial" w:cs="Arial"/>
              </w:rPr>
            </w:pPr>
            <w:proofErr w:type="spellStart"/>
            <w:r w:rsidRPr="00277CA4">
              <w:rPr>
                <w:rFonts w:ascii="Arial" w:hAnsi="Arial" w:cs="Arial"/>
              </w:rPr>
              <w:t>AUC</w:t>
            </w:r>
            <w:r w:rsidRPr="00277CA4">
              <w:rPr>
                <w:rFonts w:ascii="Arial" w:hAnsi="Arial" w:cs="Arial"/>
                <w:vertAlign w:val="subscript"/>
              </w:rPr>
              <w:t>serum</w:t>
            </w:r>
            <w:proofErr w:type="spellEnd"/>
            <w:r w:rsidRPr="00277CA4">
              <w:rPr>
                <w:rFonts w:ascii="Arial" w:hAnsi="Arial" w:cs="Arial"/>
                <w:vertAlign w:val="subscript"/>
              </w:rPr>
              <w:t xml:space="preserve"> 18-24 </w:t>
            </w:r>
            <w:r w:rsidRPr="00277CA4">
              <w:rPr>
                <w:rFonts w:ascii="Arial" w:hAnsi="Arial" w:cs="Arial"/>
              </w:rPr>
              <w:t>(mg.hr.L</w:t>
            </w:r>
            <w:r w:rsidRPr="00277CA4">
              <w:rPr>
                <w:rFonts w:ascii="Arial" w:hAnsi="Arial" w:cs="Arial"/>
                <w:vertAlign w:val="superscript"/>
              </w:rPr>
              <w:t>-1</w:t>
            </w:r>
            <w:r w:rsidRPr="00277CA4">
              <w:rPr>
                <w:rFonts w:ascii="Arial" w:hAnsi="Arial" w:cs="Arial"/>
              </w:rPr>
              <w:t>)</w:t>
            </w:r>
          </w:p>
        </w:tc>
        <w:tc>
          <w:tcPr>
            <w:tcW w:w="1231" w:type="dxa"/>
            <w:tcBorders>
              <w:top w:val="single" w:sz="4" w:space="0" w:color="auto"/>
              <w:lef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239.4</w:t>
            </w:r>
          </w:p>
        </w:tc>
        <w:tc>
          <w:tcPr>
            <w:tcW w:w="938" w:type="dxa"/>
            <w:tcBorders>
              <w:top w:val="single" w:sz="4" w:space="0" w:color="auto"/>
              <w:left w:val="nil"/>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238.4</w:t>
            </w:r>
          </w:p>
        </w:tc>
        <w:tc>
          <w:tcPr>
            <w:tcW w:w="1587" w:type="dxa"/>
            <w:tcBorders>
              <w:top w:val="single" w:sz="4" w:space="0" w:color="auto"/>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213.4 - 261.7</w:t>
            </w:r>
          </w:p>
        </w:tc>
        <w:tc>
          <w:tcPr>
            <w:tcW w:w="1531" w:type="dxa"/>
            <w:tcBorders>
              <w:top w:val="single" w:sz="4" w:space="0" w:color="auto"/>
              <w:left w:val="nil"/>
              <w:right w:val="single" w:sz="4" w:space="0" w:color="auto"/>
            </w:tcBorders>
            <w:vAlign w:val="center"/>
          </w:tcPr>
          <w:p w:rsidR="00093837" w:rsidRPr="00277CA4" w:rsidRDefault="00093837" w:rsidP="00FC7076">
            <w:pPr>
              <w:jc w:val="center"/>
              <w:rPr>
                <w:rFonts w:ascii="Arial" w:eastAsia="Times New Roman" w:hAnsi="Arial" w:cs="Arial"/>
                <w:lang w:eastAsia="en-GB"/>
              </w:rPr>
            </w:pPr>
            <w:r w:rsidRPr="00277CA4">
              <w:rPr>
                <w:rFonts w:ascii="Arial" w:eastAsia="Times New Roman" w:hAnsi="Arial" w:cs="Arial"/>
                <w:lang w:eastAsia="en-GB"/>
              </w:rPr>
              <w:t>48.3</w:t>
            </w:r>
          </w:p>
        </w:tc>
      </w:tr>
      <w:tr w:rsidR="00093837" w:rsidRPr="00277CA4" w:rsidTr="00FC7076">
        <w:trPr>
          <w:cantSplit/>
          <w:trHeight w:val="567"/>
        </w:trPr>
        <w:tc>
          <w:tcPr>
            <w:tcW w:w="680" w:type="dxa"/>
            <w:vMerge/>
            <w:tcBorders>
              <w:left w:val="single" w:sz="4" w:space="0" w:color="auto"/>
            </w:tcBorders>
            <w:textDirection w:val="btLr"/>
            <w:vAlign w:val="center"/>
          </w:tcPr>
          <w:p w:rsidR="00093837" w:rsidRPr="00277CA4" w:rsidRDefault="00093837" w:rsidP="00FC7076">
            <w:pPr>
              <w:ind w:left="113" w:right="113"/>
              <w:jc w:val="center"/>
              <w:rPr>
                <w:rFonts w:ascii="Arial" w:hAnsi="Arial" w:cs="Arial"/>
              </w:rPr>
            </w:pPr>
          </w:p>
        </w:tc>
        <w:tc>
          <w:tcPr>
            <w:tcW w:w="2608" w:type="dxa"/>
            <w:tcBorders>
              <w:left w:val="nil"/>
              <w:righ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AUC</w:t>
            </w:r>
            <w:r w:rsidRPr="00277CA4">
              <w:rPr>
                <w:rFonts w:ascii="Arial" w:hAnsi="Arial" w:cs="Arial"/>
                <w:vertAlign w:val="subscript"/>
              </w:rPr>
              <w:t xml:space="preserve">ELF18-24 </w:t>
            </w:r>
            <w:r w:rsidRPr="00277CA4">
              <w:rPr>
                <w:rFonts w:ascii="Arial" w:hAnsi="Arial" w:cs="Arial"/>
              </w:rPr>
              <w:t>(mg.hr.L</w:t>
            </w:r>
            <w:r w:rsidRPr="00277CA4">
              <w:rPr>
                <w:rFonts w:ascii="Arial" w:hAnsi="Arial" w:cs="Arial"/>
                <w:vertAlign w:val="superscript"/>
              </w:rPr>
              <w:t>-1</w:t>
            </w:r>
            <w:r w:rsidRPr="00277CA4">
              <w:rPr>
                <w:rFonts w:ascii="Arial" w:hAnsi="Arial" w:cs="Arial"/>
              </w:rPr>
              <w:t>)</w:t>
            </w:r>
          </w:p>
        </w:tc>
        <w:tc>
          <w:tcPr>
            <w:tcW w:w="1231" w:type="dxa"/>
            <w:tcBorders>
              <w:lef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73.54</w:t>
            </w:r>
          </w:p>
        </w:tc>
        <w:tc>
          <w:tcPr>
            <w:tcW w:w="938" w:type="dxa"/>
            <w:tcBorders>
              <w:left w:val="nil"/>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78.8</w:t>
            </w:r>
          </w:p>
        </w:tc>
        <w:tc>
          <w:tcPr>
            <w:tcW w:w="1587" w:type="dxa"/>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55.87-107.2</w:t>
            </w:r>
          </w:p>
        </w:tc>
        <w:tc>
          <w:tcPr>
            <w:tcW w:w="1531" w:type="dxa"/>
            <w:tcBorders>
              <w:left w:val="nil"/>
              <w:right w:val="single" w:sz="4" w:space="0" w:color="auto"/>
            </w:tcBorders>
            <w:vAlign w:val="center"/>
          </w:tcPr>
          <w:p w:rsidR="00093837" w:rsidRPr="00277CA4" w:rsidRDefault="00093837" w:rsidP="00FC7076">
            <w:pPr>
              <w:jc w:val="center"/>
              <w:rPr>
                <w:rFonts w:ascii="Arial" w:eastAsia="Times New Roman" w:hAnsi="Arial" w:cs="Arial"/>
                <w:lang w:eastAsia="en-GB"/>
              </w:rPr>
            </w:pPr>
            <w:r w:rsidRPr="00277CA4">
              <w:rPr>
                <w:rFonts w:ascii="Arial" w:eastAsia="Times New Roman" w:hAnsi="Arial" w:cs="Arial"/>
                <w:lang w:eastAsia="en-GB"/>
              </w:rPr>
              <w:t>51.3</w:t>
            </w:r>
          </w:p>
        </w:tc>
      </w:tr>
      <w:tr w:rsidR="00093837" w:rsidRPr="00277CA4" w:rsidTr="00FC7076">
        <w:trPr>
          <w:trHeight w:val="567"/>
        </w:trPr>
        <w:tc>
          <w:tcPr>
            <w:tcW w:w="680" w:type="dxa"/>
            <w:vMerge/>
            <w:tcBorders>
              <w:left w:val="single" w:sz="4" w:space="0" w:color="auto"/>
              <w:bottom w:val="single" w:sz="4" w:space="0" w:color="auto"/>
            </w:tcBorders>
            <w:vAlign w:val="center"/>
          </w:tcPr>
          <w:p w:rsidR="00093837" w:rsidRPr="00277CA4" w:rsidRDefault="00093837" w:rsidP="00FC7076">
            <w:pPr>
              <w:jc w:val="center"/>
              <w:rPr>
                <w:rFonts w:ascii="Arial" w:hAnsi="Arial" w:cs="Arial"/>
              </w:rPr>
            </w:pPr>
          </w:p>
        </w:tc>
        <w:tc>
          <w:tcPr>
            <w:tcW w:w="2608" w:type="dxa"/>
            <w:tcBorders>
              <w:left w:val="nil"/>
              <w:bottom w:val="single" w:sz="4" w:space="0" w:color="auto"/>
              <w:righ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AUC</w:t>
            </w:r>
            <w:r w:rsidRPr="00277CA4">
              <w:rPr>
                <w:rFonts w:ascii="Arial" w:hAnsi="Arial" w:cs="Arial"/>
                <w:vertAlign w:val="subscript"/>
              </w:rPr>
              <w:t>ELF18-24</w:t>
            </w:r>
            <w:r w:rsidRPr="00277CA4">
              <w:rPr>
                <w:rFonts w:ascii="Arial" w:hAnsi="Arial" w:cs="Arial"/>
              </w:rPr>
              <w:t>–to-AUC</w:t>
            </w:r>
            <w:r w:rsidRPr="00277CA4">
              <w:rPr>
                <w:rFonts w:ascii="Arial" w:hAnsi="Arial" w:cs="Arial"/>
                <w:vertAlign w:val="subscript"/>
              </w:rPr>
              <w:t>serum18-24</w:t>
            </w:r>
            <w:r w:rsidRPr="00277CA4">
              <w:rPr>
                <w:rFonts w:ascii="Arial" w:hAnsi="Arial" w:cs="Arial"/>
              </w:rPr>
              <w:t xml:space="preserve"> </w:t>
            </w:r>
          </w:p>
        </w:tc>
        <w:tc>
          <w:tcPr>
            <w:tcW w:w="1231" w:type="dxa"/>
            <w:tcBorders>
              <w:left w:val="single" w:sz="4" w:space="0" w:color="auto"/>
              <w:bottom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0.31</w:t>
            </w:r>
          </w:p>
        </w:tc>
        <w:tc>
          <w:tcPr>
            <w:tcW w:w="938" w:type="dxa"/>
            <w:tcBorders>
              <w:left w:val="nil"/>
              <w:bottom w:val="single" w:sz="4" w:space="0" w:color="auto"/>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0.33</w:t>
            </w:r>
          </w:p>
        </w:tc>
        <w:tc>
          <w:tcPr>
            <w:tcW w:w="1587" w:type="dxa"/>
            <w:tcBorders>
              <w:bottom w:val="single" w:sz="4" w:space="0" w:color="auto"/>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0.24 – 0.43</w:t>
            </w:r>
          </w:p>
        </w:tc>
        <w:tc>
          <w:tcPr>
            <w:tcW w:w="1531" w:type="dxa"/>
            <w:tcBorders>
              <w:left w:val="nil"/>
              <w:bottom w:val="single" w:sz="4" w:space="0" w:color="auto"/>
              <w:right w:val="single" w:sz="4" w:space="0" w:color="auto"/>
            </w:tcBorders>
            <w:vAlign w:val="center"/>
          </w:tcPr>
          <w:p w:rsidR="00093837" w:rsidRPr="00277CA4" w:rsidRDefault="00093837" w:rsidP="00FC7076">
            <w:pPr>
              <w:jc w:val="center"/>
              <w:rPr>
                <w:rFonts w:ascii="Arial" w:eastAsia="Times New Roman" w:hAnsi="Arial" w:cs="Arial"/>
                <w:lang w:eastAsia="en-GB"/>
              </w:rPr>
            </w:pPr>
            <w:r w:rsidRPr="00277CA4">
              <w:rPr>
                <w:rFonts w:ascii="Arial" w:eastAsia="Times New Roman" w:hAnsi="Arial" w:cs="Arial"/>
                <w:lang w:eastAsia="en-GB"/>
              </w:rPr>
              <w:t>0.18</w:t>
            </w:r>
          </w:p>
        </w:tc>
      </w:tr>
      <w:tr w:rsidR="00093837" w:rsidRPr="00277CA4" w:rsidTr="00FC7076">
        <w:trPr>
          <w:cantSplit/>
          <w:trHeight w:val="567"/>
        </w:trPr>
        <w:tc>
          <w:tcPr>
            <w:tcW w:w="680" w:type="dxa"/>
            <w:vMerge w:val="restart"/>
            <w:tcBorders>
              <w:top w:val="single" w:sz="4" w:space="0" w:color="auto"/>
              <w:left w:val="single" w:sz="4" w:space="0" w:color="auto"/>
              <w:bottom w:val="single" w:sz="4" w:space="0" w:color="auto"/>
            </w:tcBorders>
            <w:textDirection w:val="btLr"/>
            <w:vAlign w:val="center"/>
          </w:tcPr>
          <w:p w:rsidR="00093837" w:rsidRPr="00277CA4" w:rsidRDefault="00093837" w:rsidP="00FC7076">
            <w:pPr>
              <w:ind w:left="113" w:right="113"/>
              <w:jc w:val="center"/>
              <w:rPr>
                <w:rFonts w:ascii="Arial" w:hAnsi="Arial" w:cs="Arial"/>
              </w:rPr>
            </w:pPr>
            <w:r w:rsidRPr="00277CA4">
              <w:rPr>
                <w:rFonts w:ascii="Arial" w:hAnsi="Arial" w:cs="Arial"/>
              </w:rPr>
              <w:t>Critically ill patients</w:t>
            </w:r>
          </w:p>
        </w:tc>
        <w:tc>
          <w:tcPr>
            <w:tcW w:w="2608" w:type="dxa"/>
            <w:tcBorders>
              <w:top w:val="single" w:sz="4" w:space="0" w:color="auto"/>
              <w:left w:val="nil"/>
              <w:right w:val="single" w:sz="4" w:space="0" w:color="auto"/>
            </w:tcBorders>
            <w:vAlign w:val="center"/>
          </w:tcPr>
          <w:p w:rsidR="00093837" w:rsidRPr="00277CA4" w:rsidRDefault="00093837" w:rsidP="00FC7076">
            <w:pPr>
              <w:jc w:val="center"/>
              <w:rPr>
                <w:rFonts w:ascii="Arial" w:hAnsi="Arial" w:cs="Arial"/>
              </w:rPr>
            </w:pPr>
            <w:proofErr w:type="spellStart"/>
            <w:r w:rsidRPr="00277CA4">
              <w:rPr>
                <w:rFonts w:ascii="Arial" w:hAnsi="Arial" w:cs="Arial"/>
              </w:rPr>
              <w:t>AUC</w:t>
            </w:r>
            <w:r w:rsidRPr="00277CA4">
              <w:rPr>
                <w:rFonts w:ascii="Arial" w:hAnsi="Arial" w:cs="Arial"/>
                <w:vertAlign w:val="subscript"/>
              </w:rPr>
              <w:t>serum</w:t>
            </w:r>
            <w:proofErr w:type="spellEnd"/>
            <w:r w:rsidRPr="00277CA4">
              <w:rPr>
                <w:rFonts w:ascii="Arial" w:hAnsi="Arial" w:cs="Arial"/>
                <w:vertAlign w:val="subscript"/>
              </w:rPr>
              <w:t xml:space="preserve"> 18-24 </w:t>
            </w:r>
            <w:r w:rsidRPr="00277CA4">
              <w:rPr>
                <w:rFonts w:ascii="Arial" w:hAnsi="Arial" w:cs="Arial"/>
              </w:rPr>
              <w:t>(mg.hr.L</w:t>
            </w:r>
            <w:r w:rsidRPr="00277CA4">
              <w:rPr>
                <w:rFonts w:ascii="Arial" w:hAnsi="Arial" w:cs="Arial"/>
                <w:vertAlign w:val="superscript"/>
              </w:rPr>
              <w:t>-1</w:t>
            </w:r>
            <w:r w:rsidRPr="00277CA4">
              <w:rPr>
                <w:rFonts w:ascii="Arial" w:hAnsi="Arial" w:cs="Arial"/>
              </w:rPr>
              <w:t>)</w:t>
            </w:r>
          </w:p>
        </w:tc>
        <w:tc>
          <w:tcPr>
            <w:tcW w:w="1231" w:type="dxa"/>
            <w:tcBorders>
              <w:top w:val="single" w:sz="4" w:space="0" w:color="auto"/>
              <w:lef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322.3</w:t>
            </w:r>
          </w:p>
        </w:tc>
        <w:tc>
          <w:tcPr>
            <w:tcW w:w="938" w:type="dxa"/>
            <w:tcBorders>
              <w:top w:val="single" w:sz="4" w:space="0" w:color="auto"/>
              <w:left w:val="nil"/>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304.2</w:t>
            </w:r>
          </w:p>
        </w:tc>
        <w:tc>
          <w:tcPr>
            <w:tcW w:w="1587" w:type="dxa"/>
            <w:tcBorders>
              <w:top w:val="single" w:sz="4" w:space="0" w:color="auto"/>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184.6 - 516.3</w:t>
            </w:r>
          </w:p>
        </w:tc>
        <w:tc>
          <w:tcPr>
            <w:tcW w:w="1531" w:type="dxa"/>
            <w:tcBorders>
              <w:top w:val="single" w:sz="4" w:space="0" w:color="auto"/>
              <w:left w:val="nil"/>
              <w:right w:val="single" w:sz="4" w:space="0" w:color="auto"/>
            </w:tcBorders>
            <w:vAlign w:val="center"/>
          </w:tcPr>
          <w:p w:rsidR="00093837" w:rsidRPr="00277CA4" w:rsidRDefault="00093837" w:rsidP="00FC7076">
            <w:pPr>
              <w:jc w:val="center"/>
              <w:rPr>
                <w:rFonts w:ascii="Arial" w:eastAsia="Times New Roman" w:hAnsi="Arial" w:cs="Arial"/>
                <w:lang w:eastAsia="en-GB"/>
              </w:rPr>
            </w:pPr>
            <w:r w:rsidRPr="00277CA4">
              <w:rPr>
                <w:rFonts w:ascii="Arial" w:eastAsia="Times New Roman" w:hAnsi="Arial" w:cs="Arial"/>
                <w:lang w:eastAsia="en-GB"/>
              </w:rPr>
              <w:t>331.7</w:t>
            </w:r>
          </w:p>
        </w:tc>
      </w:tr>
      <w:tr w:rsidR="00093837" w:rsidRPr="00277CA4" w:rsidTr="00FC7076">
        <w:trPr>
          <w:cantSplit/>
          <w:trHeight w:val="567"/>
        </w:trPr>
        <w:tc>
          <w:tcPr>
            <w:tcW w:w="680" w:type="dxa"/>
            <w:vMerge/>
            <w:tcBorders>
              <w:left w:val="single" w:sz="4" w:space="0" w:color="auto"/>
              <w:bottom w:val="single" w:sz="4" w:space="0" w:color="auto"/>
            </w:tcBorders>
            <w:textDirection w:val="btLr"/>
            <w:vAlign w:val="center"/>
          </w:tcPr>
          <w:p w:rsidR="00093837" w:rsidRPr="00277CA4" w:rsidRDefault="00093837" w:rsidP="00FC7076">
            <w:pPr>
              <w:ind w:left="113" w:right="113"/>
              <w:jc w:val="center"/>
              <w:rPr>
                <w:rFonts w:ascii="Arial" w:hAnsi="Arial" w:cs="Arial"/>
              </w:rPr>
            </w:pPr>
          </w:p>
        </w:tc>
        <w:tc>
          <w:tcPr>
            <w:tcW w:w="2608" w:type="dxa"/>
            <w:tcBorders>
              <w:left w:val="nil"/>
              <w:righ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AUC</w:t>
            </w:r>
            <w:r w:rsidRPr="00277CA4">
              <w:rPr>
                <w:rFonts w:ascii="Arial" w:hAnsi="Arial" w:cs="Arial"/>
                <w:vertAlign w:val="subscript"/>
              </w:rPr>
              <w:t xml:space="preserve">ELF 18-24 </w:t>
            </w:r>
            <w:r w:rsidRPr="00277CA4">
              <w:rPr>
                <w:rFonts w:ascii="Arial" w:hAnsi="Arial" w:cs="Arial"/>
              </w:rPr>
              <w:t>(mg.hr.L</w:t>
            </w:r>
            <w:r w:rsidRPr="00277CA4">
              <w:rPr>
                <w:rFonts w:ascii="Arial" w:hAnsi="Arial" w:cs="Arial"/>
                <w:vertAlign w:val="superscript"/>
              </w:rPr>
              <w:t>-1</w:t>
            </w:r>
            <w:r w:rsidRPr="00277CA4">
              <w:rPr>
                <w:rFonts w:ascii="Arial" w:hAnsi="Arial" w:cs="Arial"/>
              </w:rPr>
              <w:t>)</w:t>
            </w:r>
          </w:p>
        </w:tc>
        <w:tc>
          <w:tcPr>
            <w:tcW w:w="1231" w:type="dxa"/>
            <w:tcBorders>
              <w:lef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176.0</w:t>
            </w:r>
          </w:p>
        </w:tc>
        <w:tc>
          <w:tcPr>
            <w:tcW w:w="938" w:type="dxa"/>
            <w:tcBorders>
              <w:left w:val="nil"/>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173.3</w:t>
            </w:r>
          </w:p>
        </w:tc>
        <w:tc>
          <w:tcPr>
            <w:tcW w:w="1587" w:type="dxa"/>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95.6 - 314.3</w:t>
            </w:r>
          </w:p>
        </w:tc>
        <w:tc>
          <w:tcPr>
            <w:tcW w:w="1531" w:type="dxa"/>
            <w:tcBorders>
              <w:left w:val="nil"/>
              <w:right w:val="single" w:sz="4" w:space="0" w:color="auto"/>
            </w:tcBorders>
            <w:vAlign w:val="center"/>
          </w:tcPr>
          <w:p w:rsidR="00093837" w:rsidRPr="00277CA4" w:rsidRDefault="00093837" w:rsidP="00FC7076">
            <w:pPr>
              <w:jc w:val="center"/>
              <w:rPr>
                <w:rFonts w:ascii="Arial" w:eastAsia="Times New Roman" w:hAnsi="Arial" w:cs="Arial"/>
                <w:lang w:eastAsia="en-GB"/>
              </w:rPr>
            </w:pPr>
            <w:r w:rsidRPr="00277CA4">
              <w:rPr>
                <w:rFonts w:ascii="Arial" w:eastAsia="Times New Roman" w:hAnsi="Arial" w:cs="Arial"/>
                <w:lang w:eastAsia="en-GB"/>
              </w:rPr>
              <w:t>218.7</w:t>
            </w:r>
          </w:p>
        </w:tc>
      </w:tr>
      <w:tr w:rsidR="00093837" w:rsidRPr="00277CA4" w:rsidTr="00FC7076">
        <w:trPr>
          <w:trHeight w:val="567"/>
        </w:trPr>
        <w:tc>
          <w:tcPr>
            <w:tcW w:w="680" w:type="dxa"/>
            <w:vMerge/>
            <w:tcBorders>
              <w:left w:val="single" w:sz="4" w:space="0" w:color="auto"/>
              <w:bottom w:val="single" w:sz="4" w:space="0" w:color="auto"/>
            </w:tcBorders>
            <w:vAlign w:val="center"/>
          </w:tcPr>
          <w:p w:rsidR="00093837" w:rsidRPr="00277CA4" w:rsidRDefault="00093837" w:rsidP="00FC7076">
            <w:pPr>
              <w:jc w:val="center"/>
              <w:rPr>
                <w:rFonts w:ascii="Arial" w:hAnsi="Arial" w:cs="Arial"/>
              </w:rPr>
            </w:pPr>
          </w:p>
        </w:tc>
        <w:tc>
          <w:tcPr>
            <w:tcW w:w="2608" w:type="dxa"/>
            <w:tcBorders>
              <w:left w:val="nil"/>
              <w:bottom w:val="single" w:sz="4" w:space="0" w:color="auto"/>
              <w:right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AUC</w:t>
            </w:r>
            <w:r w:rsidRPr="00277CA4">
              <w:rPr>
                <w:rFonts w:ascii="Arial" w:hAnsi="Arial" w:cs="Arial"/>
                <w:vertAlign w:val="subscript"/>
              </w:rPr>
              <w:t>ELF18-24</w:t>
            </w:r>
            <w:r w:rsidRPr="00277CA4">
              <w:rPr>
                <w:rFonts w:ascii="Arial" w:hAnsi="Arial" w:cs="Arial"/>
              </w:rPr>
              <w:t>–to-AUC</w:t>
            </w:r>
            <w:r w:rsidRPr="00277CA4">
              <w:rPr>
                <w:rFonts w:ascii="Arial" w:hAnsi="Arial" w:cs="Arial"/>
                <w:vertAlign w:val="subscript"/>
              </w:rPr>
              <w:t>serum18-24</w:t>
            </w:r>
            <w:r w:rsidRPr="00277CA4">
              <w:rPr>
                <w:rFonts w:ascii="Arial" w:hAnsi="Arial" w:cs="Arial"/>
              </w:rPr>
              <w:t xml:space="preserve"> </w:t>
            </w:r>
          </w:p>
        </w:tc>
        <w:tc>
          <w:tcPr>
            <w:tcW w:w="1231" w:type="dxa"/>
            <w:tcBorders>
              <w:left w:val="single" w:sz="4" w:space="0" w:color="auto"/>
              <w:bottom w:val="single" w:sz="4" w:space="0" w:color="auto"/>
            </w:tcBorders>
            <w:vAlign w:val="center"/>
          </w:tcPr>
          <w:p w:rsidR="00093837" w:rsidRPr="00277CA4" w:rsidRDefault="00093837" w:rsidP="00FC7076">
            <w:pPr>
              <w:jc w:val="center"/>
              <w:rPr>
                <w:rFonts w:ascii="Arial" w:hAnsi="Arial" w:cs="Arial"/>
              </w:rPr>
            </w:pPr>
            <w:r w:rsidRPr="00277CA4">
              <w:rPr>
                <w:rFonts w:ascii="Arial" w:hAnsi="Arial" w:cs="Arial"/>
              </w:rPr>
              <w:t>0.54</w:t>
            </w:r>
          </w:p>
        </w:tc>
        <w:tc>
          <w:tcPr>
            <w:tcW w:w="938" w:type="dxa"/>
            <w:tcBorders>
              <w:left w:val="nil"/>
              <w:bottom w:val="single" w:sz="4" w:space="0" w:color="auto"/>
            </w:tcBorders>
            <w:vAlign w:val="center"/>
          </w:tcPr>
          <w:p w:rsidR="00093837" w:rsidRPr="00277CA4" w:rsidRDefault="00093837" w:rsidP="00FC7076">
            <w:pPr>
              <w:jc w:val="center"/>
              <w:rPr>
                <w:rFonts w:ascii="Arial" w:eastAsia="Times New Roman" w:hAnsi="Arial" w:cs="Arial"/>
                <w:lang w:eastAsia="en-GB"/>
              </w:rPr>
            </w:pPr>
            <w:r w:rsidRPr="00277CA4">
              <w:rPr>
                <w:rFonts w:ascii="Arial" w:eastAsia="Times New Roman" w:hAnsi="Arial" w:cs="Arial"/>
                <w:lang w:eastAsia="en-GB"/>
              </w:rPr>
              <w:t>0.54</w:t>
            </w:r>
          </w:p>
        </w:tc>
        <w:tc>
          <w:tcPr>
            <w:tcW w:w="1587" w:type="dxa"/>
            <w:tcBorders>
              <w:bottom w:val="single" w:sz="4" w:space="0" w:color="auto"/>
            </w:tcBorders>
            <w:vAlign w:val="center"/>
          </w:tcPr>
          <w:p w:rsidR="00093837" w:rsidRPr="00277CA4" w:rsidRDefault="00093837" w:rsidP="00FC7076">
            <w:pPr>
              <w:jc w:val="center"/>
              <w:rPr>
                <w:rFonts w:ascii="Arial" w:hAnsi="Arial" w:cs="Arial"/>
              </w:rPr>
            </w:pPr>
            <w:r w:rsidRPr="00277CA4">
              <w:rPr>
                <w:rFonts w:ascii="Arial" w:eastAsia="Times New Roman" w:hAnsi="Arial" w:cs="Arial"/>
                <w:lang w:eastAsia="en-GB"/>
              </w:rPr>
              <w:t>0.34 – 0.85</w:t>
            </w:r>
          </w:p>
        </w:tc>
        <w:tc>
          <w:tcPr>
            <w:tcW w:w="1531" w:type="dxa"/>
            <w:tcBorders>
              <w:left w:val="nil"/>
              <w:bottom w:val="single" w:sz="4" w:space="0" w:color="auto"/>
              <w:right w:val="single" w:sz="4" w:space="0" w:color="auto"/>
            </w:tcBorders>
            <w:vAlign w:val="center"/>
          </w:tcPr>
          <w:p w:rsidR="00093837" w:rsidRPr="00277CA4" w:rsidRDefault="00093837" w:rsidP="00FC7076">
            <w:pPr>
              <w:jc w:val="center"/>
              <w:rPr>
                <w:rFonts w:ascii="Arial" w:eastAsia="Times New Roman" w:hAnsi="Arial" w:cs="Arial"/>
                <w:lang w:eastAsia="en-GB"/>
              </w:rPr>
            </w:pPr>
            <w:r w:rsidRPr="00277CA4">
              <w:rPr>
                <w:rFonts w:ascii="Arial" w:eastAsia="Times New Roman" w:hAnsi="Arial" w:cs="Arial"/>
                <w:lang w:eastAsia="en-GB"/>
              </w:rPr>
              <w:t>0.51</w:t>
            </w:r>
          </w:p>
        </w:tc>
      </w:tr>
    </w:tbl>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r w:rsidRPr="00277CA4">
        <w:rPr>
          <w:rFonts w:ascii="Arial" w:hAnsi="Arial" w:cs="Arial"/>
        </w:rPr>
        <w:br w:type="page"/>
      </w:r>
    </w:p>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r w:rsidRPr="00277CA4">
        <w:rPr>
          <w:rFonts w:ascii="Arial" w:hAnsi="Arial" w:cs="Arial"/>
        </w:rPr>
        <w:object w:dxaOrig="10130" w:dyaOrig="10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481.45pt" o:ole="" filled="t">
            <v:imagedata r:id="rId8" o:title=""/>
          </v:shape>
          <o:OLEObject Type="Embed" ProgID="Prism7.Document" ShapeID="_x0000_i1025" DrawAspect="Content" ObjectID="_1579499878" r:id="rId9"/>
        </w:object>
      </w:r>
    </w:p>
    <w:p w:rsidR="00093837" w:rsidRPr="00277CA4" w:rsidRDefault="00093837" w:rsidP="0068388D">
      <w:pPr>
        <w:spacing w:after="0" w:line="480" w:lineRule="auto"/>
        <w:rPr>
          <w:rFonts w:ascii="Arial" w:hAnsi="Arial" w:cs="Arial"/>
        </w:rPr>
      </w:pPr>
      <w:proofErr w:type="gramStart"/>
      <w:r w:rsidRPr="00277CA4">
        <w:rPr>
          <w:rFonts w:ascii="Arial" w:hAnsi="Arial" w:cs="Arial"/>
        </w:rPr>
        <w:t>Figure 1.</w:t>
      </w:r>
      <w:proofErr w:type="gramEnd"/>
      <w:r w:rsidRPr="00277CA4">
        <w:rPr>
          <w:rFonts w:ascii="Arial" w:hAnsi="Arial" w:cs="Arial"/>
        </w:rPr>
        <w:t xml:space="preserve"> Observed-predicted piperacillin concentrations in the serum of healthy volunteers (top left); epithelial lining fluid of healthy volunteers (top right); serum of critically ill patients (bottom left) and epithelial lining fluid of critically ill patients (bottom right).</w:t>
      </w:r>
    </w:p>
    <w:p w:rsidR="00093837" w:rsidRPr="00277CA4" w:rsidRDefault="00093837" w:rsidP="0068388D">
      <w:pPr>
        <w:rPr>
          <w:rFonts w:ascii="Arial" w:hAnsi="Arial" w:cs="Arial"/>
        </w:rPr>
      </w:pPr>
      <w:r w:rsidRPr="00277CA4">
        <w:rPr>
          <w:rFonts w:ascii="Arial" w:hAnsi="Arial" w:cs="Arial"/>
        </w:rPr>
        <w:br w:type="page"/>
      </w:r>
    </w:p>
    <w:p w:rsidR="00093837" w:rsidRPr="00277CA4" w:rsidRDefault="00093837" w:rsidP="0068388D">
      <w:pPr>
        <w:spacing w:after="0" w:line="240" w:lineRule="auto"/>
        <w:rPr>
          <w:rFonts w:ascii="Arial" w:hAnsi="Arial" w:cs="Arial"/>
        </w:rPr>
      </w:pPr>
      <w:r w:rsidRPr="00277CA4">
        <w:rPr>
          <w:rFonts w:ascii="Arial" w:hAnsi="Arial" w:cs="Arial"/>
        </w:rPr>
        <w:object w:dxaOrig="14021" w:dyaOrig="10781">
          <v:shape id="_x0000_i1026" type="#_x0000_t75" style="width:503.35pt;height:387.55pt" o:ole="">
            <v:imagedata r:id="rId10" o:title=""/>
          </v:shape>
          <o:OLEObject Type="Embed" ProgID="Prism7.Document" ShapeID="_x0000_i1026" DrawAspect="Content" ObjectID="_1579499879" r:id="rId11"/>
        </w:object>
      </w:r>
    </w:p>
    <w:p w:rsidR="00093837" w:rsidRPr="00277CA4" w:rsidRDefault="00093837" w:rsidP="0068388D">
      <w:pPr>
        <w:spacing w:after="0" w:line="480" w:lineRule="auto"/>
        <w:rPr>
          <w:rFonts w:ascii="Arial" w:hAnsi="Arial" w:cs="Arial"/>
          <w:u w:val="single"/>
        </w:rPr>
      </w:pPr>
      <w:proofErr w:type="gramStart"/>
      <w:r w:rsidRPr="00277CA4">
        <w:rPr>
          <w:rFonts w:ascii="Arial" w:hAnsi="Arial" w:cs="Arial"/>
          <w:u w:val="single"/>
        </w:rPr>
        <w:t>Figure 2.</w:t>
      </w:r>
      <w:proofErr w:type="gramEnd"/>
      <w:r w:rsidRPr="00277CA4">
        <w:rPr>
          <w:rFonts w:ascii="Arial" w:hAnsi="Arial" w:cs="Arial"/>
        </w:rPr>
        <w:t xml:space="preserve"> Median piperacillin concentration-time profiles (Grey area represents the 5-to-95 percentile) in the serum of healthy volunteers (top left), serum of critically ill patients (top right), ELF of healthy volunteers (bottom left) and ELF of critically ill patients (bottom right). </w:t>
      </w:r>
      <w:r w:rsidRPr="00277CA4">
        <w:rPr>
          <w:rFonts w:ascii="Arial" w:hAnsi="Arial" w:cs="Arial"/>
          <w:u w:val="single"/>
        </w:rPr>
        <w:t xml:space="preserve"> </w:t>
      </w:r>
    </w:p>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r w:rsidRPr="00277CA4">
        <w:rPr>
          <w:rFonts w:ascii="Arial" w:hAnsi="Arial" w:cs="Arial"/>
        </w:rPr>
        <w:br w:type="page"/>
      </w:r>
    </w:p>
    <w:p w:rsidR="00093837" w:rsidRPr="00277CA4" w:rsidRDefault="00093837" w:rsidP="0068388D">
      <w:pPr>
        <w:spacing w:after="0" w:line="480" w:lineRule="auto"/>
        <w:jc w:val="both"/>
        <w:rPr>
          <w:rFonts w:ascii="Arial" w:hAnsi="Arial" w:cs="Arial"/>
        </w:rPr>
      </w:pPr>
      <w:r w:rsidRPr="00277CA4">
        <w:rPr>
          <w:rFonts w:ascii="Arial" w:hAnsi="Arial" w:cs="Arial"/>
        </w:rPr>
        <w:object w:dxaOrig="15223" w:dyaOrig="11625">
          <v:shape id="_x0000_i1027" type="#_x0000_t75" style="width:450.8pt;height:345.6pt" o:ole="" filled="t">
            <v:imagedata r:id="rId12" o:title=""/>
          </v:shape>
          <o:OLEObject Type="Embed" ProgID="Prism6.Document" ShapeID="_x0000_i1027" DrawAspect="Content" ObjectID="_1579499880" r:id="rId13"/>
        </w:object>
      </w:r>
      <w:proofErr w:type="gramStart"/>
      <w:r w:rsidRPr="00277CA4">
        <w:rPr>
          <w:rFonts w:ascii="Arial" w:hAnsi="Arial" w:cs="Arial"/>
          <w:u w:val="single"/>
        </w:rPr>
        <w:t>Figure 3.</w:t>
      </w:r>
      <w:proofErr w:type="gramEnd"/>
      <w:r w:rsidRPr="00277CA4">
        <w:rPr>
          <w:rFonts w:ascii="Arial" w:hAnsi="Arial" w:cs="Arial"/>
        </w:rPr>
        <w:t xml:space="preserve"> Frequency of area-under-the-piperacillin-concertation curves for 5,000 simulated healthy volunteers (0-1000) and critically ill patients (0-200). The panels show the AUC in the serum of healthy volunteers (top left), serum of critically ill patients (top right), ELF of healthy volunteers (bottom left) and ELF of critically ill patients (bottom right). </w:t>
      </w:r>
    </w:p>
    <w:p w:rsidR="00093837" w:rsidRPr="00277CA4" w:rsidRDefault="00093837" w:rsidP="0068388D">
      <w:pPr>
        <w:spacing w:after="0" w:line="240" w:lineRule="auto"/>
        <w:rPr>
          <w:rFonts w:ascii="Arial" w:hAnsi="Arial" w:cs="Arial"/>
        </w:rPr>
      </w:pPr>
      <w:r w:rsidRPr="00277CA4">
        <w:rPr>
          <w:rFonts w:ascii="Arial" w:hAnsi="Arial" w:cs="Arial"/>
        </w:rPr>
        <w:br w:type="page"/>
      </w:r>
    </w:p>
    <w:p w:rsidR="00093837" w:rsidRPr="00277CA4" w:rsidRDefault="00093837" w:rsidP="0068388D">
      <w:pPr>
        <w:spacing w:after="0" w:line="480" w:lineRule="auto"/>
        <w:rPr>
          <w:rFonts w:ascii="Arial" w:hAnsi="Arial" w:cs="Arial"/>
        </w:rPr>
      </w:pPr>
      <w:r w:rsidRPr="00277CA4">
        <w:rPr>
          <w:rFonts w:ascii="Arial" w:hAnsi="Arial" w:cs="Arial"/>
        </w:rPr>
        <w:object w:dxaOrig="7051" w:dyaOrig="13565">
          <v:shape id="_x0000_i1028" type="#_x0000_t75" style="width:280.5pt;height:539.05pt" o:ole="" filled="t">
            <v:imagedata r:id="rId14" o:title=""/>
          </v:shape>
          <o:OLEObject Type="Embed" ProgID="Prism7.Document" ShapeID="_x0000_i1028" DrawAspect="Content" ObjectID="_1579499881" r:id="rId15"/>
        </w:object>
      </w:r>
    </w:p>
    <w:p w:rsidR="00093837" w:rsidRPr="00277CA4" w:rsidRDefault="00093837" w:rsidP="0068388D">
      <w:pPr>
        <w:spacing w:after="0" w:line="480" w:lineRule="auto"/>
        <w:jc w:val="both"/>
        <w:rPr>
          <w:rFonts w:ascii="Arial" w:hAnsi="Arial" w:cs="Arial"/>
        </w:rPr>
      </w:pPr>
      <w:proofErr w:type="gramStart"/>
      <w:r w:rsidRPr="00277CA4">
        <w:rPr>
          <w:rFonts w:ascii="Arial" w:hAnsi="Arial" w:cs="Arial"/>
        </w:rPr>
        <w:t>Figure 4.</w:t>
      </w:r>
      <w:proofErr w:type="gramEnd"/>
      <w:r w:rsidRPr="00277CA4">
        <w:rPr>
          <w:rFonts w:ascii="Arial" w:hAnsi="Arial" w:cs="Arial"/>
        </w:rPr>
        <w:t xml:space="preserve"> Relationship </w:t>
      </w:r>
      <w:proofErr w:type="gramStart"/>
      <w:r w:rsidRPr="00277CA4">
        <w:rPr>
          <w:rFonts w:ascii="Arial" w:hAnsi="Arial" w:cs="Arial"/>
        </w:rPr>
        <w:t>between the observed (A) area under the serum piperacillin concentration time curve</w:t>
      </w:r>
      <w:proofErr w:type="gramEnd"/>
      <w:r w:rsidRPr="00277CA4">
        <w:rPr>
          <w:rFonts w:ascii="Arial" w:hAnsi="Arial" w:cs="Arial"/>
        </w:rPr>
        <w:t xml:space="preserve">; (B) area under the ELF piperacillin concentration time curve and (C) ratio of piperacillin serum-to-ELF exposures and estimated creatinine clearance. </w:t>
      </w:r>
      <w:r w:rsidRPr="00277CA4">
        <w:rPr>
          <w:rFonts w:ascii="Arial" w:hAnsi="Arial" w:cs="Arial"/>
        </w:rPr>
        <w:br w:type="page"/>
      </w:r>
    </w:p>
    <w:p w:rsidR="00093837" w:rsidRPr="00277CA4" w:rsidRDefault="00093837" w:rsidP="0068388D">
      <w:pPr>
        <w:spacing w:after="0" w:line="240" w:lineRule="auto"/>
        <w:rPr>
          <w:rFonts w:ascii="Arial" w:hAnsi="Arial" w:cs="Arial"/>
        </w:rPr>
      </w:pPr>
      <w:r w:rsidRPr="00277CA4">
        <w:rPr>
          <w:rFonts w:ascii="Arial" w:hAnsi="Arial" w:cs="Arial"/>
        </w:rPr>
        <w:object w:dxaOrig="9312" w:dyaOrig="6564">
          <v:shape id="_x0000_i1029" type="#_x0000_t75" style="width:466.45pt;height:328.7pt" o:ole="">
            <v:imagedata r:id="rId16" o:title=""/>
          </v:shape>
          <o:OLEObject Type="Embed" ProgID="Prism7.Document" ShapeID="_x0000_i1029" DrawAspect="Content" ObjectID="_1579499882" r:id="rId17"/>
        </w:object>
      </w:r>
    </w:p>
    <w:p w:rsidR="00093837" w:rsidRPr="00277CA4" w:rsidRDefault="00093837" w:rsidP="0068388D">
      <w:pPr>
        <w:spacing w:after="0" w:line="240" w:lineRule="auto"/>
        <w:rPr>
          <w:rFonts w:ascii="Arial" w:hAnsi="Arial" w:cs="Arial"/>
        </w:rPr>
      </w:pPr>
    </w:p>
    <w:p w:rsidR="00093837" w:rsidRPr="00277CA4" w:rsidRDefault="00093837" w:rsidP="0068388D">
      <w:pPr>
        <w:spacing w:after="0" w:line="480" w:lineRule="auto"/>
        <w:rPr>
          <w:rFonts w:ascii="Arial" w:hAnsi="Arial" w:cs="Arial"/>
        </w:rPr>
      </w:pPr>
      <w:proofErr w:type="gramStart"/>
      <w:r w:rsidRPr="00277CA4">
        <w:rPr>
          <w:rFonts w:ascii="Arial" w:hAnsi="Arial" w:cs="Arial"/>
          <w:u w:val="single"/>
        </w:rPr>
        <w:t>Figure 5.</w:t>
      </w:r>
      <w:proofErr w:type="gramEnd"/>
      <w:r w:rsidRPr="00277CA4">
        <w:rPr>
          <w:rFonts w:ascii="Arial" w:hAnsi="Arial" w:cs="Arial"/>
        </w:rPr>
        <w:t xml:space="preserve"> </w:t>
      </w:r>
      <w:proofErr w:type="gramStart"/>
      <w:r w:rsidRPr="00277CA4">
        <w:rPr>
          <w:rFonts w:ascii="Arial" w:hAnsi="Arial" w:cs="Arial"/>
        </w:rPr>
        <w:t>Comparison of the ratio of simulated piperacillin exposure in serum-to-ELF in healthy volunteers and critically ill patients.</w:t>
      </w:r>
      <w:proofErr w:type="gramEnd"/>
      <w:r w:rsidRPr="00277CA4">
        <w:rPr>
          <w:rFonts w:ascii="Arial" w:hAnsi="Arial" w:cs="Arial"/>
        </w:rPr>
        <w:t xml:space="preserve"> </w:t>
      </w:r>
    </w:p>
    <w:p w:rsidR="00093837" w:rsidRPr="00277CA4" w:rsidRDefault="00093837" w:rsidP="0068388D">
      <w:pPr>
        <w:rPr>
          <w:rFonts w:ascii="Arial" w:hAnsi="Arial" w:cs="Arial"/>
        </w:rPr>
      </w:pPr>
      <w:r w:rsidRPr="00277CA4">
        <w:rPr>
          <w:rFonts w:ascii="Arial" w:hAnsi="Arial" w:cs="Arial"/>
        </w:rPr>
        <w:br w:type="page"/>
      </w:r>
    </w:p>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r w:rsidRPr="00277CA4">
        <w:rPr>
          <w:rFonts w:ascii="Arial" w:hAnsi="Arial" w:cs="Arial"/>
        </w:rPr>
        <w:object w:dxaOrig="6790" w:dyaOrig="4810">
          <v:shape id="_x0000_i1030" type="#_x0000_t75" style="width:340.6pt;height:241.05pt" o:ole="" filled="t">
            <v:imagedata r:id="rId18" o:title=""/>
          </v:shape>
          <o:OLEObject Type="Embed" ProgID="Prism7.Document" ShapeID="_x0000_i1030" DrawAspect="Content" ObjectID="_1579499883" r:id="rId19"/>
        </w:object>
      </w:r>
    </w:p>
    <w:p w:rsidR="00093837" w:rsidRPr="00277CA4" w:rsidRDefault="00093837" w:rsidP="0068388D">
      <w:pPr>
        <w:spacing w:after="0" w:line="240" w:lineRule="auto"/>
        <w:rPr>
          <w:rFonts w:ascii="Arial" w:hAnsi="Arial" w:cs="Arial"/>
        </w:rPr>
      </w:pPr>
    </w:p>
    <w:p w:rsidR="00093837" w:rsidRPr="00277CA4" w:rsidRDefault="00093837" w:rsidP="0068388D">
      <w:pPr>
        <w:spacing w:after="0" w:line="240" w:lineRule="auto"/>
        <w:rPr>
          <w:rFonts w:ascii="Arial" w:hAnsi="Arial" w:cs="Arial"/>
        </w:rPr>
      </w:pPr>
    </w:p>
    <w:p w:rsidR="00093837" w:rsidRPr="00832C12" w:rsidRDefault="00093837" w:rsidP="0068388D">
      <w:pPr>
        <w:spacing w:after="0" w:line="480" w:lineRule="auto"/>
        <w:rPr>
          <w:rFonts w:ascii="Arial" w:hAnsi="Arial" w:cs="Arial"/>
        </w:rPr>
      </w:pPr>
      <w:proofErr w:type="gramStart"/>
      <w:r w:rsidRPr="00277CA4">
        <w:rPr>
          <w:rFonts w:ascii="Arial" w:hAnsi="Arial" w:cs="Arial"/>
          <w:u w:val="single"/>
        </w:rPr>
        <w:t>Figure 6.</w:t>
      </w:r>
      <w:proofErr w:type="gramEnd"/>
      <w:r w:rsidRPr="00277CA4">
        <w:rPr>
          <w:rFonts w:ascii="Arial" w:hAnsi="Arial" w:cs="Arial"/>
        </w:rPr>
        <w:t xml:space="preserve"> </w:t>
      </w:r>
      <w:proofErr w:type="gramStart"/>
      <w:r w:rsidRPr="00277CA4">
        <w:rPr>
          <w:rFonts w:ascii="Arial" w:hAnsi="Arial" w:cs="Arial"/>
        </w:rPr>
        <w:t>Results of the Monte Carlo simulation with the fraction of target attainments for unbound plasma and ELF piperacillin in healthy volunteers and critically ill patients against a range of MICs.</w:t>
      </w:r>
      <w:proofErr w:type="gramEnd"/>
      <w:r>
        <w:rPr>
          <w:rFonts w:ascii="Arial" w:hAnsi="Arial" w:cs="Arial"/>
        </w:rPr>
        <w:t xml:space="preserve"> </w:t>
      </w:r>
      <w:r w:rsidRPr="00832C12">
        <w:rPr>
          <w:rFonts w:ascii="Arial" w:hAnsi="Arial" w:cs="Arial"/>
        </w:rPr>
        <w:t xml:space="preserve"> </w:t>
      </w:r>
    </w:p>
    <w:p w:rsidR="00093837" w:rsidRPr="00832C12" w:rsidRDefault="00093837" w:rsidP="00390DF1">
      <w:pPr>
        <w:spacing w:after="0" w:line="480" w:lineRule="auto"/>
        <w:rPr>
          <w:rFonts w:ascii="Arial" w:hAnsi="Arial" w:cs="Arial"/>
        </w:rPr>
      </w:pPr>
    </w:p>
    <w:p w:rsidR="00890778" w:rsidRDefault="00890778">
      <w:bookmarkStart w:id="33" w:name="_GoBack"/>
      <w:bookmarkEnd w:id="33"/>
    </w:p>
    <w:sectPr w:rsidR="00890778">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77CA4">
      <w:pPr>
        <w:spacing w:after="0" w:line="240" w:lineRule="auto"/>
      </w:pPr>
      <w:r>
        <w:separator/>
      </w:r>
    </w:p>
  </w:endnote>
  <w:endnote w:type="continuationSeparator" w:id="0">
    <w:p w:rsidR="00000000" w:rsidRDefault="00277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B78" w:rsidRDefault="00277C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77CA4">
      <w:pPr>
        <w:spacing w:after="0" w:line="240" w:lineRule="auto"/>
      </w:pPr>
      <w:r>
        <w:separator/>
      </w:r>
    </w:p>
  </w:footnote>
  <w:footnote w:type="continuationSeparator" w:id="0">
    <w:p w:rsidR="00000000" w:rsidRDefault="00277C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93837"/>
    <w:rsid w:val="00093837"/>
    <w:rsid w:val="00277CA4"/>
    <w:rsid w:val="00890778"/>
    <w:rsid w:val="008F6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8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3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3837"/>
    <w:rPr>
      <w:i/>
      <w:iCs/>
    </w:rPr>
  </w:style>
  <w:style w:type="paragraph" w:styleId="NormalWeb">
    <w:name w:val="Normal (Web)"/>
    <w:basedOn w:val="Normal"/>
    <w:uiPriority w:val="99"/>
    <w:unhideWhenUsed/>
    <w:rsid w:val="000938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093837"/>
  </w:style>
  <w:style w:type="character" w:styleId="Hyperlink">
    <w:name w:val="Hyperlink"/>
    <w:basedOn w:val="DefaultParagraphFont"/>
    <w:uiPriority w:val="99"/>
    <w:unhideWhenUsed/>
    <w:rsid w:val="00093837"/>
    <w:rPr>
      <w:color w:val="0000FF" w:themeColor="hyperlink"/>
      <w:u w:val="single"/>
    </w:rPr>
  </w:style>
  <w:style w:type="paragraph" w:styleId="BalloonText">
    <w:name w:val="Balloon Text"/>
    <w:basedOn w:val="Normal"/>
    <w:link w:val="BalloonTextChar"/>
    <w:uiPriority w:val="99"/>
    <w:semiHidden/>
    <w:unhideWhenUsed/>
    <w:rsid w:val="00093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837"/>
    <w:rPr>
      <w:rFonts w:ascii="Tahoma" w:hAnsi="Tahoma" w:cs="Tahoma"/>
      <w:sz w:val="16"/>
      <w:szCs w:val="16"/>
    </w:rPr>
  </w:style>
  <w:style w:type="character" w:styleId="PlaceholderText">
    <w:name w:val="Placeholder Text"/>
    <w:basedOn w:val="DefaultParagraphFont"/>
    <w:uiPriority w:val="99"/>
    <w:semiHidden/>
    <w:rsid w:val="00093837"/>
    <w:rPr>
      <w:color w:val="808080"/>
    </w:rPr>
  </w:style>
  <w:style w:type="paragraph" w:styleId="FootnoteText">
    <w:name w:val="footnote text"/>
    <w:basedOn w:val="Normal"/>
    <w:link w:val="FootnoteTextChar"/>
    <w:uiPriority w:val="99"/>
    <w:semiHidden/>
    <w:unhideWhenUsed/>
    <w:rsid w:val="000938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837"/>
    <w:rPr>
      <w:sz w:val="20"/>
      <w:szCs w:val="20"/>
    </w:rPr>
  </w:style>
  <w:style w:type="character" w:styleId="FootnoteReference">
    <w:name w:val="footnote reference"/>
    <w:basedOn w:val="DefaultParagraphFont"/>
    <w:uiPriority w:val="99"/>
    <w:semiHidden/>
    <w:unhideWhenUsed/>
    <w:rsid w:val="00093837"/>
    <w:rPr>
      <w:vertAlign w:val="superscript"/>
    </w:rPr>
  </w:style>
  <w:style w:type="character" w:customStyle="1" w:styleId="apple-converted-space">
    <w:name w:val="apple-converted-space"/>
    <w:basedOn w:val="DefaultParagraphFont"/>
    <w:rsid w:val="00093837"/>
  </w:style>
  <w:style w:type="character" w:styleId="CommentReference">
    <w:name w:val="annotation reference"/>
    <w:basedOn w:val="DefaultParagraphFont"/>
    <w:uiPriority w:val="99"/>
    <w:semiHidden/>
    <w:unhideWhenUsed/>
    <w:rsid w:val="00093837"/>
    <w:rPr>
      <w:sz w:val="16"/>
      <w:szCs w:val="16"/>
    </w:rPr>
  </w:style>
  <w:style w:type="paragraph" w:styleId="CommentText">
    <w:name w:val="annotation text"/>
    <w:basedOn w:val="Normal"/>
    <w:link w:val="CommentTextChar"/>
    <w:uiPriority w:val="99"/>
    <w:semiHidden/>
    <w:unhideWhenUsed/>
    <w:rsid w:val="00093837"/>
    <w:pPr>
      <w:spacing w:line="240" w:lineRule="auto"/>
    </w:pPr>
    <w:rPr>
      <w:sz w:val="20"/>
      <w:szCs w:val="20"/>
    </w:rPr>
  </w:style>
  <w:style w:type="character" w:customStyle="1" w:styleId="CommentTextChar">
    <w:name w:val="Comment Text Char"/>
    <w:basedOn w:val="DefaultParagraphFont"/>
    <w:link w:val="CommentText"/>
    <w:uiPriority w:val="99"/>
    <w:semiHidden/>
    <w:rsid w:val="00093837"/>
    <w:rPr>
      <w:sz w:val="20"/>
      <w:szCs w:val="20"/>
    </w:rPr>
  </w:style>
  <w:style w:type="paragraph" w:styleId="CommentSubject">
    <w:name w:val="annotation subject"/>
    <w:basedOn w:val="CommentText"/>
    <w:next w:val="CommentText"/>
    <w:link w:val="CommentSubjectChar"/>
    <w:uiPriority w:val="99"/>
    <w:semiHidden/>
    <w:unhideWhenUsed/>
    <w:rsid w:val="00093837"/>
    <w:rPr>
      <w:b/>
      <w:bCs/>
    </w:rPr>
  </w:style>
  <w:style w:type="character" w:customStyle="1" w:styleId="CommentSubjectChar">
    <w:name w:val="Comment Subject Char"/>
    <w:basedOn w:val="CommentTextChar"/>
    <w:link w:val="CommentSubject"/>
    <w:uiPriority w:val="99"/>
    <w:semiHidden/>
    <w:rsid w:val="00093837"/>
    <w:rPr>
      <w:b/>
      <w:bCs/>
      <w:sz w:val="20"/>
      <w:szCs w:val="20"/>
    </w:rPr>
  </w:style>
  <w:style w:type="paragraph" w:styleId="Header">
    <w:name w:val="header"/>
    <w:basedOn w:val="Normal"/>
    <w:link w:val="HeaderChar"/>
    <w:uiPriority w:val="99"/>
    <w:unhideWhenUsed/>
    <w:rsid w:val="00093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837"/>
  </w:style>
  <w:style w:type="paragraph" w:styleId="Footer">
    <w:name w:val="footer"/>
    <w:basedOn w:val="Normal"/>
    <w:link w:val="FooterChar"/>
    <w:uiPriority w:val="99"/>
    <w:unhideWhenUsed/>
    <w:rsid w:val="00093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837"/>
  </w:style>
  <w:style w:type="paragraph" w:styleId="Revision">
    <w:name w:val="Revision"/>
    <w:hidden/>
    <w:uiPriority w:val="99"/>
    <w:semiHidden/>
    <w:rsid w:val="00093837"/>
    <w:pPr>
      <w:spacing w:after="0" w:line="240" w:lineRule="auto"/>
    </w:pPr>
  </w:style>
  <w:style w:type="paragraph" w:customStyle="1" w:styleId="EndNoteBibliographyTitle">
    <w:name w:val="EndNote Bibliography Title"/>
    <w:basedOn w:val="Normal"/>
    <w:link w:val="EndNoteBibliographyTitleChar"/>
    <w:rsid w:val="0009383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093837"/>
    <w:rPr>
      <w:rFonts w:ascii="Calibri" w:hAnsi="Calibri"/>
      <w:noProof/>
      <w:lang w:val="en-US"/>
    </w:rPr>
  </w:style>
  <w:style w:type="paragraph" w:customStyle="1" w:styleId="EndNoteBibliography">
    <w:name w:val="EndNote Bibliography"/>
    <w:basedOn w:val="Normal"/>
    <w:link w:val="EndNoteBibliographyChar"/>
    <w:rsid w:val="0009383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093837"/>
    <w:rPr>
      <w:rFonts w:ascii="Calibri" w:hAnsi="Calibri"/>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8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3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3837"/>
    <w:rPr>
      <w:i/>
      <w:iCs/>
    </w:rPr>
  </w:style>
  <w:style w:type="paragraph" w:styleId="NormalWeb">
    <w:name w:val="Normal (Web)"/>
    <w:basedOn w:val="Normal"/>
    <w:uiPriority w:val="99"/>
    <w:unhideWhenUsed/>
    <w:rsid w:val="000938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093837"/>
  </w:style>
  <w:style w:type="character" w:styleId="Hyperlink">
    <w:name w:val="Hyperlink"/>
    <w:basedOn w:val="DefaultParagraphFont"/>
    <w:uiPriority w:val="99"/>
    <w:unhideWhenUsed/>
    <w:rsid w:val="00093837"/>
    <w:rPr>
      <w:color w:val="0000FF" w:themeColor="hyperlink"/>
      <w:u w:val="single"/>
    </w:rPr>
  </w:style>
  <w:style w:type="paragraph" w:styleId="BalloonText">
    <w:name w:val="Balloon Text"/>
    <w:basedOn w:val="Normal"/>
    <w:link w:val="BalloonTextChar"/>
    <w:uiPriority w:val="99"/>
    <w:semiHidden/>
    <w:unhideWhenUsed/>
    <w:rsid w:val="00093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837"/>
    <w:rPr>
      <w:rFonts w:ascii="Tahoma" w:hAnsi="Tahoma" w:cs="Tahoma"/>
      <w:sz w:val="16"/>
      <w:szCs w:val="16"/>
    </w:rPr>
  </w:style>
  <w:style w:type="character" w:styleId="PlaceholderText">
    <w:name w:val="Placeholder Text"/>
    <w:basedOn w:val="DefaultParagraphFont"/>
    <w:uiPriority w:val="99"/>
    <w:semiHidden/>
    <w:rsid w:val="00093837"/>
    <w:rPr>
      <w:color w:val="808080"/>
    </w:rPr>
  </w:style>
  <w:style w:type="paragraph" w:styleId="FootnoteText">
    <w:name w:val="footnote text"/>
    <w:basedOn w:val="Normal"/>
    <w:link w:val="FootnoteTextChar"/>
    <w:uiPriority w:val="99"/>
    <w:semiHidden/>
    <w:unhideWhenUsed/>
    <w:rsid w:val="000938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837"/>
    <w:rPr>
      <w:sz w:val="20"/>
      <w:szCs w:val="20"/>
    </w:rPr>
  </w:style>
  <w:style w:type="character" w:styleId="FootnoteReference">
    <w:name w:val="footnote reference"/>
    <w:basedOn w:val="DefaultParagraphFont"/>
    <w:uiPriority w:val="99"/>
    <w:semiHidden/>
    <w:unhideWhenUsed/>
    <w:rsid w:val="00093837"/>
    <w:rPr>
      <w:vertAlign w:val="superscript"/>
    </w:rPr>
  </w:style>
  <w:style w:type="character" w:customStyle="1" w:styleId="apple-converted-space">
    <w:name w:val="apple-converted-space"/>
    <w:basedOn w:val="DefaultParagraphFont"/>
    <w:rsid w:val="00093837"/>
  </w:style>
  <w:style w:type="character" w:styleId="CommentReference">
    <w:name w:val="annotation reference"/>
    <w:basedOn w:val="DefaultParagraphFont"/>
    <w:uiPriority w:val="99"/>
    <w:semiHidden/>
    <w:unhideWhenUsed/>
    <w:rsid w:val="00093837"/>
    <w:rPr>
      <w:sz w:val="16"/>
      <w:szCs w:val="16"/>
    </w:rPr>
  </w:style>
  <w:style w:type="paragraph" w:styleId="CommentText">
    <w:name w:val="annotation text"/>
    <w:basedOn w:val="Normal"/>
    <w:link w:val="CommentTextChar"/>
    <w:uiPriority w:val="99"/>
    <w:semiHidden/>
    <w:unhideWhenUsed/>
    <w:rsid w:val="00093837"/>
    <w:pPr>
      <w:spacing w:line="240" w:lineRule="auto"/>
    </w:pPr>
    <w:rPr>
      <w:sz w:val="20"/>
      <w:szCs w:val="20"/>
    </w:rPr>
  </w:style>
  <w:style w:type="character" w:customStyle="1" w:styleId="CommentTextChar">
    <w:name w:val="Comment Text Char"/>
    <w:basedOn w:val="DefaultParagraphFont"/>
    <w:link w:val="CommentText"/>
    <w:uiPriority w:val="99"/>
    <w:semiHidden/>
    <w:rsid w:val="00093837"/>
    <w:rPr>
      <w:sz w:val="20"/>
      <w:szCs w:val="20"/>
    </w:rPr>
  </w:style>
  <w:style w:type="paragraph" w:styleId="CommentSubject">
    <w:name w:val="annotation subject"/>
    <w:basedOn w:val="CommentText"/>
    <w:next w:val="CommentText"/>
    <w:link w:val="CommentSubjectChar"/>
    <w:uiPriority w:val="99"/>
    <w:semiHidden/>
    <w:unhideWhenUsed/>
    <w:rsid w:val="00093837"/>
    <w:rPr>
      <w:b/>
      <w:bCs/>
    </w:rPr>
  </w:style>
  <w:style w:type="character" w:customStyle="1" w:styleId="CommentSubjectChar">
    <w:name w:val="Comment Subject Char"/>
    <w:basedOn w:val="CommentTextChar"/>
    <w:link w:val="CommentSubject"/>
    <w:uiPriority w:val="99"/>
    <w:semiHidden/>
    <w:rsid w:val="00093837"/>
    <w:rPr>
      <w:b/>
      <w:bCs/>
      <w:sz w:val="20"/>
      <w:szCs w:val="20"/>
    </w:rPr>
  </w:style>
  <w:style w:type="paragraph" w:styleId="Header">
    <w:name w:val="header"/>
    <w:basedOn w:val="Normal"/>
    <w:link w:val="HeaderChar"/>
    <w:uiPriority w:val="99"/>
    <w:unhideWhenUsed/>
    <w:rsid w:val="00093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837"/>
  </w:style>
  <w:style w:type="paragraph" w:styleId="Footer">
    <w:name w:val="footer"/>
    <w:basedOn w:val="Normal"/>
    <w:link w:val="FooterChar"/>
    <w:uiPriority w:val="99"/>
    <w:unhideWhenUsed/>
    <w:rsid w:val="00093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837"/>
  </w:style>
  <w:style w:type="paragraph" w:styleId="Revision">
    <w:name w:val="Revision"/>
    <w:hidden/>
    <w:uiPriority w:val="99"/>
    <w:semiHidden/>
    <w:rsid w:val="00093837"/>
    <w:pPr>
      <w:spacing w:after="0" w:line="240" w:lineRule="auto"/>
    </w:pPr>
  </w:style>
  <w:style w:type="paragraph" w:customStyle="1" w:styleId="EndNoteBibliographyTitle">
    <w:name w:val="EndNote Bibliography Title"/>
    <w:basedOn w:val="Normal"/>
    <w:link w:val="EndNoteBibliographyTitleChar"/>
    <w:rsid w:val="0009383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093837"/>
    <w:rPr>
      <w:rFonts w:ascii="Calibri" w:hAnsi="Calibri"/>
      <w:noProof/>
      <w:lang w:val="en-US"/>
    </w:rPr>
  </w:style>
  <w:style w:type="paragraph" w:customStyle="1" w:styleId="EndNoteBibliography">
    <w:name w:val="EndNote Bibliography"/>
    <w:basedOn w:val="Normal"/>
    <w:link w:val="EndNoteBibliographyChar"/>
    <w:rsid w:val="0009383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093837"/>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10.2.81.14\user$\g\mdehstf3\piperacillin%20data%20fro%20Keith\timothy.felton@manchester.ac.uk" TargetMode="External"/><Relationship Id="rId12" Type="http://schemas.openxmlformats.org/officeDocument/2006/relationships/image" Target="media/image3.emf"/><Relationship Id="rId17" Type="http://schemas.openxmlformats.org/officeDocument/2006/relationships/oleObject" Target="embeddings/oleObject5.bin"/><Relationship Id="rId2" Type="http://schemas.microsoft.com/office/2007/relationships/stylesWithEffects" Target="stylesWithEffect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5231</Words>
  <Characters>29821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Felton</dc:creator>
  <cp:lastModifiedBy>Timothy Felton</cp:lastModifiedBy>
  <cp:revision>3</cp:revision>
  <dcterms:created xsi:type="dcterms:W3CDTF">2017-12-21T18:17:00Z</dcterms:created>
  <dcterms:modified xsi:type="dcterms:W3CDTF">2018-02-07T09:11:00Z</dcterms:modified>
</cp:coreProperties>
</file>