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581" w:rsidRPr="0028086C" w:rsidRDefault="00D31581" w:rsidP="00D31581">
      <w:pPr>
        <w:rPr>
          <w:rFonts w:asciiTheme="minorBidi" w:hAnsiTheme="minorBidi" w:hint="cs"/>
          <w:sz w:val="24"/>
          <w:szCs w:val="24"/>
        </w:rPr>
      </w:pPr>
    </w:p>
    <w:p w:rsidR="00D31581" w:rsidRPr="0028086C" w:rsidRDefault="00D31581" w:rsidP="00D31581">
      <w:pPr>
        <w:bidi w:val="0"/>
        <w:jc w:val="center"/>
        <w:rPr>
          <w:rFonts w:asciiTheme="minorBidi" w:hAnsiTheme="minorBidi"/>
          <w:b/>
          <w:bCs/>
          <w:sz w:val="24"/>
          <w:szCs w:val="24"/>
        </w:rPr>
      </w:pPr>
      <w:r w:rsidRPr="0028086C">
        <w:rPr>
          <w:rFonts w:asciiTheme="minorBidi" w:hAnsiTheme="minorBidi"/>
          <w:b/>
          <w:bCs/>
          <w:sz w:val="24"/>
          <w:szCs w:val="24"/>
        </w:rPr>
        <w:t xml:space="preserve">DECLARE-TIMI 58: Participants’ </w:t>
      </w:r>
      <w:r>
        <w:rPr>
          <w:rFonts w:asciiTheme="minorBidi" w:hAnsiTheme="minorBidi"/>
          <w:b/>
          <w:bCs/>
          <w:sz w:val="24"/>
          <w:szCs w:val="24"/>
        </w:rPr>
        <w:t>B</w:t>
      </w:r>
      <w:r w:rsidRPr="0028086C">
        <w:rPr>
          <w:rFonts w:asciiTheme="minorBidi" w:hAnsiTheme="minorBidi"/>
          <w:b/>
          <w:bCs/>
          <w:sz w:val="24"/>
          <w:szCs w:val="24"/>
        </w:rPr>
        <w:t xml:space="preserve">aseline </w:t>
      </w:r>
      <w:r>
        <w:rPr>
          <w:rFonts w:asciiTheme="minorBidi" w:hAnsiTheme="minorBidi"/>
          <w:b/>
          <w:bCs/>
          <w:sz w:val="24"/>
          <w:szCs w:val="24"/>
        </w:rPr>
        <w:t>C</w:t>
      </w:r>
      <w:r w:rsidRPr="0028086C">
        <w:rPr>
          <w:rFonts w:asciiTheme="minorBidi" w:hAnsiTheme="minorBidi"/>
          <w:b/>
          <w:bCs/>
          <w:sz w:val="24"/>
          <w:szCs w:val="24"/>
        </w:rPr>
        <w:t xml:space="preserve">haracteristics </w:t>
      </w:r>
    </w:p>
    <w:p w:rsidR="00D31581" w:rsidRPr="0028086C" w:rsidRDefault="00D31581" w:rsidP="00D31581">
      <w:pPr>
        <w:bidi w:val="0"/>
        <w:jc w:val="center"/>
        <w:rPr>
          <w:rFonts w:asciiTheme="minorBidi" w:hAnsiTheme="minorBidi"/>
          <w:b/>
          <w:bCs/>
          <w:sz w:val="24"/>
          <w:szCs w:val="24"/>
        </w:rPr>
      </w:pPr>
    </w:p>
    <w:p w:rsidR="00D31581" w:rsidRPr="0028086C" w:rsidRDefault="00D31581" w:rsidP="00D31581">
      <w:pPr>
        <w:bidi w:val="0"/>
        <w:spacing w:before="100" w:beforeAutospacing="1" w:after="100" w:afterAutospacing="1"/>
        <w:jc w:val="center"/>
        <w:rPr>
          <w:rFonts w:asciiTheme="minorBidi" w:hAnsiTheme="minorBidi"/>
          <w:sz w:val="24"/>
          <w:szCs w:val="24"/>
        </w:rPr>
      </w:pPr>
      <w:r w:rsidRPr="0028086C">
        <w:rPr>
          <w:rFonts w:asciiTheme="minorBidi" w:hAnsiTheme="minorBidi"/>
          <w:sz w:val="24"/>
          <w:szCs w:val="24"/>
        </w:rPr>
        <w:t>Itamar Raz</w:t>
      </w:r>
      <w:r w:rsidRPr="007F2F96">
        <w:rPr>
          <w:rFonts w:asciiTheme="minorBidi" w:hAnsiTheme="minorBidi"/>
          <w:sz w:val="24"/>
          <w:szCs w:val="24"/>
          <w:vertAlign w:val="superscript"/>
        </w:rPr>
        <w:t>1</w:t>
      </w:r>
      <w:r w:rsidRPr="0028086C">
        <w:rPr>
          <w:rFonts w:asciiTheme="minorBidi" w:hAnsiTheme="minorBidi"/>
          <w:sz w:val="24"/>
          <w:szCs w:val="24"/>
        </w:rPr>
        <w:t xml:space="preserve">*, </w:t>
      </w:r>
      <w:proofErr w:type="spellStart"/>
      <w:r w:rsidRPr="0028086C">
        <w:rPr>
          <w:rFonts w:asciiTheme="minorBidi" w:hAnsiTheme="minorBidi"/>
          <w:sz w:val="24"/>
          <w:szCs w:val="24"/>
        </w:rPr>
        <w:t>Ofri</w:t>
      </w:r>
      <w:proofErr w:type="spellEnd"/>
      <w:r w:rsidRPr="0028086C">
        <w:rPr>
          <w:rFonts w:asciiTheme="minorBidi" w:hAnsiTheme="minorBidi"/>
          <w:sz w:val="24"/>
          <w:szCs w:val="24"/>
        </w:rPr>
        <w:t xml:space="preserve"> Mosenzon</w:t>
      </w:r>
      <w:r w:rsidRPr="00AC603E">
        <w:rPr>
          <w:rFonts w:asciiTheme="minorBidi" w:hAnsiTheme="minorBidi"/>
          <w:sz w:val="24"/>
          <w:szCs w:val="24"/>
          <w:vertAlign w:val="superscript"/>
        </w:rPr>
        <w:t>1</w:t>
      </w:r>
      <w:r w:rsidRPr="0028086C">
        <w:rPr>
          <w:rFonts w:asciiTheme="minorBidi" w:hAnsiTheme="minorBidi"/>
          <w:sz w:val="24"/>
          <w:szCs w:val="24"/>
        </w:rPr>
        <w:t>*, Marc P Bonaca</w:t>
      </w:r>
      <w:r w:rsidRPr="007F2F96">
        <w:rPr>
          <w:rFonts w:asciiTheme="minorBidi" w:hAnsiTheme="minorBidi"/>
          <w:sz w:val="24"/>
          <w:szCs w:val="24"/>
          <w:vertAlign w:val="superscript"/>
        </w:rPr>
        <w:t>2</w:t>
      </w:r>
      <w:r w:rsidRPr="0028086C">
        <w:rPr>
          <w:rFonts w:asciiTheme="minorBidi" w:hAnsiTheme="minorBidi"/>
          <w:sz w:val="24"/>
          <w:szCs w:val="24"/>
        </w:rPr>
        <w:t>, Avivit Cahn</w:t>
      </w:r>
      <w:r w:rsidRPr="00AC603E">
        <w:rPr>
          <w:rFonts w:asciiTheme="minorBidi" w:hAnsiTheme="minorBidi"/>
          <w:sz w:val="24"/>
          <w:szCs w:val="24"/>
          <w:vertAlign w:val="superscript"/>
        </w:rPr>
        <w:t>1</w:t>
      </w:r>
      <w:r w:rsidRPr="0028086C">
        <w:rPr>
          <w:rFonts w:asciiTheme="minorBidi" w:hAnsiTheme="minorBidi"/>
          <w:sz w:val="24"/>
          <w:szCs w:val="24"/>
        </w:rPr>
        <w:t xml:space="preserve">, </w:t>
      </w:r>
      <w:proofErr w:type="spellStart"/>
      <w:r w:rsidRPr="0028086C">
        <w:rPr>
          <w:rFonts w:asciiTheme="minorBidi" w:hAnsiTheme="minorBidi"/>
          <w:sz w:val="24"/>
          <w:szCs w:val="24"/>
        </w:rPr>
        <w:t>Eri</w:t>
      </w:r>
      <w:proofErr w:type="spellEnd"/>
      <w:r w:rsidRPr="0028086C">
        <w:rPr>
          <w:rFonts w:asciiTheme="minorBidi" w:hAnsiTheme="minorBidi"/>
          <w:sz w:val="24"/>
          <w:szCs w:val="24"/>
        </w:rPr>
        <w:t xml:space="preserve"> T Kato</w:t>
      </w:r>
      <w:r w:rsidRPr="007F2F96">
        <w:rPr>
          <w:rFonts w:asciiTheme="minorBidi" w:hAnsiTheme="minorBidi"/>
          <w:sz w:val="24"/>
          <w:szCs w:val="24"/>
          <w:vertAlign w:val="superscript"/>
        </w:rPr>
        <w:t>3</w:t>
      </w:r>
      <w:r w:rsidRPr="0028086C">
        <w:rPr>
          <w:rFonts w:asciiTheme="minorBidi" w:hAnsiTheme="minorBidi"/>
          <w:sz w:val="24"/>
          <w:szCs w:val="24"/>
        </w:rPr>
        <w:t>, Michael G Silverman</w:t>
      </w:r>
      <w:r w:rsidRPr="00AC603E">
        <w:rPr>
          <w:rFonts w:asciiTheme="minorBidi" w:hAnsiTheme="minorBidi"/>
          <w:sz w:val="24"/>
          <w:szCs w:val="24"/>
          <w:vertAlign w:val="superscript"/>
        </w:rPr>
        <w:t>2</w:t>
      </w:r>
      <w:r w:rsidRPr="0028086C">
        <w:rPr>
          <w:rFonts w:asciiTheme="minorBidi" w:hAnsiTheme="minorBidi"/>
          <w:sz w:val="24"/>
          <w:szCs w:val="24"/>
        </w:rPr>
        <w:t>, Deepak L Bhatt</w:t>
      </w:r>
      <w:r w:rsidRPr="00AC603E">
        <w:rPr>
          <w:rFonts w:asciiTheme="minorBidi" w:hAnsiTheme="minorBidi"/>
          <w:sz w:val="24"/>
          <w:szCs w:val="24"/>
          <w:vertAlign w:val="superscript"/>
        </w:rPr>
        <w:t>2</w:t>
      </w:r>
      <w:r>
        <w:rPr>
          <w:rFonts w:asciiTheme="minorBidi" w:hAnsiTheme="minorBidi"/>
          <w:sz w:val="24"/>
          <w:szCs w:val="24"/>
        </w:rPr>
        <w:t xml:space="preserve">, </w:t>
      </w:r>
      <w:r w:rsidRPr="0028086C">
        <w:rPr>
          <w:rFonts w:asciiTheme="minorBidi" w:hAnsiTheme="minorBidi"/>
          <w:sz w:val="24"/>
          <w:szCs w:val="24"/>
        </w:rPr>
        <w:t>Lawrence A. Leiter</w:t>
      </w:r>
      <w:r w:rsidRPr="007F2F96">
        <w:rPr>
          <w:rFonts w:asciiTheme="minorBidi" w:hAnsiTheme="minorBidi"/>
          <w:sz w:val="24"/>
          <w:szCs w:val="24"/>
          <w:vertAlign w:val="superscript"/>
        </w:rPr>
        <w:t>4</w:t>
      </w:r>
      <w:r w:rsidRPr="0028086C">
        <w:rPr>
          <w:rFonts w:asciiTheme="minorBidi" w:hAnsiTheme="minorBidi"/>
          <w:sz w:val="24"/>
          <w:szCs w:val="24"/>
        </w:rPr>
        <w:t>, Darren K. McGuire</w:t>
      </w:r>
      <w:r w:rsidRPr="007F2F96">
        <w:rPr>
          <w:rFonts w:asciiTheme="minorBidi" w:hAnsiTheme="minorBidi"/>
          <w:sz w:val="24"/>
          <w:szCs w:val="24"/>
          <w:vertAlign w:val="superscript"/>
        </w:rPr>
        <w:t>5</w:t>
      </w:r>
      <w:r w:rsidRPr="0028086C">
        <w:rPr>
          <w:rFonts w:asciiTheme="minorBidi" w:hAnsiTheme="minorBidi"/>
          <w:sz w:val="24"/>
          <w:szCs w:val="24"/>
        </w:rPr>
        <w:t>, John Wilding</w:t>
      </w:r>
      <w:r>
        <w:rPr>
          <w:rFonts w:asciiTheme="minorBidi" w:hAnsiTheme="minorBidi"/>
          <w:sz w:val="24"/>
          <w:szCs w:val="24"/>
          <w:vertAlign w:val="superscript"/>
        </w:rPr>
        <w:t>6</w:t>
      </w:r>
      <w:r w:rsidRPr="0028086C">
        <w:rPr>
          <w:rFonts w:asciiTheme="minorBidi" w:hAnsiTheme="minorBidi"/>
          <w:sz w:val="24"/>
          <w:szCs w:val="24"/>
        </w:rPr>
        <w:t>, Ingrid AM Gause-Nilsson</w:t>
      </w:r>
      <w:r w:rsidRPr="007F2F96">
        <w:rPr>
          <w:rFonts w:asciiTheme="minorBidi" w:hAnsiTheme="minorBidi"/>
          <w:sz w:val="24"/>
          <w:szCs w:val="24"/>
          <w:vertAlign w:val="superscript"/>
        </w:rPr>
        <w:t>7</w:t>
      </w:r>
      <w:r w:rsidRPr="0028086C">
        <w:rPr>
          <w:rFonts w:asciiTheme="minorBidi" w:hAnsiTheme="minorBidi"/>
          <w:sz w:val="24"/>
          <w:szCs w:val="24"/>
        </w:rPr>
        <w:t>, Anna Maria Langkilde</w:t>
      </w:r>
      <w:r w:rsidRPr="00AC603E">
        <w:rPr>
          <w:rFonts w:asciiTheme="minorBidi" w:hAnsiTheme="minorBidi"/>
          <w:sz w:val="24"/>
          <w:szCs w:val="24"/>
          <w:vertAlign w:val="superscript"/>
        </w:rPr>
        <w:t>7</w:t>
      </w:r>
      <w:r w:rsidRPr="0028086C">
        <w:rPr>
          <w:rFonts w:asciiTheme="minorBidi" w:hAnsiTheme="minorBidi"/>
          <w:sz w:val="24"/>
          <w:szCs w:val="24"/>
        </w:rPr>
        <w:t>, Peter A. Johansson</w:t>
      </w:r>
      <w:r w:rsidRPr="00AC603E">
        <w:rPr>
          <w:rFonts w:asciiTheme="minorBidi" w:hAnsiTheme="minorBidi"/>
          <w:sz w:val="24"/>
          <w:szCs w:val="24"/>
          <w:vertAlign w:val="superscript"/>
        </w:rPr>
        <w:t>7</w:t>
      </w:r>
      <w:r w:rsidRPr="0028086C">
        <w:rPr>
          <w:rFonts w:asciiTheme="minorBidi" w:hAnsiTheme="minorBidi"/>
          <w:sz w:val="24"/>
          <w:szCs w:val="24"/>
        </w:rPr>
        <w:t>, Marc S. Sabatine</w:t>
      </w:r>
      <w:r w:rsidRPr="00AC603E">
        <w:rPr>
          <w:rFonts w:asciiTheme="minorBidi" w:hAnsiTheme="minorBidi"/>
          <w:sz w:val="24"/>
          <w:szCs w:val="24"/>
          <w:vertAlign w:val="superscript"/>
        </w:rPr>
        <w:t>2</w:t>
      </w:r>
      <w:r w:rsidRPr="0028086C">
        <w:rPr>
          <w:rFonts w:asciiTheme="minorBidi" w:hAnsiTheme="minorBidi"/>
          <w:sz w:val="24"/>
          <w:szCs w:val="24"/>
        </w:rPr>
        <w:t>, Stephen D. Wiviott</w:t>
      </w:r>
      <w:r w:rsidRPr="00AC603E">
        <w:rPr>
          <w:rFonts w:asciiTheme="minorBidi" w:hAnsiTheme="minorBidi"/>
          <w:sz w:val="24"/>
          <w:szCs w:val="24"/>
          <w:vertAlign w:val="superscript"/>
        </w:rPr>
        <w:t>2</w:t>
      </w:r>
      <w:r w:rsidRPr="0028086C">
        <w:rPr>
          <w:rFonts w:asciiTheme="minorBidi" w:hAnsiTheme="minorBidi"/>
          <w:sz w:val="24"/>
          <w:szCs w:val="24"/>
        </w:rPr>
        <w:t xml:space="preserve"> </w:t>
      </w:r>
      <w:r w:rsidRPr="0028086C">
        <w:rPr>
          <w:rFonts w:asciiTheme="minorBidi" w:hAnsiTheme="minorBidi"/>
          <w:sz w:val="24"/>
          <w:szCs w:val="24"/>
          <w:rtl/>
        </w:rPr>
        <w:t xml:space="preserve"> </w:t>
      </w:r>
    </w:p>
    <w:p w:rsidR="00D31581" w:rsidRPr="0028086C" w:rsidRDefault="00D31581" w:rsidP="00D31581">
      <w:pPr>
        <w:bidi w:val="0"/>
        <w:spacing w:before="100" w:beforeAutospacing="1" w:after="100" w:afterAutospacing="1"/>
        <w:rPr>
          <w:rFonts w:asciiTheme="minorBidi" w:hAnsiTheme="minorBidi"/>
          <w:sz w:val="24"/>
          <w:szCs w:val="24"/>
          <w:rtl/>
        </w:rPr>
      </w:pPr>
      <w:r w:rsidRPr="0028086C">
        <w:rPr>
          <w:rFonts w:asciiTheme="minorBidi" w:hAnsiTheme="minorBidi"/>
          <w:sz w:val="24"/>
          <w:szCs w:val="24"/>
          <w:rtl/>
        </w:rPr>
        <w:t> *</w:t>
      </w:r>
      <w:r w:rsidRPr="0028086C">
        <w:rPr>
          <w:rFonts w:asciiTheme="minorBidi" w:hAnsiTheme="minorBidi"/>
          <w:sz w:val="24"/>
          <w:szCs w:val="24"/>
        </w:rPr>
        <w:t>Equal contribution</w:t>
      </w:r>
      <w:r w:rsidRPr="0028086C">
        <w:rPr>
          <w:rFonts w:asciiTheme="minorBidi" w:hAnsiTheme="minorBidi"/>
          <w:sz w:val="24"/>
          <w:szCs w:val="24"/>
          <w:rtl/>
        </w:rPr>
        <w:t xml:space="preserve"> </w:t>
      </w:r>
    </w:p>
    <w:p w:rsidR="00D31581" w:rsidRPr="0028086C" w:rsidRDefault="00D31581" w:rsidP="00D31581">
      <w:pPr>
        <w:spacing w:before="100" w:beforeAutospacing="1" w:after="100" w:afterAutospacing="1"/>
        <w:rPr>
          <w:rFonts w:asciiTheme="minorBidi" w:hAnsiTheme="minorBidi"/>
          <w:sz w:val="24"/>
          <w:szCs w:val="24"/>
        </w:rPr>
      </w:pPr>
      <w:r w:rsidRPr="0028086C" w:rsidDel="00D73879">
        <w:rPr>
          <w:rFonts w:asciiTheme="minorBidi" w:hAnsiTheme="minorBidi"/>
          <w:sz w:val="24"/>
          <w:szCs w:val="24"/>
        </w:rPr>
        <w:t xml:space="preserve"> </w:t>
      </w:r>
    </w:p>
    <w:p w:rsidR="00D31581" w:rsidRPr="0028086C" w:rsidRDefault="00D31581" w:rsidP="00D31581">
      <w:pPr>
        <w:pStyle w:val="ListParagraph"/>
        <w:bidi w:val="0"/>
        <w:ind w:left="1080"/>
        <w:rPr>
          <w:rFonts w:asciiTheme="minorBidi" w:hAnsiTheme="minorBidi"/>
          <w:sz w:val="24"/>
          <w:szCs w:val="24"/>
        </w:rPr>
      </w:pPr>
    </w:p>
    <w:p w:rsidR="00D31581" w:rsidRPr="0028086C" w:rsidRDefault="00D31581" w:rsidP="00D31581">
      <w:pPr>
        <w:pStyle w:val="ListParagraph"/>
        <w:bidi w:val="0"/>
        <w:ind w:left="1080"/>
        <w:rPr>
          <w:rFonts w:asciiTheme="minorBidi" w:hAnsiTheme="minorBidi"/>
          <w:sz w:val="24"/>
          <w:szCs w:val="24"/>
        </w:rPr>
      </w:pPr>
    </w:p>
    <w:p w:rsidR="00D31581" w:rsidRPr="0028086C" w:rsidRDefault="00D31581" w:rsidP="00D31581">
      <w:pPr>
        <w:pStyle w:val="ListParagraph"/>
        <w:bidi w:val="0"/>
        <w:ind w:left="1080"/>
        <w:rPr>
          <w:rFonts w:asciiTheme="minorBidi" w:hAnsiTheme="minorBidi"/>
          <w:sz w:val="24"/>
          <w:szCs w:val="24"/>
          <w:rtl/>
        </w:rPr>
      </w:pPr>
    </w:p>
    <w:p w:rsidR="00D31581" w:rsidRPr="0028086C" w:rsidRDefault="00D31581" w:rsidP="00D31581">
      <w:pPr>
        <w:bidi w:val="0"/>
        <w:jc w:val="both"/>
        <w:outlineLvl w:val="0"/>
        <w:rPr>
          <w:rFonts w:asciiTheme="minorBidi" w:eastAsia="Arial" w:hAnsiTheme="minorBidi"/>
          <w:sz w:val="24"/>
          <w:szCs w:val="24"/>
        </w:rPr>
      </w:pPr>
      <w:r w:rsidRPr="00AC603E">
        <w:rPr>
          <w:rFonts w:asciiTheme="minorBidi" w:hAnsiTheme="minorBidi"/>
          <w:sz w:val="24"/>
          <w:szCs w:val="24"/>
          <w:vertAlign w:val="superscript"/>
        </w:rPr>
        <w:t>1</w:t>
      </w:r>
      <w:r w:rsidRPr="0028086C">
        <w:rPr>
          <w:rFonts w:asciiTheme="minorBidi" w:eastAsia="Arial" w:hAnsiTheme="minorBidi"/>
          <w:sz w:val="24"/>
          <w:szCs w:val="24"/>
        </w:rPr>
        <w:t xml:space="preserve">Diabetes Unit, Department of Internal Medicine, Hadassah Hebrew University Hospital, Jerusalem </w:t>
      </w:r>
    </w:p>
    <w:p w:rsidR="00D31581" w:rsidRPr="002251FC" w:rsidRDefault="00D31581" w:rsidP="00D31581">
      <w:pPr>
        <w:bidi w:val="0"/>
        <w:jc w:val="both"/>
        <w:outlineLvl w:val="0"/>
        <w:rPr>
          <w:rFonts w:asciiTheme="minorBidi" w:eastAsia="Arial" w:hAnsiTheme="minorBidi"/>
          <w:sz w:val="24"/>
          <w:szCs w:val="24"/>
        </w:rPr>
      </w:pPr>
      <w:r w:rsidRPr="00AC603E">
        <w:rPr>
          <w:rFonts w:asciiTheme="minorBidi" w:hAnsiTheme="minorBidi"/>
          <w:sz w:val="24"/>
          <w:szCs w:val="24"/>
          <w:vertAlign w:val="superscript"/>
        </w:rPr>
        <w:t>2</w:t>
      </w:r>
      <w:r w:rsidRPr="0028086C">
        <w:rPr>
          <w:rFonts w:asciiTheme="minorBidi" w:eastAsia="Arial" w:hAnsiTheme="minorBidi"/>
          <w:sz w:val="24"/>
          <w:szCs w:val="24"/>
        </w:rPr>
        <w:t xml:space="preserve">TIMI Study Group, Cardiovascular Division, Brigham and Women’s Hospital, </w:t>
      </w:r>
      <w:r w:rsidRPr="002251FC">
        <w:rPr>
          <w:rFonts w:asciiTheme="minorBidi" w:eastAsia="Arial" w:hAnsiTheme="minorBidi"/>
          <w:sz w:val="24"/>
          <w:szCs w:val="24"/>
        </w:rPr>
        <w:t xml:space="preserve">and Harvard Medical School, Boston MA </w:t>
      </w:r>
    </w:p>
    <w:p w:rsidR="00D31581" w:rsidRPr="0028086C" w:rsidRDefault="00D31581" w:rsidP="00D31581">
      <w:pPr>
        <w:bidi w:val="0"/>
        <w:jc w:val="both"/>
        <w:outlineLvl w:val="0"/>
        <w:rPr>
          <w:rFonts w:asciiTheme="minorBidi" w:eastAsia="Arial" w:hAnsiTheme="minorBidi"/>
          <w:sz w:val="24"/>
          <w:szCs w:val="24"/>
        </w:rPr>
      </w:pPr>
      <w:r w:rsidRPr="002251FC">
        <w:rPr>
          <w:rFonts w:asciiTheme="minorBidi" w:hAnsiTheme="minorBidi"/>
          <w:sz w:val="24"/>
          <w:szCs w:val="24"/>
          <w:vertAlign w:val="superscript"/>
        </w:rPr>
        <w:t>3</w:t>
      </w:r>
      <w:r w:rsidRPr="002251FC">
        <w:rPr>
          <w:rFonts w:asciiTheme="minorBidi" w:hAnsiTheme="minorBidi"/>
          <w:sz w:val="24"/>
          <w:szCs w:val="24"/>
          <w:lang w:eastAsia="ja-JP"/>
        </w:rPr>
        <w:t>Kyoto U</w:t>
      </w:r>
      <w:r>
        <w:rPr>
          <w:rFonts w:asciiTheme="minorBidi" w:hAnsiTheme="minorBidi"/>
          <w:sz w:val="24"/>
          <w:szCs w:val="24"/>
          <w:lang w:eastAsia="ja-JP"/>
        </w:rPr>
        <w:t>niversity Hospital, Kyoto</w:t>
      </w:r>
      <w:r w:rsidRPr="002251FC">
        <w:rPr>
          <w:rFonts w:asciiTheme="minorBidi" w:hAnsiTheme="minorBidi"/>
          <w:sz w:val="24"/>
          <w:szCs w:val="24"/>
          <w:lang w:eastAsia="ja-JP"/>
        </w:rPr>
        <w:t xml:space="preserve"> Japan </w:t>
      </w:r>
    </w:p>
    <w:p w:rsidR="00D31581" w:rsidRDefault="00D31581" w:rsidP="00D31581">
      <w:pPr>
        <w:bidi w:val="0"/>
        <w:jc w:val="both"/>
        <w:outlineLvl w:val="0"/>
        <w:rPr>
          <w:rFonts w:asciiTheme="minorBidi" w:hAnsiTheme="minorBidi"/>
          <w:sz w:val="24"/>
          <w:szCs w:val="24"/>
        </w:rPr>
      </w:pPr>
      <w:r w:rsidRPr="00AC603E">
        <w:rPr>
          <w:rFonts w:asciiTheme="minorBidi" w:hAnsiTheme="minorBidi"/>
          <w:sz w:val="24"/>
          <w:szCs w:val="24"/>
          <w:vertAlign w:val="superscript"/>
        </w:rPr>
        <w:t>4</w:t>
      </w:r>
      <w:r w:rsidRPr="0028086C">
        <w:rPr>
          <w:rFonts w:asciiTheme="minorBidi" w:hAnsiTheme="minorBidi"/>
          <w:sz w:val="24"/>
          <w:szCs w:val="24"/>
          <w:lang w:eastAsia="ja-JP"/>
        </w:rPr>
        <w:t xml:space="preserve"> </w:t>
      </w:r>
      <w:r w:rsidRPr="0028086C">
        <w:rPr>
          <w:rFonts w:asciiTheme="minorBidi" w:hAnsiTheme="minorBidi"/>
          <w:sz w:val="24"/>
          <w:szCs w:val="24"/>
        </w:rPr>
        <w:t xml:space="preserve">Li </w:t>
      </w:r>
      <w:proofErr w:type="spellStart"/>
      <w:r w:rsidRPr="0028086C">
        <w:rPr>
          <w:rFonts w:asciiTheme="minorBidi" w:hAnsiTheme="minorBidi"/>
          <w:sz w:val="24"/>
          <w:szCs w:val="24"/>
        </w:rPr>
        <w:t>Ka</w:t>
      </w:r>
      <w:proofErr w:type="spellEnd"/>
      <w:r w:rsidRPr="0028086C">
        <w:rPr>
          <w:rFonts w:asciiTheme="minorBidi" w:hAnsiTheme="minorBidi"/>
          <w:sz w:val="24"/>
          <w:szCs w:val="24"/>
        </w:rPr>
        <w:t xml:space="preserve"> </w:t>
      </w:r>
      <w:proofErr w:type="spellStart"/>
      <w:r w:rsidRPr="0028086C">
        <w:rPr>
          <w:rFonts w:asciiTheme="minorBidi" w:hAnsiTheme="minorBidi"/>
          <w:sz w:val="24"/>
          <w:szCs w:val="24"/>
        </w:rPr>
        <w:t>Shing</w:t>
      </w:r>
      <w:proofErr w:type="spellEnd"/>
      <w:r w:rsidRPr="0028086C">
        <w:rPr>
          <w:rFonts w:asciiTheme="minorBidi" w:hAnsiTheme="minorBidi"/>
          <w:sz w:val="24"/>
          <w:szCs w:val="24"/>
        </w:rPr>
        <w:t xml:space="preserve"> Knowledge Institute, St. Michael's Hospital, University </w:t>
      </w:r>
      <w:r>
        <w:rPr>
          <w:rFonts w:asciiTheme="minorBidi" w:hAnsiTheme="minorBidi"/>
          <w:sz w:val="24"/>
          <w:szCs w:val="24"/>
        </w:rPr>
        <w:t xml:space="preserve">of Toronto, Ontario, Canada </w:t>
      </w:r>
    </w:p>
    <w:p w:rsidR="00D31581" w:rsidRDefault="00D31581" w:rsidP="00D31581">
      <w:pPr>
        <w:bidi w:val="0"/>
        <w:jc w:val="both"/>
        <w:outlineLvl w:val="0"/>
        <w:rPr>
          <w:rFonts w:asciiTheme="minorBidi" w:hAnsiTheme="minorBidi"/>
          <w:sz w:val="24"/>
          <w:szCs w:val="24"/>
        </w:rPr>
      </w:pPr>
      <w:r w:rsidRPr="0028086C">
        <w:rPr>
          <w:rFonts w:asciiTheme="minorBidi" w:hAnsiTheme="minorBidi"/>
          <w:sz w:val="24"/>
          <w:szCs w:val="24"/>
        </w:rPr>
        <w:t xml:space="preserve"> </w:t>
      </w:r>
      <w:r w:rsidRPr="00AC603E">
        <w:rPr>
          <w:rFonts w:asciiTheme="minorBidi" w:hAnsiTheme="minorBidi"/>
          <w:sz w:val="24"/>
          <w:szCs w:val="24"/>
          <w:vertAlign w:val="superscript"/>
        </w:rPr>
        <w:t>5</w:t>
      </w:r>
      <w:r w:rsidRPr="0028086C">
        <w:rPr>
          <w:rFonts w:asciiTheme="minorBidi" w:hAnsiTheme="minorBidi"/>
          <w:sz w:val="24"/>
          <w:szCs w:val="24"/>
        </w:rPr>
        <w:t xml:space="preserve"> University of Texas Southwestern Medical </w:t>
      </w:r>
      <w:proofErr w:type="gramStart"/>
      <w:r w:rsidRPr="0028086C">
        <w:rPr>
          <w:rFonts w:asciiTheme="minorBidi" w:hAnsiTheme="minorBidi"/>
          <w:sz w:val="24"/>
          <w:szCs w:val="24"/>
        </w:rPr>
        <w:t>Center</w:t>
      </w:r>
      <w:proofErr w:type="gramEnd"/>
      <w:r w:rsidRPr="0028086C">
        <w:rPr>
          <w:rFonts w:asciiTheme="minorBidi" w:hAnsiTheme="minorBidi"/>
          <w:sz w:val="24"/>
          <w:szCs w:val="24"/>
        </w:rPr>
        <w:t xml:space="preserve">, Dallas TX </w:t>
      </w:r>
    </w:p>
    <w:p w:rsidR="00D31581" w:rsidRPr="0028086C" w:rsidRDefault="00D31581" w:rsidP="00D31581">
      <w:pPr>
        <w:bidi w:val="0"/>
        <w:jc w:val="both"/>
        <w:outlineLvl w:val="0"/>
        <w:rPr>
          <w:rFonts w:asciiTheme="minorBidi" w:hAnsiTheme="minorBidi"/>
          <w:sz w:val="24"/>
          <w:szCs w:val="24"/>
        </w:rPr>
      </w:pPr>
      <w:r w:rsidRPr="00BB5455">
        <w:rPr>
          <w:rFonts w:asciiTheme="minorBidi" w:hAnsiTheme="minorBidi"/>
          <w:sz w:val="24"/>
          <w:szCs w:val="24"/>
          <w:vertAlign w:val="superscript"/>
        </w:rPr>
        <w:t>6</w:t>
      </w:r>
      <w:r w:rsidRPr="00BB5455">
        <w:rPr>
          <w:rFonts w:asciiTheme="minorBidi" w:hAnsiTheme="minorBidi"/>
          <w:sz w:val="24"/>
          <w:szCs w:val="24"/>
        </w:rPr>
        <w:t xml:space="preserve"> University of Liverpool, Merseyside United Kingdom</w:t>
      </w:r>
    </w:p>
    <w:p w:rsidR="00D31581" w:rsidRPr="0028086C" w:rsidRDefault="00D31581" w:rsidP="00D31581">
      <w:pPr>
        <w:bidi w:val="0"/>
        <w:rPr>
          <w:rFonts w:asciiTheme="minorBidi" w:hAnsiTheme="minorBidi"/>
          <w:sz w:val="24"/>
          <w:szCs w:val="24"/>
        </w:rPr>
      </w:pPr>
      <w:r w:rsidRPr="00AC603E">
        <w:rPr>
          <w:rFonts w:asciiTheme="minorBidi" w:hAnsiTheme="minorBidi"/>
          <w:sz w:val="24"/>
          <w:szCs w:val="24"/>
          <w:vertAlign w:val="superscript"/>
        </w:rPr>
        <w:t>7</w:t>
      </w:r>
      <w:r w:rsidRPr="0028086C">
        <w:rPr>
          <w:rFonts w:asciiTheme="minorBidi" w:eastAsia="Arial" w:hAnsiTheme="minorBidi"/>
          <w:sz w:val="24"/>
          <w:szCs w:val="24"/>
        </w:rPr>
        <w:t>A</w:t>
      </w:r>
      <w:r>
        <w:rPr>
          <w:rFonts w:asciiTheme="minorBidi" w:eastAsia="Arial" w:hAnsiTheme="minorBidi"/>
          <w:sz w:val="24"/>
          <w:szCs w:val="24"/>
        </w:rPr>
        <w:t xml:space="preserve">straZeneca, Gothenburg, </w:t>
      </w:r>
      <w:proofErr w:type="spellStart"/>
      <w:r>
        <w:rPr>
          <w:rFonts w:asciiTheme="minorBidi" w:eastAsia="Arial" w:hAnsiTheme="minorBidi"/>
          <w:sz w:val="24"/>
          <w:szCs w:val="24"/>
        </w:rPr>
        <w:t>Mölndal</w:t>
      </w:r>
      <w:proofErr w:type="spellEnd"/>
      <w:r w:rsidRPr="0028086C">
        <w:rPr>
          <w:rFonts w:asciiTheme="minorBidi" w:eastAsia="Arial" w:hAnsiTheme="minorBidi"/>
          <w:sz w:val="24"/>
          <w:szCs w:val="24"/>
        </w:rPr>
        <w:t xml:space="preserve"> Sweden </w:t>
      </w:r>
    </w:p>
    <w:p w:rsidR="00D31581" w:rsidRPr="0028086C" w:rsidRDefault="00D31581" w:rsidP="00D31581">
      <w:pPr>
        <w:bidi w:val="0"/>
        <w:jc w:val="both"/>
        <w:outlineLvl w:val="0"/>
        <w:rPr>
          <w:rFonts w:asciiTheme="minorBidi" w:hAnsiTheme="minorBidi"/>
          <w:sz w:val="24"/>
          <w:szCs w:val="24"/>
          <w:lang w:eastAsia="ja-JP"/>
        </w:rPr>
      </w:pPr>
    </w:p>
    <w:p w:rsidR="00D31581" w:rsidRPr="0028086C" w:rsidRDefault="00D31581" w:rsidP="00D31581">
      <w:pPr>
        <w:bidi w:val="0"/>
        <w:rPr>
          <w:rFonts w:asciiTheme="minorBidi" w:hAnsiTheme="minorBidi"/>
          <w:sz w:val="24"/>
          <w:szCs w:val="24"/>
        </w:rPr>
      </w:pPr>
    </w:p>
    <w:p w:rsidR="00D31581" w:rsidRDefault="00D31581" w:rsidP="00D31581">
      <w:pPr>
        <w:bidi w:val="0"/>
        <w:rPr>
          <w:rFonts w:asciiTheme="minorBidi" w:hAnsiTheme="minorBidi"/>
          <w:sz w:val="24"/>
          <w:szCs w:val="24"/>
        </w:rPr>
      </w:pPr>
      <w:r>
        <w:rPr>
          <w:rFonts w:asciiTheme="minorBidi" w:hAnsiTheme="minorBidi"/>
          <w:sz w:val="24"/>
          <w:szCs w:val="24"/>
        </w:rPr>
        <w:t>Word count abstract: 250</w:t>
      </w:r>
    </w:p>
    <w:p w:rsidR="00D31581" w:rsidRDefault="00D31581" w:rsidP="00D31581">
      <w:pPr>
        <w:bidi w:val="0"/>
        <w:rPr>
          <w:rFonts w:asciiTheme="minorBidi" w:hAnsiTheme="minorBidi"/>
          <w:sz w:val="24"/>
          <w:szCs w:val="24"/>
        </w:rPr>
      </w:pPr>
      <w:r>
        <w:rPr>
          <w:rFonts w:asciiTheme="minorBidi" w:hAnsiTheme="minorBidi"/>
          <w:sz w:val="24"/>
          <w:szCs w:val="24"/>
        </w:rPr>
        <w:t xml:space="preserve">Word count main body: 2,995 </w:t>
      </w:r>
    </w:p>
    <w:p w:rsidR="00D31581" w:rsidRDefault="00D31581" w:rsidP="00D31581">
      <w:pPr>
        <w:bidi w:val="0"/>
        <w:rPr>
          <w:rFonts w:asciiTheme="minorBidi" w:hAnsiTheme="minorBidi"/>
          <w:sz w:val="24"/>
          <w:szCs w:val="24"/>
        </w:rPr>
      </w:pPr>
      <w:r>
        <w:rPr>
          <w:rFonts w:asciiTheme="minorBidi" w:hAnsiTheme="minorBidi"/>
          <w:sz w:val="24"/>
          <w:szCs w:val="24"/>
        </w:rPr>
        <w:t>Number of references: 39</w:t>
      </w:r>
    </w:p>
    <w:p w:rsidR="00D31581" w:rsidRDefault="00D31581" w:rsidP="00D31581">
      <w:pPr>
        <w:bidi w:val="0"/>
        <w:rPr>
          <w:rFonts w:asciiTheme="minorBidi" w:hAnsiTheme="minorBidi"/>
          <w:sz w:val="24"/>
          <w:szCs w:val="24"/>
        </w:rPr>
      </w:pPr>
      <w:r>
        <w:rPr>
          <w:rFonts w:asciiTheme="minorBidi" w:hAnsiTheme="minorBidi"/>
          <w:sz w:val="24"/>
          <w:szCs w:val="24"/>
        </w:rPr>
        <w:t>Tables: 3</w:t>
      </w:r>
    </w:p>
    <w:p w:rsidR="00D31581" w:rsidRPr="0028086C" w:rsidRDefault="00D31581" w:rsidP="00D31581">
      <w:pPr>
        <w:bidi w:val="0"/>
        <w:rPr>
          <w:rFonts w:asciiTheme="minorBidi" w:hAnsiTheme="minorBidi"/>
          <w:sz w:val="24"/>
          <w:szCs w:val="24"/>
        </w:rPr>
      </w:pPr>
      <w:r>
        <w:rPr>
          <w:rFonts w:asciiTheme="minorBidi" w:hAnsiTheme="minorBidi"/>
          <w:sz w:val="24"/>
          <w:szCs w:val="24"/>
        </w:rPr>
        <w:t>Figures: 1</w:t>
      </w:r>
    </w:p>
    <w:p w:rsidR="00D31581" w:rsidRPr="0028086C" w:rsidRDefault="00D31581" w:rsidP="00D31581">
      <w:pPr>
        <w:bidi w:val="0"/>
        <w:rPr>
          <w:rFonts w:asciiTheme="minorBidi" w:hAnsiTheme="minorBidi"/>
          <w:sz w:val="24"/>
          <w:szCs w:val="24"/>
          <w:rtl/>
        </w:rPr>
      </w:pPr>
    </w:p>
    <w:p w:rsidR="00D31581" w:rsidRPr="0028086C" w:rsidRDefault="00D31581" w:rsidP="00D31581">
      <w:pPr>
        <w:bidi w:val="0"/>
        <w:rPr>
          <w:rFonts w:asciiTheme="minorBidi" w:hAnsiTheme="minorBidi"/>
          <w:b/>
          <w:bCs/>
          <w:sz w:val="24"/>
          <w:szCs w:val="24"/>
          <w:lang w:val="en-GB"/>
        </w:rPr>
      </w:pPr>
    </w:p>
    <w:p w:rsidR="00D31581" w:rsidRPr="0028086C" w:rsidRDefault="00D31581" w:rsidP="00D31581">
      <w:pPr>
        <w:bidi w:val="0"/>
        <w:rPr>
          <w:rFonts w:asciiTheme="minorBidi" w:hAnsiTheme="minorBidi"/>
          <w:b/>
          <w:bCs/>
          <w:sz w:val="24"/>
          <w:szCs w:val="24"/>
          <w:lang w:val="en-GB"/>
        </w:rPr>
      </w:pPr>
    </w:p>
    <w:p w:rsidR="00D31581" w:rsidRPr="0028086C" w:rsidRDefault="00D31581" w:rsidP="00D31581">
      <w:pPr>
        <w:bidi w:val="0"/>
        <w:rPr>
          <w:rFonts w:asciiTheme="minorBidi" w:hAnsiTheme="minorBidi"/>
          <w:b/>
          <w:bCs/>
          <w:sz w:val="24"/>
          <w:szCs w:val="24"/>
          <w:lang w:val="en-GB"/>
        </w:rPr>
      </w:pPr>
    </w:p>
    <w:p w:rsidR="00D31581" w:rsidRPr="0028086C" w:rsidRDefault="00D31581" w:rsidP="00D31581">
      <w:pPr>
        <w:bidi w:val="0"/>
        <w:jc w:val="both"/>
        <w:rPr>
          <w:rFonts w:asciiTheme="minorBidi" w:hAnsiTheme="minorBidi"/>
          <w:b/>
          <w:bCs/>
          <w:sz w:val="24"/>
          <w:szCs w:val="24"/>
        </w:rPr>
      </w:pPr>
      <w:r w:rsidRPr="0028086C">
        <w:rPr>
          <w:rFonts w:asciiTheme="minorBidi" w:hAnsiTheme="minorBidi"/>
          <w:b/>
          <w:bCs/>
          <w:sz w:val="24"/>
          <w:szCs w:val="24"/>
        </w:rPr>
        <w:t>Abstract:</w:t>
      </w:r>
    </w:p>
    <w:p w:rsidR="00D31581" w:rsidRPr="00987D4E" w:rsidRDefault="00D31581" w:rsidP="00D31581">
      <w:pPr>
        <w:bidi w:val="0"/>
        <w:spacing w:line="360" w:lineRule="auto"/>
        <w:jc w:val="both"/>
        <w:rPr>
          <w:rFonts w:asciiTheme="minorBidi" w:hAnsiTheme="minorBidi"/>
          <w:sz w:val="24"/>
          <w:szCs w:val="24"/>
        </w:rPr>
      </w:pPr>
      <w:r w:rsidRPr="00E01E3E">
        <w:rPr>
          <w:rFonts w:asciiTheme="minorBidi" w:hAnsiTheme="minorBidi"/>
          <w:b/>
          <w:bCs/>
          <w:sz w:val="24"/>
          <w:szCs w:val="24"/>
        </w:rPr>
        <w:t>Background:</w:t>
      </w:r>
      <w:r w:rsidRPr="006358E9">
        <w:rPr>
          <w:rFonts w:asciiTheme="minorBidi" w:hAnsiTheme="minorBidi"/>
          <w:sz w:val="24"/>
          <w:szCs w:val="24"/>
        </w:rPr>
        <w:t xml:space="preserve"> Cardiovascular (CV) outcome trials with new glucose lowering agents (GLA) </w:t>
      </w:r>
      <w:r>
        <w:rPr>
          <w:rFonts w:asciiTheme="minorBidi" w:hAnsiTheme="minorBidi"/>
          <w:sz w:val="24"/>
          <w:szCs w:val="24"/>
        </w:rPr>
        <w:t>are</w:t>
      </w:r>
      <w:r w:rsidRPr="006358E9">
        <w:rPr>
          <w:rFonts w:asciiTheme="minorBidi" w:hAnsiTheme="minorBidi"/>
          <w:sz w:val="24"/>
          <w:szCs w:val="24"/>
        </w:rPr>
        <w:t xml:space="preserve"> designed to prove CV safety in high CV risk populations. However, the level of CV risk differs greatly among </w:t>
      </w:r>
      <w:r w:rsidRPr="004F7204">
        <w:rPr>
          <w:rFonts w:asciiTheme="minorBidi" w:hAnsiTheme="minorBidi"/>
          <w:sz w:val="24"/>
          <w:szCs w:val="24"/>
        </w:rPr>
        <w:t xml:space="preserve">trials, which may influence </w:t>
      </w:r>
      <w:r w:rsidRPr="00987D4E">
        <w:rPr>
          <w:rFonts w:asciiTheme="minorBidi" w:hAnsiTheme="minorBidi"/>
          <w:sz w:val="24"/>
          <w:szCs w:val="24"/>
        </w:rPr>
        <w:t xml:space="preserve">comparability and generalizability of results. </w:t>
      </w:r>
    </w:p>
    <w:p w:rsidR="00D31581" w:rsidRPr="00E01E3E" w:rsidRDefault="00D31581" w:rsidP="00D31581">
      <w:pPr>
        <w:bidi w:val="0"/>
        <w:spacing w:line="360" w:lineRule="auto"/>
        <w:jc w:val="both"/>
        <w:rPr>
          <w:rFonts w:asciiTheme="minorBidi" w:hAnsiTheme="minorBidi"/>
          <w:sz w:val="24"/>
          <w:szCs w:val="24"/>
        </w:rPr>
      </w:pPr>
      <w:r w:rsidRPr="00987D4E">
        <w:rPr>
          <w:rFonts w:asciiTheme="minorBidi" w:hAnsiTheme="minorBidi"/>
          <w:b/>
          <w:bCs/>
          <w:sz w:val="24"/>
          <w:szCs w:val="24"/>
        </w:rPr>
        <w:t>Aim:</w:t>
      </w:r>
      <w:r w:rsidRPr="00987D4E">
        <w:rPr>
          <w:rFonts w:asciiTheme="minorBidi" w:hAnsiTheme="minorBidi"/>
          <w:sz w:val="24"/>
          <w:szCs w:val="24"/>
        </w:rPr>
        <w:t xml:space="preserve"> We describe baseline characteristics of participants randomized in the Dapagliflozin Effect on </w:t>
      </w:r>
      <w:proofErr w:type="spellStart"/>
      <w:r w:rsidRPr="00987D4E">
        <w:rPr>
          <w:rFonts w:asciiTheme="minorBidi" w:hAnsiTheme="minorBidi"/>
          <w:sz w:val="24"/>
          <w:szCs w:val="24"/>
        </w:rPr>
        <w:t>CardiovascuLAR</w:t>
      </w:r>
      <w:proofErr w:type="spellEnd"/>
      <w:r w:rsidRPr="00987D4E">
        <w:rPr>
          <w:rFonts w:asciiTheme="minorBidi" w:hAnsiTheme="minorBidi"/>
          <w:sz w:val="24"/>
          <w:szCs w:val="24"/>
        </w:rPr>
        <w:t xml:space="preserve"> Events (DECLARE</w:t>
      </w:r>
      <w:r w:rsidRPr="00E01E3E">
        <w:rPr>
          <w:rFonts w:asciiTheme="minorBidi" w:hAnsiTheme="minorBidi"/>
          <w:sz w:val="24"/>
          <w:szCs w:val="24"/>
        </w:rPr>
        <w:t xml:space="preserve">-TIMI 58) trial, the pivotal study to assess CV outcomes with dapagliflozin. </w:t>
      </w:r>
    </w:p>
    <w:p w:rsidR="00D31581" w:rsidRPr="00E01E3E" w:rsidRDefault="00D31581" w:rsidP="00D31581">
      <w:pPr>
        <w:bidi w:val="0"/>
        <w:spacing w:line="360" w:lineRule="auto"/>
        <w:jc w:val="both"/>
        <w:rPr>
          <w:rFonts w:asciiTheme="minorBidi" w:hAnsiTheme="minorBidi"/>
          <w:sz w:val="24"/>
          <w:szCs w:val="24"/>
        </w:rPr>
      </w:pPr>
      <w:r w:rsidRPr="00E01E3E">
        <w:rPr>
          <w:rFonts w:asciiTheme="minorBidi" w:hAnsiTheme="minorBidi"/>
          <w:sz w:val="24"/>
          <w:szCs w:val="24"/>
        </w:rPr>
        <w:t xml:space="preserve"> </w:t>
      </w:r>
      <w:r w:rsidRPr="00E01E3E">
        <w:rPr>
          <w:rFonts w:asciiTheme="minorBidi" w:hAnsiTheme="minorBidi"/>
          <w:b/>
          <w:bCs/>
          <w:sz w:val="24"/>
          <w:szCs w:val="24"/>
        </w:rPr>
        <w:t>Results:</w:t>
      </w:r>
      <w:r w:rsidRPr="00E01E3E">
        <w:rPr>
          <w:rFonts w:asciiTheme="minorBidi" w:hAnsiTheme="minorBidi"/>
          <w:sz w:val="24"/>
          <w:szCs w:val="24"/>
        </w:rPr>
        <w:t xml:space="preserve"> The </w:t>
      </w:r>
      <w:r w:rsidRPr="00E01E3E">
        <w:rPr>
          <w:rFonts w:asciiTheme="minorBidi" w:hAnsiTheme="minorBidi"/>
          <w:bCs/>
          <w:sz w:val="24"/>
          <w:szCs w:val="24"/>
        </w:rPr>
        <w:t>DECLARE-</w:t>
      </w:r>
      <w:r w:rsidRPr="00E01E3E">
        <w:rPr>
          <w:rFonts w:asciiTheme="minorBidi" w:hAnsiTheme="minorBidi"/>
          <w:sz w:val="24"/>
          <w:szCs w:val="24"/>
        </w:rPr>
        <w:t xml:space="preserve">TIMI 58 trial randomized and will analyze 17,160 patients with type </w:t>
      </w:r>
      <w:proofErr w:type="gramStart"/>
      <w:r w:rsidRPr="00E01E3E">
        <w:rPr>
          <w:rFonts w:asciiTheme="minorBidi" w:hAnsiTheme="minorBidi"/>
          <w:sz w:val="24"/>
          <w:szCs w:val="24"/>
        </w:rPr>
        <w:t>2 diabetes (T2D) to treatment with dapagliflozin (10 mg/day) or matching placebo</w:t>
      </w:r>
      <w:proofErr w:type="gramEnd"/>
      <w:r w:rsidRPr="00E01E3E">
        <w:rPr>
          <w:rFonts w:asciiTheme="minorBidi" w:hAnsiTheme="minorBidi"/>
          <w:sz w:val="24"/>
          <w:szCs w:val="24"/>
        </w:rPr>
        <w:t>. The participants' mean age (SD)</w:t>
      </w:r>
      <w:r>
        <w:rPr>
          <w:rFonts w:asciiTheme="minorBidi" w:hAnsiTheme="minorBidi"/>
          <w:sz w:val="24"/>
          <w:szCs w:val="24"/>
        </w:rPr>
        <w:t>:</w:t>
      </w:r>
      <w:r w:rsidRPr="00E01E3E">
        <w:rPr>
          <w:rFonts w:asciiTheme="minorBidi" w:hAnsiTheme="minorBidi"/>
          <w:sz w:val="24"/>
          <w:szCs w:val="24"/>
        </w:rPr>
        <w:t xml:space="preserve"> 63.8±6.8, 62.6%</w:t>
      </w:r>
      <w:r>
        <w:rPr>
          <w:rFonts w:asciiTheme="minorBidi" w:hAnsiTheme="minorBidi"/>
          <w:sz w:val="24"/>
          <w:szCs w:val="24"/>
        </w:rPr>
        <w:t>:</w:t>
      </w:r>
      <w:r w:rsidRPr="00E01E3E">
        <w:rPr>
          <w:rFonts w:asciiTheme="minorBidi" w:hAnsiTheme="minorBidi"/>
          <w:sz w:val="24"/>
          <w:szCs w:val="24"/>
        </w:rPr>
        <w:t xml:space="preserve"> male, mean diabetes duration</w:t>
      </w:r>
      <w:r>
        <w:rPr>
          <w:rFonts w:asciiTheme="minorBidi" w:hAnsiTheme="minorBidi"/>
          <w:sz w:val="24"/>
          <w:szCs w:val="24"/>
        </w:rPr>
        <w:t>:</w:t>
      </w:r>
      <w:r w:rsidRPr="00E01E3E">
        <w:rPr>
          <w:rFonts w:asciiTheme="minorBidi" w:hAnsiTheme="minorBidi"/>
          <w:sz w:val="24"/>
          <w:szCs w:val="24"/>
        </w:rPr>
        <w:t xml:space="preserve"> 11.8±7.8 years, HbA1c</w:t>
      </w:r>
      <w:r>
        <w:rPr>
          <w:rFonts w:asciiTheme="minorBidi" w:hAnsiTheme="minorBidi"/>
          <w:sz w:val="24"/>
          <w:szCs w:val="24"/>
        </w:rPr>
        <w:t>:</w:t>
      </w:r>
      <w:r w:rsidRPr="00E01E3E">
        <w:rPr>
          <w:rFonts w:asciiTheme="minorBidi" w:hAnsiTheme="minorBidi"/>
          <w:sz w:val="24"/>
          <w:szCs w:val="24"/>
        </w:rPr>
        <w:t xml:space="preserve"> 8.3%±1.2% and BMI</w:t>
      </w:r>
      <w:r>
        <w:rPr>
          <w:rFonts w:asciiTheme="minorBidi" w:hAnsiTheme="minorBidi"/>
          <w:sz w:val="24"/>
          <w:szCs w:val="24"/>
        </w:rPr>
        <w:t>:</w:t>
      </w:r>
      <w:r w:rsidRPr="00E01E3E">
        <w:rPr>
          <w:rFonts w:asciiTheme="minorBidi" w:hAnsiTheme="minorBidi"/>
          <w:sz w:val="24"/>
          <w:szCs w:val="24"/>
        </w:rPr>
        <w:t xml:space="preserve"> 32.1±6.0 kg/m</w:t>
      </w:r>
      <w:r w:rsidRPr="00E01E3E">
        <w:rPr>
          <w:rFonts w:asciiTheme="minorBidi" w:hAnsiTheme="minorBidi"/>
          <w:sz w:val="24"/>
          <w:szCs w:val="24"/>
          <w:vertAlign w:val="superscript"/>
        </w:rPr>
        <w:t>2</w:t>
      </w:r>
      <w:r w:rsidRPr="00E01E3E">
        <w:rPr>
          <w:rFonts w:asciiTheme="minorBidi" w:hAnsiTheme="minorBidi"/>
          <w:sz w:val="24"/>
          <w:szCs w:val="24"/>
        </w:rPr>
        <w:t>. Randomization included 6,971 (40.6%) patients with atherosclerotic cardiovascular disease (CVD), and 10,189 (59.4%) patients with multiple risk factors (MRF) for CV disease (defined as men: age ≥55 or women: ≥60; with at least one of: dyslipidemia, hypertension, or smoking). Patients with CVD compared with patients with MRF were younger (62.5</w:t>
      </w:r>
      <w:r w:rsidRPr="00E01E3E">
        <w:rPr>
          <w:rFonts w:asciiTheme="minorBidi" w:eastAsia="Times New Roman" w:hAnsiTheme="minorBidi"/>
          <w:color w:val="000000"/>
          <w:sz w:val="24"/>
          <w:szCs w:val="24"/>
        </w:rPr>
        <w:t>±</w:t>
      </w:r>
      <w:r w:rsidRPr="00E01E3E">
        <w:rPr>
          <w:rFonts w:asciiTheme="minorBidi" w:hAnsiTheme="minorBidi"/>
          <w:sz w:val="24"/>
          <w:szCs w:val="24"/>
        </w:rPr>
        <w:t>8.1 vs. 64.7</w:t>
      </w:r>
      <w:r w:rsidRPr="00E01E3E">
        <w:rPr>
          <w:rFonts w:asciiTheme="minorBidi" w:eastAsia="Times New Roman" w:hAnsiTheme="minorBidi"/>
          <w:color w:val="000000"/>
          <w:sz w:val="24"/>
          <w:szCs w:val="24"/>
        </w:rPr>
        <w:t>±</w:t>
      </w:r>
      <w:r w:rsidRPr="00E01E3E">
        <w:rPr>
          <w:rFonts w:asciiTheme="minorBidi" w:hAnsiTheme="minorBidi"/>
          <w:sz w:val="24"/>
          <w:szCs w:val="24"/>
        </w:rPr>
        <w:t>5.6 years), more frequently male (72.1% vs. 56.1%), less often used metformin (74.6% vs. 81.2%)</w:t>
      </w:r>
      <w:r>
        <w:rPr>
          <w:rFonts w:asciiTheme="minorBidi" w:hAnsiTheme="minorBidi"/>
          <w:sz w:val="24"/>
          <w:szCs w:val="24"/>
        </w:rPr>
        <w:t>,</w:t>
      </w:r>
      <w:r w:rsidRPr="00E01E3E">
        <w:rPr>
          <w:rFonts w:asciiTheme="minorBidi" w:hAnsiTheme="minorBidi"/>
          <w:sz w:val="24"/>
          <w:szCs w:val="24"/>
        </w:rPr>
        <w:t xml:space="preserve"> more often used insulin (44.2% vs. 36.4%), and </w:t>
      </w:r>
      <w:r>
        <w:rPr>
          <w:rFonts w:asciiTheme="minorBidi" w:hAnsiTheme="minorBidi"/>
          <w:sz w:val="24"/>
          <w:szCs w:val="24"/>
        </w:rPr>
        <w:t>more frequently</w:t>
      </w:r>
      <w:r w:rsidRPr="00E01E3E">
        <w:rPr>
          <w:rFonts w:asciiTheme="minorBidi" w:hAnsiTheme="minorBidi"/>
          <w:sz w:val="24"/>
          <w:szCs w:val="24"/>
        </w:rPr>
        <w:t xml:space="preserve"> use</w:t>
      </w:r>
      <w:r>
        <w:rPr>
          <w:rFonts w:asciiTheme="minorBidi" w:hAnsiTheme="minorBidi"/>
          <w:sz w:val="24"/>
          <w:szCs w:val="24"/>
        </w:rPr>
        <w:t>d</w:t>
      </w:r>
      <w:r w:rsidRPr="00E01E3E">
        <w:rPr>
          <w:rFonts w:asciiTheme="minorBidi" w:hAnsiTheme="minorBidi"/>
          <w:sz w:val="24"/>
          <w:szCs w:val="24"/>
        </w:rPr>
        <w:t xml:space="preserve"> statins, </w:t>
      </w:r>
      <w:r>
        <w:rPr>
          <w:rFonts w:asciiTheme="minorBidi" w:hAnsiTheme="minorBidi"/>
          <w:sz w:val="24"/>
          <w:szCs w:val="24"/>
        </w:rPr>
        <w:t>aspirin</w:t>
      </w:r>
      <w:r w:rsidRPr="00E01E3E">
        <w:rPr>
          <w:rFonts w:asciiTheme="minorBidi" w:hAnsiTheme="minorBidi"/>
          <w:sz w:val="24"/>
          <w:szCs w:val="24"/>
        </w:rPr>
        <w:t>, clopidogrel and beta blockers (82.2% 71.1%, 24.7% and 66.6% vs. 63.7%, 39.1%, 1.5% and 32.3%), respectively.</w:t>
      </w:r>
    </w:p>
    <w:p w:rsidR="00D31581" w:rsidRPr="00E01E3E" w:rsidRDefault="00D31581" w:rsidP="00D31581">
      <w:pPr>
        <w:bidi w:val="0"/>
        <w:spacing w:line="360" w:lineRule="auto"/>
        <w:jc w:val="both"/>
        <w:rPr>
          <w:rFonts w:asciiTheme="minorBidi" w:eastAsia="Times New Roman" w:hAnsiTheme="minorBidi"/>
          <w:color w:val="000000"/>
          <w:sz w:val="24"/>
          <w:szCs w:val="24"/>
        </w:rPr>
      </w:pPr>
      <w:r w:rsidRPr="006358E9">
        <w:rPr>
          <w:rFonts w:asciiTheme="minorBidi" w:eastAsia="Times New Roman" w:hAnsiTheme="minorBidi"/>
          <w:b/>
          <w:bCs/>
          <w:color w:val="000000"/>
          <w:sz w:val="24"/>
          <w:szCs w:val="24"/>
        </w:rPr>
        <w:t>Conclusion:</w:t>
      </w:r>
      <w:r w:rsidRPr="006358E9">
        <w:rPr>
          <w:rFonts w:asciiTheme="minorBidi" w:eastAsia="Times New Roman" w:hAnsiTheme="minorBidi"/>
          <w:color w:val="000000"/>
          <w:sz w:val="24"/>
          <w:szCs w:val="24"/>
        </w:rPr>
        <w:t xml:space="preserve"> The </w:t>
      </w:r>
      <w:r w:rsidRPr="004F7204">
        <w:rPr>
          <w:rFonts w:asciiTheme="minorBidi" w:eastAsia="Times New Roman" w:hAnsiTheme="minorBidi"/>
          <w:color w:val="000000"/>
          <w:sz w:val="24"/>
          <w:szCs w:val="24"/>
        </w:rPr>
        <w:t xml:space="preserve">DECLARE-TIMI 58 trial is expected to provide conclusive data on the effect of treatment with </w:t>
      </w:r>
      <w:r w:rsidRPr="00987D4E">
        <w:rPr>
          <w:rFonts w:asciiTheme="minorBidi" w:eastAsia="Times New Roman" w:hAnsiTheme="minorBidi"/>
          <w:color w:val="000000"/>
          <w:sz w:val="24"/>
          <w:szCs w:val="24"/>
          <w:lang w:val="en-GB"/>
        </w:rPr>
        <w:t>dapagliflozin versus placebo, each in addition to</w:t>
      </w:r>
      <w:r w:rsidRPr="00E01E3E">
        <w:rPr>
          <w:rFonts w:asciiTheme="minorBidi" w:eastAsia="Times New Roman" w:hAnsiTheme="minorBidi"/>
          <w:color w:val="000000"/>
          <w:sz w:val="24"/>
          <w:szCs w:val="24"/>
        </w:rPr>
        <w:t xml:space="preserve"> standard of care, on CV outcomes in </w:t>
      </w:r>
      <w:r>
        <w:rPr>
          <w:rFonts w:asciiTheme="minorBidi" w:eastAsia="Times New Roman" w:hAnsiTheme="minorBidi"/>
          <w:color w:val="000000"/>
          <w:sz w:val="24"/>
          <w:szCs w:val="24"/>
        </w:rPr>
        <w:t xml:space="preserve">a broad </w:t>
      </w:r>
      <w:r w:rsidRPr="00E01E3E">
        <w:rPr>
          <w:rFonts w:asciiTheme="minorBidi" w:eastAsia="Times New Roman" w:hAnsiTheme="minorBidi"/>
          <w:color w:val="000000"/>
          <w:sz w:val="24"/>
          <w:szCs w:val="24"/>
        </w:rPr>
        <w:t>patient</w:t>
      </w:r>
      <w:r>
        <w:rPr>
          <w:rFonts w:asciiTheme="minorBidi" w:eastAsia="Times New Roman" w:hAnsiTheme="minorBidi"/>
          <w:color w:val="000000"/>
          <w:sz w:val="24"/>
          <w:szCs w:val="24"/>
        </w:rPr>
        <w:t xml:space="preserve"> population</w:t>
      </w:r>
      <w:r w:rsidRPr="00E01E3E">
        <w:rPr>
          <w:rFonts w:asciiTheme="minorBidi" w:eastAsia="Times New Roman" w:hAnsiTheme="minorBidi"/>
          <w:color w:val="000000"/>
          <w:sz w:val="24"/>
          <w:szCs w:val="24"/>
        </w:rPr>
        <w:t xml:space="preserve"> with T2D and CVD or MRF for CVD.  </w:t>
      </w:r>
    </w:p>
    <w:p w:rsidR="00D31581" w:rsidRPr="00987D4E" w:rsidRDefault="00D31581" w:rsidP="00D31581">
      <w:pPr>
        <w:bidi w:val="0"/>
        <w:rPr>
          <w:rFonts w:asciiTheme="minorBidi" w:hAnsiTheme="minorBidi"/>
          <w:b/>
          <w:bCs/>
          <w:sz w:val="24"/>
          <w:szCs w:val="24"/>
          <w:lang w:val="en-GB"/>
        </w:rPr>
      </w:pPr>
    </w:p>
    <w:p w:rsidR="00D31581" w:rsidRPr="00987D4E" w:rsidRDefault="00D31581" w:rsidP="00D31581">
      <w:pPr>
        <w:bidi w:val="0"/>
        <w:rPr>
          <w:rFonts w:asciiTheme="minorBidi" w:hAnsiTheme="minorBidi"/>
          <w:b/>
          <w:bCs/>
          <w:sz w:val="24"/>
          <w:szCs w:val="24"/>
          <w:lang w:val="en-GB"/>
        </w:rPr>
      </w:pPr>
    </w:p>
    <w:p w:rsidR="00D31581" w:rsidRPr="00987D4E" w:rsidRDefault="00D31581" w:rsidP="00D31581">
      <w:pPr>
        <w:bidi w:val="0"/>
        <w:rPr>
          <w:rFonts w:asciiTheme="minorBidi" w:hAnsiTheme="minorBidi"/>
          <w:b/>
          <w:bCs/>
          <w:sz w:val="24"/>
          <w:szCs w:val="24"/>
          <w:lang w:val="en-GB"/>
        </w:rPr>
      </w:pPr>
    </w:p>
    <w:p w:rsidR="00D31581" w:rsidRDefault="00D31581" w:rsidP="00D31581">
      <w:pPr>
        <w:bidi w:val="0"/>
        <w:rPr>
          <w:rFonts w:asciiTheme="minorBidi" w:hAnsiTheme="minorBidi"/>
          <w:b/>
          <w:bCs/>
          <w:sz w:val="24"/>
          <w:szCs w:val="24"/>
          <w:lang w:val="en-GB"/>
        </w:rPr>
      </w:pPr>
    </w:p>
    <w:p w:rsidR="00D31581" w:rsidRDefault="00D31581" w:rsidP="00D31581">
      <w:pPr>
        <w:bidi w:val="0"/>
        <w:rPr>
          <w:rFonts w:asciiTheme="minorBidi" w:hAnsiTheme="minorBidi"/>
          <w:b/>
          <w:bCs/>
          <w:sz w:val="24"/>
          <w:szCs w:val="24"/>
          <w:lang w:val="en-GB"/>
        </w:rPr>
      </w:pPr>
    </w:p>
    <w:p w:rsidR="00D31581" w:rsidRPr="00E01E3E" w:rsidRDefault="00D31581" w:rsidP="00D31581">
      <w:pPr>
        <w:bidi w:val="0"/>
        <w:rPr>
          <w:rFonts w:asciiTheme="minorBidi" w:hAnsiTheme="minorBidi"/>
          <w:sz w:val="24"/>
          <w:szCs w:val="24"/>
          <w:lang w:val="en-GB"/>
        </w:rPr>
      </w:pPr>
      <w:r w:rsidRPr="00987D4E">
        <w:rPr>
          <w:rFonts w:asciiTheme="minorBidi" w:hAnsiTheme="minorBidi"/>
          <w:b/>
          <w:bCs/>
          <w:sz w:val="24"/>
          <w:szCs w:val="24"/>
          <w:lang w:val="en-GB"/>
        </w:rPr>
        <w:lastRenderedPageBreak/>
        <w:t>Introduction:</w:t>
      </w:r>
    </w:p>
    <w:p w:rsidR="00D31581" w:rsidRPr="00987D4E" w:rsidRDefault="00D31581" w:rsidP="00D31581">
      <w:pPr>
        <w:bidi w:val="0"/>
        <w:spacing w:line="360" w:lineRule="auto"/>
        <w:jc w:val="both"/>
        <w:rPr>
          <w:rFonts w:asciiTheme="minorBidi" w:hAnsiTheme="minorBidi"/>
          <w:sz w:val="24"/>
          <w:szCs w:val="24"/>
          <w:lang w:val="en-GB"/>
        </w:rPr>
      </w:pPr>
      <w:r w:rsidRPr="006358E9">
        <w:rPr>
          <w:rFonts w:asciiTheme="minorBidi" w:hAnsiTheme="minorBidi"/>
          <w:sz w:val="24"/>
          <w:szCs w:val="24"/>
          <w:lang w:val="en-GB"/>
        </w:rPr>
        <w:t>Sodium glucose co-transporters 2 (SGLT2) inhibitors are glucose lowering agents (GLA)</w:t>
      </w:r>
      <w:r w:rsidRPr="004F7204">
        <w:rPr>
          <w:rFonts w:asciiTheme="minorBidi" w:hAnsiTheme="minorBidi"/>
          <w:sz w:val="24"/>
          <w:szCs w:val="24"/>
          <w:lang w:val="en-GB"/>
        </w:rPr>
        <w:t xml:space="preserve"> developed for the treatment of hyperglycaemia in patients with type 2 (1) and type 1</w:t>
      </w:r>
      <w:r w:rsidRPr="00E01E3E">
        <w:rPr>
          <w:rFonts w:asciiTheme="minorBidi" w:hAnsiTheme="minorBidi"/>
          <w:sz w:val="24"/>
          <w:szCs w:val="24"/>
          <w:lang w:val="en-GB"/>
        </w:rPr>
        <w:t xml:space="preserve"> </w:t>
      </w:r>
      <w:bookmarkStart w:id="0" w:name="_Hlk497803933"/>
      <w:r>
        <w:rPr>
          <w:rFonts w:asciiTheme="minorBidi" w:hAnsiTheme="minorBidi"/>
          <w:sz w:val="24"/>
          <w:szCs w:val="24"/>
          <w:lang w:val="en-GB"/>
        </w:rPr>
        <w:t>(SGLT-2</w:t>
      </w:r>
      <w:r>
        <w:rPr>
          <w:rFonts w:asciiTheme="minorBidi" w:hAnsiTheme="minorBidi"/>
          <w:sz w:val="24"/>
          <w:szCs w:val="24"/>
        </w:rPr>
        <w:t xml:space="preserve"> </w:t>
      </w:r>
      <w:r>
        <w:rPr>
          <w:rFonts w:asciiTheme="minorBidi" w:hAnsiTheme="minorBidi"/>
          <w:sz w:val="24"/>
          <w:szCs w:val="24"/>
          <w:lang w:val="en-GB"/>
        </w:rPr>
        <w:t>inhibitors</w:t>
      </w:r>
      <w:r>
        <w:rPr>
          <w:rFonts w:asciiTheme="minorBidi" w:hAnsiTheme="minorBidi"/>
          <w:sz w:val="24"/>
          <w:szCs w:val="24"/>
        </w:rPr>
        <w:t>,</w:t>
      </w:r>
      <w:r>
        <w:rPr>
          <w:rFonts w:asciiTheme="minorBidi" w:hAnsiTheme="minorBidi"/>
          <w:sz w:val="24"/>
          <w:szCs w:val="24"/>
          <w:lang w:val="en-GB"/>
        </w:rPr>
        <w:t xml:space="preserve"> including dapagliflozin, are</w:t>
      </w:r>
      <w:r w:rsidRPr="004F7230">
        <w:rPr>
          <w:rFonts w:asciiTheme="minorBidi" w:hAnsiTheme="minorBidi"/>
          <w:sz w:val="24"/>
          <w:szCs w:val="24"/>
          <w:lang w:val="en-GB"/>
        </w:rPr>
        <w:t xml:space="preserve"> currently under development</w:t>
      </w:r>
      <w:r>
        <w:rPr>
          <w:rFonts w:asciiTheme="minorBidi" w:hAnsiTheme="minorBidi"/>
          <w:sz w:val="24"/>
          <w:szCs w:val="24"/>
          <w:lang w:val="en-GB"/>
        </w:rPr>
        <w:t xml:space="preserve"> for use in type 1 diabetes) </w:t>
      </w:r>
      <w:bookmarkEnd w:id="0"/>
      <w:r w:rsidRPr="00E01E3E">
        <w:rPr>
          <w:rFonts w:asciiTheme="minorBidi" w:hAnsiTheme="minorBidi"/>
          <w:sz w:val="24"/>
          <w:szCs w:val="24"/>
          <w:lang w:val="en-GB"/>
        </w:rPr>
        <w:t xml:space="preserve">(2) diabetes. </w:t>
      </w:r>
      <w:r w:rsidRPr="006358E9">
        <w:rPr>
          <w:rFonts w:asciiTheme="minorBidi" w:hAnsiTheme="minorBidi"/>
          <w:sz w:val="24"/>
          <w:szCs w:val="24"/>
          <w:lang w:val="en-GB"/>
        </w:rPr>
        <w:t>Their mechanism of action is selective inhibition of the SGLT2 cotransporters which are located in the first segment of the kidney proximal tubules (3). SGLT2 reabsorbs 80-90% of the glucose filtered by the glomeruli, by coupling the electrochemical energy produced by active sodium transport to the co-transport of glucose (3).</w:t>
      </w:r>
      <w:r w:rsidRPr="004F7204">
        <w:rPr>
          <w:rFonts w:asciiTheme="minorBidi" w:hAnsiTheme="minorBidi"/>
          <w:sz w:val="24"/>
          <w:szCs w:val="24"/>
          <w:rtl/>
          <w:lang w:val="en-GB"/>
        </w:rPr>
        <w:t xml:space="preserve"> </w:t>
      </w:r>
      <w:r w:rsidRPr="006358E9">
        <w:rPr>
          <w:rFonts w:asciiTheme="minorBidi" w:hAnsiTheme="minorBidi"/>
          <w:sz w:val="24"/>
          <w:szCs w:val="24"/>
          <w:lang w:val="en-GB"/>
        </w:rPr>
        <w:t>Inhibition of SGLT2 leads to</w:t>
      </w:r>
      <w:r w:rsidRPr="00987D4E">
        <w:rPr>
          <w:rFonts w:asciiTheme="minorBidi" w:hAnsiTheme="minorBidi"/>
          <w:sz w:val="24"/>
          <w:szCs w:val="24"/>
          <w:lang w:val="en-GB"/>
        </w:rPr>
        <w:t xml:space="preserve"> glycosuria and lowers blood glucose levels.  Dapagliflozin, a member of the SGLT2 inhibitor drug class, was previously shown to be effective in lowering glucose and HbA1c in diverse clinical settings includ</w:t>
      </w:r>
      <w:r>
        <w:rPr>
          <w:rFonts w:asciiTheme="minorBidi" w:hAnsiTheme="minorBidi"/>
          <w:sz w:val="24"/>
          <w:szCs w:val="24"/>
          <w:lang w:val="en-GB"/>
        </w:rPr>
        <w:t>ing</w:t>
      </w:r>
      <w:r w:rsidRPr="00987D4E">
        <w:rPr>
          <w:rFonts w:asciiTheme="minorBidi" w:hAnsiTheme="minorBidi"/>
          <w:sz w:val="24"/>
          <w:szCs w:val="24"/>
          <w:lang w:val="en-GB"/>
        </w:rPr>
        <w:t xml:space="preserve"> drug naïve patients </w:t>
      </w:r>
      <w:r>
        <w:rPr>
          <w:rFonts w:asciiTheme="minorBidi" w:hAnsiTheme="minorBidi"/>
          <w:sz w:val="24"/>
          <w:szCs w:val="24"/>
          <w:lang w:val="en-GB"/>
        </w:rPr>
        <w:t xml:space="preserve">(4-6), </w:t>
      </w:r>
      <w:r w:rsidRPr="00E01E3E">
        <w:rPr>
          <w:rFonts w:asciiTheme="minorBidi" w:hAnsiTheme="minorBidi"/>
          <w:sz w:val="24"/>
          <w:szCs w:val="24"/>
          <w:lang w:val="en-GB"/>
        </w:rPr>
        <w:t xml:space="preserve"> as an add-on and/or compared with</w:t>
      </w:r>
      <w:r>
        <w:rPr>
          <w:rFonts w:asciiTheme="minorBidi" w:hAnsiTheme="minorBidi"/>
          <w:sz w:val="24"/>
          <w:szCs w:val="24"/>
          <w:lang w:val="en-GB"/>
        </w:rPr>
        <w:t xml:space="preserve"> a</w:t>
      </w:r>
      <w:r w:rsidRPr="00E01E3E">
        <w:rPr>
          <w:rFonts w:asciiTheme="minorBidi" w:hAnsiTheme="minorBidi"/>
          <w:sz w:val="24"/>
          <w:szCs w:val="24"/>
          <w:lang w:val="en-GB"/>
        </w:rPr>
        <w:t xml:space="preserve"> </w:t>
      </w:r>
      <w:r>
        <w:rPr>
          <w:rFonts w:asciiTheme="minorBidi" w:hAnsiTheme="minorBidi"/>
          <w:sz w:val="24"/>
          <w:szCs w:val="24"/>
          <w:lang w:val="en-GB"/>
        </w:rPr>
        <w:t>variety of other GLAs</w:t>
      </w:r>
      <w:r w:rsidRPr="00E01E3E">
        <w:rPr>
          <w:rFonts w:asciiTheme="minorBidi" w:hAnsiTheme="minorBidi"/>
          <w:sz w:val="24"/>
          <w:szCs w:val="24"/>
          <w:lang w:val="en-GB"/>
        </w:rPr>
        <w:t xml:space="preserve"> (7</w:t>
      </w:r>
      <w:r>
        <w:rPr>
          <w:rFonts w:asciiTheme="minorBidi" w:hAnsiTheme="minorBidi"/>
          <w:sz w:val="24"/>
          <w:szCs w:val="24"/>
          <w:lang w:val="en-GB"/>
        </w:rPr>
        <w:t>-11</w:t>
      </w:r>
      <w:r w:rsidRPr="00E01E3E">
        <w:rPr>
          <w:rFonts w:asciiTheme="minorBidi" w:hAnsiTheme="minorBidi"/>
          <w:sz w:val="24"/>
          <w:szCs w:val="24"/>
          <w:lang w:val="en-GB"/>
        </w:rPr>
        <w:t>),  and insulin (12,13</w:t>
      </w:r>
      <w:bookmarkStart w:id="1" w:name="_Hlk497844631"/>
      <w:r w:rsidRPr="00E01E3E">
        <w:rPr>
          <w:rFonts w:asciiTheme="minorBidi" w:hAnsiTheme="minorBidi"/>
          <w:sz w:val="24"/>
          <w:szCs w:val="24"/>
          <w:lang w:val="en-GB"/>
        </w:rPr>
        <w:t>)</w:t>
      </w:r>
      <w:r>
        <w:rPr>
          <w:rFonts w:asciiTheme="minorBidi" w:hAnsiTheme="minorBidi" w:hint="eastAsia"/>
          <w:sz w:val="24"/>
          <w:szCs w:val="24"/>
          <w:lang w:val="en-GB" w:eastAsia="ja-JP"/>
        </w:rPr>
        <w:t xml:space="preserve"> </w:t>
      </w:r>
      <w:r>
        <w:rPr>
          <w:rFonts w:asciiTheme="minorBidi" w:hAnsiTheme="minorBidi"/>
          <w:sz w:val="24"/>
          <w:szCs w:val="24"/>
          <w:lang w:val="en-GB"/>
        </w:rPr>
        <w:t>for</w:t>
      </w:r>
      <w:r w:rsidRPr="00E01E3E">
        <w:rPr>
          <w:rFonts w:asciiTheme="minorBidi" w:hAnsiTheme="minorBidi"/>
          <w:sz w:val="24"/>
          <w:szCs w:val="24"/>
          <w:lang w:val="en-GB"/>
        </w:rPr>
        <w:t xml:space="preserve"> up to 4 years (14,15).</w:t>
      </w:r>
      <w:bookmarkEnd w:id="1"/>
      <w:r w:rsidRPr="00E01E3E">
        <w:rPr>
          <w:rFonts w:asciiTheme="minorBidi" w:hAnsiTheme="minorBidi"/>
          <w:sz w:val="24"/>
          <w:szCs w:val="24"/>
          <w:lang w:val="en-GB"/>
        </w:rPr>
        <w:t xml:space="preserve"> In addition to the glucose lowering effect, treatment with SGLT2 inhibitors results in an average of 2-3 kg weight loss (</w:t>
      </w:r>
      <w:r w:rsidRPr="006358E9">
        <w:rPr>
          <w:rFonts w:asciiTheme="minorBidi" w:hAnsiTheme="minorBidi"/>
          <w:sz w:val="24"/>
          <w:szCs w:val="24"/>
          <w:lang w:val="en-GB"/>
        </w:rPr>
        <w:t xml:space="preserve">mainly fat mass), attributed </w:t>
      </w:r>
      <w:r w:rsidRPr="004F7204">
        <w:rPr>
          <w:rFonts w:asciiTheme="minorBidi" w:hAnsiTheme="minorBidi"/>
          <w:sz w:val="24"/>
          <w:szCs w:val="24"/>
          <w:lang w:val="en-GB"/>
        </w:rPr>
        <w:t xml:space="preserve">predominantly to glycosuria and resultant calorie loss (16). </w:t>
      </w:r>
      <w:r w:rsidRPr="00987D4E">
        <w:rPr>
          <w:rFonts w:asciiTheme="minorBidi" w:hAnsiTheme="minorBidi"/>
          <w:sz w:val="24"/>
          <w:szCs w:val="24"/>
          <w:lang w:val="en-GB"/>
        </w:rPr>
        <w:t>Additionally, a small but significant reduction of 2-3</w:t>
      </w:r>
      <w:r w:rsidRPr="00987D4E">
        <w:rPr>
          <w:rFonts w:asciiTheme="minorBidi" w:hAnsiTheme="minorBidi"/>
          <w:sz w:val="24"/>
          <w:szCs w:val="24"/>
        </w:rPr>
        <w:t xml:space="preserve"> </w:t>
      </w:r>
      <w:r w:rsidRPr="00987D4E">
        <w:rPr>
          <w:rFonts w:asciiTheme="minorBidi" w:hAnsiTheme="minorBidi"/>
          <w:sz w:val="24"/>
          <w:szCs w:val="24"/>
          <w:lang w:val="en-GB"/>
        </w:rPr>
        <w:t xml:space="preserve">mmHg in systolic blood pressure has been observed. The underlying mechanisms of the blood pressure effects </w:t>
      </w:r>
      <w:r>
        <w:rPr>
          <w:rFonts w:asciiTheme="minorBidi" w:hAnsiTheme="minorBidi"/>
          <w:sz w:val="24"/>
          <w:szCs w:val="24"/>
          <w:lang w:val="en-GB"/>
        </w:rPr>
        <w:t>may</w:t>
      </w:r>
      <w:r w:rsidRPr="00987D4E">
        <w:rPr>
          <w:rFonts w:asciiTheme="minorBidi" w:hAnsiTheme="minorBidi"/>
          <w:sz w:val="24"/>
          <w:szCs w:val="24"/>
          <w:lang w:val="en-GB"/>
        </w:rPr>
        <w:t xml:space="preserve"> involve</w:t>
      </w:r>
      <w:r>
        <w:rPr>
          <w:rFonts w:asciiTheme="minorBidi" w:hAnsiTheme="minorBidi"/>
          <w:sz w:val="24"/>
          <w:szCs w:val="24"/>
          <w:lang w:val="en-GB"/>
        </w:rPr>
        <w:t>:</w:t>
      </w:r>
      <w:r w:rsidRPr="00987D4E">
        <w:rPr>
          <w:rFonts w:asciiTheme="minorBidi" w:hAnsiTheme="minorBidi"/>
          <w:sz w:val="24"/>
          <w:szCs w:val="24"/>
          <w:lang w:val="en-GB"/>
        </w:rPr>
        <w:t xml:space="preserve"> reduced renin angiotensin system activity due to tubular glomerular feedback (17</w:t>
      </w:r>
      <w:proofErr w:type="gramStart"/>
      <w:r w:rsidRPr="00987D4E">
        <w:rPr>
          <w:rFonts w:asciiTheme="minorBidi" w:hAnsiTheme="minorBidi"/>
          <w:sz w:val="24"/>
          <w:szCs w:val="24"/>
          <w:lang w:val="en-GB"/>
        </w:rPr>
        <w:t>,18</w:t>
      </w:r>
      <w:proofErr w:type="gramEnd"/>
      <w:r w:rsidRPr="00987D4E">
        <w:rPr>
          <w:rFonts w:asciiTheme="minorBidi" w:hAnsiTheme="minorBidi"/>
          <w:sz w:val="24"/>
          <w:szCs w:val="24"/>
          <w:lang w:val="en-GB"/>
        </w:rPr>
        <w:t>), improved vascular function, and alterations in hormonal signalling as extra-renal protective effects (19-21).</w:t>
      </w:r>
    </w:p>
    <w:p w:rsidR="00D31581" w:rsidRPr="006358E9" w:rsidRDefault="00D31581" w:rsidP="00D31581">
      <w:pPr>
        <w:bidi w:val="0"/>
        <w:spacing w:line="360" w:lineRule="auto"/>
        <w:jc w:val="both"/>
        <w:rPr>
          <w:rFonts w:asciiTheme="minorBidi" w:hAnsiTheme="minorBidi"/>
          <w:sz w:val="24"/>
          <w:szCs w:val="24"/>
          <w:lang w:val="en-GB"/>
        </w:rPr>
      </w:pPr>
      <w:r w:rsidRPr="00E01E3E">
        <w:rPr>
          <w:rFonts w:asciiTheme="minorBidi" w:hAnsiTheme="minorBidi"/>
          <w:sz w:val="24"/>
          <w:szCs w:val="24"/>
          <w:lang w:val="en-GB"/>
        </w:rPr>
        <w:t xml:space="preserve">The main </w:t>
      </w:r>
      <w:r w:rsidRPr="006358E9">
        <w:rPr>
          <w:rFonts w:asciiTheme="minorBidi" w:hAnsiTheme="minorBidi"/>
          <w:sz w:val="24"/>
          <w:szCs w:val="24"/>
          <w:lang w:val="en-GB"/>
        </w:rPr>
        <w:t>adverse events identified</w:t>
      </w:r>
      <w:r w:rsidRPr="004F7204">
        <w:rPr>
          <w:rFonts w:asciiTheme="minorBidi" w:hAnsiTheme="minorBidi"/>
          <w:sz w:val="24"/>
          <w:szCs w:val="24"/>
          <w:lang w:val="en-GB"/>
        </w:rPr>
        <w:t xml:space="preserve"> to date with this drug class include increased risk for genital</w:t>
      </w:r>
      <w:r w:rsidRPr="00987D4E">
        <w:rPr>
          <w:rFonts w:asciiTheme="minorBidi" w:hAnsiTheme="minorBidi"/>
          <w:sz w:val="24"/>
          <w:szCs w:val="24"/>
          <w:lang w:val="en-GB"/>
        </w:rPr>
        <w:t xml:space="preserve"> mycotic and urinary tract infections (22). From post-marketing data, safety communications have been issued for </w:t>
      </w:r>
      <w:r w:rsidRPr="00E01E3E">
        <w:rPr>
          <w:rFonts w:asciiTheme="minorBidi" w:hAnsiTheme="minorBidi"/>
          <w:sz w:val="24"/>
          <w:szCs w:val="24"/>
          <w:lang w:val="en-GB"/>
        </w:rPr>
        <w:t>a potential increased risk of (euglycemic) diabetic ketoacidosis (DKA) (23</w:t>
      </w:r>
      <w:proofErr w:type="gramStart"/>
      <w:r w:rsidRPr="00E01E3E">
        <w:rPr>
          <w:rFonts w:asciiTheme="minorBidi" w:hAnsiTheme="minorBidi"/>
          <w:sz w:val="24"/>
          <w:szCs w:val="24"/>
          <w:lang w:val="en-GB"/>
        </w:rPr>
        <w:t>,24</w:t>
      </w:r>
      <w:proofErr w:type="gramEnd"/>
      <w:r w:rsidRPr="00E01E3E">
        <w:rPr>
          <w:rFonts w:asciiTheme="minorBidi" w:hAnsiTheme="minorBidi"/>
          <w:sz w:val="24"/>
          <w:szCs w:val="24"/>
          <w:lang w:val="en-GB"/>
        </w:rPr>
        <w:t>) and an FDA warning regarding a risk for acute renal failure (25). A numerical imbalance was observed in the incidence of transitional cell carcinoma of the bladder in the phase 2-3 of dapagliflozin development program (</w:t>
      </w:r>
      <w:r w:rsidRPr="00E01E3E">
        <w:rPr>
          <w:rFonts w:asciiTheme="minorBidi" w:hAnsiTheme="minorBidi"/>
          <w:sz w:val="24"/>
          <w:szCs w:val="24"/>
          <w:rtl/>
          <w:lang w:val="en-GB"/>
        </w:rPr>
        <w:t>2</w:t>
      </w:r>
      <w:r w:rsidRPr="00E01E3E">
        <w:rPr>
          <w:rFonts w:asciiTheme="minorBidi" w:hAnsiTheme="minorBidi"/>
          <w:sz w:val="24"/>
          <w:szCs w:val="24"/>
          <w:lang w:val="en-GB"/>
        </w:rPr>
        <w:t xml:space="preserve">2). Dapagliflozin has been </w:t>
      </w:r>
      <w:r w:rsidRPr="00E01E3E">
        <w:rPr>
          <w:rFonts w:asciiTheme="minorBidi" w:hAnsiTheme="minorBidi"/>
          <w:color w:val="212121"/>
          <w:sz w:val="24"/>
          <w:szCs w:val="24"/>
        </w:rPr>
        <w:t>approved for use in type 2 diabetes (T2D) by world-wide regulators, including in the US, having met pre-marketing safety requirements.</w:t>
      </w:r>
      <w:r w:rsidRPr="006358E9">
        <w:rPr>
          <w:rFonts w:asciiTheme="minorBidi" w:hAnsiTheme="minorBidi"/>
          <w:sz w:val="24"/>
          <w:szCs w:val="24"/>
          <w:lang w:val="en-GB"/>
        </w:rPr>
        <w:t xml:space="preserve">  </w:t>
      </w:r>
    </w:p>
    <w:p w:rsidR="00D31581" w:rsidRPr="004F7204" w:rsidRDefault="00D31581" w:rsidP="00D31581">
      <w:pPr>
        <w:bidi w:val="0"/>
        <w:spacing w:line="360" w:lineRule="auto"/>
        <w:jc w:val="both"/>
        <w:rPr>
          <w:rFonts w:asciiTheme="minorBidi" w:hAnsiTheme="minorBidi"/>
          <w:sz w:val="24"/>
          <w:szCs w:val="24"/>
          <w:lang w:val="en-GB"/>
        </w:rPr>
      </w:pPr>
      <w:r w:rsidRPr="006358E9">
        <w:rPr>
          <w:rFonts w:asciiTheme="minorBidi" w:hAnsiTheme="minorBidi"/>
          <w:sz w:val="24"/>
          <w:szCs w:val="24"/>
          <w:lang w:val="en-GB"/>
        </w:rPr>
        <w:lastRenderedPageBreak/>
        <w:t>In 2008 the United States Food and Drug Administration (</w:t>
      </w:r>
      <w:r w:rsidRPr="004F7204">
        <w:rPr>
          <w:rFonts w:asciiTheme="minorBidi" w:hAnsiTheme="minorBidi"/>
          <w:sz w:val="24"/>
          <w:szCs w:val="24"/>
          <w:lang w:val="en-GB"/>
        </w:rPr>
        <w:t>FDA)</w:t>
      </w:r>
      <w:r w:rsidRPr="00987D4E">
        <w:rPr>
          <w:rFonts w:asciiTheme="minorBidi" w:hAnsiTheme="minorBidi"/>
          <w:sz w:val="24"/>
          <w:szCs w:val="24"/>
          <w:lang w:val="en-GB"/>
        </w:rPr>
        <w:t xml:space="preserve"> published guidance to the pharmaceutical industry regarding the establishment of CV safety of new GLA (2</w:t>
      </w:r>
      <w:r w:rsidRPr="00E01E3E">
        <w:rPr>
          <w:rFonts w:asciiTheme="minorBidi" w:hAnsiTheme="minorBidi"/>
          <w:sz w:val="24"/>
          <w:szCs w:val="24"/>
          <w:lang w:val="en-GB"/>
        </w:rPr>
        <w:t>6). The first CV safety trial completed with SGLT2 inhibitors was the EMPA-REG OUTCOME trial that assessed the CV safety of empagliflozin in 7,020 patients with T2D and prevalent atherosclerotic CVD (27). The trial was the first cardiovascular outcome trial (CVOT) with a GLA that demonstrated not only CV safety, but also CV superiority of empagliflozin.  Empagliflozin was shown to reduce the primary composite endpoint of CV death, MI, or stroke as well as CV mortality, total mortality, hospitalization for heart failure (HF) and several renal outcomes (27,28). The subsequently published results of the Canagliflozin Cardiovascular Assessment Study (CANVAS) Program also demonstrated a reduction in the composite primary cardiovascular endpoint with canagliflozin (29). There has not yet been a completed CVOT with dapagliflozin but its CV safety in populations with varying CV risk profiles was assessed in a dedicated meta-analysis (</w:t>
      </w:r>
      <w:r w:rsidRPr="00987D4E">
        <w:rPr>
          <w:rFonts w:asciiTheme="minorBidi" w:hAnsiTheme="minorBidi"/>
          <w:sz w:val="24"/>
          <w:szCs w:val="24"/>
          <w:rtl/>
          <w:lang w:val="en-GB"/>
        </w:rPr>
        <w:t>30</w:t>
      </w:r>
      <w:r w:rsidRPr="006358E9">
        <w:rPr>
          <w:rFonts w:asciiTheme="minorBidi" w:hAnsiTheme="minorBidi"/>
          <w:sz w:val="24"/>
          <w:szCs w:val="24"/>
          <w:lang w:val="en-GB"/>
        </w:rPr>
        <w:t>) and</w:t>
      </w:r>
      <w:r w:rsidRPr="004F7204">
        <w:rPr>
          <w:rFonts w:asciiTheme="minorBidi" w:hAnsiTheme="minorBidi"/>
          <w:sz w:val="24"/>
          <w:szCs w:val="24"/>
          <w:lang w:val="en-GB"/>
        </w:rPr>
        <w:t xml:space="preserve"> </w:t>
      </w:r>
      <w:r w:rsidRPr="00987D4E">
        <w:rPr>
          <w:rFonts w:asciiTheme="minorBidi" w:hAnsiTheme="minorBidi"/>
          <w:sz w:val="24"/>
          <w:szCs w:val="24"/>
          <w:lang w:val="en-GB"/>
        </w:rPr>
        <w:t>as part of a larger meta-analysis that examined the CV safety of all SGLT2 inhibitors (3</w:t>
      </w:r>
      <w:r w:rsidRPr="00987D4E">
        <w:rPr>
          <w:rFonts w:asciiTheme="minorBidi" w:hAnsiTheme="minorBidi"/>
          <w:sz w:val="24"/>
          <w:szCs w:val="24"/>
          <w:rtl/>
          <w:lang w:val="en-GB"/>
        </w:rPr>
        <w:t>1</w:t>
      </w:r>
      <w:r w:rsidRPr="006358E9">
        <w:rPr>
          <w:rFonts w:asciiTheme="minorBidi" w:hAnsiTheme="minorBidi"/>
          <w:sz w:val="24"/>
          <w:szCs w:val="24"/>
          <w:lang w:val="en-GB"/>
        </w:rPr>
        <w:t>).</w:t>
      </w:r>
    </w:p>
    <w:p w:rsidR="00D31581" w:rsidRPr="00987D4E" w:rsidRDefault="00D31581" w:rsidP="00D31581">
      <w:pPr>
        <w:bidi w:val="0"/>
        <w:spacing w:line="360" w:lineRule="auto"/>
        <w:jc w:val="both"/>
        <w:rPr>
          <w:rFonts w:asciiTheme="minorBidi" w:hAnsiTheme="minorBidi"/>
          <w:sz w:val="24"/>
          <w:szCs w:val="24"/>
          <w:lang w:val="en-GB"/>
        </w:rPr>
      </w:pPr>
      <w:r w:rsidRPr="00987D4E">
        <w:rPr>
          <w:rFonts w:asciiTheme="minorBidi" w:hAnsiTheme="minorBidi"/>
          <w:sz w:val="24"/>
          <w:szCs w:val="24"/>
          <w:lang w:val="en-GB"/>
        </w:rPr>
        <w:t xml:space="preserve">DECLARE-TIMI 58 trial is a randomized trial designed to establish the CV safety and potential CV benefit of dapagliflozin in a large and diverse population of patients with T2D and either CVD or MRF for CVD. </w:t>
      </w:r>
    </w:p>
    <w:p w:rsidR="00D31581" w:rsidRDefault="00D31581" w:rsidP="00D31581">
      <w:pPr>
        <w:bidi w:val="0"/>
        <w:spacing w:line="360" w:lineRule="auto"/>
        <w:jc w:val="both"/>
        <w:rPr>
          <w:rFonts w:asciiTheme="minorBidi" w:hAnsiTheme="minorBidi"/>
          <w:b/>
          <w:bCs/>
          <w:sz w:val="24"/>
          <w:szCs w:val="24"/>
          <w:lang w:val="en-GB"/>
        </w:rPr>
      </w:pPr>
    </w:p>
    <w:p w:rsidR="00D31581" w:rsidRDefault="00D31581" w:rsidP="00D31581">
      <w:pPr>
        <w:bidi w:val="0"/>
        <w:spacing w:line="360" w:lineRule="auto"/>
        <w:jc w:val="both"/>
        <w:rPr>
          <w:rFonts w:asciiTheme="minorBidi" w:hAnsiTheme="minorBidi"/>
          <w:b/>
          <w:bCs/>
          <w:sz w:val="24"/>
          <w:szCs w:val="24"/>
          <w:lang w:val="en-GB"/>
        </w:rPr>
      </w:pPr>
    </w:p>
    <w:p w:rsidR="00D31581" w:rsidRPr="00987D4E" w:rsidRDefault="00D31581" w:rsidP="00D31581">
      <w:pPr>
        <w:bidi w:val="0"/>
        <w:spacing w:line="360" w:lineRule="auto"/>
        <w:jc w:val="both"/>
        <w:rPr>
          <w:rFonts w:asciiTheme="minorBidi" w:hAnsiTheme="minorBidi"/>
          <w:b/>
          <w:bCs/>
          <w:sz w:val="24"/>
          <w:szCs w:val="24"/>
          <w:lang w:val="en-GB"/>
        </w:rPr>
      </w:pPr>
      <w:r w:rsidRPr="00987D4E">
        <w:rPr>
          <w:rFonts w:asciiTheme="minorBidi" w:hAnsiTheme="minorBidi"/>
          <w:b/>
          <w:bCs/>
          <w:sz w:val="24"/>
          <w:szCs w:val="24"/>
          <w:lang w:val="en-GB"/>
        </w:rPr>
        <w:t xml:space="preserve">Study design and population: </w:t>
      </w:r>
    </w:p>
    <w:p w:rsidR="00D31581" w:rsidRDefault="00D31581" w:rsidP="00D31581">
      <w:pPr>
        <w:bidi w:val="0"/>
        <w:spacing w:line="360" w:lineRule="auto"/>
        <w:jc w:val="both"/>
        <w:rPr>
          <w:rFonts w:asciiTheme="minorBidi" w:hAnsiTheme="minorBidi"/>
          <w:sz w:val="24"/>
          <w:szCs w:val="24"/>
        </w:rPr>
      </w:pPr>
      <w:r w:rsidRPr="00987D4E">
        <w:rPr>
          <w:rFonts w:asciiTheme="minorBidi" w:hAnsiTheme="minorBidi"/>
          <w:sz w:val="24"/>
          <w:szCs w:val="24"/>
          <w:lang w:val="en-GB"/>
        </w:rPr>
        <w:t xml:space="preserve">The DECLARE-TIMI 58 trial </w:t>
      </w:r>
      <w:r w:rsidRPr="00E01E3E">
        <w:rPr>
          <w:rFonts w:asciiTheme="minorBidi" w:hAnsiTheme="minorBidi"/>
          <w:sz w:val="24"/>
          <w:szCs w:val="24"/>
        </w:rPr>
        <w:t xml:space="preserve">[NCT01730534] </w:t>
      </w:r>
      <w:r w:rsidRPr="00E01E3E">
        <w:rPr>
          <w:rFonts w:asciiTheme="minorBidi" w:hAnsiTheme="minorBidi"/>
          <w:sz w:val="24"/>
          <w:szCs w:val="24"/>
          <w:lang w:val="en-GB"/>
        </w:rPr>
        <w:t xml:space="preserve">is a multicenter, multinational, double-blind, placebo controlled, phase 3b study, with primary safety and co-primary efficacy end points. The primary safety objective of the trial is to establish </w:t>
      </w:r>
      <w:r>
        <w:rPr>
          <w:rFonts w:asciiTheme="minorBidi" w:hAnsiTheme="minorBidi"/>
          <w:sz w:val="24"/>
          <w:szCs w:val="24"/>
          <w:lang w:val="en-GB"/>
        </w:rPr>
        <w:t xml:space="preserve">that </w:t>
      </w:r>
      <w:r w:rsidRPr="00E01E3E">
        <w:rPr>
          <w:rFonts w:asciiTheme="minorBidi" w:hAnsiTheme="minorBidi"/>
          <w:sz w:val="24"/>
          <w:szCs w:val="24"/>
          <w:lang w:val="en-GB"/>
        </w:rPr>
        <w:t>dapagliflozin</w:t>
      </w:r>
      <w:r>
        <w:rPr>
          <w:rFonts w:asciiTheme="minorBidi" w:hAnsiTheme="minorBidi"/>
          <w:sz w:val="24"/>
          <w:szCs w:val="24"/>
          <w:lang w:val="en-GB"/>
        </w:rPr>
        <w:t xml:space="preserve"> is</w:t>
      </w:r>
      <w:r w:rsidRPr="00E01E3E">
        <w:rPr>
          <w:rFonts w:asciiTheme="minorBidi" w:hAnsiTheme="minorBidi"/>
          <w:sz w:val="24"/>
          <w:szCs w:val="24"/>
          <w:lang w:val="en-GB"/>
        </w:rPr>
        <w:t xml:space="preserve"> non-inferior to placebo by demonstrating that the upper boundary of the 2-sided 95% CI for the estimated risk ratio comparing the time to first event of the composite endpoint of CV death, non-fatal MI, or non-fatal ischemic stroke (MACE) observed with dapagliflozin vs. placebo is less than 1.3, as mandated by the FDA guidance (26). </w:t>
      </w:r>
      <w:bookmarkStart w:id="2" w:name="_Hlk499439151"/>
    </w:p>
    <w:p w:rsidR="00D31581" w:rsidRPr="00E334C2" w:rsidRDefault="00D31581" w:rsidP="00D31581">
      <w:pPr>
        <w:bidi w:val="0"/>
        <w:spacing w:line="360" w:lineRule="auto"/>
        <w:jc w:val="both"/>
        <w:rPr>
          <w:rFonts w:asciiTheme="minorBidi" w:hAnsiTheme="minorBidi"/>
          <w:sz w:val="24"/>
          <w:szCs w:val="24"/>
        </w:rPr>
      </w:pPr>
      <w:r>
        <w:rPr>
          <w:rFonts w:asciiTheme="minorBidi" w:hAnsiTheme="minorBidi"/>
          <w:sz w:val="24"/>
          <w:szCs w:val="24"/>
          <w:lang w:val="en-GB"/>
        </w:rPr>
        <w:lastRenderedPageBreak/>
        <w:t xml:space="preserve">Other safety measurements that are collected throughout the trial include:  </w:t>
      </w:r>
      <w:r>
        <w:rPr>
          <w:rFonts w:asciiTheme="minorBidi" w:hAnsiTheme="minorBidi"/>
          <w:sz w:val="24"/>
          <w:szCs w:val="24"/>
        </w:rPr>
        <w:t>serious adverse events and</w:t>
      </w:r>
      <w:r w:rsidRPr="00E334C2">
        <w:rPr>
          <w:rFonts w:asciiTheme="minorBidi" w:hAnsiTheme="minorBidi"/>
          <w:sz w:val="24"/>
          <w:szCs w:val="24"/>
        </w:rPr>
        <w:t xml:space="preserve"> events of special interest</w:t>
      </w:r>
      <w:r>
        <w:rPr>
          <w:rFonts w:asciiTheme="minorBidi" w:hAnsiTheme="minorBidi"/>
          <w:sz w:val="24"/>
          <w:szCs w:val="24"/>
        </w:rPr>
        <w:t xml:space="preserve"> (EOSI). EOSI</w:t>
      </w:r>
      <w:r w:rsidRPr="00E334C2">
        <w:rPr>
          <w:rFonts w:asciiTheme="minorBidi" w:hAnsiTheme="minorBidi"/>
          <w:sz w:val="24"/>
          <w:szCs w:val="24"/>
        </w:rPr>
        <w:t xml:space="preserve"> includ</w:t>
      </w:r>
      <w:r>
        <w:rPr>
          <w:rFonts w:asciiTheme="minorBidi" w:hAnsiTheme="minorBidi"/>
          <w:sz w:val="24"/>
          <w:szCs w:val="24"/>
        </w:rPr>
        <w:t>es:</w:t>
      </w:r>
      <w:r w:rsidRPr="00E334C2">
        <w:rPr>
          <w:rFonts w:asciiTheme="minorBidi" w:hAnsiTheme="minorBidi"/>
          <w:sz w:val="24"/>
          <w:szCs w:val="24"/>
        </w:rPr>
        <w:t xml:space="preserve"> liver events</w:t>
      </w:r>
      <w:r>
        <w:rPr>
          <w:rFonts w:asciiTheme="minorBidi" w:hAnsiTheme="minorBidi"/>
          <w:sz w:val="24"/>
          <w:szCs w:val="24"/>
        </w:rPr>
        <w:t xml:space="preserve">, renal events, </w:t>
      </w:r>
      <w:r w:rsidRPr="00E334C2">
        <w:rPr>
          <w:rFonts w:asciiTheme="minorBidi" w:hAnsiTheme="minorBidi"/>
          <w:sz w:val="24"/>
          <w:szCs w:val="24"/>
        </w:rPr>
        <w:t>fractures, malignancies</w:t>
      </w:r>
      <w:r>
        <w:rPr>
          <w:rFonts w:asciiTheme="minorBidi" w:hAnsiTheme="minorBidi"/>
          <w:sz w:val="24"/>
          <w:szCs w:val="24"/>
        </w:rPr>
        <w:t xml:space="preserve"> (particularly bladder cancer)</w:t>
      </w:r>
      <w:r w:rsidRPr="00E334C2">
        <w:rPr>
          <w:rFonts w:asciiTheme="minorBidi" w:hAnsiTheme="minorBidi"/>
          <w:sz w:val="24"/>
          <w:szCs w:val="24"/>
        </w:rPr>
        <w:t xml:space="preserve">, hypersensitivity, </w:t>
      </w:r>
      <w:r>
        <w:rPr>
          <w:rFonts w:asciiTheme="minorBidi" w:hAnsiTheme="minorBidi"/>
          <w:sz w:val="24"/>
          <w:szCs w:val="24"/>
        </w:rPr>
        <w:t xml:space="preserve">genital and </w:t>
      </w:r>
      <w:r w:rsidRPr="00E334C2">
        <w:rPr>
          <w:rFonts w:asciiTheme="minorBidi" w:hAnsiTheme="minorBidi"/>
          <w:sz w:val="24"/>
          <w:szCs w:val="24"/>
        </w:rPr>
        <w:t>urinary infections,</w:t>
      </w:r>
      <w:r>
        <w:rPr>
          <w:rFonts w:asciiTheme="minorBidi" w:hAnsiTheme="minorBidi"/>
          <w:sz w:val="24"/>
          <w:szCs w:val="24"/>
        </w:rPr>
        <w:t xml:space="preserve"> volume depletion</w:t>
      </w:r>
      <w:r w:rsidRPr="00E334C2">
        <w:rPr>
          <w:rFonts w:asciiTheme="minorBidi" w:hAnsiTheme="minorBidi"/>
          <w:sz w:val="24"/>
          <w:szCs w:val="24"/>
        </w:rPr>
        <w:t xml:space="preserve"> and major hypoglycemic events.  </w:t>
      </w:r>
      <w:r>
        <w:rPr>
          <w:rFonts w:asciiTheme="minorBidi" w:hAnsiTheme="minorBidi"/>
          <w:sz w:val="24"/>
          <w:szCs w:val="24"/>
        </w:rPr>
        <w:t>Amputations and diabetic ketoacidosis (DKA) are asked for at every visit and data is collected in specific forms. Liver events, malignancies and DKA are adjudicated.</w:t>
      </w:r>
    </w:p>
    <w:p w:rsidR="00D31581" w:rsidRPr="00E334C2" w:rsidRDefault="00D31581" w:rsidP="00D31581">
      <w:pPr>
        <w:bidi w:val="0"/>
        <w:spacing w:line="360" w:lineRule="auto"/>
        <w:jc w:val="both"/>
        <w:rPr>
          <w:rFonts w:asciiTheme="minorBidi" w:hAnsiTheme="minorBidi"/>
          <w:sz w:val="24"/>
          <w:szCs w:val="24"/>
        </w:rPr>
      </w:pPr>
    </w:p>
    <w:bookmarkEnd w:id="2"/>
    <w:p w:rsidR="00D31581" w:rsidRPr="006358E9" w:rsidRDefault="00D31581" w:rsidP="00D31581">
      <w:pPr>
        <w:bidi w:val="0"/>
        <w:spacing w:line="360" w:lineRule="auto"/>
        <w:jc w:val="both"/>
        <w:rPr>
          <w:rFonts w:asciiTheme="minorBidi" w:hAnsiTheme="minorBidi"/>
          <w:sz w:val="24"/>
          <w:szCs w:val="24"/>
          <w:lang w:val="en-GB"/>
        </w:rPr>
      </w:pPr>
      <w:r w:rsidRPr="00E01E3E">
        <w:rPr>
          <w:rFonts w:asciiTheme="minorBidi" w:hAnsiTheme="minorBidi"/>
          <w:sz w:val="24"/>
          <w:szCs w:val="24"/>
          <w:lang w:val="en-GB"/>
        </w:rPr>
        <w:t xml:space="preserve">The efficacy objectives </w:t>
      </w:r>
      <w:r>
        <w:rPr>
          <w:rFonts w:asciiTheme="minorBidi" w:hAnsiTheme="minorBidi"/>
          <w:sz w:val="24"/>
          <w:szCs w:val="24"/>
          <w:lang w:val="en-GB"/>
        </w:rPr>
        <w:t xml:space="preserve">of the trial </w:t>
      </w:r>
      <w:r w:rsidRPr="00E01E3E">
        <w:rPr>
          <w:rFonts w:asciiTheme="minorBidi" w:hAnsiTheme="minorBidi"/>
          <w:sz w:val="24"/>
          <w:szCs w:val="24"/>
          <w:lang w:val="en-GB"/>
        </w:rPr>
        <w:t>are to determine whether treatment with dapagliflozin vs. placebo, when added to current background therapy will result in a reduction of the co-primary efficacy outcomes of MACE and the composite endpoint of CV death or hospitalization for HF. The secondary endpoints include</w:t>
      </w:r>
      <w:r w:rsidRPr="00987D4E">
        <w:rPr>
          <w:rStyle w:val="li-content"/>
          <w:rFonts w:asciiTheme="minorBidi" w:hAnsiTheme="minorBidi"/>
          <w:sz w:val="24"/>
          <w:szCs w:val="24"/>
        </w:rPr>
        <w:t xml:space="preserve"> a renal composite </w:t>
      </w:r>
      <w:proofErr w:type="gramStart"/>
      <w:r w:rsidRPr="00987D4E">
        <w:rPr>
          <w:rStyle w:val="li-content"/>
          <w:rFonts w:asciiTheme="minorBidi" w:hAnsiTheme="minorBidi"/>
          <w:sz w:val="24"/>
          <w:szCs w:val="24"/>
        </w:rPr>
        <w:t>endpoint</w:t>
      </w:r>
      <w:r w:rsidRPr="00E01E3E">
        <w:rPr>
          <w:rFonts w:asciiTheme="minorBidi" w:hAnsiTheme="minorBidi"/>
          <w:sz w:val="24"/>
          <w:szCs w:val="24"/>
          <w:lang w:val="en-GB"/>
        </w:rPr>
        <w:t xml:space="preserve"> </w:t>
      </w:r>
      <w:r>
        <w:rPr>
          <w:rFonts w:asciiTheme="minorBidi" w:hAnsiTheme="minorBidi" w:hint="cs"/>
          <w:sz w:val="24"/>
          <w:szCs w:val="24"/>
          <w:rtl/>
          <w:lang w:val="en-GB"/>
        </w:rPr>
        <w:t>]</w:t>
      </w:r>
      <w:r>
        <w:rPr>
          <w:rFonts w:asciiTheme="minorBidi" w:hAnsiTheme="minorBidi"/>
          <w:sz w:val="24"/>
          <w:szCs w:val="24"/>
        </w:rPr>
        <w:t>c</w:t>
      </w:r>
      <w:r w:rsidRPr="002E2934">
        <w:rPr>
          <w:rFonts w:asciiTheme="minorBidi" w:hAnsiTheme="minorBidi"/>
          <w:sz w:val="24"/>
          <w:szCs w:val="24"/>
        </w:rPr>
        <w:t>onfirmed</w:t>
      </w:r>
      <w:proofErr w:type="gramEnd"/>
      <w:r w:rsidRPr="002E2934">
        <w:rPr>
          <w:rFonts w:asciiTheme="minorBidi" w:hAnsiTheme="minorBidi"/>
          <w:sz w:val="24"/>
          <w:szCs w:val="24"/>
        </w:rPr>
        <w:t xml:space="preserve"> sustained ≥40% decrease in eGFR to eGFR &lt;60 ml/min/1.73m</w:t>
      </w:r>
      <w:r w:rsidRPr="002E2934">
        <w:rPr>
          <w:rFonts w:asciiTheme="minorBidi" w:hAnsiTheme="minorBidi"/>
          <w:sz w:val="24"/>
          <w:szCs w:val="24"/>
          <w:vertAlign w:val="superscript"/>
        </w:rPr>
        <w:t>2</w:t>
      </w:r>
      <w:r w:rsidRPr="002E2934">
        <w:rPr>
          <w:rFonts w:asciiTheme="minorBidi" w:hAnsiTheme="minorBidi"/>
          <w:sz w:val="24"/>
          <w:szCs w:val="24"/>
        </w:rPr>
        <w:t xml:space="preserve"> and/or ESRD (dialysis ≥90 days or kidney transplantation, </w:t>
      </w:r>
      <w:r>
        <w:rPr>
          <w:rFonts w:asciiTheme="minorBidi" w:hAnsiTheme="minorBidi"/>
          <w:sz w:val="24"/>
          <w:szCs w:val="24"/>
        </w:rPr>
        <w:t xml:space="preserve">or </w:t>
      </w:r>
      <w:r w:rsidRPr="002E2934">
        <w:rPr>
          <w:rFonts w:asciiTheme="minorBidi" w:hAnsiTheme="minorBidi"/>
          <w:sz w:val="24"/>
          <w:szCs w:val="24"/>
        </w:rPr>
        <w:t>confirmed sustained eGFR &lt;15ml/min/1.73m</w:t>
      </w:r>
      <w:r w:rsidRPr="002E2934">
        <w:rPr>
          <w:rFonts w:asciiTheme="minorBidi" w:hAnsiTheme="minorBidi"/>
          <w:sz w:val="24"/>
          <w:szCs w:val="24"/>
          <w:vertAlign w:val="superscript"/>
        </w:rPr>
        <w:t>2</w:t>
      </w:r>
      <w:r w:rsidRPr="002E2934">
        <w:rPr>
          <w:rFonts w:asciiTheme="minorBidi" w:hAnsiTheme="minorBidi"/>
          <w:sz w:val="24"/>
          <w:szCs w:val="24"/>
        </w:rPr>
        <w:t>) and/or renal or CV death</w:t>
      </w:r>
      <w:r>
        <w:rPr>
          <w:rFonts w:asciiTheme="minorBidi" w:hAnsiTheme="minorBidi" w:hint="cs"/>
          <w:sz w:val="24"/>
          <w:szCs w:val="24"/>
          <w:rtl/>
        </w:rPr>
        <w:t>[</w:t>
      </w:r>
      <w:r>
        <w:rPr>
          <w:rFonts w:ascii="Times" w:hAnsi="Times"/>
        </w:rPr>
        <w:t xml:space="preserve"> </w:t>
      </w:r>
      <w:r w:rsidRPr="006358E9">
        <w:rPr>
          <w:rFonts w:asciiTheme="minorBidi" w:hAnsiTheme="minorBidi"/>
          <w:sz w:val="24"/>
          <w:szCs w:val="24"/>
          <w:lang w:val="en-GB"/>
        </w:rPr>
        <w:t>and all-cause mortality</w:t>
      </w:r>
      <w:r w:rsidRPr="00987D4E">
        <w:rPr>
          <w:rStyle w:val="li-content"/>
          <w:rFonts w:asciiTheme="minorBidi" w:hAnsiTheme="minorBidi"/>
          <w:sz w:val="24"/>
          <w:szCs w:val="24"/>
        </w:rPr>
        <w:t xml:space="preserve">. </w:t>
      </w:r>
      <w:r w:rsidRPr="00E01E3E">
        <w:rPr>
          <w:rFonts w:asciiTheme="minorBidi" w:hAnsiTheme="minorBidi"/>
          <w:sz w:val="24"/>
          <w:szCs w:val="24"/>
          <w:lang w:val="en-GB"/>
        </w:rPr>
        <w:t xml:space="preserve">Further details regarding the design of the DECLARE-TIMI 58 trial </w:t>
      </w:r>
      <w:r w:rsidRPr="006358E9">
        <w:rPr>
          <w:rFonts w:asciiTheme="minorBidi" w:hAnsiTheme="minorBidi"/>
          <w:sz w:val="24"/>
          <w:szCs w:val="24"/>
          <w:lang w:val="en-GB"/>
        </w:rPr>
        <w:t xml:space="preserve">are discussed </w:t>
      </w:r>
      <w:r>
        <w:rPr>
          <w:rFonts w:asciiTheme="minorBidi" w:hAnsiTheme="minorBidi"/>
          <w:sz w:val="24"/>
          <w:szCs w:val="24"/>
          <w:lang w:val="en-GB"/>
        </w:rPr>
        <w:t>in a separate manuscript</w:t>
      </w:r>
      <w:r w:rsidRPr="006358E9">
        <w:rPr>
          <w:rFonts w:asciiTheme="minorBidi" w:hAnsiTheme="minorBidi"/>
          <w:sz w:val="24"/>
          <w:szCs w:val="24"/>
          <w:lang w:val="en-GB"/>
        </w:rPr>
        <w:t xml:space="preserve"> (32</w:t>
      </w:r>
      <w:r w:rsidRPr="00E01E3E">
        <w:rPr>
          <w:rFonts w:asciiTheme="minorBidi" w:hAnsiTheme="minorBidi"/>
          <w:sz w:val="24"/>
          <w:szCs w:val="24"/>
          <w:lang w:val="en-GB"/>
        </w:rPr>
        <w:t>)</w:t>
      </w:r>
      <w:r w:rsidRPr="006358E9">
        <w:rPr>
          <w:rFonts w:asciiTheme="minorBidi" w:hAnsiTheme="minorBidi"/>
          <w:sz w:val="24"/>
          <w:szCs w:val="24"/>
          <w:lang w:val="en-GB"/>
        </w:rPr>
        <w:t xml:space="preserve">.        </w:t>
      </w:r>
    </w:p>
    <w:p w:rsidR="00D31581" w:rsidRDefault="00D31581" w:rsidP="00D31581">
      <w:pPr>
        <w:widowControl w:val="0"/>
        <w:autoSpaceDE w:val="0"/>
        <w:autoSpaceDN w:val="0"/>
        <w:bidi w:val="0"/>
        <w:adjustRightInd w:val="0"/>
        <w:spacing w:line="360" w:lineRule="auto"/>
        <w:jc w:val="both"/>
        <w:rPr>
          <w:rFonts w:asciiTheme="minorBidi" w:hAnsiTheme="minorBidi"/>
          <w:sz w:val="24"/>
          <w:szCs w:val="24"/>
        </w:rPr>
      </w:pPr>
      <w:r w:rsidRPr="006358E9">
        <w:rPr>
          <w:rFonts w:asciiTheme="minorBidi" w:hAnsiTheme="minorBidi"/>
          <w:sz w:val="24"/>
          <w:szCs w:val="24"/>
          <w:lang w:val="en-GB"/>
        </w:rPr>
        <w:t xml:space="preserve">The study recruited patients with type 2 diabetes at increased CV risk according to 2 categories: 1) ≥40 years old with established atherosclerotic </w:t>
      </w:r>
      <w:r w:rsidRPr="00987D4E">
        <w:rPr>
          <w:rFonts w:asciiTheme="minorBidi" w:hAnsiTheme="minorBidi"/>
          <w:sz w:val="24"/>
          <w:szCs w:val="24"/>
          <w:lang w:val="en-GB"/>
        </w:rPr>
        <w:t xml:space="preserve">CV disease: ischemic heart disease, peripheral artery disease or </w:t>
      </w:r>
      <w:r w:rsidRPr="00E01E3E">
        <w:rPr>
          <w:rFonts w:asciiTheme="minorBidi" w:hAnsiTheme="minorBidi"/>
          <w:sz w:val="24"/>
          <w:szCs w:val="24"/>
        </w:rPr>
        <w:t>cerebrovascular</w:t>
      </w:r>
      <w:r w:rsidRPr="00E01E3E">
        <w:rPr>
          <w:rFonts w:asciiTheme="minorBidi" w:hAnsiTheme="minorBidi"/>
          <w:sz w:val="24"/>
          <w:szCs w:val="24"/>
          <w:rtl/>
        </w:rPr>
        <w:t xml:space="preserve"> </w:t>
      </w:r>
      <w:r w:rsidRPr="00E01E3E">
        <w:rPr>
          <w:rFonts w:asciiTheme="minorBidi" w:hAnsiTheme="minorBidi"/>
          <w:sz w:val="24"/>
          <w:szCs w:val="24"/>
        </w:rPr>
        <w:t>disease</w:t>
      </w:r>
      <w:r w:rsidRPr="00E01E3E" w:rsidDel="002C423D">
        <w:rPr>
          <w:rFonts w:asciiTheme="minorBidi" w:hAnsiTheme="minorBidi"/>
          <w:sz w:val="24"/>
          <w:szCs w:val="24"/>
          <w:lang w:val="en-GB"/>
        </w:rPr>
        <w:t xml:space="preserve"> </w:t>
      </w:r>
      <w:r w:rsidRPr="00E01E3E">
        <w:rPr>
          <w:rFonts w:asciiTheme="minorBidi" w:hAnsiTheme="minorBidi"/>
          <w:sz w:val="24"/>
          <w:szCs w:val="24"/>
          <w:lang w:val="en-GB"/>
        </w:rPr>
        <w:t xml:space="preserve">(CVD group), and 2) ≥55-year-old males and ≥60 year old females, with at least one of the following risk factors: dyslipidemia, hypertension or current smoking (MRF group). </w:t>
      </w:r>
      <w:bookmarkStart w:id="3" w:name="_Hlk498319399"/>
      <w:r>
        <w:rPr>
          <w:rFonts w:asciiTheme="minorBidi" w:hAnsiTheme="minorBidi"/>
          <w:sz w:val="24"/>
          <w:szCs w:val="24"/>
          <w:lang w:val="en-GB"/>
        </w:rPr>
        <w:t>Patients in both groups might have other, non-ischemic cardiovascular disease, including heart failure and/or rhythm disorders.</w:t>
      </w:r>
      <w:bookmarkEnd w:id="3"/>
      <w:r>
        <w:rPr>
          <w:rFonts w:asciiTheme="minorBidi" w:hAnsiTheme="minorBidi"/>
          <w:sz w:val="24"/>
          <w:szCs w:val="24"/>
          <w:lang w:val="en-GB"/>
        </w:rPr>
        <w:t xml:space="preserve"> </w:t>
      </w:r>
      <w:r w:rsidRPr="00E01E3E">
        <w:rPr>
          <w:rFonts w:asciiTheme="minorBidi" w:hAnsiTheme="minorBidi"/>
          <w:sz w:val="24"/>
          <w:szCs w:val="24"/>
          <w:lang w:val="en-GB"/>
        </w:rPr>
        <w:t xml:space="preserve">The main exclusion criteria were: </w:t>
      </w:r>
      <w:r w:rsidRPr="00E01E3E">
        <w:rPr>
          <w:rFonts w:asciiTheme="minorBidi" w:hAnsiTheme="minorBidi"/>
          <w:color w:val="000000"/>
          <w:sz w:val="24"/>
          <w:szCs w:val="24"/>
        </w:rPr>
        <w:t>HbA1c ≥12% or HbA1c&lt;6.5% (6.5% to &lt;7% capped at approximately 5%), AST or ALT &gt;3 x ULN or total bilirubin &gt;2.5 x ULN, creatinine clearance (</w:t>
      </w:r>
      <w:proofErr w:type="spellStart"/>
      <w:r w:rsidRPr="00E01E3E">
        <w:rPr>
          <w:rFonts w:asciiTheme="minorBidi" w:hAnsiTheme="minorBidi"/>
          <w:color w:val="000000"/>
          <w:sz w:val="24"/>
          <w:szCs w:val="24"/>
        </w:rPr>
        <w:t>CrCl</w:t>
      </w:r>
      <w:proofErr w:type="spellEnd"/>
      <w:r w:rsidRPr="00E01E3E">
        <w:rPr>
          <w:rFonts w:asciiTheme="minorBidi" w:hAnsiTheme="minorBidi"/>
          <w:color w:val="000000"/>
          <w:sz w:val="24"/>
          <w:szCs w:val="24"/>
        </w:rPr>
        <w:t xml:space="preserve">) &lt; 60 ml/min (based on the </w:t>
      </w:r>
      <w:r w:rsidRPr="006358E9">
        <w:rPr>
          <w:rFonts w:asciiTheme="minorBidi" w:hAnsiTheme="minorBidi"/>
          <w:color w:val="000000"/>
          <w:sz w:val="24"/>
          <w:szCs w:val="24"/>
        </w:rPr>
        <w:t xml:space="preserve">Cockcroft-Gault equation), unexplained hematuria, </w:t>
      </w:r>
      <w:r w:rsidRPr="006358E9">
        <w:rPr>
          <w:rFonts w:asciiTheme="minorBidi" w:hAnsiTheme="minorBidi"/>
          <w:sz w:val="24"/>
          <w:szCs w:val="24"/>
        </w:rPr>
        <w:t>acute cardiovascular or cerebrovascular event within 8 weeks of randomization, lifetime history of bl</w:t>
      </w:r>
      <w:r w:rsidRPr="00987D4E">
        <w:rPr>
          <w:rFonts w:asciiTheme="minorBidi" w:hAnsiTheme="minorBidi"/>
          <w:sz w:val="24"/>
          <w:szCs w:val="24"/>
        </w:rPr>
        <w:t xml:space="preserve">adder cancer or recurrent urinary tract infections, history of any malignancy (other than non-melanoma skin cancer) within the recent 5 </w:t>
      </w:r>
      <w:r w:rsidRPr="00987D4E">
        <w:rPr>
          <w:rFonts w:asciiTheme="minorBidi" w:hAnsiTheme="minorBidi"/>
          <w:sz w:val="24"/>
          <w:szCs w:val="24"/>
        </w:rPr>
        <w:lastRenderedPageBreak/>
        <w:t>years, use of an SGLT2 inhibitor, pioglitazone or rosiglitazone. Patients were randomized in a 1:1 ratio to dapagliflozi</w:t>
      </w:r>
      <w:r w:rsidRPr="00E01E3E">
        <w:rPr>
          <w:rFonts w:asciiTheme="minorBidi" w:hAnsiTheme="minorBidi"/>
          <w:sz w:val="24"/>
          <w:szCs w:val="24"/>
        </w:rPr>
        <w:t>n 10 mg/day or matching placebo.</w:t>
      </w:r>
    </w:p>
    <w:p w:rsidR="00D31581" w:rsidRPr="00E47E9D" w:rsidRDefault="00D31581" w:rsidP="00D31581">
      <w:pPr>
        <w:widowControl w:val="0"/>
        <w:autoSpaceDE w:val="0"/>
        <w:autoSpaceDN w:val="0"/>
        <w:bidi w:val="0"/>
        <w:adjustRightInd w:val="0"/>
        <w:spacing w:line="360" w:lineRule="auto"/>
        <w:jc w:val="both"/>
        <w:rPr>
          <w:rFonts w:ascii="Arial" w:hAnsi="Arial" w:cs="Arial"/>
          <w:sz w:val="24"/>
          <w:szCs w:val="24"/>
        </w:rPr>
      </w:pPr>
      <w:r w:rsidRPr="00E47E9D">
        <w:rPr>
          <w:rFonts w:ascii="Arial" w:hAnsi="Arial" w:cs="Arial"/>
          <w:sz w:val="24"/>
          <w:szCs w:val="24"/>
        </w:rPr>
        <w:t>A total of 1</w:t>
      </w:r>
      <w:r>
        <w:rPr>
          <w:rFonts w:ascii="Arial" w:hAnsi="Arial" w:cs="Arial"/>
          <w:sz w:val="24"/>
          <w:szCs w:val="24"/>
        </w:rPr>
        <w:t>,</w:t>
      </w:r>
      <w:r w:rsidRPr="00E47E9D">
        <w:rPr>
          <w:rFonts w:ascii="Arial" w:hAnsi="Arial" w:cs="Arial"/>
          <w:sz w:val="24"/>
          <w:szCs w:val="24"/>
        </w:rPr>
        <w:t>390 subjects with MACE events will be required to have 85% power to demonstrate superiority of dapagliflozin to placebo if the true HR is 0.85, i.e., a 15% relative risk reduction, with a one-sided alpha of 0.0231. Approximately 17,150 randomized patients will be required for the study, with an assumed annual event rate of 2.1% on placebo.</w:t>
      </w:r>
    </w:p>
    <w:p w:rsidR="00D31581" w:rsidRDefault="00D31581" w:rsidP="00D31581">
      <w:pPr>
        <w:widowControl w:val="0"/>
        <w:autoSpaceDE w:val="0"/>
        <w:autoSpaceDN w:val="0"/>
        <w:bidi w:val="0"/>
        <w:adjustRightInd w:val="0"/>
        <w:spacing w:line="360" w:lineRule="auto"/>
        <w:jc w:val="both"/>
        <w:rPr>
          <w:rFonts w:asciiTheme="minorBidi" w:hAnsiTheme="minorBidi"/>
          <w:sz w:val="24"/>
          <w:szCs w:val="24"/>
        </w:rPr>
      </w:pPr>
    </w:p>
    <w:p w:rsidR="00D31581" w:rsidRPr="009620F1" w:rsidRDefault="00D31581" w:rsidP="00D31581">
      <w:pPr>
        <w:widowControl w:val="0"/>
        <w:autoSpaceDE w:val="0"/>
        <w:autoSpaceDN w:val="0"/>
        <w:bidi w:val="0"/>
        <w:adjustRightInd w:val="0"/>
        <w:spacing w:line="360" w:lineRule="auto"/>
        <w:jc w:val="both"/>
        <w:rPr>
          <w:rFonts w:asciiTheme="minorBidi" w:hAnsiTheme="minorBidi"/>
          <w:sz w:val="28"/>
          <w:szCs w:val="28"/>
        </w:rPr>
      </w:pPr>
      <w:bookmarkStart w:id="4" w:name="_Hlk499225599"/>
      <w:r w:rsidRPr="00A801DD">
        <w:rPr>
          <w:rFonts w:asciiTheme="minorBidi" w:hAnsiTheme="minorBidi"/>
          <w:sz w:val="24"/>
          <w:szCs w:val="24"/>
        </w:rPr>
        <w:t>.</w:t>
      </w:r>
    </w:p>
    <w:bookmarkEnd w:id="4"/>
    <w:p w:rsidR="00D31581" w:rsidRDefault="00D31581" w:rsidP="00D31581">
      <w:pPr>
        <w:bidi w:val="0"/>
        <w:jc w:val="both"/>
        <w:rPr>
          <w:rFonts w:asciiTheme="minorBidi" w:hAnsiTheme="minorBidi"/>
          <w:b/>
          <w:bCs/>
          <w:sz w:val="24"/>
          <w:szCs w:val="24"/>
          <w:lang w:val="en-GB"/>
        </w:rPr>
      </w:pPr>
    </w:p>
    <w:p w:rsidR="00D31581" w:rsidRDefault="00D31581" w:rsidP="00D31581">
      <w:pPr>
        <w:bidi w:val="0"/>
        <w:jc w:val="both"/>
        <w:rPr>
          <w:rFonts w:asciiTheme="minorBidi" w:hAnsiTheme="minorBidi"/>
          <w:b/>
          <w:bCs/>
          <w:sz w:val="24"/>
          <w:szCs w:val="24"/>
          <w:lang w:val="en-GB"/>
        </w:rPr>
      </w:pPr>
    </w:p>
    <w:p w:rsidR="00D31581" w:rsidRPr="00E01E3E" w:rsidRDefault="00D31581" w:rsidP="00D31581">
      <w:pPr>
        <w:bidi w:val="0"/>
        <w:jc w:val="both"/>
        <w:rPr>
          <w:rFonts w:asciiTheme="minorBidi" w:hAnsiTheme="minorBidi"/>
          <w:sz w:val="24"/>
          <w:szCs w:val="24"/>
          <w:lang w:val="en-GB"/>
        </w:rPr>
      </w:pPr>
      <w:r w:rsidRPr="00E01E3E">
        <w:rPr>
          <w:rFonts w:asciiTheme="minorBidi" w:hAnsiTheme="minorBidi"/>
          <w:b/>
          <w:bCs/>
          <w:sz w:val="24"/>
          <w:szCs w:val="24"/>
          <w:lang w:val="en-GB"/>
        </w:rPr>
        <w:t>Results:</w:t>
      </w:r>
    </w:p>
    <w:p w:rsidR="00D31581" w:rsidRPr="006358E9" w:rsidRDefault="00D31581" w:rsidP="00D31581">
      <w:pPr>
        <w:bidi w:val="0"/>
        <w:spacing w:line="360" w:lineRule="auto"/>
        <w:jc w:val="both"/>
        <w:rPr>
          <w:rFonts w:asciiTheme="minorBidi" w:hAnsiTheme="minorBidi"/>
          <w:sz w:val="24"/>
          <w:szCs w:val="24"/>
          <w:lang w:val="en-GB"/>
        </w:rPr>
      </w:pPr>
      <w:r w:rsidRPr="00E01E3E">
        <w:rPr>
          <w:rFonts w:asciiTheme="minorBidi" w:hAnsiTheme="minorBidi"/>
          <w:sz w:val="24"/>
          <w:szCs w:val="24"/>
          <w:lang w:val="en-GB"/>
        </w:rPr>
        <w:t xml:space="preserve">The DECLARE-TIMI 58 trial is presently being conducted in </w:t>
      </w:r>
      <w:r w:rsidRPr="00987D4E">
        <w:rPr>
          <w:rFonts w:asciiTheme="minorBidi" w:hAnsiTheme="minorBidi"/>
          <w:sz w:val="24"/>
          <w:szCs w:val="24"/>
          <w:rtl/>
          <w:lang w:val="en-GB"/>
        </w:rPr>
        <w:t>33</w:t>
      </w:r>
      <w:r w:rsidRPr="006358E9">
        <w:rPr>
          <w:rFonts w:asciiTheme="minorBidi" w:hAnsiTheme="minorBidi"/>
          <w:sz w:val="24"/>
          <w:szCs w:val="24"/>
          <w:lang w:val="en-GB"/>
        </w:rPr>
        <w:t xml:space="preserve"> countries at </w:t>
      </w:r>
      <w:r w:rsidRPr="004F7204">
        <w:rPr>
          <w:rFonts w:asciiTheme="minorBidi" w:hAnsiTheme="minorBidi"/>
          <w:sz w:val="24"/>
          <w:szCs w:val="24"/>
          <w:rtl/>
          <w:lang w:val="en-GB"/>
        </w:rPr>
        <w:t>882</w:t>
      </w:r>
      <w:r w:rsidRPr="006358E9">
        <w:rPr>
          <w:rFonts w:asciiTheme="minorBidi" w:hAnsiTheme="minorBidi"/>
          <w:sz w:val="24"/>
          <w:szCs w:val="24"/>
          <w:lang w:val="en-GB"/>
        </w:rPr>
        <w:t xml:space="preserve"> sites </w:t>
      </w:r>
      <w:r w:rsidRPr="004F7204">
        <w:rPr>
          <w:rFonts w:asciiTheme="minorBidi" w:hAnsiTheme="minorBidi"/>
          <w:sz w:val="24"/>
          <w:szCs w:val="24"/>
          <w:lang w:val="en-GB"/>
        </w:rPr>
        <w:t>led by cardiologists, endocrinologists, primary care physicians and nephrologists</w:t>
      </w:r>
      <w:r w:rsidRPr="00987D4E">
        <w:rPr>
          <w:rFonts w:asciiTheme="minorBidi" w:hAnsiTheme="minorBidi"/>
          <w:sz w:val="24"/>
          <w:szCs w:val="24"/>
          <w:lang w:val="en-GB"/>
        </w:rPr>
        <w:t>. A total of 25,836 patients were screened and after 1-2 months of single blind placebo run-in period with adequate compliance</w:t>
      </w:r>
      <w:r w:rsidRPr="00E01E3E">
        <w:rPr>
          <w:rFonts w:asciiTheme="minorBidi" w:hAnsiTheme="minorBidi"/>
          <w:sz w:val="24"/>
          <w:szCs w:val="24"/>
          <w:lang w:val="en-GB"/>
        </w:rPr>
        <w:t>, 17,190 were randomized whereof 17,160 patients will be evaluated in the primary analysis, 30 patients</w:t>
      </w:r>
      <w:r w:rsidRPr="00987D4E">
        <w:rPr>
          <w:rFonts w:asciiTheme="minorBidi" w:hAnsiTheme="minorBidi"/>
          <w:sz w:val="24"/>
          <w:szCs w:val="24"/>
        </w:rPr>
        <w:t xml:space="preserve"> were excluded from all analyses because of significant GCP violations at a single site in a different trial of dapagliflozin</w:t>
      </w:r>
      <w:r w:rsidRPr="00987D4E">
        <w:rPr>
          <w:rFonts w:asciiTheme="minorBidi" w:hAnsiTheme="minorBidi"/>
          <w:sz w:val="24"/>
          <w:szCs w:val="24"/>
          <w:lang w:val="en-GB"/>
        </w:rPr>
        <w:t>.</w:t>
      </w:r>
      <w:r w:rsidRPr="00E01E3E">
        <w:rPr>
          <w:rFonts w:asciiTheme="minorBidi" w:hAnsiTheme="minorBidi"/>
          <w:sz w:val="24"/>
          <w:szCs w:val="24"/>
          <w:lang w:val="en-GB"/>
        </w:rPr>
        <w:t xml:space="preserve"> </w:t>
      </w:r>
    </w:p>
    <w:p w:rsidR="00D31581" w:rsidRPr="00E01E3E" w:rsidRDefault="00D31581" w:rsidP="00D31581">
      <w:pPr>
        <w:bidi w:val="0"/>
        <w:spacing w:line="360" w:lineRule="auto"/>
        <w:jc w:val="both"/>
        <w:rPr>
          <w:rFonts w:asciiTheme="minorBidi" w:hAnsiTheme="minorBidi"/>
          <w:sz w:val="24"/>
          <w:szCs w:val="24"/>
          <w:lang w:val="en-GB"/>
        </w:rPr>
      </w:pPr>
      <w:r w:rsidRPr="006358E9">
        <w:rPr>
          <w:rFonts w:asciiTheme="minorBidi" w:hAnsiTheme="minorBidi"/>
          <w:sz w:val="24"/>
          <w:szCs w:val="24"/>
          <w:lang w:val="en-GB"/>
        </w:rPr>
        <w:t>Table 1 and Figure 1 present baseline demographic and clinical characteristics of the entire trial population</w:t>
      </w:r>
      <w:r w:rsidRPr="00E01E3E">
        <w:rPr>
          <w:rFonts w:asciiTheme="minorBidi" w:hAnsiTheme="minorBidi"/>
          <w:sz w:val="24"/>
          <w:szCs w:val="24"/>
          <w:lang w:val="en-GB"/>
        </w:rPr>
        <w:t xml:space="preserve"> as well as of the 6,97</w:t>
      </w:r>
      <w:r w:rsidRPr="006358E9">
        <w:rPr>
          <w:rFonts w:asciiTheme="minorBidi" w:hAnsiTheme="minorBidi"/>
          <w:sz w:val="24"/>
          <w:szCs w:val="24"/>
          <w:lang w:val="en-GB"/>
        </w:rPr>
        <w:t>1 (40.6</w:t>
      </w:r>
      <w:r w:rsidRPr="004F7204">
        <w:rPr>
          <w:rFonts w:asciiTheme="minorBidi" w:hAnsiTheme="minorBidi"/>
          <w:sz w:val="24"/>
          <w:szCs w:val="24"/>
          <w:lang w:val="en-GB"/>
        </w:rPr>
        <w:t xml:space="preserve">%) patients </w:t>
      </w:r>
      <w:r w:rsidRPr="00987D4E">
        <w:rPr>
          <w:rFonts w:asciiTheme="minorBidi" w:hAnsiTheme="minorBidi"/>
          <w:sz w:val="24"/>
          <w:szCs w:val="24"/>
          <w:lang w:val="en-GB"/>
        </w:rPr>
        <w:t xml:space="preserve">classified at baseline in the CVD group and the 10,189 (59.4%) patients </w:t>
      </w:r>
      <w:r w:rsidRPr="00E01E3E">
        <w:rPr>
          <w:rFonts w:asciiTheme="minorBidi" w:hAnsiTheme="minorBidi"/>
          <w:sz w:val="24"/>
          <w:szCs w:val="24"/>
          <w:lang w:val="en-GB"/>
        </w:rPr>
        <w:t xml:space="preserve">classified in the MRF group. </w:t>
      </w:r>
    </w:p>
    <w:p w:rsidR="00D31581" w:rsidRPr="00E01E3E" w:rsidRDefault="00D31581" w:rsidP="00D31581">
      <w:pPr>
        <w:bidi w:val="0"/>
        <w:spacing w:line="360" w:lineRule="auto"/>
        <w:jc w:val="both"/>
        <w:rPr>
          <w:rFonts w:asciiTheme="minorBidi" w:hAnsiTheme="minorBidi"/>
          <w:sz w:val="24"/>
          <w:szCs w:val="24"/>
          <w:lang w:val="en-GB"/>
        </w:rPr>
      </w:pPr>
      <w:r w:rsidRPr="00E01E3E">
        <w:rPr>
          <w:rFonts w:asciiTheme="minorBidi" w:hAnsiTheme="minorBidi"/>
          <w:sz w:val="24"/>
          <w:szCs w:val="24"/>
          <w:lang w:val="en-GB"/>
        </w:rPr>
        <w:t xml:space="preserve">The overall trial population is predominately male (62.6%) with an average age of 63.8 years (SD 6.8). The average BMI is </w:t>
      </w:r>
      <w:proofErr w:type="gramStart"/>
      <w:r w:rsidRPr="00E01E3E">
        <w:rPr>
          <w:rFonts w:asciiTheme="minorBidi" w:hAnsiTheme="minorBidi"/>
          <w:sz w:val="24"/>
          <w:szCs w:val="24"/>
          <w:lang w:val="en-GB"/>
        </w:rPr>
        <w:t>32.1 kg/m</w:t>
      </w:r>
      <w:r w:rsidRPr="00E01E3E">
        <w:rPr>
          <w:rFonts w:asciiTheme="minorBidi" w:hAnsiTheme="minorBidi"/>
          <w:sz w:val="24"/>
          <w:szCs w:val="24"/>
          <w:vertAlign w:val="superscript"/>
          <w:lang w:val="en-GB"/>
        </w:rPr>
        <w:t>2</w:t>
      </w:r>
      <w:r w:rsidRPr="00E01E3E">
        <w:rPr>
          <w:rFonts w:asciiTheme="minorBidi" w:hAnsiTheme="minorBidi"/>
          <w:sz w:val="24"/>
          <w:szCs w:val="24"/>
          <w:lang w:val="en-GB"/>
        </w:rPr>
        <w:t xml:space="preserve"> (SD 6.0)</w:t>
      </w:r>
      <w:proofErr w:type="gramEnd"/>
      <w:r w:rsidRPr="00E01E3E">
        <w:rPr>
          <w:rFonts w:asciiTheme="minorBidi" w:hAnsiTheme="minorBidi"/>
          <w:sz w:val="24"/>
          <w:szCs w:val="24"/>
          <w:lang w:val="en-GB"/>
        </w:rPr>
        <w:t xml:space="preserve"> and average HbA1c is 8.3% (SD 1.2) (Table 1). Distribution of recruitment is: Europe (44.5%), North America (31.9%), Latin America (10.9%) and Asia/Pacific (12.7%), leading to a predominately white (79.6%) population (Figure 1A). </w:t>
      </w:r>
      <w:r w:rsidRPr="00E01E3E">
        <w:rPr>
          <w:rFonts w:asciiTheme="minorBidi" w:hAnsiTheme="minorBidi"/>
          <w:sz w:val="24"/>
          <w:szCs w:val="24"/>
        </w:rPr>
        <w:t>Diabetes duration at baseline was heterogeneous, spanning from &lt;5 years to &gt;20, with approximately half of the population having disease duration of ≥10 years (Figure 1B)</w:t>
      </w:r>
      <w:r w:rsidRPr="00E01E3E">
        <w:rPr>
          <w:rFonts w:asciiTheme="minorBidi" w:hAnsiTheme="minorBidi"/>
          <w:sz w:val="24"/>
          <w:szCs w:val="24"/>
          <w:lang w:val="en-GB"/>
        </w:rPr>
        <w:t xml:space="preserve">. </w:t>
      </w:r>
    </w:p>
    <w:p w:rsidR="00D31581" w:rsidRPr="00E01E3E" w:rsidRDefault="00D31581" w:rsidP="00D31581">
      <w:pPr>
        <w:bidi w:val="0"/>
        <w:spacing w:line="360" w:lineRule="auto"/>
        <w:jc w:val="both"/>
        <w:rPr>
          <w:rFonts w:asciiTheme="minorBidi" w:hAnsiTheme="minorBidi"/>
          <w:sz w:val="24"/>
          <w:szCs w:val="24"/>
          <w:lang w:val="en-GB"/>
        </w:rPr>
      </w:pPr>
      <w:r w:rsidRPr="00E01E3E">
        <w:rPr>
          <w:rFonts w:asciiTheme="minorBidi" w:hAnsiTheme="minorBidi"/>
          <w:sz w:val="24"/>
          <w:szCs w:val="24"/>
          <w:lang w:val="en-GB"/>
        </w:rPr>
        <w:lastRenderedPageBreak/>
        <w:t>Patients with CVD compared with those with MRF were more likely to be male (72.1% vs. 56.1%), ha</w:t>
      </w:r>
      <w:r w:rsidRPr="006358E9">
        <w:rPr>
          <w:rFonts w:asciiTheme="minorBidi" w:hAnsiTheme="minorBidi"/>
          <w:sz w:val="24"/>
          <w:szCs w:val="24"/>
          <w:lang w:val="en-GB"/>
        </w:rPr>
        <w:t xml:space="preserve">d similar </w:t>
      </w:r>
      <w:r w:rsidRPr="004F7204">
        <w:rPr>
          <w:rFonts w:asciiTheme="minorBidi" w:hAnsiTheme="minorBidi"/>
          <w:sz w:val="24"/>
          <w:szCs w:val="24"/>
          <w:lang w:val="en-GB"/>
        </w:rPr>
        <w:t>diabetes duration (12.0</w:t>
      </w:r>
      <w:r w:rsidRPr="00987D4E">
        <w:rPr>
          <w:rFonts w:asciiTheme="minorBidi" w:hAnsiTheme="minorBidi"/>
          <w:sz w:val="24"/>
          <w:szCs w:val="24"/>
          <w:lang w:val="en-GB"/>
        </w:rPr>
        <w:t xml:space="preserve"> vs. 11.7 years) and mean HbA1c (8.33% vs. 8.26%). Both subgroups had a high prevalence of CV risk fa</w:t>
      </w:r>
      <w:r w:rsidRPr="00E01E3E">
        <w:rPr>
          <w:rFonts w:asciiTheme="minorBidi" w:hAnsiTheme="minorBidi"/>
          <w:sz w:val="24"/>
          <w:szCs w:val="24"/>
          <w:lang w:val="en-GB"/>
        </w:rPr>
        <w:t>ctors especially medically treated hypertension (87.7% and 90.6% in the CVD and MRF groups, respectively). Nearly 10% (n=1</w:t>
      </w:r>
      <w:r>
        <w:rPr>
          <w:rFonts w:asciiTheme="minorBidi" w:hAnsiTheme="minorBidi"/>
          <w:sz w:val="24"/>
          <w:szCs w:val="24"/>
        </w:rPr>
        <w:t>,</w:t>
      </w:r>
      <w:r w:rsidRPr="00E01E3E">
        <w:rPr>
          <w:rFonts w:asciiTheme="minorBidi" w:hAnsiTheme="minorBidi"/>
          <w:sz w:val="24"/>
          <w:szCs w:val="24"/>
          <w:lang w:val="en-GB"/>
        </w:rPr>
        <w:t>698) of the overall trial population had heart failure at baseline and over 6% had atrial fibrillation at baseline</w:t>
      </w:r>
      <w:r>
        <w:rPr>
          <w:rFonts w:asciiTheme="minorBidi" w:hAnsiTheme="minorBidi"/>
          <w:sz w:val="24"/>
          <w:szCs w:val="24"/>
          <w:lang w:val="en-GB"/>
        </w:rPr>
        <w:t>, both collected by the investigators</w:t>
      </w:r>
      <w:r w:rsidRPr="00E01E3E">
        <w:rPr>
          <w:rFonts w:asciiTheme="minorBidi" w:hAnsiTheme="minorBidi"/>
          <w:sz w:val="24"/>
          <w:szCs w:val="24"/>
          <w:lang w:val="en-GB"/>
        </w:rPr>
        <w:t xml:space="preserve"> </w:t>
      </w:r>
      <w:r>
        <w:rPr>
          <w:rFonts w:asciiTheme="minorBidi" w:hAnsiTheme="minorBidi"/>
          <w:sz w:val="24"/>
          <w:szCs w:val="24"/>
          <w:lang w:val="en-GB"/>
        </w:rPr>
        <w:t xml:space="preserve">using specific questions </w:t>
      </w:r>
      <w:r w:rsidRPr="00E01E3E">
        <w:rPr>
          <w:rFonts w:asciiTheme="minorBidi" w:hAnsiTheme="minorBidi"/>
          <w:sz w:val="24"/>
          <w:szCs w:val="24"/>
          <w:lang w:val="en-GB"/>
        </w:rPr>
        <w:t>(Table 1).</w:t>
      </w:r>
      <w:r>
        <w:rPr>
          <w:rFonts w:asciiTheme="minorBidi" w:hAnsiTheme="minorBidi"/>
          <w:sz w:val="24"/>
          <w:szCs w:val="24"/>
          <w:lang w:val="en-GB"/>
        </w:rPr>
        <w:t xml:space="preserve"> Data regarding heart failure at baseline and during the trial that was retrospectively and prospectively collected included ejection fraction wherever available.  </w:t>
      </w:r>
    </w:p>
    <w:p w:rsidR="00D31581" w:rsidRPr="00E01E3E" w:rsidRDefault="00D31581" w:rsidP="00D31581">
      <w:pPr>
        <w:bidi w:val="0"/>
        <w:spacing w:line="360" w:lineRule="auto"/>
        <w:jc w:val="both"/>
        <w:rPr>
          <w:rFonts w:asciiTheme="minorBidi" w:hAnsiTheme="minorBidi"/>
          <w:sz w:val="24"/>
          <w:szCs w:val="24"/>
          <w:lang w:val="en-GB"/>
        </w:rPr>
      </w:pPr>
      <w:r w:rsidRPr="00E01E3E">
        <w:rPr>
          <w:rFonts w:asciiTheme="minorBidi" w:hAnsiTheme="minorBidi"/>
          <w:sz w:val="24"/>
          <w:szCs w:val="24"/>
          <w:lang w:val="en-GB"/>
        </w:rPr>
        <w:t>There was less use of metformin and sulfonylurea in the CVD group compared to the MRF group (74.6% vs. 81.2% and 38.0% vs. 43.2% respectively).  There was greater use of insulin in the CVD group compared to</w:t>
      </w:r>
      <w:r>
        <w:rPr>
          <w:rFonts w:asciiTheme="minorBidi" w:hAnsiTheme="minorBidi"/>
          <w:sz w:val="24"/>
          <w:szCs w:val="24"/>
          <w:lang w:val="en-GB"/>
        </w:rPr>
        <w:t xml:space="preserve"> the MRF group (44.2% vs. 36.4%</w:t>
      </w:r>
      <w:r w:rsidRPr="00E01E3E">
        <w:rPr>
          <w:rFonts w:asciiTheme="minorBidi" w:hAnsiTheme="minorBidi"/>
          <w:sz w:val="24"/>
          <w:szCs w:val="24"/>
          <w:lang w:val="en-GB"/>
        </w:rPr>
        <w:t xml:space="preserve">) </w:t>
      </w:r>
      <w:proofErr w:type="gramStart"/>
      <w:r w:rsidRPr="00E01E3E">
        <w:rPr>
          <w:rFonts w:asciiTheme="minorBidi" w:hAnsiTheme="minorBidi"/>
          <w:sz w:val="24"/>
          <w:szCs w:val="24"/>
          <w:lang w:val="en-GB"/>
        </w:rPr>
        <w:t>(Figure 1C).</w:t>
      </w:r>
      <w:proofErr w:type="gramEnd"/>
      <w:r w:rsidRPr="00E01E3E">
        <w:rPr>
          <w:rFonts w:asciiTheme="minorBidi" w:hAnsiTheme="minorBidi"/>
          <w:sz w:val="24"/>
          <w:szCs w:val="24"/>
          <w:lang w:val="en-GB"/>
        </w:rPr>
        <w:t xml:space="preserve"> There was a high level of use of anti-hypertensive medication in the trial, with a markedly higher use of beta-blockers in the CVD group (66.6% vs. 32.3%) (Figure 1D). There was higher use of anti-platelets and anti-coagulant agents in the CVD group (aspirin: 71.1% vs. 39.1%, clopidogrel: 24.7% vs. 1.5%, warfarin: 6.1% vs 3.5% and NOACs: 2.1% vs 1.1%) </w:t>
      </w:r>
      <w:proofErr w:type="gramStart"/>
      <w:r w:rsidRPr="00E01E3E">
        <w:rPr>
          <w:rFonts w:asciiTheme="minorBidi" w:hAnsiTheme="minorBidi"/>
          <w:sz w:val="24"/>
          <w:szCs w:val="24"/>
          <w:lang w:val="en-GB"/>
        </w:rPr>
        <w:t>(Figure 1E).</w:t>
      </w:r>
      <w:proofErr w:type="gramEnd"/>
      <w:r w:rsidRPr="00E01E3E">
        <w:rPr>
          <w:rFonts w:asciiTheme="minorBidi" w:hAnsiTheme="minorBidi"/>
          <w:sz w:val="24"/>
          <w:szCs w:val="24"/>
          <w:lang w:val="en-GB"/>
        </w:rPr>
        <w:t xml:space="preserve"> Lastly, there was higher use of lipid lowering agents, most noticeably statins in the CVD group (82.2% vs. 63.7%) </w:t>
      </w:r>
      <w:proofErr w:type="gramStart"/>
      <w:r w:rsidRPr="00E01E3E">
        <w:rPr>
          <w:rFonts w:asciiTheme="minorBidi" w:hAnsiTheme="minorBidi"/>
          <w:sz w:val="24"/>
          <w:szCs w:val="24"/>
          <w:lang w:val="en-GB"/>
        </w:rPr>
        <w:t>(Figure 1F).</w:t>
      </w:r>
      <w:proofErr w:type="gramEnd"/>
      <w:r w:rsidRPr="00E01E3E">
        <w:rPr>
          <w:rFonts w:asciiTheme="minorBidi" w:hAnsiTheme="minorBidi"/>
          <w:sz w:val="24"/>
          <w:szCs w:val="24"/>
          <w:lang w:val="en-GB"/>
        </w:rPr>
        <w:t xml:space="preserve">      </w:t>
      </w:r>
    </w:p>
    <w:p w:rsidR="00D31581" w:rsidRPr="00E01E3E" w:rsidRDefault="00D31581" w:rsidP="00D31581">
      <w:pPr>
        <w:bidi w:val="0"/>
        <w:spacing w:line="360" w:lineRule="auto"/>
        <w:jc w:val="both"/>
        <w:rPr>
          <w:rFonts w:asciiTheme="minorBidi" w:hAnsiTheme="minorBidi"/>
          <w:sz w:val="24"/>
          <w:szCs w:val="24"/>
        </w:rPr>
      </w:pPr>
      <w:r w:rsidRPr="00E01E3E">
        <w:rPr>
          <w:rFonts w:asciiTheme="minorBidi" w:hAnsiTheme="minorBidi"/>
          <w:sz w:val="24"/>
          <w:szCs w:val="24"/>
        </w:rPr>
        <w:t xml:space="preserve">Previous MI, PCI and CABG were reported in 20.9%, 21.3% and 9.8% of the entire trial population and in 51.4%, 52.4% and 24.1% of the CVD population, respectively (Table 2). Previous ischemic stroke was recorded in 6.5% and 15.9% of the entire study population and the CVD group (Table 2).  </w:t>
      </w:r>
    </w:p>
    <w:p w:rsidR="00D31581" w:rsidRPr="00E01E3E" w:rsidRDefault="00D31581" w:rsidP="00D31581">
      <w:pPr>
        <w:bidi w:val="0"/>
        <w:spacing w:line="360" w:lineRule="auto"/>
        <w:jc w:val="both"/>
        <w:rPr>
          <w:rFonts w:asciiTheme="minorBidi" w:hAnsiTheme="minorBidi"/>
          <w:sz w:val="24"/>
          <w:szCs w:val="24"/>
          <w:rtl/>
        </w:rPr>
      </w:pPr>
      <w:r w:rsidRPr="00E01E3E">
        <w:rPr>
          <w:rFonts w:asciiTheme="minorBidi" w:hAnsiTheme="minorBidi"/>
          <w:sz w:val="24"/>
          <w:szCs w:val="24"/>
        </w:rPr>
        <w:t>There were</w:t>
      </w:r>
      <w:r>
        <w:rPr>
          <w:rFonts w:asciiTheme="minorBidi" w:hAnsiTheme="minorBidi"/>
          <w:sz w:val="24"/>
          <w:szCs w:val="24"/>
        </w:rPr>
        <w:t xml:space="preserve"> very</w:t>
      </w:r>
      <w:r w:rsidRPr="00E01E3E">
        <w:rPr>
          <w:rFonts w:asciiTheme="minorBidi" w:hAnsiTheme="minorBidi"/>
          <w:sz w:val="24"/>
          <w:szCs w:val="24"/>
        </w:rPr>
        <w:t xml:space="preserve"> small differences in baseline blood pressure (both systolic and diastolic), LDL and HDL cholesterol, triglycerides and eGFR between the MRF and CVD groups (Table 3). </w:t>
      </w:r>
    </w:p>
    <w:p w:rsidR="00D31581" w:rsidRPr="00E01E3E" w:rsidRDefault="00D31581" w:rsidP="00D31581">
      <w:pPr>
        <w:bidi w:val="0"/>
        <w:spacing w:after="0" w:line="360" w:lineRule="auto"/>
        <w:jc w:val="both"/>
        <w:rPr>
          <w:rFonts w:asciiTheme="minorBidi" w:hAnsiTheme="minorBidi"/>
          <w:sz w:val="24"/>
          <w:szCs w:val="24"/>
        </w:rPr>
      </w:pPr>
      <w:bookmarkStart w:id="5" w:name="_Hlk500647622"/>
      <w:r>
        <w:rPr>
          <w:rFonts w:asciiTheme="minorBidi" w:hAnsiTheme="minorBidi"/>
          <w:color w:val="000000"/>
          <w:sz w:val="24"/>
          <w:szCs w:val="24"/>
        </w:rPr>
        <w:t xml:space="preserve">While </w:t>
      </w:r>
      <w:r w:rsidRPr="00E01E3E">
        <w:rPr>
          <w:rFonts w:asciiTheme="minorBidi" w:hAnsiTheme="minorBidi"/>
          <w:color w:val="000000"/>
          <w:sz w:val="24"/>
          <w:szCs w:val="24"/>
        </w:rPr>
        <w:t>creatinine clearance (</w:t>
      </w:r>
      <w:proofErr w:type="spellStart"/>
      <w:r w:rsidRPr="00E01E3E">
        <w:rPr>
          <w:rFonts w:asciiTheme="minorBidi" w:hAnsiTheme="minorBidi"/>
          <w:color w:val="000000"/>
          <w:sz w:val="24"/>
          <w:szCs w:val="24"/>
        </w:rPr>
        <w:t>CrCl</w:t>
      </w:r>
      <w:proofErr w:type="spellEnd"/>
      <w:r w:rsidRPr="00E01E3E">
        <w:rPr>
          <w:rFonts w:asciiTheme="minorBidi" w:hAnsiTheme="minorBidi"/>
          <w:color w:val="000000"/>
          <w:sz w:val="24"/>
          <w:szCs w:val="24"/>
        </w:rPr>
        <w:t xml:space="preserve">) &lt; 60 ml/min (based on the </w:t>
      </w:r>
      <w:r w:rsidRPr="006358E9">
        <w:rPr>
          <w:rFonts w:asciiTheme="minorBidi" w:hAnsiTheme="minorBidi"/>
          <w:color w:val="000000"/>
          <w:sz w:val="24"/>
          <w:szCs w:val="24"/>
        </w:rPr>
        <w:t>Cockcroft-Gault equation)</w:t>
      </w:r>
      <w:r>
        <w:rPr>
          <w:rFonts w:asciiTheme="minorBidi" w:hAnsiTheme="minorBidi"/>
          <w:color w:val="000000"/>
          <w:sz w:val="24"/>
          <w:szCs w:val="24"/>
        </w:rPr>
        <w:t xml:space="preserve"> was an exclusion criteria, t</w:t>
      </w:r>
      <w:r w:rsidRPr="00E01E3E">
        <w:rPr>
          <w:rFonts w:asciiTheme="minorBidi" w:hAnsiTheme="minorBidi"/>
          <w:color w:val="000000"/>
          <w:sz w:val="24"/>
          <w:szCs w:val="24"/>
        </w:rPr>
        <w:t>he mean eGFR</w:t>
      </w:r>
      <w:r>
        <w:rPr>
          <w:rFonts w:asciiTheme="minorBidi" w:hAnsiTheme="minorBidi"/>
          <w:color w:val="000000"/>
          <w:sz w:val="24"/>
          <w:szCs w:val="24"/>
        </w:rPr>
        <w:t>,</w:t>
      </w:r>
      <w:r w:rsidRPr="00E01E3E">
        <w:rPr>
          <w:rFonts w:asciiTheme="minorBidi" w:hAnsiTheme="minorBidi"/>
          <w:color w:val="000000"/>
          <w:sz w:val="24"/>
          <w:szCs w:val="24"/>
        </w:rPr>
        <w:t xml:space="preserve"> </w:t>
      </w:r>
      <w:r>
        <w:rPr>
          <w:rFonts w:asciiTheme="minorBidi" w:hAnsiTheme="minorBidi"/>
          <w:color w:val="000000"/>
          <w:sz w:val="24"/>
          <w:szCs w:val="24"/>
        </w:rPr>
        <w:t xml:space="preserve">when calculating with the MDRD (modification of diet in renal disease) formula, </w:t>
      </w:r>
      <w:r w:rsidRPr="00E01E3E">
        <w:rPr>
          <w:rFonts w:asciiTheme="minorBidi" w:hAnsiTheme="minorBidi"/>
          <w:color w:val="000000"/>
          <w:sz w:val="24"/>
          <w:szCs w:val="24"/>
        </w:rPr>
        <w:t>was 86.1 (standard deviation (SD) 21.8) ml/min/1.73m</w:t>
      </w:r>
      <w:r w:rsidRPr="00E01E3E">
        <w:rPr>
          <w:rFonts w:asciiTheme="minorBidi" w:hAnsiTheme="minorBidi"/>
          <w:color w:val="000000"/>
          <w:sz w:val="24"/>
          <w:szCs w:val="24"/>
          <w:vertAlign w:val="superscript"/>
        </w:rPr>
        <w:t>2</w:t>
      </w:r>
      <w:r w:rsidRPr="00E01E3E">
        <w:rPr>
          <w:rFonts w:asciiTheme="minorBidi" w:hAnsiTheme="minorBidi"/>
          <w:color w:val="000000"/>
          <w:sz w:val="24"/>
          <w:szCs w:val="24"/>
        </w:rPr>
        <w:t>, including 1,565 patients (9.1%)</w:t>
      </w:r>
      <w:r w:rsidRPr="006358E9">
        <w:rPr>
          <w:rFonts w:asciiTheme="minorBidi" w:hAnsiTheme="minorBidi"/>
          <w:color w:val="000000"/>
          <w:sz w:val="24"/>
          <w:szCs w:val="24"/>
        </w:rPr>
        <w:t xml:space="preserve"> with </w:t>
      </w:r>
      <w:r w:rsidRPr="006358E9">
        <w:rPr>
          <w:rFonts w:asciiTheme="minorBidi" w:hAnsiTheme="minorBidi"/>
          <w:color w:val="000000"/>
          <w:sz w:val="24"/>
          <w:szCs w:val="24"/>
        </w:rPr>
        <w:lastRenderedPageBreak/>
        <w:t>eGFR &lt;60 ml/min/1.73m</w:t>
      </w:r>
      <w:r w:rsidRPr="004F7204">
        <w:rPr>
          <w:rFonts w:asciiTheme="minorBidi" w:hAnsiTheme="minorBidi"/>
          <w:color w:val="000000"/>
          <w:sz w:val="24"/>
          <w:szCs w:val="24"/>
          <w:vertAlign w:val="superscript"/>
        </w:rPr>
        <w:t xml:space="preserve">2 </w:t>
      </w:r>
      <w:r w:rsidRPr="00987D4E">
        <w:rPr>
          <w:rFonts w:asciiTheme="minorBidi" w:hAnsiTheme="minorBidi"/>
          <w:sz w:val="24"/>
          <w:szCs w:val="24"/>
        </w:rPr>
        <w:t>(Table 1)</w:t>
      </w:r>
      <w:r w:rsidRPr="00987D4E">
        <w:rPr>
          <w:rFonts w:asciiTheme="minorBidi" w:hAnsiTheme="minorBidi"/>
          <w:color w:val="000000"/>
          <w:sz w:val="24"/>
          <w:szCs w:val="24"/>
        </w:rPr>
        <w:t>.</w:t>
      </w:r>
      <w:bookmarkEnd w:id="5"/>
      <w:r w:rsidRPr="00987D4E">
        <w:rPr>
          <w:rFonts w:asciiTheme="minorBidi" w:hAnsiTheme="minorBidi"/>
          <w:color w:val="000000"/>
          <w:sz w:val="24"/>
          <w:szCs w:val="24"/>
        </w:rPr>
        <w:t xml:space="preserve"> </w:t>
      </w:r>
      <w:r w:rsidRPr="00987D4E">
        <w:rPr>
          <w:rFonts w:asciiTheme="minorBidi" w:hAnsiTheme="minorBidi"/>
          <w:sz w:val="24"/>
          <w:szCs w:val="24"/>
          <w:lang w:val="en-GB"/>
        </w:rPr>
        <w:t xml:space="preserve">1,393 patients (8.1%) </w:t>
      </w:r>
      <w:r w:rsidRPr="00E01E3E">
        <w:rPr>
          <w:rFonts w:asciiTheme="minorBidi" w:hAnsiTheme="minorBidi"/>
          <w:sz w:val="24"/>
          <w:szCs w:val="24"/>
          <w:lang w:val="en-GB"/>
        </w:rPr>
        <w:t>were reported by the investigators as having</w:t>
      </w:r>
      <w:r w:rsidRPr="00E01E3E">
        <w:rPr>
          <w:rFonts w:asciiTheme="minorBidi" w:hAnsiTheme="minorBidi"/>
          <w:sz w:val="24"/>
          <w:szCs w:val="24"/>
        </w:rPr>
        <w:t xml:space="preserve"> nephropathy, however there were 5,192 (30.2%) patients with urinary </w:t>
      </w:r>
      <w:proofErr w:type="spellStart"/>
      <w:r w:rsidRPr="00E01E3E">
        <w:rPr>
          <w:rFonts w:asciiTheme="minorBidi" w:hAnsiTheme="minorBidi"/>
          <w:sz w:val="24"/>
          <w:szCs w:val="24"/>
        </w:rPr>
        <w:t>albumin:creatinine</w:t>
      </w:r>
      <w:proofErr w:type="spellEnd"/>
      <w:r w:rsidRPr="00E01E3E">
        <w:rPr>
          <w:rFonts w:asciiTheme="minorBidi" w:hAnsiTheme="minorBidi"/>
          <w:sz w:val="24"/>
          <w:szCs w:val="24"/>
        </w:rPr>
        <w:t xml:space="preserve"> ratio ≥30 mg/g. </w:t>
      </w:r>
    </w:p>
    <w:p w:rsidR="00D31581" w:rsidRPr="00E01E3E" w:rsidRDefault="00D31581" w:rsidP="00D31581">
      <w:pPr>
        <w:bidi w:val="0"/>
        <w:spacing w:line="360" w:lineRule="auto"/>
        <w:jc w:val="both"/>
        <w:rPr>
          <w:rFonts w:asciiTheme="minorBidi" w:hAnsiTheme="minorBidi"/>
          <w:b/>
          <w:bCs/>
          <w:sz w:val="24"/>
          <w:szCs w:val="24"/>
        </w:rPr>
      </w:pPr>
    </w:p>
    <w:p w:rsidR="00D31581" w:rsidRPr="00E01E3E" w:rsidRDefault="00D31581" w:rsidP="00D31581">
      <w:pPr>
        <w:bidi w:val="0"/>
        <w:spacing w:line="360" w:lineRule="auto"/>
        <w:jc w:val="both"/>
        <w:rPr>
          <w:rFonts w:asciiTheme="minorBidi" w:hAnsiTheme="minorBidi"/>
          <w:sz w:val="24"/>
          <w:szCs w:val="24"/>
        </w:rPr>
      </w:pPr>
      <w:r w:rsidRPr="00E01E3E">
        <w:rPr>
          <w:rFonts w:asciiTheme="minorBidi" w:hAnsiTheme="minorBidi"/>
          <w:b/>
          <w:bCs/>
          <w:sz w:val="24"/>
          <w:szCs w:val="24"/>
        </w:rPr>
        <w:t>Discussion:</w:t>
      </w:r>
    </w:p>
    <w:p w:rsidR="00D31581" w:rsidRPr="00E01E3E" w:rsidRDefault="00D31581" w:rsidP="00D31581">
      <w:pPr>
        <w:bidi w:val="0"/>
        <w:spacing w:line="360" w:lineRule="auto"/>
        <w:jc w:val="both"/>
        <w:rPr>
          <w:rFonts w:asciiTheme="minorBidi" w:hAnsiTheme="minorBidi"/>
          <w:sz w:val="24"/>
          <w:szCs w:val="24"/>
          <w:lang w:val="en-GB"/>
        </w:rPr>
      </w:pPr>
      <w:r>
        <w:rPr>
          <w:rFonts w:asciiTheme="minorBidi" w:hAnsiTheme="minorBidi"/>
          <w:sz w:val="24"/>
          <w:szCs w:val="24"/>
          <w:lang w:val="en-GB"/>
        </w:rPr>
        <w:t>I</w:t>
      </w:r>
      <w:r w:rsidRPr="006358E9">
        <w:rPr>
          <w:rFonts w:asciiTheme="minorBidi" w:hAnsiTheme="minorBidi"/>
          <w:sz w:val="24"/>
          <w:szCs w:val="24"/>
          <w:lang w:val="en-GB"/>
        </w:rPr>
        <w:t>t ha</w:t>
      </w:r>
      <w:r>
        <w:rPr>
          <w:rFonts w:asciiTheme="minorBidi" w:hAnsiTheme="minorBidi"/>
          <w:sz w:val="24"/>
          <w:szCs w:val="24"/>
          <w:lang w:val="en-GB"/>
        </w:rPr>
        <w:t>s</w:t>
      </w:r>
      <w:r w:rsidRPr="006358E9">
        <w:rPr>
          <w:rFonts w:asciiTheme="minorBidi" w:hAnsiTheme="minorBidi"/>
          <w:sz w:val="24"/>
          <w:szCs w:val="24"/>
          <w:lang w:val="en-GB"/>
        </w:rPr>
        <w:t xml:space="preserve"> been well established that improved glycemic control is associated with a reduced rate of microvascular complications</w:t>
      </w:r>
      <w:r>
        <w:rPr>
          <w:rFonts w:asciiTheme="minorBidi" w:hAnsiTheme="minorBidi"/>
          <w:sz w:val="24"/>
          <w:szCs w:val="24"/>
          <w:lang w:val="en-GB"/>
        </w:rPr>
        <w:t>;</w:t>
      </w:r>
      <w:r w:rsidRPr="004F7204">
        <w:rPr>
          <w:rFonts w:asciiTheme="minorBidi" w:hAnsiTheme="minorBidi"/>
          <w:sz w:val="24"/>
          <w:szCs w:val="24"/>
          <w:lang w:val="en-GB"/>
        </w:rPr>
        <w:t xml:space="preserve"> </w:t>
      </w:r>
      <w:r>
        <w:rPr>
          <w:rFonts w:asciiTheme="minorBidi" w:hAnsiTheme="minorBidi"/>
          <w:sz w:val="24"/>
          <w:szCs w:val="24"/>
          <w:lang w:val="en-GB"/>
        </w:rPr>
        <w:t xml:space="preserve">however, </w:t>
      </w:r>
      <w:r w:rsidRPr="004F7204">
        <w:rPr>
          <w:rFonts w:asciiTheme="minorBidi" w:hAnsiTheme="minorBidi"/>
          <w:sz w:val="24"/>
          <w:szCs w:val="24"/>
          <w:lang w:val="en-GB"/>
        </w:rPr>
        <w:t xml:space="preserve">data </w:t>
      </w:r>
      <w:r w:rsidRPr="00987D4E">
        <w:rPr>
          <w:rFonts w:asciiTheme="minorBidi" w:hAnsiTheme="minorBidi"/>
          <w:sz w:val="24"/>
          <w:szCs w:val="24"/>
          <w:lang w:val="en-GB"/>
        </w:rPr>
        <w:t>regarding the effect of glycemic control on macrovascular outcomes are much weaker</w:t>
      </w:r>
      <w:r w:rsidRPr="00E01E3E">
        <w:rPr>
          <w:rFonts w:asciiTheme="minorBidi" w:hAnsiTheme="minorBidi"/>
          <w:sz w:val="24"/>
          <w:szCs w:val="24"/>
          <w:lang w:val="en-GB"/>
        </w:rPr>
        <w:t xml:space="preserve"> with significant discordance (33). The development of new classes of GLAs that </w:t>
      </w:r>
      <w:r>
        <w:rPr>
          <w:rFonts w:asciiTheme="minorBidi" w:hAnsiTheme="minorBidi"/>
          <w:sz w:val="24"/>
          <w:szCs w:val="24"/>
          <w:lang w:val="en-GB"/>
        </w:rPr>
        <w:t xml:space="preserve">reduce conventional CV risk factors (weight and blood pressure), such as </w:t>
      </w:r>
      <w:r w:rsidRPr="00E01E3E">
        <w:rPr>
          <w:rFonts w:asciiTheme="minorBidi" w:hAnsiTheme="minorBidi"/>
          <w:sz w:val="24"/>
          <w:szCs w:val="24"/>
          <w:lang w:val="en-GB"/>
        </w:rPr>
        <w:t>glucagon like peptide-1 receptor agonist</w:t>
      </w:r>
      <w:r>
        <w:rPr>
          <w:rFonts w:asciiTheme="minorBidi" w:hAnsiTheme="minorBidi"/>
          <w:sz w:val="24"/>
          <w:szCs w:val="24"/>
          <w:lang w:val="en-GB"/>
        </w:rPr>
        <w:t>s</w:t>
      </w:r>
      <w:r w:rsidRPr="00E01E3E">
        <w:rPr>
          <w:rFonts w:asciiTheme="minorBidi" w:hAnsiTheme="minorBidi"/>
          <w:sz w:val="24"/>
          <w:szCs w:val="24"/>
          <w:lang w:val="en-GB"/>
        </w:rPr>
        <w:t xml:space="preserve"> (GLP-1 RA) and SGLT2 inhibitors, raised the hope that these novel GLAs might decrease CV risk in patients with T2D.</w:t>
      </w:r>
    </w:p>
    <w:p w:rsidR="00D31581" w:rsidRPr="00E01E3E" w:rsidRDefault="00D31581" w:rsidP="00D31581">
      <w:pPr>
        <w:bidi w:val="0"/>
        <w:spacing w:line="360" w:lineRule="auto"/>
        <w:jc w:val="both"/>
        <w:rPr>
          <w:rFonts w:asciiTheme="minorBidi" w:hAnsiTheme="minorBidi"/>
          <w:sz w:val="24"/>
          <w:szCs w:val="24"/>
        </w:rPr>
      </w:pPr>
      <w:r w:rsidRPr="00E01E3E">
        <w:rPr>
          <w:rFonts w:asciiTheme="minorBidi" w:hAnsiTheme="minorBidi"/>
          <w:sz w:val="24"/>
          <w:szCs w:val="24"/>
          <w:lang w:val="en-GB"/>
        </w:rPr>
        <w:t xml:space="preserve">These expectations were first met with the publication of the EMPA-REG OUTCOME trial results that demonstrated a 14% relative risk reduction (HR 0.86 95% CI 0.74-0.99) in the primary MACE outcome of CV death/MI/stroke, mostly due to a 38% relative risk reduction (HR 0.62 95%CI 0.49-0.77) in CV mortality with the SGLT2 inhibitor empagliflozin vs. placebo (27). The recently published CANVAS Program evaluating canagliflozin vs. placebo in 2 trials that were combined for primary analysis, also demonstrated a 14% reduction (HR 0.86 95%CI 0.75-0.97) in the primary 3-point MACE outcome of CV death/MI/stroke with a positive contribution of all three components (29). The DECLARE-TIMI 58 trial with its larger and broader population and the planned longer follow-up will </w:t>
      </w:r>
      <w:r w:rsidRPr="00E01E3E">
        <w:rPr>
          <w:rFonts w:asciiTheme="minorBidi" w:hAnsiTheme="minorBidi"/>
          <w:sz w:val="24"/>
          <w:szCs w:val="24"/>
        </w:rPr>
        <w:t>distinguish this trial from previously published CVOTs with SGLT2 inhibitors.</w:t>
      </w:r>
    </w:p>
    <w:p w:rsidR="00D31581" w:rsidRDefault="00D31581" w:rsidP="00D31581">
      <w:pPr>
        <w:bidi w:val="0"/>
        <w:spacing w:line="360" w:lineRule="auto"/>
        <w:jc w:val="both"/>
        <w:rPr>
          <w:rFonts w:asciiTheme="minorBidi" w:hAnsiTheme="minorBidi"/>
          <w:sz w:val="24"/>
          <w:szCs w:val="24"/>
          <w:lang w:val="en-GB"/>
        </w:rPr>
      </w:pPr>
      <w:r w:rsidRPr="00E01E3E">
        <w:rPr>
          <w:rFonts w:asciiTheme="minorBidi" w:hAnsiTheme="minorBidi"/>
          <w:sz w:val="24"/>
          <w:szCs w:val="24"/>
          <w:lang w:val="en-GB"/>
        </w:rPr>
        <w:t xml:space="preserve"> In EMPA-REG OUTCOME and the CANVAS Program, the relative risk for hospitalization for HF was reduced by 35% (HR 0.65 95%CI 0.50-0.85) and 33% (HR 0.67 95%CI 0.52-0.87) respectively (27</w:t>
      </w:r>
      <w:proofErr w:type="gramStart"/>
      <w:r w:rsidRPr="00E01E3E">
        <w:rPr>
          <w:rFonts w:asciiTheme="minorBidi" w:hAnsiTheme="minorBidi"/>
          <w:sz w:val="24"/>
          <w:szCs w:val="24"/>
          <w:lang w:val="en-GB"/>
        </w:rPr>
        <w:t>,29</w:t>
      </w:r>
      <w:proofErr w:type="gramEnd"/>
      <w:r w:rsidRPr="00E01E3E">
        <w:rPr>
          <w:rFonts w:asciiTheme="minorBidi" w:hAnsiTheme="minorBidi"/>
          <w:sz w:val="24"/>
          <w:szCs w:val="24"/>
          <w:lang w:val="en-GB"/>
        </w:rPr>
        <w:t>). The DECLARE-TIMI 58 with combined co-primary efficacy outcomes of MACE and the composite endpoint of CV death or hospitalization for HF will provide an important view on common and important cardiac outcomes in patient</w:t>
      </w:r>
      <w:r>
        <w:rPr>
          <w:rFonts w:asciiTheme="minorBidi" w:hAnsiTheme="minorBidi"/>
          <w:sz w:val="24"/>
          <w:szCs w:val="24"/>
          <w:lang w:val="en-GB"/>
        </w:rPr>
        <w:t>s</w:t>
      </w:r>
      <w:r w:rsidRPr="00E01E3E">
        <w:rPr>
          <w:rFonts w:asciiTheme="minorBidi" w:hAnsiTheme="minorBidi"/>
          <w:sz w:val="24"/>
          <w:szCs w:val="24"/>
          <w:lang w:val="en-GB"/>
        </w:rPr>
        <w:t xml:space="preserve"> with type 2 diabetes. </w:t>
      </w:r>
    </w:p>
    <w:p w:rsidR="00D31581" w:rsidRPr="00E01E3E" w:rsidRDefault="00D31581" w:rsidP="00D31581">
      <w:pPr>
        <w:bidi w:val="0"/>
        <w:spacing w:line="360" w:lineRule="auto"/>
        <w:jc w:val="both"/>
        <w:rPr>
          <w:rFonts w:asciiTheme="minorBidi" w:hAnsiTheme="minorBidi"/>
          <w:sz w:val="24"/>
          <w:szCs w:val="24"/>
          <w:lang w:val="en-GB"/>
        </w:rPr>
      </w:pPr>
      <w:bookmarkStart w:id="6" w:name="_Hlk499440709"/>
      <w:r>
        <w:rPr>
          <w:rFonts w:asciiTheme="minorBidi" w:hAnsiTheme="minorBidi"/>
          <w:sz w:val="24"/>
          <w:szCs w:val="24"/>
          <w:lang w:val="en-GB"/>
        </w:rPr>
        <w:lastRenderedPageBreak/>
        <w:t xml:space="preserve">The safety analysis of the DECLARE-TIMI 58 trial will provide data on dapagliflozin in relation to some of the questions raised after the publication of the EMPA-REG trial and the CANVAS program (27,29). Both </w:t>
      </w:r>
      <w:proofErr w:type="gramStart"/>
      <w:r>
        <w:rPr>
          <w:rFonts w:asciiTheme="minorBidi" w:hAnsiTheme="minorBidi"/>
          <w:sz w:val="24"/>
          <w:szCs w:val="24"/>
          <w:lang w:val="en-GB"/>
        </w:rPr>
        <w:t>amputation</w:t>
      </w:r>
      <w:proofErr w:type="gramEnd"/>
      <w:r>
        <w:rPr>
          <w:rFonts w:asciiTheme="minorBidi" w:hAnsiTheme="minorBidi"/>
          <w:sz w:val="24"/>
          <w:szCs w:val="24"/>
          <w:lang w:val="en-GB"/>
        </w:rPr>
        <w:t xml:space="preserve"> related and DKA events are actively looked after and collected in specifically designed forms; thereby providing event rates for dapagliflozin and placebo and also ensuring a thorough collection of all the data related to these events.  </w:t>
      </w:r>
      <w:r w:rsidRPr="00E01E3E">
        <w:rPr>
          <w:rFonts w:asciiTheme="minorBidi" w:hAnsiTheme="minorBidi"/>
          <w:sz w:val="24"/>
          <w:szCs w:val="24"/>
          <w:lang w:val="en-GB"/>
        </w:rPr>
        <w:t xml:space="preserve">    </w:t>
      </w:r>
    </w:p>
    <w:p w:rsidR="00D31581" w:rsidRPr="00E01E3E" w:rsidRDefault="00D31581" w:rsidP="00D31581">
      <w:pPr>
        <w:bidi w:val="0"/>
        <w:spacing w:line="360" w:lineRule="auto"/>
        <w:jc w:val="both"/>
        <w:rPr>
          <w:rFonts w:asciiTheme="minorBidi" w:hAnsiTheme="minorBidi"/>
          <w:sz w:val="24"/>
          <w:szCs w:val="24"/>
          <w:lang w:val="en-GB"/>
        </w:rPr>
      </w:pPr>
      <w:r>
        <w:rPr>
          <w:rFonts w:asciiTheme="minorBidi" w:hAnsiTheme="minorBidi"/>
          <w:sz w:val="24"/>
          <w:szCs w:val="24"/>
          <w:lang w:val="en-GB"/>
        </w:rPr>
        <w:t xml:space="preserve"> </w:t>
      </w:r>
      <w:r w:rsidRPr="00E01E3E">
        <w:rPr>
          <w:rFonts w:asciiTheme="minorBidi" w:hAnsiTheme="minorBidi"/>
          <w:sz w:val="24"/>
          <w:szCs w:val="24"/>
          <w:lang w:val="en-GB"/>
        </w:rPr>
        <w:t xml:space="preserve">    </w:t>
      </w:r>
    </w:p>
    <w:bookmarkEnd w:id="6"/>
    <w:p w:rsidR="00D31581" w:rsidRPr="00E01E3E" w:rsidRDefault="00D31581" w:rsidP="00D31581">
      <w:pPr>
        <w:bidi w:val="0"/>
        <w:spacing w:line="360" w:lineRule="auto"/>
        <w:jc w:val="both"/>
        <w:rPr>
          <w:rFonts w:asciiTheme="minorBidi" w:hAnsiTheme="minorBidi"/>
          <w:sz w:val="24"/>
          <w:szCs w:val="24"/>
          <w:lang w:val="en-GB"/>
        </w:rPr>
      </w:pPr>
      <w:r w:rsidRPr="00E01E3E">
        <w:rPr>
          <w:rFonts w:asciiTheme="minorBidi" w:hAnsiTheme="minorBidi"/>
          <w:sz w:val="24"/>
          <w:szCs w:val="24"/>
          <w:lang w:val="en-GB"/>
        </w:rPr>
        <w:t>The underlying hypothesis of the DECLARE-TIMI 58 trial is that the improvement of multiple metabolic and hemodynamic parameters including but not limited to glucose, blood pressure, weight, intra glomerular pressure, ketone metabolism and others (34-37), might improve CV outcomes not only in populations with established CV disease but also in populations with multiple CV risk factors. Therefore, this trial included 10,189 patients without previous CVD that comprise 59.4% of the trial population. In comparison, the EMPA-REG OUTCOME included only patients with prevalent atherosclerotic CVD and the CANVAS Program included 3,486 (34.4% of the program population) with MRF (27</w:t>
      </w:r>
      <w:proofErr w:type="gramStart"/>
      <w:r w:rsidRPr="00E01E3E">
        <w:rPr>
          <w:rFonts w:asciiTheme="minorBidi" w:hAnsiTheme="minorBidi"/>
          <w:sz w:val="24"/>
          <w:szCs w:val="24"/>
          <w:lang w:val="en-GB"/>
        </w:rPr>
        <w:t>,29</w:t>
      </w:r>
      <w:proofErr w:type="gramEnd"/>
      <w:r w:rsidRPr="00E01E3E">
        <w:rPr>
          <w:rFonts w:asciiTheme="minorBidi" w:hAnsiTheme="minorBidi"/>
          <w:sz w:val="24"/>
          <w:szCs w:val="24"/>
          <w:lang w:val="en-GB"/>
        </w:rPr>
        <w:t>). The inclusion of the larger MRF population in DECLARE TIMI 58 increases the potential applicability of the trial results to a larger population of patients in a real-world setting. However, the trial was designed and powered to confirm the primary outcome in the entire study population</w:t>
      </w:r>
      <w:r>
        <w:rPr>
          <w:rFonts w:asciiTheme="minorBidi" w:hAnsiTheme="minorBidi"/>
          <w:sz w:val="24"/>
          <w:szCs w:val="24"/>
          <w:lang w:val="en-GB"/>
        </w:rPr>
        <w:t>.</w:t>
      </w:r>
    </w:p>
    <w:p w:rsidR="00D31581" w:rsidRDefault="00D31581" w:rsidP="00D31581">
      <w:pPr>
        <w:bidi w:val="0"/>
        <w:spacing w:line="360" w:lineRule="auto"/>
        <w:jc w:val="both"/>
        <w:rPr>
          <w:rFonts w:asciiTheme="minorBidi" w:hAnsiTheme="minorBidi"/>
          <w:sz w:val="24"/>
          <w:szCs w:val="24"/>
          <w:lang w:val="en-GB"/>
        </w:rPr>
      </w:pPr>
      <w:r w:rsidRPr="00E01E3E">
        <w:rPr>
          <w:rFonts w:asciiTheme="minorBidi" w:hAnsiTheme="minorBidi"/>
          <w:sz w:val="24"/>
          <w:szCs w:val="24"/>
          <w:lang w:val="en-GB"/>
        </w:rPr>
        <w:t>The length of median follow-up in the EMPA-REG OUTCOME and CANVAS Program was 3.1 and 2.4 years, respectively. The longer follow-up of patients, in the DECLARE-TIMI 58 trial, [expected to be more than 4 years], will enable us to</w:t>
      </w:r>
      <w:r w:rsidRPr="00E01E3E">
        <w:rPr>
          <w:rFonts w:asciiTheme="minorBidi" w:hAnsiTheme="minorBidi"/>
          <w:color w:val="FF0000"/>
          <w:sz w:val="24"/>
          <w:szCs w:val="24"/>
          <w:lang w:val="en-GB"/>
        </w:rPr>
        <w:t xml:space="preserve"> </w:t>
      </w:r>
      <w:r w:rsidRPr="00E01E3E">
        <w:rPr>
          <w:rFonts w:asciiTheme="minorBidi" w:hAnsiTheme="minorBidi"/>
          <w:sz w:val="24"/>
          <w:szCs w:val="24"/>
          <w:lang w:val="en-GB"/>
        </w:rPr>
        <w:t xml:space="preserve">better detect not only the immediate effects of the drug, but also its' longer term effects that may be due to favourable effects on mediators of atherosclerotic CVD risk (e.g. blood pressure, weight, lipid profile, progression of kidney disease, etc.).  </w:t>
      </w:r>
    </w:p>
    <w:p w:rsidR="00D31581" w:rsidRPr="00E01E3E" w:rsidRDefault="00D31581" w:rsidP="00D31581">
      <w:pPr>
        <w:bidi w:val="0"/>
        <w:spacing w:line="360" w:lineRule="auto"/>
        <w:jc w:val="both"/>
        <w:rPr>
          <w:rFonts w:asciiTheme="minorBidi" w:hAnsiTheme="minorBidi"/>
          <w:sz w:val="24"/>
          <w:szCs w:val="24"/>
          <w:lang w:val="en-GB"/>
        </w:rPr>
      </w:pPr>
      <w:r>
        <w:rPr>
          <w:rFonts w:asciiTheme="minorBidi" w:hAnsiTheme="minorBidi"/>
          <w:sz w:val="24"/>
          <w:szCs w:val="24"/>
          <w:lang w:val="en-GB"/>
        </w:rPr>
        <w:t xml:space="preserve">In addition, the large sample size, as well as the follow up time will enable evaluation of bladder cancer as follow up to the numerical imbalance of bladder cancer observed in the dapagliflozin phase 2 and 3 development program.     </w:t>
      </w:r>
    </w:p>
    <w:p w:rsidR="00D31581" w:rsidRPr="00987D4E" w:rsidRDefault="00D31581" w:rsidP="00D31581">
      <w:pPr>
        <w:bidi w:val="0"/>
        <w:spacing w:line="360" w:lineRule="auto"/>
        <w:jc w:val="both"/>
        <w:rPr>
          <w:rFonts w:asciiTheme="minorBidi" w:hAnsiTheme="minorBidi"/>
          <w:sz w:val="24"/>
          <w:szCs w:val="24"/>
          <w:lang w:val="en-GB"/>
        </w:rPr>
      </w:pPr>
      <w:r w:rsidRPr="00E01E3E">
        <w:rPr>
          <w:rFonts w:asciiTheme="minorBidi" w:hAnsiTheme="minorBidi"/>
          <w:sz w:val="24"/>
          <w:szCs w:val="24"/>
          <w:lang w:val="en-GB"/>
        </w:rPr>
        <w:lastRenderedPageBreak/>
        <w:t>The rapid recruitment in</w:t>
      </w:r>
      <w:r w:rsidRPr="006358E9">
        <w:rPr>
          <w:rFonts w:asciiTheme="minorBidi" w:hAnsiTheme="minorBidi"/>
          <w:sz w:val="24"/>
          <w:szCs w:val="24"/>
          <w:lang w:val="en-GB"/>
        </w:rPr>
        <w:t>to the trial was made possible by the large number of countries and sites participating. This enrolment pattern</w:t>
      </w:r>
      <w:r w:rsidRPr="004F7204">
        <w:rPr>
          <w:rFonts w:asciiTheme="minorBidi" w:hAnsiTheme="minorBidi"/>
          <w:sz w:val="24"/>
          <w:szCs w:val="24"/>
          <w:lang w:val="en-GB"/>
        </w:rPr>
        <w:t xml:space="preserve"> minimize</w:t>
      </w:r>
      <w:r w:rsidRPr="00987D4E">
        <w:rPr>
          <w:rFonts w:asciiTheme="minorBidi" w:hAnsiTheme="minorBidi"/>
          <w:sz w:val="24"/>
          <w:szCs w:val="24"/>
          <w:lang w:val="en-GB"/>
        </w:rPr>
        <w:t xml:space="preserve">s the risk of a time dependent cohort effect caused by changes in background therapy as may be seen in trials in which the recruitment phase took several years (38) or </w:t>
      </w:r>
      <w:r w:rsidRPr="0028086C">
        <w:rPr>
          <w:rFonts w:asciiTheme="minorBidi" w:hAnsiTheme="minorBidi"/>
          <w:sz w:val="24"/>
          <w:szCs w:val="24"/>
          <w:lang w:val="en-GB"/>
        </w:rPr>
        <w:t>in the combination of</w:t>
      </w:r>
      <w:r w:rsidRPr="001F20EC">
        <w:rPr>
          <w:rFonts w:asciiTheme="minorBidi" w:hAnsiTheme="minorBidi"/>
          <w:sz w:val="24"/>
          <w:szCs w:val="24"/>
          <w:lang w:val="en-GB"/>
        </w:rPr>
        <w:t xml:space="preserve"> different trials</w:t>
      </w:r>
      <w:r w:rsidRPr="00E01E3E">
        <w:rPr>
          <w:rFonts w:asciiTheme="minorBidi" w:hAnsiTheme="minorBidi"/>
          <w:sz w:val="24"/>
          <w:szCs w:val="24"/>
          <w:lang w:val="en-GB"/>
        </w:rPr>
        <w:t>,</w:t>
      </w:r>
      <w:r w:rsidRPr="006358E9">
        <w:rPr>
          <w:rFonts w:asciiTheme="minorBidi" w:hAnsiTheme="minorBidi"/>
          <w:sz w:val="24"/>
          <w:szCs w:val="24"/>
          <w:lang w:val="en-GB"/>
        </w:rPr>
        <w:t xml:space="preserve"> as was done in the CANVAS </w:t>
      </w:r>
      <w:r w:rsidRPr="00987D4E">
        <w:rPr>
          <w:rFonts w:asciiTheme="minorBidi" w:hAnsiTheme="minorBidi"/>
          <w:sz w:val="24"/>
          <w:szCs w:val="24"/>
          <w:lang w:val="en-GB"/>
        </w:rPr>
        <w:t xml:space="preserve">Program (29). </w:t>
      </w:r>
    </w:p>
    <w:p w:rsidR="00D31581" w:rsidRPr="00E01E3E" w:rsidRDefault="00D31581" w:rsidP="00D31581">
      <w:pPr>
        <w:bidi w:val="0"/>
        <w:spacing w:line="360" w:lineRule="auto"/>
        <w:jc w:val="both"/>
        <w:rPr>
          <w:rFonts w:asciiTheme="minorBidi" w:hAnsiTheme="minorBidi"/>
          <w:sz w:val="24"/>
          <w:szCs w:val="24"/>
          <w:lang w:val="en-GB"/>
        </w:rPr>
      </w:pPr>
      <w:r w:rsidRPr="00987D4E">
        <w:rPr>
          <w:rFonts w:asciiTheme="minorBidi" w:hAnsiTheme="minorBidi"/>
          <w:sz w:val="24"/>
          <w:szCs w:val="24"/>
          <w:lang w:val="en-GB"/>
        </w:rPr>
        <w:t xml:space="preserve">The DECLARE-TIMI 58 trial </w:t>
      </w:r>
      <w:r w:rsidRPr="00E01E3E">
        <w:rPr>
          <w:rFonts w:asciiTheme="minorBidi" w:hAnsiTheme="minorBidi"/>
          <w:sz w:val="24"/>
          <w:szCs w:val="24"/>
          <w:lang w:val="en-GB"/>
        </w:rPr>
        <w:t xml:space="preserve">has a high proportion of patients taking statins, anti-platelets and/or anti-coagulant, beta-blockers and ACEI/ARB (39). This is in accordance with the FDA guidance that requires demonstrating CV safety and possible benefit of new GLAs in addition to best available guideline-directed therapy (26).  Not surprisingly, there are differences in the frequency of use of CV drugs between the CVD and the MRF subgroups, most noticeably, in the CVD group there is a higher rate of use of: ACEI/ARB, beta blockers, diuretics, mineralocorticoid receptor antagonists, aspirin, clopidogrel, statins and ezetimibe, where these agents are more clearly indicated in treatment guidelines (39). Given the large sample size of the study, it will be possible to examine subgroups based on concomitant medication usage, but one would not expect an interaction by treatment affecting the overall analyses. </w:t>
      </w:r>
    </w:p>
    <w:p w:rsidR="00D31581" w:rsidRPr="00E01E3E" w:rsidRDefault="00D31581" w:rsidP="00D31581">
      <w:pPr>
        <w:bidi w:val="0"/>
        <w:spacing w:line="360" w:lineRule="auto"/>
        <w:jc w:val="both"/>
        <w:rPr>
          <w:rFonts w:asciiTheme="minorBidi" w:hAnsiTheme="minorBidi"/>
          <w:sz w:val="24"/>
          <w:szCs w:val="24"/>
          <w:lang w:val="en-GB"/>
        </w:rPr>
      </w:pPr>
      <w:r w:rsidRPr="00E01E3E">
        <w:rPr>
          <w:rFonts w:asciiTheme="minorBidi" w:hAnsiTheme="minorBidi"/>
          <w:sz w:val="24"/>
          <w:szCs w:val="24"/>
          <w:lang w:val="en-GB"/>
        </w:rPr>
        <w:t xml:space="preserve">There are also differences between CVD and MRF populations regarding the distribution of GLAs, mainly higher use of insulin and lower use of metformin, sulfonylureas and DPP4 inhibitors in the CVD group. These differences might be attributed to differences in diabetes duration or renal function between the two subgroups. The difference in GLA use between the two groups may also lead to differences in the rate of hypoglycaemia and its consequences. </w:t>
      </w:r>
    </w:p>
    <w:p w:rsidR="00D31581" w:rsidRPr="00E01E3E" w:rsidRDefault="00D31581" w:rsidP="00D31581">
      <w:pPr>
        <w:bidi w:val="0"/>
        <w:spacing w:line="360" w:lineRule="auto"/>
        <w:jc w:val="both"/>
        <w:rPr>
          <w:rFonts w:asciiTheme="minorBidi" w:hAnsiTheme="minorBidi"/>
          <w:sz w:val="24"/>
          <w:szCs w:val="24"/>
          <w:lang w:val="en-GB"/>
        </w:rPr>
      </w:pPr>
    </w:p>
    <w:p w:rsidR="00D31581" w:rsidRPr="00E01E3E" w:rsidRDefault="00D31581" w:rsidP="00D31581">
      <w:pPr>
        <w:bidi w:val="0"/>
        <w:spacing w:line="360" w:lineRule="auto"/>
        <w:jc w:val="both"/>
        <w:rPr>
          <w:rFonts w:asciiTheme="minorBidi" w:hAnsiTheme="minorBidi"/>
          <w:sz w:val="24"/>
          <w:szCs w:val="24"/>
          <w:lang w:val="en-GB"/>
        </w:rPr>
      </w:pPr>
      <w:bookmarkStart w:id="7" w:name="_Hlk499440365"/>
      <w:r w:rsidRPr="00E01E3E">
        <w:rPr>
          <w:rFonts w:asciiTheme="minorBidi" w:hAnsiTheme="minorBidi"/>
          <w:sz w:val="24"/>
          <w:szCs w:val="24"/>
          <w:lang w:val="en-GB"/>
        </w:rPr>
        <w:t>The baseline mean eGFR in the EMPA-REG OUTCOME and CANVAS Program were 74.1 ml/min/1.73m</w:t>
      </w:r>
      <w:r w:rsidRPr="00E01E3E">
        <w:rPr>
          <w:rFonts w:asciiTheme="minorBidi" w:hAnsiTheme="minorBidi"/>
          <w:sz w:val="24"/>
          <w:szCs w:val="24"/>
          <w:vertAlign w:val="superscript"/>
          <w:lang w:val="en-GB"/>
        </w:rPr>
        <w:t>2</w:t>
      </w:r>
      <w:r w:rsidRPr="00E01E3E">
        <w:rPr>
          <w:rFonts w:asciiTheme="minorBidi" w:hAnsiTheme="minorBidi"/>
          <w:sz w:val="24"/>
          <w:szCs w:val="24"/>
          <w:lang w:val="en-GB"/>
        </w:rPr>
        <w:t xml:space="preserve"> and 76.5 ml/min/1.73m</w:t>
      </w:r>
      <w:r w:rsidRPr="00E01E3E">
        <w:rPr>
          <w:rFonts w:asciiTheme="minorBidi" w:hAnsiTheme="minorBidi"/>
          <w:sz w:val="24"/>
          <w:szCs w:val="24"/>
          <w:vertAlign w:val="superscript"/>
          <w:lang w:val="en-GB"/>
        </w:rPr>
        <w:t>2</w:t>
      </w:r>
      <w:r w:rsidRPr="00E01E3E">
        <w:rPr>
          <w:rFonts w:asciiTheme="minorBidi" w:hAnsiTheme="minorBidi"/>
          <w:sz w:val="24"/>
          <w:szCs w:val="24"/>
          <w:vertAlign w:val="subscript"/>
          <w:lang w:val="en-GB"/>
        </w:rPr>
        <w:t>,</w:t>
      </w:r>
      <w:r w:rsidRPr="00E01E3E">
        <w:rPr>
          <w:rFonts w:asciiTheme="minorBidi" w:hAnsiTheme="minorBidi"/>
          <w:sz w:val="24"/>
          <w:szCs w:val="24"/>
          <w:lang w:val="en-GB"/>
        </w:rPr>
        <w:t xml:space="preserve"> respectively, while in the DECLARE-TIMI 58 trial it was 86.1 ml/min/1.73m</w:t>
      </w:r>
      <w:r w:rsidRPr="00E01E3E">
        <w:rPr>
          <w:rFonts w:asciiTheme="minorBidi" w:hAnsiTheme="minorBidi"/>
          <w:sz w:val="24"/>
          <w:szCs w:val="24"/>
          <w:vertAlign w:val="superscript"/>
          <w:lang w:val="en-GB"/>
        </w:rPr>
        <w:t>2</w:t>
      </w:r>
      <w:r w:rsidRPr="00E01E3E">
        <w:rPr>
          <w:rFonts w:asciiTheme="minorBidi" w:hAnsiTheme="minorBidi"/>
          <w:sz w:val="24"/>
          <w:szCs w:val="24"/>
          <w:lang w:val="en-GB"/>
        </w:rPr>
        <w:t>. It is possible that the different exclusion criteria in DECLARE TIMI 58 (</w:t>
      </w:r>
      <w:proofErr w:type="spellStart"/>
      <w:r w:rsidRPr="00E01E3E">
        <w:rPr>
          <w:rFonts w:asciiTheme="minorBidi" w:hAnsiTheme="minorBidi"/>
          <w:sz w:val="24"/>
          <w:szCs w:val="24"/>
          <w:lang w:val="en-GB"/>
        </w:rPr>
        <w:t>CrCl</w:t>
      </w:r>
      <w:proofErr w:type="spellEnd"/>
      <w:r w:rsidRPr="00E01E3E">
        <w:rPr>
          <w:rFonts w:asciiTheme="minorBidi" w:hAnsiTheme="minorBidi"/>
          <w:sz w:val="24"/>
          <w:szCs w:val="24"/>
          <w:lang w:val="en-GB"/>
        </w:rPr>
        <w:t xml:space="preserve">&lt;60 ml/min) could impact its potential to show similar clinical renal outcomes to those shown in the EMPA-REG OUTCOME trial that had more permissive renal inclusion </w:t>
      </w:r>
      <w:r w:rsidRPr="00E01E3E">
        <w:rPr>
          <w:rFonts w:asciiTheme="minorBidi" w:hAnsiTheme="minorBidi"/>
          <w:sz w:val="24"/>
          <w:szCs w:val="24"/>
          <w:lang w:val="en-GB"/>
        </w:rPr>
        <w:lastRenderedPageBreak/>
        <w:t>criteria (28). Despite the fact that the DECLARE-TIMI 58 population has comparatively less severe renal dysfunction</w:t>
      </w:r>
      <w:r>
        <w:rPr>
          <w:rFonts w:asciiTheme="minorBidi" w:hAnsiTheme="minorBidi"/>
          <w:sz w:val="24"/>
          <w:szCs w:val="24"/>
        </w:rPr>
        <w:t xml:space="preserve"> than</w:t>
      </w:r>
      <w:r w:rsidRPr="00E01E3E">
        <w:rPr>
          <w:rFonts w:asciiTheme="minorBidi" w:hAnsiTheme="minorBidi"/>
          <w:sz w:val="24"/>
          <w:szCs w:val="24"/>
          <w:lang w:val="en-GB"/>
        </w:rPr>
        <w:t xml:space="preserve"> the other 2 reported CVOTs of SGLT2i’s, the larger number of patients, the prolonged follow-up and the pre-specification of renal outcomes in the analysis of the DECLARE-TIMI 58 trial ensure that the trial is powered to assess renal outcomes with dapagliflozin (31). </w:t>
      </w:r>
    </w:p>
    <w:bookmarkEnd w:id="7"/>
    <w:p w:rsidR="00D31581" w:rsidRPr="00E01E3E" w:rsidRDefault="00D31581" w:rsidP="00D31581">
      <w:pPr>
        <w:bidi w:val="0"/>
        <w:spacing w:line="360" w:lineRule="auto"/>
        <w:jc w:val="both"/>
        <w:rPr>
          <w:rFonts w:asciiTheme="minorBidi" w:hAnsiTheme="minorBidi"/>
          <w:b/>
          <w:bCs/>
          <w:sz w:val="24"/>
          <w:szCs w:val="24"/>
          <w:lang w:val="en-GB"/>
        </w:rPr>
      </w:pPr>
      <w:r w:rsidRPr="00E01E3E">
        <w:rPr>
          <w:rFonts w:asciiTheme="minorBidi" w:hAnsiTheme="minorBidi"/>
          <w:b/>
          <w:bCs/>
          <w:sz w:val="24"/>
          <w:szCs w:val="24"/>
          <w:lang w:val="en-GB"/>
        </w:rPr>
        <w:t xml:space="preserve">Summary: </w:t>
      </w:r>
    </w:p>
    <w:p w:rsidR="00D31581" w:rsidRPr="00E01E3E" w:rsidRDefault="00D31581" w:rsidP="00D31581">
      <w:pPr>
        <w:bidi w:val="0"/>
        <w:spacing w:line="360" w:lineRule="auto"/>
        <w:jc w:val="both"/>
        <w:rPr>
          <w:rFonts w:asciiTheme="minorBidi" w:hAnsiTheme="minorBidi"/>
          <w:sz w:val="24"/>
          <w:szCs w:val="24"/>
          <w:lang w:val="en-GB"/>
        </w:rPr>
      </w:pPr>
      <w:r w:rsidRPr="00E01E3E">
        <w:rPr>
          <w:rFonts w:asciiTheme="minorBidi" w:hAnsiTheme="minorBidi"/>
          <w:sz w:val="24"/>
          <w:szCs w:val="24"/>
          <w:lang w:val="en-GB"/>
        </w:rPr>
        <w:t>The DECLARE-TIMI 58 population is broad and includes large groups of patients with established CVD as well as with MRF for CVD.   This diverse population will strengthen the external applicability of the trial results</w:t>
      </w:r>
      <w:r w:rsidRPr="006358E9">
        <w:rPr>
          <w:rFonts w:asciiTheme="minorBidi" w:hAnsiTheme="minorBidi"/>
          <w:sz w:val="24"/>
          <w:szCs w:val="24"/>
          <w:lang w:val="en-GB"/>
        </w:rPr>
        <w:t xml:space="preserve">. The trial will also </w:t>
      </w:r>
      <w:r w:rsidRPr="004F7204">
        <w:rPr>
          <w:rFonts w:asciiTheme="minorBidi" w:hAnsiTheme="minorBidi"/>
          <w:sz w:val="24"/>
          <w:szCs w:val="24"/>
          <w:lang w:val="en-GB"/>
        </w:rPr>
        <w:t>help to delineate the impact of prolonged treatment with dapagliflozin</w:t>
      </w:r>
      <w:r w:rsidRPr="00987D4E">
        <w:rPr>
          <w:rFonts w:asciiTheme="minorBidi" w:hAnsiTheme="minorBidi"/>
          <w:sz w:val="24"/>
          <w:szCs w:val="24"/>
          <w:lang w:val="en-GB"/>
        </w:rPr>
        <w:t xml:space="preserve">, an SGLT2 inhibitor, on patients with </w:t>
      </w:r>
      <w:r>
        <w:rPr>
          <w:rFonts w:asciiTheme="minorBidi" w:hAnsiTheme="minorBidi"/>
          <w:sz w:val="24"/>
          <w:szCs w:val="24"/>
          <w:lang w:val="en-GB"/>
        </w:rPr>
        <w:t xml:space="preserve">type 2 </w:t>
      </w:r>
      <w:r w:rsidRPr="00987D4E">
        <w:rPr>
          <w:rFonts w:asciiTheme="minorBidi" w:hAnsiTheme="minorBidi"/>
          <w:sz w:val="24"/>
          <w:szCs w:val="24"/>
          <w:lang w:val="en-GB"/>
        </w:rPr>
        <w:t>diabetes at high risk for CVD. The trial will broaden our kno</w:t>
      </w:r>
      <w:r w:rsidRPr="00E01E3E">
        <w:rPr>
          <w:rFonts w:asciiTheme="minorBidi" w:hAnsiTheme="minorBidi"/>
          <w:sz w:val="24"/>
          <w:szCs w:val="24"/>
          <w:lang w:val="en-GB"/>
        </w:rPr>
        <w:t xml:space="preserve">wledge regarding the CV and renal safety, as well as the potential benefit of dapagliflozin. </w:t>
      </w:r>
      <w:r>
        <w:rPr>
          <w:rFonts w:asciiTheme="minorBidi" w:hAnsiTheme="minorBidi"/>
          <w:sz w:val="24"/>
          <w:szCs w:val="24"/>
          <w:lang w:val="en-GB"/>
        </w:rPr>
        <w:t>The results will guide</w:t>
      </w:r>
      <w:r w:rsidRPr="00E01E3E">
        <w:rPr>
          <w:rFonts w:asciiTheme="minorBidi" w:hAnsiTheme="minorBidi"/>
          <w:sz w:val="24"/>
          <w:szCs w:val="24"/>
          <w:lang w:val="en-GB"/>
        </w:rPr>
        <w:t xml:space="preserve"> future therapeutic decision making in patients with T2D and increased CV risk.     </w:t>
      </w:r>
    </w:p>
    <w:p w:rsidR="00D31581" w:rsidRDefault="00D31581" w:rsidP="00D31581">
      <w:pPr>
        <w:bidi w:val="0"/>
        <w:spacing w:line="360" w:lineRule="auto"/>
        <w:jc w:val="both"/>
        <w:rPr>
          <w:rFonts w:asciiTheme="minorBidi" w:hAnsiTheme="minorBidi"/>
          <w:sz w:val="24"/>
          <w:szCs w:val="24"/>
        </w:rPr>
      </w:pPr>
      <w:r w:rsidRPr="00E01E3E">
        <w:rPr>
          <w:rFonts w:asciiTheme="minorBidi" w:hAnsiTheme="minorBidi"/>
          <w:sz w:val="24"/>
          <w:szCs w:val="24"/>
          <w:lang w:val="en-GB"/>
        </w:rPr>
        <w:t xml:space="preserve">  </w:t>
      </w:r>
    </w:p>
    <w:p w:rsidR="00D31581" w:rsidRDefault="00D31581" w:rsidP="00D31581">
      <w:pPr>
        <w:bidi w:val="0"/>
        <w:spacing w:line="360" w:lineRule="auto"/>
        <w:jc w:val="both"/>
        <w:rPr>
          <w:rFonts w:asciiTheme="minorBidi" w:hAnsiTheme="minorBidi"/>
          <w:sz w:val="24"/>
          <w:szCs w:val="24"/>
        </w:rPr>
      </w:pPr>
    </w:p>
    <w:p w:rsidR="00D31581" w:rsidRDefault="00D31581" w:rsidP="00D31581">
      <w:pPr>
        <w:bidi w:val="0"/>
        <w:spacing w:line="360" w:lineRule="auto"/>
        <w:jc w:val="both"/>
        <w:rPr>
          <w:rFonts w:asciiTheme="minorBidi" w:hAnsiTheme="minorBidi"/>
          <w:sz w:val="24"/>
          <w:szCs w:val="24"/>
        </w:rPr>
      </w:pPr>
    </w:p>
    <w:p w:rsidR="00D31581" w:rsidRPr="00987D4E" w:rsidRDefault="00D31581" w:rsidP="00D31581">
      <w:pPr>
        <w:bidi w:val="0"/>
        <w:spacing w:line="360" w:lineRule="auto"/>
        <w:jc w:val="both"/>
        <w:rPr>
          <w:rFonts w:asciiTheme="minorBidi" w:hAnsiTheme="minorBidi"/>
          <w:sz w:val="24"/>
          <w:szCs w:val="24"/>
        </w:rPr>
      </w:pPr>
      <w:r w:rsidRPr="00987D4E">
        <w:rPr>
          <w:rFonts w:asciiTheme="minorBidi" w:hAnsiTheme="minorBidi"/>
          <w:sz w:val="24"/>
          <w:szCs w:val="24"/>
        </w:rPr>
        <w:t>REFERENCES</w:t>
      </w:r>
    </w:p>
    <w:p w:rsidR="00D31581" w:rsidRPr="00987D4E" w:rsidRDefault="00D31581" w:rsidP="00D31581">
      <w:pPr>
        <w:pStyle w:val="ListParagraph"/>
        <w:numPr>
          <w:ilvl w:val="0"/>
          <w:numId w:val="1"/>
        </w:numPr>
        <w:bidi w:val="0"/>
        <w:spacing w:line="360" w:lineRule="auto"/>
        <w:rPr>
          <w:rFonts w:asciiTheme="minorBidi" w:hAnsiTheme="minorBidi"/>
          <w:sz w:val="24"/>
          <w:szCs w:val="24"/>
          <w:lang w:val="en-GB"/>
        </w:rPr>
      </w:pPr>
      <w:r w:rsidRPr="00E01E3E">
        <w:rPr>
          <w:rFonts w:asciiTheme="minorBidi" w:hAnsiTheme="minorBidi"/>
          <w:sz w:val="24"/>
          <w:szCs w:val="24"/>
          <w:lang w:val="en-GB"/>
        </w:rPr>
        <w:t xml:space="preserve">Abdul-Ghani MA, Norton L, </w:t>
      </w:r>
      <w:proofErr w:type="spellStart"/>
      <w:r w:rsidRPr="00E01E3E">
        <w:rPr>
          <w:rFonts w:asciiTheme="minorBidi" w:hAnsiTheme="minorBidi"/>
          <w:sz w:val="24"/>
          <w:szCs w:val="24"/>
          <w:lang w:val="en-GB"/>
        </w:rPr>
        <w:t>De</w:t>
      </w:r>
      <w:r w:rsidRPr="006358E9">
        <w:rPr>
          <w:rFonts w:asciiTheme="minorBidi" w:hAnsiTheme="minorBidi"/>
          <w:sz w:val="24"/>
          <w:szCs w:val="24"/>
          <w:lang w:val="en-GB"/>
        </w:rPr>
        <w:t>Fronzo</w:t>
      </w:r>
      <w:proofErr w:type="spellEnd"/>
      <w:r w:rsidRPr="006358E9">
        <w:rPr>
          <w:rFonts w:asciiTheme="minorBidi" w:hAnsiTheme="minorBidi"/>
          <w:sz w:val="24"/>
          <w:szCs w:val="24"/>
          <w:lang w:val="en-GB"/>
        </w:rPr>
        <w:t xml:space="preserve"> RA. Role of sodium-glucose cotransporter 2 (SGLT 2) inhibitors in the treatment of type 2 diabetes. </w:t>
      </w:r>
      <w:proofErr w:type="spellStart"/>
      <w:r w:rsidRPr="006358E9">
        <w:rPr>
          <w:rFonts w:asciiTheme="minorBidi" w:hAnsiTheme="minorBidi"/>
          <w:i/>
          <w:iCs/>
          <w:sz w:val="24"/>
          <w:szCs w:val="24"/>
          <w:lang w:val="en-GB"/>
        </w:rPr>
        <w:t>Endocr</w:t>
      </w:r>
      <w:proofErr w:type="spellEnd"/>
      <w:r w:rsidRPr="006358E9">
        <w:rPr>
          <w:rFonts w:asciiTheme="minorBidi" w:hAnsiTheme="minorBidi"/>
          <w:i/>
          <w:iCs/>
          <w:sz w:val="24"/>
          <w:szCs w:val="24"/>
          <w:lang w:val="en-GB"/>
        </w:rPr>
        <w:t xml:space="preserve"> Rev</w:t>
      </w:r>
      <w:r w:rsidRPr="004F7204">
        <w:rPr>
          <w:rFonts w:asciiTheme="minorBidi" w:hAnsiTheme="minorBidi"/>
          <w:sz w:val="24"/>
          <w:szCs w:val="24"/>
          <w:lang w:val="en-GB"/>
        </w:rPr>
        <w:t xml:space="preserve"> 2011</w:t>
      </w:r>
      <w:proofErr w:type="gramStart"/>
      <w:r w:rsidRPr="004F7204">
        <w:rPr>
          <w:rFonts w:asciiTheme="minorBidi" w:hAnsiTheme="minorBidi"/>
          <w:sz w:val="24"/>
          <w:szCs w:val="24"/>
          <w:lang w:val="en-GB"/>
        </w:rPr>
        <w:t>;32:515</w:t>
      </w:r>
      <w:proofErr w:type="gramEnd"/>
      <w:r w:rsidRPr="004F7204">
        <w:rPr>
          <w:rFonts w:asciiTheme="minorBidi" w:hAnsiTheme="minorBidi"/>
          <w:sz w:val="24"/>
          <w:szCs w:val="24"/>
          <w:lang w:val="en-GB"/>
        </w:rPr>
        <w:t>-531.</w:t>
      </w:r>
    </w:p>
    <w:p w:rsidR="00D31581" w:rsidRPr="00987D4E" w:rsidRDefault="00D31581" w:rsidP="00D31581">
      <w:pPr>
        <w:pStyle w:val="ListParagraph"/>
        <w:bidi w:val="0"/>
        <w:spacing w:line="360" w:lineRule="auto"/>
        <w:rPr>
          <w:rFonts w:asciiTheme="minorBidi" w:hAnsiTheme="minorBidi"/>
          <w:sz w:val="24"/>
          <w:szCs w:val="24"/>
          <w:lang w:val="en-GB"/>
        </w:rPr>
      </w:pPr>
    </w:p>
    <w:p w:rsidR="00D31581" w:rsidRPr="006358E9" w:rsidRDefault="00D31581" w:rsidP="009A1753">
      <w:pPr>
        <w:pStyle w:val="ListParagraph"/>
        <w:numPr>
          <w:ilvl w:val="0"/>
          <w:numId w:val="1"/>
        </w:numPr>
        <w:bidi w:val="0"/>
        <w:spacing w:line="360" w:lineRule="auto"/>
        <w:rPr>
          <w:rFonts w:asciiTheme="minorBidi" w:hAnsiTheme="minorBidi"/>
          <w:sz w:val="24"/>
          <w:szCs w:val="24"/>
          <w:lang w:val="en-GB"/>
        </w:rPr>
      </w:pPr>
      <w:bookmarkStart w:id="8" w:name="_Hlk497804055"/>
      <w:proofErr w:type="spellStart"/>
      <w:r w:rsidRPr="00987D4E">
        <w:rPr>
          <w:rFonts w:asciiTheme="minorBidi" w:hAnsiTheme="minorBidi"/>
          <w:sz w:val="24"/>
          <w:szCs w:val="24"/>
        </w:rPr>
        <w:t>Dandona</w:t>
      </w:r>
      <w:proofErr w:type="spellEnd"/>
      <w:r w:rsidRPr="00987D4E">
        <w:rPr>
          <w:rFonts w:asciiTheme="minorBidi" w:hAnsiTheme="minorBidi"/>
          <w:sz w:val="24"/>
          <w:szCs w:val="24"/>
        </w:rPr>
        <w:t xml:space="preserve"> P, Mathieu C, Phillip M, et al. Efficacy and safety of dapagliflozin in patients with inadequately controlled type </w:t>
      </w:r>
      <w:proofErr w:type="gramStart"/>
      <w:r w:rsidRPr="00987D4E">
        <w:rPr>
          <w:rFonts w:asciiTheme="minorBidi" w:hAnsiTheme="minorBidi"/>
          <w:sz w:val="24"/>
          <w:szCs w:val="24"/>
        </w:rPr>
        <w:t>1 diabete</w:t>
      </w:r>
      <w:r w:rsidRPr="00E01E3E">
        <w:rPr>
          <w:rFonts w:asciiTheme="minorBidi" w:hAnsiTheme="minorBidi"/>
          <w:sz w:val="24"/>
          <w:szCs w:val="24"/>
        </w:rPr>
        <w:t>s</w:t>
      </w:r>
      <w:proofErr w:type="gramEnd"/>
      <w:r w:rsidRPr="00E01E3E">
        <w:rPr>
          <w:rFonts w:asciiTheme="minorBidi" w:hAnsiTheme="minorBidi"/>
          <w:sz w:val="24"/>
          <w:szCs w:val="24"/>
        </w:rPr>
        <w:t xml:space="preserve"> (DEPICT-1): 24 week results from a </w:t>
      </w:r>
      <w:proofErr w:type="spellStart"/>
      <w:r w:rsidRPr="00E01E3E">
        <w:rPr>
          <w:rFonts w:asciiTheme="minorBidi" w:hAnsiTheme="minorBidi"/>
          <w:sz w:val="24"/>
          <w:szCs w:val="24"/>
        </w:rPr>
        <w:t>multicentre</w:t>
      </w:r>
      <w:proofErr w:type="spellEnd"/>
      <w:r w:rsidRPr="00E01E3E">
        <w:rPr>
          <w:rFonts w:asciiTheme="minorBidi" w:hAnsiTheme="minorBidi"/>
          <w:sz w:val="24"/>
          <w:szCs w:val="24"/>
        </w:rPr>
        <w:t xml:space="preserve">, double-blind, phase 3, </w:t>
      </w:r>
      <w:proofErr w:type="spellStart"/>
      <w:r w:rsidRPr="00E01E3E">
        <w:rPr>
          <w:rFonts w:asciiTheme="minorBidi" w:hAnsiTheme="minorBidi"/>
          <w:sz w:val="24"/>
          <w:szCs w:val="24"/>
        </w:rPr>
        <w:t>randomised</w:t>
      </w:r>
      <w:proofErr w:type="spellEnd"/>
      <w:r w:rsidRPr="00E01E3E">
        <w:rPr>
          <w:rFonts w:asciiTheme="minorBidi" w:hAnsiTheme="minorBidi"/>
          <w:sz w:val="24"/>
          <w:szCs w:val="24"/>
        </w:rPr>
        <w:t xml:space="preserve"> controlled trial</w:t>
      </w:r>
      <w:r w:rsidRPr="00E33C77">
        <w:rPr>
          <w:rFonts w:asciiTheme="minorBidi" w:hAnsiTheme="minorBidi"/>
          <w:sz w:val="24"/>
          <w:szCs w:val="24"/>
        </w:rPr>
        <w:t xml:space="preserve">. </w:t>
      </w:r>
      <w:hyperlink r:id="rId8" w:tooltip="The lancet. Diabetes &amp; endocrinology." w:history="1">
        <w:r w:rsidRPr="00E33C77">
          <w:rPr>
            <w:rFonts w:asciiTheme="minorBidi" w:hAnsiTheme="minorBidi"/>
            <w:i/>
            <w:iCs/>
            <w:sz w:val="24"/>
            <w:szCs w:val="24"/>
          </w:rPr>
          <w:t xml:space="preserve">Lancet Diabetes </w:t>
        </w:r>
        <w:proofErr w:type="spellStart"/>
        <w:r w:rsidRPr="00E33C77">
          <w:rPr>
            <w:rFonts w:asciiTheme="minorBidi" w:hAnsiTheme="minorBidi"/>
            <w:i/>
            <w:iCs/>
            <w:sz w:val="24"/>
            <w:szCs w:val="24"/>
          </w:rPr>
          <w:t>Endocrinol</w:t>
        </w:r>
        <w:proofErr w:type="spellEnd"/>
      </w:hyperlink>
      <w:r w:rsidRPr="00E01E3E">
        <w:rPr>
          <w:rFonts w:asciiTheme="minorBidi" w:hAnsiTheme="minorBidi"/>
          <w:sz w:val="24"/>
          <w:szCs w:val="24"/>
        </w:rPr>
        <w:t xml:space="preserve"> 2017</w:t>
      </w:r>
      <w:r w:rsidR="009A1753">
        <w:rPr>
          <w:rFonts w:asciiTheme="minorBidi" w:hAnsiTheme="minorBidi"/>
          <w:sz w:val="24"/>
          <w:szCs w:val="24"/>
        </w:rPr>
        <w:t>;5:864-876.</w:t>
      </w:r>
      <w:bookmarkStart w:id="9" w:name="_GoBack"/>
      <w:bookmarkEnd w:id="9"/>
      <w:r w:rsidRPr="00E01E3E">
        <w:rPr>
          <w:rFonts w:asciiTheme="minorBidi" w:hAnsiTheme="minorBidi"/>
          <w:sz w:val="24"/>
          <w:szCs w:val="24"/>
        </w:rPr>
        <w:t xml:space="preserve"> </w:t>
      </w:r>
    </w:p>
    <w:bookmarkEnd w:id="8"/>
    <w:p w:rsidR="00D31581" w:rsidRPr="006358E9" w:rsidRDefault="00D31581" w:rsidP="00D31581">
      <w:pPr>
        <w:pStyle w:val="ListParagraph"/>
        <w:bidi w:val="0"/>
        <w:spacing w:line="360" w:lineRule="auto"/>
        <w:rPr>
          <w:rFonts w:asciiTheme="minorBidi" w:hAnsiTheme="minorBidi"/>
          <w:sz w:val="24"/>
          <w:szCs w:val="24"/>
          <w:lang w:val="en-GB"/>
        </w:rPr>
      </w:pPr>
    </w:p>
    <w:p w:rsidR="00D31581" w:rsidRPr="006358E9" w:rsidRDefault="00D31581" w:rsidP="00D31581">
      <w:pPr>
        <w:pStyle w:val="ListParagraph"/>
        <w:numPr>
          <w:ilvl w:val="0"/>
          <w:numId w:val="1"/>
        </w:numPr>
        <w:bidi w:val="0"/>
        <w:spacing w:line="360" w:lineRule="auto"/>
        <w:rPr>
          <w:rFonts w:asciiTheme="minorBidi" w:hAnsiTheme="minorBidi"/>
          <w:sz w:val="24"/>
          <w:szCs w:val="24"/>
          <w:lang w:val="en-GB"/>
        </w:rPr>
      </w:pPr>
      <w:r w:rsidRPr="006358E9">
        <w:rPr>
          <w:rFonts w:asciiTheme="minorBidi" w:hAnsiTheme="minorBidi"/>
          <w:sz w:val="24"/>
          <w:szCs w:val="24"/>
          <w:lang w:val="en-GB"/>
        </w:rPr>
        <w:t xml:space="preserve">Wright EM, Loo DD, Hirayama BA. Biology of human sodium glucose transporters. </w:t>
      </w:r>
      <w:proofErr w:type="spellStart"/>
      <w:r w:rsidRPr="00987D4E">
        <w:rPr>
          <w:rFonts w:asciiTheme="minorBidi" w:hAnsiTheme="minorBidi"/>
          <w:i/>
          <w:iCs/>
          <w:sz w:val="24"/>
          <w:szCs w:val="24"/>
          <w:lang w:val="en-GB"/>
        </w:rPr>
        <w:t>Physiol</w:t>
      </w:r>
      <w:proofErr w:type="spellEnd"/>
      <w:r w:rsidRPr="00987D4E">
        <w:rPr>
          <w:rFonts w:asciiTheme="minorBidi" w:hAnsiTheme="minorBidi"/>
          <w:i/>
          <w:iCs/>
          <w:sz w:val="24"/>
          <w:szCs w:val="24"/>
          <w:lang w:val="en-GB"/>
        </w:rPr>
        <w:t xml:space="preserve"> Rev</w:t>
      </w:r>
      <w:r w:rsidRPr="00E01E3E">
        <w:rPr>
          <w:rFonts w:asciiTheme="minorBidi" w:hAnsiTheme="minorBidi"/>
          <w:sz w:val="24"/>
          <w:szCs w:val="24"/>
          <w:lang w:val="en-GB"/>
        </w:rPr>
        <w:t xml:space="preserve"> 2011</w:t>
      </w:r>
      <w:proofErr w:type="gramStart"/>
      <w:r w:rsidRPr="00E01E3E">
        <w:rPr>
          <w:rFonts w:asciiTheme="minorBidi" w:hAnsiTheme="minorBidi"/>
          <w:sz w:val="24"/>
          <w:szCs w:val="24"/>
          <w:lang w:val="en-GB"/>
        </w:rPr>
        <w:t>;91:733</w:t>
      </w:r>
      <w:proofErr w:type="gramEnd"/>
      <w:r w:rsidRPr="00E01E3E">
        <w:rPr>
          <w:rFonts w:asciiTheme="minorBidi" w:hAnsiTheme="minorBidi"/>
          <w:sz w:val="24"/>
          <w:szCs w:val="24"/>
          <w:lang w:val="en-GB"/>
        </w:rPr>
        <w:t>-794</w:t>
      </w:r>
      <w:r w:rsidRPr="006358E9">
        <w:rPr>
          <w:rFonts w:asciiTheme="minorBidi" w:hAnsiTheme="minorBidi"/>
          <w:sz w:val="24"/>
          <w:szCs w:val="24"/>
          <w:lang w:val="en-GB"/>
        </w:rPr>
        <w:t>.</w:t>
      </w:r>
    </w:p>
    <w:p w:rsidR="00D31581" w:rsidRPr="006358E9" w:rsidRDefault="00D31581" w:rsidP="00D31581">
      <w:pPr>
        <w:pStyle w:val="ListParagraph"/>
        <w:bidi w:val="0"/>
        <w:spacing w:line="360" w:lineRule="auto"/>
        <w:rPr>
          <w:rFonts w:asciiTheme="minorBidi" w:hAnsiTheme="minorBidi"/>
          <w:sz w:val="24"/>
          <w:szCs w:val="24"/>
          <w:lang w:val="en-GB"/>
        </w:rPr>
      </w:pPr>
    </w:p>
    <w:p w:rsidR="00D31581" w:rsidRPr="006358E9" w:rsidRDefault="00D31581" w:rsidP="00D31581">
      <w:pPr>
        <w:pStyle w:val="ListParagraph"/>
        <w:numPr>
          <w:ilvl w:val="0"/>
          <w:numId w:val="1"/>
        </w:numPr>
        <w:bidi w:val="0"/>
        <w:spacing w:line="360" w:lineRule="auto"/>
        <w:rPr>
          <w:rFonts w:asciiTheme="minorBidi" w:hAnsiTheme="minorBidi"/>
          <w:sz w:val="24"/>
          <w:szCs w:val="24"/>
          <w:lang w:val="en-GB"/>
        </w:rPr>
      </w:pPr>
      <w:r w:rsidRPr="00987D4E">
        <w:rPr>
          <w:rFonts w:asciiTheme="minorBidi" w:hAnsiTheme="minorBidi"/>
          <w:sz w:val="24"/>
          <w:szCs w:val="24"/>
          <w:lang w:val="en-GB"/>
        </w:rPr>
        <w:t xml:space="preserve">List JF, Woo V, Morales E, et al. Sodium-glucose cotransport inhibition with dapagliflozin in type 2 diabetes. </w:t>
      </w:r>
      <w:r w:rsidRPr="00987D4E">
        <w:rPr>
          <w:rFonts w:asciiTheme="minorBidi" w:hAnsiTheme="minorBidi"/>
          <w:i/>
          <w:iCs/>
          <w:sz w:val="24"/>
          <w:szCs w:val="24"/>
          <w:lang w:val="en-GB"/>
        </w:rPr>
        <w:t>Diabetes Care</w:t>
      </w:r>
      <w:r w:rsidRPr="00E01E3E">
        <w:rPr>
          <w:rFonts w:asciiTheme="minorBidi" w:hAnsiTheme="minorBidi"/>
          <w:sz w:val="24"/>
          <w:szCs w:val="24"/>
          <w:lang w:val="en-GB"/>
        </w:rPr>
        <w:t xml:space="preserve"> 2009</w:t>
      </w:r>
      <w:proofErr w:type="gramStart"/>
      <w:r w:rsidRPr="00E01E3E">
        <w:rPr>
          <w:rFonts w:asciiTheme="minorBidi" w:hAnsiTheme="minorBidi"/>
          <w:sz w:val="24"/>
          <w:szCs w:val="24"/>
          <w:lang w:val="en-GB"/>
        </w:rPr>
        <w:t>;32:650</w:t>
      </w:r>
      <w:proofErr w:type="gramEnd"/>
      <w:r w:rsidRPr="00E01E3E">
        <w:rPr>
          <w:rFonts w:asciiTheme="minorBidi" w:hAnsiTheme="minorBidi"/>
          <w:sz w:val="24"/>
          <w:szCs w:val="24"/>
          <w:lang w:val="en-GB"/>
        </w:rPr>
        <w:t>-657</w:t>
      </w:r>
      <w:r w:rsidRPr="006358E9">
        <w:rPr>
          <w:rFonts w:asciiTheme="minorBidi" w:hAnsiTheme="minorBidi"/>
          <w:sz w:val="24"/>
          <w:szCs w:val="24"/>
          <w:lang w:val="en-GB"/>
        </w:rPr>
        <w:t>.</w:t>
      </w:r>
    </w:p>
    <w:p w:rsidR="00D31581" w:rsidRPr="006358E9" w:rsidRDefault="00D31581" w:rsidP="00D31581">
      <w:pPr>
        <w:pStyle w:val="ListParagraph"/>
        <w:bidi w:val="0"/>
        <w:spacing w:line="360" w:lineRule="auto"/>
        <w:rPr>
          <w:rFonts w:asciiTheme="minorBidi" w:hAnsiTheme="minorBidi"/>
          <w:sz w:val="24"/>
          <w:szCs w:val="24"/>
          <w:lang w:val="en-GB"/>
        </w:rPr>
      </w:pPr>
    </w:p>
    <w:p w:rsidR="00D31581" w:rsidRPr="006358E9" w:rsidRDefault="00D31581" w:rsidP="00D31581">
      <w:pPr>
        <w:pStyle w:val="ListParagraph"/>
        <w:numPr>
          <w:ilvl w:val="0"/>
          <w:numId w:val="1"/>
        </w:numPr>
        <w:bidi w:val="0"/>
        <w:spacing w:line="360" w:lineRule="auto"/>
        <w:rPr>
          <w:rFonts w:asciiTheme="minorBidi" w:hAnsiTheme="minorBidi"/>
          <w:sz w:val="24"/>
          <w:szCs w:val="24"/>
          <w:lang w:val="en-GB"/>
        </w:rPr>
      </w:pPr>
      <w:r w:rsidRPr="00987D4E">
        <w:rPr>
          <w:rFonts w:asciiTheme="minorBidi" w:hAnsiTheme="minorBidi"/>
          <w:sz w:val="24"/>
          <w:szCs w:val="24"/>
          <w:lang w:val="sv-SE"/>
        </w:rPr>
        <w:t xml:space="preserve">Ferrannini E, Ramos SJ, Tang W, et al. </w:t>
      </w:r>
      <w:r w:rsidRPr="00987D4E">
        <w:rPr>
          <w:rFonts w:asciiTheme="minorBidi" w:hAnsiTheme="minorBidi"/>
          <w:sz w:val="24"/>
          <w:szCs w:val="24"/>
          <w:lang w:val="en-GB"/>
        </w:rPr>
        <w:t xml:space="preserve">Dapagliflozin monotherapy in T2DM patients with inadequate glycemic control by diet and exercise: a randomized, double-blind, placebo-controlled, multicenter phase III trial. </w:t>
      </w:r>
      <w:r w:rsidRPr="00987D4E">
        <w:rPr>
          <w:rFonts w:asciiTheme="minorBidi" w:hAnsiTheme="minorBidi"/>
          <w:i/>
          <w:iCs/>
          <w:sz w:val="24"/>
          <w:szCs w:val="24"/>
          <w:lang w:val="en-GB"/>
        </w:rPr>
        <w:t>Diabetes Care</w:t>
      </w:r>
      <w:r w:rsidRPr="00E01E3E">
        <w:rPr>
          <w:rFonts w:asciiTheme="minorBidi" w:hAnsiTheme="minorBidi"/>
          <w:sz w:val="24"/>
          <w:szCs w:val="24"/>
          <w:lang w:val="en-GB"/>
        </w:rPr>
        <w:t xml:space="preserve"> 2010</w:t>
      </w:r>
      <w:proofErr w:type="gramStart"/>
      <w:r w:rsidRPr="00E01E3E">
        <w:rPr>
          <w:rFonts w:asciiTheme="minorBidi" w:hAnsiTheme="minorBidi"/>
          <w:sz w:val="24"/>
          <w:szCs w:val="24"/>
          <w:lang w:val="en-GB"/>
        </w:rPr>
        <w:t>;33:2217</w:t>
      </w:r>
      <w:proofErr w:type="gramEnd"/>
      <w:r w:rsidRPr="00E01E3E">
        <w:rPr>
          <w:rFonts w:asciiTheme="minorBidi" w:hAnsiTheme="minorBidi"/>
          <w:sz w:val="24"/>
          <w:szCs w:val="24"/>
          <w:lang w:val="en-GB"/>
        </w:rPr>
        <w:t>-2224</w:t>
      </w:r>
      <w:r w:rsidRPr="006358E9">
        <w:rPr>
          <w:rFonts w:asciiTheme="minorBidi" w:hAnsiTheme="minorBidi"/>
          <w:sz w:val="24"/>
          <w:szCs w:val="24"/>
          <w:lang w:val="en-GB"/>
        </w:rPr>
        <w:t>.</w:t>
      </w:r>
    </w:p>
    <w:p w:rsidR="00D31581" w:rsidRPr="006358E9" w:rsidRDefault="00D31581" w:rsidP="00D31581">
      <w:pPr>
        <w:pStyle w:val="ListParagraph"/>
        <w:bidi w:val="0"/>
        <w:spacing w:line="360" w:lineRule="auto"/>
        <w:rPr>
          <w:rFonts w:asciiTheme="minorBidi" w:hAnsiTheme="minorBidi"/>
          <w:sz w:val="24"/>
          <w:szCs w:val="24"/>
          <w:lang w:val="en-GB"/>
        </w:rPr>
      </w:pPr>
    </w:p>
    <w:p w:rsidR="00D31581" w:rsidRPr="006358E9" w:rsidRDefault="00D31581" w:rsidP="00D31581">
      <w:pPr>
        <w:pStyle w:val="ListParagraph"/>
        <w:numPr>
          <w:ilvl w:val="0"/>
          <w:numId w:val="1"/>
        </w:numPr>
        <w:bidi w:val="0"/>
        <w:spacing w:line="360" w:lineRule="auto"/>
        <w:rPr>
          <w:rFonts w:asciiTheme="minorBidi" w:hAnsiTheme="minorBidi"/>
          <w:sz w:val="24"/>
          <w:szCs w:val="24"/>
          <w:lang w:val="en-GB"/>
        </w:rPr>
      </w:pPr>
      <w:r w:rsidRPr="00987D4E">
        <w:rPr>
          <w:rFonts w:asciiTheme="minorBidi" w:hAnsiTheme="minorBidi"/>
          <w:sz w:val="24"/>
          <w:szCs w:val="24"/>
          <w:lang w:val="sv-SE"/>
        </w:rPr>
        <w:t xml:space="preserve">Henry RR, Murray AV, Marmolejo MH, et al. </w:t>
      </w:r>
      <w:r w:rsidRPr="00987D4E">
        <w:rPr>
          <w:rFonts w:asciiTheme="minorBidi" w:hAnsiTheme="minorBidi"/>
          <w:sz w:val="24"/>
          <w:szCs w:val="24"/>
          <w:lang w:val="en-GB"/>
        </w:rPr>
        <w:t xml:space="preserve">Dapagliflozin, metformin XR, or both: initial pharmacotherapy for type 2 diabetes, a randomised controlled trial. </w:t>
      </w:r>
      <w:proofErr w:type="spellStart"/>
      <w:r w:rsidRPr="00987D4E">
        <w:rPr>
          <w:rFonts w:asciiTheme="minorBidi" w:hAnsiTheme="minorBidi"/>
          <w:i/>
          <w:iCs/>
          <w:sz w:val="24"/>
          <w:szCs w:val="24"/>
          <w:lang w:val="en-GB"/>
        </w:rPr>
        <w:t>Int</w:t>
      </w:r>
      <w:proofErr w:type="spellEnd"/>
      <w:r w:rsidRPr="00987D4E">
        <w:rPr>
          <w:rFonts w:asciiTheme="minorBidi" w:hAnsiTheme="minorBidi"/>
          <w:i/>
          <w:iCs/>
          <w:sz w:val="24"/>
          <w:szCs w:val="24"/>
          <w:lang w:val="en-GB"/>
        </w:rPr>
        <w:t xml:space="preserve"> J </w:t>
      </w:r>
      <w:proofErr w:type="spellStart"/>
      <w:r w:rsidRPr="00987D4E">
        <w:rPr>
          <w:rFonts w:asciiTheme="minorBidi" w:hAnsiTheme="minorBidi"/>
          <w:i/>
          <w:iCs/>
          <w:sz w:val="24"/>
          <w:szCs w:val="24"/>
          <w:lang w:val="en-GB"/>
        </w:rPr>
        <w:t>Clin</w:t>
      </w:r>
      <w:proofErr w:type="spellEnd"/>
      <w:r w:rsidRPr="00987D4E">
        <w:rPr>
          <w:rFonts w:asciiTheme="minorBidi" w:hAnsiTheme="minorBidi"/>
          <w:i/>
          <w:iCs/>
          <w:sz w:val="24"/>
          <w:szCs w:val="24"/>
          <w:lang w:val="en-GB"/>
        </w:rPr>
        <w:t xml:space="preserve"> </w:t>
      </w:r>
      <w:proofErr w:type="spellStart"/>
      <w:r w:rsidRPr="00987D4E">
        <w:rPr>
          <w:rFonts w:asciiTheme="minorBidi" w:hAnsiTheme="minorBidi"/>
          <w:i/>
          <w:iCs/>
          <w:sz w:val="24"/>
          <w:szCs w:val="24"/>
          <w:lang w:val="en-GB"/>
        </w:rPr>
        <w:t>Pract</w:t>
      </w:r>
      <w:proofErr w:type="spellEnd"/>
      <w:r w:rsidRPr="00E01E3E">
        <w:rPr>
          <w:rFonts w:asciiTheme="minorBidi" w:hAnsiTheme="minorBidi"/>
          <w:sz w:val="24"/>
          <w:szCs w:val="24"/>
          <w:lang w:val="en-GB"/>
        </w:rPr>
        <w:t xml:space="preserve"> 2012</w:t>
      </w:r>
      <w:proofErr w:type="gramStart"/>
      <w:r w:rsidRPr="00E01E3E">
        <w:rPr>
          <w:rFonts w:asciiTheme="minorBidi" w:hAnsiTheme="minorBidi"/>
          <w:sz w:val="24"/>
          <w:szCs w:val="24"/>
          <w:lang w:val="en-GB"/>
        </w:rPr>
        <w:t>;66:446</w:t>
      </w:r>
      <w:proofErr w:type="gramEnd"/>
      <w:r w:rsidRPr="00E01E3E">
        <w:rPr>
          <w:rFonts w:asciiTheme="minorBidi" w:hAnsiTheme="minorBidi"/>
          <w:sz w:val="24"/>
          <w:szCs w:val="24"/>
          <w:lang w:val="en-GB"/>
        </w:rPr>
        <w:t>-456</w:t>
      </w:r>
      <w:r w:rsidRPr="006358E9">
        <w:rPr>
          <w:rFonts w:asciiTheme="minorBidi" w:hAnsiTheme="minorBidi"/>
          <w:sz w:val="24"/>
          <w:szCs w:val="24"/>
          <w:lang w:val="en-GB"/>
        </w:rPr>
        <w:t>.</w:t>
      </w:r>
    </w:p>
    <w:p w:rsidR="00D31581" w:rsidRPr="006358E9" w:rsidRDefault="00D31581" w:rsidP="00D31581">
      <w:pPr>
        <w:pStyle w:val="ListParagraph"/>
        <w:bidi w:val="0"/>
        <w:spacing w:line="360" w:lineRule="auto"/>
        <w:rPr>
          <w:rFonts w:asciiTheme="minorBidi" w:hAnsiTheme="minorBidi"/>
          <w:sz w:val="24"/>
          <w:szCs w:val="24"/>
          <w:lang w:val="en-GB"/>
        </w:rPr>
      </w:pPr>
    </w:p>
    <w:p w:rsidR="00D31581" w:rsidRPr="006358E9" w:rsidRDefault="00D31581" w:rsidP="00D31581">
      <w:pPr>
        <w:pStyle w:val="ListParagraph"/>
        <w:numPr>
          <w:ilvl w:val="0"/>
          <w:numId w:val="1"/>
        </w:numPr>
        <w:bidi w:val="0"/>
        <w:spacing w:line="360" w:lineRule="auto"/>
        <w:rPr>
          <w:rFonts w:asciiTheme="minorBidi" w:hAnsiTheme="minorBidi"/>
          <w:sz w:val="24"/>
          <w:szCs w:val="24"/>
          <w:lang w:val="en-GB"/>
        </w:rPr>
      </w:pPr>
      <w:r w:rsidRPr="00987D4E">
        <w:rPr>
          <w:rFonts w:asciiTheme="minorBidi" w:hAnsiTheme="minorBidi"/>
          <w:sz w:val="24"/>
          <w:szCs w:val="24"/>
          <w:lang w:val="en-GB"/>
        </w:rPr>
        <w:t xml:space="preserve">Bailey CJ, Gross JL, </w:t>
      </w:r>
      <w:proofErr w:type="spellStart"/>
      <w:r w:rsidRPr="00987D4E">
        <w:rPr>
          <w:rFonts w:asciiTheme="minorBidi" w:hAnsiTheme="minorBidi"/>
          <w:sz w:val="24"/>
          <w:szCs w:val="24"/>
          <w:lang w:val="en-GB"/>
        </w:rPr>
        <w:t>Pieters</w:t>
      </w:r>
      <w:proofErr w:type="spellEnd"/>
      <w:r w:rsidRPr="00987D4E">
        <w:rPr>
          <w:rFonts w:asciiTheme="minorBidi" w:hAnsiTheme="minorBidi"/>
          <w:sz w:val="24"/>
          <w:szCs w:val="24"/>
          <w:lang w:val="en-GB"/>
        </w:rPr>
        <w:t xml:space="preserve"> A, et al. Effect of dapagliflozin in patients with type 2 diabetes who have inadequate glycaemic control with metformin: a randomised, double-blind, placebo-controlled trial. </w:t>
      </w:r>
      <w:r w:rsidRPr="00987D4E">
        <w:rPr>
          <w:rFonts w:asciiTheme="minorBidi" w:hAnsiTheme="minorBidi"/>
          <w:i/>
          <w:iCs/>
          <w:sz w:val="24"/>
          <w:szCs w:val="24"/>
          <w:lang w:val="en-GB"/>
        </w:rPr>
        <w:t>Lancet</w:t>
      </w:r>
      <w:r w:rsidRPr="00E01E3E">
        <w:rPr>
          <w:rFonts w:asciiTheme="minorBidi" w:hAnsiTheme="minorBidi"/>
          <w:sz w:val="24"/>
          <w:szCs w:val="24"/>
          <w:lang w:val="en-GB"/>
        </w:rPr>
        <w:t xml:space="preserve"> 2010</w:t>
      </w:r>
      <w:proofErr w:type="gramStart"/>
      <w:r w:rsidRPr="00E01E3E">
        <w:rPr>
          <w:rFonts w:asciiTheme="minorBidi" w:hAnsiTheme="minorBidi"/>
          <w:sz w:val="24"/>
          <w:szCs w:val="24"/>
          <w:lang w:val="en-GB"/>
        </w:rPr>
        <w:t>;375:2223</w:t>
      </w:r>
      <w:proofErr w:type="gramEnd"/>
      <w:r w:rsidRPr="00E01E3E">
        <w:rPr>
          <w:rFonts w:asciiTheme="minorBidi" w:hAnsiTheme="minorBidi"/>
          <w:sz w:val="24"/>
          <w:szCs w:val="24"/>
          <w:lang w:val="en-GB"/>
        </w:rPr>
        <w:t>-2233</w:t>
      </w:r>
      <w:r w:rsidRPr="006358E9">
        <w:rPr>
          <w:rFonts w:asciiTheme="minorBidi" w:hAnsiTheme="minorBidi"/>
          <w:sz w:val="24"/>
          <w:szCs w:val="24"/>
          <w:lang w:val="en-GB"/>
        </w:rPr>
        <w:t>.</w:t>
      </w:r>
    </w:p>
    <w:p w:rsidR="00D31581" w:rsidRPr="006358E9" w:rsidRDefault="00D31581" w:rsidP="00D31581">
      <w:pPr>
        <w:pStyle w:val="ListParagraph"/>
        <w:bidi w:val="0"/>
        <w:spacing w:line="360" w:lineRule="auto"/>
        <w:rPr>
          <w:rFonts w:asciiTheme="minorBidi" w:hAnsiTheme="minorBidi"/>
          <w:sz w:val="24"/>
          <w:szCs w:val="24"/>
          <w:lang w:val="en-GB"/>
        </w:rPr>
      </w:pPr>
    </w:p>
    <w:p w:rsidR="00D31581" w:rsidRPr="006358E9" w:rsidRDefault="00D31581" w:rsidP="00D31581">
      <w:pPr>
        <w:pStyle w:val="ListParagraph"/>
        <w:numPr>
          <w:ilvl w:val="0"/>
          <w:numId w:val="1"/>
        </w:numPr>
        <w:bidi w:val="0"/>
        <w:spacing w:line="360" w:lineRule="auto"/>
        <w:rPr>
          <w:rFonts w:asciiTheme="minorBidi" w:hAnsiTheme="minorBidi"/>
          <w:sz w:val="24"/>
          <w:szCs w:val="24"/>
          <w:lang w:val="en-GB"/>
        </w:rPr>
      </w:pPr>
      <w:proofErr w:type="spellStart"/>
      <w:r w:rsidRPr="00987D4E">
        <w:rPr>
          <w:rFonts w:asciiTheme="minorBidi" w:hAnsiTheme="minorBidi"/>
          <w:sz w:val="24"/>
          <w:szCs w:val="24"/>
          <w:lang w:val="en-GB"/>
        </w:rPr>
        <w:t>Nauck</w:t>
      </w:r>
      <w:proofErr w:type="spellEnd"/>
      <w:r w:rsidRPr="00987D4E">
        <w:rPr>
          <w:rFonts w:asciiTheme="minorBidi" w:hAnsiTheme="minorBidi"/>
          <w:sz w:val="24"/>
          <w:szCs w:val="24"/>
          <w:lang w:val="en-GB"/>
        </w:rPr>
        <w:t xml:space="preserve"> MA, Del Prato S, Meier JJ, et al. Dapagliflozin versus glipizide as add-on therapy in patients with type 2 diabetes who have inadequate glycemic control with metformin: a randomized, 52-week, double-blind, active-controlled noninferiority trial. </w:t>
      </w:r>
      <w:r w:rsidRPr="00987D4E">
        <w:rPr>
          <w:rFonts w:asciiTheme="minorBidi" w:hAnsiTheme="minorBidi"/>
          <w:i/>
          <w:iCs/>
          <w:sz w:val="24"/>
          <w:szCs w:val="24"/>
          <w:lang w:val="en-GB"/>
        </w:rPr>
        <w:t>Diabetes Care</w:t>
      </w:r>
      <w:r w:rsidRPr="00E01E3E">
        <w:rPr>
          <w:rFonts w:asciiTheme="minorBidi" w:hAnsiTheme="minorBidi"/>
          <w:sz w:val="24"/>
          <w:szCs w:val="24"/>
          <w:lang w:val="en-GB"/>
        </w:rPr>
        <w:t xml:space="preserve"> 2011</w:t>
      </w:r>
      <w:proofErr w:type="gramStart"/>
      <w:r w:rsidRPr="00E01E3E">
        <w:rPr>
          <w:rFonts w:asciiTheme="minorBidi" w:hAnsiTheme="minorBidi"/>
          <w:sz w:val="24"/>
          <w:szCs w:val="24"/>
          <w:lang w:val="en-GB"/>
        </w:rPr>
        <w:t>;34:2015</w:t>
      </w:r>
      <w:proofErr w:type="gramEnd"/>
      <w:r w:rsidRPr="00E01E3E">
        <w:rPr>
          <w:rFonts w:asciiTheme="minorBidi" w:hAnsiTheme="minorBidi"/>
          <w:sz w:val="24"/>
          <w:szCs w:val="24"/>
          <w:lang w:val="en-GB"/>
        </w:rPr>
        <w:t>-2022</w:t>
      </w:r>
      <w:r w:rsidRPr="006358E9">
        <w:rPr>
          <w:rFonts w:asciiTheme="minorBidi" w:hAnsiTheme="minorBidi"/>
          <w:sz w:val="24"/>
          <w:szCs w:val="24"/>
          <w:lang w:val="en-GB"/>
        </w:rPr>
        <w:t>.</w:t>
      </w:r>
    </w:p>
    <w:p w:rsidR="00D31581" w:rsidRPr="006358E9" w:rsidRDefault="00D31581" w:rsidP="00D31581">
      <w:pPr>
        <w:pStyle w:val="ListParagraph"/>
        <w:bidi w:val="0"/>
        <w:spacing w:line="360" w:lineRule="auto"/>
        <w:rPr>
          <w:rFonts w:asciiTheme="minorBidi" w:hAnsiTheme="minorBidi"/>
          <w:sz w:val="24"/>
          <w:szCs w:val="24"/>
          <w:lang w:val="en-GB"/>
        </w:rPr>
      </w:pPr>
    </w:p>
    <w:p w:rsidR="00D31581" w:rsidRPr="006358E9" w:rsidRDefault="00D31581" w:rsidP="00D31581">
      <w:pPr>
        <w:pStyle w:val="ListParagraph"/>
        <w:numPr>
          <w:ilvl w:val="0"/>
          <w:numId w:val="1"/>
        </w:numPr>
        <w:bidi w:val="0"/>
        <w:spacing w:line="360" w:lineRule="auto"/>
        <w:rPr>
          <w:rFonts w:asciiTheme="minorBidi" w:hAnsiTheme="minorBidi"/>
          <w:sz w:val="24"/>
          <w:szCs w:val="24"/>
          <w:lang w:val="en-GB"/>
        </w:rPr>
      </w:pPr>
      <w:proofErr w:type="spellStart"/>
      <w:r w:rsidRPr="00987D4E">
        <w:rPr>
          <w:rFonts w:asciiTheme="minorBidi" w:hAnsiTheme="minorBidi"/>
          <w:sz w:val="24"/>
          <w:szCs w:val="24"/>
          <w:lang w:val="en-GB"/>
        </w:rPr>
        <w:t>Strojek</w:t>
      </w:r>
      <w:proofErr w:type="spellEnd"/>
      <w:r w:rsidRPr="00987D4E">
        <w:rPr>
          <w:rFonts w:asciiTheme="minorBidi" w:hAnsiTheme="minorBidi"/>
          <w:sz w:val="24"/>
          <w:szCs w:val="24"/>
          <w:lang w:val="en-GB"/>
        </w:rPr>
        <w:t xml:space="preserve"> K, Yoon KH, </w:t>
      </w:r>
      <w:proofErr w:type="spellStart"/>
      <w:r w:rsidRPr="00987D4E">
        <w:rPr>
          <w:rFonts w:asciiTheme="minorBidi" w:hAnsiTheme="minorBidi"/>
          <w:sz w:val="24"/>
          <w:szCs w:val="24"/>
          <w:lang w:val="en-GB"/>
        </w:rPr>
        <w:t>Hruba</w:t>
      </w:r>
      <w:proofErr w:type="spellEnd"/>
      <w:r w:rsidRPr="00987D4E">
        <w:rPr>
          <w:rFonts w:asciiTheme="minorBidi" w:hAnsiTheme="minorBidi"/>
          <w:sz w:val="24"/>
          <w:szCs w:val="24"/>
          <w:lang w:val="en-GB"/>
        </w:rPr>
        <w:t xml:space="preserve"> V, et al. Effect of dapagliflozin in patients with type 2 diabetes who have inadequate glycaemic control with glimepiride: a randomized, 24-week, double-blind, placebo-controlled trial. </w:t>
      </w:r>
      <w:r w:rsidRPr="00987D4E">
        <w:rPr>
          <w:rFonts w:asciiTheme="minorBidi" w:hAnsiTheme="minorBidi"/>
          <w:i/>
          <w:iCs/>
          <w:sz w:val="24"/>
          <w:szCs w:val="24"/>
          <w:lang w:val="en-GB"/>
        </w:rPr>
        <w:t xml:space="preserve">Diabetes </w:t>
      </w:r>
      <w:proofErr w:type="spellStart"/>
      <w:r w:rsidRPr="00987D4E">
        <w:rPr>
          <w:rFonts w:asciiTheme="minorBidi" w:hAnsiTheme="minorBidi"/>
          <w:i/>
          <w:iCs/>
          <w:sz w:val="24"/>
          <w:szCs w:val="24"/>
          <w:lang w:val="en-GB"/>
        </w:rPr>
        <w:t>Obes</w:t>
      </w:r>
      <w:proofErr w:type="spellEnd"/>
      <w:r w:rsidRPr="00987D4E">
        <w:rPr>
          <w:rFonts w:asciiTheme="minorBidi" w:hAnsiTheme="minorBidi"/>
          <w:i/>
          <w:iCs/>
          <w:sz w:val="24"/>
          <w:szCs w:val="24"/>
          <w:lang w:val="en-GB"/>
        </w:rPr>
        <w:t xml:space="preserve"> </w:t>
      </w:r>
      <w:proofErr w:type="spellStart"/>
      <w:r w:rsidRPr="00987D4E">
        <w:rPr>
          <w:rFonts w:asciiTheme="minorBidi" w:hAnsiTheme="minorBidi"/>
          <w:i/>
          <w:iCs/>
          <w:sz w:val="24"/>
          <w:szCs w:val="24"/>
          <w:lang w:val="en-GB"/>
        </w:rPr>
        <w:t>Metab</w:t>
      </w:r>
      <w:proofErr w:type="spellEnd"/>
      <w:r w:rsidRPr="00E01E3E">
        <w:rPr>
          <w:rFonts w:asciiTheme="minorBidi" w:hAnsiTheme="minorBidi"/>
          <w:sz w:val="24"/>
          <w:szCs w:val="24"/>
          <w:lang w:val="en-GB"/>
        </w:rPr>
        <w:t xml:space="preserve"> 2011</w:t>
      </w:r>
      <w:proofErr w:type="gramStart"/>
      <w:r w:rsidRPr="00E01E3E">
        <w:rPr>
          <w:rFonts w:asciiTheme="minorBidi" w:hAnsiTheme="minorBidi"/>
          <w:sz w:val="24"/>
          <w:szCs w:val="24"/>
          <w:lang w:val="en-GB"/>
        </w:rPr>
        <w:t>;13:928</w:t>
      </w:r>
      <w:proofErr w:type="gramEnd"/>
      <w:r w:rsidRPr="00E01E3E">
        <w:rPr>
          <w:rFonts w:asciiTheme="minorBidi" w:hAnsiTheme="minorBidi"/>
          <w:sz w:val="24"/>
          <w:szCs w:val="24"/>
          <w:lang w:val="en-GB"/>
        </w:rPr>
        <w:t>-938</w:t>
      </w:r>
      <w:r w:rsidRPr="006358E9">
        <w:rPr>
          <w:rFonts w:asciiTheme="minorBidi" w:hAnsiTheme="minorBidi"/>
          <w:sz w:val="24"/>
          <w:szCs w:val="24"/>
          <w:lang w:val="en-GB"/>
        </w:rPr>
        <w:t>.</w:t>
      </w:r>
    </w:p>
    <w:p w:rsidR="00D31581" w:rsidRPr="006358E9" w:rsidRDefault="00D31581" w:rsidP="00D31581">
      <w:pPr>
        <w:pStyle w:val="ListParagraph"/>
        <w:bidi w:val="0"/>
        <w:spacing w:line="360" w:lineRule="auto"/>
        <w:rPr>
          <w:rFonts w:asciiTheme="minorBidi" w:hAnsiTheme="minorBidi"/>
          <w:sz w:val="24"/>
          <w:szCs w:val="24"/>
          <w:lang w:val="en-GB"/>
        </w:rPr>
      </w:pPr>
    </w:p>
    <w:p w:rsidR="00D31581" w:rsidRPr="006358E9" w:rsidRDefault="00D31581" w:rsidP="00D31581">
      <w:pPr>
        <w:pStyle w:val="ListParagraph"/>
        <w:numPr>
          <w:ilvl w:val="0"/>
          <w:numId w:val="1"/>
        </w:numPr>
        <w:bidi w:val="0"/>
        <w:spacing w:line="360" w:lineRule="auto"/>
        <w:rPr>
          <w:rFonts w:asciiTheme="minorBidi" w:hAnsiTheme="minorBidi"/>
          <w:sz w:val="24"/>
          <w:szCs w:val="24"/>
          <w:lang w:val="en-GB"/>
        </w:rPr>
      </w:pPr>
      <w:r>
        <w:rPr>
          <w:rFonts w:asciiTheme="minorBidi" w:hAnsiTheme="minorBidi"/>
          <w:sz w:val="24"/>
          <w:szCs w:val="24"/>
          <w:lang w:val="sv-SE"/>
        </w:rPr>
        <w:t xml:space="preserve"> </w:t>
      </w:r>
      <w:r w:rsidRPr="006358E9">
        <w:rPr>
          <w:rFonts w:asciiTheme="minorBidi" w:hAnsiTheme="minorBidi"/>
          <w:sz w:val="24"/>
          <w:szCs w:val="24"/>
          <w:lang w:val="sv-SE"/>
        </w:rPr>
        <w:t xml:space="preserve">Mathieu C, Ranetti AE, Li D, et al. </w:t>
      </w:r>
      <w:r>
        <w:fldChar w:fldCharType="begin"/>
      </w:r>
      <w:r>
        <w:instrText xml:space="preserve"> HYPERLINK "http://www.ncbi.nlm.nih.gov/pubmed/26246458" </w:instrText>
      </w:r>
      <w:r>
        <w:fldChar w:fldCharType="separate"/>
      </w:r>
      <w:r w:rsidRPr="00987D4E">
        <w:rPr>
          <w:rFonts w:asciiTheme="minorBidi" w:hAnsiTheme="minorBidi"/>
          <w:sz w:val="24"/>
          <w:szCs w:val="24"/>
        </w:rPr>
        <w:t>Randomized, double-blind, phase 3 trial of triple therapy with dapagliflozin add-on to saxagliptin plus metformin in type 2 diabetes.</w:t>
      </w:r>
      <w:r>
        <w:rPr>
          <w:rFonts w:asciiTheme="minorBidi" w:hAnsiTheme="minorBidi"/>
          <w:sz w:val="24"/>
          <w:szCs w:val="24"/>
        </w:rPr>
        <w:fldChar w:fldCharType="end"/>
      </w:r>
      <w:r w:rsidRPr="00E01E3E">
        <w:rPr>
          <w:rFonts w:asciiTheme="minorBidi" w:hAnsiTheme="minorBidi"/>
          <w:sz w:val="24"/>
          <w:szCs w:val="24"/>
        </w:rPr>
        <w:t xml:space="preserve"> </w:t>
      </w:r>
      <w:r w:rsidRPr="00987D4E">
        <w:rPr>
          <w:rStyle w:val="jrnl"/>
          <w:rFonts w:asciiTheme="minorBidi" w:hAnsiTheme="minorBidi"/>
          <w:i/>
          <w:iCs/>
          <w:sz w:val="24"/>
          <w:szCs w:val="24"/>
        </w:rPr>
        <w:t>Diabetes Care</w:t>
      </w:r>
      <w:r w:rsidRPr="00E01E3E">
        <w:rPr>
          <w:rFonts w:asciiTheme="minorBidi" w:hAnsiTheme="minorBidi"/>
          <w:sz w:val="24"/>
          <w:szCs w:val="24"/>
        </w:rPr>
        <w:t xml:space="preserve"> 2015</w:t>
      </w:r>
      <w:proofErr w:type="gramStart"/>
      <w:r w:rsidRPr="00E01E3E">
        <w:rPr>
          <w:rFonts w:asciiTheme="minorBidi" w:hAnsiTheme="minorBidi"/>
          <w:sz w:val="24"/>
          <w:szCs w:val="24"/>
        </w:rPr>
        <w:t>;38</w:t>
      </w:r>
      <w:proofErr w:type="gramEnd"/>
      <w:r w:rsidRPr="00E01E3E">
        <w:rPr>
          <w:rFonts w:asciiTheme="minorBidi" w:hAnsiTheme="minorBidi"/>
          <w:sz w:val="24"/>
          <w:szCs w:val="24"/>
        </w:rPr>
        <w:t>(11):2009-2017</w:t>
      </w:r>
      <w:r w:rsidRPr="006358E9">
        <w:rPr>
          <w:rFonts w:asciiTheme="minorBidi" w:hAnsiTheme="minorBidi"/>
          <w:sz w:val="24"/>
          <w:szCs w:val="24"/>
        </w:rPr>
        <w:t>.</w:t>
      </w:r>
    </w:p>
    <w:p w:rsidR="00D31581" w:rsidRPr="006358E9" w:rsidRDefault="00D31581" w:rsidP="00D31581">
      <w:pPr>
        <w:pStyle w:val="ListParagraph"/>
        <w:bidi w:val="0"/>
        <w:spacing w:line="360" w:lineRule="auto"/>
        <w:rPr>
          <w:rFonts w:asciiTheme="minorBidi" w:hAnsiTheme="minorBidi"/>
          <w:sz w:val="24"/>
          <w:szCs w:val="24"/>
          <w:lang w:val="en-GB"/>
        </w:rPr>
      </w:pPr>
    </w:p>
    <w:p w:rsidR="00D31581" w:rsidRPr="006358E9" w:rsidRDefault="00D31581" w:rsidP="00D31581">
      <w:pPr>
        <w:pStyle w:val="ListParagraph"/>
        <w:numPr>
          <w:ilvl w:val="0"/>
          <w:numId w:val="1"/>
        </w:numPr>
        <w:bidi w:val="0"/>
        <w:spacing w:line="360" w:lineRule="auto"/>
        <w:rPr>
          <w:rFonts w:asciiTheme="minorBidi" w:hAnsiTheme="minorBidi"/>
          <w:sz w:val="24"/>
          <w:szCs w:val="24"/>
          <w:lang w:val="en-GB"/>
        </w:rPr>
      </w:pPr>
      <w:proofErr w:type="spellStart"/>
      <w:r w:rsidRPr="00987D4E">
        <w:rPr>
          <w:rFonts w:asciiTheme="minorBidi" w:hAnsiTheme="minorBidi"/>
          <w:sz w:val="24"/>
          <w:szCs w:val="24"/>
          <w:lang w:val="en-GB"/>
        </w:rPr>
        <w:lastRenderedPageBreak/>
        <w:t>Rosenstock</w:t>
      </w:r>
      <w:proofErr w:type="spellEnd"/>
      <w:r w:rsidRPr="00987D4E">
        <w:rPr>
          <w:rFonts w:asciiTheme="minorBidi" w:hAnsiTheme="minorBidi"/>
          <w:sz w:val="24"/>
          <w:szCs w:val="24"/>
          <w:lang w:val="en-GB"/>
        </w:rPr>
        <w:t xml:space="preserve"> J, </w:t>
      </w:r>
      <w:proofErr w:type="spellStart"/>
      <w:r w:rsidRPr="00987D4E">
        <w:rPr>
          <w:rFonts w:asciiTheme="minorBidi" w:hAnsiTheme="minorBidi"/>
          <w:sz w:val="24"/>
          <w:szCs w:val="24"/>
          <w:lang w:val="en-GB"/>
        </w:rPr>
        <w:t>Vico</w:t>
      </w:r>
      <w:proofErr w:type="spellEnd"/>
      <w:r w:rsidRPr="00987D4E">
        <w:rPr>
          <w:rFonts w:asciiTheme="minorBidi" w:hAnsiTheme="minorBidi"/>
          <w:sz w:val="24"/>
          <w:szCs w:val="24"/>
          <w:lang w:val="en-GB"/>
        </w:rPr>
        <w:t xml:space="preserve"> M, Wei L, et al. Effects of dapagliflozin, an SGLT2 inhibitor, on </w:t>
      </w:r>
      <w:proofErr w:type="spellStart"/>
      <w:r w:rsidRPr="00987D4E">
        <w:rPr>
          <w:rFonts w:asciiTheme="minorBidi" w:hAnsiTheme="minorBidi"/>
          <w:sz w:val="24"/>
          <w:szCs w:val="24"/>
          <w:lang w:val="en-GB"/>
        </w:rPr>
        <w:t>HbA</w:t>
      </w:r>
      <w:proofErr w:type="spellEnd"/>
      <w:r w:rsidRPr="00987D4E">
        <w:rPr>
          <w:rFonts w:asciiTheme="minorBidi" w:hAnsiTheme="minorBidi"/>
          <w:sz w:val="24"/>
          <w:szCs w:val="24"/>
          <w:lang w:val="en-GB"/>
        </w:rPr>
        <w:t xml:space="preserve">(1c), body weight, and hypoglycemia risk in patients with type 2 diabetes inadequately controlled on pioglitazone monotherapy. </w:t>
      </w:r>
      <w:r w:rsidRPr="00987D4E">
        <w:rPr>
          <w:rFonts w:asciiTheme="minorBidi" w:hAnsiTheme="minorBidi"/>
          <w:i/>
          <w:iCs/>
          <w:sz w:val="24"/>
          <w:szCs w:val="24"/>
          <w:lang w:val="en-GB"/>
        </w:rPr>
        <w:t>Diabetes Care</w:t>
      </w:r>
      <w:r w:rsidRPr="00E01E3E">
        <w:rPr>
          <w:rFonts w:asciiTheme="minorBidi" w:hAnsiTheme="minorBidi"/>
          <w:sz w:val="24"/>
          <w:szCs w:val="24"/>
          <w:lang w:val="en-GB"/>
        </w:rPr>
        <w:t xml:space="preserve"> 2012</w:t>
      </w:r>
      <w:proofErr w:type="gramStart"/>
      <w:r w:rsidRPr="00E01E3E">
        <w:rPr>
          <w:rFonts w:asciiTheme="minorBidi" w:hAnsiTheme="minorBidi"/>
          <w:sz w:val="24"/>
          <w:szCs w:val="24"/>
          <w:lang w:val="en-GB"/>
        </w:rPr>
        <w:t>;35:1473</w:t>
      </w:r>
      <w:proofErr w:type="gramEnd"/>
      <w:r w:rsidRPr="00E01E3E">
        <w:rPr>
          <w:rFonts w:asciiTheme="minorBidi" w:hAnsiTheme="minorBidi"/>
          <w:sz w:val="24"/>
          <w:szCs w:val="24"/>
          <w:lang w:val="en-GB"/>
        </w:rPr>
        <w:t>-1478</w:t>
      </w:r>
      <w:r w:rsidRPr="006358E9">
        <w:rPr>
          <w:rFonts w:asciiTheme="minorBidi" w:hAnsiTheme="minorBidi"/>
          <w:sz w:val="24"/>
          <w:szCs w:val="24"/>
          <w:lang w:val="en-GB"/>
        </w:rPr>
        <w:t>.</w:t>
      </w:r>
    </w:p>
    <w:p w:rsidR="00D31581" w:rsidRPr="006358E9" w:rsidRDefault="00D31581" w:rsidP="00D31581">
      <w:pPr>
        <w:pStyle w:val="ListParagraph"/>
        <w:bidi w:val="0"/>
        <w:spacing w:line="360" w:lineRule="auto"/>
        <w:rPr>
          <w:rFonts w:asciiTheme="minorBidi" w:hAnsiTheme="minorBidi"/>
          <w:sz w:val="24"/>
          <w:szCs w:val="24"/>
          <w:lang w:val="en-GB"/>
        </w:rPr>
      </w:pPr>
    </w:p>
    <w:p w:rsidR="00D31581" w:rsidRPr="006358E9" w:rsidRDefault="00D31581" w:rsidP="00D31581">
      <w:pPr>
        <w:pStyle w:val="ListParagraph"/>
        <w:numPr>
          <w:ilvl w:val="0"/>
          <w:numId w:val="1"/>
        </w:numPr>
        <w:bidi w:val="0"/>
        <w:spacing w:line="360" w:lineRule="auto"/>
        <w:rPr>
          <w:rFonts w:asciiTheme="minorBidi" w:hAnsiTheme="minorBidi"/>
          <w:sz w:val="24"/>
          <w:szCs w:val="24"/>
          <w:lang w:val="en-GB"/>
        </w:rPr>
      </w:pPr>
      <w:r w:rsidRPr="00987D4E">
        <w:rPr>
          <w:rFonts w:asciiTheme="minorBidi" w:hAnsiTheme="minorBidi"/>
          <w:sz w:val="24"/>
          <w:szCs w:val="24"/>
          <w:lang w:val="en-GB"/>
        </w:rPr>
        <w:t xml:space="preserve">Wilding JPH, Norwood P, </w:t>
      </w:r>
      <w:proofErr w:type="spellStart"/>
      <w:r w:rsidRPr="00987D4E">
        <w:rPr>
          <w:rFonts w:asciiTheme="minorBidi" w:hAnsiTheme="minorBidi"/>
          <w:sz w:val="24"/>
          <w:szCs w:val="24"/>
          <w:lang w:val="en-GB"/>
        </w:rPr>
        <w:t>Tjoen</w:t>
      </w:r>
      <w:proofErr w:type="spellEnd"/>
      <w:r w:rsidRPr="00987D4E">
        <w:rPr>
          <w:rFonts w:asciiTheme="minorBidi" w:hAnsiTheme="minorBidi"/>
          <w:sz w:val="24"/>
          <w:szCs w:val="24"/>
          <w:lang w:val="en-GB"/>
        </w:rPr>
        <w:t xml:space="preserve"> C, et al. A study of dapagliflozin in patients with type 2 diabetes receiving high doses of insulin plus insulin sensitizers. Applicability of a novel insulin-independent treatment. </w:t>
      </w:r>
      <w:r w:rsidRPr="00987D4E">
        <w:rPr>
          <w:rFonts w:asciiTheme="minorBidi" w:hAnsiTheme="minorBidi"/>
          <w:i/>
          <w:iCs/>
          <w:sz w:val="24"/>
          <w:szCs w:val="24"/>
          <w:lang w:val="en-GB"/>
        </w:rPr>
        <w:t>Diabetes Care</w:t>
      </w:r>
      <w:r w:rsidRPr="00E01E3E">
        <w:rPr>
          <w:rFonts w:asciiTheme="minorBidi" w:hAnsiTheme="minorBidi"/>
          <w:sz w:val="24"/>
          <w:szCs w:val="24"/>
          <w:lang w:val="en-GB"/>
        </w:rPr>
        <w:t xml:space="preserve"> 2009</w:t>
      </w:r>
      <w:proofErr w:type="gramStart"/>
      <w:r w:rsidRPr="00E01E3E">
        <w:rPr>
          <w:rFonts w:asciiTheme="minorBidi" w:hAnsiTheme="minorBidi"/>
          <w:sz w:val="24"/>
          <w:szCs w:val="24"/>
          <w:lang w:val="en-GB"/>
        </w:rPr>
        <w:t>;32:1656</w:t>
      </w:r>
      <w:proofErr w:type="gramEnd"/>
      <w:r w:rsidRPr="00E01E3E">
        <w:rPr>
          <w:rFonts w:asciiTheme="minorBidi" w:hAnsiTheme="minorBidi"/>
          <w:sz w:val="24"/>
          <w:szCs w:val="24"/>
          <w:lang w:val="en-GB"/>
        </w:rPr>
        <w:t>-1662</w:t>
      </w:r>
      <w:r w:rsidRPr="006358E9">
        <w:rPr>
          <w:rFonts w:asciiTheme="minorBidi" w:hAnsiTheme="minorBidi"/>
          <w:sz w:val="24"/>
          <w:szCs w:val="24"/>
          <w:lang w:val="en-GB"/>
        </w:rPr>
        <w:t>.</w:t>
      </w:r>
    </w:p>
    <w:p w:rsidR="00D31581" w:rsidRPr="006358E9" w:rsidRDefault="00D31581" w:rsidP="00D31581">
      <w:pPr>
        <w:pStyle w:val="ListParagraph"/>
        <w:bidi w:val="0"/>
        <w:spacing w:line="360" w:lineRule="auto"/>
        <w:rPr>
          <w:rFonts w:asciiTheme="minorBidi" w:hAnsiTheme="minorBidi"/>
          <w:sz w:val="24"/>
          <w:szCs w:val="24"/>
          <w:lang w:val="en-GB"/>
        </w:rPr>
      </w:pPr>
    </w:p>
    <w:p w:rsidR="00D31581" w:rsidRPr="006358E9" w:rsidRDefault="00D31581" w:rsidP="00D31581">
      <w:pPr>
        <w:pStyle w:val="ListParagraph"/>
        <w:numPr>
          <w:ilvl w:val="0"/>
          <w:numId w:val="1"/>
        </w:numPr>
        <w:bidi w:val="0"/>
        <w:spacing w:line="360" w:lineRule="auto"/>
        <w:rPr>
          <w:rFonts w:asciiTheme="minorBidi" w:hAnsiTheme="minorBidi"/>
          <w:sz w:val="24"/>
          <w:szCs w:val="24"/>
          <w:lang w:val="en-GB"/>
        </w:rPr>
      </w:pPr>
      <w:r w:rsidRPr="00987D4E">
        <w:rPr>
          <w:rFonts w:asciiTheme="minorBidi" w:hAnsiTheme="minorBidi"/>
          <w:sz w:val="24"/>
          <w:szCs w:val="24"/>
          <w:lang w:val="en-GB"/>
        </w:rPr>
        <w:t xml:space="preserve">Wilding JPH, Woo V, </w:t>
      </w:r>
      <w:proofErr w:type="spellStart"/>
      <w:r w:rsidRPr="00987D4E">
        <w:rPr>
          <w:rFonts w:asciiTheme="minorBidi" w:hAnsiTheme="minorBidi"/>
          <w:sz w:val="24"/>
          <w:szCs w:val="24"/>
          <w:lang w:val="en-GB"/>
        </w:rPr>
        <w:t>Soler</w:t>
      </w:r>
      <w:proofErr w:type="spellEnd"/>
      <w:r w:rsidRPr="00987D4E">
        <w:rPr>
          <w:rFonts w:asciiTheme="minorBidi" w:hAnsiTheme="minorBidi"/>
          <w:sz w:val="24"/>
          <w:szCs w:val="24"/>
          <w:lang w:val="en-GB"/>
        </w:rPr>
        <w:t xml:space="preserve"> NG, et al. Long-term efficacy of dapagliflozin in patients with type 2 diabetes mellitus receiving high doses of insulin: a randomized trial. </w:t>
      </w:r>
      <w:r w:rsidRPr="00AC603E">
        <w:rPr>
          <w:rFonts w:asciiTheme="minorBidi" w:hAnsiTheme="minorBidi"/>
          <w:i/>
          <w:iCs/>
          <w:sz w:val="24"/>
          <w:szCs w:val="24"/>
          <w:lang w:val="en-GB"/>
        </w:rPr>
        <w:t>Ann Inter Med</w:t>
      </w:r>
      <w:r w:rsidRPr="00E01E3E">
        <w:rPr>
          <w:rFonts w:asciiTheme="minorBidi" w:hAnsiTheme="minorBidi"/>
          <w:sz w:val="24"/>
          <w:szCs w:val="24"/>
          <w:lang w:val="en-GB"/>
        </w:rPr>
        <w:t xml:space="preserve"> 2012</w:t>
      </w:r>
      <w:proofErr w:type="gramStart"/>
      <w:r w:rsidRPr="00E01E3E">
        <w:rPr>
          <w:rFonts w:asciiTheme="minorBidi" w:hAnsiTheme="minorBidi"/>
          <w:sz w:val="24"/>
          <w:szCs w:val="24"/>
          <w:lang w:val="en-GB"/>
        </w:rPr>
        <w:t>;156:405</w:t>
      </w:r>
      <w:proofErr w:type="gramEnd"/>
      <w:r w:rsidRPr="00E01E3E">
        <w:rPr>
          <w:rFonts w:asciiTheme="minorBidi" w:hAnsiTheme="minorBidi"/>
          <w:sz w:val="24"/>
          <w:szCs w:val="24"/>
          <w:lang w:val="en-GB"/>
        </w:rPr>
        <w:t>-415</w:t>
      </w:r>
      <w:r w:rsidRPr="006358E9">
        <w:rPr>
          <w:rFonts w:asciiTheme="minorBidi" w:hAnsiTheme="minorBidi"/>
          <w:sz w:val="24"/>
          <w:szCs w:val="24"/>
          <w:lang w:val="en-GB"/>
        </w:rPr>
        <w:t>.</w:t>
      </w:r>
    </w:p>
    <w:p w:rsidR="00D31581" w:rsidRPr="006358E9" w:rsidRDefault="00D31581" w:rsidP="00D31581">
      <w:pPr>
        <w:pStyle w:val="ListParagraph"/>
        <w:bidi w:val="0"/>
        <w:spacing w:line="360" w:lineRule="auto"/>
        <w:rPr>
          <w:rFonts w:asciiTheme="minorBidi" w:hAnsiTheme="minorBidi"/>
          <w:sz w:val="24"/>
          <w:szCs w:val="24"/>
          <w:lang w:val="en-GB"/>
        </w:rPr>
      </w:pPr>
    </w:p>
    <w:p w:rsidR="00D31581" w:rsidRPr="006358E9" w:rsidRDefault="00D31581" w:rsidP="00D31581">
      <w:pPr>
        <w:pStyle w:val="ListParagraph"/>
        <w:numPr>
          <w:ilvl w:val="0"/>
          <w:numId w:val="1"/>
        </w:numPr>
        <w:bidi w:val="0"/>
        <w:spacing w:line="360" w:lineRule="auto"/>
        <w:rPr>
          <w:rFonts w:asciiTheme="minorBidi" w:hAnsiTheme="minorBidi"/>
          <w:sz w:val="24"/>
          <w:szCs w:val="24"/>
          <w:lang w:val="en-GB"/>
        </w:rPr>
      </w:pPr>
      <w:r w:rsidRPr="00987D4E">
        <w:rPr>
          <w:rFonts w:asciiTheme="minorBidi" w:hAnsiTheme="minorBidi"/>
          <w:sz w:val="24"/>
          <w:szCs w:val="24"/>
          <w:lang w:val="en-GB"/>
        </w:rPr>
        <w:t xml:space="preserve">Baily CJ, Gross JI, Yadav M, et al. Sustained efficacy of dapagliflozin when added to metformin in type 2 diabetes inadequately controlled by metformin monotherapy. </w:t>
      </w:r>
      <w:proofErr w:type="spellStart"/>
      <w:r w:rsidRPr="00987D4E">
        <w:rPr>
          <w:rFonts w:asciiTheme="minorBidi" w:hAnsiTheme="minorBidi"/>
          <w:i/>
          <w:iCs/>
          <w:sz w:val="24"/>
          <w:szCs w:val="24"/>
          <w:lang w:val="en-GB"/>
        </w:rPr>
        <w:t>Diabetologia</w:t>
      </w:r>
      <w:proofErr w:type="spellEnd"/>
      <w:r w:rsidRPr="00E01E3E">
        <w:rPr>
          <w:rFonts w:asciiTheme="minorBidi" w:hAnsiTheme="minorBidi"/>
          <w:sz w:val="24"/>
          <w:szCs w:val="24"/>
          <w:lang w:val="en-GB"/>
        </w:rPr>
        <w:t xml:space="preserve"> 2011</w:t>
      </w:r>
      <w:proofErr w:type="gramStart"/>
      <w:r w:rsidRPr="00E01E3E">
        <w:rPr>
          <w:rFonts w:asciiTheme="minorBidi" w:hAnsiTheme="minorBidi"/>
          <w:sz w:val="24"/>
          <w:szCs w:val="24"/>
          <w:lang w:val="en-GB"/>
        </w:rPr>
        <w:t>;54</w:t>
      </w:r>
      <w:proofErr w:type="gramEnd"/>
      <w:r w:rsidRPr="00E01E3E">
        <w:rPr>
          <w:rFonts w:asciiTheme="minorBidi" w:hAnsiTheme="minorBidi"/>
          <w:sz w:val="24"/>
          <w:szCs w:val="24"/>
          <w:lang w:val="en-GB"/>
        </w:rPr>
        <w:t>(</w:t>
      </w:r>
      <w:proofErr w:type="spellStart"/>
      <w:r w:rsidRPr="00E01E3E">
        <w:rPr>
          <w:rFonts w:asciiTheme="minorBidi" w:hAnsiTheme="minorBidi"/>
          <w:sz w:val="24"/>
          <w:szCs w:val="24"/>
          <w:lang w:val="en-GB"/>
        </w:rPr>
        <w:t>Suppl</w:t>
      </w:r>
      <w:proofErr w:type="spellEnd"/>
      <w:r w:rsidRPr="00E01E3E">
        <w:rPr>
          <w:rFonts w:asciiTheme="minorBidi" w:hAnsiTheme="minorBidi"/>
          <w:sz w:val="24"/>
          <w:szCs w:val="24"/>
          <w:lang w:val="en-GB"/>
        </w:rPr>
        <w:t xml:space="preserve"> 1):A146</w:t>
      </w:r>
      <w:r w:rsidRPr="006358E9">
        <w:rPr>
          <w:rFonts w:asciiTheme="minorBidi" w:hAnsiTheme="minorBidi"/>
          <w:sz w:val="24"/>
          <w:szCs w:val="24"/>
          <w:lang w:val="en-GB"/>
        </w:rPr>
        <w:t>.</w:t>
      </w:r>
    </w:p>
    <w:p w:rsidR="00D31581" w:rsidRPr="006358E9" w:rsidRDefault="00D31581" w:rsidP="00D31581">
      <w:pPr>
        <w:pStyle w:val="ListParagraph"/>
        <w:bidi w:val="0"/>
        <w:spacing w:line="360" w:lineRule="auto"/>
        <w:rPr>
          <w:rFonts w:asciiTheme="minorBidi" w:hAnsiTheme="minorBidi"/>
          <w:sz w:val="24"/>
          <w:szCs w:val="24"/>
          <w:lang w:val="en-GB"/>
        </w:rPr>
      </w:pPr>
    </w:p>
    <w:p w:rsidR="00D31581" w:rsidRPr="00E01E3E" w:rsidRDefault="00D31581" w:rsidP="00D31581">
      <w:pPr>
        <w:pStyle w:val="ListParagraph"/>
        <w:numPr>
          <w:ilvl w:val="0"/>
          <w:numId w:val="1"/>
        </w:numPr>
        <w:bidi w:val="0"/>
        <w:spacing w:line="360" w:lineRule="auto"/>
        <w:rPr>
          <w:rFonts w:asciiTheme="minorBidi" w:hAnsiTheme="minorBidi"/>
          <w:sz w:val="24"/>
          <w:szCs w:val="24"/>
          <w:lang w:val="en-GB"/>
        </w:rPr>
      </w:pPr>
      <w:r w:rsidRPr="00987D4E">
        <w:rPr>
          <w:rFonts w:asciiTheme="minorBidi" w:hAnsiTheme="minorBidi"/>
          <w:color w:val="000000"/>
          <w:sz w:val="24"/>
          <w:szCs w:val="24"/>
          <w:shd w:val="clear" w:color="auto" w:fill="FFFFFF"/>
        </w:rPr>
        <w:t xml:space="preserve">Del Prato S, </w:t>
      </w:r>
      <w:proofErr w:type="spellStart"/>
      <w:r w:rsidRPr="00987D4E">
        <w:rPr>
          <w:rFonts w:asciiTheme="minorBidi" w:hAnsiTheme="minorBidi"/>
          <w:color w:val="000000"/>
          <w:sz w:val="24"/>
          <w:szCs w:val="24"/>
          <w:shd w:val="clear" w:color="auto" w:fill="FFFFFF"/>
        </w:rPr>
        <w:t>Nauck</w:t>
      </w:r>
      <w:proofErr w:type="spellEnd"/>
      <w:r w:rsidRPr="00987D4E">
        <w:rPr>
          <w:rFonts w:asciiTheme="minorBidi" w:hAnsiTheme="minorBidi"/>
          <w:color w:val="000000"/>
          <w:sz w:val="24"/>
          <w:szCs w:val="24"/>
          <w:shd w:val="clear" w:color="auto" w:fill="FFFFFF"/>
        </w:rPr>
        <w:t xml:space="preserve"> M, </w:t>
      </w:r>
      <w:proofErr w:type="spellStart"/>
      <w:r w:rsidRPr="00987D4E">
        <w:rPr>
          <w:rFonts w:asciiTheme="minorBidi" w:hAnsiTheme="minorBidi"/>
          <w:color w:val="000000"/>
          <w:sz w:val="24"/>
          <w:szCs w:val="24"/>
          <w:shd w:val="clear" w:color="auto" w:fill="FFFFFF"/>
        </w:rPr>
        <w:t>Durán</w:t>
      </w:r>
      <w:proofErr w:type="spellEnd"/>
      <w:r w:rsidRPr="00987D4E">
        <w:rPr>
          <w:rFonts w:asciiTheme="minorBidi" w:hAnsiTheme="minorBidi"/>
          <w:color w:val="000000"/>
          <w:sz w:val="24"/>
          <w:szCs w:val="24"/>
          <w:shd w:val="clear" w:color="auto" w:fill="FFFFFF"/>
        </w:rPr>
        <w:t>-Garcia S, et al. Long-term glycaemic response and tolerability of dapagliflozin versus a sulphonylurea as add-on therapy to metformin in type 2 diabetes patients: 4-year data</w:t>
      </w:r>
      <w:r w:rsidRPr="00987D4E">
        <w:rPr>
          <w:rFonts w:asciiTheme="minorBidi" w:hAnsiTheme="minorBidi"/>
          <w:sz w:val="24"/>
          <w:szCs w:val="24"/>
          <w:shd w:val="clear" w:color="auto" w:fill="FFFFFF"/>
        </w:rPr>
        <w:t xml:space="preserve">. </w:t>
      </w:r>
      <w:r w:rsidRPr="00987D4E">
        <w:rPr>
          <w:rFonts w:asciiTheme="minorBidi" w:hAnsiTheme="minorBidi"/>
          <w:i/>
          <w:iCs/>
          <w:sz w:val="24"/>
          <w:szCs w:val="24"/>
          <w:shd w:val="clear" w:color="auto" w:fill="FFFFFF"/>
          <w:lang w:val="fr-FR"/>
        </w:rPr>
        <w:t xml:space="preserve">Diabetes </w:t>
      </w:r>
      <w:proofErr w:type="spellStart"/>
      <w:r w:rsidRPr="00987D4E">
        <w:rPr>
          <w:rFonts w:asciiTheme="minorBidi" w:hAnsiTheme="minorBidi"/>
          <w:i/>
          <w:iCs/>
          <w:sz w:val="24"/>
          <w:szCs w:val="24"/>
          <w:shd w:val="clear" w:color="auto" w:fill="FFFFFF"/>
          <w:lang w:val="fr-FR"/>
        </w:rPr>
        <w:t>Obes</w:t>
      </w:r>
      <w:proofErr w:type="spellEnd"/>
      <w:r w:rsidRPr="00987D4E">
        <w:rPr>
          <w:rFonts w:asciiTheme="minorBidi" w:hAnsiTheme="minorBidi"/>
          <w:i/>
          <w:iCs/>
          <w:sz w:val="24"/>
          <w:szCs w:val="24"/>
          <w:shd w:val="clear" w:color="auto" w:fill="FFFFFF"/>
          <w:lang w:val="fr-FR"/>
        </w:rPr>
        <w:t xml:space="preserve"> </w:t>
      </w:r>
      <w:proofErr w:type="spellStart"/>
      <w:r w:rsidRPr="00987D4E">
        <w:rPr>
          <w:rFonts w:asciiTheme="minorBidi" w:hAnsiTheme="minorBidi"/>
          <w:i/>
          <w:iCs/>
          <w:sz w:val="24"/>
          <w:szCs w:val="24"/>
          <w:shd w:val="clear" w:color="auto" w:fill="FFFFFF"/>
          <w:lang w:val="fr-FR"/>
        </w:rPr>
        <w:t>Metab</w:t>
      </w:r>
      <w:proofErr w:type="spellEnd"/>
      <w:r w:rsidRPr="00987D4E">
        <w:rPr>
          <w:rFonts w:asciiTheme="minorBidi" w:hAnsiTheme="minorBidi"/>
          <w:i/>
          <w:iCs/>
          <w:sz w:val="24"/>
          <w:szCs w:val="24"/>
          <w:shd w:val="clear" w:color="auto" w:fill="FFFFFF"/>
        </w:rPr>
        <w:t xml:space="preserve"> </w:t>
      </w:r>
      <w:r w:rsidRPr="00987D4E">
        <w:rPr>
          <w:rFonts w:asciiTheme="minorBidi" w:hAnsiTheme="minorBidi"/>
          <w:i/>
          <w:iCs/>
          <w:sz w:val="24"/>
          <w:szCs w:val="24"/>
          <w:shd w:val="clear" w:color="auto" w:fill="FFFFFF"/>
          <w:lang w:val="fr-FR"/>
        </w:rPr>
        <w:t>2015</w:t>
      </w:r>
      <w:r w:rsidRPr="00987D4E">
        <w:rPr>
          <w:rFonts w:asciiTheme="minorBidi" w:hAnsiTheme="minorBidi"/>
          <w:i/>
          <w:iCs/>
          <w:sz w:val="24"/>
          <w:szCs w:val="24"/>
          <w:shd w:val="clear" w:color="auto" w:fill="FFFFFF"/>
        </w:rPr>
        <w:t xml:space="preserve">;17(6):581-590. </w:t>
      </w:r>
    </w:p>
    <w:p w:rsidR="00D31581" w:rsidRPr="006358E9" w:rsidRDefault="00D31581" w:rsidP="00D31581">
      <w:pPr>
        <w:pStyle w:val="ListParagraph"/>
        <w:bidi w:val="0"/>
        <w:spacing w:line="360" w:lineRule="auto"/>
        <w:rPr>
          <w:rFonts w:asciiTheme="minorBidi" w:hAnsiTheme="minorBidi"/>
          <w:sz w:val="24"/>
          <w:szCs w:val="24"/>
          <w:lang w:val="en-GB"/>
        </w:rPr>
      </w:pPr>
    </w:p>
    <w:p w:rsidR="00D31581" w:rsidRPr="006358E9" w:rsidRDefault="00D31581" w:rsidP="00D31581">
      <w:pPr>
        <w:pStyle w:val="ListParagraph"/>
        <w:numPr>
          <w:ilvl w:val="0"/>
          <w:numId w:val="1"/>
        </w:numPr>
        <w:bidi w:val="0"/>
        <w:spacing w:line="360" w:lineRule="auto"/>
        <w:rPr>
          <w:rFonts w:asciiTheme="minorBidi" w:hAnsiTheme="minorBidi"/>
          <w:sz w:val="24"/>
          <w:szCs w:val="24"/>
          <w:lang w:val="en-GB"/>
        </w:rPr>
      </w:pPr>
      <w:r w:rsidRPr="006358E9">
        <w:rPr>
          <w:rFonts w:asciiTheme="minorBidi" w:hAnsiTheme="minorBidi"/>
          <w:sz w:val="24"/>
          <w:szCs w:val="24"/>
          <w:lang w:val="sv-SE"/>
        </w:rPr>
        <w:t xml:space="preserve">Bolinder J, Ljunggren €O, Kullberg J, et al. </w:t>
      </w:r>
      <w:r w:rsidRPr="006358E9">
        <w:rPr>
          <w:rFonts w:asciiTheme="minorBidi" w:hAnsiTheme="minorBidi"/>
          <w:sz w:val="24"/>
          <w:szCs w:val="24"/>
          <w:lang w:val="en-GB"/>
        </w:rPr>
        <w:t xml:space="preserve">Effects of dapagliflozin on body weight, total fat mass, and regional adipose tissue distribution in patients with type 2 diabetes mellitus with inadequate glycemic control on metformin. </w:t>
      </w:r>
      <w:r w:rsidRPr="00987D4E">
        <w:rPr>
          <w:rFonts w:asciiTheme="minorBidi" w:hAnsiTheme="minorBidi"/>
          <w:i/>
          <w:iCs/>
          <w:sz w:val="24"/>
          <w:szCs w:val="24"/>
          <w:lang w:val="en-GB"/>
        </w:rPr>
        <w:t xml:space="preserve">J </w:t>
      </w:r>
      <w:proofErr w:type="spellStart"/>
      <w:r w:rsidRPr="00987D4E">
        <w:rPr>
          <w:rFonts w:asciiTheme="minorBidi" w:hAnsiTheme="minorBidi"/>
          <w:i/>
          <w:iCs/>
          <w:sz w:val="24"/>
          <w:szCs w:val="24"/>
          <w:lang w:val="en-GB"/>
        </w:rPr>
        <w:t>Clin</w:t>
      </w:r>
      <w:proofErr w:type="spellEnd"/>
      <w:r w:rsidRPr="00987D4E">
        <w:rPr>
          <w:rFonts w:asciiTheme="minorBidi" w:hAnsiTheme="minorBidi"/>
          <w:i/>
          <w:iCs/>
          <w:sz w:val="24"/>
          <w:szCs w:val="24"/>
          <w:lang w:val="en-GB"/>
        </w:rPr>
        <w:t xml:space="preserve"> </w:t>
      </w:r>
      <w:proofErr w:type="spellStart"/>
      <w:r w:rsidRPr="00987D4E">
        <w:rPr>
          <w:rFonts w:asciiTheme="minorBidi" w:hAnsiTheme="minorBidi"/>
          <w:i/>
          <w:iCs/>
          <w:sz w:val="24"/>
          <w:szCs w:val="24"/>
          <w:lang w:val="en-GB"/>
        </w:rPr>
        <w:t>Endocrinol</w:t>
      </w:r>
      <w:proofErr w:type="spellEnd"/>
      <w:r w:rsidRPr="00987D4E">
        <w:rPr>
          <w:rFonts w:asciiTheme="minorBidi" w:hAnsiTheme="minorBidi"/>
          <w:i/>
          <w:iCs/>
          <w:sz w:val="24"/>
          <w:szCs w:val="24"/>
          <w:lang w:val="en-GB"/>
        </w:rPr>
        <w:t xml:space="preserve"> </w:t>
      </w:r>
      <w:proofErr w:type="spellStart"/>
      <w:r w:rsidRPr="00987D4E">
        <w:rPr>
          <w:rFonts w:asciiTheme="minorBidi" w:hAnsiTheme="minorBidi"/>
          <w:i/>
          <w:iCs/>
          <w:sz w:val="24"/>
          <w:szCs w:val="24"/>
          <w:lang w:val="en-GB"/>
        </w:rPr>
        <w:t>Metab</w:t>
      </w:r>
      <w:proofErr w:type="spellEnd"/>
      <w:r w:rsidRPr="00E01E3E">
        <w:rPr>
          <w:rFonts w:asciiTheme="minorBidi" w:hAnsiTheme="minorBidi"/>
          <w:sz w:val="24"/>
          <w:szCs w:val="24"/>
          <w:lang w:val="en-GB"/>
        </w:rPr>
        <w:t xml:space="preserve"> 2012</w:t>
      </w:r>
      <w:proofErr w:type="gramStart"/>
      <w:r w:rsidRPr="00E01E3E">
        <w:rPr>
          <w:rFonts w:asciiTheme="minorBidi" w:hAnsiTheme="minorBidi"/>
          <w:sz w:val="24"/>
          <w:szCs w:val="24"/>
          <w:lang w:val="en-GB"/>
        </w:rPr>
        <w:t>;97:1020</w:t>
      </w:r>
      <w:proofErr w:type="gramEnd"/>
      <w:r w:rsidRPr="00E01E3E">
        <w:rPr>
          <w:rFonts w:asciiTheme="minorBidi" w:hAnsiTheme="minorBidi"/>
          <w:sz w:val="24"/>
          <w:szCs w:val="24"/>
          <w:lang w:val="en-GB"/>
        </w:rPr>
        <w:t>-1031</w:t>
      </w:r>
      <w:r w:rsidRPr="006358E9">
        <w:rPr>
          <w:rFonts w:asciiTheme="minorBidi" w:hAnsiTheme="minorBidi"/>
          <w:sz w:val="24"/>
          <w:szCs w:val="24"/>
          <w:lang w:val="en-GB"/>
        </w:rPr>
        <w:t>.</w:t>
      </w:r>
    </w:p>
    <w:p w:rsidR="00D31581" w:rsidRPr="006358E9" w:rsidRDefault="00D31581" w:rsidP="00D31581">
      <w:pPr>
        <w:pStyle w:val="ListParagraph"/>
        <w:bidi w:val="0"/>
        <w:spacing w:line="360" w:lineRule="auto"/>
        <w:rPr>
          <w:rFonts w:asciiTheme="minorBidi" w:hAnsiTheme="minorBidi"/>
          <w:sz w:val="24"/>
          <w:szCs w:val="24"/>
          <w:lang w:val="en-GB"/>
        </w:rPr>
      </w:pPr>
    </w:p>
    <w:p w:rsidR="00D31581" w:rsidRPr="00E01E3E" w:rsidRDefault="00D31581" w:rsidP="00D31581">
      <w:pPr>
        <w:pStyle w:val="ListParagraph"/>
        <w:numPr>
          <w:ilvl w:val="0"/>
          <w:numId w:val="1"/>
        </w:numPr>
        <w:bidi w:val="0"/>
        <w:spacing w:line="360" w:lineRule="auto"/>
        <w:rPr>
          <w:rFonts w:asciiTheme="minorBidi" w:hAnsiTheme="minorBidi"/>
          <w:sz w:val="24"/>
          <w:szCs w:val="24"/>
          <w:lang w:val="en-GB"/>
        </w:rPr>
      </w:pPr>
      <w:r w:rsidRPr="006358E9">
        <w:rPr>
          <w:rFonts w:asciiTheme="minorBidi" w:hAnsiTheme="minorBidi"/>
          <w:sz w:val="24"/>
          <w:szCs w:val="24"/>
          <w:lang w:val="sv-SE"/>
        </w:rPr>
        <w:t xml:space="preserve">Weber MA, Mansfield TA, Cain VA, et al. </w:t>
      </w:r>
      <w:r w:rsidRPr="004F7204">
        <w:rPr>
          <w:rFonts w:asciiTheme="minorBidi" w:hAnsiTheme="minorBidi"/>
          <w:sz w:val="24"/>
          <w:szCs w:val="24"/>
          <w:lang w:val="en-GB"/>
        </w:rPr>
        <w:t xml:space="preserve">Blood pressure and glycaemic effects of dapagliflozin versus placebo in patients with type 2 diabetes on combination antihypertensive therapy: a randomised, </w:t>
      </w:r>
      <w:r w:rsidRPr="004F7204">
        <w:rPr>
          <w:rFonts w:asciiTheme="minorBidi" w:hAnsiTheme="minorBidi"/>
          <w:sz w:val="24"/>
          <w:szCs w:val="24"/>
          <w:lang w:val="en-GB"/>
        </w:rPr>
        <w:lastRenderedPageBreak/>
        <w:t>double</w:t>
      </w:r>
      <w:r w:rsidRPr="00987D4E">
        <w:rPr>
          <w:rFonts w:ascii="MS Gothic" w:eastAsia="MS Gothic" w:hAnsi="MS Gothic" w:cs="MS Gothic" w:hint="eastAsia"/>
          <w:sz w:val="24"/>
          <w:szCs w:val="24"/>
          <w:lang w:val="en-GB"/>
        </w:rPr>
        <w:t>‑</w:t>
      </w:r>
      <w:r w:rsidRPr="00E01E3E">
        <w:rPr>
          <w:rFonts w:asciiTheme="minorBidi" w:hAnsiTheme="minorBidi"/>
          <w:sz w:val="24"/>
          <w:szCs w:val="24"/>
          <w:lang w:val="en-GB"/>
        </w:rPr>
        <w:t>blind, placebo</w:t>
      </w:r>
      <w:r w:rsidRPr="00987D4E">
        <w:rPr>
          <w:rFonts w:ascii="MS Gothic" w:eastAsia="MS Gothic" w:hAnsi="MS Gothic" w:cs="MS Gothic" w:hint="eastAsia"/>
          <w:sz w:val="24"/>
          <w:szCs w:val="24"/>
          <w:lang w:val="en-GB"/>
        </w:rPr>
        <w:t>‑</w:t>
      </w:r>
      <w:r w:rsidRPr="00E01E3E">
        <w:rPr>
          <w:rFonts w:asciiTheme="minorBidi" w:hAnsiTheme="minorBidi"/>
          <w:sz w:val="24"/>
          <w:szCs w:val="24"/>
          <w:lang w:val="en-GB"/>
        </w:rPr>
        <w:t xml:space="preserve">controlled, phase 3 study. </w:t>
      </w:r>
      <w:r w:rsidRPr="00987D4E">
        <w:rPr>
          <w:rFonts w:asciiTheme="minorBidi" w:hAnsiTheme="minorBidi"/>
          <w:i/>
          <w:iCs/>
          <w:sz w:val="24"/>
          <w:szCs w:val="24"/>
          <w:lang w:val="en-GB"/>
        </w:rPr>
        <w:t xml:space="preserve">Lancet Diabetes </w:t>
      </w:r>
      <w:proofErr w:type="spellStart"/>
      <w:r w:rsidRPr="00987D4E">
        <w:rPr>
          <w:rFonts w:asciiTheme="minorBidi" w:hAnsiTheme="minorBidi"/>
          <w:i/>
          <w:iCs/>
          <w:sz w:val="24"/>
          <w:szCs w:val="24"/>
          <w:lang w:val="en-GB"/>
        </w:rPr>
        <w:t>Endocrinol</w:t>
      </w:r>
      <w:proofErr w:type="spellEnd"/>
      <w:r w:rsidRPr="00E01E3E">
        <w:rPr>
          <w:rFonts w:asciiTheme="minorBidi" w:hAnsiTheme="minorBidi"/>
          <w:sz w:val="24"/>
          <w:szCs w:val="24"/>
          <w:lang w:val="en-GB"/>
        </w:rPr>
        <w:t xml:space="preserve"> 2015. </w:t>
      </w:r>
      <w:proofErr w:type="gramStart"/>
      <w:r w:rsidRPr="00E01E3E">
        <w:rPr>
          <w:rFonts w:asciiTheme="minorBidi" w:hAnsiTheme="minorBidi"/>
          <w:sz w:val="24"/>
          <w:szCs w:val="24"/>
          <w:lang w:val="en-GB"/>
        </w:rPr>
        <w:t>doi:</w:t>
      </w:r>
      <w:proofErr w:type="gramEnd"/>
      <w:r w:rsidRPr="00E01E3E">
        <w:rPr>
          <w:rFonts w:asciiTheme="minorBidi" w:hAnsiTheme="minorBidi"/>
          <w:sz w:val="24"/>
          <w:szCs w:val="24"/>
          <w:lang w:val="en-GB"/>
        </w:rPr>
        <w:t>10.1016/S2213</w:t>
      </w:r>
      <w:r w:rsidRPr="00987D4E">
        <w:rPr>
          <w:rFonts w:ascii="MS Gothic" w:eastAsia="MS Gothic" w:hAnsi="MS Gothic" w:cs="MS Gothic" w:hint="eastAsia"/>
          <w:sz w:val="24"/>
          <w:szCs w:val="24"/>
          <w:lang w:val="en-GB"/>
        </w:rPr>
        <w:t>‑</w:t>
      </w:r>
      <w:r w:rsidRPr="00E01E3E">
        <w:rPr>
          <w:rFonts w:asciiTheme="minorBidi" w:hAnsiTheme="minorBidi"/>
          <w:sz w:val="24"/>
          <w:szCs w:val="24"/>
          <w:lang w:val="en-GB"/>
        </w:rPr>
        <w:t>8587(15)00417</w:t>
      </w:r>
      <w:r w:rsidRPr="00987D4E">
        <w:rPr>
          <w:rFonts w:ascii="MS Gothic" w:eastAsia="MS Gothic" w:hAnsi="MS Gothic" w:cs="MS Gothic" w:hint="eastAsia"/>
          <w:sz w:val="24"/>
          <w:szCs w:val="24"/>
          <w:lang w:val="en-GB"/>
        </w:rPr>
        <w:t>‑</w:t>
      </w:r>
      <w:r w:rsidRPr="00E01E3E">
        <w:rPr>
          <w:rFonts w:asciiTheme="minorBidi" w:eastAsia="MS Mincho" w:hAnsiTheme="minorBidi"/>
          <w:sz w:val="24"/>
          <w:szCs w:val="24"/>
          <w:lang w:val="en-GB"/>
        </w:rPr>
        <w:t>004</w:t>
      </w:r>
      <w:r w:rsidRPr="00987D4E">
        <w:rPr>
          <w:rFonts w:asciiTheme="minorBidi" w:eastAsia="MS Mincho" w:hAnsiTheme="minorBidi"/>
          <w:sz w:val="24"/>
          <w:szCs w:val="24"/>
          <w:lang w:val="en-GB"/>
        </w:rPr>
        <w:t>1</w:t>
      </w:r>
      <w:r w:rsidRPr="00E01E3E">
        <w:rPr>
          <w:rFonts w:asciiTheme="minorBidi" w:hAnsiTheme="minorBidi"/>
          <w:sz w:val="24"/>
          <w:szCs w:val="24"/>
          <w:lang w:val="en-GB"/>
        </w:rPr>
        <w:t>9</w:t>
      </w:r>
      <w:r>
        <w:rPr>
          <w:rFonts w:asciiTheme="minorBidi" w:hAnsiTheme="minorBidi"/>
          <w:sz w:val="24"/>
          <w:szCs w:val="24"/>
          <w:lang w:val="en-GB"/>
        </w:rPr>
        <w:t>.</w:t>
      </w:r>
    </w:p>
    <w:p w:rsidR="00D31581" w:rsidRPr="006358E9" w:rsidRDefault="00D31581" w:rsidP="00D31581">
      <w:pPr>
        <w:pStyle w:val="ListParagraph"/>
        <w:bidi w:val="0"/>
        <w:spacing w:line="360" w:lineRule="auto"/>
        <w:rPr>
          <w:rFonts w:asciiTheme="minorBidi" w:hAnsiTheme="minorBidi"/>
          <w:sz w:val="24"/>
          <w:szCs w:val="24"/>
          <w:lang w:val="en-GB"/>
        </w:rPr>
      </w:pPr>
      <w:r w:rsidRPr="006358E9">
        <w:rPr>
          <w:rFonts w:asciiTheme="minorBidi" w:hAnsiTheme="minorBidi"/>
          <w:sz w:val="24"/>
          <w:szCs w:val="24"/>
          <w:lang w:val="en-GB"/>
        </w:rPr>
        <w:t xml:space="preserve"> </w:t>
      </w:r>
    </w:p>
    <w:p w:rsidR="00D31581" w:rsidRPr="00E01E3E" w:rsidRDefault="00D31581" w:rsidP="00D31581">
      <w:pPr>
        <w:pStyle w:val="ListParagraph"/>
        <w:numPr>
          <w:ilvl w:val="0"/>
          <w:numId w:val="1"/>
        </w:numPr>
        <w:bidi w:val="0"/>
        <w:spacing w:line="360" w:lineRule="auto"/>
        <w:rPr>
          <w:rFonts w:asciiTheme="minorBidi" w:hAnsiTheme="minorBidi"/>
          <w:sz w:val="24"/>
          <w:szCs w:val="24"/>
          <w:lang w:val="en-GB"/>
        </w:rPr>
      </w:pPr>
      <w:r w:rsidRPr="006358E9">
        <w:rPr>
          <w:rFonts w:asciiTheme="minorBidi" w:hAnsiTheme="minorBidi"/>
          <w:sz w:val="24"/>
          <w:szCs w:val="24"/>
          <w:lang w:val="en-GB"/>
        </w:rPr>
        <w:t xml:space="preserve">Weber MA, Mansfield TA, </w:t>
      </w:r>
      <w:proofErr w:type="spellStart"/>
      <w:r w:rsidRPr="006358E9">
        <w:rPr>
          <w:rFonts w:asciiTheme="minorBidi" w:hAnsiTheme="minorBidi"/>
          <w:sz w:val="24"/>
          <w:szCs w:val="24"/>
          <w:lang w:val="en-GB"/>
        </w:rPr>
        <w:t>Alessi</w:t>
      </w:r>
      <w:proofErr w:type="spellEnd"/>
      <w:r w:rsidRPr="006358E9">
        <w:rPr>
          <w:rFonts w:asciiTheme="minorBidi" w:hAnsiTheme="minorBidi"/>
          <w:sz w:val="24"/>
          <w:szCs w:val="24"/>
          <w:lang w:val="en-GB"/>
        </w:rPr>
        <w:t xml:space="preserve"> F, et al. Effects of dapagliflozin on blood pressure in hypertensive diabetic patients on renin</w:t>
      </w:r>
      <w:r w:rsidRPr="00987D4E">
        <w:rPr>
          <w:rFonts w:ascii="MS Gothic" w:eastAsia="MS Gothic" w:hAnsi="MS Gothic" w:cs="MS Gothic" w:hint="eastAsia"/>
          <w:sz w:val="24"/>
          <w:szCs w:val="24"/>
          <w:lang w:val="en-GB"/>
        </w:rPr>
        <w:t>‑</w:t>
      </w:r>
      <w:r w:rsidRPr="00E01E3E">
        <w:rPr>
          <w:rFonts w:asciiTheme="minorBidi" w:hAnsiTheme="minorBidi"/>
          <w:sz w:val="24"/>
          <w:szCs w:val="24"/>
          <w:lang w:val="en-GB"/>
        </w:rPr>
        <w:t xml:space="preserve">angiotensin system blockade. </w:t>
      </w:r>
      <w:r w:rsidRPr="00987D4E">
        <w:rPr>
          <w:rFonts w:asciiTheme="minorBidi" w:hAnsiTheme="minorBidi"/>
          <w:i/>
          <w:iCs/>
          <w:sz w:val="24"/>
          <w:szCs w:val="24"/>
          <w:lang w:val="en-GB"/>
        </w:rPr>
        <w:t>Blood Press</w:t>
      </w:r>
      <w:r w:rsidRPr="00E01E3E">
        <w:rPr>
          <w:rFonts w:asciiTheme="minorBidi" w:hAnsiTheme="minorBidi"/>
          <w:sz w:val="24"/>
          <w:szCs w:val="24"/>
          <w:lang w:val="en-GB"/>
        </w:rPr>
        <w:t xml:space="preserve"> 2016</w:t>
      </w:r>
      <w:proofErr w:type="gramStart"/>
      <w:r w:rsidRPr="00E01E3E">
        <w:rPr>
          <w:rFonts w:asciiTheme="minorBidi" w:hAnsiTheme="minorBidi"/>
          <w:sz w:val="24"/>
          <w:szCs w:val="24"/>
          <w:lang w:val="en-GB"/>
        </w:rPr>
        <w:t>;25</w:t>
      </w:r>
      <w:proofErr w:type="gramEnd"/>
      <w:r w:rsidRPr="00E01E3E">
        <w:rPr>
          <w:rFonts w:asciiTheme="minorBidi" w:hAnsiTheme="minorBidi"/>
          <w:sz w:val="24"/>
          <w:szCs w:val="24"/>
          <w:lang w:val="en-GB"/>
        </w:rPr>
        <w:t>(2):93–103</w:t>
      </w:r>
      <w:r>
        <w:rPr>
          <w:rFonts w:asciiTheme="minorBidi" w:hAnsiTheme="minorBidi"/>
          <w:sz w:val="24"/>
          <w:szCs w:val="24"/>
          <w:lang w:val="en-GB"/>
        </w:rPr>
        <w:t>.</w:t>
      </w:r>
    </w:p>
    <w:p w:rsidR="00D31581" w:rsidRPr="006358E9" w:rsidRDefault="00D31581" w:rsidP="00D31581">
      <w:pPr>
        <w:pStyle w:val="ListParagraph"/>
        <w:bidi w:val="0"/>
        <w:spacing w:line="360" w:lineRule="auto"/>
        <w:rPr>
          <w:rFonts w:asciiTheme="minorBidi" w:hAnsiTheme="minorBidi"/>
          <w:sz w:val="24"/>
          <w:szCs w:val="24"/>
          <w:lang w:val="en-GB"/>
        </w:rPr>
      </w:pPr>
    </w:p>
    <w:p w:rsidR="00D31581" w:rsidRPr="00E01E3E" w:rsidRDefault="009A1753" w:rsidP="00D31581">
      <w:pPr>
        <w:pStyle w:val="ListParagraph"/>
        <w:numPr>
          <w:ilvl w:val="0"/>
          <w:numId w:val="1"/>
        </w:numPr>
        <w:shd w:val="clear" w:color="auto" w:fill="FFFFFF"/>
        <w:bidi w:val="0"/>
        <w:spacing w:before="240" w:after="360" w:line="360" w:lineRule="auto"/>
        <w:ind w:right="2"/>
        <w:outlineLvl w:val="0"/>
        <w:rPr>
          <w:rFonts w:asciiTheme="minorBidi" w:eastAsia="Times New Roman" w:hAnsiTheme="minorBidi"/>
          <w:kern w:val="36"/>
          <w:sz w:val="24"/>
          <w:szCs w:val="24"/>
        </w:rPr>
      </w:pPr>
      <w:hyperlink r:id="rId9" w:history="1">
        <w:r w:rsidR="00D31581" w:rsidRPr="00987D4E">
          <w:rPr>
            <w:rFonts w:asciiTheme="minorBidi" w:eastAsia="Times New Roman" w:hAnsiTheme="minorBidi"/>
            <w:sz w:val="24"/>
            <w:szCs w:val="24"/>
          </w:rPr>
          <w:t>Thomas MC</w:t>
        </w:r>
      </w:hyperlink>
      <w:r w:rsidR="00D31581" w:rsidRPr="00E01E3E">
        <w:rPr>
          <w:rFonts w:asciiTheme="minorBidi" w:eastAsia="Times New Roman" w:hAnsiTheme="minorBidi"/>
          <w:sz w:val="24"/>
          <w:szCs w:val="24"/>
        </w:rPr>
        <w:t>.</w:t>
      </w:r>
      <w:r w:rsidR="00D31581" w:rsidRPr="00E01E3E">
        <w:rPr>
          <w:rFonts w:asciiTheme="minorBidi" w:eastAsia="Times New Roman" w:hAnsiTheme="minorBidi"/>
          <w:kern w:val="36"/>
          <w:sz w:val="24"/>
          <w:szCs w:val="24"/>
        </w:rPr>
        <w:t xml:space="preserve"> Renal effects of dapagliflozin in patients with type 2 diabetes.</w:t>
      </w:r>
      <w:r w:rsidR="00D31581" w:rsidRPr="00E01E3E">
        <w:rPr>
          <w:rFonts w:asciiTheme="minorBidi" w:eastAsia="Times New Roman" w:hAnsiTheme="minorBidi"/>
          <w:sz w:val="24"/>
          <w:szCs w:val="24"/>
        </w:rPr>
        <w:t xml:space="preserve"> </w:t>
      </w:r>
      <w:hyperlink r:id="rId10" w:tooltip="Therapeutic advances in endocrinology and metabolism." w:history="1">
        <w:proofErr w:type="spellStart"/>
        <w:r w:rsidR="00D31581" w:rsidRPr="00987D4E">
          <w:rPr>
            <w:rFonts w:asciiTheme="minorBidi" w:eastAsia="Times New Roman" w:hAnsiTheme="minorBidi"/>
            <w:i/>
            <w:iCs/>
            <w:sz w:val="24"/>
            <w:szCs w:val="24"/>
          </w:rPr>
          <w:t>Ther</w:t>
        </w:r>
        <w:proofErr w:type="spellEnd"/>
        <w:r w:rsidR="00D31581" w:rsidRPr="00987D4E">
          <w:rPr>
            <w:rFonts w:asciiTheme="minorBidi" w:eastAsia="Times New Roman" w:hAnsiTheme="minorBidi"/>
            <w:i/>
            <w:iCs/>
            <w:sz w:val="24"/>
            <w:szCs w:val="24"/>
          </w:rPr>
          <w:t xml:space="preserve"> </w:t>
        </w:r>
        <w:proofErr w:type="spellStart"/>
        <w:r w:rsidR="00D31581" w:rsidRPr="00987D4E">
          <w:rPr>
            <w:rFonts w:asciiTheme="minorBidi" w:eastAsia="Times New Roman" w:hAnsiTheme="minorBidi"/>
            <w:i/>
            <w:iCs/>
            <w:sz w:val="24"/>
            <w:szCs w:val="24"/>
          </w:rPr>
          <w:t>Adv</w:t>
        </w:r>
        <w:proofErr w:type="spellEnd"/>
        <w:r w:rsidR="00D31581" w:rsidRPr="00987D4E">
          <w:rPr>
            <w:rFonts w:asciiTheme="minorBidi" w:eastAsia="Times New Roman" w:hAnsiTheme="minorBidi"/>
            <w:i/>
            <w:iCs/>
            <w:sz w:val="24"/>
            <w:szCs w:val="24"/>
          </w:rPr>
          <w:t xml:space="preserve"> </w:t>
        </w:r>
        <w:proofErr w:type="spellStart"/>
        <w:r w:rsidR="00D31581" w:rsidRPr="00987D4E">
          <w:rPr>
            <w:rFonts w:asciiTheme="minorBidi" w:eastAsia="Times New Roman" w:hAnsiTheme="minorBidi"/>
            <w:i/>
            <w:iCs/>
            <w:sz w:val="24"/>
            <w:szCs w:val="24"/>
          </w:rPr>
          <w:t>Endocrinol</w:t>
        </w:r>
        <w:proofErr w:type="spellEnd"/>
        <w:r w:rsidR="00D31581" w:rsidRPr="00987D4E">
          <w:rPr>
            <w:rFonts w:asciiTheme="minorBidi" w:eastAsia="Times New Roman" w:hAnsiTheme="minorBidi"/>
            <w:i/>
            <w:iCs/>
            <w:sz w:val="24"/>
            <w:szCs w:val="24"/>
          </w:rPr>
          <w:t xml:space="preserve"> </w:t>
        </w:r>
        <w:proofErr w:type="spellStart"/>
        <w:r w:rsidR="00D31581" w:rsidRPr="00987D4E">
          <w:rPr>
            <w:rFonts w:asciiTheme="minorBidi" w:eastAsia="Times New Roman" w:hAnsiTheme="minorBidi"/>
            <w:i/>
            <w:iCs/>
            <w:sz w:val="24"/>
            <w:szCs w:val="24"/>
          </w:rPr>
          <w:t>Metab</w:t>
        </w:r>
        <w:proofErr w:type="spellEnd"/>
      </w:hyperlink>
      <w:r w:rsidR="00D31581" w:rsidRPr="00E01E3E">
        <w:rPr>
          <w:rFonts w:asciiTheme="minorBidi" w:eastAsia="Times New Roman" w:hAnsiTheme="minorBidi"/>
          <w:sz w:val="24"/>
          <w:szCs w:val="24"/>
        </w:rPr>
        <w:t xml:space="preserve"> 2014</w:t>
      </w:r>
      <w:proofErr w:type="gramStart"/>
      <w:r w:rsidR="00D31581" w:rsidRPr="00E01E3E">
        <w:rPr>
          <w:rFonts w:asciiTheme="minorBidi" w:eastAsia="Times New Roman" w:hAnsiTheme="minorBidi"/>
          <w:sz w:val="24"/>
          <w:szCs w:val="24"/>
        </w:rPr>
        <w:t>;5</w:t>
      </w:r>
      <w:proofErr w:type="gramEnd"/>
      <w:r w:rsidR="00D31581" w:rsidRPr="00E01E3E">
        <w:rPr>
          <w:rFonts w:asciiTheme="minorBidi" w:eastAsia="Times New Roman" w:hAnsiTheme="minorBidi"/>
          <w:sz w:val="24"/>
          <w:szCs w:val="24"/>
        </w:rPr>
        <w:t>(3):53-61</w:t>
      </w:r>
      <w:r w:rsidR="00D31581">
        <w:rPr>
          <w:rFonts w:asciiTheme="minorBidi" w:eastAsia="Times New Roman" w:hAnsiTheme="minorBidi"/>
          <w:sz w:val="24"/>
          <w:szCs w:val="24"/>
        </w:rPr>
        <w:t>.</w:t>
      </w:r>
    </w:p>
    <w:p w:rsidR="00D31581" w:rsidRPr="006358E9" w:rsidRDefault="00D31581" w:rsidP="00D31581">
      <w:pPr>
        <w:pStyle w:val="ListParagraph"/>
        <w:shd w:val="clear" w:color="auto" w:fill="FFFFFF"/>
        <w:bidi w:val="0"/>
        <w:spacing w:before="240" w:after="360" w:line="360" w:lineRule="auto"/>
        <w:ind w:right="2"/>
        <w:outlineLvl w:val="0"/>
        <w:rPr>
          <w:rFonts w:asciiTheme="minorBidi" w:eastAsia="Times New Roman" w:hAnsiTheme="minorBidi"/>
          <w:kern w:val="36"/>
          <w:sz w:val="24"/>
          <w:szCs w:val="24"/>
        </w:rPr>
      </w:pPr>
    </w:p>
    <w:p w:rsidR="00D31581" w:rsidRPr="00E01E3E" w:rsidRDefault="00D31581" w:rsidP="00D31581">
      <w:pPr>
        <w:pStyle w:val="ListParagraph"/>
        <w:numPr>
          <w:ilvl w:val="0"/>
          <w:numId w:val="1"/>
        </w:numPr>
        <w:shd w:val="clear" w:color="auto" w:fill="FFFFFF"/>
        <w:bidi w:val="0"/>
        <w:spacing w:before="240" w:after="360" w:line="360" w:lineRule="auto"/>
        <w:ind w:right="2"/>
        <w:outlineLvl w:val="0"/>
        <w:rPr>
          <w:rFonts w:asciiTheme="minorBidi" w:eastAsia="Times New Roman" w:hAnsiTheme="minorBidi"/>
          <w:kern w:val="36"/>
          <w:sz w:val="24"/>
          <w:szCs w:val="24"/>
        </w:rPr>
      </w:pPr>
      <w:r w:rsidRPr="006358E9">
        <w:rPr>
          <w:rFonts w:asciiTheme="minorBidi" w:eastAsia="Times New Roman" w:hAnsiTheme="minorBidi"/>
          <w:kern w:val="36"/>
          <w:sz w:val="24"/>
          <w:szCs w:val="24"/>
          <w:lang w:val="sv-SE"/>
        </w:rPr>
        <w:t xml:space="preserve">Fioretto P, Stefansson BV, Johnsson EKA, et al. </w:t>
      </w:r>
      <w:r w:rsidRPr="006358E9">
        <w:rPr>
          <w:rFonts w:asciiTheme="minorBidi" w:eastAsia="Times New Roman" w:hAnsiTheme="minorBidi"/>
          <w:kern w:val="36"/>
          <w:sz w:val="24"/>
          <w:szCs w:val="24"/>
        </w:rPr>
        <w:t>Dapagliflozin reduces albuminuria over 2 years in diabetic pat</w:t>
      </w:r>
      <w:r w:rsidRPr="00987D4E">
        <w:rPr>
          <w:rFonts w:asciiTheme="minorBidi" w:eastAsia="Times New Roman" w:hAnsiTheme="minorBidi"/>
          <w:kern w:val="36"/>
          <w:sz w:val="24"/>
          <w:szCs w:val="24"/>
        </w:rPr>
        <w:t xml:space="preserve">ients with renal impairment (Abstract). </w:t>
      </w:r>
      <w:r w:rsidRPr="00987D4E">
        <w:rPr>
          <w:rFonts w:asciiTheme="minorBidi" w:eastAsia="Times New Roman" w:hAnsiTheme="minorBidi"/>
          <w:i/>
          <w:iCs/>
          <w:kern w:val="36"/>
          <w:sz w:val="24"/>
          <w:szCs w:val="24"/>
        </w:rPr>
        <w:t xml:space="preserve">J Am </w:t>
      </w:r>
      <w:proofErr w:type="spellStart"/>
      <w:r w:rsidRPr="00987D4E">
        <w:rPr>
          <w:rFonts w:asciiTheme="minorBidi" w:eastAsia="Times New Roman" w:hAnsiTheme="minorBidi"/>
          <w:i/>
          <w:iCs/>
          <w:kern w:val="36"/>
          <w:sz w:val="24"/>
          <w:szCs w:val="24"/>
        </w:rPr>
        <w:t>Soc</w:t>
      </w:r>
      <w:proofErr w:type="spellEnd"/>
      <w:r w:rsidRPr="00987D4E">
        <w:rPr>
          <w:rFonts w:asciiTheme="minorBidi" w:eastAsia="Times New Roman" w:hAnsiTheme="minorBidi"/>
          <w:i/>
          <w:iCs/>
          <w:kern w:val="36"/>
          <w:sz w:val="24"/>
          <w:szCs w:val="24"/>
        </w:rPr>
        <w:t xml:space="preserve"> </w:t>
      </w:r>
      <w:proofErr w:type="spellStart"/>
      <w:r w:rsidRPr="00987D4E">
        <w:rPr>
          <w:rFonts w:asciiTheme="minorBidi" w:eastAsia="Times New Roman" w:hAnsiTheme="minorBidi"/>
          <w:i/>
          <w:iCs/>
          <w:kern w:val="36"/>
          <w:sz w:val="24"/>
          <w:szCs w:val="24"/>
        </w:rPr>
        <w:t>Nephrol</w:t>
      </w:r>
      <w:proofErr w:type="spellEnd"/>
      <w:r w:rsidRPr="00E01E3E">
        <w:rPr>
          <w:rFonts w:asciiTheme="minorBidi" w:eastAsia="Times New Roman" w:hAnsiTheme="minorBidi"/>
          <w:kern w:val="36"/>
          <w:sz w:val="24"/>
          <w:szCs w:val="24"/>
        </w:rPr>
        <w:t xml:space="preserve"> 2015</w:t>
      </w:r>
      <w:proofErr w:type="gramStart"/>
      <w:r w:rsidRPr="00E01E3E">
        <w:rPr>
          <w:rFonts w:asciiTheme="minorBidi" w:eastAsia="Times New Roman" w:hAnsiTheme="minorBidi"/>
          <w:kern w:val="36"/>
          <w:sz w:val="24"/>
          <w:szCs w:val="24"/>
        </w:rPr>
        <w:t>;26:1A</w:t>
      </w:r>
      <w:proofErr w:type="gramEnd"/>
      <w:r w:rsidRPr="00E01E3E">
        <w:rPr>
          <w:rFonts w:asciiTheme="minorBidi" w:eastAsia="Times New Roman" w:hAnsiTheme="minorBidi"/>
          <w:kern w:val="36"/>
          <w:sz w:val="24"/>
          <w:szCs w:val="24"/>
        </w:rPr>
        <w:t xml:space="preserve">. </w:t>
      </w:r>
      <w:proofErr w:type="spellStart"/>
      <w:r w:rsidRPr="00E01E3E">
        <w:rPr>
          <w:rFonts w:asciiTheme="minorBidi" w:eastAsia="Times New Roman" w:hAnsiTheme="minorBidi"/>
          <w:kern w:val="36"/>
          <w:sz w:val="24"/>
          <w:szCs w:val="24"/>
        </w:rPr>
        <w:t>Abstr</w:t>
      </w:r>
      <w:proofErr w:type="spellEnd"/>
      <w:r w:rsidRPr="00E01E3E">
        <w:rPr>
          <w:rFonts w:asciiTheme="minorBidi" w:eastAsia="Times New Roman" w:hAnsiTheme="minorBidi"/>
          <w:kern w:val="36"/>
          <w:sz w:val="24"/>
          <w:szCs w:val="24"/>
        </w:rPr>
        <w:t xml:space="preserve"> TH</w:t>
      </w:r>
      <w:r w:rsidRPr="00987D4E">
        <w:rPr>
          <w:rFonts w:ascii="MS Gothic" w:eastAsia="MS Gothic" w:hAnsi="MS Gothic" w:cs="MS Gothic" w:hint="eastAsia"/>
          <w:kern w:val="36"/>
          <w:sz w:val="24"/>
          <w:szCs w:val="24"/>
        </w:rPr>
        <w:t>‑</w:t>
      </w:r>
      <w:r w:rsidRPr="00E01E3E">
        <w:rPr>
          <w:rFonts w:asciiTheme="minorBidi" w:eastAsia="Times New Roman" w:hAnsiTheme="minorBidi"/>
          <w:kern w:val="36"/>
          <w:sz w:val="24"/>
          <w:szCs w:val="24"/>
        </w:rPr>
        <w:t>OR001</w:t>
      </w:r>
      <w:r>
        <w:rPr>
          <w:rFonts w:asciiTheme="minorBidi" w:eastAsia="Times New Roman" w:hAnsiTheme="minorBidi"/>
          <w:kern w:val="36"/>
          <w:sz w:val="24"/>
          <w:szCs w:val="24"/>
        </w:rPr>
        <w:t>.</w:t>
      </w:r>
    </w:p>
    <w:p w:rsidR="00D31581" w:rsidRPr="006358E9" w:rsidRDefault="00D31581" w:rsidP="00D31581">
      <w:pPr>
        <w:pStyle w:val="ListParagraph"/>
        <w:shd w:val="clear" w:color="auto" w:fill="FFFFFF"/>
        <w:bidi w:val="0"/>
        <w:spacing w:before="240" w:after="360" w:line="360" w:lineRule="auto"/>
        <w:ind w:right="2"/>
        <w:outlineLvl w:val="0"/>
        <w:rPr>
          <w:rFonts w:asciiTheme="minorBidi" w:eastAsia="Times New Roman" w:hAnsiTheme="minorBidi"/>
          <w:kern w:val="36"/>
          <w:sz w:val="24"/>
          <w:szCs w:val="24"/>
        </w:rPr>
      </w:pPr>
    </w:p>
    <w:p w:rsidR="00D31581" w:rsidRPr="00E01E3E" w:rsidRDefault="00D31581" w:rsidP="00D31581">
      <w:pPr>
        <w:pStyle w:val="ListParagraph"/>
        <w:numPr>
          <w:ilvl w:val="0"/>
          <w:numId w:val="1"/>
        </w:numPr>
        <w:shd w:val="clear" w:color="auto" w:fill="FFFFFF"/>
        <w:bidi w:val="0"/>
        <w:spacing w:before="120" w:after="360" w:line="360" w:lineRule="auto"/>
        <w:ind w:right="229"/>
        <w:rPr>
          <w:rFonts w:asciiTheme="minorBidi" w:eastAsia="Times New Roman" w:hAnsiTheme="minorBidi"/>
          <w:sz w:val="24"/>
          <w:szCs w:val="24"/>
        </w:rPr>
      </w:pPr>
      <w:proofErr w:type="spellStart"/>
      <w:r w:rsidRPr="006358E9">
        <w:rPr>
          <w:rFonts w:asciiTheme="minorBidi" w:eastAsia="Times New Roman" w:hAnsiTheme="minorBidi"/>
          <w:sz w:val="24"/>
          <w:szCs w:val="24"/>
        </w:rPr>
        <w:t>Heerspink</w:t>
      </w:r>
      <w:proofErr w:type="spellEnd"/>
      <w:r w:rsidRPr="006358E9">
        <w:rPr>
          <w:rFonts w:asciiTheme="minorBidi" w:eastAsia="Times New Roman" w:hAnsiTheme="minorBidi"/>
          <w:sz w:val="24"/>
          <w:szCs w:val="24"/>
        </w:rPr>
        <w:t xml:space="preserve"> HJ, </w:t>
      </w:r>
      <w:proofErr w:type="spellStart"/>
      <w:r w:rsidRPr="006358E9">
        <w:rPr>
          <w:rFonts w:asciiTheme="minorBidi" w:eastAsia="Times New Roman" w:hAnsiTheme="minorBidi"/>
          <w:sz w:val="24"/>
          <w:szCs w:val="24"/>
        </w:rPr>
        <w:t>Johnsson</w:t>
      </w:r>
      <w:proofErr w:type="spellEnd"/>
      <w:r w:rsidRPr="006358E9">
        <w:rPr>
          <w:rFonts w:asciiTheme="minorBidi" w:eastAsia="Times New Roman" w:hAnsiTheme="minorBidi"/>
          <w:sz w:val="24"/>
          <w:szCs w:val="24"/>
        </w:rPr>
        <w:t xml:space="preserve"> E, </w:t>
      </w:r>
      <w:proofErr w:type="spellStart"/>
      <w:r w:rsidRPr="006358E9">
        <w:rPr>
          <w:rFonts w:asciiTheme="minorBidi" w:eastAsia="Times New Roman" w:hAnsiTheme="minorBidi"/>
          <w:sz w:val="24"/>
          <w:szCs w:val="24"/>
        </w:rPr>
        <w:t>Gause</w:t>
      </w:r>
      <w:proofErr w:type="spellEnd"/>
      <w:r w:rsidRPr="006358E9">
        <w:rPr>
          <w:rFonts w:asciiTheme="minorBidi" w:eastAsia="Times New Roman" w:hAnsiTheme="minorBidi"/>
          <w:sz w:val="24"/>
          <w:szCs w:val="24"/>
        </w:rPr>
        <w:t xml:space="preserve">-Nilsson I, et al. </w:t>
      </w:r>
      <w:hyperlink r:id="rId11" w:history="1">
        <w:r w:rsidRPr="00987D4E">
          <w:rPr>
            <w:rFonts w:asciiTheme="minorBidi" w:eastAsia="Times New Roman" w:hAnsiTheme="minorBidi"/>
            <w:sz w:val="24"/>
            <w:szCs w:val="24"/>
          </w:rPr>
          <w:t>Dapagliflozin reduces albuminuria in hypertensive diabetic patients using renin-angiotensin blockers.</w:t>
        </w:r>
      </w:hyperlink>
      <w:r w:rsidRPr="00E01E3E">
        <w:rPr>
          <w:rFonts w:asciiTheme="minorBidi" w:eastAsia="Times New Roman" w:hAnsiTheme="minorBidi"/>
          <w:sz w:val="24"/>
          <w:szCs w:val="24"/>
        </w:rPr>
        <w:t xml:space="preserve"> </w:t>
      </w:r>
      <w:r w:rsidRPr="00987D4E">
        <w:rPr>
          <w:rFonts w:asciiTheme="minorBidi" w:eastAsia="Times New Roman" w:hAnsiTheme="minorBidi"/>
          <w:i/>
          <w:iCs/>
          <w:sz w:val="24"/>
          <w:szCs w:val="24"/>
        </w:rPr>
        <w:t xml:space="preserve">Diabetes </w:t>
      </w:r>
      <w:proofErr w:type="spellStart"/>
      <w:r w:rsidRPr="00987D4E">
        <w:rPr>
          <w:rFonts w:asciiTheme="minorBidi" w:eastAsia="Times New Roman" w:hAnsiTheme="minorBidi"/>
          <w:i/>
          <w:iCs/>
          <w:sz w:val="24"/>
          <w:szCs w:val="24"/>
        </w:rPr>
        <w:t>Obes</w:t>
      </w:r>
      <w:proofErr w:type="spellEnd"/>
      <w:r w:rsidRPr="00987D4E">
        <w:rPr>
          <w:rFonts w:asciiTheme="minorBidi" w:eastAsia="Times New Roman" w:hAnsiTheme="minorBidi"/>
          <w:i/>
          <w:iCs/>
          <w:sz w:val="24"/>
          <w:szCs w:val="24"/>
        </w:rPr>
        <w:t xml:space="preserve"> </w:t>
      </w:r>
      <w:proofErr w:type="spellStart"/>
      <w:r w:rsidRPr="00987D4E">
        <w:rPr>
          <w:rFonts w:asciiTheme="minorBidi" w:eastAsia="Times New Roman" w:hAnsiTheme="minorBidi"/>
          <w:i/>
          <w:iCs/>
          <w:sz w:val="24"/>
          <w:szCs w:val="24"/>
        </w:rPr>
        <w:t>Metab</w:t>
      </w:r>
      <w:proofErr w:type="spellEnd"/>
      <w:r w:rsidRPr="00E01E3E">
        <w:rPr>
          <w:rFonts w:asciiTheme="minorBidi" w:eastAsia="Times New Roman" w:hAnsiTheme="minorBidi"/>
          <w:sz w:val="24"/>
          <w:szCs w:val="24"/>
        </w:rPr>
        <w:t xml:space="preserve"> 2016</w:t>
      </w:r>
      <w:proofErr w:type="gramStart"/>
      <w:r w:rsidRPr="00E01E3E">
        <w:rPr>
          <w:rFonts w:asciiTheme="minorBidi" w:eastAsia="Times New Roman" w:hAnsiTheme="minorBidi"/>
          <w:sz w:val="24"/>
          <w:szCs w:val="24"/>
        </w:rPr>
        <w:t>;18</w:t>
      </w:r>
      <w:proofErr w:type="gramEnd"/>
      <w:r w:rsidRPr="00E01E3E">
        <w:rPr>
          <w:rFonts w:asciiTheme="minorBidi" w:eastAsia="Times New Roman" w:hAnsiTheme="minorBidi"/>
          <w:sz w:val="24"/>
          <w:szCs w:val="24"/>
        </w:rPr>
        <w:t>(6):590-597</w:t>
      </w:r>
      <w:r>
        <w:rPr>
          <w:rFonts w:asciiTheme="minorBidi" w:eastAsia="Times New Roman" w:hAnsiTheme="minorBidi"/>
          <w:sz w:val="24"/>
          <w:szCs w:val="24"/>
        </w:rPr>
        <w:t>.</w:t>
      </w:r>
    </w:p>
    <w:p w:rsidR="00D31581" w:rsidRPr="006358E9" w:rsidRDefault="00D31581" w:rsidP="00D31581">
      <w:pPr>
        <w:pStyle w:val="ListParagraph"/>
        <w:shd w:val="clear" w:color="auto" w:fill="FFFFFF"/>
        <w:bidi w:val="0"/>
        <w:spacing w:before="120" w:after="360" w:line="360" w:lineRule="auto"/>
        <w:ind w:right="229"/>
        <w:rPr>
          <w:rFonts w:asciiTheme="minorBidi" w:eastAsia="Times New Roman" w:hAnsiTheme="minorBidi"/>
          <w:sz w:val="24"/>
          <w:szCs w:val="24"/>
        </w:rPr>
      </w:pPr>
      <w:r w:rsidRPr="006358E9">
        <w:rPr>
          <w:rFonts w:asciiTheme="minorBidi" w:eastAsia="Times New Roman" w:hAnsiTheme="minorBidi"/>
          <w:sz w:val="24"/>
          <w:szCs w:val="24"/>
        </w:rPr>
        <w:t xml:space="preserve"> </w:t>
      </w:r>
    </w:p>
    <w:p w:rsidR="00D31581" w:rsidRPr="00E01E3E" w:rsidRDefault="00D31581" w:rsidP="00D31581">
      <w:pPr>
        <w:pStyle w:val="ListParagraph"/>
        <w:numPr>
          <w:ilvl w:val="0"/>
          <w:numId w:val="1"/>
        </w:numPr>
        <w:shd w:val="clear" w:color="auto" w:fill="FFFFFF"/>
        <w:bidi w:val="0"/>
        <w:spacing w:before="240" w:after="360" w:line="360" w:lineRule="auto"/>
        <w:ind w:right="2"/>
        <w:outlineLvl w:val="0"/>
        <w:rPr>
          <w:rFonts w:asciiTheme="minorBidi" w:eastAsia="Times New Roman" w:hAnsiTheme="minorBidi"/>
          <w:kern w:val="36"/>
          <w:sz w:val="24"/>
          <w:szCs w:val="24"/>
        </w:rPr>
      </w:pPr>
      <w:r w:rsidRPr="006358E9">
        <w:rPr>
          <w:rFonts w:asciiTheme="minorBidi" w:eastAsia="Times New Roman" w:hAnsiTheme="minorBidi"/>
          <w:kern w:val="36"/>
          <w:sz w:val="24"/>
          <w:szCs w:val="24"/>
        </w:rPr>
        <w:t xml:space="preserve"> </w:t>
      </w:r>
      <w:hyperlink r:id="rId12" w:history="1">
        <w:r w:rsidRPr="00987D4E">
          <w:rPr>
            <w:rStyle w:val="Hyperlink"/>
            <w:rFonts w:asciiTheme="minorBidi" w:eastAsia="Times New Roman" w:hAnsiTheme="minorBidi"/>
            <w:kern w:val="36"/>
            <w:sz w:val="24"/>
            <w:szCs w:val="24"/>
            <w:lang w:val="en-GB"/>
          </w:rPr>
          <w:t>https://www.medicines.org.uk/emc/medicine/27188</w:t>
        </w:r>
      </w:hyperlink>
    </w:p>
    <w:p w:rsidR="00D31581" w:rsidRPr="006358E9" w:rsidRDefault="00D31581" w:rsidP="00D31581">
      <w:pPr>
        <w:pStyle w:val="ListParagraph"/>
        <w:rPr>
          <w:rFonts w:asciiTheme="minorBidi" w:eastAsia="Times New Roman" w:hAnsiTheme="minorBidi"/>
          <w:kern w:val="36"/>
          <w:sz w:val="24"/>
          <w:szCs w:val="24"/>
        </w:rPr>
      </w:pPr>
    </w:p>
    <w:p w:rsidR="00D31581" w:rsidRPr="00E01E3E" w:rsidRDefault="00D31581" w:rsidP="00D31581">
      <w:pPr>
        <w:pStyle w:val="ListParagraph"/>
        <w:numPr>
          <w:ilvl w:val="0"/>
          <w:numId w:val="1"/>
        </w:numPr>
        <w:shd w:val="clear" w:color="auto" w:fill="FFFFFF"/>
        <w:bidi w:val="0"/>
        <w:spacing w:before="240" w:after="360" w:line="360" w:lineRule="auto"/>
        <w:ind w:right="2"/>
        <w:outlineLvl w:val="0"/>
        <w:rPr>
          <w:rFonts w:asciiTheme="minorBidi" w:eastAsia="Times New Roman" w:hAnsiTheme="minorBidi"/>
          <w:kern w:val="36"/>
          <w:sz w:val="24"/>
          <w:szCs w:val="24"/>
        </w:rPr>
      </w:pPr>
      <w:r w:rsidRPr="006358E9">
        <w:rPr>
          <w:rFonts w:asciiTheme="minorBidi" w:eastAsia="Times New Roman" w:hAnsiTheme="minorBidi"/>
          <w:kern w:val="36"/>
          <w:sz w:val="24"/>
          <w:szCs w:val="24"/>
        </w:rPr>
        <w:t xml:space="preserve">Peters AL, </w:t>
      </w:r>
      <w:proofErr w:type="spellStart"/>
      <w:r w:rsidRPr="006358E9">
        <w:rPr>
          <w:rFonts w:asciiTheme="minorBidi" w:eastAsia="Times New Roman" w:hAnsiTheme="minorBidi"/>
          <w:kern w:val="36"/>
          <w:sz w:val="24"/>
          <w:szCs w:val="24"/>
        </w:rPr>
        <w:t>Buschur</w:t>
      </w:r>
      <w:proofErr w:type="spellEnd"/>
      <w:r w:rsidRPr="006358E9">
        <w:rPr>
          <w:rFonts w:asciiTheme="minorBidi" w:eastAsia="Times New Roman" w:hAnsiTheme="minorBidi"/>
          <w:kern w:val="36"/>
          <w:sz w:val="24"/>
          <w:szCs w:val="24"/>
        </w:rPr>
        <w:t xml:space="preserve"> EO, </w:t>
      </w:r>
      <w:proofErr w:type="spellStart"/>
      <w:r w:rsidRPr="006358E9">
        <w:rPr>
          <w:rFonts w:asciiTheme="minorBidi" w:eastAsia="Times New Roman" w:hAnsiTheme="minorBidi"/>
          <w:kern w:val="36"/>
          <w:sz w:val="24"/>
          <w:szCs w:val="24"/>
        </w:rPr>
        <w:t>Buse</w:t>
      </w:r>
      <w:proofErr w:type="spellEnd"/>
      <w:r w:rsidRPr="006358E9">
        <w:rPr>
          <w:rFonts w:asciiTheme="minorBidi" w:eastAsia="Times New Roman" w:hAnsiTheme="minorBidi"/>
          <w:kern w:val="36"/>
          <w:sz w:val="24"/>
          <w:szCs w:val="24"/>
        </w:rPr>
        <w:t xml:space="preserve"> </w:t>
      </w:r>
      <w:proofErr w:type="spellStart"/>
      <w:r w:rsidRPr="006358E9">
        <w:rPr>
          <w:rFonts w:asciiTheme="minorBidi" w:eastAsia="Times New Roman" w:hAnsiTheme="minorBidi"/>
          <w:kern w:val="36"/>
          <w:sz w:val="24"/>
          <w:szCs w:val="24"/>
        </w:rPr>
        <w:t>JB</w:t>
      </w:r>
      <w:proofErr w:type="gramStart"/>
      <w:r w:rsidRPr="006358E9">
        <w:rPr>
          <w:rFonts w:asciiTheme="minorBidi" w:eastAsia="Times New Roman" w:hAnsiTheme="minorBidi"/>
          <w:kern w:val="36"/>
          <w:sz w:val="24"/>
          <w:szCs w:val="24"/>
        </w:rPr>
        <w:t>,et</w:t>
      </w:r>
      <w:proofErr w:type="spellEnd"/>
      <w:proofErr w:type="gramEnd"/>
      <w:r w:rsidRPr="006358E9">
        <w:rPr>
          <w:rFonts w:asciiTheme="minorBidi" w:eastAsia="Times New Roman" w:hAnsiTheme="minorBidi"/>
          <w:kern w:val="36"/>
          <w:sz w:val="24"/>
          <w:szCs w:val="24"/>
        </w:rPr>
        <w:t xml:space="preserve"> al. Euglycemic diabetic ketoacidosis: a potential complication of treatment with</w:t>
      </w:r>
      <w:r w:rsidRPr="004F7204">
        <w:rPr>
          <w:rFonts w:asciiTheme="minorBidi" w:hAnsiTheme="minorBidi"/>
          <w:sz w:val="24"/>
          <w:szCs w:val="24"/>
        </w:rPr>
        <w:t xml:space="preserve"> </w:t>
      </w:r>
      <w:r w:rsidRPr="004F7204">
        <w:rPr>
          <w:rFonts w:asciiTheme="minorBidi" w:eastAsia="Times New Roman" w:hAnsiTheme="minorBidi"/>
          <w:kern w:val="36"/>
          <w:sz w:val="24"/>
          <w:szCs w:val="24"/>
        </w:rPr>
        <w:t xml:space="preserve">sodium-glucose cotransporter 2 inhibition. </w:t>
      </w:r>
      <w:r w:rsidRPr="00987D4E">
        <w:rPr>
          <w:rFonts w:asciiTheme="minorBidi" w:eastAsia="Times New Roman" w:hAnsiTheme="minorBidi"/>
          <w:i/>
          <w:iCs/>
          <w:kern w:val="36"/>
          <w:sz w:val="24"/>
          <w:szCs w:val="24"/>
        </w:rPr>
        <w:t>Diabetes Care</w:t>
      </w:r>
      <w:r w:rsidRPr="00E01E3E">
        <w:rPr>
          <w:rFonts w:asciiTheme="minorBidi" w:eastAsia="Times New Roman" w:hAnsiTheme="minorBidi"/>
          <w:kern w:val="36"/>
          <w:sz w:val="24"/>
          <w:szCs w:val="24"/>
        </w:rPr>
        <w:t xml:space="preserve"> 2015; 38(9):1687-1693</w:t>
      </w:r>
      <w:r>
        <w:rPr>
          <w:rFonts w:asciiTheme="minorBidi" w:eastAsia="Times New Roman" w:hAnsiTheme="minorBidi"/>
          <w:kern w:val="36"/>
          <w:sz w:val="24"/>
          <w:szCs w:val="24"/>
        </w:rPr>
        <w:t>.</w:t>
      </w:r>
    </w:p>
    <w:p w:rsidR="00D31581" w:rsidRPr="006358E9" w:rsidRDefault="00D31581" w:rsidP="00D31581">
      <w:pPr>
        <w:pStyle w:val="ListParagraph"/>
        <w:shd w:val="clear" w:color="auto" w:fill="FFFFFF"/>
        <w:bidi w:val="0"/>
        <w:spacing w:before="240" w:after="360" w:line="360" w:lineRule="auto"/>
        <w:ind w:right="2"/>
        <w:outlineLvl w:val="0"/>
        <w:rPr>
          <w:rFonts w:asciiTheme="minorBidi" w:eastAsia="Times New Roman" w:hAnsiTheme="minorBidi"/>
          <w:kern w:val="36"/>
          <w:sz w:val="24"/>
          <w:szCs w:val="24"/>
        </w:rPr>
      </w:pPr>
    </w:p>
    <w:p w:rsidR="00D31581" w:rsidRPr="00E01E3E" w:rsidRDefault="00D31581" w:rsidP="00D31581">
      <w:pPr>
        <w:pStyle w:val="ListParagraph"/>
        <w:numPr>
          <w:ilvl w:val="0"/>
          <w:numId w:val="1"/>
        </w:numPr>
        <w:shd w:val="clear" w:color="auto" w:fill="FFFFFF"/>
        <w:bidi w:val="0"/>
        <w:spacing w:before="240" w:after="360" w:line="360" w:lineRule="auto"/>
        <w:ind w:right="2"/>
        <w:outlineLvl w:val="0"/>
        <w:rPr>
          <w:rFonts w:asciiTheme="minorBidi" w:eastAsia="Times New Roman" w:hAnsiTheme="minorBidi"/>
          <w:kern w:val="36"/>
          <w:sz w:val="24"/>
          <w:szCs w:val="24"/>
        </w:rPr>
      </w:pPr>
      <w:r w:rsidRPr="006358E9">
        <w:rPr>
          <w:rFonts w:asciiTheme="minorBidi" w:eastAsia="Times New Roman" w:hAnsiTheme="minorBidi"/>
          <w:kern w:val="36"/>
          <w:sz w:val="24"/>
          <w:szCs w:val="24"/>
        </w:rPr>
        <w:t xml:space="preserve">Hine J, Paterson H, </w:t>
      </w:r>
      <w:proofErr w:type="spellStart"/>
      <w:r w:rsidRPr="006358E9">
        <w:rPr>
          <w:rFonts w:asciiTheme="minorBidi" w:eastAsia="Times New Roman" w:hAnsiTheme="minorBidi"/>
          <w:kern w:val="36"/>
          <w:sz w:val="24"/>
          <w:szCs w:val="24"/>
        </w:rPr>
        <w:t>Abrol</w:t>
      </w:r>
      <w:proofErr w:type="spellEnd"/>
      <w:r w:rsidRPr="006358E9">
        <w:rPr>
          <w:rFonts w:asciiTheme="minorBidi" w:eastAsia="Times New Roman" w:hAnsiTheme="minorBidi"/>
          <w:kern w:val="36"/>
          <w:sz w:val="24"/>
          <w:szCs w:val="24"/>
        </w:rPr>
        <w:t xml:space="preserve"> E, et al. SGLT inhibition and euglycaemic diabetic ketoacidosis. </w:t>
      </w:r>
      <w:r w:rsidRPr="00987D4E">
        <w:rPr>
          <w:rFonts w:asciiTheme="minorBidi" w:eastAsia="Times New Roman" w:hAnsiTheme="minorBidi"/>
          <w:i/>
          <w:iCs/>
          <w:kern w:val="36"/>
          <w:sz w:val="24"/>
          <w:szCs w:val="24"/>
        </w:rPr>
        <w:t xml:space="preserve">Lancet Diabetes </w:t>
      </w:r>
      <w:proofErr w:type="spellStart"/>
      <w:r w:rsidRPr="00987D4E">
        <w:rPr>
          <w:rFonts w:asciiTheme="minorBidi" w:eastAsia="Times New Roman" w:hAnsiTheme="minorBidi"/>
          <w:i/>
          <w:iCs/>
          <w:kern w:val="36"/>
          <w:sz w:val="24"/>
          <w:szCs w:val="24"/>
        </w:rPr>
        <w:t>Endocrinol</w:t>
      </w:r>
      <w:proofErr w:type="spellEnd"/>
      <w:r w:rsidRPr="00E01E3E">
        <w:rPr>
          <w:rFonts w:asciiTheme="minorBidi" w:eastAsia="Times New Roman" w:hAnsiTheme="minorBidi"/>
          <w:kern w:val="36"/>
          <w:sz w:val="24"/>
          <w:szCs w:val="24"/>
        </w:rPr>
        <w:t xml:space="preserve"> 2015; 3:503–504</w:t>
      </w:r>
      <w:r>
        <w:rPr>
          <w:rFonts w:asciiTheme="minorBidi" w:eastAsia="Times New Roman" w:hAnsiTheme="minorBidi"/>
          <w:kern w:val="36"/>
          <w:sz w:val="24"/>
          <w:szCs w:val="24"/>
        </w:rPr>
        <w:t>.</w:t>
      </w:r>
    </w:p>
    <w:p w:rsidR="00D31581" w:rsidRPr="006358E9" w:rsidRDefault="00D31581" w:rsidP="00D31581">
      <w:pPr>
        <w:pStyle w:val="ListParagraph"/>
        <w:rPr>
          <w:rFonts w:asciiTheme="minorBidi" w:eastAsia="Times New Roman" w:hAnsiTheme="minorBidi"/>
          <w:kern w:val="36"/>
          <w:sz w:val="24"/>
          <w:szCs w:val="24"/>
        </w:rPr>
      </w:pPr>
    </w:p>
    <w:p w:rsidR="00D31581" w:rsidRPr="006358E9" w:rsidRDefault="00D31581" w:rsidP="00D31581">
      <w:pPr>
        <w:pStyle w:val="ListParagraph"/>
        <w:rPr>
          <w:rFonts w:asciiTheme="minorBidi" w:eastAsia="Times New Roman" w:hAnsiTheme="minorBidi"/>
          <w:kern w:val="36"/>
          <w:sz w:val="24"/>
          <w:szCs w:val="24"/>
        </w:rPr>
      </w:pPr>
    </w:p>
    <w:p w:rsidR="00D31581" w:rsidRPr="004F7204" w:rsidRDefault="00D31581" w:rsidP="00D31581">
      <w:pPr>
        <w:pStyle w:val="ListParagraph"/>
        <w:numPr>
          <w:ilvl w:val="0"/>
          <w:numId w:val="1"/>
        </w:numPr>
        <w:shd w:val="clear" w:color="auto" w:fill="FFFFFF"/>
        <w:bidi w:val="0"/>
        <w:spacing w:before="240" w:after="360" w:line="360" w:lineRule="auto"/>
        <w:ind w:right="2"/>
        <w:outlineLvl w:val="0"/>
        <w:rPr>
          <w:rFonts w:asciiTheme="minorBidi" w:eastAsia="Times New Roman" w:hAnsiTheme="minorBidi"/>
          <w:kern w:val="36"/>
          <w:sz w:val="24"/>
          <w:szCs w:val="24"/>
        </w:rPr>
      </w:pPr>
      <w:r w:rsidRPr="006358E9">
        <w:rPr>
          <w:rFonts w:asciiTheme="minorBidi" w:eastAsia="Times New Roman" w:hAnsiTheme="minorBidi"/>
          <w:kern w:val="36"/>
          <w:sz w:val="24"/>
          <w:szCs w:val="24"/>
        </w:rPr>
        <w:t>https://www.fda.gov/Drugs/DrugSafety/ucm505860.htm</w:t>
      </w:r>
      <w:r w:rsidRPr="004F7204" w:rsidDel="005649D1">
        <w:rPr>
          <w:rFonts w:asciiTheme="minorBidi" w:eastAsia="Times New Roman" w:hAnsiTheme="minorBidi"/>
          <w:kern w:val="36"/>
          <w:sz w:val="24"/>
          <w:szCs w:val="24"/>
        </w:rPr>
        <w:t xml:space="preserve"> </w:t>
      </w:r>
    </w:p>
    <w:p w:rsidR="00D31581" w:rsidRPr="00987D4E" w:rsidRDefault="00D31581" w:rsidP="00D31581">
      <w:pPr>
        <w:pStyle w:val="ListParagraph"/>
        <w:shd w:val="clear" w:color="auto" w:fill="FFFFFF"/>
        <w:bidi w:val="0"/>
        <w:spacing w:before="240" w:after="360" w:line="360" w:lineRule="auto"/>
        <w:ind w:right="2"/>
        <w:outlineLvl w:val="0"/>
        <w:rPr>
          <w:rFonts w:asciiTheme="minorBidi" w:eastAsia="Times New Roman" w:hAnsiTheme="minorBidi"/>
          <w:kern w:val="36"/>
          <w:sz w:val="24"/>
          <w:szCs w:val="24"/>
        </w:rPr>
      </w:pPr>
    </w:p>
    <w:p w:rsidR="00D31581" w:rsidRPr="00E01E3E" w:rsidRDefault="00D31581" w:rsidP="00D31581">
      <w:pPr>
        <w:pStyle w:val="ListParagraph"/>
        <w:numPr>
          <w:ilvl w:val="0"/>
          <w:numId w:val="1"/>
        </w:numPr>
        <w:bidi w:val="0"/>
        <w:spacing w:after="0" w:line="360" w:lineRule="auto"/>
        <w:rPr>
          <w:rStyle w:val="Hyperlink"/>
          <w:rFonts w:asciiTheme="minorBidi" w:hAnsiTheme="minorBidi"/>
          <w:sz w:val="24"/>
          <w:szCs w:val="24"/>
        </w:rPr>
      </w:pPr>
      <w:r w:rsidRPr="00987D4E">
        <w:rPr>
          <w:rFonts w:asciiTheme="minorBidi" w:hAnsiTheme="minorBidi"/>
          <w:noProof/>
          <w:sz w:val="24"/>
          <w:szCs w:val="24"/>
        </w:rPr>
        <w:t xml:space="preserve">Guidance for Industry Diabetes Mellitus — Evaluating Cardiovascular Risk in New Antidiabetic Therapies to Treat Type 2 Diabetes [article </w:t>
      </w:r>
      <w:r w:rsidRPr="00987D4E">
        <w:rPr>
          <w:rFonts w:asciiTheme="minorBidi" w:hAnsiTheme="minorBidi"/>
          <w:noProof/>
          <w:sz w:val="24"/>
          <w:szCs w:val="24"/>
        </w:rPr>
        <w:lastRenderedPageBreak/>
        <w:t xml:space="preserve">online], 2008, available from: </w:t>
      </w:r>
      <w:hyperlink r:id="rId13" w:history="1">
        <w:r w:rsidRPr="00987D4E">
          <w:rPr>
            <w:rStyle w:val="Hyperlink"/>
            <w:rFonts w:asciiTheme="minorBidi" w:hAnsiTheme="minorBidi"/>
            <w:noProof/>
            <w:sz w:val="24"/>
            <w:szCs w:val="24"/>
          </w:rPr>
          <w:t>http://www.fda.gov/downloads/Drugs/GuidanceComplianceRegulatoryInformation/Guidances/ucm071627.pdf).</w:t>
        </w:r>
      </w:hyperlink>
      <w:r w:rsidRPr="00E01E3E">
        <w:rPr>
          <w:rFonts w:asciiTheme="minorBidi" w:hAnsiTheme="minorBidi"/>
          <w:noProof/>
          <w:sz w:val="24"/>
          <w:szCs w:val="24"/>
        </w:rPr>
        <w:t xml:space="preserve"> Accessed 12 January 2017</w:t>
      </w:r>
    </w:p>
    <w:p w:rsidR="00D31581" w:rsidRPr="006358E9" w:rsidRDefault="00D31581" w:rsidP="00D31581">
      <w:pPr>
        <w:pStyle w:val="ListParagraph"/>
        <w:bidi w:val="0"/>
        <w:spacing w:after="0" w:line="360" w:lineRule="auto"/>
        <w:rPr>
          <w:rStyle w:val="Hyperlink"/>
          <w:rFonts w:asciiTheme="minorBidi" w:hAnsiTheme="minorBidi"/>
          <w:sz w:val="24"/>
          <w:szCs w:val="24"/>
        </w:rPr>
      </w:pPr>
    </w:p>
    <w:p w:rsidR="00D31581" w:rsidRPr="00E01E3E" w:rsidRDefault="009A1753" w:rsidP="00D31581">
      <w:pPr>
        <w:pStyle w:val="ListParagraph"/>
        <w:numPr>
          <w:ilvl w:val="0"/>
          <w:numId w:val="1"/>
        </w:numPr>
        <w:bidi w:val="0"/>
        <w:spacing w:after="0" w:line="360" w:lineRule="auto"/>
        <w:rPr>
          <w:rFonts w:asciiTheme="minorBidi" w:hAnsiTheme="minorBidi"/>
          <w:sz w:val="24"/>
          <w:szCs w:val="24"/>
        </w:rPr>
      </w:pPr>
      <w:hyperlink r:id="rId14" w:history="1">
        <w:proofErr w:type="spellStart"/>
        <w:r w:rsidR="00D31581" w:rsidRPr="00987D4E">
          <w:rPr>
            <w:rFonts w:asciiTheme="minorBidi" w:hAnsiTheme="minorBidi"/>
            <w:sz w:val="24"/>
            <w:szCs w:val="24"/>
          </w:rPr>
          <w:t>Zinman</w:t>
        </w:r>
        <w:proofErr w:type="spellEnd"/>
        <w:r w:rsidR="00D31581" w:rsidRPr="00987D4E">
          <w:rPr>
            <w:rFonts w:asciiTheme="minorBidi" w:hAnsiTheme="minorBidi"/>
            <w:sz w:val="24"/>
            <w:szCs w:val="24"/>
          </w:rPr>
          <w:t xml:space="preserve"> B</w:t>
        </w:r>
      </w:hyperlink>
      <w:r w:rsidR="00D31581" w:rsidRPr="00E01E3E">
        <w:rPr>
          <w:rFonts w:asciiTheme="minorBidi" w:hAnsiTheme="minorBidi"/>
          <w:sz w:val="24"/>
          <w:szCs w:val="24"/>
        </w:rPr>
        <w:t xml:space="preserve">, </w:t>
      </w:r>
      <w:hyperlink r:id="rId15" w:history="1">
        <w:proofErr w:type="spellStart"/>
        <w:r w:rsidR="00D31581" w:rsidRPr="00987D4E">
          <w:rPr>
            <w:rFonts w:asciiTheme="minorBidi" w:hAnsiTheme="minorBidi"/>
            <w:sz w:val="24"/>
            <w:szCs w:val="24"/>
          </w:rPr>
          <w:t>Wanner</w:t>
        </w:r>
        <w:proofErr w:type="spellEnd"/>
        <w:r w:rsidR="00D31581" w:rsidRPr="00987D4E">
          <w:rPr>
            <w:rFonts w:asciiTheme="minorBidi" w:hAnsiTheme="minorBidi"/>
            <w:sz w:val="24"/>
            <w:szCs w:val="24"/>
          </w:rPr>
          <w:t xml:space="preserve"> C</w:t>
        </w:r>
      </w:hyperlink>
      <w:r w:rsidR="00D31581" w:rsidRPr="00E01E3E">
        <w:rPr>
          <w:rFonts w:asciiTheme="minorBidi" w:hAnsiTheme="minorBidi"/>
          <w:sz w:val="24"/>
          <w:szCs w:val="24"/>
        </w:rPr>
        <w:t xml:space="preserve">, </w:t>
      </w:r>
      <w:hyperlink r:id="rId16" w:history="1">
        <w:proofErr w:type="spellStart"/>
        <w:r w:rsidR="00D31581" w:rsidRPr="00987D4E">
          <w:rPr>
            <w:rFonts w:asciiTheme="minorBidi" w:hAnsiTheme="minorBidi"/>
            <w:sz w:val="24"/>
            <w:szCs w:val="24"/>
          </w:rPr>
          <w:t>Lachin</w:t>
        </w:r>
        <w:proofErr w:type="spellEnd"/>
        <w:r w:rsidR="00D31581" w:rsidRPr="00987D4E">
          <w:rPr>
            <w:rFonts w:asciiTheme="minorBidi" w:hAnsiTheme="minorBidi"/>
            <w:sz w:val="24"/>
            <w:szCs w:val="24"/>
          </w:rPr>
          <w:t xml:space="preserve"> JM</w:t>
        </w:r>
      </w:hyperlink>
      <w:r w:rsidR="00D31581" w:rsidRPr="00E01E3E">
        <w:rPr>
          <w:rFonts w:asciiTheme="minorBidi" w:hAnsiTheme="minorBidi"/>
          <w:sz w:val="24"/>
          <w:szCs w:val="24"/>
        </w:rPr>
        <w:t xml:space="preserve">, et al; </w:t>
      </w:r>
      <w:hyperlink r:id="rId17" w:history="1">
        <w:r w:rsidR="00D31581" w:rsidRPr="00987D4E">
          <w:rPr>
            <w:rFonts w:asciiTheme="minorBidi" w:hAnsiTheme="minorBidi"/>
            <w:sz w:val="24"/>
            <w:szCs w:val="24"/>
          </w:rPr>
          <w:t>EMPA-REG OUTCOME Investigators</w:t>
        </w:r>
      </w:hyperlink>
      <w:r w:rsidR="00D31581" w:rsidRPr="00E01E3E">
        <w:rPr>
          <w:rFonts w:asciiTheme="minorBidi" w:hAnsiTheme="minorBidi"/>
          <w:sz w:val="24"/>
          <w:szCs w:val="24"/>
        </w:rPr>
        <w:t xml:space="preserve">. Empagliflozin, cardiovascular outcomes, and mortality in type 2 diabetes. </w:t>
      </w:r>
      <w:hyperlink r:id="rId18" w:tooltip="The New England journal of medicine." w:history="1">
        <w:r w:rsidR="00D31581" w:rsidRPr="00987D4E">
          <w:rPr>
            <w:rFonts w:asciiTheme="minorBidi" w:hAnsiTheme="minorBidi"/>
            <w:i/>
            <w:iCs/>
            <w:sz w:val="24"/>
            <w:szCs w:val="24"/>
          </w:rPr>
          <w:t xml:space="preserve">N </w:t>
        </w:r>
        <w:proofErr w:type="spellStart"/>
        <w:r w:rsidR="00D31581" w:rsidRPr="00987D4E">
          <w:rPr>
            <w:rFonts w:asciiTheme="minorBidi" w:hAnsiTheme="minorBidi"/>
            <w:i/>
            <w:iCs/>
            <w:sz w:val="24"/>
            <w:szCs w:val="24"/>
          </w:rPr>
          <w:t>Engl</w:t>
        </w:r>
        <w:proofErr w:type="spellEnd"/>
        <w:r w:rsidR="00D31581" w:rsidRPr="00987D4E">
          <w:rPr>
            <w:rFonts w:asciiTheme="minorBidi" w:hAnsiTheme="minorBidi"/>
            <w:i/>
            <w:iCs/>
            <w:sz w:val="24"/>
            <w:szCs w:val="24"/>
          </w:rPr>
          <w:t xml:space="preserve"> J Med</w:t>
        </w:r>
      </w:hyperlink>
      <w:r w:rsidR="00D31581" w:rsidRPr="00987D4E">
        <w:rPr>
          <w:rFonts w:asciiTheme="minorBidi" w:hAnsiTheme="minorBidi"/>
          <w:i/>
          <w:iCs/>
          <w:sz w:val="24"/>
          <w:szCs w:val="24"/>
        </w:rPr>
        <w:t xml:space="preserve"> </w:t>
      </w:r>
      <w:r w:rsidR="00D31581" w:rsidRPr="00E01E3E">
        <w:rPr>
          <w:rFonts w:asciiTheme="minorBidi" w:hAnsiTheme="minorBidi"/>
          <w:sz w:val="24"/>
          <w:szCs w:val="24"/>
        </w:rPr>
        <w:t>2015; 373(22):2117-2128</w:t>
      </w:r>
      <w:r w:rsidR="00D31581">
        <w:rPr>
          <w:rFonts w:asciiTheme="minorBidi" w:hAnsiTheme="minorBidi"/>
          <w:sz w:val="24"/>
          <w:szCs w:val="24"/>
        </w:rPr>
        <w:t>.</w:t>
      </w:r>
    </w:p>
    <w:p w:rsidR="00D31581" w:rsidRPr="006358E9" w:rsidRDefault="00D31581" w:rsidP="00D31581">
      <w:pPr>
        <w:pStyle w:val="ListParagraph"/>
        <w:bidi w:val="0"/>
        <w:spacing w:after="0" w:line="360" w:lineRule="auto"/>
        <w:ind w:left="900"/>
        <w:rPr>
          <w:rFonts w:asciiTheme="minorBidi" w:hAnsiTheme="minorBidi"/>
          <w:sz w:val="24"/>
          <w:szCs w:val="24"/>
        </w:rPr>
      </w:pPr>
    </w:p>
    <w:p w:rsidR="00D31581" w:rsidRPr="00987D4E" w:rsidRDefault="009A1753" w:rsidP="00D31581">
      <w:pPr>
        <w:pStyle w:val="Heading1"/>
        <w:numPr>
          <w:ilvl w:val="0"/>
          <w:numId w:val="1"/>
        </w:numPr>
        <w:shd w:val="clear" w:color="auto" w:fill="FFFFFF"/>
        <w:spacing w:after="360" w:line="360" w:lineRule="auto"/>
        <w:rPr>
          <w:rFonts w:asciiTheme="minorBidi" w:hAnsiTheme="minorBidi" w:cstheme="minorBidi"/>
          <w:b w:val="0"/>
          <w:bCs w:val="0"/>
          <w:color w:val="auto"/>
          <w:sz w:val="24"/>
          <w:szCs w:val="24"/>
        </w:rPr>
      </w:pPr>
      <w:hyperlink r:id="rId19" w:history="1">
        <w:proofErr w:type="spellStart"/>
        <w:proofErr w:type="gramStart"/>
        <w:r w:rsidR="00D31581" w:rsidRPr="00987D4E">
          <w:rPr>
            <w:rFonts w:asciiTheme="minorBidi" w:hAnsiTheme="minorBidi" w:cstheme="minorBidi"/>
            <w:b w:val="0"/>
            <w:bCs w:val="0"/>
            <w:color w:val="auto"/>
            <w:sz w:val="24"/>
            <w:szCs w:val="24"/>
          </w:rPr>
          <w:t>Wanner</w:t>
        </w:r>
        <w:proofErr w:type="spellEnd"/>
        <w:r w:rsidR="00D31581" w:rsidRPr="00987D4E">
          <w:rPr>
            <w:rFonts w:asciiTheme="minorBidi" w:hAnsiTheme="minorBidi" w:cstheme="minorBidi"/>
            <w:b w:val="0"/>
            <w:bCs w:val="0"/>
            <w:color w:val="auto"/>
            <w:sz w:val="24"/>
            <w:szCs w:val="24"/>
          </w:rPr>
          <w:t xml:space="preserve"> C</w:t>
        </w:r>
      </w:hyperlink>
      <w:r w:rsidR="00D31581" w:rsidRPr="00987D4E">
        <w:rPr>
          <w:rFonts w:asciiTheme="minorBidi" w:hAnsiTheme="minorBidi" w:cstheme="minorBidi"/>
          <w:b w:val="0"/>
          <w:bCs w:val="0"/>
          <w:color w:val="auto"/>
          <w:sz w:val="24"/>
          <w:szCs w:val="24"/>
        </w:rPr>
        <w:t xml:space="preserve">, </w:t>
      </w:r>
      <w:hyperlink r:id="rId20" w:history="1">
        <w:proofErr w:type="spellStart"/>
        <w:r w:rsidR="00D31581" w:rsidRPr="00987D4E">
          <w:rPr>
            <w:rFonts w:asciiTheme="minorBidi" w:hAnsiTheme="minorBidi" w:cstheme="minorBidi"/>
            <w:b w:val="0"/>
            <w:bCs w:val="0"/>
            <w:color w:val="auto"/>
            <w:sz w:val="24"/>
            <w:szCs w:val="24"/>
          </w:rPr>
          <w:t>Inzucchi</w:t>
        </w:r>
        <w:proofErr w:type="spellEnd"/>
        <w:r w:rsidR="00D31581" w:rsidRPr="00987D4E">
          <w:rPr>
            <w:rFonts w:asciiTheme="minorBidi" w:hAnsiTheme="minorBidi" w:cstheme="minorBidi"/>
            <w:b w:val="0"/>
            <w:bCs w:val="0"/>
            <w:color w:val="auto"/>
            <w:sz w:val="24"/>
            <w:szCs w:val="24"/>
          </w:rPr>
          <w:t xml:space="preserve"> SE</w:t>
        </w:r>
      </w:hyperlink>
      <w:r w:rsidR="00D31581" w:rsidRPr="00987D4E">
        <w:rPr>
          <w:rFonts w:asciiTheme="minorBidi" w:hAnsiTheme="minorBidi" w:cstheme="minorBidi"/>
          <w:b w:val="0"/>
          <w:bCs w:val="0"/>
          <w:color w:val="auto"/>
          <w:sz w:val="24"/>
          <w:szCs w:val="24"/>
        </w:rPr>
        <w:t xml:space="preserve">, </w:t>
      </w:r>
      <w:hyperlink r:id="rId21" w:history="1">
        <w:proofErr w:type="spellStart"/>
        <w:r w:rsidR="00D31581" w:rsidRPr="00987D4E">
          <w:rPr>
            <w:rFonts w:asciiTheme="minorBidi" w:hAnsiTheme="minorBidi" w:cstheme="minorBidi"/>
            <w:b w:val="0"/>
            <w:bCs w:val="0"/>
            <w:color w:val="auto"/>
            <w:sz w:val="24"/>
            <w:szCs w:val="24"/>
          </w:rPr>
          <w:t>Lachin</w:t>
        </w:r>
        <w:proofErr w:type="spellEnd"/>
        <w:r w:rsidR="00D31581" w:rsidRPr="00987D4E">
          <w:rPr>
            <w:rFonts w:asciiTheme="minorBidi" w:hAnsiTheme="minorBidi" w:cstheme="minorBidi"/>
            <w:b w:val="0"/>
            <w:bCs w:val="0"/>
            <w:color w:val="auto"/>
            <w:sz w:val="24"/>
            <w:szCs w:val="24"/>
          </w:rPr>
          <w:t xml:space="preserve"> JM</w:t>
        </w:r>
      </w:hyperlink>
      <w:r w:rsidR="00D31581" w:rsidRPr="00987D4E">
        <w:rPr>
          <w:rFonts w:asciiTheme="minorBidi" w:hAnsiTheme="minorBidi" w:cstheme="minorBidi"/>
          <w:b w:val="0"/>
          <w:bCs w:val="0"/>
          <w:color w:val="auto"/>
          <w:sz w:val="24"/>
          <w:szCs w:val="24"/>
        </w:rPr>
        <w:t>, et al. Empagliflozin and progression of kidney disease in type 2 diabetes.</w:t>
      </w:r>
      <w:proofErr w:type="gramEnd"/>
      <w:r w:rsidR="00D31581" w:rsidRPr="00987D4E">
        <w:rPr>
          <w:rFonts w:asciiTheme="minorBidi" w:hAnsiTheme="minorBidi" w:cstheme="minorBidi"/>
          <w:b w:val="0"/>
          <w:bCs w:val="0"/>
          <w:color w:val="auto"/>
          <w:sz w:val="24"/>
          <w:szCs w:val="24"/>
        </w:rPr>
        <w:t xml:space="preserve"> </w:t>
      </w:r>
      <w:hyperlink r:id="rId22" w:tooltip="The New England journal of medicine." w:history="1">
        <w:r w:rsidR="00D31581" w:rsidRPr="00987D4E">
          <w:rPr>
            <w:rStyle w:val="highlight2"/>
            <w:rFonts w:asciiTheme="minorBidi" w:hAnsiTheme="minorBidi" w:cstheme="minorBidi"/>
            <w:b w:val="0"/>
            <w:bCs w:val="0"/>
            <w:i/>
            <w:iCs/>
            <w:color w:val="auto"/>
            <w:sz w:val="24"/>
            <w:szCs w:val="24"/>
          </w:rPr>
          <w:t xml:space="preserve">N </w:t>
        </w:r>
        <w:proofErr w:type="spellStart"/>
        <w:r w:rsidR="00D31581" w:rsidRPr="00987D4E">
          <w:rPr>
            <w:rStyle w:val="highlight2"/>
            <w:rFonts w:asciiTheme="minorBidi" w:hAnsiTheme="minorBidi" w:cstheme="minorBidi"/>
            <w:b w:val="0"/>
            <w:bCs w:val="0"/>
            <w:i/>
            <w:iCs/>
            <w:color w:val="auto"/>
            <w:sz w:val="24"/>
            <w:szCs w:val="24"/>
          </w:rPr>
          <w:t>Engl</w:t>
        </w:r>
        <w:proofErr w:type="spellEnd"/>
        <w:r w:rsidR="00D31581" w:rsidRPr="00987D4E">
          <w:rPr>
            <w:rStyle w:val="highlight2"/>
            <w:rFonts w:asciiTheme="minorBidi" w:hAnsiTheme="minorBidi" w:cstheme="minorBidi"/>
            <w:b w:val="0"/>
            <w:bCs w:val="0"/>
            <w:i/>
            <w:iCs/>
            <w:color w:val="auto"/>
            <w:sz w:val="24"/>
            <w:szCs w:val="24"/>
          </w:rPr>
          <w:t xml:space="preserve"> J Med</w:t>
        </w:r>
      </w:hyperlink>
      <w:r w:rsidR="00D31581" w:rsidRPr="00987D4E">
        <w:rPr>
          <w:rFonts w:asciiTheme="minorBidi" w:hAnsiTheme="minorBidi" w:cstheme="minorBidi"/>
          <w:b w:val="0"/>
          <w:bCs w:val="0"/>
          <w:color w:val="auto"/>
          <w:sz w:val="24"/>
          <w:szCs w:val="24"/>
        </w:rPr>
        <w:t xml:space="preserve"> 2016; 28</w:t>
      </w:r>
      <w:proofErr w:type="gramStart"/>
      <w:r w:rsidR="00D31581" w:rsidRPr="00987D4E">
        <w:rPr>
          <w:rFonts w:asciiTheme="minorBidi" w:hAnsiTheme="minorBidi" w:cstheme="minorBidi"/>
          <w:b w:val="0"/>
          <w:bCs w:val="0"/>
          <w:color w:val="auto"/>
          <w:sz w:val="24"/>
          <w:szCs w:val="24"/>
        </w:rPr>
        <w:t>;375</w:t>
      </w:r>
      <w:proofErr w:type="gramEnd"/>
      <w:r w:rsidR="00D31581" w:rsidRPr="00987D4E">
        <w:rPr>
          <w:rFonts w:asciiTheme="minorBidi" w:hAnsiTheme="minorBidi" w:cstheme="minorBidi"/>
          <w:b w:val="0"/>
          <w:bCs w:val="0"/>
          <w:color w:val="auto"/>
          <w:sz w:val="24"/>
          <w:szCs w:val="24"/>
        </w:rPr>
        <w:t>(4):323-334</w:t>
      </w:r>
      <w:r w:rsidR="00D31581">
        <w:rPr>
          <w:rFonts w:asciiTheme="minorBidi" w:hAnsiTheme="minorBidi" w:cstheme="minorBidi"/>
          <w:b w:val="0"/>
          <w:bCs w:val="0"/>
          <w:color w:val="auto"/>
          <w:sz w:val="24"/>
          <w:szCs w:val="24"/>
        </w:rPr>
        <w:t>.</w:t>
      </w:r>
      <w:r w:rsidR="00D31581" w:rsidRPr="00987D4E">
        <w:rPr>
          <w:rFonts w:asciiTheme="minorBidi" w:hAnsiTheme="minorBidi" w:cstheme="minorBidi"/>
          <w:b w:val="0"/>
          <w:bCs w:val="0"/>
          <w:color w:val="auto"/>
          <w:sz w:val="24"/>
          <w:szCs w:val="24"/>
        </w:rPr>
        <w:t xml:space="preserve"> </w:t>
      </w:r>
    </w:p>
    <w:p w:rsidR="00D31581" w:rsidRDefault="00D31581" w:rsidP="00D31581">
      <w:pPr>
        <w:pStyle w:val="Heading1"/>
        <w:numPr>
          <w:ilvl w:val="0"/>
          <w:numId w:val="1"/>
        </w:numPr>
        <w:shd w:val="clear" w:color="auto" w:fill="FFFFFF"/>
        <w:spacing w:after="360" w:line="360" w:lineRule="auto"/>
        <w:rPr>
          <w:rFonts w:asciiTheme="minorBidi" w:hAnsiTheme="minorBidi" w:cstheme="minorBidi"/>
          <w:b w:val="0"/>
          <w:bCs w:val="0"/>
          <w:color w:val="auto"/>
          <w:sz w:val="24"/>
          <w:szCs w:val="24"/>
        </w:rPr>
      </w:pPr>
      <w:r w:rsidRPr="00987D4E">
        <w:rPr>
          <w:rFonts w:asciiTheme="minorBidi" w:hAnsiTheme="minorBidi" w:cstheme="minorBidi"/>
          <w:b w:val="0"/>
          <w:bCs w:val="0"/>
          <w:color w:val="auto"/>
          <w:sz w:val="24"/>
          <w:szCs w:val="24"/>
        </w:rPr>
        <w:t xml:space="preserve"> Neal B, </w:t>
      </w:r>
      <w:proofErr w:type="spellStart"/>
      <w:r w:rsidRPr="00987D4E">
        <w:rPr>
          <w:rFonts w:asciiTheme="minorBidi" w:hAnsiTheme="minorBidi" w:cstheme="minorBidi"/>
          <w:b w:val="0"/>
          <w:bCs w:val="0"/>
          <w:color w:val="auto"/>
          <w:sz w:val="24"/>
          <w:szCs w:val="24"/>
        </w:rPr>
        <w:t>Perkovic</w:t>
      </w:r>
      <w:proofErr w:type="spellEnd"/>
      <w:r w:rsidRPr="00987D4E">
        <w:rPr>
          <w:rFonts w:asciiTheme="minorBidi" w:hAnsiTheme="minorBidi" w:cstheme="minorBidi"/>
          <w:b w:val="0"/>
          <w:bCs w:val="0"/>
          <w:color w:val="auto"/>
          <w:sz w:val="24"/>
          <w:szCs w:val="24"/>
        </w:rPr>
        <w:t xml:space="preserve"> V, Mahaffey KW, de </w:t>
      </w:r>
      <w:proofErr w:type="spellStart"/>
      <w:r w:rsidRPr="00987D4E">
        <w:rPr>
          <w:rFonts w:asciiTheme="minorBidi" w:hAnsiTheme="minorBidi" w:cstheme="minorBidi"/>
          <w:b w:val="0"/>
          <w:bCs w:val="0"/>
          <w:color w:val="auto"/>
          <w:sz w:val="24"/>
          <w:szCs w:val="24"/>
        </w:rPr>
        <w:t>Zeeuw</w:t>
      </w:r>
      <w:proofErr w:type="spellEnd"/>
      <w:r w:rsidRPr="00987D4E">
        <w:rPr>
          <w:rFonts w:asciiTheme="minorBidi" w:hAnsiTheme="minorBidi" w:cstheme="minorBidi"/>
          <w:b w:val="0"/>
          <w:bCs w:val="0"/>
          <w:color w:val="auto"/>
          <w:sz w:val="24"/>
          <w:szCs w:val="24"/>
        </w:rPr>
        <w:t xml:space="preserve"> D, Fulcher G, </w:t>
      </w:r>
      <w:proofErr w:type="spellStart"/>
      <w:r w:rsidRPr="00987D4E">
        <w:rPr>
          <w:rFonts w:asciiTheme="minorBidi" w:hAnsiTheme="minorBidi" w:cstheme="minorBidi"/>
          <w:b w:val="0"/>
          <w:bCs w:val="0"/>
          <w:color w:val="auto"/>
          <w:sz w:val="24"/>
          <w:szCs w:val="24"/>
        </w:rPr>
        <w:t>Erondu</w:t>
      </w:r>
      <w:proofErr w:type="spellEnd"/>
      <w:r w:rsidRPr="00987D4E">
        <w:rPr>
          <w:rFonts w:asciiTheme="minorBidi" w:hAnsiTheme="minorBidi" w:cstheme="minorBidi"/>
          <w:b w:val="0"/>
          <w:bCs w:val="0"/>
          <w:color w:val="auto"/>
          <w:sz w:val="24"/>
          <w:szCs w:val="24"/>
        </w:rPr>
        <w:t xml:space="preserve"> N, Shaw W, Law G, Desai M, Matthews DR. Canagliflozin and Cardiovascular and Renal Events in Type 2 Diabetes. </w:t>
      </w:r>
      <w:r w:rsidRPr="00987D4E">
        <w:rPr>
          <w:rFonts w:asciiTheme="minorBidi" w:hAnsiTheme="minorBidi" w:cstheme="minorBidi"/>
          <w:b w:val="0"/>
          <w:bCs w:val="0"/>
          <w:i/>
          <w:iCs/>
          <w:color w:val="auto"/>
          <w:sz w:val="24"/>
          <w:szCs w:val="24"/>
        </w:rPr>
        <w:t xml:space="preserve">N </w:t>
      </w:r>
      <w:proofErr w:type="spellStart"/>
      <w:r w:rsidRPr="00987D4E">
        <w:rPr>
          <w:rFonts w:asciiTheme="minorBidi" w:hAnsiTheme="minorBidi" w:cstheme="minorBidi"/>
          <w:b w:val="0"/>
          <w:bCs w:val="0"/>
          <w:i/>
          <w:iCs/>
          <w:color w:val="auto"/>
          <w:sz w:val="24"/>
          <w:szCs w:val="24"/>
        </w:rPr>
        <w:t>Engl</w:t>
      </w:r>
      <w:proofErr w:type="spellEnd"/>
      <w:r w:rsidRPr="00987D4E">
        <w:rPr>
          <w:rFonts w:asciiTheme="minorBidi" w:hAnsiTheme="minorBidi" w:cstheme="minorBidi"/>
          <w:b w:val="0"/>
          <w:bCs w:val="0"/>
          <w:i/>
          <w:iCs/>
          <w:color w:val="auto"/>
          <w:sz w:val="24"/>
          <w:szCs w:val="24"/>
        </w:rPr>
        <w:t xml:space="preserve"> J M</w:t>
      </w:r>
      <w:r w:rsidRPr="006358E9">
        <w:rPr>
          <w:rFonts w:asciiTheme="minorBidi" w:hAnsiTheme="minorBidi" w:cstheme="minorBidi"/>
          <w:b w:val="0"/>
          <w:bCs w:val="0"/>
          <w:color w:val="auto"/>
          <w:sz w:val="24"/>
          <w:szCs w:val="24"/>
        </w:rPr>
        <w:t>ed</w:t>
      </w:r>
      <w:r w:rsidRPr="00987D4E">
        <w:rPr>
          <w:rFonts w:asciiTheme="minorBidi" w:hAnsiTheme="minorBidi" w:cstheme="minorBidi"/>
          <w:b w:val="0"/>
          <w:bCs w:val="0"/>
          <w:color w:val="auto"/>
          <w:sz w:val="24"/>
          <w:szCs w:val="24"/>
        </w:rPr>
        <w:t xml:space="preserve"> </w:t>
      </w:r>
      <w:proofErr w:type="gramStart"/>
      <w:r w:rsidRPr="00987D4E">
        <w:rPr>
          <w:rFonts w:asciiTheme="minorBidi" w:hAnsiTheme="minorBidi" w:cstheme="minorBidi"/>
          <w:b w:val="0"/>
          <w:bCs w:val="0"/>
          <w:color w:val="auto"/>
          <w:sz w:val="24"/>
          <w:szCs w:val="24"/>
        </w:rPr>
        <w:t xml:space="preserve">2017 </w:t>
      </w:r>
      <w:r w:rsidRPr="00987D4E">
        <w:rPr>
          <w:rFonts w:ascii="Arial" w:hAnsi="Arial" w:cs="Arial"/>
          <w:sz w:val="24"/>
          <w:szCs w:val="24"/>
        </w:rPr>
        <w:t xml:space="preserve"> </w:t>
      </w:r>
      <w:r w:rsidRPr="00987D4E">
        <w:rPr>
          <w:rFonts w:ascii="Arial" w:hAnsi="Arial" w:cs="Arial"/>
          <w:b w:val="0"/>
          <w:bCs w:val="0"/>
          <w:sz w:val="24"/>
          <w:szCs w:val="24"/>
        </w:rPr>
        <w:t>377</w:t>
      </w:r>
      <w:proofErr w:type="gramEnd"/>
      <w:r w:rsidRPr="00987D4E">
        <w:rPr>
          <w:rFonts w:ascii="Arial" w:hAnsi="Arial" w:cs="Arial"/>
          <w:b w:val="0"/>
          <w:bCs w:val="0"/>
          <w:sz w:val="24"/>
          <w:szCs w:val="24"/>
        </w:rPr>
        <w:t>(7):644-657.</w:t>
      </w:r>
    </w:p>
    <w:p w:rsidR="00D31581" w:rsidRPr="00987D4E" w:rsidRDefault="00D31581" w:rsidP="00D31581">
      <w:pPr>
        <w:pStyle w:val="Heading1"/>
        <w:shd w:val="clear" w:color="auto" w:fill="FFFFFF"/>
        <w:spacing w:after="360" w:line="360" w:lineRule="auto"/>
        <w:rPr>
          <w:rFonts w:asciiTheme="minorBidi" w:hAnsiTheme="minorBidi" w:cstheme="minorBidi"/>
          <w:b w:val="0"/>
          <w:bCs w:val="0"/>
          <w:color w:val="auto"/>
          <w:sz w:val="24"/>
          <w:szCs w:val="24"/>
        </w:rPr>
      </w:pPr>
    </w:p>
    <w:p w:rsidR="00D31581" w:rsidRPr="00987D4E" w:rsidRDefault="00D31581" w:rsidP="00D31581">
      <w:pPr>
        <w:pStyle w:val="Heading1"/>
        <w:numPr>
          <w:ilvl w:val="0"/>
          <w:numId w:val="1"/>
        </w:numPr>
        <w:shd w:val="clear" w:color="auto" w:fill="FFFFFF"/>
        <w:spacing w:after="360" w:line="360" w:lineRule="auto"/>
        <w:rPr>
          <w:rFonts w:asciiTheme="minorBidi" w:hAnsiTheme="minorBidi" w:cstheme="minorBidi"/>
          <w:b w:val="0"/>
          <w:bCs w:val="0"/>
          <w:color w:val="auto"/>
          <w:sz w:val="24"/>
          <w:szCs w:val="24"/>
        </w:rPr>
      </w:pPr>
      <w:r w:rsidRPr="00987D4E">
        <w:rPr>
          <w:rFonts w:asciiTheme="minorBidi" w:hAnsiTheme="minorBidi" w:cstheme="minorBidi"/>
          <w:b w:val="0"/>
          <w:bCs w:val="0"/>
          <w:noProof/>
          <w:color w:val="auto"/>
          <w:sz w:val="24"/>
          <w:szCs w:val="24"/>
        </w:rPr>
        <w:t xml:space="preserve">Sonesson C, Johansson PA, Johnsson E, Gause-Nilsson I. Cardiovascular effects of dapagliflozin in patients with type 2 diabetes and different risk categories: a meta-analysis. </w:t>
      </w:r>
      <w:r w:rsidRPr="00987D4E">
        <w:rPr>
          <w:rFonts w:asciiTheme="minorBidi" w:hAnsiTheme="minorBidi" w:cstheme="minorBidi"/>
          <w:b w:val="0"/>
          <w:bCs w:val="0"/>
          <w:i/>
          <w:iCs/>
          <w:noProof/>
          <w:color w:val="auto"/>
          <w:sz w:val="24"/>
          <w:szCs w:val="24"/>
        </w:rPr>
        <w:t>Cardiovascular Diabetology</w:t>
      </w:r>
      <w:r w:rsidRPr="00987D4E">
        <w:rPr>
          <w:rFonts w:asciiTheme="minorBidi" w:hAnsiTheme="minorBidi" w:cstheme="minorBidi"/>
          <w:b w:val="0"/>
          <w:bCs w:val="0"/>
          <w:noProof/>
          <w:color w:val="auto"/>
          <w:sz w:val="24"/>
          <w:szCs w:val="24"/>
        </w:rPr>
        <w:t xml:space="preserve"> 2016;15:37</w:t>
      </w:r>
      <w:r>
        <w:rPr>
          <w:rFonts w:asciiTheme="minorBidi" w:hAnsiTheme="minorBidi" w:cstheme="minorBidi"/>
          <w:b w:val="0"/>
          <w:bCs w:val="0"/>
          <w:noProof/>
          <w:color w:val="auto"/>
          <w:sz w:val="24"/>
          <w:szCs w:val="24"/>
        </w:rPr>
        <w:t>.</w:t>
      </w:r>
    </w:p>
    <w:p w:rsidR="00D31581" w:rsidRPr="00987D4E" w:rsidRDefault="00D31581" w:rsidP="00D31581">
      <w:pPr>
        <w:pStyle w:val="ListParagraph"/>
        <w:numPr>
          <w:ilvl w:val="0"/>
          <w:numId w:val="1"/>
        </w:numPr>
        <w:shd w:val="clear" w:color="auto" w:fill="FFFFFF"/>
        <w:bidi w:val="0"/>
        <w:spacing w:before="240" w:after="360" w:line="360" w:lineRule="auto"/>
        <w:ind w:right="2"/>
        <w:outlineLvl w:val="0"/>
        <w:rPr>
          <w:rFonts w:asciiTheme="minorBidi" w:hAnsiTheme="minorBidi"/>
          <w:sz w:val="24"/>
          <w:szCs w:val="24"/>
        </w:rPr>
      </w:pPr>
      <w:r>
        <w:t xml:space="preserve"> </w:t>
      </w:r>
      <w:hyperlink r:id="rId23" w:history="1">
        <w:r w:rsidRPr="00987D4E">
          <w:rPr>
            <w:rFonts w:asciiTheme="minorBidi" w:hAnsiTheme="minorBidi"/>
            <w:sz w:val="24"/>
            <w:szCs w:val="24"/>
            <w:lang w:val="sv-SE"/>
          </w:rPr>
          <w:t>Wu JH</w:t>
        </w:r>
      </w:hyperlink>
      <w:r w:rsidRPr="00987D4E">
        <w:rPr>
          <w:rFonts w:asciiTheme="minorBidi" w:hAnsiTheme="minorBidi"/>
          <w:sz w:val="24"/>
          <w:szCs w:val="24"/>
          <w:lang w:val="sv-SE"/>
        </w:rPr>
        <w:t xml:space="preserve">, </w:t>
      </w:r>
      <w:hyperlink r:id="rId24" w:history="1">
        <w:r w:rsidRPr="00987D4E">
          <w:rPr>
            <w:rFonts w:asciiTheme="minorBidi" w:hAnsiTheme="minorBidi"/>
            <w:sz w:val="24"/>
            <w:szCs w:val="24"/>
            <w:lang w:val="sv-SE"/>
          </w:rPr>
          <w:t>Foote C</w:t>
        </w:r>
      </w:hyperlink>
      <w:r w:rsidRPr="00987D4E">
        <w:rPr>
          <w:rFonts w:asciiTheme="minorBidi" w:hAnsiTheme="minorBidi"/>
          <w:sz w:val="24"/>
          <w:szCs w:val="24"/>
          <w:lang w:val="sv-SE"/>
        </w:rPr>
        <w:t xml:space="preserve">, </w:t>
      </w:r>
      <w:hyperlink r:id="rId25" w:history="1">
        <w:r w:rsidRPr="00987D4E">
          <w:rPr>
            <w:rFonts w:asciiTheme="minorBidi" w:hAnsiTheme="minorBidi"/>
            <w:sz w:val="24"/>
            <w:szCs w:val="24"/>
            <w:lang w:val="sv-SE"/>
          </w:rPr>
          <w:t>Blomster J</w:t>
        </w:r>
      </w:hyperlink>
      <w:r w:rsidRPr="00987D4E">
        <w:rPr>
          <w:rFonts w:asciiTheme="minorBidi" w:hAnsiTheme="minorBidi"/>
          <w:sz w:val="24"/>
          <w:szCs w:val="24"/>
          <w:lang w:val="sv-SE"/>
        </w:rPr>
        <w:t xml:space="preserve">, et al. </w:t>
      </w:r>
      <w:r w:rsidRPr="00987D4E">
        <w:rPr>
          <w:rFonts w:asciiTheme="minorBidi" w:hAnsiTheme="minorBidi"/>
          <w:sz w:val="24"/>
          <w:szCs w:val="24"/>
        </w:rPr>
        <w:t xml:space="preserve">Effects of sodium-glucose cotransporter-2 inhibitors on cardiovascular events, death, and major safety outcomes in adults with type 2 diabetes: a systematic review and meta-analysis. </w:t>
      </w:r>
      <w:hyperlink r:id="rId26" w:tooltip="The lancet. Diabetes &amp; endocrinology." w:history="1">
        <w:r w:rsidRPr="00987D4E">
          <w:rPr>
            <w:rFonts w:asciiTheme="minorBidi" w:hAnsiTheme="minorBidi"/>
            <w:i/>
            <w:iCs/>
            <w:sz w:val="24"/>
            <w:szCs w:val="24"/>
          </w:rPr>
          <w:t xml:space="preserve">Lancet Diabetes </w:t>
        </w:r>
        <w:proofErr w:type="spellStart"/>
        <w:r w:rsidRPr="00987D4E">
          <w:rPr>
            <w:rFonts w:asciiTheme="minorBidi" w:hAnsiTheme="minorBidi"/>
            <w:i/>
            <w:iCs/>
            <w:sz w:val="24"/>
            <w:szCs w:val="24"/>
          </w:rPr>
          <w:t>Endocrinol</w:t>
        </w:r>
        <w:proofErr w:type="spellEnd"/>
      </w:hyperlink>
      <w:r w:rsidRPr="00987D4E">
        <w:rPr>
          <w:rFonts w:asciiTheme="minorBidi" w:hAnsiTheme="minorBidi"/>
          <w:i/>
          <w:iCs/>
          <w:sz w:val="24"/>
          <w:szCs w:val="24"/>
        </w:rPr>
        <w:t xml:space="preserve"> </w:t>
      </w:r>
      <w:r w:rsidRPr="00987D4E">
        <w:rPr>
          <w:rFonts w:asciiTheme="minorBidi" w:hAnsiTheme="minorBidi"/>
          <w:sz w:val="24"/>
          <w:szCs w:val="24"/>
        </w:rPr>
        <w:t>2016</w:t>
      </w:r>
      <w:proofErr w:type="gramStart"/>
      <w:r w:rsidRPr="00987D4E">
        <w:rPr>
          <w:rFonts w:asciiTheme="minorBidi" w:hAnsiTheme="minorBidi"/>
          <w:sz w:val="24"/>
          <w:szCs w:val="24"/>
        </w:rPr>
        <w:t>;4</w:t>
      </w:r>
      <w:proofErr w:type="gramEnd"/>
      <w:r w:rsidRPr="00987D4E">
        <w:rPr>
          <w:rFonts w:asciiTheme="minorBidi" w:hAnsiTheme="minorBidi"/>
          <w:sz w:val="24"/>
          <w:szCs w:val="24"/>
        </w:rPr>
        <w:t>(5):411-419</w:t>
      </w:r>
      <w:r>
        <w:rPr>
          <w:rFonts w:asciiTheme="minorBidi" w:hAnsiTheme="minorBidi"/>
          <w:sz w:val="24"/>
          <w:szCs w:val="24"/>
        </w:rPr>
        <w:t>.</w:t>
      </w:r>
    </w:p>
    <w:p w:rsidR="00D31581" w:rsidRPr="00987D4E" w:rsidRDefault="00D31581" w:rsidP="00D31581">
      <w:pPr>
        <w:pStyle w:val="ListParagraph"/>
        <w:shd w:val="clear" w:color="auto" w:fill="FFFFFF"/>
        <w:bidi w:val="0"/>
        <w:spacing w:before="240" w:after="360" w:line="360" w:lineRule="auto"/>
        <w:ind w:right="2"/>
        <w:outlineLvl w:val="0"/>
        <w:rPr>
          <w:rFonts w:asciiTheme="minorBidi" w:hAnsiTheme="minorBidi"/>
          <w:sz w:val="24"/>
          <w:szCs w:val="24"/>
        </w:rPr>
      </w:pPr>
    </w:p>
    <w:p w:rsidR="00D31581" w:rsidRPr="006358E9" w:rsidRDefault="00D31581" w:rsidP="00D31581">
      <w:pPr>
        <w:pStyle w:val="ListParagraph"/>
        <w:numPr>
          <w:ilvl w:val="0"/>
          <w:numId w:val="1"/>
        </w:numPr>
        <w:bidi w:val="0"/>
        <w:spacing w:line="360" w:lineRule="auto"/>
        <w:rPr>
          <w:rFonts w:asciiTheme="minorBidi" w:hAnsiTheme="minorBidi"/>
          <w:sz w:val="24"/>
          <w:szCs w:val="24"/>
        </w:rPr>
      </w:pPr>
      <w:r w:rsidRPr="00E01E3E">
        <w:rPr>
          <w:rFonts w:asciiTheme="minorBidi" w:hAnsiTheme="minorBidi"/>
          <w:sz w:val="24"/>
          <w:szCs w:val="24"/>
        </w:rPr>
        <w:t xml:space="preserve">The design and rationale for the Dapagliflozin Effect on </w:t>
      </w:r>
      <w:proofErr w:type="spellStart"/>
      <w:r w:rsidRPr="00E01E3E">
        <w:rPr>
          <w:rFonts w:asciiTheme="minorBidi" w:hAnsiTheme="minorBidi"/>
          <w:sz w:val="24"/>
          <w:szCs w:val="24"/>
        </w:rPr>
        <w:t>CardiovascuLAR</w:t>
      </w:r>
      <w:proofErr w:type="spellEnd"/>
      <w:r w:rsidRPr="00E01E3E">
        <w:rPr>
          <w:rFonts w:asciiTheme="minorBidi" w:hAnsiTheme="minorBidi"/>
          <w:sz w:val="24"/>
          <w:szCs w:val="24"/>
        </w:rPr>
        <w:t xml:space="preserve"> Events (DECLARE) – TIMI 58 Trial</w:t>
      </w:r>
      <w:r w:rsidRPr="006358E9">
        <w:rPr>
          <w:rFonts w:asciiTheme="minorBidi" w:hAnsiTheme="minorBidi"/>
          <w:sz w:val="24"/>
          <w:szCs w:val="24"/>
        </w:rPr>
        <w:t xml:space="preserve"> ( submitted/in review) </w:t>
      </w:r>
    </w:p>
    <w:p w:rsidR="00D31581" w:rsidRPr="006358E9" w:rsidRDefault="00D31581" w:rsidP="00D31581">
      <w:pPr>
        <w:pStyle w:val="ListParagraph"/>
        <w:rPr>
          <w:rFonts w:asciiTheme="minorBidi" w:hAnsiTheme="minorBidi"/>
          <w:sz w:val="24"/>
          <w:szCs w:val="24"/>
        </w:rPr>
      </w:pPr>
    </w:p>
    <w:p w:rsidR="00D31581" w:rsidRPr="00987D4E" w:rsidRDefault="009A1753" w:rsidP="00D31581">
      <w:pPr>
        <w:pStyle w:val="Heading1"/>
        <w:numPr>
          <w:ilvl w:val="0"/>
          <w:numId w:val="1"/>
        </w:numPr>
        <w:shd w:val="clear" w:color="auto" w:fill="FFFFFF"/>
        <w:spacing w:before="120" w:after="360" w:line="360" w:lineRule="auto"/>
        <w:ind w:right="2"/>
        <w:rPr>
          <w:rFonts w:asciiTheme="minorBidi" w:hAnsiTheme="minorBidi" w:cstheme="minorBidi"/>
          <w:b w:val="0"/>
          <w:sz w:val="24"/>
          <w:szCs w:val="24"/>
        </w:rPr>
      </w:pPr>
      <w:hyperlink r:id="rId27" w:history="1">
        <w:proofErr w:type="spellStart"/>
        <w:proofErr w:type="gramStart"/>
        <w:r w:rsidR="00D31581" w:rsidRPr="00987D4E">
          <w:rPr>
            <w:rStyle w:val="highlight2"/>
            <w:rFonts w:asciiTheme="minorBidi" w:hAnsiTheme="minorBidi" w:cstheme="minorBidi"/>
            <w:b w:val="0"/>
            <w:color w:val="auto"/>
            <w:sz w:val="24"/>
            <w:szCs w:val="24"/>
          </w:rPr>
          <w:t>Bergenstal</w:t>
        </w:r>
        <w:proofErr w:type="spellEnd"/>
        <w:r w:rsidR="00D31581" w:rsidRPr="00987D4E">
          <w:rPr>
            <w:rFonts w:asciiTheme="minorBidi" w:hAnsiTheme="minorBidi" w:cstheme="minorBidi"/>
            <w:b w:val="0"/>
            <w:color w:val="auto"/>
            <w:sz w:val="24"/>
            <w:szCs w:val="24"/>
          </w:rPr>
          <w:t xml:space="preserve"> RM</w:t>
        </w:r>
      </w:hyperlink>
      <w:r w:rsidR="00D31581" w:rsidRPr="00987D4E">
        <w:rPr>
          <w:rFonts w:asciiTheme="minorBidi" w:hAnsiTheme="minorBidi" w:cstheme="minorBidi"/>
          <w:b w:val="0"/>
          <w:color w:val="auto"/>
          <w:sz w:val="24"/>
          <w:szCs w:val="24"/>
        </w:rPr>
        <w:t xml:space="preserve">, </w:t>
      </w:r>
      <w:hyperlink r:id="rId28" w:history="1">
        <w:r w:rsidR="00D31581" w:rsidRPr="00987D4E">
          <w:rPr>
            <w:rFonts w:asciiTheme="minorBidi" w:hAnsiTheme="minorBidi" w:cstheme="minorBidi"/>
            <w:b w:val="0"/>
            <w:color w:val="auto"/>
            <w:sz w:val="24"/>
            <w:szCs w:val="24"/>
          </w:rPr>
          <w:t>Bailey CJ</w:t>
        </w:r>
      </w:hyperlink>
      <w:r w:rsidR="00D31581" w:rsidRPr="00987D4E">
        <w:rPr>
          <w:rFonts w:asciiTheme="minorBidi" w:hAnsiTheme="minorBidi" w:cstheme="minorBidi"/>
          <w:b w:val="0"/>
          <w:color w:val="auto"/>
          <w:sz w:val="24"/>
          <w:szCs w:val="24"/>
        </w:rPr>
        <w:t xml:space="preserve">, </w:t>
      </w:r>
      <w:hyperlink r:id="rId29" w:history="1">
        <w:r w:rsidR="00D31581" w:rsidRPr="00987D4E">
          <w:rPr>
            <w:rFonts w:asciiTheme="minorBidi" w:hAnsiTheme="minorBidi" w:cstheme="minorBidi"/>
            <w:b w:val="0"/>
            <w:color w:val="auto"/>
            <w:sz w:val="24"/>
            <w:szCs w:val="24"/>
          </w:rPr>
          <w:t>Kendall DM</w:t>
        </w:r>
      </w:hyperlink>
      <w:r w:rsidR="00D31581" w:rsidRPr="00987D4E">
        <w:rPr>
          <w:rFonts w:asciiTheme="minorBidi" w:hAnsiTheme="minorBidi" w:cstheme="minorBidi"/>
          <w:b w:val="0"/>
          <w:color w:val="auto"/>
          <w:sz w:val="24"/>
          <w:szCs w:val="24"/>
        </w:rPr>
        <w:t>.</w:t>
      </w:r>
      <w:proofErr w:type="gramEnd"/>
      <w:r w:rsidR="00D31581" w:rsidRPr="00987D4E">
        <w:rPr>
          <w:rFonts w:asciiTheme="minorBidi" w:hAnsiTheme="minorBidi" w:cstheme="minorBidi"/>
          <w:b w:val="0"/>
          <w:sz w:val="24"/>
          <w:szCs w:val="24"/>
        </w:rPr>
        <w:t xml:space="preserve"> Type 2 diabetes: assessing the relative risks and benefits of glucose-lowering medications. </w:t>
      </w:r>
      <w:r w:rsidR="00D31581" w:rsidRPr="00987D4E">
        <w:rPr>
          <w:rStyle w:val="highlight2"/>
          <w:rFonts w:asciiTheme="minorBidi" w:hAnsiTheme="minorBidi" w:cstheme="minorBidi"/>
          <w:b w:val="0"/>
          <w:i/>
          <w:iCs/>
          <w:color w:val="auto"/>
          <w:sz w:val="24"/>
          <w:szCs w:val="24"/>
        </w:rPr>
        <w:t>Am J Med</w:t>
      </w:r>
      <w:r w:rsidR="00D31581" w:rsidRPr="00987D4E">
        <w:rPr>
          <w:rFonts w:asciiTheme="minorBidi" w:hAnsiTheme="minorBidi" w:cstheme="minorBidi"/>
          <w:b w:val="0"/>
          <w:color w:val="auto"/>
          <w:sz w:val="24"/>
          <w:szCs w:val="24"/>
        </w:rPr>
        <w:t xml:space="preserve"> </w:t>
      </w:r>
      <w:r w:rsidR="00D31581" w:rsidRPr="00987D4E">
        <w:rPr>
          <w:rStyle w:val="highlight2"/>
          <w:rFonts w:asciiTheme="minorBidi" w:hAnsiTheme="minorBidi" w:cstheme="minorBidi"/>
          <w:b w:val="0"/>
          <w:sz w:val="24"/>
          <w:szCs w:val="24"/>
        </w:rPr>
        <w:t>2010</w:t>
      </w:r>
      <w:proofErr w:type="gramStart"/>
      <w:r w:rsidR="00D31581" w:rsidRPr="00987D4E">
        <w:rPr>
          <w:rFonts w:asciiTheme="minorBidi" w:hAnsiTheme="minorBidi" w:cstheme="minorBidi"/>
          <w:b w:val="0"/>
          <w:sz w:val="24"/>
          <w:szCs w:val="24"/>
        </w:rPr>
        <w:t>;</w:t>
      </w:r>
      <w:r w:rsidR="00D31581" w:rsidRPr="00987D4E">
        <w:rPr>
          <w:rStyle w:val="highlight2"/>
          <w:rFonts w:asciiTheme="minorBidi" w:hAnsiTheme="minorBidi" w:cstheme="minorBidi"/>
          <w:b w:val="0"/>
          <w:sz w:val="24"/>
          <w:szCs w:val="24"/>
        </w:rPr>
        <w:t>123</w:t>
      </w:r>
      <w:proofErr w:type="gramEnd"/>
      <w:r w:rsidR="00D31581" w:rsidRPr="00987D4E">
        <w:rPr>
          <w:rFonts w:asciiTheme="minorBidi" w:hAnsiTheme="minorBidi" w:cstheme="minorBidi"/>
          <w:b w:val="0"/>
          <w:sz w:val="24"/>
          <w:szCs w:val="24"/>
        </w:rPr>
        <w:t>(4):</w:t>
      </w:r>
      <w:r w:rsidR="00D31581" w:rsidRPr="00987D4E">
        <w:rPr>
          <w:rStyle w:val="highlight2"/>
          <w:rFonts w:asciiTheme="minorBidi" w:hAnsiTheme="minorBidi" w:cstheme="minorBidi"/>
          <w:b w:val="0"/>
          <w:sz w:val="24"/>
          <w:szCs w:val="24"/>
        </w:rPr>
        <w:t>374</w:t>
      </w:r>
      <w:r w:rsidR="00D31581" w:rsidRPr="00987D4E">
        <w:rPr>
          <w:rFonts w:asciiTheme="minorBidi" w:hAnsiTheme="minorBidi" w:cstheme="minorBidi"/>
          <w:b w:val="0"/>
          <w:sz w:val="24"/>
          <w:szCs w:val="24"/>
        </w:rPr>
        <w:t xml:space="preserve">.e 9 -18. </w:t>
      </w:r>
      <w:proofErr w:type="spellStart"/>
      <w:proofErr w:type="gramStart"/>
      <w:r w:rsidR="00D31581" w:rsidRPr="00987D4E">
        <w:rPr>
          <w:rFonts w:asciiTheme="minorBidi" w:hAnsiTheme="minorBidi" w:cstheme="minorBidi"/>
          <w:b w:val="0"/>
          <w:sz w:val="24"/>
          <w:szCs w:val="24"/>
        </w:rPr>
        <w:t>doi</w:t>
      </w:r>
      <w:proofErr w:type="spellEnd"/>
      <w:proofErr w:type="gramEnd"/>
      <w:r w:rsidR="00D31581" w:rsidRPr="00987D4E">
        <w:rPr>
          <w:rFonts w:asciiTheme="minorBidi" w:hAnsiTheme="minorBidi" w:cstheme="minorBidi"/>
          <w:b w:val="0"/>
          <w:sz w:val="24"/>
          <w:szCs w:val="24"/>
        </w:rPr>
        <w:t>: 10.1016/j.amjmed.2009.07.017</w:t>
      </w:r>
      <w:r w:rsidR="00D31581">
        <w:rPr>
          <w:rFonts w:asciiTheme="minorBidi" w:hAnsiTheme="minorBidi" w:cstheme="minorBidi"/>
          <w:b w:val="0"/>
          <w:sz w:val="24"/>
          <w:szCs w:val="24"/>
        </w:rPr>
        <w:t>.</w:t>
      </w:r>
    </w:p>
    <w:p w:rsidR="00D31581" w:rsidRPr="00987D4E" w:rsidRDefault="00D31581" w:rsidP="00D31581">
      <w:pPr>
        <w:pStyle w:val="ListParagraph"/>
        <w:numPr>
          <w:ilvl w:val="0"/>
          <w:numId w:val="1"/>
        </w:numPr>
        <w:shd w:val="clear" w:color="auto" w:fill="FFFFFF"/>
        <w:bidi w:val="0"/>
        <w:spacing w:before="120" w:after="360" w:line="360" w:lineRule="auto"/>
        <w:rPr>
          <w:rFonts w:asciiTheme="minorBidi" w:eastAsia="Times New Roman" w:hAnsiTheme="minorBidi"/>
          <w:sz w:val="24"/>
          <w:szCs w:val="24"/>
        </w:rPr>
      </w:pPr>
      <w:proofErr w:type="spellStart"/>
      <w:r w:rsidRPr="00987D4E">
        <w:rPr>
          <w:rFonts w:asciiTheme="minorBidi" w:eastAsia="Times New Roman" w:hAnsiTheme="minorBidi"/>
          <w:sz w:val="24"/>
          <w:szCs w:val="24"/>
        </w:rPr>
        <w:t>Ferrannini</w:t>
      </w:r>
      <w:proofErr w:type="spellEnd"/>
      <w:r w:rsidRPr="00987D4E">
        <w:rPr>
          <w:rFonts w:asciiTheme="minorBidi" w:eastAsia="Times New Roman" w:hAnsiTheme="minorBidi"/>
          <w:sz w:val="24"/>
          <w:szCs w:val="24"/>
        </w:rPr>
        <w:t xml:space="preserve"> E, Mark M, </w:t>
      </w:r>
      <w:proofErr w:type="spellStart"/>
      <w:r w:rsidRPr="00987D4E">
        <w:rPr>
          <w:rFonts w:asciiTheme="minorBidi" w:eastAsia="Times New Roman" w:hAnsiTheme="minorBidi"/>
          <w:sz w:val="24"/>
          <w:szCs w:val="24"/>
        </w:rPr>
        <w:t>Mayoux</w:t>
      </w:r>
      <w:proofErr w:type="spellEnd"/>
      <w:r w:rsidRPr="00987D4E">
        <w:rPr>
          <w:rFonts w:asciiTheme="minorBidi" w:eastAsia="Times New Roman" w:hAnsiTheme="minorBidi"/>
          <w:sz w:val="24"/>
          <w:szCs w:val="24"/>
        </w:rPr>
        <w:t xml:space="preserve"> E.</w:t>
      </w:r>
      <w:r w:rsidRPr="00987D4E">
        <w:rPr>
          <w:rFonts w:asciiTheme="minorBidi" w:hAnsiTheme="minorBidi"/>
          <w:sz w:val="24"/>
          <w:szCs w:val="24"/>
        </w:rPr>
        <w:t xml:space="preserve"> </w:t>
      </w:r>
      <w:r w:rsidRPr="00987D4E">
        <w:rPr>
          <w:rFonts w:asciiTheme="minorBidi" w:eastAsia="Times New Roman" w:hAnsiTheme="minorBidi"/>
          <w:sz w:val="24"/>
          <w:szCs w:val="24"/>
        </w:rPr>
        <w:t xml:space="preserve">CV Protection in the EMPA-REG outcome trial: A "Thrifty Substrate" hypothesis. </w:t>
      </w:r>
      <w:r w:rsidRPr="00987D4E">
        <w:rPr>
          <w:rFonts w:asciiTheme="minorBidi" w:eastAsia="Times New Roman" w:hAnsiTheme="minorBidi"/>
          <w:i/>
          <w:iCs/>
          <w:sz w:val="24"/>
          <w:szCs w:val="24"/>
        </w:rPr>
        <w:t>Diabetes Care</w:t>
      </w:r>
      <w:r w:rsidRPr="00987D4E">
        <w:rPr>
          <w:rFonts w:asciiTheme="minorBidi" w:eastAsia="Times New Roman" w:hAnsiTheme="minorBidi"/>
          <w:sz w:val="24"/>
          <w:szCs w:val="24"/>
        </w:rPr>
        <w:t xml:space="preserve"> </w:t>
      </w:r>
      <w:proofErr w:type="gramStart"/>
      <w:r w:rsidRPr="00987D4E">
        <w:rPr>
          <w:rFonts w:asciiTheme="minorBidi" w:eastAsia="Times New Roman" w:hAnsiTheme="minorBidi"/>
          <w:sz w:val="24"/>
          <w:szCs w:val="24"/>
        </w:rPr>
        <w:t>2016 ;39</w:t>
      </w:r>
      <w:proofErr w:type="gramEnd"/>
      <w:r w:rsidRPr="00987D4E">
        <w:rPr>
          <w:rFonts w:asciiTheme="minorBidi" w:eastAsia="Times New Roman" w:hAnsiTheme="minorBidi"/>
          <w:sz w:val="24"/>
          <w:szCs w:val="24"/>
        </w:rPr>
        <w:t>(7):1108-1114</w:t>
      </w:r>
      <w:r>
        <w:rPr>
          <w:rFonts w:asciiTheme="minorBidi" w:eastAsia="Times New Roman" w:hAnsiTheme="minorBidi"/>
          <w:sz w:val="24"/>
          <w:szCs w:val="24"/>
        </w:rPr>
        <w:t>.</w:t>
      </w:r>
    </w:p>
    <w:p w:rsidR="00D31581" w:rsidRPr="00987D4E" w:rsidRDefault="00D31581" w:rsidP="00D31581">
      <w:pPr>
        <w:pStyle w:val="ListParagraph"/>
        <w:rPr>
          <w:rFonts w:asciiTheme="minorBidi" w:eastAsia="Times New Roman" w:hAnsiTheme="minorBidi"/>
          <w:sz w:val="24"/>
          <w:szCs w:val="24"/>
        </w:rPr>
      </w:pPr>
    </w:p>
    <w:p w:rsidR="00D31581" w:rsidRPr="00987D4E" w:rsidRDefault="00D31581" w:rsidP="00D31581">
      <w:pPr>
        <w:pStyle w:val="ListParagraph"/>
        <w:numPr>
          <w:ilvl w:val="0"/>
          <w:numId w:val="1"/>
        </w:numPr>
        <w:shd w:val="clear" w:color="auto" w:fill="FFFFFF"/>
        <w:bidi w:val="0"/>
        <w:spacing w:before="120" w:after="360" w:line="360" w:lineRule="auto"/>
        <w:rPr>
          <w:rFonts w:asciiTheme="minorBidi" w:eastAsia="Times New Roman" w:hAnsiTheme="minorBidi"/>
          <w:sz w:val="24"/>
          <w:szCs w:val="24"/>
        </w:rPr>
      </w:pPr>
      <w:proofErr w:type="spellStart"/>
      <w:r w:rsidRPr="00987D4E">
        <w:rPr>
          <w:rFonts w:asciiTheme="minorBidi" w:eastAsia="Times New Roman" w:hAnsiTheme="minorBidi"/>
          <w:sz w:val="24"/>
          <w:szCs w:val="24"/>
        </w:rPr>
        <w:t>Mudaliar</w:t>
      </w:r>
      <w:proofErr w:type="spellEnd"/>
      <w:r w:rsidRPr="00987D4E">
        <w:rPr>
          <w:rFonts w:asciiTheme="minorBidi" w:eastAsia="Times New Roman" w:hAnsiTheme="minorBidi"/>
          <w:sz w:val="24"/>
          <w:szCs w:val="24"/>
        </w:rPr>
        <w:t xml:space="preserve"> S, </w:t>
      </w:r>
      <w:proofErr w:type="spellStart"/>
      <w:r w:rsidRPr="00987D4E">
        <w:rPr>
          <w:rFonts w:asciiTheme="minorBidi" w:eastAsia="Times New Roman" w:hAnsiTheme="minorBidi"/>
          <w:sz w:val="24"/>
          <w:szCs w:val="24"/>
        </w:rPr>
        <w:t>Alloju</w:t>
      </w:r>
      <w:proofErr w:type="spellEnd"/>
      <w:r w:rsidRPr="00987D4E">
        <w:rPr>
          <w:rFonts w:asciiTheme="minorBidi" w:eastAsia="Times New Roman" w:hAnsiTheme="minorBidi"/>
          <w:sz w:val="24"/>
          <w:szCs w:val="24"/>
        </w:rPr>
        <w:t xml:space="preserve"> S, Henry RR. </w:t>
      </w:r>
      <w:hyperlink r:id="rId30" w:history="1">
        <w:r w:rsidRPr="00987D4E">
          <w:rPr>
            <w:rFonts w:asciiTheme="minorBidi" w:eastAsia="Times New Roman" w:hAnsiTheme="minorBidi"/>
            <w:sz w:val="24"/>
            <w:szCs w:val="24"/>
          </w:rPr>
          <w:t xml:space="preserve">Can a shift in fuel energetics explain the beneficial </w:t>
        </w:r>
        <w:proofErr w:type="spellStart"/>
        <w:r w:rsidRPr="00987D4E">
          <w:rPr>
            <w:rFonts w:asciiTheme="minorBidi" w:eastAsia="Times New Roman" w:hAnsiTheme="minorBidi"/>
            <w:sz w:val="24"/>
            <w:szCs w:val="24"/>
          </w:rPr>
          <w:t>cardiorenal</w:t>
        </w:r>
        <w:proofErr w:type="spellEnd"/>
        <w:r w:rsidRPr="00987D4E">
          <w:rPr>
            <w:rFonts w:asciiTheme="minorBidi" w:eastAsia="Times New Roman" w:hAnsiTheme="minorBidi"/>
            <w:sz w:val="24"/>
            <w:szCs w:val="24"/>
          </w:rPr>
          <w:t xml:space="preserve"> outcomes in the EMPA-REG OUTCOME study? A unifying hypothesis.</w:t>
        </w:r>
      </w:hyperlink>
      <w:r w:rsidRPr="00987D4E">
        <w:rPr>
          <w:rFonts w:asciiTheme="minorBidi" w:eastAsia="Times New Roman" w:hAnsiTheme="minorBidi"/>
          <w:sz w:val="24"/>
          <w:szCs w:val="24"/>
        </w:rPr>
        <w:t xml:space="preserve"> </w:t>
      </w:r>
      <w:r w:rsidRPr="00987D4E">
        <w:rPr>
          <w:rFonts w:asciiTheme="minorBidi" w:eastAsia="Times New Roman" w:hAnsiTheme="minorBidi"/>
          <w:i/>
          <w:iCs/>
          <w:sz w:val="24"/>
          <w:szCs w:val="24"/>
        </w:rPr>
        <w:t>Diabetes Care</w:t>
      </w:r>
      <w:r w:rsidRPr="00987D4E">
        <w:rPr>
          <w:rFonts w:asciiTheme="minorBidi" w:eastAsia="Times New Roman" w:hAnsiTheme="minorBidi"/>
          <w:sz w:val="24"/>
          <w:szCs w:val="24"/>
        </w:rPr>
        <w:t xml:space="preserve"> 2016</w:t>
      </w:r>
      <w:proofErr w:type="gramStart"/>
      <w:r w:rsidRPr="00987D4E">
        <w:rPr>
          <w:rFonts w:asciiTheme="minorBidi" w:eastAsia="Times New Roman" w:hAnsiTheme="minorBidi"/>
          <w:sz w:val="24"/>
          <w:szCs w:val="24"/>
        </w:rPr>
        <w:t>;39</w:t>
      </w:r>
      <w:proofErr w:type="gramEnd"/>
      <w:r w:rsidRPr="00987D4E">
        <w:rPr>
          <w:rFonts w:asciiTheme="minorBidi" w:eastAsia="Times New Roman" w:hAnsiTheme="minorBidi"/>
          <w:sz w:val="24"/>
          <w:szCs w:val="24"/>
        </w:rPr>
        <w:t>(7):1115-1122</w:t>
      </w:r>
      <w:r>
        <w:rPr>
          <w:rFonts w:asciiTheme="minorBidi" w:eastAsia="Times New Roman" w:hAnsiTheme="minorBidi"/>
          <w:sz w:val="24"/>
          <w:szCs w:val="24"/>
        </w:rPr>
        <w:t>.</w:t>
      </w:r>
    </w:p>
    <w:p w:rsidR="00D31581" w:rsidRPr="00987D4E" w:rsidRDefault="00D31581" w:rsidP="00D31581">
      <w:pPr>
        <w:pStyle w:val="ListParagraph"/>
        <w:shd w:val="clear" w:color="auto" w:fill="FFFFFF"/>
        <w:bidi w:val="0"/>
        <w:spacing w:before="120" w:after="360" w:line="360" w:lineRule="auto"/>
        <w:ind w:left="900"/>
        <w:rPr>
          <w:rFonts w:asciiTheme="minorBidi" w:eastAsia="Times New Roman" w:hAnsiTheme="minorBidi"/>
          <w:sz w:val="24"/>
          <w:szCs w:val="24"/>
        </w:rPr>
      </w:pPr>
    </w:p>
    <w:p w:rsidR="00D31581" w:rsidRPr="00987D4E" w:rsidRDefault="00D31581" w:rsidP="00D31581">
      <w:pPr>
        <w:pStyle w:val="ListParagraph"/>
        <w:numPr>
          <w:ilvl w:val="0"/>
          <w:numId w:val="1"/>
        </w:numPr>
        <w:shd w:val="clear" w:color="auto" w:fill="FFFFFF"/>
        <w:bidi w:val="0"/>
        <w:spacing w:before="120" w:after="360" w:line="360" w:lineRule="auto"/>
        <w:rPr>
          <w:rFonts w:asciiTheme="minorBidi" w:eastAsia="Times New Roman" w:hAnsiTheme="minorBidi"/>
          <w:sz w:val="24"/>
          <w:szCs w:val="24"/>
        </w:rPr>
      </w:pPr>
      <w:proofErr w:type="spellStart"/>
      <w:r w:rsidRPr="00987D4E">
        <w:rPr>
          <w:rFonts w:asciiTheme="minorBidi" w:eastAsia="Times New Roman" w:hAnsiTheme="minorBidi"/>
          <w:sz w:val="24"/>
          <w:szCs w:val="24"/>
        </w:rPr>
        <w:t>Vallon</w:t>
      </w:r>
      <w:proofErr w:type="spellEnd"/>
      <w:r w:rsidRPr="00987D4E">
        <w:rPr>
          <w:rFonts w:asciiTheme="minorBidi" w:eastAsia="Times New Roman" w:hAnsiTheme="minorBidi"/>
          <w:sz w:val="24"/>
          <w:szCs w:val="24"/>
        </w:rPr>
        <w:t xml:space="preserve"> V, Thomson CS. Targeting renal glucose reabsorption to treat </w:t>
      </w:r>
      <w:proofErr w:type="spellStart"/>
      <w:r w:rsidRPr="00987D4E">
        <w:rPr>
          <w:rFonts w:asciiTheme="minorBidi" w:eastAsia="Times New Roman" w:hAnsiTheme="minorBidi"/>
          <w:sz w:val="24"/>
          <w:szCs w:val="24"/>
        </w:rPr>
        <w:t>hyperglycaemia</w:t>
      </w:r>
      <w:proofErr w:type="spellEnd"/>
      <w:r w:rsidRPr="00987D4E">
        <w:rPr>
          <w:rFonts w:asciiTheme="minorBidi" w:eastAsia="Times New Roman" w:hAnsiTheme="minorBidi"/>
          <w:sz w:val="24"/>
          <w:szCs w:val="24"/>
        </w:rPr>
        <w:t xml:space="preserve">: the pleiotropic effects of SGLT2 inhibition.  </w:t>
      </w:r>
      <w:proofErr w:type="spellStart"/>
      <w:r w:rsidRPr="00987D4E">
        <w:rPr>
          <w:rFonts w:asciiTheme="minorBidi" w:eastAsia="Times New Roman" w:hAnsiTheme="minorBidi"/>
          <w:i/>
          <w:iCs/>
          <w:sz w:val="24"/>
          <w:szCs w:val="24"/>
        </w:rPr>
        <w:t>Diabetologia</w:t>
      </w:r>
      <w:proofErr w:type="spellEnd"/>
      <w:r w:rsidRPr="00987D4E">
        <w:rPr>
          <w:rFonts w:asciiTheme="minorBidi" w:eastAsia="Times New Roman" w:hAnsiTheme="minorBidi"/>
          <w:sz w:val="24"/>
          <w:szCs w:val="24"/>
        </w:rPr>
        <w:t xml:space="preserve"> 2017; 60:215–225</w:t>
      </w:r>
      <w:r>
        <w:rPr>
          <w:rFonts w:asciiTheme="minorBidi" w:eastAsia="Times New Roman" w:hAnsiTheme="minorBidi"/>
          <w:sz w:val="24"/>
          <w:szCs w:val="24"/>
        </w:rPr>
        <w:t>.</w:t>
      </w:r>
    </w:p>
    <w:p w:rsidR="00D31581" w:rsidRPr="00987D4E" w:rsidRDefault="00D31581" w:rsidP="00D31581">
      <w:pPr>
        <w:pStyle w:val="ListParagraph"/>
        <w:shd w:val="clear" w:color="auto" w:fill="FFFFFF"/>
        <w:bidi w:val="0"/>
        <w:spacing w:before="120" w:after="360" w:line="360" w:lineRule="auto"/>
        <w:rPr>
          <w:rFonts w:asciiTheme="minorBidi" w:eastAsia="Times New Roman" w:hAnsiTheme="minorBidi"/>
          <w:sz w:val="24"/>
          <w:szCs w:val="24"/>
        </w:rPr>
      </w:pPr>
    </w:p>
    <w:p w:rsidR="00D31581" w:rsidRPr="00987D4E" w:rsidRDefault="009A1753" w:rsidP="00D31581">
      <w:pPr>
        <w:pStyle w:val="ListParagraph"/>
        <w:numPr>
          <w:ilvl w:val="0"/>
          <w:numId w:val="1"/>
        </w:numPr>
        <w:shd w:val="clear" w:color="auto" w:fill="FFFFFF"/>
        <w:bidi w:val="0"/>
        <w:spacing w:before="120" w:after="360" w:line="360" w:lineRule="auto"/>
        <w:rPr>
          <w:rFonts w:asciiTheme="minorBidi" w:hAnsiTheme="minorBidi"/>
          <w:sz w:val="24"/>
          <w:szCs w:val="24"/>
        </w:rPr>
      </w:pPr>
      <w:hyperlink r:id="rId31" w:history="1">
        <w:proofErr w:type="spellStart"/>
        <w:r w:rsidR="00D31581" w:rsidRPr="00987D4E">
          <w:rPr>
            <w:rFonts w:asciiTheme="minorBidi" w:eastAsia="Times New Roman" w:hAnsiTheme="minorBidi"/>
            <w:sz w:val="24"/>
            <w:szCs w:val="24"/>
          </w:rPr>
          <w:t>Heerspink</w:t>
        </w:r>
        <w:proofErr w:type="spellEnd"/>
        <w:r w:rsidR="00D31581" w:rsidRPr="00987D4E">
          <w:rPr>
            <w:rFonts w:asciiTheme="minorBidi" w:eastAsia="Times New Roman" w:hAnsiTheme="minorBidi"/>
            <w:sz w:val="24"/>
            <w:szCs w:val="24"/>
          </w:rPr>
          <w:t xml:space="preserve"> HJ</w:t>
        </w:r>
      </w:hyperlink>
      <w:r w:rsidR="00D31581" w:rsidRPr="00987D4E">
        <w:rPr>
          <w:rFonts w:asciiTheme="minorBidi" w:eastAsia="Times New Roman" w:hAnsiTheme="minorBidi"/>
          <w:sz w:val="24"/>
          <w:szCs w:val="24"/>
        </w:rPr>
        <w:t xml:space="preserve">, </w:t>
      </w:r>
      <w:hyperlink r:id="rId32" w:history="1">
        <w:r w:rsidR="00D31581" w:rsidRPr="00987D4E">
          <w:rPr>
            <w:rFonts w:asciiTheme="minorBidi" w:eastAsia="Times New Roman" w:hAnsiTheme="minorBidi"/>
            <w:sz w:val="24"/>
            <w:szCs w:val="24"/>
          </w:rPr>
          <w:t>Perkins BA</w:t>
        </w:r>
      </w:hyperlink>
      <w:r w:rsidR="00D31581" w:rsidRPr="00987D4E">
        <w:rPr>
          <w:rFonts w:asciiTheme="minorBidi" w:eastAsia="Times New Roman" w:hAnsiTheme="minorBidi"/>
          <w:sz w:val="24"/>
          <w:szCs w:val="24"/>
        </w:rPr>
        <w:t xml:space="preserve">, </w:t>
      </w:r>
      <w:hyperlink r:id="rId33" w:history="1">
        <w:r w:rsidR="00D31581" w:rsidRPr="00987D4E">
          <w:rPr>
            <w:rFonts w:asciiTheme="minorBidi" w:eastAsia="Times New Roman" w:hAnsiTheme="minorBidi"/>
            <w:sz w:val="24"/>
            <w:szCs w:val="24"/>
          </w:rPr>
          <w:t>Fitchett DH</w:t>
        </w:r>
      </w:hyperlink>
      <w:r w:rsidR="00D31581" w:rsidRPr="00987D4E">
        <w:rPr>
          <w:rFonts w:asciiTheme="minorBidi" w:eastAsia="Times New Roman" w:hAnsiTheme="minorBidi"/>
          <w:sz w:val="24"/>
          <w:szCs w:val="24"/>
        </w:rPr>
        <w:t>, et al.</w:t>
      </w:r>
      <w:r w:rsidR="00D31581" w:rsidRPr="00987D4E">
        <w:rPr>
          <w:rFonts w:asciiTheme="minorBidi" w:hAnsiTheme="minorBidi"/>
          <w:sz w:val="24"/>
          <w:szCs w:val="24"/>
        </w:rPr>
        <w:t xml:space="preserve"> </w:t>
      </w:r>
      <w:r w:rsidR="00D31581" w:rsidRPr="00987D4E">
        <w:rPr>
          <w:rFonts w:asciiTheme="minorBidi" w:eastAsia="Times New Roman" w:hAnsiTheme="minorBidi"/>
          <w:color w:val="000000"/>
          <w:kern w:val="36"/>
          <w:sz w:val="24"/>
          <w:szCs w:val="24"/>
        </w:rPr>
        <w:t xml:space="preserve">Sodium Glucose Cotransporter 2 Inhibitors in the Treatment of Diabetes Mellitus: </w:t>
      </w:r>
      <w:r w:rsidR="00D31581" w:rsidRPr="00987D4E">
        <w:rPr>
          <w:rFonts w:asciiTheme="minorBidi" w:eastAsia="Times New Roman" w:hAnsiTheme="minorBidi"/>
          <w:kern w:val="36"/>
          <w:sz w:val="24"/>
          <w:szCs w:val="24"/>
        </w:rPr>
        <w:t>Cardiovascular and Kidney Effects, Potential Mechanisms, and Clinical Applications.</w:t>
      </w:r>
      <w:r w:rsidR="00D31581" w:rsidRPr="00987D4E">
        <w:rPr>
          <w:rFonts w:asciiTheme="minorBidi" w:eastAsia="Times New Roman" w:hAnsiTheme="minorBidi"/>
          <w:sz w:val="24"/>
          <w:szCs w:val="24"/>
        </w:rPr>
        <w:t xml:space="preserve"> </w:t>
      </w:r>
      <w:hyperlink r:id="rId34" w:tooltip="Circulation." w:history="1">
        <w:r w:rsidR="00D31581" w:rsidRPr="00987D4E">
          <w:rPr>
            <w:rFonts w:asciiTheme="minorBidi" w:eastAsia="Times New Roman" w:hAnsiTheme="minorBidi"/>
            <w:i/>
            <w:iCs/>
            <w:sz w:val="24"/>
            <w:szCs w:val="24"/>
          </w:rPr>
          <w:t>Circulation</w:t>
        </w:r>
      </w:hyperlink>
      <w:r w:rsidR="00D31581" w:rsidRPr="00987D4E">
        <w:rPr>
          <w:rFonts w:asciiTheme="minorBidi" w:eastAsia="Times New Roman" w:hAnsiTheme="minorBidi"/>
          <w:sz w:val="24"/>
          <w:szCs w:val="24"/>
        </w:rPr>
        <w:t xml:space="preserve"> 2016</w:t>
      </w:r>
      <w:proofErr w:type="gramStart"/>
      <w:r w:rsidR="00D31581" w:rsidRPr="00987D4E">
        <w:rPr>
          <w:rFonts w:asciiTheme="minorBidi" w:eastAsia="Times New Roman" w:hAnsiTheme="minorBidi"/>
          <w:sz w:val="24"/>
          <w:szCs w:val="24"/>
        </w:rPr>
        <w:t>;134</w:t>
      </w:r>
      <w:proofErr w:type="gramEnd"/>
      <w:r w:rsidR="00D31581" w:rsidRPr="00987D4E">
        <w:rPr>
          <w:rFonts w:asciiTheme="minorBidi" w:eastAsia="Times New Roman" w:hAnsiTheme="minorBidi"/>
          <w:sz w:val="24"/>
          <w:szCs w:val="24"/>
        </w:rPr>
        <w:t>(10):752-772</w:t>
      </w:r>
      <w:r w:rsidR="00D31581">
        <w:rPr>
          <w:rFonts w:asciiTheme="minorBidi" w:eastAsia="Times New Roman" w:hAnsiTheme="minorBidi"/>
          <w:sz w:val="24"/>
          <w:szCs w:val="24"/>
        </w:rPr>
        <w:t>.</w:t>
      </w:r>
      <w:r w:rsidR="00D31581" w:rsidRPr="00987D4E">
        <w:rPr>
          <w:rFonts w:asciiTheme="minorBidi" w:eastAsia="Times New Roman" w:hAnsiTheme="minorBidi"/>
          <w:sz w:val="24"/>
          <w:szCs w:val="24"/>
        </w:rPr>
        <w:t xml:space="preserve"> </w:t>
      </w:r>
    </w:p>
    <w:p w:rsidR="00D31581" w:rsidRPr="00987D4E" w:rsidRDefault="00D31581" w:rsidP="00D31581">
      <w:pPr>
        <w:pStyle w:val="ListParagraph"/>
        <w:rPr>
          <w:rFonts w:asciiTheme="minorBidi" w:hAnsiTheme="minorBidi"/>
          <w:sz w:val="24"/>
          <w:szCs w:val="24"/>
        </w:rPr>
      </w:pPr>
    </w:p>
    <w:p w:rsidR="00D31581" w:rsidRPr="00987D4E" w:rsidRDefault="00D31581" w:rsidP="00D31581">
      <w:pPr>
        <w:pStyle w:val="Heading1"/>
        <w:numPr>
          <w:ilvl w:val="0"/>
          <w:numId w:val="1"/>
        </w:numPr>
        <w:shd w:val="clear" w:color="auto" w:fill="FFFFFF"/>
        <w:spacing w:before="120" w:after="360" w:line="360" w:lineRule="auto"/>
        <w:ind w:right="2"/>
        <w:rPr>
          <w:rFonts w:asciiTheme="minorBidi" w:hAnsiTheme="minorBidi" w:cstheme="minorBidi"/>
          <w:b w:val="0"/>
          <w:bCs w:val="0"/>
          <w:color w:val="auto"/>
          <w:sz w:val="24"/>
          <w:szCs w:val="24"/>
        </w:rPr>
      </w:pPr>
      <w:r w:rsidRPr="00987D4E">
        <w:rPr>
          <w:rFonts w:asciiTheme="minorBidi" w:hAnsiTheme="minorBidi" w:cstheme="minorBidi"/>
          <w:b w:val="0"/>
          <w:bCs w:val="0"/>
          <w:sz w:val="24"/>
          <w:szCs w:val="24"/>
        </w:rPr>
        <w:t xml:space="preserve">Fletcher B, Gheorghe A, Moore D, et al. </w:t>
      </w:r>
      <w:hyperlink r:id="rId35" w:history="1">
        <w:proofErr w:type="gramStart"/>
        <w:r w:rsidRPr="00987D4E">
          <w:rPr>
            <w:rFonts w:asciiTheme="minorBidi" w:hAnsiTheme="minorBidi" w:cstheme="minorBidi"/>
            <w:b w:val="0"/>
            <w:bCs w:val="0"/>
            <w:color w:val="auto"/>
            <w:sz w:val="24"/>
            <w:szCs w:val="24"/>
          </w:rPr>
          <w:t>Improving</w:t>
        </w:r>
        <w:proofErr w:type="gramEnd"/>
        <w:r w:rsidRPr="00987D4E">
          <w:rPr>
            <w:rFonts w:asciiTheme="minorBidi" w:hAnsiTheme="minorBidi" w:cstheme="minorBidi"/>
            <w:b w:val="0"/>
            <w:bCs w:val="0"/>
            <w:color w:val="auto"/>
            <w:sz w:val="24"/>
            <w:szCs w:val="24"/>
          </w:rPr>
          <w:t xml:space="preserve"> the recruitment activity of clinicians in </w:t>
        </w:r>
        <w:proofErr w:type="spellStart"/>
        <w:r w:rsidRPr="00987D4E">
          <w:rPr>
            <w:rFonts w:asciiTheme="minorBidi" w:hAnsiTheme="minorBidi" w:cstheme="minorBidi"/>
            <w:b w:val="0"/>
            <w:bCs w:val="0"/>
            <w:color w:val="auto"/>
            <w:sz w:val="24"/>
            <w:szCs w:val="24"/>
          </w:rPr>
          <w:t>randomised</w:t>
        </w:r>
        <w:proofErr w:type="spellEnd"/>
        <w:r w:rsidRPr="00987D4E">
          <w:rPr>
            <w:rFonts w:asciiTheme="minorBidi" w:hAnsiTheme="minorBidi" w:cstheme="minorBidi"/>
            <w:b w:val="0"/>
            <w:bCs w:val="0"/>
            <w:color w:val="auto"/>
            <w:sz w:val="24"/>
            <w:szCs w:val="24"/>
          </w:rPr>
          <w:t xml:space="preserve"> controlled trials: a systematic review.</w:t>
        </w:r>
      </w:hyperlink>
      <w:r w:rsidRPr="00987D4E">
        <w:rPr>
          <w:rStyle w:val="jrnl"/>
          <w:rFonts w:asciiTheme="minorBidi" w:hAnsiTheme="minorBidi" w:cstheme="minorBidi"/>
          <w:b w:val="0"/>
          <w:bCs w:val="0"/>
          <w:color w:val="auto"/>
          <w:sz w:val="24"/>
          <w:szCs w:val="24"/>
        </w:rPr>
        <w:t xml:space="preserve"> </w:t>
      </w:r>
      <w:r w:rsidRPr="00987D4E">
        <w:rPr>
          <w:rStyle w:val="jrnl"/>
          <w:rFonts w:asciiTheme="minorBidi" w:hAnsiTheme="minorBidi" w:cstheme="minorBidi"/>
          <w:b w:val="0"/>
          <w:bCs w:val="0"/>
          <w:i/>
          <w:iCs/>
          <w:color w:val="auto"/>
          <w:sz w:val="24"/>
          <w:szCs w:val="24"/>
        </w:rPr>
        <w:t>BMJ Open</w:t>
      </w:r>
      <w:r w:rsidRPr="00987D4E">
        <w:rPr>
          <w:rFonts w:asciiTheme="minorBidi" w:hAnsiTheme="minorBidi" w:cstheme="minorBidi"/>
          <w:b w:val="0"/>
          <w:bCs w:val="0"/>
          <w:color w:val="auto"/>
          <w:sz w:val="24"/>
          <w:szCs w:val="24"/>
        </w:rPr>
        <w:t xml:space="preserve"> 2012</w:t>
      </w:r>
      <w:r>
        <w:rPr>
          <w:rFonts w:asciiTheme="minorBidi" w:hAnsiTheme="minorBidi" w:cstheme="minorBidi"/>
          <w:b w:val="0"/>
          <w:bCs w:val="0"/>
          <w:color w:val="auto"/>
          <w:sz w:val="24"/>
          <w:szCs w:val="24"/>
        </w:rPr>
        <w:t>;</w:t>
      </w:r>
      <w:r w:rsidRPr="00987D4E">
        <w:rPr>
          <w:rFonts w:asciiTheme="minorBidi" w:hAnsiTheme="minorBidi" w:cstheme="minorBidi"/>
          <w:b w:val="0"/>
          <w:bCs w:val="0"/>
          <w:color w:val="auto"/>
          <w:sz w:val="24"/>
          <w:szCs w:val="24"/>
        </w:rPr>
        <w:t xml:space="preserve"> 6</w:t>
      </w:r>
      <w:proofErr w:type="gramStart"/>
      <w:r w:rsidRPr="00987D4E">
        <w:rPr>
          <w:rFonts w:asciiTheme="minorBidi" w:hAnsiTheme="minorBidi" w:cstheme="minorBidi"/>
          <w:b w:val="0"/>
          <w:bCs w:val="0"/>
          <w:color w:val="auto"/>
          <w:sz w:val="24"/>
          <w:szCs w:val="24"/>
        </w:rPr>
        <w:t>;2</w:t>
      </w:r>
      <w:proofErr w:type="gramEnd"/>
      <w:r w:rsidRPr="00987D4E">
        <w:rPr>
          <w:rFonts w:asciiTheme="minorBidi" w:hAnsiTheme="minorBidi" w:cstheme="minorBidi"/>
          <w:b w:val="0"/>
          <w:bCs w:val="0"/>
          <w:color w:val="auto"/>
          <w:sz w:val="24"/>
          <w:szCs w:val="24"/>
        </w:rPr>
        <w:t>(1):e000496</w:t>
      </w:r>
      <w:r>
        <w:rPr>
          <w:rFonts w:asciiTheme="minorBidi" w:hAnsiTheme="minorBidi" w:cstheme="minorBidi"/>
          <w:b w:val="0"/>
          <w:bCs w:val="0"/>
          <w:color w:val="auto"/>
          <w:sz w:val="24"/>
          <w:szCs w:val="24"/>
        </w:rPr>
        <w:t>.</w:t>
      </w:r>
    </w:p>
    <w:p w:rsidR="00D31581" w:rsidRPr="00987D4E" w:rsidRDefault="00D31581" w:rsidP="00D31581">
      <w:pPr>
        <w:pStyle w:val="ListParagraph"/>
        <w:shd w:val="clear" w:color="auto" w:fill="FFFFFF"/>
        <w:bidi w:val="0"/>
        <w:spacing w:before="120" w:after="360" w:line="360" w:lineRule="auto"/>
        <w:ind w:left="900"/>
        <w:rPr>
          <w:rFonts w:asciiTheme="minorBidi" w:hAnsiTheme="minorBidi"/>
          <w:sz w:val="24"/>
          <w:szCs w:val="24"/>
        </w:rPr>
      </w:pPr>
    </w:p>
    <w:p w:rsidR="00D31581" w:rsidRPr="006358E9" w:rsidRDefault="00D31581" w:rsidP="00D31581">
      <w:pPr>
        <w:pStyle w:val="ListParagraph"/>
        <w:numPr>
          <w:ilvl w:val="0"/>
          <w:numId w:val="1"/>
        </w:numPr>
        <w:shd w:val="clear" w:color="auto" w:fill="FFFFFF"/>
        <w:bidi w:val="0"/>
        <w:spacing w:before="120" w:after="360" w:line="360" w:lineRule="auto"/>
        <w:rPr>
          <w:rFonts w:asciiTheme="minorBidi" w:hAnsiTheme="minorBidi"/>
          <w:sz w:val="24"/>
          <w:szCs w:val="24"/>
        </w:rPr>
      </w:pPr>
      <w:r w:rsidRPr="00987D4E">
        <w:rPr>
          <w:rFonts w:asciiTheme="minorBidi" w:hAnsiTheme="minorBidi"/>
          <w:sz w:val="24"/>
          <w:szCs w:val="24"/>
        </w:rPr>
        <w:t xml:space="preserve"> </w:t>
      </w:r>
      <w:hyperlink r:id="rId36" w:history="1">
        <w:proofErr w:type="spellStart"/>
        <w:r w:rsidRPr="00987D4E">
          <w:rPr>
            <w:rFonts w:asciiTheme="minorBidi" w:hAnsiTheme="minorBidi"/>
            <w:sz w:val="24"/>
            <w:szCs w:val="24"/>
          </w:rPr>
          <w:t>Piepoli</w:t>
        </w:r>
        <w:proofErr w:type="spellEnd"/>
        <w:r w:rsidRPr="00987D4E">
          <w:rPr>
            <w:rFonts w:asciiTheme="minorBidi" w:hAnsiTheme="minorBidi"/>
            <w:sz w:val="24"/>
            <w:szCs w:val="24"/>
          </w:rPr>
          <w:t xml:space="preserve"> MF</w:t>
        </w:r>
      </w:hyperlink>
      <w:r w:rsidRPr="00987D4E">
        <w:rPr>
          <w:rFonts w:asciiTheme="minorBidi" w:hAnsiTheme="minorBidi"/>
          <w:sz w:val="24"/>
          <w:szCs w:val="24"/>
        </w:rPr>
        <w:t xml:space="preserve">, </w:t>
      </w:r>
      <w:hyperlink r:id="rId37" w:history="1">
        <w:r w:rsidRPr="00987D4E">
          <w:rPr>
            <w:rFonts w:asciiTheme="minorBidi" w:hAnsiTheme="minorBidi"/>
            <w:sz w:val="24"/>
            <w:szCs w:val="24"/>
          </w:rPr>
          <w:t>Hoes AW</w:t>
        </w:r>
      </w:hyperlink>
      <w:r w:rsidRPr="00987D4E">
        <w:rPr>
          <w:rFonts w:asciiTheme="minorBidi" w:hAnsiTheme="minorBidi"/>
          <w:sz w:val="24"/>
          <w:szCs w:val="24"/>
        </w:rPr>
        <w:t xml:space="preserve">, </w:t>
      </w:r>
      <w:hyperlink r:id="rId38" w:history="1">
        <w:proofErr w:type="spellStart"/>
        <w:r w:rsidRPr="00987D4E">
          <w:rPr>
            <w:rFonts w:asciiTheme="minorBidi" w:hAnsiTheme="minorBidi"/>
            <w:sz w:val="24"/>
            <w:szCs w:val="24"/>
          </w:rPr>
          <w:t>Agewall</w:t>
        </w:r>
        <w:proofErr w:type="spellEnd"/>
        <w:r w:rsidRPr="00987D4E">
          <w:rPr>
            <w:rFonts w:asciiTheme="minorBidi" w:hAnsiTheme="minorBidi"/>
            <w:sz w:val="24"/>
            <w:szCs w:val="24"/>
          </w:rPr>
          <w:t xml:space="preserve"> S</w:t>
        </w:r>
      </w:hyperlink>
      <w:r w:rsidRPr="00987D4E">
        <w:rPr>
          <w:rFonts w:asciiTheme="minorBidi" w:hAnsiTheme="minorBidi"/>
          <w:sz w:val="24"/>
          <w:szCs w:val="24"/>
        </w:rPr>
        <w:t xml:space="preserve">, et al, </w:t>
      </w:r>
      <w:r w:rsidRPr="00987D4E">
        <w:rPr>
          <w:rStyle w:val="highlight2"/>
          <w:rFonts w:asciiTheme="minorBidi" w:hAnsiTheme="minorBidi"/>
          <w:sz w:val="24"/>
          <w:szCs w:val="24"/>
        </w:rPr>
        <w:t>2016</w:t>
      </w:r>
      <w:r w:rsidRPr="00987D4E">
        <w:rPr>
          <w:rFonts w:asciiTheme="minorBidi" w:hAnsiTheme="minorBidi"/>
          <w:sz w:val="24"/>
          <w:szCs w:val="24"/>
        </w:rPr>
        <w:t xml:space="preserve"> European Guidelines on cardiovascular disease prevention in clinical practice: The Sixth Joint Task Force of the European Society of Cardiology and Other Societies on Cardiovascular Disease Prevention in Clinical Practice (constituted by representatives of 10 societies and by invited experts)Developed with the special contribution of the European Association for Cardiovascular Prevention &amp; Rehabilitation (EACPR).</w:t>
      </w:r>
      <w:proofErr w:type="spellStart"/>
      <w:r w:rsidRPr="00987D4E">
        <w:rPr>
          <w:rFonts w:asciiTheme="minorBidi" w:hAnsiTheme="minorBidi"/>
          <w:i/>
          <w:iCs/>
          <w:sz w:val="24"/>
          <w:szCs w:val="24"/>
        </w:rPr>
        <w:t>Eur</w:t>
      </w:r>
      <w:proofErr w:type="spellEnd"/>
      <w:r w:rsidRPr="00987D4E">
        <w:rPr>
          <w:rFonts w:asciiTheme="minorBidi" w:hAnsiTheme="minorBidi"/>
          <w:i/>
          <w:iCs/>
          <w:sz w:val="24"/>
          <w:szCs w:val="24"/>
        </w:rPr>
        <w:t xml:space="preserve"> Heart J</w:t>
      </w:r>
      <w:r w:rsidRPr="00E01E3E">
        <w:rPr>
          <w:rFonts w:asciiTheme="minorBidi" w:hAnsiTheme="minorBidi"/>
          <w:sz w:val="24"/>
          <w:szCs w:val="24"/>
        </w:rPr>
        <w:t xml:space="preserve"> 2016;37(29):2315-</w:t>
      </w:r>
      <w:r w:rsidRPr="006358E9">
        <w:rPr>
          <w:rFonts w:asciiTheme="minorBidi" w:hAnsiTheme="minorBidi"/>
          <w:sz w:val="24"/>
          <w:szCs w:val="24"/>
        </w:rPr>
        <w:t>2381</w:t>
      </w:r>
      <w:r>
        <w:rPr>
          <w:rFonts w:asciiTheme="minorBidi" w:hAnsiTheme="minorBidi"/>
          <w:sz w:val="24"/>
          <w:szCs w:val="24"/>
        </w:rPr>
        <w:t>.</w:t>
      </w:r>
    </w:p>
    <w:p w:rsidR="00D31581" w:rsidRPr="006358E9" w:rsidRDefault="00D31581" w:rsidP="00D31581">
      <w:pPr>
        <w:pStyle w:val="ListParagraph"/>
        <w:shd w:val="clear" w:color="auto" w:fill="FFFFFF"/>
        <w:bidi w:val="0"/>
        <w:spacing w:before="120" w:after="360" w:line="360" w:lineRule="auto"/>
        <w:ind w:left="900"/>
        <w:rPr>
          <w:rFonts w:asciiTheme="minorBidi" w:hAnsiTheme="minorBidi"/>
          <w:sz w:val="24"/>
          <w:szCs w:val="24"/>
        </w:rPr>
      </w:pPr>
    </w:p>
    <w:p w:rsidR="00D31581" w:rsidRPr="00987D4E" w:rsidRDefault="00D31581" w:rsidP="00D31581">
      <w:pPr>
        <w:bidi w:val="0"/>
        <w:rPr>
          <w:rFonts w:asciiTheme="minorBidi" w:eastAsia="Times New Roman" w:hAnsiTheme="minorBidi"/>
          <w:sz w:val="24"/>
          <w:szCs w:val="24"/>
        </w:rPr>
      </w:pPr>
    </w:p>
    <w:p w:rsidR="00D31581" w:rsidRPr="00987D4E" w:rsidRDefault="00D31581" w:rsidP="00D31581">
      <w:pPr>
        <w:bidi w:val="0"/>
        <w:rPr>
          <w:rFonts w:asciiTheme="minorBidi" w:eastAsia="Times New Roman" w:hAnsiTheme="minorBidi"/>
          <w:sz w:val="24"/>
          <w:szCs w:val="24"/>
        </w:rPr>
      </w:pPr>
    </w:p>
    <w:p w:rsidR="00D31581" w:rsidRPr="00987D4E" w:rsidRDefault="00D31581" w:rsidP="00D31581">
      <w:pPr>
        <w:bidi w:val="0"/>
        <w:rPr>
          <w:rFonts w:asciiTheme="minorBidi" w:eastAsia="Times New Roman" w:hAnsiTheme="minorBidi"/>
          <w:sz w:val="24"/>
          <w:szCs w:val="24"/>
        </w:rPr>
      </w:pPr>
    </w:p>
    <w:p w:rsidR="00D31581" w:rsidRPr="00987D4E" w:rsidRDefault="00D31581" w:rsidP="00D31581">
      <w:pPr>
        <w:bidi w:val="0"/>
        <w:rPr>
          <w:rFonts w:asciiTheme="minorBidi" w:eastAsia="Times New Roman" w:hAnsiTheme="minorBidi"/>
          <w:sz w:val="24"/>
          <w:szCs w:val="24"/>
        </w:rPr>
      </w:pPr>
    </w:p>
    <w:p w:rsidR="00D31581" w:rsidRPr="00987D4E" w:rsidRDefault="00D31581" w:rsidP="00D31581">
      <w:pPr>
        <w:bidi w:val="0"/>
        <w:rPr>
          <w:rFonts w:asciiTheme="minorBidi" w:eastAsia="Times New Roman" w:hAnsiTheme="minorBidi"/>
          <w:sz w:val="24"/>
          <w:szCs w:val="24"/>
        </w:rPr>
      </w:pPr>
    </w:p>
    <w:p w:rsidR="00D31581" w:rsidRPr="00C67C28" w:rsidRDefault="00D31581" w:rsidP="00D31581">
      <w:pPr>
        <w:pStyle w:val="para"/>
        <w:rPr>
          <w:rFonts w:ascii="Arial" w:hAnsi="Arial" w:cs="Arial"/>
          <w:color w:val="333333"/>
        </w:rPr>
      </w:pPr>
      <w:r w:rsidRPr="00C67C28">
        <w:rPr>
          <w:rFonts w:ascii="Arial" w:hAnsi="Arial" w:cs="Arial"/>
          <w:b/>
          <w:bCs/>
          <w:color w:val="000000"/>
        </w:rPr>
        <w:t>Author Contributions</w:t>
      </w:r>
      <w:r>
        <w:rPr>
          <w:rFonts w:ascii="Arial" w:hAnsi="Arial" w:cs="Arial"/>
          <w:b/>
          <w:bCs/>
          <w:color w:val="000000"/>
        </w:rPr>
        <w:t>:</w:t>
      </w:r>
      <w:r w:rsidRPr="00C67C28">
        <w:rPr>
          <w:rFonts w:ascii="Arial" w:hAnsi="Arial" w:cs="Arial"/>
          <w:color w:val="333333"/>
          <w:rtl/>
        </w:rPr>
        <w:t xml:space="preserve"> </w:t>
      </w:r>
    </w:p>
    <w:p w:rsidR="00D31581" w:rsidRPr="00C67C28" w:rsidRDefault="00D31581" w:rsidP="00D31581">
      <w:pPr>
        <w:pStyle w:val="para"/>
        <w:rPr>
          <w:rFonts w:ascii="Arial" w:hAnsi="Arial" w:cs="Arial"/>
          <w:color w:val="333333"/>
        </w:rPr>
      </w:pPr>
      <w:r w:rsidRPr="00C67C28">
        <w:rPr>
          <w:rFonts w:ascii="Arial" w:hAnsi="Arial" w:cs="Arial"/>
          <w:color w:val="333333"/>
        </w:rPr>
        <w:t xml:space="preserve">IR and OM had full access to all of the data in the study and take responsibility for the integrity of the data and the accuracy of the data analysis. </w:t>
      </w:r>
      <w:proofErr w:type="spellStart"/>
      <w:r w:rsidRPr="00C67C28">
        <w:rPr>
          <w:rFonts w:ascii="Arial" w:hAnsi="Arial" w:cs="Arial"/>
          <w:color w:val="333333"/>
        </w:rPr>
        <w:t>Drs</w:t>
      </w:r>
      <w:proofErr w:type="spellEnd"/>
      <w:r w:rsidRPr="00C67C28">
        <w:rPr>
          <w:rFonts w:ascii="Arial" w:hAnsi="Arial" w:cs="Arial"/>
          <w:color w:val="333333"/>
        </w:rPr>
        <w:t xml:space="preserve"> </w:t>
      </w:r>
      <w:proofErr w:type="spellStart"/>
      <w:r w:rsidRPr="00C67C28">
        <w:rPr>
          <w:rFonts w:ascii="Arial" w:hAnsi="Arial" w:cs="Arial"/>
          <w:color w:val="333333"/>
        </w:rPr>
        <w:t>Raz</w:t>
      </w:r>
      <w:proofErr w:type="spellEnd"/>
      <w:r w:rsidRPr="00C67C28">
        <w:rPr>
          <w:rFonts w:ascii="Arial" w:hAnsi="Arial" w:cs="Arial"/>
          <w:color w:val="333333"/>
        </w:rPr>
        <w:t xml:space="preserve"> and </w:t>
      </w:r>
      <w:proofErr w:type="spellStart"/>
      <w:r w:rsidRPr="00C67C28">
        <w:rPr>
          <w:rFonts w:ascii="Arial" w:hAnsi="Arial" w:cs="Arial"/>
          <w:color w:val="333333"/>
        </w:rPr>
        <w:t>Mosenzon</w:t>
      </w:r>
      <w:proofErr w:type="spellEnd"/>
      <w:r w:rsidRPr="00C67C28">
        <w:rPr>
          <w:rFonts w:ascii="Arial" w:hAnsi="Arial" w:cs="Arial"/>
          <w:color w:val="333333"/>
        </w:rPr>
        <w:t xml:space="preserve"> served as co-first authors and contributed equally to the work</w:t>
      </w:r>
      <w:r w:rsidRPr="00C67C28">
        <w:rPr>
          <w:rFonts w:ascii="Arial" w:hAnsi="Arial" w:cs="Arial"/>
          <w:color w:val="333333"/>
          <w:rtl/>
        </w:rPr>
        <w:t>.</w:t>
      </w:r>
    </w:p>
    <w:p w:rsidR="00D31581" w:rsidRPr="00C67C28" w:rsidRDefault="00D31581" w:rsidP="00D31581">
      <w:pPr>
        <w:pStyle w:val="para"/>
        <w:rPr>
          <w:rFonts w:ascii="Arial" w:hAnsi="Arial" w:cs="Arial"/>
          <w:i/>
          <w:iCs/>
          <w:color w:val="333333"/>
          <w:rtl/>
        </w:rPr>
      </w:pPr>
      <w:r w:rsidRPr="00C67C28">
        <w:rPr>
          <w:rFonts w:ascii="Arial" w:hAnsi="Arial" w:cs="Arial"/>
          <w:i/>
          <w:iCs/>
          <w:color w:val="333333"/>
        </w:rPr>
        <w:t>Study concept and design</w:t>
      </w:r>
      <w:r w:rsidRPr="00C67C28">
        <w:rPr>
          <w:rFonts w:ascii="Arial" w:hAnsi="Arial" w:cs="Arial"/>
          <w:i/>
          <w:iCs/>
          <w:color w:val="333333"/>
          <w:rtl/>
        </w:rPr>
        <w:t xml:space="preserve">: </w:t>
      </w:r>
      <w:r w:rsidRPr="00C67C28">
        <w:rPr>
          <w:rFonts w:ascii="Arial" w:hAnsi="Arial" w:cs="Arial"/>
          <w:i/>
          <w:iCs/>
          <w:color w:val="333333"/>
        </w:rPr>
        <w:t>IR, OM, DLB, LAL, DKM, JW</w:t>
      </w:r>
      <w:proofErr w:type="gramStart"/>
      <w:r w:rsidRPr="00C67C28">
        <w:rPr>
          <w:rFonts w:ascii="Arial" w:hAnsi="Arial" w:cs="Arial"/>
          <w:i/>
          <w:iCs/>
          <w:color w:val="333333"/>
        </w:rPr>
        <w:t>,IAMG</w:t>
      </w:r>
      <w:proofErr w:type="gramEnd"/>
      <w:r w:rsidRPr="00C67C28">
        <w:rPr>
          <w:rFonts w:ascii="Arial" w:hAnsi="Arial" w:cs="Arial"/>
          <w:i/>
          <w:iCs/>
          <w:color w:val="333333"/>
        </w:rPr>
        <w:t>-N, AML, PAJ, MSS, SDW</w:t>
      </w:r>
    </w:p>
    <w:p w:rsidR="00D31581" w:rsidRPr="00C67C28" w:rsidRDefault="00D31581" w:rsidP="00D31581">
      <w:pPr>
        <w:pStyle w:val="para"/>
        <w:rPr>
          <w:rFonts w:ascii="Arial" w:hAnsi="Arial" w:cs="Arial"/>
          <w:color w:val="333333"/>
        </w:rPr>
      </w:pPr>
      <w:r w:rsidRPr="00C67C28">
        <w:rPr>
          <w:rFonts w:ascii="Arial" w:hAnsi="Arial" w:cs="Arial"/>
          <w:i/>
          <w:iCs/>
          <w:color w:val="333333"/>
        </w:rPr>
        <w:t xml:space="preserve">Conduct/data </w:t>
      </w:r>
      <w:proofErr w:type="spellStart"/>
      <w:r w:rsidRPr="00C67C28">
        <w:rPr>
          <w:rFonts w:ascii="Arial" w:hAnsi="Arial" w:cs="Arial"/>
          <w:i/>
          <w:iCs/>
          <w:color w:val="333333"/>
        </w:rPr>
        <w:t>collection</w:t>
      </w:r>
      <w:proofErr w:type="gramStart"/>
      <w:r w:rsidRPr="00C67C28">
        <w:rPr>
          <w:rFonts w:ascii="Arial" w:hAnsi="Arial" w:cs="Arial"/>
          <w:i/>
          <w:iCs/>
          <w:color w:val="333333"/>
        </w:rPr>
        <w:t>:IR</w:t>
      </w:r>
      <w:proofErr w:type="spellEnd"/>
      <w:proofErr w:type="gramEnd"/>
      <w:r w:rsidRPr="00C67C28">
        <w:rPr>
          <w:rFonts w:ascii="Arial" w:hAnsi="Arial" w:cs="Arial"/>
          <w:i/>
          <w:iCs/>
          <w:color w:val="333333"/>
        </w:rPr>
        <w:t>, OM, MPB, AC, ETK, MGS, DLB, LAL, DKM, JW, IAMG-N, AML, PAJ, MSS, SDW</w:t>
      </w:r>
    </w:p>
    <w:p w:rsidR="00D31581" w:rsidRPr="00C67C28" w:rsidRDefault="00D31581" w:rsidP="00D31581">
      <w:pPr>
        <w:pStyle w:val="para"/>
        <w:rPr>
          <w:rFonts w:ascii="Arial" w:hAnsi="Arial" w:cs="Arial"/>
          <w:i/>
          <w:iCs/>
          <w:color w:val="333333"/>
        </w:rPr>
      </w:pPr>
      <w:r w:rsidRPr="00C67C28">
        <w:rPr>
          <w:rFonts w:ascii="Arial" w:hAnsi="Arial" w:cs="Arial"/>
          <w:i/>
          <w:iCs/>
          <w:color w:val="333333"/>
        </w:rPr>
        <w:t>Statistical analysis:</w:t>
      </w:r>
      <w:r>
        <w:rPr>
          <w:rFonts w:ascii="Arial" w:hAnsi="Arial" w:cs="Arial"/>
          <w:i/>
          <w:iCs/>
          <w:color w:val="333333"/>
        </w:rPr>
        <w:t xml:space="preserve"> </w:t>
      </w:r>
      <w:r w:rsidRPr="00C67C28">
        <w:rPr>
          <w:rFonts w:ascii="Arial" w:hAnsi="Arial" w:cs="Arial"/>
          <w:i/>
          <w:iCs/>
          <w:color w:val="333333"/>
        </w:rPr>
        <w:t xml:space="preserve">IR, OM, PAJ </w:t>
      </w:r>
    </w:p>
    <w:p w:rsidR="00D31581" w:rsidRPr="00C67C28" w:rsidRDefault="00D31581" w:rsidP="00D31581">
      <w:pPr>
        <w:pStyle w:val="para"/>
        <w:jc w:val="both"/>
        <w:rPr>
          <w:rFonts w:ascii="Arial" w:hAnsi="Arial" w:cs="Arial"/>
          <w:i/>
          <w:iCs/>
          <w:color w:val="333333"/>
        </w:rPr>
      </w:pPr>
      <w:r w:rsidRPr="00C67C28">
        <w:rPr>
          <w:rFonts w:ascii="Arial" w:hAnsi="Arial" w:cs="Arial"/>
          <w:i/>
          <w:iCs/>
          <w:color w:val="333333"/>
        </w:rPr>
        <w:t>Drafting of the manuscript: IR, OM</w:t>
      </w:r>
      <w:r w:rsidRPr="00C67C28">
        <w:rPr>
          <w:rFonts w:ascii="Arial" w:hAnsi="Arial" w:cs="Arial"/>
          <w:i/>
          <w:iCs/>
          <w:color w:val="333333"/>
          <w:rtl/>
        </w:rPr>
        <w:t xml:space="preserve"> </w:t>
      </w:r>
    </w:p>
    <w:p w:rsidR="00D31581" w:rsidRPr="00C67C28" w:rsidRDefault="00D31581" w:rsidP="00D31581">
      <w:pPr>
        <w:pStyle w:val="para"/>
        <w:rPr>
          <w:rFonts w:ascii="Arial" w:hAnsi="Arial" w:cs="Arial"/>
          <w:color w:val="333333"/>
        </w:rPr>
      </w:pPr>
      <w:r w:rsidRPr="00C67C28">
        <w:rPr>
          <w:rFonts w:ascii="Arial" w:hAnsi="Arial" w:cs="Arial"/>
          <w:i/>
          <w:iCs/>
          <w:color w:val="333333"/>
        </w:rPr>
        <w:t>Critical revision of the manuscript for important intellectual content: All</w:t>
      </w:r>
      <w:r w:rsidRPr="00C67C28">
        <w:rPr>
          <w:rFonts w:ascii="Arial" w:hAnsi="Arial" w:cs="Arial"/>
          <w:color w:val="333333"/>
        </w:rPr>
        <w:t xml:space="preserve"> </w:t>
      </w:r>
      <w:r w:rsidRPr="00C67C28">
        <w:rPr>
          <w:rFonts w:ascii="Arial" w:hAnsi="Arial" w:cs="Arial"/>
          <w:i/>
          <w:iCs/>
          <w:color w:val="333333"/>
        </w:rPr>
        <w:t>authors</w:t>
      </w:r>
    </w:p>
    <w:p w:rsidR="00D31581" w:rsidRPr="00734FCD" w:rsidRDefault="00D31581" w:rsidP="00D31581">
      <w:pPr>
        <w:bidi w:val="0"/>
        <w:jc w:val="both"/>
        <w:rPr>
          <w:rFonts w:asciiTheme="minorBidi" w:hAnsiTheme="minorBidi"/>
          <w:b/>
          <w:bCs/>
          <w:sz w:val="24"/>
          <w:szCs w:val="24"/>
        </w:rPr>
      </w:pPr>
    </w:p>
    <w:p w:rsidR="00D31581" w:rsidRPr="00987D4E" w:rsidRDefault="00D31581" w:rsidP="00D31581">
      <w:pPr>
        <w:bidi w:val="0"/>
        <w:jc w:val="both"/>
        <w:rPr>
          <w:rFonts w:asciiTheme="minorBidi" w:eastAsia="Times New Roman" w:hAnsiTheme="minorBidi"/>
          <w:b/>
          <w:bCs/>
          <w:color w:val="000000"/>
          <w:sz w:val="24"/>
          <w:szCs w:val="24"/>
        </w:rPr>
      </w:pPr>
      <w:r w:rsidRPr="00E01E3E">
        <w:rPr>
          <w:rFonts w:asciiTheme="minorBidi" w:hAnsiTheme="minorBidi"/>
          <w:b/>
          <w:bCs/>
          <w:sz w:val="24"/>
          <w:szCs w:val="24"/>
        </w:rPr>
        <w:t>Disclosure:</w:t>
      </w:r>
    </w:p>
    <w:p w:rsidR="00D31581" w:rsidRPr="000E3F30" w:rsidRDefault="00D31581" w:rsidP="00D31581">
      <w:pPr>
        <w:bidi w:val="0"/>
        <w:spacing w:line="360" w:lineRule="auto"/>
        <w:jc w:val="both"/>
        <w:rPr>
          <w:rFonts w:asciiTheme="minorBidi" w:eastAsia="Arial" w:hAnsiTheme="minorBidi"/>
          <w:sz w:val="24"/>
          <w:szCs w:val="24"/>
        </w:rPr>
      </w:pPr>
      <w:r>
        <w:rPr>
          <w:rFonts w:asciiTheme="minorBidi" w:eastAsia="Arial" w:hAnsiTheme="minorBidi"/>
          <w:sz w:val="24"/>
          <w:szCs w:val="24"/>
        </w:rPr>
        <w:t>I.R.</w:t>
      </w:r>
      <w:r w:rsidRPr="000E3F30">
        <w:rPr>
          <w:rFonts w:asciiTheme="minorBidi" w:eastAsia="Arial" w:hAnsiTheme="minorBidi"/>
          <w:sz w:val="24"/>
          <w:szCs w:val="24"/>
        </w:rPr>
        <w:t xml:space="preserve"> discloses the following relationships: Advisory Board: AstraZeneca/Bristol-Meyers Squibb, Eli Lilly and Company, Medscape LLC, Merck Sharp &amp; Dohme Limited, Novo Nordisk, Inc., Sanofi, </w:t>
      </w:r>
      <w:proofErr w:type="spellStart"/>
      <w:r w:rsidRPr="000E3F30">
        <w:rPr>
          <w:rFonts w:asciiTheme="minorBidi" w:eastAsia="Arial" w:hAnsiTheme="minorBidi"/>
          <w:sz w:val="24"/>
          <w:szCs w:val="24"/>
        </w:rPr>
        <w:t>Orgenesis</w:t>
      </w:r>
      <w:proofErr w:type="spellEnd"/>
      <w:r w:rsidRPr="000E3F30">
        <w:rPr>
          <w:rFonts w:asciiTheme="minorBidi" w:eastAsia="Arial" w:hAnsiTheme="minorBidi"/>
          <w:sz w:val="24"/>
          <w:szCs w:val="24"/>
        </w:rPr>
        <w:t xml:space="preserve">, </w:t>
      </w:r>
      <w:proofErr w:type="spellStart"/>
      <w:r w:rsidRPr="000E3F30">
        <w:rPr>
          <w:rFonts w:asciiTheme="minorBidi" w:eastAsia="Arial" w:hAnsiTheme="minorBidi"/>
          <w:sz w:val="24"/>
          <w:szCs w:val="24"/>
        </w:rPr>
        <w:t>SmartZyme</w:t>
      </w:r>
      <w:proofErr w:type="spellEnd"/>
      <w:r w:rsidRPr="000E3F30">
        <w:rPr>
          <w:rFonts w:asciiTheme="minorBidi" w:eastAsia="Arial" w:hAnsiTheme="minorBidi"/>
          <w:sz w:val="24"/>
          <w:szCs w:val="24"/>
        </w:rPr>
        <w:t xml:space="preserve"> Innovation Ltd, </w:t>
      </w:r>
      <w:proofErr w:type="spellStart"/>
      <w:r w:rsidRPr="000E3F30">
        <w:rPr>
          <w:rFonts w:asciiTheme="minorBidi" w:eastAsia="Arial" w:hAnsiTheme="minorBidi"/>
          <w:sz w:val="24"/>
          <w:szCs w:val="24"/>
        </w:rPr>
        <w:t>Labstyle</w:t>
      </w:r>
      <w:proofErr w:type="spellEnd"/>
      <w:r w:rsidRPr="000E3F30">
        <w:rPr>
          <w:rFonts w:asciiTheme="minorBidi" w:eastAsia="Arial" w:hAnsiTheme="minorBidi"/>
          <w:sz w:val="24"/>
          <w:szCs w:val="24"/>
        </w:rPr>
        <w:t xml:space="preserve"> Innovations Ltd; Consultant: AstraZeneca/Bristol-Meyers Squibb, </w:t>
      </w:r>
      <w:proofErr w:type="spellStart"/>
      <w:r w:rsidRPr="000E3F30">
        <w:rPr>
          <w:rFonts w:asciiTheme="minorBidi" w:eastAsia="Arial" w:hAnsiTheme="minorBidi"/>
          <w:sz w:val="24"/>
          <w:szCs w:val="24"/>
        </w:rPr>
        <w:t>Insuline</w:t>
      </w:r>
      <w:proofErr w:type="spellEnd"/>
      <w:r w:rsidRPr="000E3F30">
        <w:rPr>
          <w:rFonts w:asciiTheme="minorBidi" w:eastAsia="Arial" w:hAnsiTheme="minorBidi"/>
          <w:sz w:val="24"/>
          <w:szCs w:val="24"/>
        </w:rPr>
        <w:t xml:space="preserve"> Medical, </w:t>
      </w:r>
      <w:proofErr w:type="spellStart"/>
      <w:r w:rsidRPr="000E3F30">
        <w:rPr>
          <w:rFonts w:asciiTheme="minorBidi" w:eastAsia="Arial" w:hAnsiTheme="minorBidi"/>
          <w:sz w:val="24"/>
          <w:szCs w:val="24"/>
        </w:rPr>
        <w:t>Gili</w:t>
      </w:r>
      <w:proofErr w:type="spellEnd"/>
      <w:r w:rsidRPr="000E3F30">
        <w:rPr>
          <w:rFonts w:asciiTheme="minorBidi" w:eastAsia="Arial" w:hAnsiTheme="minorBidi"/>
          <w:sz w:val="24"/>
          <w:szCs w:val="24"/>
        </w:rPr>
        <w:t xml:space="preserve"> Medical, </w:t>
      </w:r>
      <w:proofErr w:type="spellStart"/>
      <w:r w:rsidRPr="000E3F30">
        <w:rPr>
          <w:rFonts w:asciiTheme="minorBidi" w:eastAsia="Arial" w:hAnsiTheme="minorBidi"/>
          <w:sz w:val="24"/>
          <w:szCs w:val="24"/>
        </w:rPr>
        <w:t>Kamada</w:t>
      </w:r>
      <w:proofErr w:type="spellEnd"/>
      <w:r w:rsidRPr="000E3F30">
        <w:rPr>
          <w:rFonts w:asciiTheme="minorBidi" w:eastAsia="Arial" w:hAnsiTheme="minorBidi"/>
          <w:sz w:val="24"/>
          <w:szCs w:val="24"/>
        </w:rPr>
        <w:t xml:space="preserve"> Ltd, </w:t>
      </w:r>
      <w:proofErr w:type="spellStart"/>
      <w:r w:rsidRPr="000E3F30">
        <w:rPr>
          <w:rFonts w:asciiTheme="minorBidi" w:eastAsia="Arial" w:hAnsiTheme="minorBidi"/>
          <w:sz w:val="24"/>
          <w:szCs w:val="24"/>
        </w:rPr>
        <w:t>FuturRx</w:t>
      </w:r>
      <w:proofErr w:type="spellEnd"/>
      <w:r w:rsidRPr="000E3F30">
        <w:rPr>
          <w:rFonts w:asciiTheme="minorBidi" w:eastAsia="Arial" w:hAnsiTheme="minorBidi"/>
          <w:sz w:val="24"/>
          <w:szCs w:val="24"/>
        </w:rPr>
        <w:t xml:space="preserve"> Ltd; Speaker’s Bureau: AstraZeneca/Bristol-Meyers Squibb, Eli Lilly and Company, Johnson &amp; Johnson, Merck Sharp &amp; Dohme Limited, Novartis Pharma AG, Novo Nordisk, Inc., Sanofi, </w:t>
      </w:r>
      <w:proofErr w:type="spellStart"/>
      <w:r w:rsidRPr="000E3F30">
        <w:rPr>
          <w:rFonts w:asciiTheme="minorBidi" w:eastAsia="Arial" w:hAnsiTheme="minorBidi"/>
          <w:sz w:val="24"/>
          <w:szCs w:val="24"/>
        </w:rPr>
        <w:t>Teva</w:t>
      </w:r>
      <w:proofErr w:type="spellEnd"/>
      <w:r w:rsidRPr="000E3F30">
        <w:rPr>
          <w:rFonts w:asciiTheme="minorBidi" w:eastAsia="Arial" w:hAnsiTheme="minorBidi"/>
          <w:sz w:val="24"/>
          <w:szCs w:val="24"/>
        </w:rPr>
        <w:t xml:space="preserve">, Stock/Shareholder: </w:t>
      </w:r>
      <w:proofErr w:type="spellStart"/>
      <w:r w:rsidRPr="000E3F30">
        <w:rPr>
          <w:rFonts w:asciiTheme="minorBidi" w:eastAsia="Arial" w:hAnsiTheme="minorBidi"/>
          <w:sz w:val="24"/>
          <w:szCs w:val="24"/>
        </w:rPr>
        <w:t>Insuline</w:t>
      </w:r>
      <w:proofErr w:type="spellEnd"/>
      <w:r w:rsidRPr="000E3F30">
        <w:rPr>
          <w:rFonts w:asciiTheme="minorBidi" w:eastAsia="Arial" w:hAnsiTheme="minorBidi"/>
          <w:sz w:val="24"/>
          <w:szCs w:val="24"/>
        </w:rPr>
        <w:t xml:space="preserve"> Medical, </w:t>
      </w:r>
      <w:proofErr w:type="spellStart"/>
      <w:r w:rsidRPr="000E3F30">
        <w:rPr>
          <w:rFonts w:asciiTheme="minorBidi" w:eastAsia="Arial" w:hAnsiTheme="minorBidi"/>
          <w:sz w:val="24"/>
          <w:szCs w:val="24"/>
        </w:rPr>
        <w:t>Labstyle</w:t>
      </w:r>
      <w:proofErr w:type="spellEnd"/>
      <w:r w:rsidRPr="000E3F30">
        <w:rPr>
          <w:rFonts w:asciiTheme="minorBidi" w:eastAsia="Arial" w:hAnsiTheme="minorBidi"/>
          <w:sz w:val="24"/>
          <w:szCs w:val="24"/>
        </w:rPr>
        <w:t xml:space="preserve"> Innovations </w:t>
      </w:r>
      <w:proofErr w:type="spellStart"/>
      <w:r w:rsidRPr="000E3F30">
        <w:rPr>
          <w:rFonts w:asciiTheme="minorBidi" w:eastAsia="Arial" w:hAnsiTheme="minorBidi"/>
          <w:sz w:val="24"/>
          <w:szCs w:val="24"/>
        </w:rPr>
        <w:t>SmartZyme</w:t>
      </w:r>
      <w:proofErr w:type="spellEnd"/>
      <w:r w:rsidRPr="000E3F30">
        <w:rPr>
          <w:rFonts w:asciiTheme="minorBidi" w:eastAsia="Arial" w:hAnsiTheme="minorBidi"/>
          <w:sz w:val="24"/>
          <w:szCs w:val="24"/>
        </w:rPr>
        <w:t xml:space="preserve"> Innovation Ltd, </w:t>
      </w:r>
      <w:proofErr w:type="spellStart"/>
      <w:r w:rsidRPr="000E3F30">
        <w:rPr>
          <w:rFonts w:asciiTheme="minorBidi" w:eastAsia="Arial" w:hAnsiTheme="minorBidi"/>
          <w:sz w:val="24"/>
          <w:szCs w:val="24"/>
        </w:rPr>
        <w:t>Orgenesis</w:t>
      </w:r>
      <w:proofErr w:type="spellEnd"/>
      <w:r w:rsidRPr="000E3F30">
        <w:rPr>
          <w:rFonts w:asciiTheme="minorBidi" w:eastAsia="Arial" w:hAnsiTheme="minorBidi"/>
          <w:sz w:val="24"/>
          <w:szCs w:val="24"/>
        </w:rPr>
        <w:t xml:space="preserve">, </w:t>
      </w:r>
      <w:proofErr w:type="spellStart"/>
      <w:r w:rsidRPr="000E3F30">
        <w:rPr>
          <w:rFonts w:asciiTheme="minorBidi" w:eastAsia="Arial" w:hAnsiTheme="minorBidi"/>
          <w:sz w:val="24"/>
          <w:szCs w:val="24"/>
        </w:rPr>
        <w:t>Glucome</w:t>
      </w:r>
      <w:proofErr w:type="spellEnd"/>
      <w:r w:rsidRPr="000E3F30">
        <w:rPr>
          <w:rFonts w:asciiTheme="minorBidi" w:eastAsia="Arial" w:hAnsiTheme="minorBidi"/>
          <w:sz w:val="24"/>
          <w:szCs w:val="24"/>
        </w:rPr>
        <w:t xml:space="preserve"> Ltd.</w:t>
      </w:r>
    </w:p>
    <w:p w:rsidR="00D31581" w:rsidRDefault="00D31581" w:rsidP="00D31581">
      <w:pPr>
        <w:bidi w:val="0"/>
        <w:spacing w:line="360" w:lineRule="auto"/>
        <w:jc w:val="both"/>
        <w:rPr>
          <w:rFonts w:asciiTheme="minorBidi" w:hAnsiTheme="minorBidi"/>
          <w:sz w:val="24"/>
          <w:szCs w:val="24"/>
        </w:rPr>
      </w:pPr>
      <w:r>
        <w:rPr>
          <w:rFonts w:asciiTheme="minorBidi" w:eastAsia="Arial" w:hAnsiTheme="minorBidi"/>
          <w:sz w:val="24"/>
          <w:szCs w:val="24"/>
        </w:rPr>
        <w:lastRenderedPageBreak/>
        <w:t>O.M.</w:t>
      </w:r>
      <w:r w:rsidRPr="00987D4E">
        <w:rPr>
          <w:rFonts w:asciiTheme="minorBidi" w:eastAsia="Arial" w:hAnsiTheme="minorBidi"/>
          <w:sz w:val="24"/>
          <w:szCs w:val="24"/>
        </w:rPr>
        <w:t xml:space="preserve"> discloses the following relationship</w:t>
      </w:r>
      <w:r>
        <w:rPr>
          <w:rFonts w:asciiTheme="minorBidi" w:eastAsia="Arial" w:hAnsiTheme="minorBidi"/>
          <w:sz w:val="24"/>
          <w:szCs w:val="24"/>
        </w:rPr>
        <w:t>s</w:t>
      </w:r>
      <w:r w:rsidRPr="00987D4E">
        <w:rPr>
          <w:rFonts w:asciiTheme="minorBidi" w:eastAsia="Arial" w:hAnsiTheme="minorBidi"/>
          <w:sz w:val="24"/>
          <w:szCs w:val="24"/>
        </w:rPr>
        <w:t xml:space="preserve">: </w:t>
      </w:r>
      <w:r w:rsidRPr="00987D4E">
        <w:rPr>
          <w:rFonts w:asciiTheme="minorBidi" w:hAnsiTheme="minorBidi"/>
          <w:sz w:val="24"/>
          <w:szCs w:val="24"/>
        </w:rPr>
        <w:t xml:space="preserve">Advisory Board: Novo Nordisk, Eli Lilly, Sanofi, Merck Sharp &amp; Dohme, </w:t>
      </w:r>
      <w:proofErr w:type="spellStart"/>
      <w:r w:rsidRPr="00987D4E">
        <w:rPr>
          <w:rFonts w:asciiTheme="minorBidi" w:hAnsiTheme="minorBidi"/>
          <w:sz w:val="24"/>
          <w:szCs w:val="24"/>
        </w:rPr>
        <w:t>Boehringer</w:t>
      </w:r>
      <w:proofErr w:type="spellEnd"/>
      <w:r w:rsidRPr="00987D4E">
        <w:rPr>
          <w:rFonts w:asciiTheme="minorBidi" w:hAnsiTheme="minorBidi"/>
          <w:sz w:val="24"/>
          <w:szCs w:val="24"/>
        </w:rPr>
        <w:t xml:space="preserve"> </w:t>
      </w:r>
      <w:proofErr w:type="spellStart"/>
      <w:r w:rsidRPr="00987D4E">
        <w:rPr>
          <w:rFonts w:asciiTheme="minorBidi" w:hAnsiTheme="minorBidi"/>
          <w:sz w:val="24"/>
          <w:szCs w:val="24"/>
        </w:rPr>
        <w:t>Ingelheim</w:t>
      </w:r>
      <w:proofErr w:type="spellEnd"/>
      <w:r w:rsidRPr="00987D4E">
        <w:rPr>
          <w:rFonts w:asciiTheme="minorBidi" w:hAnsiTheme="minorBidi"/>
          <w:sz w:val="24"/>
          <w:szCs w:val="24"/>
        </w:rPr>
        <w:t xml:space="preserve">, Jansen and Jansen, Novartis, Astra Zeneca; Grants paid to institution as study physician by AstraZeneca and Bristol-Myers Squibb; Research grant support through Hadassah Hebrew University Hospital: Novo Nordisk; Speaker's Bureau: AstraZeneca and Bristol-Myers Squibb, Novo Nordisk, Eli Lilly, Sanofi, Novartis, Merck Sharp &amp; Dohme, </w:t>
      </w:r>
      <w:proofErr w:type="spellStart"/>
      <w:r w:rsidRPr="00987D4E">
        <w:rPr>
          <w:rFonts w:asciiTheme="minorBidi" w:hAnsiTheme="minorBidi"/>
          <w:sz w:val="24"/>
          <w:szCs w:val="24"/>
        </w:rPr>
        <w:t>Boehringer</w:t>
      </w:r>
      <w:proofErr w:type="spellEnd"/>
      <w:r w:rsidRPr="00987D4E">
        <w:rPr>
          <w:rFonts w:asciiTheme="minorBidi" w:hAnsiTheme="minorBidi"/>
          <w:sz w:val="24"/>
          <w:szCs w:val="24"/>
        </w:rPr>
        <w:t xml:space="preserve"> </w:t>
      </w:r>
      <w:proofErr w:type="spellStart"/>
      <w:r w:rsidRPr="00987D4E">
        <w:rPr>
          <w:rFonts w:asciiTheme="minorBidi" w:hAnsiTheme="minorBidi"/>
          <w:sz w:val="24"/>
          <w:szCs w:val="24"/>
        </w:rPr>
        <w:t>Ingelheim</w:t>
      </w:r>
      <w:proofErr w:type="spellEnd"/>
      <w:r>
        <w:rPr>
          <w:rFonts w:asciiTheme="minorBidi" w:hAnsiTheme="minorBidi"/>
          <w:sz w:val="24"/>
          <w:szCs w:val="24"/>
        </w:rPr>
        <w:t>.</w:t>
      </w:r>
    </w:p>
    <w:p w:rsidR="00D31581" w:rsidRPr="000E3F30" w:rsidRDefault="00D31581" w:rsidP="00D31581">
      <w:pPr>
        <w:bidi w:val="0"/>
        <w:spacing w:line="360" w:lineRule="auto"/>
        <w:jc w:val="both"/>
        <w:rPr>
          <w:rFonts w:asciiTheme="minorBidi" w:hAnsiTheme="minorBidi"/>
          <w:sz w:val="24"/>
          <w:szCs w:val="24"/>
        </w:rPr>
      </w:pPr>
      <w:r w:rsidRPr="000E3F30">
        <w:rPr>
          <w:rFonts w:asciiTheme="minorBidi" w:hAnsiTheme="minorBidi"/>
          <w:sz w:val="24"/>
          <w:szCs w:val="24"/>
        </w:rPr>
        <w:t>M.P.B.</w:t>
      </w:r>
      <w:r>
        <w:rPr>
          <w:rFonts w:asciiTheme="minorBidi" w:hAnsiTheme="minorBidi"/>
          <w:sz w:val="24"/>
          <w:szCs w:val="24"/>
        </w:rPr>
        <w:t xml:space="preserve"> discloses the following relationships: consultant: </w:t>
      </w:r>
      <w:r w:rsidRPr="001165D0">
        <w:rPr>
          <w:rFonts w:asciiTheme="minorBidi" w:hAnsiTheme="minorBidi"/>
          <w:sz w:val="24"/>
          <w:szCs w:val="24"/>
        </w:rPr>
        <w:t xml:space="preserve">Merck, AstraZeneca, Bayer and research support received from: Merck, AstraZeneca, </w:t>
      </w:r>
      <w:proofErr w:type="spellStart"/>
      <w:proofErr w:type="gramStart"/>
      <w:r w:rsidRPr="001165D0">
        <w:rPr>
          <w:rFonts w:asciiTheme="minorBidi" w:hAnsiTheme="minorBidi"/>
          <w:sz w:val="24"/>
          <w:szCs w:val="24"/>
        </w:rPr>
        <w:t>MedImmune</w:t>
      </w:r>
      <w:proofErr w:type="spellEnd"/>
      <w:proofErr w:type="gramEnd"/>
    </w:p>
    <w:p w:rsidR="00D31581" w:rsidRPr="000E3F30" w:rsidRDefault="00D31581" w:rsidP="00D31581">
      <w:pPr>
        <w:bidi w:val="0"/>
        <w:spacing w:line="360" w:lineRule="auto"/>
        <w:rPr>
          <w:rFonts w:asciiTheme="minorBidi" w:hAnsiTheme="minorBidi"/>
          <w:sz w:val="24"/>
          <w:szCs w:val="24"/>
        </w:rPr>
      </w:pPr>
      <w:r w:rsidRPr="000E3F30">
        <w:rPr>
          <w:rFonts w:asciiTheme="minorBidi" w:hAnsiTheme="minorBidi"/>
          <w:sz w:val="24"/>
          <w:szCs w:val="24"/>
        </w:rPr>
        <w:t>A.C.</w:t>
      </w:r>
      <w:r>
        <w:rPr>
          <w:rFonts w:asciiTheme="minorBidi" w:hAnsiTheme="minorBidi"/>
          <w:sz w:val="24"/>
          <w:szCs w:val="24"/>
        </w:rPr>
        <w:t xml:space="preserve"> </w:t>
      </w:r>
      <w:r w:rsidRPr="003364E6">
        <w:rPr>
          <w:rFonts w:asciiTheme="minorBidi" w:hAnsiTheme="minorBidi"/>
          <w:sz w:val="24"/>
          <w:szCs w:val="24"/>
        </w:rPr>
        <w:t xml:space="preserve">discloses the following relationships: </w:t>
      </w:r>
      <w:r w:rsidRPr="003364E6">
        <w:rPr>
          <w:rFonts w:asciiTheme="minorBidi" w:hAnsiTheme="minorBidi"/>
          <w:color w:val="000000"/>
          <w:sz w:val="24"/>
          <w:szCs w:val="24"/>
        </w:rPr>
        <w:t xml:space="preserve">consulting fees and payment for lectures from: AstraZeneca, </w:t>
      </w:r>
      <w:proofErr w:type="spellStart"/>
      <w:r w:rsidRPr="003364E6">
        <w:rPr>
          <w:rFonts w:asciiTheme="minorBidi" w:hAnsiTheme="minorBidi"/>
          <w:color w:val="000000"/>
          <w:sz w:val="24"/>
          <w:szCs w:val="24"/>
        </w:rPr>
        <w:t>Boehringer</w:t>
      </w:r>
      <w:proofErr w:type="spellEnd"/>
      <w:r w:rsidRPr="003364E6">
        <w:rPr>
          <w:rFonts w:asciiTheme="minorBidi" w:hAnsiTheme="minorBidi"/>
          <w:color w:val="000000"/>
          <w:sz w:val="24"/>
          <w:szCs w:val="24"/>
        </w:rPr>
        <w:t xml:space="preserve"> </w:t>
      </w:r>
      <w:proofErr w:type="spellStart"/>
      <w:r w:rsidRPr="003364E6">
        <w:rPr>
          <w:rFonts w:asciiTheme="minorBidi" w:hAnsiTheme="minorBidi"/>
          <w:color w:val="000000"/>
          <w:sz w:val="24"/>
          <w:szCs w:val="24"/>
        </w:rPr>
        <w:t>Ingelheim</w:t>
      </w:r>
      <w:proofErr w:type="spellEnd"/>
      <w:r w:rsidRPr="003364E6">
        <w:rPr>
          <w:rFonts w:asciiTheme="minorBidi" w:hAnsiTheme="minorBidi"/>
          <w:color w:val="000000"/>
          <w:sz w:val="24"/>
          <w:szCs w:val="24"/>
        </w:rPr>
        <w:t>, Elli Lilly, MSD, Novartis, Novo Nordisk and Sanofi.</w:t>
      </w:r>
    </w:p>
    <w:p w:rsidR="00D31581" w:rsidRPr="000E3F30" w:rsidRDefault="00D31581" w:rsidP="00D31581">
      <w:pPr>
        <w:bidi w:val="0"/>
        <w:spacing w:line="360" w:lineRule="auto"/>
        <w:rPr>
          <w:rFonts w:asciiTheme="minorBidi" w:hAnsiTheme="minorBidi"/>
          <w:sz w:val="24"/>
          <w:szCs w:val="24"/>
          <w:lang w:eastAsia="ja-JP"/>
        </w:rPr>
      </w:pPr>
      <w:proofErr w:type="gramStart"/>
      <w:r w:rsidRPr="000E3F30">
        <w:rPr>
          <w:rFonts w:asciiTheme="minorBidi" w:hAnsiTheme="minorBidi"/>
          <w:sz w:val="24"/>
          <w:szCs w:val="24"/>
          <w:lang w:eastAsia="ja-JP"/>
        </w:rPr>
        <w:t>E.T.K.</w:t>
      </w:r>
      <w:proofErr w:type="gramEnd"/>
      <w:r w:rsidRPr="000E3F30">
        <w:rPr>
          <w:rFonts w:asciiTheme="minorBidi" w:hAnsiTheme="minorBidi"/>
          <w:sz w:val="24"/>
          <w:szCs w:val="24"/>
          <w:lang w:eastAsia="ja-JP"/>
        </w:rPr>
        <w:t xml:space="preserve">  </w:t>
      </w:r>
      <w:proofErr w:type="gramStart"/>
      <w:r>
        <w:rPr>
          <w:rFonts w:asciiTheme="minorBidi" w:hAnsiTheme="minorBidi"/>
          <w:sz w:val="24"/>
          <w:szCs w:val="24"/>
          <w:lang w:eastAsia="ja-JP"/>
        </w:rPr>
        <w:t>discloses</w:t>
      </w:r>
      <w:proofErr w:type="gramEnd"/>
      <w:r>
        <w:rPr>
          <w:rFonts w:asciiTheme="minorBidi" w:hAnsiTheme="minorBidi"/>
          <w:sz w:val="24"/>
          <w:szCs w:val="24"/>
          <w:lang w:eastAsia="ja-JP"/>
        </w:rPr>
        <w:t xml:space="preserve"> the following relationships: </w:t>
      </w:r>
      <w:r w:rsidRPr="000E3F30">
        <w:rPr>
          <w:rFonts w:asciiTheme="minorBidi" w:hAnsiTheme="minorBidi"/>
          <w:sz w:val="24"/>
          <w:szCs w:val="24"/>
          <w:lang w:eastAsia="ja-JP"/>
        </w:rPr>
        <w:t xml:space="preserve"> honoraria from AstraZeneca, Bristol-Myers Squibb, Daiichi-Sankyo, and Ono Pharmaceutical. </w:t>
      </w:r>
    </w:p>
    <w:p w:rsidR="00D31581" w:rsidRPr="000E3F30" w:rsidRDefault="00D31581" w:rsidP="00D31581">
      <w:pPr>
        <w:bidi w:val="0"/>
        <w:spacing w:line="360" w:lineRule="auto"/>
        <w:rPr>
          <w:rFonts w:asciiTheme="minorBidi" w:hAnsiTheme="minorBidi"/>
          <w:sz w:val="24"/>
          <w:szCs w:val="24"/>
          <w:lang w:eastAsia="ja-JP"/>
        </w:rPr>
      </w:pPr>
      <w:r w:rsidRPr="000E3F30">
        <w:rPr>
          <w:rFonts w:asciiTheme="minorBidi" w:hAnsiTheme="minorBidi"/>
          <w:sz w:val="24"/>
          <w:szCs w:val="24"/>
          <w:lang w:eastAsia="ja-JP"/>
        </w:rPr>
        <w:t>M.G.S.</w:t>
      </w:r>
      <w:r>
        <w:rPr>
          <w:rFonts w:asciiTheme="minorBidi" w:hAnsiTheme="minorBidi"/>
          <w:sz w:val="24"/>
          <w:szCs w:val="24"/>
          <w:lang w:eastAsia="ja-JP"/>
        </w:rPr>
        <w:t xml:space="preserve"> has no relationships to disclose. </w:t>
      </w:r>
    </w:p>
    <w:p w:rsidR="00D31581" w:rsidRPr="00987D4E" w:rsidRDefault="00D31581" w:rsidP="00D31581">
      <w:pPr>
        <w:bidi w:val="0"/>
        <w:spacing w:line="360" w:lineRule="auto"/>
        <w:rPr>
          <w:rFonts w:asciiTheme="minorBidi" w:hAnsiTheme="minorBidi"/>
          <w:sz w:val="24"/>
          <w:szCs w:val="24"/>
          <w:lang w:eastAsia="ja-JP"/>
        </w:rPr>
      </w:pPr>
      <w:r>
        <w:rPr>
          <w:rFonts w:asciiTheme="minorBidi" w:hAnsiTheme="minorBidi"/>
          <w:sz w:val="24"/>
          <w:szCs w:val="24"/>
          <w:lang w:eastAsia="ja-JP"/>
        </w:rPr>
        <w:t>D.L.B.</w:t>
      </w:r>
      <w:r w:rsidRPr="00987D4E">
        <w:rPr>
          <w:rFonts w:asciiTheme="minorBidi" w:hAnsiTheme="minorBidi"/>
          <w:sz w:val="24"/>
          <w:szCs w:val="24"/>
          <w:lang w:eastAsia="ja-JP"/>
        </w:rPr>
        <w:t xml:space="preserve"> discloses the following relationships - Advisory Board: </w:t>
      </w:r>
      <w:proofErr w:type="spellStart"/>
      <w:r w:rsidRPr="00987D4E">
        <w:rPr>
          <w:rFonts w:asciiTheme="minorBidi" w:hAnsiTheme="minorBidi"/>
          <w:sz w:val="24"/>
          <w:szCs w:val="24"/>
          <w:lang w:eastAsia="ja-JP"/>
        </w:rPr>
        <w:t>Cardax</w:t>
      </w:r>
      <w:proofErr w:type="spellEnd"/>
      <w:r w:rsidRPr="00987D4E">
        <w:rPr>
          <w:rFonts w:asciiTheme="minorBidi" w:hAnsiTheme="minorBidi"/>
          <w:sz w:val="24"/>
          <w:szCs w:val="24"/>
          <w:lang w:eastAsia="ja-JP"/>
        </w:rPr>
        <w:t xml:space="preserve">, Elsevier Practice Update Cardiology, Medscape Cardiology, </w:t>
      </w:r>
      <w:proofErr w:type="spellStart"/>
      <w:r w:rsidRPr="00987D4E">
        <w:rPr>
          <w:rFonts w:asciiTheme="minorBidi" w:hAnsiTheme="minorBidi"/>
          <w:sz w:val="24"/>
          <w:szCs w:val="24"/>
          <w:lang w:eastAsia="ja-JP"/>
        </w:rPr>
        <w:t>Regado</w:t>
      </w:r>
      <w:proofErr w:type="spellEnd"/>
      <w:r w:rsidRPr="00987D4E">
        <w:rPr>
          <w:rFonts w:asciiTheme="minorBidi" w:hAnsiTheme="minorBidi"/>
          <w:sz w:val="24"/>
          <w:szCs w:val="24"/>
          <w:lang w:eastAsia="ja-JP"/>
        </w:rPr>
        <w:t xml:space="preserve"> Biosciences; Board of Directors: Boston VA Research Institute, Society of Cardiovascular Patient Care; Chair: American Heart Association Quality Oversight Committee; Data Monitoring Committees: Cleveland Clinic, Duke Clinical Research Institute, Harvard Clinical Research Institute, Mayo Clinic, Mount Sinai School of Medicine, Population Health Research Institute; Honoraria: American College of Cardiology (Senior Associate Editor, Clinical Trials and News, ACC.org), Belvoir Publications (Editor in Chief, Harvard Heart Letter), Duke Clinical Research Institute (clinical trial steering committees), Harvard Clinical Research Institute (clinical trial steering committee), HMP Communications (Editor in Chief, Journal of Invasive Cardiology), Journal of the American College of Cardiology (Guest Editor; Associate Editor), Population Health Research Institute (clinical trial steering committee), Slack Publications (Chief Medical Editor, Cardiology Today’s Intervention), Society of Cardiovascular Patient Care (Secretary/Treasurer), WebMD (CME steering committees); Other: Clinical Cardiology (Deputy Editor), NCDR-ACTION </w:t>
      </w:r>
      <w:r w:rsidRPr="00987D4E">
        <w:rPr>
          <w:rFonts w:asciiTheme="minorBidi" w:hAnsiTheme="minorBidi"/>
          <w:sz w:val="24"/>
          <w:szCs w:val="24"/>
          <w:lang w:eastAsia="ja-JP"/>
        </w:rPr>
        <w:lastRenderedPageBreak/>
        <w:t xml:space="preserve">Registry Steering Committee (Chair), VA CART Research and Publications Committee (Chair); Research Funding: </w:t>
      </w:r>
      <w:proofErr w:type="spellStart"/>
      <w:r w:rsidRPr="00987D4E">
        <w:rPr>
          <w:rFonts w:asciiTheme="minorBidi" w:hAnsiTheme="minorBidi"/>
          <w:sz w:val="24"/>
          <w:szCs w:val="24"/>
          <w:lang w:eastAsia="ja-JP"/>
        </w:rPr>
        <w:t>Amarin</w:t>
      </w:r>
      <w:proofErr w:type="spellEnd"/>
      <w:r w:rsidRPr="00987D4E">
        <w:rPr>
          <w:rFonts w:asciiTheme="minorBidi" w:hAnsiTheme="minorBidi"/>
          <w:sz w:val="24"/>
          <w:szCs w:val="24"/>
          <w:lang w:eastAsia="ja-JP"/>
        </w:rPr>
        <w:t xml:space="preserve">, Amgen, AstraZeneca, Bristol-Myers Squibb, </w:t>
      </w:r>
      <w:proofErr w:type="spellStart"/>
      <w:r w:rsidRPr="00987D4E">
        <w:rPr>
          <w:rFonts w:asciiTheme="minorBidi" w:hAnsiTheme="minorBidi"/>
          <w:sz w:val="24"/>
          <w:szCs w:val="24"/>
          <w:lang w:eastAsia="ja-JP"/>
        </w:rPr>
        <w:t>Chiesi</w:t>
      </w:r>
      <w:proofErr w:type="spellEnd"/>
      <w:r w:rsidRPr="00987D4E">
        <w:rPr>
          <w:rFonts w:asciiTheme="minorBidi" w:hAnsiTheme="minorBidi"/>
          <w:sz w:val="24"/>
          <w:szCs w:val="24"/>
          <w:lang w:eastAsia="ja-JP"/>
        </w:rPr>
        <w:t xml:space="preserve">, Eisai, Ethicon, Forest Laboratories, Ironwood, </w:t>
      </w:r>
      <w:proofErr w:type="spellStart"/>
      <w:r w:rsidRPr="00987D4E">
        <w:rPr>
          <w:rFonts w:asciiTheme="minorBidi" w:hAnsiTheme="minorBidi"/>
          <w:sz w:val="24"/>
          <w:szCs w:val="24"/>
          <w:lang w:eastAsia="ja-JP"/>
        </w:rPr>
        <w:t>Ischemix</w:t>
      </w:r>
      <w:proofErr w:type="spellEnd"/>
      <w:r w:rsidRPr="00987D4E">
        <w:rPr>
          <w:rFonts w:asciiTheme="minorBidi" w:hAnsiTheme="minorBidi"/>
          <w:sz w:val="24"/>
          <w:szCs w:val="24"/>
          <w:lang w:eastAsia="ja-JP"/>
        </w:rPr>
        <w:t xml:space="preserve">, Lilly, Medtronic, Pfizer, Roche, Sanofi Aventis, The Medicines Company; Royalties: Elsevier (Editor, Cardiovascular Intervention: A Companion to </w:t>
      </w:r>
      <w:proofErr w:type="spellStart"/>
      <w:r w:rsidRPr="00987D4E">
        <w:rPr>
          <w:rFonts w:asciiTheme="minorBidi" w:hAnsiTheme="minorBidi"/>
          <w:sz w:val="24"/>
          <w:szCs w:val="24"/>
          <w:lang w:eastAsia="ja-JP"/>
        </w:rPr>
        <w:t>Braunwald’s</w:t>
      </w:r>
      <w:proofErr w:type="spellEnd"/>
      <w:r w:rsidRPr="00987D4E">
        <w:rPr>
          <w:rFonts w:asciiTheme="minorBidi" w:hAnsiTheme="minorBidi"/>
          <w:sz w:val="24"/>
          <w:szCs w:val="24"/>
          <w:lang w:eastAsia="ja-JP"/>
        </w:rPr>
        <w:t xml:space="preserve"> Heart Disease); Site Co-Investigator: </w:t>
      </w:r>
      <w:proofErr w:type="spellStart"/>
      <w:r w:rsidRPr="00987D4E">
        <w:rPr>
          <w:rFonts w:asciiTheme="minorBidi" w:hAnsiTheme="minorBidi"/>
          <w:sz w:val="24"/>
          <w:szCs w:val="24"/>
          <w:lang w:eastAsia="ja-JP"/>
        </w:rPr>
        <w:t>Biotronik</w:t>
      </w:r>
      <w:proofErr w:type="spellEnd"/>
      <w:r w:rsidRPr="00987D4E">
        <w:rPr>
          <w:rFonts w:asciiTheme="minorBidi" w:hAnsiTheme="minorBidi"/>
          <w:sz w:val="24"/>
          <w:szCs w:val="24"/>
          <w:lang w:eastAsia="ja-JP"/>
        </w:rPr>
        <w:t xml:space="preserve">, Boston Scientific, St. Jude Medical (now Abbott); Trustee: American College of Cardiology; Unfunded Research: </w:t>
      </w:r>
      <w:proofErr w:type="spellStart"/>
      <w:r w:rsidRPr="00987D4E">
        <w:rPr>
          <w:rFonts w:asciiTheme="minorBidi" w:hAnsiTheme="minorBidi"/>
          <w:sz w:val="24"/>
          <w:szCs w:val="24"/>
          <w:lang w:eastAsia="ja-JP"/>
        </w:rPr>
        <w:t>FlowCo</w:t>
      </w:r>
      <w:proofErr w:type="spellEnd"/>
      <w:r w:rsidRPr="00987D4E">
        <w:rPr>
          <w:rFonts w:asciiTheme="minorBidi" w:hAnsiTheme="minorBidi"/>
          <w:sz w:val="24"/>
          <w:szCs w:val="24"/>
          <w:lang w:eastAsia="ja-JP"/>
        </w:rPr>
        <w:t xml:space="preserve">, Merck, </w:t>
      </w:r>
      <w:proofErr w:type="spellStart"/>
      <w:r w:rsidRPr="00987D4E">
        <w:rPr>
          <w:rFonts w:asciiTheme="minorBidi" w:hAnsiTheme="minorBidi"/>
          <w:sz w:val="24"/>
          <w:szCs w:val="24"/>
          <w:lang w:eastAsia="ja-JP"/>
        </w:rPr>
        <w:t>PLx</w:t>
      </w:r>
      <w:proofErr w:type="spellEnd"/>
      <w:r w:rsidRPr="00987D4E">
        <w:rPr>
          <w:rFonts w:asciiTheme="minorBidi" w:hAnsiTheme="minorBidi"/>
          <w:sz w:val="24"/>
          <w:szCs w:val="24"/>
          <w:lang w:eastAsia="ja-JP"/>
        </w:rPr>
        <w:t xml:space="preserve"> Pharma, Takeda.</w:t>
      </w:r>
    </w:p>
    <w:p w:rsidR="00D31581" w:rsidRDefault="00D31581" w:rsidP="00D31581">
      <w:pPr>
        <w:bidi w:val="0"/>
        <w:spacing w:line="360" w:lineRule="auto"/>
        <w:rPr>
          <w:rFonts w:asciiTheme="minorBidi" w:hAnsiTheme="minorBidi"/>
          <w:sz w:val="24"/>
          <w:szCs w:val="24"/>
          <w:lang w:eastAsia="ja-JP"/>
        </w:rPr>
      </w:pPr>
      <w:r w:rsidRPr="00987D4E">
        <w:rPr>
          <w:rFonts w:asciiTheme="minorBidi" w:hAnsiTheme="minorBidi"/>
          <w:sz w:val="24"/>
          <w:szCs w:val="24"/>
          <w:lang w:eastAsia="ja-JP"/>
        </w:rPr>
        <w:t>L</w:t>
      </w:r>
      <w:r>
        <w:rPr>
          <w:rFonts w:asciiTheme="minorBidi" w:hAnsiTheme="minorBidi"/>
          <w:sz w:val="24"/>
          <w:szCs w:val="24"/>
          <w:lang w:eastAsia="ja-JP"/>
        </w:rPr>
        <w:t>.</w:t>
      </w:r>
      <w:r w:rsidRPr="00987D4E">
        <w:rPr>
          <w:rFonts w:asciiTheme="minorBidi" w:hAnsiTheme="minorBidi"/>
          <w:sz w:val="24"/>
          <w:szCs w:val="24"/>
          <w:lang w:eastAsia="ja-JP"/>
        </w:rPr>
        <w:t>A</w:t>
      </w:r>
      <w:r>
        <w:rPr>
          <w:rFonts w:asciiTheme="minorBidi" w:hAnsiTheme="minorBidi"/>
          <w:sz w:val="24"/>
          <w:szCs w:val="24"/>
          <w:lang w:eastAsia="ja-JP"/>
        </w:rPr>
        <w:t>.</w:t>
      </w:r>
      <w:r w:rsidRPr="00987D4E">
        <w:rPr>
          <w:rFonts w:asciiTheme="minorBidi" w:hAnsiTheme="minorBidi"/>
          <w:sz w:val="24"/>
          <w:szCs w:val="24"/>
          <w:lang w:eastAsia="ja-JP"/>
        </w:rPr>
        <w:t>L</w:t>
      </w:r>
      <w:r>
        <w:rPr>
          <w:rFonts w:asciiTheme="minorBidi" w:hAnsiTheme="minorBidi"/>
          <w:sz w:val="24"/>
          <w:szCs w:val="24"/>
          <w:lang w:eastAsia="ja-JP"/>
        </w:rPr>
        <w:t>.</w:t>
      </w:r>
      <w:r w:rsidRPr="00987D4E">
        <w:rPr>
          <w:rFonts w:asciiTheme="minorBidi" w:hAnsiTheme="minorBidi"/>
          <w:sz w:val="24"/>
          <w:szCs w:val="24"/>
          <w:lang w:eastAsia="ja-JP"/>
        </w:rPr>
        <w:t xml:space="preserve"> </w:t>
      </w:r>
      <w:r>
        <w:rPr>
          <w:rFonts w:asciiTheme="minorBidi" w:hAnsiTheme="minorBidi"/>
          <w:sz w:val="24"/>
          <w:szCs w:val="24"/>
          <w:lang w:eastAsia="ja-JP"/>
        </w:rPr>
        <w:t xml:space="preserve">discloses the following relationships: </w:t>
      </w:r>
      <w:r w:rsidRPr="00987D4E">
        <w:rPr>
          <w:rFonts w:asciiTheme="minorBidi" w:hAnsiTheme="minorBidi"/>
          <w:sz w:val="24"/>
          <w:szCs w:val="24"/>
          <w:lang w:eastAsia="ja-JP"/>
        </w:rPr>
        <w:t xml:space="preserve"> received research funding from, has provided CME on behalf of, and/or has acted as an advisor to: AstraZeneca, </w:t>
      </w:r>
      <w:proofErr w:type="spellStart"/>
      <w:r w:rsidRPr="00987D4E">
        <w:rPr>
          <w:rFonts w:asciiTheme="minorBidi" w:hAnsiTheme="minorBidi"/>
          <w:sz w:val="24"/>
          <w:szCs w:val="24"/>
          <w:lang w:eastAsia="ja-JP"/>
        </w:rPr>
        <w:t>Boehringer</w:t>
      </w:r>
      <w:proofErr w:type="spellEnd"/>
      <w:r w:rsidRPr="00987D4E">
        <w:rPr>
          <w:rFonts w:asciiTheme="minorBidi" w:hAnsiTheme="minorBidi"/>
          <w:sz w:val="24"/>
          <w:szCs w:val="24"/>
          <w:lang w:eastAsia="ja-JP"/>
        </w:rPr>
        <w:t xml:space="preserve"> </w:t>
      </w:r>
      <w:proofErr w:type="spellStart"/>
      <w:r w:rsidRPr="00987D4E">
        <w:rPr>
          <w:rFonts w:asciiTheme="minorBidi" w:hAnsiTheme="minorBidi"/>
          <w:sz w:val="24"/>
          <w:szCs w:val="24"/>
          <w:lang w:eastAsia="ja-JP"/>
        </w:rPr>
        <w:t>Ingelheim</w:t>
      </w:r>
      <w:proofErr w:type="spellEnd"/>
      <w:r w:rsidRPr="00987D4E">
        <w:rPr>
          <w:rFonts w:asciiTheme="minorBidi" w:hAnsiTheme="minorBidi"/>
          <w:sz w:val="24"/>
          <w:szCs w:val="24"/>
          <w:lang w:eastAsia="ja-JP"/>
        </w:rPr>
        <w:t>, Eli Lilly, GSK, Janssen, Merck</w:t>
      </w:r>
      <w:r>
        <w:rPr>
          <w:rFonts w:asciiTheme="minorBidi" w:hAnsiTheme="minorBidi"/>
          <w:sz w:val="24"/>
          <w:szCs w:val="24"/>
          <w:lang w:eastAsia="ja-JP"/>
        </w:rPr>
        <w:t xml:space="preserve">, Novo Nordisk, Sanofi, </w:t>
      </w:r>
      <w:proofErr w:type="spellStart"/>
      <w:r>
        <w:rPr>
          <w:rFonts w:asciiTheme="minorBidi" w:hAnsiTheme="minorBidi"/>
          <w:sz w:val="24"/>
          <w:szCs w:val="24"/>
          <w:lang w:eastAsia="ja-JP"/>
        </w:rPr>
        <w:t>Servier</w:t>
      </w:r>
      <w:proofErr w:type="spellEnd"/>
      <w:r>
        <w:rPr>
          <w:rFonts w:asciiTheme="minorBidi" w:hAnsiTheme="minorBidi"/>
          <w:sz w:val="24"/>
          <w:szCs w:val="24"/>
          <w:lang w:eastAsia="ja-JP"/>
        </w:rPr>
        <w:t>.</w:t>
      </w:r>
      <w:r w:rsidRPr="00987D4E">
        <w:rPr>
          <w:rFonts w:asciiTheme="minorBidi" w:hAnsiTheme="minorBidi"/>
          <w:sz w:val="24"/>
          <w:szCs w:val="24"/>
          <w:lang w:eastAsia="ja-JP"/>
        </w:rPr>
        <w:t xml:space="preserve"> </w:t>
      </w:r>
    </w:p>
    <w:p w:rsidR="00D31581" w:rsidRDefault="00D31581" w:rsidP="00D31581">
      <w:pPr>
        <w:bidi w:val="0"/>
        <w:spacing w:line="360" w:lineRule="auto"/>
        <w:rPr>
          <w:rFonts w:asciiTheme="minorBidi" w:hAnsiTheme="minorBidi"/>
          <w:sz w:val="24"/>
          <w:szCs w:val="24"/>
          <w:lang w:eastAsia="ja-JP"/>
        </w:rPr>
      </w:pPr>
      <w:r>
        <w:rPr>
          <w:rFonts w:asciiTheme="minorBidi" w:hAnsiTheme="minorBidi"/>
          <w:sz w:val="24"/>
          <w:szCs w:val="24"/>
        </w:rPr>
        <w:t>D.K.M.</w:t>
      </w:r>
      <w:r w:rsidRPr="00987D4E">
        <w:rPr>
          <w:rFonts w:asciiTheme="minorBidi" w:hAnsiTheme="minorBidi"/>
          <w:sz w:val="24"/>
          <w:szCs w:val="24"/>
        </w:rPr>
        <w:t xml:space="preserve"> discloses the following relationships</w:t>
      </w:r>
      <w:r>
        <w:rPr>
          <w:rFonts w:asciiTheme="minorBidi" w:hAnsiTheme="minorBidi"/>
          <w:sz w:val="24"/>
          <w:szCs w:val="24"/>
        </w:rPr>
        <w:t xml:space="preserve">: </w:t>
      </w:r>
      <w:r w:rsidRPr="00987D4E">
        <w:rPr>
          <w:rFonts w:asciiTheme="minorBidi" w:hAnsiTheme="minorBidi"/>
          <w:sz w:val="24"/>
          <w:szCs w:val="24"/>
        </w:rPr>
        <w:t xml:space="preserve">honoraria for clinical trials leadership: Astra Zeneca, Sanofi Aventis, Janssen, </w:t>
      </w:r>
      <w:proofErr w:type="spellStart"/>
      <w:r w:rsidRPr="00987D4E">
        <w:rPr>
          <w:rFonts w:asciiTheme="minorBidi" w:hAnsiTheme="minorBidi"/>
          <w:sz w:val="24"/>
          <w:szCs w:val="24"/>
        </w:rPr>
        <w:t>Boehringer</w:t>
      </w:r>
      <w:proofErr w:type="spellEnd"/>
      <w:r w:rsidRPr="00987D4E">
        <w:rPr>
          <w:rFonts w:asciiTheme="minorBidi" w:hAnsiTheme="minorBidi"/>
          <w:sz w:val="24"/>
          <w:szCs w:val="24"/>
        </w:rPr>
        <w:t xml:space="preserve"> </w:t>
      </w:r>
      <w:proofErr w:type="spellStart"/>
      <w:r w:rsidRPr="00987D4E">
        <w:rPr>
          <w:rFonts w:asciiTheme="minorBidi" w:hAnsiTheme="minorBidi"/>
          <w:sz w:val="24"/>
          <w:szCs w:val="24"/>
        </w:rPr>
        <w:t>Ingelheim</w:t>
      </w:r>
      <w:proofErr w:type="spellEnd"/>
      <w:r w:rsidRPr="00987D4E">
        <w:rPr>
          <w:rFonts w:asciiTheme="minorBidi" w:hAnsiTheme="minorBidi"/>
          <w:sz w:val="24"/>
          <w:szCs w:val="24"/>
        </w:rPr>
        <w:t xml:space="preserve">, Merck &amp; Co, Novo Nordisk, Lexicon, Eisai, GlaxoSmithKline, Esperion; honoraria for consultancy: AstraZeneca, Sanofi Aventis, Lilly US, </w:t>
      </w:r>
      <w:proofErr w:type="spellStart"/>
      <w:r w:rsidRPr="00987D4E">
        <w:rPr>
          <w:rFonts w:asciiTheme="minorBidi" w:hAnsiTheme="minorBidi"/>
          <w:sz w:val="24"/>
          <w:szCs w:val="24"/>
        </w:rPr>
        <w:t>Boehringer</w:t>
      </w:r>
      <w:proofErr w:type="spellEnd"/>
      <w:r w:rsidRPr="00987D4E">
        <w:rPr>
          <w:rFonts w:asciiTheme="minorBidi" w:hAnsiTheme="minorBidi"/>
          <w:sz w:val="24"/>
          <w:szCs w:val="24"/>
        </w:rPr>
        <w:t xml:space="preserve"> </w:t>
      </w:r>
      <w:proofErr w:type="spellStart"/>
      <w:r w:rsidRPr="00987D4E">
        <w:rPr>
          <w:rFonts w:asciiTheme="minorBidi" w:hAnsiTheme="minorBidi"/>
          <w:sz w:val="24"/>
          <w:szCs w:val="24"/>
        </w:rPr>
        <w:t>Ingelheim</w:t>
      </w:r>
      <w:proofErr w:type="spellEnd"/>
      <w:r w:rsidRPr="00987D4E">
        <w:rPr>
          <w:rFonts w:asciiTheme="minorBidi" w:hAnsiTheme="minorBidi"/>
          <w:sz w:val="24"/>
          <w:szCs w:val="24"/>
        </w:rPr>
        <w:t>, Merck &amp; Co, Pfizer, Novo Nordisk.</w:t>
      </w:r>
    </w:p>
    <w:p w:rsidR="00D31581" w:rsidRPr="00987D4E" w:rsidRDefault="00D31581" w:rsidP="00D31581">
      <w:pPr>
        <w:bidi w:val="0"/>
        <w:spacing w:line="360" w:lineRule="auto"/>
        <w:rPr>
          <w:rFonts w:asciiTheme="minorBidi" w:hAnsiTheme="minorBidi"/>
          <w:sz w:val="24"/>
          <w:szCs w:val="24"/>
          <w:lang w:eastAsia="ja-JP"/>
        </w:rPr>
      </w:pPr>
    </w:p>
    <w:p w:rsidR="00D31581" w:rsidRPr="00990601" w:rsidRDefault="00D31581" w:rsidP="00D31581">
      <w:pPr>
        <w:bidi w:val="0"/>
        <w:spacing w:line="360" w:lineRule="auto"/>
        <w:rPr>
          <w:rFonts w:asciiTheme="minorBidi" w:hAnsiTheme="minorBidi"/>
          <w:sz w:val="24"/>
          <w:szCs w:val="24"/>
          <w:lang w:val="en-GB" w:eastAsia="ja-JP"/>
        </w:rPr>
      </w:pPr>
      <w:r w:rsidRPr="00987D4E">
        <w:rPr>
          <w:rFonts w:asciiTheme="minorBidi" w:hAnsiTheme="minorBidi"/>
          <w:sz w:val="24"/>
          <w:szCs w:val="24"/>
          <w:lang w:eastAsia="ja-JP"/>
        </w:rPr>
        <w:t>J</w:t>
      </w:r>
      <w:r>
        <w:rPr>
          <w:rFonts w:asciiTheme="minorBidi" w:hAnsiTheme="minorBidi"/>
          <w:sz w:val="24"/>
          <w:szCs w:val="24"/>
          <w:lang w:eastAsia="ja-JP"/>
        </w:rPr>
        <w:t>.</w:t>
      </w:r>
      <w:r w:rsidRPr="00987D4E">
        <w:rPr>
          <w:rFonts w:asciiTheme="minorBidi" w:hAnsiTheme="minorBidi"/>
          <w:sz w:val="24"/>
          <w:szCs w:val="24"/>
          <w:lang w:eastAsia="ja-JP"/>
        </w:rPr>
        <w:t>W</w:t>
      </w:r>
      <w:r>
        <w:rPr>
          <w:rFonts w:asciiTheme="minorBidi" w:hAnsiTheme="minorBidi"/>
          <w:sz w:val="24"/>
          <w:szCs w:val="24"/>
          <w:lang w:eastAsia="ja-JP"/>
        </w:rPr>
        <w:t>.</w:t>
      </w:r>
      <w:r w:rsidRPr="00987D4E">
        <w:rPr>
          <w:rFonts w:asciiTheme="minorBidi" w:hAnsiTheme="minorBidi"/>
          <w:sz w:val="24"/>
          <w:szCs w:val="24"/>
          <w:lang w:eastAsia="ja-JP"/>
        </w:rPr>
        <w:t xml:space="preserve"> </w:t>
      </w:r>
      <w:r>
        <w:rPr>
          <w:rFonts w:asciiTheme="minorBidi" w:hAnsiTheme="minorBidi"/>
          <w:sz w:val="24"/>
          <w:szCs w:val="24"/>
          <w:lang w:eastAsia="ja-JP"/>
        </w:rPr>
        <w:t>discloses the following relationships:</w:t>
      </w:r>
      <w:r w:rsidRPr="00987D4E">
        <w:rPr>
          <w:rFonts w:asciiTheme="minorBidi" w:hAnsiTheme="minorBidi"/>
          <w:sz w:val="24"/>
          <w:szCs w:val="24"/>
          <w:lang w:val="en-GB" w:eastAsia="ja-JP"/>
        </w:rPr>
        <w:t xml:space="preserve"> lecture fees from </w:t>
      </w:r>
      <w:proofErr w:type="spellStart"/>
      <w:r w:rsidRPr="00987D4E">
        <w:rPr>
          <w:rFonts w:asciiTheme="minorBidi" w:hAnsiTheme="minorBidi"/>
          <w:sz w:val="24"/>
          <w:szCs w:val="24"/>
          <w:lang w:val="en-GB" w:eastAsia="ja-JP"/>
        </w:rPr>
        <w:t>Astellas</w:t>
      </w:r>
      <w:proofErr w:type="spellEnd"/>
      <w:r w:rsidRPr="00987D4E">
        <w:rPr>
          <w:rFonts w:asciiTheme="minorBidi" w:hAnsiTheme="minorBidi"/>
          <w:sz w:val="24"/>
          <w:szCs w:val="24"/>
          <w:lang w:val="en-GB" w:eastAsia="ja-JP"/>
        </w:rPr>
        <w:t xml:space="preserve">, AstraZeneca, </w:t>
      </w:r>
      <w:proofErr w:type="spellStart"/>
      <w:r w:rsidRPr="00987D4E">
        <w:rPr>
          <w:rFonts w:asciiTheme="minorBidi" w:hAnsiTheme="minorBidi"/>
          <w:sz w:val="24"/>
          <w:szCs w:val="24"/>
          <w:lang w:val="en-GB" w:eastAsia="ja-JP"/>
        </w:rPr>
        <w:t>Boehringer</w:t>
      </w:r>
      <w:proofErr w:type="spellEnd"/>
      <w:r w:rsidRPr="00987D4E">
        <w:rPr>
          <w:rFonts w:asciiTheme="minorBidi" w:hAnsiTheme="minorBidi"/>
          <w:sz w:val="24"/>
          <w:szCs w:val="24"/>
          <w:lang w:val="en-GB" w:eastAsia="ja-JP"/>
        </w:rPr>
        <w:t xml:space="preserve"> </w:t>
      </w:r>
      <w:proofErr w:type="spellStart"/>
      <w:r w:rsidRPr="00990601">
        <w:rPr>
          <w:rFonts w:asciiTheme="minorBidi" w:hAnsiTheme="minorBidi"/>
          <w:sz w:val="24"/>
          <w:szCs w:val="24"/>
          <w:lang w:val="en-GB" w:eastAsia="ja-JP"/>
        </w:rPr>
        <w:t>Ingelheim</w:t>
      </w:r>
      <w:proofErr w:type="spellEnd"/>
      <w:r w:rsidRPr="00990601">
        <w:rPr>
          <w:rFonts w:asciiTheme="minorBidi" w:hAnsiTheme="minorBidi"/>
          <w:sz w:val="24"/>
          <w:szCs w:val="24"/>
          <w:lang w:val="en-GB" w:eastAsia="ja-JP"/>
        </w:rPr>
        <w:t xml:space="preserve">, Janssen, Lilly, Novo Nordisk, </w:t>
      </w:r>
      <w:r>
        <w:rPr>
          <w:rFonts w:asciiTheme="minorBidi" w:hAnsiTheme="minorBidi"/>
          <w:sz w:val="24"/>
          <w:szCs w:val="24"/>
          <w:lang w:val="en-GB" w:eastAsia="ja-JP"/>
        </w:rPr>
        <w:t xml:space="preserve">Merck, </w:t>
      </w:r>
      <w:proofErr w:type="spellStart"/>
      <w:r w:rsidRPr="00990601">
        <w:rPr>
          <w:rFonts w:asciiTheme="minorBidi" w:hAnsiTheme="minorBidi"/>
          <w:sz w:val="24"/>
          <w:szCs w:val="24"/>
          <w:lang w:val="en-GB" w:eastAsia="ja-JP"/>
        </w:rPr>
        <w:t>Orexigen</w:t>
      </w:r>
      <w:proofErr w:type="spellEnd"/>
      <w:r w:rsidRPr="00990601">
        <w:rPr>
          <w:rFonts w:asciiTheme="minorBidi" w:hAnsiTheme="minorBidi"/>
          <w:sz w:val="24"/>
          <w:szCs w:val="24"/>
          <w:lang w:val="en-GB" w:eastAsia="ja-JP"/>
        </w:rPr>
        <w:t xml:space="preserve">, Sanofi; consultancy (Institutional) from AstraZeneca, </w:t>
      </w:r>
      <w:proofErr w:type="spellStart"/>
      <w:r w:rsidRPr="00990601">
        <w:rPr>
          <w:rFonts w:asciiTheme="minorBidi" w:hAnsiTheme="minorBidi"/>
          <w:sz w:val="24"/>
          <w:szCs w:val="24"/>
          <w:lang w:val="en-GB" w:eastAsia="ja-JP"/>
        </w:rPr>
        <w:t>Boehringer</w:t>
      </w:r>
      <w:proofErr w:type="spellEnd"/>
      <w:r w:rsidRPr="00990601">
        <w:rPr>
          <w:rFonts w:asciiTheme="minorBidi" w:hAnsiTheme="minorBidi"/>
          <w:sz w:val="24"/>
          <w:szCs w:val="24"/>
          <w:lang w:val="en-GB" w:eastAsia="ja-JP"/>
        </w:rPr>
        <w:t xml:space="preserve"> </w:t>
      </w:r>
      <w:proofErr w:type="spellStart"/>
      <w:r w:rsidRPr="00990601">
        <w:rPr>
          <w:rFonts w:asciiTheme="minorBidi" w:hAnsiTheme="minorBidi"/>
          <w:sz w:val="24"/>
          <w:szCs w:val="24"/>
          <w:lang w:val="en-GB" w:eastAsia="ja-JP"/>
        </w:rPr>
        <w:t>Ingelheim</w:t>
      </w:r>
      <w:proofErr w:type="spellEnd"/>
      <w:r w:rsidRPr="00990601">
        <w:rPr>
          <w:rFonts w:asciiTheme="minorBidi" w:hAnsiTheme="minorBidi"/>
          <w:sz w:val="24"/>
          <w:szCs w:val="24"/>
          <w:lang w:val="en-GB" w:eastAsia="ja-JP"/>
        </w:rPr>
        <w:t xml:space="preserve">, Janssen, Lilly, and </w:t>
      </w:r>
      <w:proofErr w:type="spellStart"/>
      <w:r w:rsidRPr="00990601">
        <w:rPr>
          <w:rFonts w:asciiTheme="minorBidi" w:hAnsiTheme="minorBidi"/>
          <w:sz w:val="24"/>
          <w:szCs w:val="24"/>
          <w:lang w:val="en-GB" w:eastAsia="ja-JP"/>
        </w:rPr>
        <w:t>Orexigen</w:t>
      </w:r>
      <w:proofErr w:type="spellEnd"/>
      <w:r w:rsidRPr="00990601">
        <w:rPr>
          <w:rFonts w:asciiTheme="minorBidi" w:hAnsiTheme="minorBidi"/>
          <w:sz w:val="24"/>
          <w:szCs w:val="24"/>
          <w:lang w:val="en-GB" w:eastAsia="ja-JP"/>
        </w:rPr>
        <w:t>; and grants to institution</w:t>
      </w:r>
      <w:r w:rsidRPr="00987D4E">
        <w:rPr>
          <w:rFonts w:asciiTheme="minorBidi" w:hAnsiTheme="minorBidi"/>
          <w:sz w:val="24"/>
          <w:szCs w:val="24"/>
          <w:lang w:val="en-GB" w:eastAsia="ja-JP"/>
        </w:rPr>
        <w:t xml:space="preserve"> </w:t>
      </w:r>
      <w:r w:rsidRPr="00FD4674">
        <w:rPr>
          <w:rFonts w:asciiTheme="minorBidi" w:hAnsiTheme="minorBidi"/>
          <w:sz w:val="24"/>
          <w:szCs w:val="24"/>
          <w:lang w:val="en-GB" w:eastAsia="ja-JP"/>
        </w:rPr>
        <w:t>from Takeda, Novo Nordisk and AstraZeneca</w:t>
      </w:r>
      <w:r>
        <w:rPr>
          <w:rFonts w:asciiTheme="minorBidi" w:hAnsiTheme="minorBidi"/>
          <w:sz w:val="24"/>
          <w:szCs w:val="24"/>
          <w:lang w:val="en-GB" w:eastAsia="ja-JP"/>
        </w:rPr>
        <w:t>.</w:t>
      </w:r>
    </w:p>
    <w:p w:rsidR="00D31581" w:rsidRPr="00987D4E" w:rsidRDefault="00D31581" w:rsidP="00D31581">
      <w:pPr>
        <w:bidi w:val="0"/>
        <w:spacing w:line="360" w:lineRule="auto"/>
        <w:rPr>
          <w:rFonts w:asciiTheme="minorBidi" w:hAnsiTheme="minorBidi"/>
          <w:sz w:val="24"/>
          <w:szCs w:val="24"/>
          <w:lang w:eastAsia="ja-JP"/>
        </w:rPr>
      </w:pPr>
      <w:r w:rsidRPr="00987D4E">
        <w:rPr>
          <w:rFonts w:asciiTheme="minorBidi" w:hAnsiTheme="minorBidi"/>
          <w:sz w:val="24"/>
          <w:szCs w:val="24"/>
          <w:lang w:val="en-GB" w:eastAsia="ja-JP"/>
        </w:rPr>
        <w:t>.</w:t>
      </w:r>
    </w:p>
    <w:p w:rsidR="00D31581" w:rsidRPr="00987D4E" w:rsidRDefault="00D31581" w:rsidP="00D31581">
      <w:pPr>
        <w:bidi w:val="0"/>
        <w:spacing w:line="360" w:lineRule="auto"/>
        <w:outlineLvl w:val="0"/>
        <w:rPr>
          <w:rFonts w:asciiTheme="minorBidi" w:hAnsiTheme="minorBidi"/>
          <w:sz w:val="24"/>
          <w:szCs w:val="24"/>
        </w:rPr>
      </w:pPr>
      <w:r w:rsidRPr="00987D4E">
        <w:rPr>
          <w:rFonts w:asciiTheme="minorBidi" w:hAnsiTheme="minorBidi"/>
          <w:sz w:val="24"/>
          <w:szCs w:val="24"/>
        </w:rPr>
        <w:t>I</w:t>
      </w:r>
      <w:r>
        <w:rPr>
          <w:rFonts w:asciiTheme="minorBidi" w:hAnsiTheme="minorBidi"/>
          <w:sz w:val="24"/>
          <w:szCs w:val="24"/>
        </w:rPr>
        <w:t>.</w:t>
      </w:r>
      <w:r w:rsidRPr="00987D4E">
        <w:rPr>
          <w:rFonts w:asciiTheme="minorBidi" w:hAnsiTheme="minorBidi"/>
          <w:sz w:val="24"/>
          <w:szCs w:val="24"/>
        </w:rPr>
        <w:t>G</w:t>
      </w:r>
      <w:r>
        <w:rPr>
          <w:rFonts w:asciiTheme="minorBidi" w:hAnsiTheme="minorBidi"/>
          <w:sz w:val="24"/>
          <w:szCs w:val="24"/>
        </w:rPr>
        <w:t>.</w:t>
      </w:r>
      <w:r w:rsidRPr="00987D4E">
        <w:rPr>
          <w:rFonts w:asciiTheme="minorBidi" w:hAnsiTheme="minorBidi"/>
          <w:sz w:val="24"/>
          <w:szCs w:val="24"/>
        </w:rPr>
        <w:t>N</w:t>
      </w:r>
      <w:r>
        <w:rPr>
          <w:rFonts w:asciiTheme="minorBidi" w:hAnsiTheme="minorBidi"/>
          <w:sz w:val="24"/>
          <w:szCs w:val="24"/>
        </w:rPr>
        <w:t>.</w:t>
      </w:r>
      <w:r w:rsidRPr="00987D4E">
        <w:rPr>
          <w:rFonts w:asciiTheme="minorBidi" w:hAnsiTheme="minorBidi"/>
          <w:sz w:val="24"/>
          <w:szCs w:val="24"/>
        </w:rPr>
        <w:t>, A</w:t>
      </w:r>
      <w:r>
        <w:rPr>
          <w:rFonts w:asciiTheme="minorBidi" w:hAnsiTheme="minorBidi"/>
          <w:sz w:val="24"/>
          <w:szCs w:val="24"/>
        </w:rPr>
        <w:t>.</w:t>
      </w:r>
      <w:r w:rsidRPr="00987D4E">
        <w:rPr>
          <w:rFonts w:asciiTheme="minorBidi" w:hAnsiTheme="minorBidi"/>
          <w:sz w:val="24"/>
          <w:szCs w:val="24"/>
        </w:rPr>
        <w:t>M</w:t>
      </w:r>
      <w:r>
        <w:rPr>
          <w:rFonts w:asciiTheme="minorBidi" w:hAnsiTheme="minorBidi"/>
          <w:sz w:val="24"/>
          <w:szCs w:val="24"/>
        </w:rPr>
        <w:t>.</w:t>
      </w:r>
      <w:r w:rsidRPr="00987D4E">
        <w:rPr>
          <w:rFonts w:asciiTheme="minorBidi" w:hAnsiTheme="minorBidi"/>
          <w:sz w:val="24"/>
          <w:szCs w:val="24"/>
        </w:rPr>
        <w:t>L</w:t>
      </w:r>
      <w:r>
        <w:rPr>
          <w:rFonts w:asciiTheme="minorBidi" w:hAnsiTheme="minorBidi"/>
          <w:sz w:val="24"/>
          <w:szCs w:val="24"/>
        </w:rPr>
        <w:t>.</w:t>
      </w:r>
      <w:r w:rsidRPr="00987D4E">
        <w:rPr>
          <w:rFonts w:asciiTheme="minorBidi" w:hAnsiTheme="minorBidi"/>
          <w:sz w:val="24"/>
          <w:szCs w:val="24"/>
        </w:rPr>
        <w:t xml:space="preserve"> and P</w:t>
      </w:r>
      <w:r>
        <w:rPr>
          <w:rFonts w:asciiTheme="minorBidi" w:hAnsiTheme="minorBidi"/>
          <w:sz w:val="24"/>
          <w:szCs w:val="24"/>
        </w:rPr>
        <w:t>.A.</w:t>
      </w:r>
      <w:r w:rsidRPr="00987D4E">
        <w:rPr>
          <w:rFonts w:asciiTheme="minorBidi" w:hAnsiTheme="minorBidi"/>
          <w:sz w:val="24"/>
          <w:szCs w:val="24"/>
        </w:rPr>
        <w:t>J</w:t>
      </w:r>
      <w:r>
        <w:rPr>
          <w:rFonts w:asciiTheme="minorBidi" w:hAnsiTheme="minorBidi"/>
          <w:sz w:val="24"/>
          <w:szCs w:val="24"/>
        </w:rPr>
        <w:t>.</w:t>
      </w:r>
      <w:r w:rsidRPr="00987D4E">
        <w:rPr>
          <w:rFonts w:asciiTheme="minorBidi" w:hAnsiTheme="minorBidi"/>
          <w:sz w:val="24"/>
          <w:szCs w:val="24"/>
        </w:rPr>
        <w:t xml:space="preserve"> are employees and shareholders of AstraZeneca</w:t>
      </w:r>
      <w:r>
        <w:rPr>
          <w:rFonts w:asciiTheme="minorBidi" w:hAnsiTheme="minorBidi"/>
          <w:sz w:val="24"/>
          <w:szCs w:val="24"/>
        </w:rPr>
        <w:t>.</w:t>
      </w:r>
    </w:p>
    <w:p w:rsidR="00D31581" w:rsidRPr="000B02B1" w:rsidRDefault="00D31581" w:rsidP="00D31581">
      <w:pPr>
        <w:bidi w:val="0"/>
        <w:spacing w:line="360" w:lineRule="auto"/>
        <w:outlineLvl w:val="0"/>
        <w:rPr>
          <w:rFonts w:asciiTheme="minorBidi" w:hAnsiTheme="minorBidi"/>
          <w:sz w:val="24"/>
          <w:szCs w:val="24"/>
        </w:rPr>
      </w:pPr>
      <w:r>
        <w:rPr>
          <w:rFonts w:asciiTheme="minorBidi" w:hAnsiTheme="minorBidi"/>
          <w:sz w:val="24"/>
          <w:szCs w:val="24"/>
        </w:rPr>
        <w:t xml:space="preserve">M.S.S. discloses the following relationships: research support through hospital from </w:t>
      </w:r>
      <w:r w:rsidRPr="000B02B1">
        <w:rPr>
          <w:rFonts w:asciiTheme="minorBidi" w:hAnsiTheme="minorBidi"/>
          <w:color w:val="212121"/>
          <w:sz w:val="24"/>
          <w:szCs w:val="24"/>
        </w:rPr>
        <w:t>Amgen; AstraZeneca; Daiichi-Sankyo</w:t>
      </w:r>
      <w:r w:rsidRPr="000B02B1">
        <w:rPr>
          <w:rFonts w:asciiTheme="minorBidi" w:hAnsiTheme="minorBidi"/>
          <w:color w:val="212121"/>
          <w:sz w:val="24"/>
          <w:szCs w:val="24"/>
          <w:rtl/>
        </w:rPr>
        <w:t xml:space="preserve">; </w:t>
      </w:r>
      <w:r w:rsidRPr="000B02B1">
        <w:rPr>
          <w:rFonts w:asciiTheme="minorBidi" w:hAnsiTheme="minorBidi"/>
          <w:color w:val="212121"/>
          <w:sz w:val="24"/>
          <w:szCs w:val="24"/>
        </w:rPr>
        <w:t xml:space="preserve">Eisai; GlaxoSmithKline; </w:t>
      </w:r>
      <w:proofErr w:type="spellStart"/>
      <w:r w:rsidRPr="000B02B1">
        <w:rPr>
          <w:rFonts w:asciiTheme="minorBidi" w:hAnsiTheme="minorBidi"/>
          <w:color w:val="212121"/>
          <w:sz w:val="24"/>
          <w:szCs w:val="24"/>
        </w:rPr>
        <w:t>Intarcia</w:t>
      </w:r>
      <w:proofErr w:type="spellEnd"/>
      <w:r w:rsidRPr="000B02B1">
        <w:rPr>
          <w:rFonts w:asciiTheme="minorBidi" w:hAnsiTheme="minorBidi"/>
          <w:color w:val="212121"/>
          <w:sz w:val="24"/>
          <w:szCs w:val="24"/>
        </w:rPr>
        <w:t xml:space="preserve">; Janssen Research and Development; Medicines Company; </w:t>
      </w:r>
      <w:proofErr w:type="spellStart"/>
      <w:r w:rsidRPr="000B02B1">
        <w:rPr>
          <w:rFonts w:asciiTheme="minorBidi" w:hAnsiTheme="minorBidi"/>
          <w:color w:val="212121"/>
          <w:sz w:val="24"/>
          <w:szCs w:val="24"/>
        </w:rPr>
        <w:t>MedImmune</w:t>
      </w:r>
      <w:proofErr w:type="spellEnd"/>
      <w:r w:rsidRPr="000B02B1">
        <w:rPr>
          <w:rFonts w:asciiTheme="minorBidi" w:hAnsiTheme="minorBidi"/>
          <w:color w:val="212121"/>
          <w:sz w:val="24"/>
          <w:szCs w:val="24"/>
        </w:rPr>
        <w:t xml:space="preserve">; Merck; Novartis; Pfizer; </w:t>
      </w:r>
      <w:proofErr w:type="spellStart"/>
      <w:r w:rsidRPr="000B02B1">
        <w:rPr>
          <w:rFonts w:asciiTheme="minorBidi" w:hAnsiTheme="minorBidi"/>
          <w:color w:val="212121"/>
          <w:sz w:val="24"/>
          <w:szCs w:val="24"/>
        </w:rPr>
        <w:t>Poxel</w:t>
      </w:r>
      <w:proofErr w:type="spellEnd"/>
      <w:r w:rsidRPr="000B02B1">
        <w:rPr>
          <w:rFonts w:asciiTheme="minorBidi" w:hAnsiTheme="minorBidi"/>
          <w:color w:val="212121"/>
          <w:sz w:val="24"/>
          <w:szCs w:val="24"/>
        </w:rPr>
        <w:t>; Takeda</w:t>
      </w:r>
      <w:r>
        <w:rPr>
          <w:rFonts w:asciiTheme="minorBidi" w:hAnsiTheme="minorBidi"/>
          <w:sz w:val="24"/>
          <w:szCs w:val="24"/>
        </w:rPr>
        <w:t>; and consulting fees from</w:t>
      </w:r>
      <w:r w:rsidRPr="000B02B1">
        <w:rPr>
          <w:rFonts w:asciiTheme="minorBidi" w:hAnsiTheme="minorBidi"/>
          <w:sz w:val="24"/>
          <w:szCs w:val="24"/>
        </w:rPr>
        <w:t xml:space="preserve">: </w:t>
      </w:r>
      <w:r w:rsidRPr="000B02B1">
        <w:rPr>
          <w:rFonts w:asciiTheme="minorBidi" w:hAnsiTheme="minorBidi"/>
          <w:color w:val="212121"/>
          <w:sz w:val="24"/>
          <w:szCs w:val="24"/>
        </w:rPr>
        <w:t xml:space="preserve">Amgen; CVS Caremark; Esperion; </w:t>
      </w:r>
      <w:proofErr w:type="spellStart"/>
      <w:r w:rsidRPr="000B02B1">
        <w:rPr>
          <w:rFonts w:asciiTheme="minorBidi" w:hAnsiTheme="minorBidi"/>
          <w:color w:val="212121"/>
          <w:sz w:val="24"/>
          <w:szCs w:val="24"/>
        </w:rPr>
        <w:t>Intarcia</w:t>
      </w:r>
      <w:proofErr w:type="spellEnd"/>
      <w:r w:rsidRPr="000B02B1">
        <w:rPr>
          <w:rFonts w:asciiTheme="minorBidi" w:hAnsiTheme="minorBidi"/>
          <w:color w:val="212121"/>
          <w:sz w:val="24"/>
          <w:szCs w:val="24"/>
        </w:rPr>
        <w:t>; Janssen Research and Development</w:t>
      </w:r>
      <w:r w:rsidRPr="000B02B1">
        <w:rPr>
          <w:rFonts w:asciiTheme="minorBidi" w:hAnsiTheme="minorBidi"/>
          <w:color w:val="212121"/>
          <w:sz w:val="24"/>
          <w:szCs w:val="24"/>
          <w:rtl/>
        </w:rPr>
        <w:t xml:space="preserve">; </w:t>
      </w:r>
      <w:proofErr w:type="spellStart"/>
      <w:r w:rsidRPr="000B02B1">
        <w:rPr>
          <w:rFonts w:asciiTheme="minorBidi" w:hAnsiTheme="minorBidi"/>
          <w:color w:val="212121"/>
          <w:sz w:val="24"/>
          <w:szCs w:val="24"/>
        </w:rPr>
        <w:t>MedImmune</w:t>
      </w:r>
      <w:proofErr w:type="spellEnd"/>
      <w:r w:rsidRPr="000B02B1">
        <w:rPr>
          <w:rFonts w:asciiTheme="minorBidi" w:hAnsiTheme="minorBidi"/>
          <w:color w:val="212121"/>
          <w:sz w:val="24"/>
          <w:szCs w:val="24"/>
        </w:rPr>
        <w:t>; Merck; Novartis</w:t>
      </w:r>
      <w:r>
        <w:rPr>
          <w:rFonts w:asciiTheme="minorBidi" w:hAnsiTheme="minorBidi"/>
          <w:sz w:val="24"/>
          <w:szCs w:val="24"/>
        </w:rPr>
        <w:t>.</w:t>
      </w:r>
    </w:p>
    <w:p w:rsidR="00D31581" w:rsidRPr="00987D4E" w:rsidRDefault="00D31581" w:rsidP="00D31581">
      <w:pPr>
        <w:bidi w:val="0"/>
        <w:spacing w:line="360" w:lineRule="auto"/>
        <w:rPr>
          <w:rFonts w:asciiTheme="minorBidi" w:hAnsiTheme="minorBidi"/>
          <w:sz w:val="24"/>
          <w:szCs w:val="24"/>
          <w:lang w:eastAsia="ja-JP"/>
        </w:rPr>
      </w:pPr>
      <w:r>
        <w:rPr>
          <w:rFonts w:asciiTheme="minorBidi" w:hAnsiTheme="minorBidi"/>
          <w:sz w:val="24"/>
          <w:szCs w:val="24"/>
          <w:lang w:eastAsia="ja-JP"/>
        </w:rPr>
        <w:lastRenderedPageBreak/>
        <w:t>S.D.W.</w:t>
      </w:r>
      <w:r w:rsidRPr="00987D4E">
        <w:rPr>
          <w:rFonts w:asciiTheme="minorBidi" w:hAnsiTheme="minorBidi"/>
          <w:sz w:val="24"/>
          <w:szCs w:val="24"/>
          <w:lang w:eastAsia="ja-JP"/>
        </w:rPr>
        <w:t xml:space="preserve"> </w:t>
      </w:r>
      <w:r>
        <w:rPr>
          <w:rFonts w:asciiTheme="minorBidi" w:hAnsiTheme="minorBidi"/>
          <w:sz w:val="24"/>
          <w:szCs w:val="24"/>
          <w:lang w:eastAsia="ja-JP"/>
        </w:rPr>
        <w:t>discloses the following relationships:</w:t>
      </w:r>
      <w:r w:rsidRPr="00987D4E">
        <w:rPr>
          <w:rFonts w:asciiTheme="minorBidi" w:hAnsiTheme="minorBidi"/>
          <w:sz w:val="24"/>
          <w:szCs w:val="24"/>
          <w:lang w:eastAsia="ja-JP"/>
        </w:rPr>
        <w:t xml:space="preserve"> grants and personal fees from AstraZeneca, grants and personal fees from Bristol Myers Squibb, grants and personal fees from Eisai, grants and personal fees from Merck, personal fees from Aegerion, personal fees from </w:t>
      </w:r>
      <w:proofErr w:type="spellStart"/>
      <w:r w:rsidRPr="00987D4E">
        <w:rPr>
          <w:rFonts w:asciiTheme="minorBidi" w:hAnsiTheme="minorBidi"/>
          <w:sz w:val="24"/>
          <w:szCs w:val="24"/>
          <w:lang w:eastAsia="ja-JP"/>
        </w:rPr>
        <w:t>Angelmed</w:t>
      </w:r>
      <w:proofErr w:type="spellEnd"/>
      <w:r w:rsidRPr="00987D4E">
        <w:rPr>
          <w:rFonts w:asciiTheme="minorBidi" w:hAnsiTheme="minorBidi"/>
          <w:sz w:val="24"/>
          <w:szCs w:val="24"/>
          <w:lang w:eastAsia="ja-JP"/>
        </w:rPr>
        <w:t xml:space="preserve">, personal fees from </w:t>
      </w:r>
      <w:proofErr w:type="spellStart"/>
      <w:r w:rsidRPr="00987D4E">
        <w:rPr>
          <w:rFonts w:asciiTheme="minorBidi" w:hAnsiTheme="minorBidi"/>
          <w:sz w:val="24"/>
          <w:szCs w:val="24"/>
          <w:lang w:eastAsia="ja-JP"/>
        </w:rPr>
        <w:t>Xoma</w:t>
      </w:r>
      <w:proofErr w:type="spellEnd"/>
      <w:r w:rsidRPr="00987D4E">
        <w:rPr>
          <w:rFonts w:asciiTheme="minorBidi" w:hAnsiTheme="minorBidi"/>
          <w:sz w:val="24"/>
          <w:szCs w:val="24"/>
          <w:lang w:eastAsia="ja-JP"/>
        </w:rPr>
        <w:t xml:space="preserve">, personal fees from ICON Clinical, personal fees from Boston Clinical Research Institute, grants and personal fees from Eli Lilly/Daiichi Sankyo, grants from Sanofi-Aventis, other from Merck Research Laboratory, personal fees from </w:t>
      </w:r>
      <w:proofErr w:type="spellStart"/>
      <w:r w:rsidRPr="00987D4E">
        <w:rPr>
          <w:rFonts w:asciiTheme="minorBidi" w:hAnsiTheme="minorBidi"/>
          <w:sz w:val="24"/>
          <w:szCs w:val="24"/>
          <w:lang w:eastAsia="ja-JP"/>
        </w:rPr>
        <w:t>Boehringer</w:t>
      </w:r>
      <w:proofErr w:type="spellEnd"/>
      <w:r w:rsidRPr="00987D4E">
        <w:rPr>
          <w:rFonts w:asciiTheme="minorBidi" w:hAnsiTheme="minorBidi"/>
          <w:sz w:val="24"/>
          <w:szCs w:val="24"/>
          <w:lang w:eastAsia="ja-JP"/>
        </w:rPr>
        <w:t xml:space="preserve"> </w:t>
      </w:r>
      <w:proofErr w:type="spellStart"/>
      <w:r w:rsidRPr="00987D4E">
        <w:rPr>
          <w:rFonts w:asciiTheme="minorBidi" w:hAnsiTheme="minorBidi"/>
          <w:sz w:val="24"/>
          <w:szCs w:val="24"/>
          <w:lang w:eastAsia="ja-JP"/>
        </w:rPr>
        <w:t>Ingelheim</w:t>
      </w:r>
      <w:proofErr w:type="spellEnd"/>
      <w:r w:rsidRPr="00987D4E">
        <w:rPr>
          <w:rFonts w:asciiTheme="minorBidi" w:hAnsiTheme="minorBidi"/>
          <w:sz w:val="24"/>
          <w:szCs w:val="24"/>
          <w:lang w:eastAsia="ja-JP"/>
        </w:rPr>
        <w:t xml:space="preserve">, grants and personal fees from Amgen, personal fees from Allergan, grants and personal fees from Janssen, grants from Arena, personal fees from St Jude Medical,  from Lexicon,  outside the submitted work; Dr. </w:t>
      </w:r>
      <w:proofErr w:type="spellStart"/>
      <w:r w:rsidRPr="00987D4E">
        <w:rPr>
          <w:rFonts w:asciiTheme="minorBidi" w:hAnsiTheme="minorBidi"/>
          <w:sz w:val="24"/>
          <w:szCs w:val="24"/>
          <w:lang w:eastAsia="ja-JP"/>
        </w:rPr>
        <w:t>Wiviott’s</w:t>
      </w:r>
      <w:proofErr w:type="spellEnd"/>
      <w:r w:rsidRPr="00987D4E">
        <w:rPr>
          <w:rFonts w:asciiTheme="minorBidi" w:hAnsiTheme="minorBidi"/>
          <w:sz w:val="24"/>
          <w:szCs w:val="24"/>
          <w:lang w:eastAsia="ja-JP"/>
        </w:rPr>
        <w:t xml:space="preserve"> wife is an employee of Merck</w:t>
      </w:r>
      <w:r>
        <w:rPr>
          <w:rFonts w:asciiTheme="minorBidi" w:hAnsiTheme="minorBidi"/>
          <w:sz w:val="24"/>
          <w:szCs w:val="24"/>
          <w:lang w:eastAsia="ja-JP"/>
        </w:rPr>
        <w:t>.</w:t>
      </w:r>
    </w:p>
    <w:p w:rsidR="00D31581" w:rsidRPr="00987D4E" w:rsidRDefault="00D31581" w:rsidP="00D31581">
      <w:pPr>
        <w:bidi w:val="0"/>
        <w:spacing w:line="480" w:lineRule="auto"/>
        <w:jc w:val="both"/>
        <w:rPr>
          <w:rFonts w:asciiTheme="minorBidi" w:eastAsia="Arial" w:hAnsiTheme="minorBidi"/>
          <w:sz w:val="24"/>
          <w:szCs w:val="24"/>
        </w:rPr>
      </w:pPr>
      <w:r w:rsidRPr="00987D4E">
        <w:rPr>
          <w:rFonts w:asciiTheme="minorBidi" w:hAnsiTheme="minorBidi"/>
          <w:sz w:val="24"/>
          <w:szCs w:val="24"/>
        </w:rPr>
        <w:br w:type="page"/>
      </w:r>
    </w:p>
    <w:p w:rsidR="00D31581" w:rsidRPr="00E01E3E" w:rsidRDefault="00D31581" w:rsidP="00D31581">
      <w:pPr>
        <w:bidi w:val="0"/>
        <w:ind w:left="-709"/>
        <w:rPr>
          <w:rFonts w:asciiTheme="minorBidi" w:hAnsiTheme="minorBidi"/>
          <w:b/>
          <w:bCs/>
          <w:sz w:val="24"/>
          <w:szCs w:val="24"/>
        </w:rPr>
      </w:pPr>
    </w:p>
    <w:p w:rsidR="00D31581" w:rsidRPr="006358E9" w:rsidRDefault="00D31581" w:rsidP="00D31581">
      <w:pPr>
        <w:bidi w:val="0"/>
        <w:ind w:left="-709"/>
        <w:rPr>
          <w:rFonts w:asciiTheme="minorBidi" w:hAnsiTheme="minorBidi"/>
          <w:b/>
          <w:bCs/>
          <w:sz w:val="24"/>
          <w:szCs w:val="24"/>
        </w:rPr>
      </w:pPr>
    </w:p>
    <w:p w:rsidR="00D31581" w:rsidRPr="006358E9" w:rsidRDefault="00D31581" w:rsidP="00D31581">
      <w:pPr>
        <w:bidi w:val="0"/>
        <w:ind w:left="-709"/>
        <w:rPr>
          <w:rFonts w:asciiTheme="minorBidi" w:hAnsiTheme="minorBidi"/>
          <w:sz w:val="24"/>
          <w:szCs w:val="24"/>
        </w:rPr>
      </w:pPr>
      <w:r w:rsidRPr="006358E9">
        <w:rPr>
          <w:rFonts w:asciiTheme="minorBidi" w:hAnsiTheme="minorBidi"/>
          <w:b/>
          <w:bCs/>
          <w:sz w:val="24"/>
          <w:szCs w:val="24"/>
        </w:rPr>
        <w:t xml:space="preserve">Table 1- </w:t>
      </w:r>
      <w:r w:rsidRPr="006358E9">
        <w:rPr>
          <w:rFonts w:asciiTheme="minorBidi" w:hAnsiTheme="minorBidi"/>
          <w:sz w:val="24"/>
          <w:szCs w:val="24"/>
        </w:rPr>
        <w:t xml:space="preserve">Patient baseline characteristics for the total population, cardiovascular disease and multiple risk factor population </w:t>
      </w:r>
    </w:p>
    <w:tbl>
      <w:tblPr>
        <w:tblW w:w="9640" w:type="dxa"/>
        <w:tblInd w:w="-719" w:type="dxa"/>
        <w:tblCellMar>
          <w:left w:w="0" w:type="dxa"/>
          <w:right w:w="0" w:type="dxa"/>
        </w:tblCellMar>
        <w:tblLook w:val="04A0" w:firstRow="1" w:lastRow="0" w:firstColumn="1" w:lastColumn="0" w:noHBand="0" w:noVBand="1"/>
      </w:tblPr>
      <w:tblGrid>
        <w:gridCol w:w="1975"/>
        <w:gridCol w:w="2551"/>
        <w:gridCol w:w="1701"/>
        <w:gridCol w:w="1560"/>
        <w:gridCol w:w="1853"/>
      </w:tblGrid>
      <w:tr w:rsidR="00D31581" w:rsidRPr="00E01E3E" w:rsidTr="002805C0">
        <w:trPr>
          <w:trHeight w:val="532"/>
        </w:trPr>
        <w:tc>
          <w:tcPr>
            <w:tcW w:w="1975"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D31581" w:rsidRPr="00987D4E" w:rsidRDefault="00D31581" w:rsidP="002805C0">
            <w:pPr>
              <w:bidi w:val="0"/>
              <w:spacing w:after="0" w:line="276" w:lineRule="auto"/>
              <w:rPr>
                <w:rFonts w:asciiTheme="minorBidi" w:hAnsiTheme="minorBidi"/>
                <w:sz w:val="24"/>
                <w:szCs w:val="24"/>
              </w:rPr>
            </w:pPr>
          </w:p>
        </w:tc>
        <w:tc>
          <w:tcPr>
            <w:tcW w:w="255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D31581" w:rsidRPr="00987D4E" w:rsidRDefault="00D31581" w:rsidP="002805C0">
            <w:pPr>
              <w:bidi w:val="0"/>
              <w:spacing w:after="0" w:line="276" w:lineRule="auto"/>
              <w:rPr>
                <w:rFonts w:asciiTheme="minorBidi" w:hAnsiTheme="minorBidi"/>
                <w:sz w:val="24"/>
                <w:szCs w:val="24"/>
                <w:rtl/>
              </w:rPr>
            </w:pPr>
          </w:p>
        </w:tc>
        <w:tc>
          <w:tcPr>
            <w:tcW w:w="170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D31581" w:rsidRPr="00987D4E" w:rsidRDefault="00D31581" w:rsidP="002805C0">
            <w:pPr>
              <w:bidi w:val="0"/>
              <w:spacing w:after="0" w:line="276" w:lineRule="auto"/>
              <w:jc w:val="center"/>
              <w:rPr>
                <w:rFonts w:asciiTheme="minorBidi" w:hAnsiTheme="minorBidi"/>
                <w:sz w:val="24"/>
                <w:szCs w:val="24"/>
                <w:rtl/>
              </w:rPr>
            </w:pPr>
            <w:r w:rsidRPr="00987D4E">
              <w:rPr>
                <w:rFonts w:asciiTheme="minorBidi" w:hAnsiTheme="minorBidi"/>
                <w:b/>
                <w:bCs/>
                <w:sz w:val="24"/>
                <w:szCs w:val="24"/>
              </w:rPr>
              <w:t>TOTAL</w:t>
            </w:r>
          </w:p>
          <w:p w:rsidR="00D31581" w:rsidRPr="00987D4E" w:rsidRDefault="00D31581" w:rsidP="002805C0">
            <w:pPr>
              <w:bidi w:val="0"/>
              <w:spacing w:after="0" w:line="276" w:lineRule="auto"/>
              <w:jc w:val="center"/>
              <w:rPr>
                <w:rFonts w:asciiTheme="minorBidi" w:hAnsiTheme="minorBidi"/>
                <w:sz w:val="24"/>
                <w:szCs w:val="24"/>
                <w:rtl/>
              </w:rPr>
            </w:pPr>
            <w:r w:rsidRPr="00987D4E">
              <w:rPr>
                <w:rFonts w:asciiTheme="minorBidi" w:hAnsiTheme="minorBidi"/>
                <w:b/>
                <w:bCs/>
                <w:sz w:val="24"/>
                <w:szCs w:val="24"/>
              </w:rPr>
              <w:t>(N=17,160)</w:t>
            </w:r>
          </w:p>
        </w:tc>
        <w:tc>
          <w:tcPr>
            <w:tcW w:w="156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D31581" w:rsidRPr="00987D4E" w:rsidRDefault="00D31581" w:rsidP="002805C0">
            <w:pPr>
              <w:bidi w:val="0"/>
              <w:spacing w:after="0" w:line="276" w:lineRule="auto"/>
              <w:jc w:val="center"/>
              <w:rPr>
                <w:rFonts w:asciiTheme="minorBidi" w:hAnsiTheme="minorBidi"/>
                <w:sz w:val="24"/>
                <w:szCs w:val="24"/>
                <w:rtl/>
              </w:rPr>
            </w:pPr>
            <w:r w:rsidRPr="00987D4E">
              <w:rPr>
                <w:rFonts w:asciiTheme="minorBidi" w:hAnsiTheme="minorBidi"/>
                <w:b/>
                <w:bCs/>
                <w:sz w:val="24"/>
                <w:szCs w:val="24"/>
              </w:rPr>
              <w:t>CVD</w:t>
            </w:r>
            <w:r w:rsidRPr="00987D4E">
              <w:rPr>
                <w:rFonts w:asciiTheme="minorBidi" w:hAnsiTheme="minorBidi"/>
                <w:b/>
                <w:bCs/>
                <w:sz w:val="24"/>
                <w:szCs w:val="24"/>
              </w:rPr>
              <w:br/>
              <w:t>(N=6,971)</w:t>
            </w:r>
          </w:p>
        </w:tc>
        <w:tc>
          <w:tcPr>
            <w:tcW w:w="1853"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D31581" w:rsidRPr="00987D4E" w:rsidRDefault="00D31581" w:rsidP="002805C0">
            <w:pPr>
              <w:bidi w:val="0"/>
              <w:spacing w:after="0" w:line="276" w:lineRule="auto"/>
              <w:jc w:val="center"/>
              <w:rPr>
                <w:rFonts w:asciiTheme="minorBidi" w:hAnsiTheme="minorBidi"/>
                <w:sz w:val="24"/>
                <w:szCs w:val="24"/>
                <w:rtl/>
              </w:rPr>
            </w:pPr>
            <w:r w:rsidRPr="00987D4E">
              <w:rPr>
                <w:rFonts w:asciiTheme="minorBidi" w:hAnsiTheme="minorBidi"/>
                <w:b/>
                <w:bCs/>
                <w:sz w:val="24"/>
                <w:szCs w:val="24"/>
              </w:rPr>
              <w:t>MRF</w:t>
            </w:r>
            <w:r w:rsidRPr="00987D4E">
              <w:rPr>
                <w:rFonts w:asciiTheme="minorBidi" w:hAnsiTheme="minorBidi"/>
                <w:b/>
                <w:bCs/>
                <w:sz w:val="24"/>
                <w:szCs w:val="24"/>
              </w:rPr>
              <w:br/>
              <w:t>(N=10,189)</w:t>
            </w:r>
          </w:p>
        </w:tc>
      </w:tr>
      <w:tr w:rsidR="00D31581" w:rsidRPr="00E01E3E" w:rsidTr="002805C0">
        <w:trPr>
          <w:trHeight w:val="293"/>
        </w:trPr>
        <w:tc>
          <w:tcPr>
            <w:tcW w:w="1975"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D31581" w:rsidRPr="0028086C" w:rsidRDefault="00D31581" w:rsidP="002805C0">
            <w:pPr>
              <w:bidi w:val="0"/>
              <w:spacing w:after="0" w:line="276" w:lineRule="auto"/>
              <w:rPr>
                <w:rFonts w:asciiTheme="minorBidi" w:hAnsiTheme="minorBidi"/>
                <w:sz w:val="24"/>
                <w:szCs w:val="24"/>
                <w:rtl/>
              </w:rPr>
            </w:pPr>
            <w:r w:rsidRPr="00AC603E">
              <w:rPr>
                <w:rFonts w:asciiTheme="minorBidi" w:hAnsiTheme="minorBidi"/>
                <w:b/>
                <w:bCs/>
                <w:sz w:val="24"/>
                <w:szCs w:val="24"/>
              </w:rPr>
              <w:t>Sex- n, (%)</w:t>
            </w:r>
          </w:p>
        </w:tc>
        <w:tc>
          <w:tcPr>
            <w:tcW w:w="2551"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D31581" w:rsidRPr="0028086C" w:rsidRDefault="00D31581" w:rsidP="002805C0">
            <w:pPr>
              <w:bidi w:val="0"/>
              <w:spacing w:after="0" w:line="276" w:lineRule="auto"/>
              <w:rPr>
                <w:rFonts w:asciiTheme="minorBidi" w:hAnsiTheme="minorBidi"/>
                <w:sz w:val="24"/>
                <w:szCs w:val="24"/>
                <w:rtl/>
              </w:rPr>
            </w:pPr>
            <w:r w:rsidRPr="0028086C">
              <w:rPr>
                <w:rFonts w:asciiTheme="minorBidi" w:hAnsiTheme="minorBidi"/>
                <w:sz w:val="24"/>
                <w:szCs w:val="24"/>
              </w:rPr>
              <w:t>Men</w:t>
            </w:r>
          </w:p>
        </w:tc>
        <w:tc>
          <w:tcPr>
            <w:tcW w:w="1701"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D31581" w:rsidRPr="0028086C" w:rsidRDefault="00D31581" w:rsidP="002805C0">
            <w:pPr>
              <w:bidi w:val="0"/>
              <w:spacing w:after="0" w:line="276" w:lineRule="auto"/>
              <w:jc w:val="center"/>
              <w:rPr>
                <w:rFonts w:asciiTheme="minorBidi" w:hAnsiTheme="minorBidi"/>
                <w:sz w:val="24"/>
                <w:szCs w:val="24"/>
                <w:rtl/>
              </w:rPr>
            </w:pPr>
            <w:r w:rsidRPr="0028086C">
              <w:rPr>
                <w:rFonts w:asciiTheme="minorBidi" w:hAnsiTheme="minorBidi"/>
                <w:sz w:val="24"/>
                <w:szCs w:val="24"/>
              </w:rPr>
              <w:t>10,738 (62.6)</w:t>
            </w:r>
          </w:p>
        </w:tc>
        <w:tc>
          <w:tcPr>
            <w:tcW w:w="156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D31581" w:rsidRPr="0028086C" w:rsidRDefault="00D31581" w:rsidP="002805C0">
            <w:pPr>
              <w:bidi w:val="0"/>
              <w:spacing w:after="0" w:line="276" w:lineRule="auto"/>
              <w:jc w:val="center"/>
              <w:rPr>
                <w:rFonts w:asciiTheme="minorBidi" w:hAnsiTheme="minorBidi"/>
                <w:sz w:val="24"/>
                <w:szCs w:val="24"/>
                <w:rtl/>
              </w:rPr>
            </w:pPr>
            <w:r w:rsidRPr="0028086C">
              <w:rPr>
                <w:rFonts w:asciiTheme="minorBidi" w:hAnsiTheme="minorBidi"/>
                <w:sz w:val="24"/>
                <w:szCs w:val="24"/>
              </w:rPr>
              <w:t>5023 (72.1)</w:t>
            </w:r>
          </w:p>
        </w:tc>
        <w:tc>
          <w:tcPr>
            <w:tcW w:w="1853"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D31581" w:rsidRPr="0028086C" w:rsidRDefault="00D31581" w:rsidP="002805C0">
            <w:pPr>
              <w:bidi w:val="0"/>
              <w:spacing w:after="0" w:line="276" w:lineRule="auto"/>
              <w:jc w:val="center"/>
              <w:rPr>
                <w:rFonts w:asciiTheme="minorBidi" w:hAnsiTheme="minorBidi"/>
                <w:sz w:val="24"/>
                <w:szCs w:val="24"/>
                <w:rtl/>
              </w:rPr>
            </w:pPr>
            <w:r w:rsidRPr="0028086C">
              <w:rPr>
                <w:rFonts w:asciiTheme="minorBidi" w:hAnsiTheme="minorBidi"/>
                <w:sz w:val="24"/>
                <w:szCs w:val="24"/>
              </w:rPr>
              <w:t>5715 (56.1)</w:t>
            </w:r>
          </w:p>
        </w:tc>
      </w:tr>
      <w:tr w:rsidR="00D31581" w:rsidRPr="00E01E3E" w:rsidTr="002805C0">
        <w:trPr>
          <w:trHeight w:val="225"/>
        </w:trPr>
        <w:tc>
          <w:tcPr>
            <w:tcW w:w="197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D31581" w:rsidRPr="0028086C" w:rsidRDefault="00D31581" w:rsidP="002805C0">
            <w:pPr>
              <w:bidi w:val="0"/>
              <w:spacing w:after="0" w:line="276" w:lineRule="auto"/>
              <w:rPr>
                <w:rFonts w:asciiTheme="minorBidi" w:hAnsiTheme="minorBidi"/>
                <w:sz w:val="24"/>
                <w:szCs w:val="24"/>
                <w:rtl/>
              </w:rPr>
            </w:pPr>
            <w:r w:rsidRPr="00AC603E">
              <w:rPr>
                <w:rFonts w:asciiTheme="minorBidi" w:hAnsiTheme="minorBidi"/>
                <w:b/>
                <w:bCs/>
                <w:sz w:val="24"/>
                <w:szCs w:val="24"/>
              </w:rPr>
              <w:t>Age (years)</w:t>
            </w:r>
          </w:p>
        </w:tc>
        <w:tc>
          <w:tcPr>
            <w:tcW w:w="255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D31581" w:rsidRPr="0028086C" w:rsidRDefault="00D31581" w:rsidP="002805C0">
            <w:pPr>
              <w:bidi w:val="0"/>
              <w:spacing w:after="0" w:line="276" w:lineRule="auto"/>
              <w:rPr>
                <w:rFonts w:asciiTheme="minorBidi" w:hAnsiTheme="minorBidi"/>
                <w:sz w:val="24"/>
                <w:szCs w:val="24"/>
                <w:rtl/>
              </w:rPr>
            </w:pPr>
            <w:r w:rsidRPr="0028086C">
              <w:rPr>
                <w:rFonts w:asciiTheme="minorBidi" w:hAnsiTheme="minorBidi"/>
                <w:sz w:val="24"/>
                <w:szCs w:val="24"/>
              </w:rPr>
              <w:t>mean (SD)</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D31581" w:rsidRPr="0028086C" w:rsidRDefault="00D31581" w:rsidP="002805C0">
            <w:pPr>
              <w:bidi w:val="0"/>
              <w:spacing w:after="0" w:line="276" w:lineRule="auto"/>
              <w:jc w:val="center"/>
              <w:rPr>
                <w:rFonts w:asciiTheme="minorBidi" w:hAnsiTheme="minorBidi"/>
                <w:sz w:val="24"/>
                <w:szCs w:val="24"/>
                <w:rtl/>
              </w:rPr>
            </w:pPr>
            <w:r w:rsidRPr="0028086C">
              <w:rPr>
                <w:rFonts w:asciiTheme="minorBidi" w:hAnsiTheme="minorBidi"/>
                <w:sz w:val="24"/>
                <w:szCs w:val="24"/>
              </w:rPr>
              <w:t>63.8 (6.8)</w:t>
            </w:r>
          </w:p>
        </w:tc>
        <w:tc>
          <w:tcPr>
            <w:tcW w:w="15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D31581" w:rsidRPr="0028086C"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62.5 (8.1)</w:t>
            </w:r>
          </w:p>
        </w:tc>
        <w:tc>
          <w:tcPr>
            <w:tcW w:w="185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64.7 (5.6)</w:t>
            </w:r>
          </w:p>
        </w:tc>
      </w:tr>
      <w:tr w:rsidR="00D31581" w:rsidRPr="00E01E3E" w:rsidTr="002805C0">
        <w:trPr>
          <w:trHeight w:val="158"/>
        </w:trPr>
        <w:tc>
          <w:tcPr>
            <w:tcW w:w="197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b/>
                <w:bCs/>
                <w:sz w:val="24"/>
                <w:szCs w:val="24"/>
              </w:rPr>
              <w:t>BMI (kg/m²)</w:t>
            </w:r>
          </w:p>
        </w:tc>
        <w:tc>
          <w:tcPr>
            <w:tcW w:w="255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sz w:val="24"/>
                <w:szCs w:val="24"/>
              </w:rPr>
              <w:t>mean (SD)</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32.1 (6.0)</w:t>
            </w:r>
          </w:p>
        </w:tc>
        <w:tc>
          <w:tcPr>
            <w:tcW w:w="15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32.1 (6.0)</w:t>
            </w:r>
          </w:p>
        </w:tc>
        <w:tc>
          <w:tcPr>
            <w:tcW w:w="185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32.0 (6.0)</w:t>
            </w:r>
          </w:p>
        </w:tc>
      </w:tr>
      <w:tr w:rsidR="00D31581" w:rsidRPr="00E01E3E" w:rsidTr="002805C0">
        <w:trPr>
          <w:trHeight w:val="233"/>
        </w:trPr>
        <w:tc>
          <w:tcPr>
            <w:tcW w:w="197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b/>
                <w:bCs/>
                <w:sz w:val="24"/>
                <w:szCs w:val="24"/>
              </w:rPr>
              <w:t>HbA1c (%)</w:t>
            </w:r>
          </w:p>
        </w:tc>
        <w:tc>
          <w:tcPr>
            <w:tcW w:w="255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sz w:val="24"/>
                <w:szCs w:val="24"/>
              </w:rPr>
              <w:t>mean (SD)</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8.29 (1.2)</w:t>
            </w:r>
          </w:p>
        </w:tc>
        <w:tc>
          <w:tcPr>
            <w:tcW w:w="15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8.33 (1.2)</w:t>
            </w:r>
          </w:p>
        </w:tc>
        <w:tc>
          <w:tcPr>
            <w:tcW w:w="185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8.26 (1.2)</w:t>
            </w:r>
          </w:p>
        </w:tc>
      </w:tr>
      <w:tr w:rsidR="00D31581" w:rsidRPr="00E01E3E" w:rsidTr="002805C0">
        <w:trPr>
          <w:trHeight w:val="506"/>
        </w:trPr>
        <w:tc>
          <w:tcPr>
            <w:tcW w:w="1975" w:type="dxa"/>
            <w:vMerge w:val="restart"/>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b/>
                <w:bCs/>
                <w:sz w:val="24"/>
                <w:szCs w:val="24"/>
              </w:rPr>
              <w:t>Cardiovascular Risk Factors –n, (%)</w:t>
            </w:r>
          </w:p>
        </w:tc>
        <w:tc>
          <w:tcPr>
            <w:tcW w:w="255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sz w:val="24"/>
                <w:szCs w:val="24"/>
              </w:rPr>
              <w:t>LDL-C &gt; 130 mg/</w:t>
            </w:r>
            <w:proofErr w:type="spellStart"/>
            <w:r w:rsidRPr="00AC603E">
              <w:rPr>
                <w:rFonts w:asciiTheme="minorBidi" w:hAnsiTheme="minorBidi"/>
                <w:sz w:val="24"/>
                <w:szCs w:val="24"/>
              </w:rPr>
              <w:t>dL</w:t>
            </w:r>
            <w:proofErr w:type="spellEnd"/>
            <w:r w:rsidRPr="00AC603E">
              <w:rPr>
                <w:rFonts w:asciiTheme="minorBidi" w:hAnsiTheme="minorBidi"/>
                <w:sz w:val="24"/>
                <w:szCs w:val="24"/>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3174 (18.5)</w:t>
            </w:r>
          </w:p>
        </w:tc>
        <w:tc>
          <w:tcPr>
            <w:tcW w:w="15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1110 (15.9)</w:t>
            </w:r>
          </w:p>
        </w:tc>
        <w:tc>
          <w:tcPr>
            <w:tcW w:w="185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2064 (20.3)</w:t>
            </w:r>
          </w:p>
        </w:tc>
      </w:tr>
      <w:tr w:rsidR="00D31581" w:rsidRPr="00E01E3E" w:rsidTr="002805C0">
        <w:trPr>
          <w:trHeight w:val="506"/>
        </w:trPr>
        <w:tc>
          <w:tcPr>
            <w:tcW w:w="1975" w:type="dxa"/>
            <w:vMerge/>
            <w:tcBorders>
              <w:top w:val="single" w:sz="8" w:space="0" w:color="FFFFFF"/>
              <w:left w:val="single" w:sz="8" w:space="0" w:color="FFFFFF"/>
              <w:bottom w:val="single" w:sz="8" w:space="0" w:color="FFFFFF"/>
              <w:right w:val="single" w:sz="8" w:space="0" w:color="FFFFFF"/>
            </w:tcBorders>
            <w:vAlign w:val="center"/>
            <w:hideMark/>
          </w:tcPr>
          <w:p w:rsidR="00D31581" w:rsidRPr="00AC603E" w:rsidRDefault="00D31581" w:rsidP="002805C0">
            <w:pPr>
              <w:bidi w:val="0"/>
              <w:spacing w:after="0" w:line="276" w:lineRule="auto"/>
              <w:rPr>
                <w:rFonts w:asciiTheme="minorBidi" w:hAnsiTheme="minorBidi"/>
                <w:sz w:val="24"/>
                <w:szCs w:val="24"/>
              </w:rPr>
            </w:pPr>
          </w:p>
        </w:tc>
        <w:tc>
          <w:tcPr>
            <w:tcW w:w="255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sz w:val="24"/>
                <w:szCs w:val="24"/>
              </w:rPr>
              <w:t>On therapy for hypertension</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15343 (89.4)</w:t>
            </w:r>
          </w:p>
        </w:tc>
        <w:tc>
          <w:tcPr>
            <w:tcW w:w="15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6116 (87.7)</w:t>
            </w:r>
          </w:p>
        </w:tc>
        <w:tc>
          <w:tcPr>
            <w:tcW w:w="185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9227 (90.6)</w:t>
            </w:r>
          </w:p>
        </w:tc>
      </w:tr>
      <w:tr w:rsidR="00D31581" w:rsidRPr="00E01E3E" w:rsidTr="002805C0">
        <w:trPr>
          <w:trHeight w:val="286"/>
        </w:trPr>
        <w:tc>
          <w:tcPr>
            <w:tcW w:w="1975" w:type="dxa"/>
            <w:vMerge/>
            <w:tcBorders>
              <w:top w:val="single" w:sz="8" w:space="0" w:color="FFFFFF"/>
              <w:left w:val="single" w:sz="8" w:space="0" w:color="FFFFFF"/>
              <w:bottom w:val="single" w:sz="8" w:space="0" w:color="FFFFFF"/>
              <w:right w:val="single" w:sz="8" w:space="0" w:color="FFFFFF"/>
            </w:tcBorders>
            <w:vAlign w:val="center"/>
            <w:hideMark/>
          </w:tcPr>
          <w:p w:rsidR="00D31581" w:rsidRPr="00AC603E" w:rsidRDefault="00D31581" w:rsidP="002805C0">
            <w:pPr>
              <w:bidi w:val="0"/>
              <w:spacing w:after="0" w:line="276" w:lineRule="auto"/>
              <w:rPr>
                <w:rFonts w:asciiTheme="minorBidi" w:hAnsiTheme="minorBidi"/>
                <w:sz w:val="24"/>
                <w:szCs w:val="24"/>
              </w:rPr>
            </w:pPr>
          </w:p>
        </w:tc>
        <w:tc>
          <w:tcPr>
            <w:tcW w:w="255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sz w:val="24"/>
                <w:szCs w:val="24"/>
              </w:rPr>
              <w:t>Tobacco Use</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2488 (14.5)</w:t>
            </w:r>
          </w:p>
        </w:tc>
        <w:tc>
          <w:tcPr>
            <w:tcW w:w="15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1031 (14.8)</w:t>
            </w:r>
          </w:p>
        </w:tc>
        <w:tc>
          <w:tcPr>
            <w:tcW w:w="185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1457 14.3)</w:t>
            </w:r>
          </w:p>
        </w:tc>
      </w:tr>
      <w:tr w:rsidR="00D31581" w:rsidRPr="00E01E3E" w:rsidTr="002805C0">
        <w:trPr>
          <w:trHeight w:val="234"/>
        </w:trPr>
        <w:tc>
          <w:tcPr>
            <w:tcW w:w="1975" w:type="dxa"/>
            <w:vMerge w:val="restart"/>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b/>
                <w:bCs/>
                <w:sz w:val="24"/>
                <w:szCs w:val="24"/>
              </w:rPr>
              <w:t>Cardiac History n, (%)</w:t>
            </w:r>
          </w:p>
        </w:tc>
        <w:tc>
          <w:tcPr>
            <w:tcW w:w="255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sz w:val="24"/>
                <w:szCs w:val="24"/>
              </w:rPr>
              <w:t>Angina pectoris</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2802 (16.3)</w:t>
            </w:r>
          </w:p>
        </w:tc>
        <w:tc>
          <w:tcPr>
            <w:tcW w:w="15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2121 (30.4)</w:t>
            </w:r>
          </w:p>
        </w:tc>
        <w:tc>
          <w:tcPr>
            <w:tcW w:w="185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681 (6.7)</w:t>
            </w:r>
          </w:p>
        </w:tc>
      </w:tr>
      <w:tr w:rsidR="00D31581" w:rsidRPr="00E01E3E" w:rsidTr="002805C0">
        <w:trPr>
          <w:trHeight w:val="168"/>
        </w:trPr>
        <w:tc>
          <w:tcPr>
            <w:tcW w:w="1975" w:type="dxa"/>
            <w:vMerge/>
            <w:tcBorders>
              <w:top w:val="single" w:sz="8" w:space="0" w:color="FFFFFF"/>
              <w:left w:val="single" w:sz="8" w:space="0" w:color="FFFFFF"/>
              <w:bottom w:val="single" w:sz="8" w:space="0" w:color="FFFFFF"/>
              <w:right w:val="single" w:sz="8" w:space="0" w:color="FFFFFF"/>
            </w:tcBorders>
            <w:vAlign w:val="center"/>
            <w:hideMark/>
          </w:tcPr>
          <w:p w:rsidR="00D31581" w:rsidRPr="00AC603E" w:rsidRDefault="00D31581" w:rsidP="002805C0">
            <w:pPr>
              <w:bidi w:val="0"/>
              <w:spacing w:after="0" w:line="276" w:lineRule="auto"/>
              <w:rPr>
                <w:rFonts w:asciiTheme="minorBidi" w:hAnsiTheme="minorBidi"/>
                <w:sz w:val="24"/>
                <w:szCs w:val="24"/>
              </w:rPr>
            </w:pPr>
          </w:p>
        </w:tc>
        <w:tc>
          <w:tcPr>
            <w:tcW w:w="255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sz w:val="24"/>
                <w:szCs w:val="24"/>
              </w:rPr>
              <w:t>Heart failure</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1698 (9.9)</w:t>
            </w:r>
          </w:p>
        </w:tc>
        <w:tc>
          <w:tcPr>
            <w:tcW w:w="15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1133 (16.3)</w:t>
            </w:r>
          </w:p>
        </w:tc>
        <w:tc>
          <w:tcPr>
            <w:tcW w:w="185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565 (5.5)</w:t>
            </w:r>
          </w:p>
        </w:tc>
      </w:tr>
      <w:tr w:rsidR="00D31581" w:rsidRPr="00E01E3E" w:rsidTr="002805C0">
        <w:trPr>
          <w:trHeight w:val="102"/>
        </w:trPr>
        <w:tc>
          <w:tcPr>
            <w:tcW w:w="1975" w:type="dxa"/>
            <w:vMerge/>
            <w:tcBorders>
              <w:top w:val="single" w:sz="8" w:space="0" w:color="FFFFFF"/>
              <w:left w:val="single" w:sz="8" w:space="0" w:color="FFFFFF"/>
              <w:bottom w:val="single" w:sz="8" w:space="0" w:color="FFFFFF"/>
              <w:right w:val="single" w:sz="8" w:space="0" w:color="FFFFFF"/>
            </w:tcBorders>
            <w:vAlign w:val="center"/>
            <w:hideMark/>
          </w:tcPr>
          <w:p w:rsidR="00D31581" w:rsidRPr="00AC603E" w:rsidRDefault="00D31581" w:rsidP="002805C0">
            <w:pPr>
              <w:bidi w:val="0"/>
              <w:spacing w:after="0" w:line="276" w:lineRule="auto"/>
              <w:rPr>
                <w:rFonts w:asciiTheme="minorBidi" w:hAnsiTheme="minorBidi"/>
                <w:sz w:val="24"/>
                <w:szCs w:val="24"/>
              </w:rPr>
            </w:pPr>
          </w:p>
        </w:tc>
        <w:tc>
          <w:tcPr>
            <w:tcW w:w="255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sz w:val="24"/>
                <w:szCs w:val="24"/>
              </w:rPr>
              <w:t>Atrial fibrillation/flutter</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1110 (6.5)</w:t>
            </w:r>
          </w:p>
        </w:tc>
        <w:tc>
          <w:tcPr>
            <w:tcW w:w="15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599 (8.6)</w:t>
            </w:r>
          </w:p>
        </w:tc>
        <w:tc>
          <w:tcPr>
            <w:tcW w:w="185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511 (5.0)</w:t>
            </w:r>
          </w:p>
        </w:tc>
      </w:tr>
      <w:tr w:rsidR="00D31581" w:rsidRPr="00E01E3E" w:rsidTr="002805C0">
        <w:trPr>
          <w:trHeight w:val="412"/>
        </w:trPr>
        <w:tc>
          <w:tcPr>
            <w:tcW w:w="1975" w:type="dxa"/>
            <w:vMerge w:val="restart"/>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b/>
                <w:bCs/>
                <w:sz w:val="24"/>
                <w:szCs w:val="24"/>
              </w:rPr>
              <w:t>Investigator-reported history of microvascular complications n, (%)</w:t>
            </w:r>
          </w:p>
        </w:tc>
        <w:tc>
          <w:tcPr>
            <w:tcW w:w="255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sz w:val="24"/>
                <w:szCs w:val="24"/>
              </w:rPr>
              <w:t>Retinopathy</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2131 (12.4)</w:t>
            </w:r>
          </w:p>
        </w:tc>
        <w:tc>
          <w:tcPr>
            <w:tcW w:w="15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922 (13.2)</w:t>
            </w:r>
          </w:p>
        </w:tc>
        <w:tc>
          <w:tcPr>
            <w:tcW w:w="185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1209 (11.9)</w:t>
            </w:r>
          </w:p>
        </w:tc>
      </w:tr>
      <w:tr w:rsidR="00D31581" w:rsidRPr="00E01E3E" w:rsidTr="002805C0">
        <w:trPr>
          <w:trHeight w:val="384"/>
        </w:trPr>
        <w:tc>
          <w:tcPr>
            <w:tcW w:w="1975" w:type="dxa"/>
            <w:vMerge/>
            <w:tcBorders>
              <w:top w:val="single" w:sz="8" w:space="0" w:color="FFFFFF"/>
              <w:left w:val="single" w:sz="8" w:space="0" w:color="FFFFFF"/>
              <w:bottom w:val="single" w:sz="8" w:space="0" w:color="FFFFFF"/>
              <w:right w:val="single" w:sz="8" w:space="0" w:color="FFFFFF"/>
            </w:tcBorders>
            <w:vAlign w:val="center"/>
            <w:hideMark/>
          </w:tcPr>
          <w:p w:rsidR="00D31581" w:rsidRPr="00AC603E" w:rsidRDefault="00D31581" w:rsidP="002805C0">
            <w:pPr>
              <w:bidi w:val="0"/>
              <w:spacing w:after="0" w:line="276" w:lineRule="auto"/>
              <w:jc w:val="center"/>
              <w:rPr>
                <w:rFonts w:asciiTheme="minorBidi" w:hAnsiTheme="minorBidi"/>
                <w:sz w:val="24"/>
                <w:szCs w:val="24"/>
              </w:rPr>
            </w:pPr>
          </w:p>
        </w:tc>
        <w:tc>
          <w:tcPr>
            <w:tcW w:w="255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sz w:val="24"/>
                <w:szCs w:val="24"/>
              </w:rPr>
              <w:t>Retinal laser treatment</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587 (3.4)</w:t>
            </w:r>
          </w:p>
        </w:tc>
        <w:tc>
          <w:tcPr>
            <w:tcW w:w="15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279 (4.0)</w:t>
            </w:r>
          </w:p>
        </w:tc>
        <w:tc>
          <w:tcPr>
            <w:tcW w:w="185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308 (3.0)</w:t>
            </w:r>
          </w:p>
        </w:tc>
      </w:tr>
      <w:tr w:rsidR="00D31581" w:rsidRPr="00E01E3E" w:rsidTr="002805C0">
        <w:trPr>
          <w:trHeight w:val="389"/>
        </w:trPr>
        <w:tc>
          <w:tcPr>
            <w:tcW w:w="1975" w:type="dxa"/>
            <w:vMerge/>
            <w:tcBorders>
              <w:top w:val="single" w:sz="8" w:space="0" w:color="FFFFFF"/>
              <w:left w:val="single" w:sz="8" w:space="0" w:color="FFFFFF"/>
              <w:bottom w:val="single" w:sz="8" w:space="0" w:color="FFFFFF"/>
              <w:right w:val="single" w:sz="8" w:space="0" w:color="FFFFFF"/>
            </w:tcBorders>
            <w:vAlign w:val="center"/>
            <w:hideMark/>
          </w:tcPr>
          <w:p w:rsidR="00D31581" w:rsidRPr="00AC603E" w:rsidRDefault="00D31581" w:rsidP="002805C0">
            <w:pPr>
              <w:bidi w:val="0"/>
              <w:spacing w:after="0" w:line="276" w:lineRule="auto"/>
              <w:jc w:val="center"/>
              <w:rPr>
                <w:rFonts w:asciiTheme="minorBidi" w:hAnsiTheme="minorBidi"/>
                <w:sz w:val="24"/>
                <w:szCs w:val="24"/>
              </w:rPr>
            </w:pPr>
          </w:p>
        </w:tc>
        <w:tc>
          <w:tcPr>
            <w:tcW w:w="2551"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sz w:val="24"/>
                <w:szCs w:val="24"/>
              </w:rPr>
              <w:t>Nephropathy</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1393 (8.1)</w:t>
            </w:r>
          </w:p>
        </w:tc>
        <w:tc>
          <w:tcPr>
            <w:tcW w:w="15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620 (8.9)</w:t>
            </w:r>
          </w:p>
        </w:tc>
        <w:tc>
          <w:tcPr>
            <w:tcW w:w="185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773 (7.6)</w:t>
            </w:r>
          </w:p>
        </w:tc>
      </w:tr>
    </w:tbl>
    <w:p w:rsidR="00D31581" w:rsidRPr="00AC603E" w:rsidRDefault="00D31581" w:rsidP="00D31581">
      <w:pPr>
        <w:bidi w:val="0"/>
        <w:ind w:left="-567"/>
        <w:rPr>
          <w:rFonts w:asciiTheme="minorBidi" w:hAnsiTheme="minorBidi"/>
          <w:sz w:val="24"/>
          <w:szCs w:val="24"/>
        </w:rPr>
      </w:pPr>
    </w:p>
    <w:p w:rsidR="00D31581" w:rsidRPr="00AC603E" w:rsidRDefault="00D31581" w:rsidP="00D31581">
      <w:pPr>
        <w:bidi w:val="0"/>
        <w:spacing w:after="0" w:line="360" w:lineRule="auto"/>
        <w:rPr>
          <w:rFonts w:asciiTheme="minorBidi" w:eastAsia="Times New Roman" w:hAnsiTheme="minorBidi"/>
          <w:color w:val="000000"/>
          <w:sz w:val="24"/>
          <w:szCs w:val="24"/>
        </w:rPr>
      </w:pPr>
      <w:r w:rsidRPr="00AC603E">
        <w:rPr>
          <w:rFonts w:asciiTheme="minorBidi" w:eastAsia="Times New Roman" w:hAnsiTheme="minorBidi"/>
          <w:color w:val="000000"/>
          <w:sz w:val="24"/>
          <w:szCs w:val="24"/>
        </w:rPr>
        <w:t>Based on data as of the 2</w:t>
      </w:r>
      <w:r w:rsidRPr="00AC603E">
        <w:rPr>
          <w:rFonts w:asciiTheme="minorBidi" w:eastAsia="Times New Roman" w:hAnsiTheme="minorBidi"/>
          <w:color w:val="000000"/>
          <w:sz w:val="24"/>
          <w:szCs w:val="24"/>
          <w:vertAlign w:val="superscript"/>
        </w:rPr>
        <w:t>nd</w:t>
      </w:r>
      <w:r w:rsidRPr="00AC603E">
        <w:rPr>
          <w:rFonts w:asciiTheme="minorBidi" w:eastAsia="Times New Roman" w:hAnsiTheme="minorBidi"/>
          <w:color w:val="000000"/>
          <w:sz w:val="24"/>
          <w:szCs w:val="24"/>
        </w:rPr>
        <w:t xml:space="preserve"> of April 2017</w:t>
      </w:r>
    </w:p>
    <w:p w:rsidR="00D31581" w:rsidRPr="00AC603E" w:rsidRDefault="00D31581" w:rsidP="00D31581">
      <w:pPr>
        <w:bidi w:val="0"/>
        <w:spacing w:after="0" w:line="360" w:lineRule="auto"/>
        <w:rPr>
          <w:rFonts w:asciiTheme="minorBidi" w:eastAsia="Times New Roman" w:hAnsiTheme="minorBidi"/>
          <w:color w:val="000000"/>
          <w:sz w:val="24"/>
          <w:szCs w:val="24"/>
        </w:rPr>
      </w:pPr>
    </w:p>
    <w:p w:rsidR="00D31581" w:rsidRPr="00AC603E" w:rsidRDefault="00D31581" w:rsidP="00D31581">
      <w:pPr>
        <w:bidi w:val="0"/>
        <w:spacing w:after="0" w:line="360" w:lineRule="auto"/>
        <w:rPr>
          <w:rFonts w:asciiTheme="minorBidi" w:eastAsia="Times New Roman" w:hAnsiTheme="minorBidi"/>
          <w:color w:val="000000"/>
          <w:sz w:val="24"/>
          <w:szCs w:val="24"/>
        </w:rPr>
      </w:pPr>
      <w:r w:rsidRPr="00AC603E">
        <w:rPr>
          <w:rFonts w:asciiTheme="minorBidi" w:eastAsia="Times New Roman" w:hAnsiTheme="minorBidi"/>
          <w:color w:val="000000"/>
          <w:sz w:val="24"/>
          <w:szCs w:val="24"/>
        </w:rPr>
        <w:t>CVD- Cardiovascular Disease</w:t>
      </w:r>
    </w:p>
    <w:p w:rsidR="00D31581" w:rsidRPr="00AC603E" w:rsidRDefault="00D31581" w:rsidP="00D31581">
      <w:pPr>
        <w:bidi w:val="0"/>
        <w:spacing w:after="0" w:line="360" w:lineRule="auto"/>
        <w:rPr>
          <w:rFonts w:asciiTheme="minorBidi" w:eastAsia="Times New Roman" w:hAnsiTheme="minorBidi"/>
          <w:color w:val="000000"/>
          <w:sz w:val="24"/>
          <w:szCs w:val="24"/>
        </w:rPr>
      </w:pPr>
      <w:r w:rsidRPr="00AC603E">
        <w:rPr>
          <w:rFonts w:asciiTheme="minorBidi" w:eastAsia="Times New Roman" w:hAnsiTheme="minorBidi"/>
          <w:color w:val="000000"/>
          <w:sz w:val="24"/>
          <w:szCs w:val="24"/>
        </w:rPr>
        <w:t>MRF- Multiple risk Factor</w:t>
      </w:r>
    </w:p>
    <w:p w:rsidR="00D31581" w:rsidRPr="00AC603E" w:rsidRDefault="00D31581" w:rsidP="00D31581">
      <w:pPr>
        <w:bidi w:val="0"/>
        <w:spacing w:after="0" w:line="360" w:lineRule="auto"/>
        <w:rPr>
          <w:rFonts w:asciiTheme="minorBidi" w:eastAsia="Times New Roman" w:hAnsiTheme="minorBidi"/>
          <w:color w:val="000000"/>
          <w:sz w:val="24"/>
          <w:szCs w:val="24"/>
        </w:rPr>
      </w:pPr>
      <w:r w:rsidRPr="00AC603E">
        <w:rPr>
          <w:rFonts w:asciiTheme="minorBidi" w:eastAsia="Times New Roman" w:hAnsiTheme="minorBidi"/>
          <w:color w:val="000000"/>
          <w:sz w:val="24"/>
          <w:szCs w:val="24"/>
        </w:rPr>
        <w:t>LDL - Low-density Lipoprotein</w:t>
      </w:r>
    </w:p>
    <w:p w:rsidR="00D31581" w:rsidRPr="00AC603E" w:rsidRDefault="00D31581" w:rsidP="00D31581">
      <w:pPr>
        <w:bidi w:val="0"/>
        <w:spacing w:after="0" w:line="360" w:lineRule="auto"/>
        <w:rPr>
          <w:rFonts w:asciiTheme="minorBidi" w:eastAsia="Times New Roman" w:hAnsiTheme="minorBidi"/>
          <w:color w:val="000000"/>
          <w:sz w:val="24"/>
          <w:szCs w:val="24"/>
        </w:rPr>
      </w:pPr>
    </w:p>
    <w:p w:rsidR="00D31581" w:rsidRPr="00AC603E" w:rsidRDefault="00D31581" w:rsidP="00D31581">
      <w:pPr>
        <w:bidi w:val="0"/>
        <w:spacing w:after="0" w:line="360" w:lineRule="auto"/>
        <w:rPr>
          <w:rFonts w:asciiTheme="minorBidi" w:eastAsia="Times New Roman" w:hAnsiTheme="minorBidi"/>
          <w:color w:val="000000"/>
          <w:sz w:val="24"/>
          <w:szCs w:val="24"/>
        </w:rPr>
      </w:pPr>
    </w:p>
    <w:p w:rsidR="00D31581" w:rsidRPr="00AC603E" w:rsidRDefault="00D31581" w:rsidP="00D31581">
      <w:pPr>
        <w:bidi w:val="0"/>
        <w:spacing w:after="0" w:line="360" w:lineRule="auto"/>
        <w:rPr>
          <w:rFonts w:asciiTheme="minorBidi" w:eastAsia="Times New Roman" w:hAnsiTheme="minorBidi"/>
          <w:color w:val="000000"/>
          <w:sz w:val="24"/>
          <w:szCs w:val="24"/>
        </w:rPr>
      </w:pPr>
    </w:p>
    <w:p w:rsidR="00D31581" w:rsidRPr="00AC603E" w:rsidRDefault="00D31581" w:rsidP="00D31581">
      <w:pPr>
        <w:bidi w:val="0"/>
        <w:spacing w:after="0" w:line="360" w:lineRule="auto"/>
        <w:rPr>
          <w:rFonts w:asciiTheme="minorBidi" w:eastAsia="Times New Roman" w:hAnsiTheme="minorBidi"/>
          <w:color w:val="000000"/>
          <w:sz w:val="24"/>
          <w:szCs w:val="24"/>
        </w:rPr>
      </w:pPr>
    </w:p>
    <w:p w:rsidR="00D31581" w:rsidRPr="00AC603E" w:rsidRDefault="00D31581" w:rsidP="00D31581">
      <w:pPr>
        <w:bidi w:val="0"/>
        <w:spacing w:after="0" w:line="360" w:lineRule="auto"/>
        <w:rPr>
          <w:rFonts w:asciiTheme="minorBidi" w:eastAsia="Times New Roman" w:hAnsiTheme="minorBidi"/>
          <w:color w:val="000000"/>
          <w:sz w:val="24"/>
          <w:szCs w:val="24"/>
        </w:rPr>
      </w:pPr>
    </w:p>
    <w:p w:rsidR="00D31581" w:rsidRPr="00AC603E" w:rsidRDefault="00D31581" w:rsidP="00D31581">
      <w:pPr>
        <w:bidi w:val="0"/>
        <w:spacing w:after="0" w:line="360" w:lineRule="auto"/>
        <w:rPr>
          <w:rFonts w:asciiTheme="minorBidi" w:eastAsia="Times New Roman" w:hAnsiTheme="minorBidi"/>
          <w:color w:val="000000"/>
          <w:sz w:val="24"/>
          <w:szCs w:val="24"/>
        </w:rPr>
      </w:pPr>
    </w:p>
    <w:p w:rsidR="00D31581" w:rsidRPr="00AC603E" w:rsidRDefault="00D31581" w:rsidP="00D31581">
      <w:pPr>
        <w:bidi w:val="0"/>
        <w:spacing w:after="0" w:line="360" w:lineRule="auto"/>
        <w:rPr>
          <w:rFonts w:asciiTheme="minorBidi" w:eastAsia="Times New Roman" w:hAnsiTheme="minorBidi"/>
          <w:color w:val="000000"/>
          <w:sz w:val="24"/>
          <w:szCs w:val="24"/>
        </w:rPr>
      </w:pPr>
    </w:p>
    <w:p w:rsidR="00D31581" w:rsidRPr="00AC603E" w:rsidRDefault="00D31581" w:rsidP="00D31581">
      <w:pPr>
        <w:bidi w:val="0"/>
        <w:spacing w:after="0" w:line="360" w:lineRule="auto"/>
        <w:rPr>
          <w:rFonts w:asciiTheme="minorBidi" w:eastAsia="Times New Roman" w:hAnsiTheme="minorBidi"/>
          <w:color w:val="000000"/>
          <w:sz w:val="24"/>
          <w:szCs w:val="24"/>
        </w:rPr>
      </w:pPr>
    </w:p>
    <w:p w:rsidR="00D31581" w:rsidRPr="00AC603E" w:rsidRDefault="00D31581" w:rsidP="00D31581">
      <w:pPr>
        <w:bidi w:val="0"/>
        <w:spacing w:after="0" w:line="360" w:lineRule="auto"/>
        <w:rPr>
          <w:rFonts w:asciiTheme="minorBidi" w:eastAsia="Times New Roman" w:hAnsiTheme="minorBidi"/>
          <w:color w:val="000000"/>
          <w:sz w:val="24"/>
          <w:szCs w:val="24"/>
        </w:rPr>
      </w:pPr>
    </w:p>
    <w:p w:rsidR="00D31581" w:rsidRPr="00987D4E" w:rsidRDefault="00D31581" w:rsidP="00D31581">
      <w:pPr>
        <w:bidi w:val="0"/>
        <w:ind w:left="-567"/>
        <w:rPr>
          <w:rFonts w:asciiTheme="minorBidi" w:hAnsiTheme="minorBidi"/>
          <w:b/>
          <w:bCs/>
          <w:sz w:val="24"/>
          <w:szCs w:val="24"/>
        </w:rPr>
      </w:pPr>
      <w:r w:rsidRPr="00E01E3E">
        <w:rPr>
          <w:rFonts w:asciiTheme="minorBidi" w:hAnsiTheme="minorBidi"/>
          <w:b/>
          <w:bCs/>
          <w:sz w:val="24"/>
          <w:szCs w:val="24"/>
        </w:rPr>
        <w:t xml:space="preserve">Table </w:t>
      </w:r>
      <w:r w:rsidRPr="00E01E3E">
        <w:rPr>
          <w:rFonts w:asciiTheme="minorBidi" w:hAnsiTheme="minorBidi"/>
          <w:b/>
          <w:bCs/>
          <w:sz w:val="24"/>
          <w:szCs w:val="24"/>
          <w:rtl/>
        </w:rPr>
        <w:t>2</w:t>
      </w:r>
      <w:r w:rsidRPr="00E01E3E">
        <w:rPr>
          <w:rFonts w:asciiTheme="minorBidi" w:hAnsiTheme="minorBidi"/>
          <w:b/>
          <w:bCs/>
          <w:sz w:val="24"/>
          <w:szCs w:val="24"/>
        </w:rPr>
        <w:t xml:space="preserve">- </w:t>
      </w:r>
      <w:r w:rsidRPr="006358E9">
        <w:rPr>
          <w:rFonts w:asciiTheme="minorBidi" w:hAnsiTheme="minorBidi"/>
          <w:sz w:val="24"/>
          <w:szCs w:val="24"/>
        </w:rPr>
        <w:t xml:space="preserve">Cardiovascular disease in </w:t>
      </w:r>
      <w:r w:rsidRPr="004F7204">
        <w:rPr>
          <w:rFonts w:asciiTheme="minorBidi" w:hAnsiTheme="minorBidi"/>
          <w:sz w:val="24"/>
          <w:szCs w:val="24"/>
        </w:rPr>
        <w:t xml:space="preserve">the subset of patients with baseline </w:t>
      </w:r>
      <w:r w:rsidRPr="00987D4E">
        <w:rPr>
          <w:rFonts w:asciiTheme="minorBidi" w:hAnsiTheme="minorBidi"/>
          <w:sz w:val="24"/>
          <w:szCs w:val="24"/>
        </w:rPr>
        <w:t>cardiovascular disease</w:t>
      </w:r>
      <w:r w:rsidRPr="00987D4E">
        <w:rPr>
          <w:rFonts w:asciiTheme="minorBidi" w:hAnsiTheme="minorBidi"/>
          <w:b/>
          <w:bCs/>
          <w:sz w:val="24"/>
          <w:szCs w:val="24"/>
        </w:rPr>
        <w:t xml:space="preserve"> </w:t>
      </w:r>
    </w:p>
    <w:tbl>
      <w:tblPr>
        <w:tblW w:w="7919" w:type="dxa"/>
        <w:tblInd w:w="-719" w:type="dxa"/>
        <w:tblCellMar>
          <w:left w:w="0" w:type="dxa"/>
          <w:right w:w="0" w:type="dxa"/>
        </w:tblCellMar>
        <w:tblLook w:val="04A0" w:firstRow="1" w:lastRow="0" w:firstColumn="1" w:lastColumn="0" w:noHBand="0" w:noVBand="1"/>
      </w:tblPr>
      <w:tblGrid>
        <w:gridCol w:w="4374"/>
        <w:gridCol w:w="831"/>
        <w:gridCol w:w="1424"/>
        <w:gridCol w:w="1290"/>
      </w:tblGrid>
      <w:tr w:rsidR="00D31581" w:rsidRPr="00E01E3E" w:rsidTr="002805C0">
        <w:trPr>
          <w:trHeight w:val="925"/>
        </w:trPr>
        <w:tc>
          <w:tcPr>
            <w:tcW w:w="4374"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b/>
                <w:bCs/>
                <w:sz w:val="24"/>
                <w:szCs w:val="24"/>
              </w:rPr>
              <w:t> </w:t>
            </w:r>
          </w:p>
        </w:tc>
        <w:tc>
          <w:tcPr>
            <w:tcW w:w="83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b/>
                <w:bCs/>
                <w:sz w:val="24"/>
                <w:szCs w:val="24"/>
              </w:rPr>
              <w:t>n</w:t>
            </w:r>
          </w:p>
        </w:tc>
        <w:tc>
          <w:tcPr>
            <w:tcW w:w="1424"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b/>
                <w:bCs/>
                <w:sz w:val="24"/>
                <w:szCs w:val="24"/>
              </w:rPr>
              <w:t>% of TOTAL</w:t>
            </w:r>
            <w:r w:rsidRPr="00AC603E">
              <w:rPr>
                <w:rFonts w:asciiTheme="minorBidi" w:hAnsiTheme="minorBidi"/>
                <w:b/>
                <w:bCs/>
                <w:sz w:val="24"/>
                <w:szCs w:val="24"/>
              </w:rPr>
              <w:br/>
              <w:t>(N=17,160)</w:t>
            </w:r>
          </w:p>
        </w:tc>
        <w:tc>
          <w:tcPr>
            <w:tcW w:w="129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b/>
                <w:bCs/>
                <w:sz w:val="24"/>
                <w:szCs w:val="24"/>
              </w:rPr>
              <w:t>% of CVD</w:t>
            </w:r>
            <w:r w:rsidRPr="00AC603E">
              <w:rPr>
                <w:rFonts w:asciiTheme="minorBidi" w:hAnsiTheme="minorBidi"/>
                <w:b/>
                <w:bCs/>
                <w:sz w:val="24"/>
                <w:szCs w:val="24"/>
              </w:rPr>
              <w:br/>
              <w:t>(N=6,971)</w:t>
            </w:r>
          </w:p>
        </w:tc>
      </w:tr>
      <w:tr w:rsidR="00D31581" w:rsidRPr="00E01E3E" w:rsidTr="002805C0">
        <w:trPr>
          <w:trHeight w:val="272"/>
        </w:trPr>
        <w:tc>
          <w:tcPr>
            <w:tcW w:w="4374" w:type="dxa"/>
            <w:tcBorders>
              <w:top w:val="single" w:sz="4" w:space="0" w:color="FFFFFF" w:themeColor="background1"/>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sz w:val="24"/>
                <w:szCs w:val="24"/>
              </w:rPr>
              <w:t>Myocardial Infarction</w:t>
            </w:r>
          </w:p>
        </w:tc>
        <w:tc>
          <w:tcPr>
            <w:tcW w:w="831" w:type="dxa"/>
            <w:tcBorders>
              <w:top w:val="single" w:sz="4" w:space="0" w:color="FFFFFF" w:themeColor="background1"/>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tl/>
              </w:rPr>
              <w:t>3580</w:t>
            </w:r>
          </w:p>
        </w:tc>
        <w:tc>
          <w:tcPr>
            <w:tcW w:w="1424" w:type="dxa"/>
            <w:tcBorders>
              <w:top w:val="single" w:sz="4" w:space="0" w:color="FFFFFF" w:themeColor="background1"/>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tl/>
              </w:rPr>
              <w:t>20.9</w:t>
            </w:r>
          </w:p>
        </w:tc>
        <w:tc>
          <w:tcPr>
            <w:tcW w:w="1290" w:type="dxa"/>
            <w:tcBorders>
              <w:top w:val="single" w:sz="4" w:space="0" w:color="FFFFFF" w:themeColor="background1"/>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51.4</w:t>
            </w:r>
          </w:p>
        </w:tc>
      </w:tr>
      <w:tr w:rsidR="00D31581" w:rsidRPr="00E01E3E" w:rsidTr="002805C0">
        <w:trPr>
          <w:trHeight w:val="321"/>
        </w:trPr>
        <w:tc>
          <w:tcPr>
            <w:tcW w:w="4374"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sz w:val="24"/>
                <w:szCs w:val="24"/>
              </w:rPr>
              <w:t>Percutaneous Coronary Intervention</w:t>
            </w:r>
          </w:p>
        </w:tc>
        <w:tc>
          <w:tcPr>
            <w:tcW w:w="83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tl/>
              </w:rPr>
              <w:t>3655</w:t>
            </w:r>
          </w:p>
        </w:tc>
        <w:tc>
          <w:tcPr>
            <w:tcW w:w="14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tl/>
              </w:rPr>
              <w:t>21.3</w:t>
            </w:r>
          </w:p>
        </w:tc>
        <w:tc>
          <w:tcPr>
            <w:tcW w:w="129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tl/>
              </w:rPr>
              <w:t>52.4</w:t>
            </w:r>
          </w:p>
        </w:tc>
      </w:tr>
      <w:tr w:rsidR="00D31581" w:rsidRPr="00E01E3E" w:rsidTr="002805C0">
        <w:trPr>
          <w:trHeight w:val="227"/>
        </w:trPr>
        <w:tc>
          <w:tcPr>
            <w:tcW w:w="4374"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sz w:val="24"/>
                <w:szCs w:val="24"/>
              </w:rPr>
              <w:t>CABG</w:t>
            </w:r>
          </w:p>
        </w:tc>
        <w:tc>
          <w:tcPr>
            <w:tcW w:w="83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tl/>
              </w:rPr>
              <w:t>1678</w:t>
            </w:r>
          </w:p>
        </w:tc>
        <w:tc>
          <w:tcPr>
            <w:tcW w:w="14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tl/>
              </w:rPr>
              <w:t>9.8</w:t>
            </w:r>
          </w:p>
        </w:tc>
        <w:tc>
          <w:tcPr>
            <w:tcW w:w="129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tl/>
              </w:rPr>
              <w:t>24.1</w:t>
            </w:r>
          </w:p>
        </w:tc>
      </w:tr>
      <w:tr w:rsidR="00D31581" w:rsidRPr="00E01E3E" w:rsidTr="002805C0">
        <w:trPr>
          <w:trHeight w:val="559"/>
        </w:trPr>
        <w:tc>
          <w:tcPr>
            <w:tcW w:w="4374"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sz w:val="24"/>
                <w:szCs w:val="24"/>
              </w:rPr>
              <w:t>Coronary Stenosis≥50% in at least 2 coronary arteries, by PCI</w:t>
            </w:r>
          </w:p>
        </w:tc>
        <w:tc>
          <w:tcPr>
            <w:tcW w:w="83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tl/>
              </w:rPr>
              <w:t>2119</w:t>
            </w:r>
          </w:p>
        </w:tc>
        <w:tc>
          <w:tcPr>
            <w:tcW w:w="14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tl/>
              </w:rPr>
              <w:t>12.3</w:t>
            </w:r>
          </w:p>
        </w:tc>
        <w:tc>
          <w:tcPr>
            <w:tcW w:w="129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tl/>
              </w:rPr>
              <w:t>30.4</w:t>
            </w:r>
          </w:p>
        </w:tc>
      </w:tr>
      <w:tr w:rsidR="00D31581" w:rsidRPr="00E01E3E" w:rsidTr="002805C0">
        <w:trPr>
          <w:trHeight w:val="243"/>
        </w:trPr>
        <w:tc>
          <w:tcPr>
            <w:tcW w:w="4374"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sz w:val="24"/>
                <w:szCs w:val="24"/>
              </w:rPr>
              <w:t>Ischemic Stroke</w:t>
            </w:r>
          </w:p>
        </w:tc>
        <w:tc>
          <w:tcPr>
            <w:tcW w:w="83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tl/>
              </w:rPr>
              <w:t>1107</w:t>
            </w:r>
          </w:p>
        </w:tc>
        <w:tc>
          <w:tcPr>
            <w:tcW w:w="14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tl/>
              </w:rPr>
              <w:t>6.5</w:t>
            </w:r>
          </w:p>
        </w:tc>
        <w:tc>
          <w:tcPr>
            <w:tcW w:w="129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tl/>
              </w:rPr>
              <w:t>15.9</w:t>
            </w:r>
          </w:p>
        </w:tc>
      </w:tr>
      <w:tr w:rsidR="00D31581" w:rsidRPr="00E01E3E" w:rsidTr="002805C0">
        <w:trPr>
          <w:trHeight w:val="243"/>
        </w:trPr>
        <w:tc>
          <w:tcPr>
            <w:tcW w:w="4374"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sz w:val="24"/>
                <w:szCs w:val="24"/>
              </w:rPr>
              <w:t>Carotid Stenting</w:t>
            </w:r>
          </w:p>
        </w:tc>
        <w:tc>
          <w:tcPr>
            <w:tcW w:w="83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tl/>
              </w:rPr>
              <w:t>120</w:t>
            </w:r>
          </w:p>
        </w:tc>
        <w:tc>
          <w:tcPr>
            <w:tcW w:w="14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tl/>
              </w:rPr>
              <w:t>0.7</w:t>
            </w:r>
          </w:p>
        </w:tc>
        <w:tc>
          <w:tcPr>
            <w:tcW w:w="129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tl/>
              </w:rPr>
              <w:t>1.7</w:t>
            </w:r>
          </w:p>
        </w:tc>
      </w:tr>
      <w:tr w:rsidR="00D31581" w:rsidRPr="00E01E3E" w:rsidTr="002805C0">
        <w:trPr>
          <w:trHeight w:val="334"/>
        </w:trPr>
        <w:tc>
          <w:tcPr>
            <w:tcW w:w="4374"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sz w:val="24"/>
                <w:szCs w:val="24"/>
              </w:rPr>
              <w:t>Carotid Endarterectomy</w:t>
            </w:r>
          </w:p>
        </w:tc>
        <w:tc>
          <w:tcPr>
            <w:tcW w:w="83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tl/>
              </w:rPr>
              <w:t>136</w:t>
            </w:r>
          </w:p>
        </w:tc>
        <w:tc>
          <w:tcPr>
            <w:tcW w:w="14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tl/>
              </w:rPr>
              <w:t>0.8</w:t>
            </w:r>
          </w:p>
        </w:tc>
        <w:tc>
          <w:tcPr>
            <w:tcW w:w="129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tl/>
              </w:rPr>
              <w:t>2.0</w:t>
            </w:r>
          </w:p>
        </w:tc>
      </w:tr>
      <w:tr w:rsidR="00D31581" w:rsidRPr="00E01E3E" w:rsidTr="002805C0">
        <w:trPr>
          <w:trHeight w:val="376"/>
        </w:trPr>
        <w:tc>
          <w:tcPr>
            <w:tcW w:w="4374"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sz w:val="24"/>
                <w:szCs w:val="24"/>
              </w:rPr>
              <w:t>Obstructive Peripheral Arterial Disease</w:t>
            </w:r>
          </w:p>
        </w:tc>
        <w:tc>
          <w:tcPr>
            <w:tcW w:w="83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tl/>
              </w:rPr>
              <w:t>1025</w:t>
            </w:r>
          </w:p>
        </w:tc>
        <w:tc>
          <w:tcPr>
            <w:tcW w:w="14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tl/>
              </w:rPr>
              <w:t>6.0</w:t>
            </w:r>
          </w:p>
        </w:tc>
        <w:tc>
          <w:tcPr>
            <w:tcW w:w="129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tl/>
              </w:rPr>
              <w:t>14.7</w:t>
            </w:r>
          </w:p>
        </w:tc>
      </w:tr>
      <w:tr w:rsidR="00D31581" w:rsidRPr="00E01E3E" w:rsidTr="002805C0">
        <w:trPr>
          <w:trHeight w:val="376"/>
        </w:trPr>
        <w:tc>
          <w:tcPr>
            <w:tcW w:w="4374"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sz w:val="24"/>
                <w:szCs w:val="24"/>
              </w:rPr>
              <w:t>Peripheral Arterial Stenting</w:t>
            </w:r>
          </w:p>
        </w:tc>
        <w:tc>
          <w:tcPr>
            <w:tcW w:w="83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tl/>
              </w:rPr>
              <w:t>271</w:t>
            </w:r>
          </w:p>
        </w:tc>
        <w:tc>
          <w:tcPr>
            <w:tcW w:w="14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tl/>
              </w:rPr>
              <w:t>1.6</w:t>
            </w:r>
          </w:p>
        </w:tc>
        <w:tc>
          <w:tcPr>
            <w:tcW w:w="129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tl/>
              </w:rPr>
              <w:t>3.9</w:t>
            </w:r>
          </w:p>
        </w:tc>
      </w:tr>
      <w:tr w:rsidR="00D31581" w:rsidRPr="00E01E3E" w:rsidTr="002805C0">
        <w:trPr>
          <w:trHeight w:val="391"/>
        </w:trPr>
        <w:tc>
          <w:tcPr>
            <w:tcW w:w="4374"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sz w:val="24"/>
                <w:szCs w:val="24"/>
              </w:rPr>
              <w:t>Peripheral  Surgical Revascularization</w:t>
            </w:r>
          </w:p>
        </w:tc>
        <w:tc>
          <w:tcPr>
            <w:tcW w:w="83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tl/>
              </w:rPr>
              <w:t>215</w:t>
            </w:r>
          </w:p>
        </w:tc>
        <w:tc>
          <w:tcPr>
            <w:tcW w:w="14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tl/>
              </w:rPr>
              <w:t>1.3</w:t>
            </w:r>
          </w:p>
        </w:tc>
        <w:tc>
          <w:tcPr>
            <w:tcW w:w="129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tl/>
              </w:rPr>
              <w:t>3.1</w:t>
            </w:r>
          </w:p>
        </w:tc>
      </w:tr>
      <w:tr w:rsidR="00D31581" w:rsidRPr="00E01E3E" w:rsidTr="002805C0">
        <w:trPr>
          <w:trHeight w:val="397"/>
        </w:trPr>
        <w:tc>
          <w:tcPr>
            <w:tcW w:w="4374"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sz w:val="24"/>
                <w:szCs w:val="24"/>
              </w:rPr>
              <w:t>Non-Traumatic Lower Extremity Amputation</w:t>
            </w:r>
          </w:p>
        </w:tc>
        <w:tc>
          <w:tcPr>
            <w:tcW w:w="83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tl/>
              </w:rPr>
              <w:t>105</w:t>
            </w:r>
          </w:p>
        </w:tc>
        <w:tc>
          <w:tcPr>
            <w:tcW w:w="142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tl/>
              </w:rPr>
              <w:t>0.6</w:t>
            </w:r>
          </w:p>
        </w:tc>
        <w:tc>
          <w:tcPr>
            <w:tcW w:w="129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tl/>
              </w:rPr>
              <w:t>1.5</w:t>
            </w:r>
          </w:p>
        </w:tc>
      </w:tr>
      <w:tr w:rsidR="00D31581" w:rsidRPr="00E01E3E" w:rsidTr="002805C0">
        <w:trPr>
          <w:trHeight w:val="388"/>
        </w:trPr>
        <w:tc>
          <w:tcPr>
            <w:tcW w:w="4374"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sz w:val="24"/>
                <w:szCs w:val="24"/>
              </w:rPr>
              <w:t>Current symptoms of intermittent claudication</w:t>
            </w:r>
          </w:p>
        </w:tc>
        <w:tc>
          <w:tcPr>
            <w:tcW w:w="83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tl/>
              </w:rPr>
              <w:t>933</w:t>
            </w:r>
          </w:p>
        </w:tc>
        <w:tc>
          <w:tcPr>
            <w:tcW w:w="142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tl/>
              </w:rPr>
              <w:t>5.4</w:t>
            </w:r>
          </w:p>
        </w:tc>
        <w:tc>
          <w:tcPr>
            <w:tcW w:w="129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tl/>
              </w:rPr>
              <w:t>13.4</w:t>
            </w:r>
          </w:p>
        </w:tc>
      </w:tr>
    </w:tbl>
    <w:p w:rsidR="00D31581" w:rsidRPr="00E01E3E" w:rsidRDefault="00D31581" w:rsidP="00D31581">
      <w:pPr>
        <w:bidi w:val="0"/>
        <w:rPr>
          <w:rFonts w:asciiTheme="minorBidi" w:hAnsiTheme="minorBidi"/>
          <w:b/>
          <w:bCs/>
          <w:sz w:val="24"/>
          <w:szCs w:val="24"/>
        </w:rPr>
      </w:pPr>
    </w:p>
    <w:p w:rsidR="00D31581" w:rsidRPr="00AC603E" w:rsidRDefault="00D31581" w:rsidP="00D31581">
      <w:pPr>
        <w:bidi w:val="0"/>
        <w:spacing w:after="0" w:line="360" w:lineRule="auto"/>
        <w:rPr>
          <w:rFonts w:asciiTheme="minorBidi" w:eastAsia="Times New Roman" w:hAnsiTheme="minorBidi"/>
          <w:color w:val="000000"/>
          <w:sz w:val="24"/>
          <w:szCs w:val="24"/>
        </w:rPr>
      </w:pPr>
      <w:r w:rsidRPr="00AC603E">
        <w:rPr>
          <w:rFonts w:asciiTheme="minorBidi" w:eastAsia="Times New Roman" w:hAnsiTheme="minorBidi"/>
          <w:color w:val="000000"/>
          <w:sz w:val="24"/>
          <w:szCs w:val="24"/>
        </w:rPr>
        <w:t>CVD- Cardiovascular Disease</w:t>
      </w:r>
    </w:p>
    <w:p w:rsidR="00D31581" w:rsidRPr="00AC603E" w:rsidRDefault="00D31581" w:rsidP="00D31581">
      <w:pPr>
        <w:bidi w:val="0"/>
        <w:spacing w:after="0" w:line="360" w:lineRule="auto"/>
        <w:rPr>
          <w:rFonts w:asciiTheme="minorBidi" w:hAnsiTheme="minorBidi"/>
          <w:color w:val="222222"/>
          <w:sz w:val="24"/>
          <w:szCs w:val="24"/>
          <w:shd w:val="clear" w:color="auto" w:fill="FFFFFF"/>
        </w:rPr>
      </w:pPr>
      <w:r w:rsidRPr="00AC603E">
        <w:rPr>
          <w:rFonts w:asciiTheme="minorBidi" w:eastAsia="Times New Roman" w:hAnsiTheme="minorBidi"/>
          <w:color w:val="000000"/>
          <w:sz w:val="24"/>
          <w:szCs w:val="24"/>
        </w:rPr>
        <w:t xml:space="preserve">CABG - </w:t>
      </w:r>
      <w:r w:rsidRPr="00AC603E">
        <w:rPr>
          <w:rFonts w:asciiTheme="minorBidi" w:hAnsiTheme="minorBidi"/>
          <w:color w:val="222222"/>
          <w:sz w:val="24"/>
          <w:szCs w:val="24"/>
          <w:shd w:val="clear" w:color="auto" w:fill="FFFFFF"/>
        </w:rPr>
        <w:t>Coronary artery bypass grafting</w:t>
      </w:r>
    </w:p>
    <w:p w:rsidR="00D31581" w:rsidRPr="00AC603E" w:rsidRDefault="00D31581" w:rsidP="00D31581">
      <w:pPr>
        <w:bidi w:val="0"/>
        <w:spacing w:after="0" w:line="360" w:lineRule="auto"/>
        <w:rPr>
          <w:rFonts w:asciiTheme="minorBidi" w:eastAsia="Times New Roman" w:hAnsiTheme="minorBidi"/>
          <w:color w:val="000000"/>
          <w:sz w:val="24"/>
          <w:szCs w:val="24"/>
        </w:rPr>
      </w:pPr>
      <w:r w:rsidRPr="00AC603E">
        <w:rPr>
          <w:rFonts w:asciiTheme="minorBidi" w:hAnsiTheme="minorBidi"/>
          <w:color w:val="222222"/>
          <w:sz w:val="24"/>
          <w:szCs w:val="24"/>
          <w:shd w:val="clear" w:color="auto" w:fill="FFFFFF"/>
        </w:rPr>
        <w:t xml:space="preserve">PCI- </w:t>
      </w:r>
      <w:r w:rsidRPr="00AC603E">
        <w:rPr>
          <w:rFonts w:asciiTheme="minorBidi" w:hAnsiTheme="minorBidi"/>
          <w:sz w:val="24"/>
          <w:szCs w:val="24"/>
        </w:rPr>
        <w:t>Percutaneous Coronary Intervention</w:t>
      </w:r>
    </w:p>
    <w:p w:rsidR="00D31581" w:rsidRPr="00E01E3E" w:rsidRDefault="00D31581" w:rsidP="00D31581">
      <w:pPr>
        <w:bidi w:val="0"/>
        <w:ind w:left="-709"/>
        <w:rPr>
          <w:rFonts w:asciiTheme="minorBidi" w:hAnsiTheme="minorBidi"/>
          <w:b/>
          <w:bCs/>
          <w:sz w:val="24"/>
          <w:szCs w:val="24"/>
        </w:rPr>
      </w:pPr>
    </w:p>
    <w:p w:rsidR="00D31581" w:rsidRPr="00AC603E" w:rsidRDefault="00D31581" w:rsidP="00D31581">
      <w:pPr>
        <w:bidi w:val="0"/>
        <w:spacing w:after="0" w:line="360" w:lineRule="auto"/>
        <w:rPr>
          <w:rFonts w:asciiTheme="minorBidi" w:eastAsia="Times New Roman" w:hAnsiTheme="minorBidi"/>
          <w:color w:val="000000"/>
          <w:sz w:val="24"/>
          <w:szCs w:val="24"/>
        </w:rPr>
      </w:pPr>
      <w:r w:rsidRPr="006358E9">
        <w:rPr>
          <w:rFonts w:asciiTheme="minorBidi" w:hAnsiTheme="minorBidi"/>
          <w:b/>
          <w:bCs/>
          <w:sz w:val="24"/>
          <w:szCs w:val="24"/>
        </w:rPr>
        <w:t>Footnote:</w:t>
      </w:r>
      <w:r w:rsidRPr="00AC603E">
        <w:rPr>
          <w:rFonts w:asciiTheme="minorBidi" w:eastAsia="Times New Roman" w:hAnsiTheme="minorBidi"/>
          <w:color w:val="000000"/>
          <w:sz w:val="24"/>
          <w:szCs w:val="24"/>
        </w:rPr>
        <w:t xml:space="preserve"> Based on data as of the 2</w:t>
      </w:r>
      <w:r w:rsidRPr="00AC603E">
        <w:rPr>
          <w:rFonts w:asciiTheme="minorBidi" w:eastAsia="Times New Roman" w:hAnsiTheme="minorBidi"/>
          <w:color w:val="000000"/>
          <w:sz w:val="24"/>
          <w:szCs w:val="24"/>
          <w:vertAlign w:val="superscript"/>
        </w:rPr>
        <w:t>nd</w:t>
      </w:r>
      <w:r w:rsidRPr="00AC603E">
        <w:rPr>
          <w:rFonts w:asciiTheme="minorBidi" w:eastAsia="Times New Roman" w:hAnsiTheme="minorBidi"/>
          <w:color w:val="000000"/>
          <w:sz w:val="24"/>
          <w:szCs w:val="24"/>
        </w:rPr>
        <w:t xml:space="preserve"> of April 2017</w:t>
      </w:r>
    </w:p>
    <w:p w:rsidR="00D31581" w:rsidRPr="006358E9" w:rsidRDefault="00D31581" w:rsidP="00D31581">
      <w:pPr>
        <w:bidi w:val="0"/>
        <w:ind w:left="-709"/>
        <w:rPr>
          <w:rFonts w:asciiTheme="minorBidi" w:hAnsiTheme="minorBidi"/>
          <w:b/>
          <w:bCs/>
          <w:sz w:val="24"/>
          <w:szCs w:val="24"/>
        </w:rPr>
      </w:pPr>
      <w:r w:rsidRPr="00E01E3E">
        <w:rPr>
          <w:rFonts w:asciiTheme="minorBidi" w:hAnsiTheme="minorBidi"/>
          <w:b/>
          <w:bCs/>
          <w:sz w:val="24"/>
          <w:szCs w:val="24"/>
        </w:rPr>
        <w:br w:type="page"/>
      </w:r>
    </w:p>
    <w:p w:rsidR="00D31581" w:rsidRPr="00987D4E" w:rsidRDefault="00D31581" w:rsidP="00D31581">
      <w:pPr>
        <w:bidi w:val="0"/>
        <w:ind w:left="-709"/>
        <w:rPr>
          <w:rFonts w:asciiTheme="minorBidi" w:hAnsiTheme="minorBidi"/>
          <w:b/>
          <w:bCs/>
          <w:sz w:val="24"/>
          <w:szCs w:val="24"/>
        </w:rPr>
      </w:pPr>
      <w:r w:rsidRPr="006358E9">
        <w:rPr>
          <w:rFonts w:asciiTheme="minorBidi" w:hAnsiTheme="minorBidi"/>
          <w:b/>
          <w:bCs/>
          <w:sz w:val="24"/>
          <w:szCs w:val="24"/>
        </w:rPr>
        <w:lastRenderedPageBreak/>
        <w:t xml:space="preserve">Table 3- </w:t>
      </w:r>
      <w:r w:rsidRPr="006358E9">
        <w:rPr>
          <w:rFonts w:asciiTheme="minorBidi" w:hAnsiTheme="minorBidi"/>
          <w:sz w:val="24"/>
          <w:szCs w:val="24"/>
        </w:rPr>
        <w:t xml:space="preserve">Vital signs and laboratory measurements at screening for the total population, and the sub-populations with </w:t>
      </w:r>
      <w:r w:rsidRPr="004F7204">
        <w:rPr>
          <w:rFonts w:asciiTheme="minorBidi" w:hAnsiTheme="minorBidi"/>
          <w:sz w:val="24"/>
          <w:szCs w:val="24"/>
        </w:rPr>
        <w:t>cardiovascular disease and multiple risk factor</w:t>
      </w:r>
      <w:r w:rsidRPr="00987D4E">
        <w:rPr>
          <w:rFonts w:asciiTheme="minorBidi" w:hAnsiTheme="minorBidi"/>
          <w:sz w:val="24"/>
          <w:szCs w:val="24"/>
        </w:rPr>
        <w:t>s</w:t>
      </w:r>
    </w:p>
    <w:p w:rsidR="00D31581" w:rsidRPr="00AC603E" w:rsidRDefault="00D31581" w:rsidP="00D31581">
      <w:pPr>
        <w:bidi w:val="0"/>
        <w:rPr>
          <w:rFonts w:asciiTheme="minorBidi" w:hAnsiTheme="minorBidi"/>
          <w:sz w:val="24"/>
          <w:szCs w:val="24"/>
        </w:rPr>
      </w:pPr>
    </w:p>
    <w:tbl>
      <w:tblPr>
        <w:tblW w:w="10065" w:type="dxa"/>
        <w:tblInd w:w="-719" w:type="dxa"/>
        <w:tblCellMar>
          <w:left w:w="0" w:type="dxa"/>
          <w:right w:w="0" w:type="dxa"/>
        </w:tblCellMar>
        <w:tblLook w:val="04A0" w:firstRow="1" w:lastRow="0" w:firstColumn="1" w:lastColumn="0" w:noHBand="0" w:noVBand="1"/>
      </w:tblPr>
      <w:tblGrid>
        <w:gridCol w:w="2552"/>
        <w:gridCol w:w="2126"/>
        <w:gridCol w:w="1843"/>
        <w:gridCol w:w="1701"/>
        <w:gridCol w:w="1843"/>
      </w:tblGrid>
      <w:tr w:rsidR="00D31581" w:rsidRPr="00E01E3E" w:rsidTr="002805C0">
        <w:trPr>
          <w:trHeight w:val="954"/>
        </w:trPr>
        <w:tc>
          <w:tcPr>
            <w:tcW w:w="2552" w:type="dxa"/>
            <w:tcBorders>
              <w:top w:val="single" w:sz="8" w:space="0" w:color="FFFFFF"/>
              <w:left w:val="single" w:sz="8" w:space="0" w:color="FFFFFF"/>
              <w:bottom w:val="single" w:sz="24" w:space="0" w:color="FFFFFF"/>
              <w:right w:val="single" w:sz="8" w:space="0" w:color="FFFFFF"/>
            </w:tcBorders>
            <w:shd w:val="clear" w:color="auto" w:fill="5B9BD5"/>
            <w:tcMar>
              <w:top w:w="15" w:type="dxa"/>
              <w:left w:w="97" w:type="dxa"/>
              <w:bottom w:w="0" w:type="dxa"/>
              <w:right w:w="97" w:type="dxa"/>
            </w:tcMar>
            <w:vAlign w:val="center"/>
            <w:hideMark/>
          </w:tcPr>
          <w:p w:rsidR="00D31581" w:rsidRPr="00AC603E" w:rsidRDefault="00D31581" w:rsidP="002805C0">
            <w:pPr>
              <w:bidi w:val="0"/>
              <w:spacing w:after="0" w:line="276" w:lineRule="auto"/>
              <w:rPr>
                <w:rFonts w:asciiTheme="minorBidi" w:hAnsiTheme="minorBidi"/>
                <w:sz w:val="24"/>
                <w:szCs w:val="24"/>
              </w:rPr>
            </w:pPr>
            <w:r w:rsidRPr="00AC603E">
              <w:rPr>
                <w:rFonts w:asciiTheme="minorBidi" w:hAnsiTheme="minorBidi"/>
                <w:b/>
                <w:bCs/>
                <w:sz w:val="24"/>
                <w:szCs w:val="24"/>
              </w:rPr>
              <w:t> </w:t>
            </w:r>
          </w:p>
        </w:tc>
        <w:tc>
          <w:tcPr>
            <w:tcW w:w="2126" w:type="dxa"/>
            <w:tcBorders>
              <w:top w:val="single" w:sz="8" w:space="0" w:color="FFFFFF"/>
              <w:left w:val="single" w:sz="8" w:space="0" w:color="FFFFFF"/>
              <w:bottom w:val="single" w:sz="24" w:space="0" w:color="FFFFFF"/>
              <w:right w:val="single" w:sz="8" w:space="0" w:color="FFFFFF"/>
            </w:tcBorders>
            <w:shd w:val="clear" w:color="auto" w:fill="5B9BD5"/>
            <w:tcMar>
              <w:top w:w="15" w:type="dxa"/>
              <w:left w:w="97" w:type="dxa"/>
              <w:bottom w:w="0" w:type="dxa"/>
              <w:right w:w="97"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b/>
                <w:bCs/>
                <w:sz w:val="24"/>
                <w:szCs w:val="24"/>
              </w:rPr>
              <w:t> </w:t>
            </w:r>
          </w:p>
        </w:tc>
        <w:tc>
          <w:tcPr>
            <w:tcW w:w="1843" w:type="dxa"/>
            <w:tcBorders>
              <w:top w:val="single" w:sz="8" w:space="0" w:color="FFFFFF"/>
              <w:left w:val="single" w:sz="8" w:space="0" w:color="FFFFFF"/>
              <w:bottom w:val="single" w:sz="24" w:space="0" w:color="FFFFFF"/>
              <w:right w:val="single" w:sz="8" w:space="0" w:color="FFFFFF"/>
            </w:tcBorders>
            <w:shd w:val="clear" w:color="auto" w:fill="5B9BD5"/>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b/>
                <w:bCs/>
                <w:sz w:val="24"/>
                <w:szCs w:val="24"/>
              </w:rPr>
              <w:t>TOTAL</w:t>
            </w:r>
            <w:r w:rsidRPr="00AC603E">
              <w:rPr>
                <w:rFonts w:asciiTheme="minorBidi" w:hAnsiTheme="minorBidi"/>
                <w:b/>
                <w:bCs/>
                <w:sz w:val="24"/>
                <w:szCs w:val="24"/>
              </w:rPr>
              <w:br/>
              <w:t>(N=17,160)</w:t>
            </w:r>
          </w:p>
        </w:tc>
        <w:tc>
          <w:tcPr>
            <w:tcW w:w="170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b/>
                <w:bCs/>
                <w:sz w:val="24"/>
                <w:szCs w:val="24"/>
              </w:rPr>
              <w:t>CVD</w:t>
            </w:r>
            <w:r w:rsidRPr="00AC603E">
              <w:rPr>
                <w:rFonts w:asciiTheme="minorBidi" w:hAnsiTheme="minorBidi"/>
                <w:b/>
                <w:bCs/>
                <w:sz w:val="24"/>
                <w:szCs w:val="24"/>
              </w:rPr>
              <w:br/>
              <w:t>(N=6,971)</w:t>
            </w:r>
          </w:p>
        </w:tc>
        <w:tc>
          <w:tcPr>
            <w:tcW w:w="1843" w:type="dxa"/>
            <w:tcBorders>
              <w:top w:val="single" w:sz="8" w:space="0" w:color="FFFFFF"/>
              <w:left w:val="single" w:sz="8" w:space="0" w:color="FFFFFF"/>
              <w:bottom w:val="single" w:sz="24" w:space="0" w:color="FFFFFF"/>
              <w:right w:val="single" w:sz="8" w:space="0" w:color="FFFFFF"/>
            </w:tcBorders>
            <w:shd w:val="clear" w:color="auto" w:fill="5B9BD5"/>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b/>
                <w:bCs/>
                <w:sz w:val="24"/>
                <w:szCs w:val="24"/>
              </w:rPr>
              <w:t>MRF</w:t>
            </w:r>
            <w:r w:rsidRPr="00AC603E">
              <w:rPr>
                <w:rFonts w:asciiTheme="minorBidi" w:hAnsiTheme="minorBidi"/>
                <w:b/>
                <w:bCs/>
                <w:sz w:val="24"/>
                <w:szCs w:val="24"/>
              </w:rPr>
              <w:br/>
              <w:t>(N=10,189)</w:t>
            </w:r>
          </w:p>
        </w:tc>
      </w:tr>
      <w:tr w:rsidR="00D31581" w:rsidRPr="00E01E3E" w:rsidTr="002805C0">
        <w:trPr>
          <w:trHeight w:val="180"/>
        </w:trPr>
        <w:tc>
          <w:tcPr>
            <w:tcW w:w="2552" w:type="dxa"/>
            <w:tcBorders>
              <w:top w:val="single" w:sz="24" w:space="0" w:color="FFFFFF"/>
              <w:left w:val="single" w:sz="8" w:space="0" w:color="FFFFFF"/>
              <w:bottom w:val="single" w:sz="8" w:space="0" w:color="FFFFFF"/>
              <w:right w:val="single" w:sz="8" w:space="0" w:color="FFFFFF"/>
            </w:tcBorders>
            <w:shd w:val="clear" w:color="auto" w:fill="5B9BD5"/>
            <w:tcMar>
              <w:top w:w="15" w:type="dxa"/>
              <w:left w:w="97" w:type="dxa"/>
              <w:bottom w:w="0" w:type="dxa"/>
              <w:right w:w="97"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b/>
                <w:bCs/>
                <w:sz w:val="24"/>
                <w:szCs w:val="24"/>
              </w:rPr>
              <w:t>Systolic BP (mmHg)</w:t>
            </w:r>
          </w:p>
        </w:tc>
        <w:tc>
          <w:tcPr>
            <w:tcW w:w="2126" w:type="dxa"/>
            <w:tcBorders>
              <w:top w:val="single" w:sz="24" w:space="0" w:color="FFFFFF"/>
              <w:left w:val="single" w:sz="8" w:space="0" w:color="FFFFFF"/>
              <w:bottom w:val="single" w:sz="8" w:space="0" w:color="FFFFFF"/>
              <w:right w:val="single" w:sz="8" w:space="0" w:color="FFFFFF"/>
            </w:tcBorders>
            <w:shd w:val="clear" w:color="auto" w:fill="5B9BD5"/>
            <w:tcMar>
              <w:top w:w="15" w:type="dxa"/>
              <w:left w:w="97" w:type="dxa"/>
              <w:bottom w:w="0" w:type="dxa"/>
              <w:right w:w="97"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sz w:val="24"/>
                <w:szCs w:val="24"/>
              </w:rPr>
              <w:t xml:space="preserve">mean (SD) </w:t>
            </w:r>
          </w:p>
        </w:tc>
        <w:tc>
          <w:tcPr>
            <w:tcW w:w="1843" w:type="dxa"/>
            <w:tcBorders>
              <w:top w:val="single" w:sz="24" w:space="0" w:color="FFFFFF"/>
              <w:left w:val="single" w:sz="8" w:space="0" w:color="FFFFFF"/>
              <w:bottom w:val="single" w:sz="8" w:space="0" w:color="FFFFFF"/>
              <w:right w:val="single" w:sz="8" w:space="0" w:color="FFFFFF"/>
            </w:tcBorders>
            <w:shd w:val="clear" w:color="auto" w:fill="D2DEEF"/>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135.0 (15.5)</w:t>
            </w:r>
          </w:p>
        </w:tc>
        <w:tc>
          <w:tcPr>
            <w:tcW w:w="1701" w:type="dxa"/>
            <w:tcBorders>
              <w:top w:val="single" w:sz="24" w:space="0" w:color="FFFFFF"/>
              <w:left w:val="single" w:sz="8" w:space="0" w:color="FFFFFF"/>
              <w:bottom w:val="single" w:sz="8" w:space="0" w:color="FFFFFF"/>
              <w:right w:val="single" w:sz="8" w:space="0" w:color="FFFFFF"/>
            </w:tcBorders>
            <w:shd w:val="clear" w:color="auto" w:fill="D2DEEF"/>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134.0 (15.9)</w:t>
            </w:r>
          </w:p>
        </w:tc>
        <w:tc>
          <w:tcPr>
            <w:tcW w:w="1843" w:type="dxa"/>
            <w:tcBorders>
              <w:top w:val="single" w:sz="24" w:space="0" w:color="FFFFFF"/>
              <w:left w:val="single" w:sz="8" w:space="0" w:color="FFFFFF"/>
              <w:bottom w:val="single" w:sz="8" w:space="0" w:color="FFFFFF"/>
              <w:right w:val="single" w:sz="8" w:space="0" w:color="FFFFFF"/>
            </w:tcBorders>
            <w:shd w:val="clear" w:color="auto" w:fill="D2DEEF"/>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135.6 (15.1)</w:t>
            </w:r>
          </w:p>
        </w:tc>
      </w:tr>
      <w:tr w:rsidR="00D31581" w:rsidRPr="00E01E3E" w:rsidTr="002805C0">
        <w:trPr>
          <w:trHeight w:val="356"/>
        </w:trPr>
        <w:tc>
          <w:tcPr>
            <w:tcW w:w="2552" w:type="dxa"/>
            <w:tcBorders>
              <w:top w:val="single" w:sz="8" w:space="0" w:color="FFFFFF"/>
              <w:left w:val="single" w:sz="8" w:space="0" w:color="FFFFFF"/>
              <w:bottom w:val="single" w:sz="8" w:space="0" w:color="FFFFFF"/>
              <w:right w:val="single" w:sz="8" w:space="0" w:color="FFFFFF"/>
            </w:tcBorders>
            <w:shd w:val="clear" w:color="auto" w:fill="5B9BD5"/>
            <w:tcMar>
              <w:top w:w="15" w:type="dxa"/>
              <w:left w:w="97" w:type="dxa"/>
              <w:bottom w:w="0" w:type="dxa"/>
              <w:right w:w="97"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b/>
                <w:bCs/>
                <w:sz w:val="24"/>
                <w:szCs w:val="24"/>
              </w:rPr>
              <w:t>Diastolic BP (mmHg)</w:t>
            </w:r>
          </w:p>
        </w:tc>
        <w:tc>
          <w:tcPr>
            <w:tcW w:w="2126" w:type="dxa"/>
            <w:tcBorders>
              <w:top w:val="single" w:sz="8" w:space="0" w:color="FFFFFF"/>
              <w:left w:val="single" w:sz="8" w:space="0" w:color="FFFFFF"/>
              <w:bottom w:val="single" w:sz="8" w:space="0" w:color="FFFFFF"/>
              <w:right w:val="single" w:sz="8" w:space="0" w:color="FFFFFF"/>
            </w:tcBorders>
            <w:shd w:val="clear" w:color="auto" w:fill="5B9BD5"/>
            <w:tcMar>
              <w:top w:w="15" w:type="dxa"/>
              <w:left w:w="97" w:type="dxa"/>
              <w:bottom w:w="0" w:type="dxa"/>
              <w:right w:w="97"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sz w:val="24"/>
                <w:szCs w:val="24"/>
              </w:rPr>
              <w:t xml:space="preserve">mean (SD) </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78.0 (9.1)</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77.4 (9.35)</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78.4 (8.9)</w:t>
            </w:r>
          </w:p>
        </w:tc>
      </w:tr>
      <w:tr w:rsidR="00D31581" w:rsidRPr="00E01E3E" w:rsidTr="002805C0">
        <w:trPr>
          <w:trHeight w:val="419"/>
        </w:trPr>
        <w:tc>
          <w:tcPr>
            <w:tcW w:w="2552" w:type="dxa"/>
            <w:tcBorders>
              <w:top w:val="single" w:sz="8" w:space="0" w:color="FFFFFF"/>
              <w:left w:val="single" w:sz="8" w:space="0" w:color="FFFFFF"/>
              <w:bottom w:val="single" w:sz="8" w:space="0" w:color="FFFFFF"/>
              <w:right w:val="single" w:sz="8" w:space="0" w:color="FFFFFF"/>
            </w:tcBorders>
            <w:shd w:val="clear" w:color="auto" w:fill="5B9BD5"/>
            <w:tcMar>
              <w:top w:w="15" w:type="dxa"/>
              <w:left w:w="97" w:type="dxa"/>
              <w:bottom w:w="0" w:type="dxa"/>
              <w:right w:w="97"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b/>
                <w:bCs/>
                <w:sz w:val="24"/>
                <w:szCs w:val="24"/>
              </w:rPr>
              <w:t>Pulse (beats/min)</w:t>
            </w:r>
          </w:p>
        </w:tc>
        <w:tc>
          <w:tcPr>
            <w:tcW w:w="2126" w:type="dxa"/>
            <w:tcBorders>
              <w:top w:val="single" w:sz="8" w:space="0" w:color="FFFFFF"/>
              <w:left w:val="single" w:sz="8" w:space="0" w:color="FFFFFF"/>
              <w:bottom w:val="single" w:sz="8" w:space="0" w:color="FFFFFF"/>
              <w:right w:val="single" w:sz="8" w:space="0" w:color="FFFFFF"/>
            </w:tcBorders>
            <w:shd w:val="clear" w:color="auto" w:fill="5B9BD5"/>
            <w:tcMar>
              <w:top w:w="15" w:type="dxa"/>
              <w:left w:w="97" w:type="dxa"/>
              <w:bottom w:w="0" w:type="dxa"/>
              <w:right w:w="97"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sz w:val="24"/>
                <w:szCs w:val="24"/>
              </w:rPr>
              <w:t xml:space="preserve">mean (SD) </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73.0 (10.6)</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71.5 (10.6)</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74.1 (10.5)</w:t>
            </w:r>
          </w:p>
        </w:tc>
      </w:tr>
      <w:tr w:rsidR="00D31581" w:rsidRPr="00E01E3E" w:rsidTr="002805C0">
        <w:trPr>
          <w:trHeight w:val="328"/>
        </w:trPr>
        <w:tc>
          <w:tcPr>
            <w:tcW w:w="2552" w:type="dxa"/>
            <w:tcBorders>
              <w:top w:val="single" w:sz="8" w:space="0" w:color="FFFFFF"/>
              <w:left w:val="single" w:sz="8" w:space="0" w:color="FFFFFF"/>
              <w:bottom w:val="single" w:sz="8" w:space="0" w:color="FFFFFF"/>
              <w:right w:val="single" w:sz="8" w:space="0" w:color="FFFFFF"/>
            </w:tcBorders>
            <w:shd w:val="clear" w:color="auto" w:fill="5B9BD5"/>
            <w:tcMar>
              <w:top w:w="15" w:type="dxa"/>
              <w:left w:w="97" w:type="dxa"/>
              <w:bottom w:w="0" w:type="dxa"/>
              <w:right w:w="97"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b/>
                <w:bCs/>
                <w:sz w:val="24"/>
                <w:szCs w:val="24"/>
              </w:rPr>
              <w:t>Total cholesterol (mmol/l)</w:t>
            </w:r>
          </w:p>
        </w:tc>
        <w:tc>
          <w:tcPr>
            <w:tcW w:w="2126" w:type="dxa"/>
            <w:tcBorders>
              <w:top w:val="single" w:sz="8" w:space="0" w:color="FFFFFF"/>
              <w:left w:val="single" w:sz="8" w:space="0" w:color="FFFFFF"/>
              <w:bottom w:val="single" w:sz="8" w:space="0" w:color="FFFFFF"/>
              <w:right w:val="single" w:sz="8" w:space="0" w:color="FFFFFF"/>
            </w:tcBorders>
            <w:shd w:val="clear" w:color="auto" w:fill="5B9BD5"/>
            <w:tcMar>
              <w:top w:w="15" w:type="dxa"/>
              <w:left w:w="97" w:type="dxa"/>
              <w:bottom w:w="0" w:type="dxa"/>
              <w:right w:w="97"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sz w:val="24"/>
                <w:szCs w:val="24"/>
              </w:rPr>
              <w:t xml:space="preserve">mean (SD) </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4.4 (1.2)</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4.2 (1.2)</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4.5 (1.1)</w:t>
            </w:r>
          </w:p>
        </w:tc>
      </w:tr>
      <w:tr w:rsidR="00D31581" w:rsidRPr="00E01E3E" w:rsidTr="002805C0">
        <w:trPr>
          <w:trHeight w:val="477"/>
        </w:trPr>
        <w:tc>
          <w:tcPr>
            <w:tcW w:w="2552" w:type="dxa"/>
            <w:tcBorders>
              <w:top w:val="single" w:sz="8" w:space="0" w:color="FFFFFF"/>
              <w:left w:val="single" w:sz="8" w:space="0" w:color="FFFFFF"/>
              <w:bottom w:val="single" w:sz="8" w:space="0" w:color="FFFFFF"/>
              <w:right w:val="single" w:sz="8" w:space="0" w:color="FFFFFF"/>
            </w:tcBorders>
            <w:shd w:val="clear" w:color="auto" w:fill="5B9BD5"/>
            <w:tcMar>
              <w:top w:w="15" w:type="dxa"/>
              <w:left w:w="97" w:type="dxa"/>
              <w:bottom w:w="0" w:type="dxa"/>
              <w:right w:w="97"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b/>
                <w:bCs/>
                <w:sz w:val="24"/>
                <w:szCs w:val="24"/>
              </w:rPr>
              <w:t>LDL cholesterol (mmol/l)</w:t>
            </w:r>
          </w:p>
        </w:tc>
        <w:tc>
          <w:tcPr>
            <w:tcW w:w="2126" w:type="dxa"/>
            <w:tcBorders>
              <w:top w:val="single" w:sz="8" w:space="0" w:color="FFFFFF"/>
              <w:left w:val="single" w:sz="8" w:space="0" w:color="FFFFFF"/>
              <w:bottom w:val="single" w:sz="8" w:space="0" w:color="FFFFFF"/>
              <w:right w:val="single" w:sz="8" w:space="0" w:color="FFFFFF"/>
            </w:tcBorders>
            <w:shd w:val="clear" w:color="auto" w:fill="5B9BD5"/>
            <w:tcMar>
              <w:top w:w="15" w:type="dxa"/>
              <w:left w:w="97" w:type="dxa"/>
              <w:bottom w:w="0" w:type="dxa"/>
              <w:right w:w="97"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sz w:val="24"/>
                <w:szCs w:val="24"/>
              </w:rPr>
              <w:t xml:space="preserve">mean (SD) </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2.3 (0.9)</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2.1 (0.9)</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2.4 (0.9)</w:t>
            </w:r>
          </w:p>
        </w:tc>
      </w:tr>
      <w:tr w:rsidR="00D31581" w:rsidRPr="00E01E3E" w:rsidTr="002805C0">
        <w:trPr>
          <w:trHeight w:val="162"/>
        </w:trPr>
        <w:tc>
          <w:tcPr>
            <w:tcW w:w="2552" w:type="dxa"/>
            <w:tcBorders>
              <w:top w:val="single" w:sz="8" w:space="0" w:color="FFFFFF"/>
              <w:left w:val="single" w:sz="8" w:space="0" w:color="FFFFFF"/>
              <w:bottom w:val="single" w:sz="8" w:space="0" w:color="FFFFFF"/>
              <w:right w:val="single" w:sz="8" w:space="0" w:color="FFFFFF"/>
            </w:tcBorders>
            <w:shd w:val="clear" w:color="auto" w:fill="5B9BD5"/>
            <w:tcMar>
              <w:top w:w="15" w:type="dxa"/>
              <w:left w:w="97" w:type="dxa"/>
              <w:bottom w:w="0" w:type="dxa"/>
              <w:right w:w="97"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b/>
                <w:bCs/>
                <w:sz w:val="24"/>
                <w:szCs w:val="24"/>
              </w:rPr>
              <w:t>HDL cholesterol (mmol/l)</w:t>
            </w:r>
          </w:p>
        </w:tc>
        <w:tc>
          <w:tcPr>
            <w:tcW w:w="2126" w:type="dxa"/>
            <w:tcBorders>
              <w:top w:val="single" w:sz="8" w:space="0" w:color="FFFFFF"/>
              <w:left w:val="single" w:sz="8" w:space="0" w:color="FFFFFF"/>
              <w:bottom w:val="single" w:sz="8" w:space="0" w:color="FFFFFF"/>
              <w:right w:val="single" w:sz="8" w:space="0" w:color="FFFFFF"/>
            </w:tcBorders>
            <w:shd w:val="clear" w:color="auto" w:fill="5B9BD5"/>
            <w:tcMar>
              <w:top w:w="15" w:type="dxa"/>
              <w:left w:w="97" w:type="dxa"/>
              <w:bottom w:w="0" w:type="dxa"/>
              <w:right w:w="97"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sz w:val="24"/>
                <w:szCs w:val="24"/>
              </w:rPr>
              <w:t xml:space="preserve">mean (SD) </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1.2 (0.3)</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1.2 (0.3)</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1.3 (0.3)</w:t>
            </w:r>
          </w:p>
        </w:tc>
      </w:tr>
      <w:tr w:rsidR="00D31581" w:rsidRPr="00E01E3E" w:rsidTr="002805C0">
        <w:trPr>
          <w:trHeight w:val="370"/>
        </w:trPr>
        <w:tc>
          <w:tcPr>
            <w:tcW w:w="2552" w:type="dxa"/>
            <w:tcBorders>
              <w:top w:val="single" w:sz="8" w:space="0" w:color="FFFFFF"/>
              <w:left w:val="single" w:sz="8" w:space="0" w:color="FFFFFF"/>
              <w:bottom w:val="single" w:sz="8" w:space="0" w:color="FFFFFF"/>
              <w:right w:val="single" w:sz="8" w:space="0" w:color="FFFFFF"/>
            </w:tcBorders>
            <w:shd w:val="clear" w:color="auto" w:fill="5B9BD5"/>
            <w:tcMar>
              <w:top w:w="15" w:type="dxa"/>
              <w:left w:w="97" w:type="dxa"/>
              <w:bottom w:w="0" w:type="dxa"/>
              <w:right w:w="97"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b/>
                <w:bCs/>
                <w:sz w:val="24"/>
                <w:szCs w:val="24"/>
              </w:rPr>
              <w:t>Triglycerides (mmol/l)</w:t>
            </w:r>
          </w:p>
        </w:tc>
        <w:tc>
          <w:tcPr>
            <w:tcW w:w="2126" w:type="dxa"/>
            <w:tcBorders>
              <w:top w:val="single" w:sz="8" w:space="0" w:color="FFFFFF"/>
              <w:left w:val="single" w:sz="8" w:space="0" w:color="FFFFFF"/>
              <w:bottom w:val="single" w:sz="8" w:space="0" w:color="FFFFFF"/>
              <w:right w:val="single" w:sz="8" w:space="0" w:color="FFFFFF"/>
            </w:tcBorders>
            <w:shd w:val="clear" w:color="auto" w:fill="5B9BD5"/>
            <w:tcMar>
              <w:top w:w="15" w:type="dxa"/>
              <w:left w:w="97" w:type="dxa"/>
              <w:bottom w:w="0" w:type="dxa"/>
              <w:right w:w="97"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sz w:val="24"/>
                <w:szCs w:val="24"/>
              </w:rPr>
              <w:t xml:space="preserve">mean (SD) </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2.0 (1.5)</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2.1 (1.7)</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2.0 (1.4)</w:t>
            </w:r>
          </w:p>
        </w:tc>
      </w:tr>
      <w:tr w:rsidR="00D31581" w:rsidRPr="00E01E3E" w:rsidTr="002805C0">
        <w:trPr>
          <w:trHeight w:val="278"/>
        </w:trPr>
        <w:tc>
          <w:tcPr>
            <w:tcW w:w="2552" w:type="dxa"/>
            <w:vMerge w:val="restart"/>
            <w:tcBorders>
              <w:top w:val="single" w:sz="8" w:space="0" w:color="FFFFFF"/>
              <w:left w:val="single" w:sz="8" w:space="0" w:color="FFFFFF"/>
              <w:bottom w:val="single" w:sz="8" w:space="0" w:color="FFFFFF"/>
              <w:right w:val="single" w:sz="8" w:space="0" w:color="FFFFFF"/>
            </w:tcBorders>
            <w:shd w:val="clear" w:color="auto" w:fill="5B9BD5"/>
            <w:tcMar>
              <w:top w:w="15" w:type="dxa"/>
              <w:left w:w="97" w:type="dxa"/>
              <w:bottom w:w="0" w:type="dxa"/>
              <w:right w:w="97"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b/>
                <w:bCs/>
                <w:sz w:val="24"/>
                <w:szCs w:val="24"/>
              </w:rPr>
              <w:t>eGFR (mL/min/1.73 m²)</w:t>
            </w:r>
          </w:p>
        </w:tc>
        <w:tc>
          <w:tcPr>
            <w:tcW w:w="2126" w:type="dxa"/>
            <w:tcBorders>
              <w:top w:val="single" w:sz="8" w:space="0" w:color="FFFFFF"/>
              <w:left w:val="single" w:sz="8" w:space="0" w:color="FFFFFF"/>
              <w:bottom w:val="single" w:sz="8" w:space="0" w:color="FFFFFF"/>
              <w:right w:val="single" w:sz="8" w:space="0" w:color="FFFFFF"/>
            </w:tcBorders>
            <w:shd w:val="clear" w:color="auto" w:fill="5B9BD5"/>
            <w:tcMar>
              <w:top w:w="15" w:type="dxa"/>
              <w:left w:w="97" w:type="dxa"/>
              <w:bottom w:w="0" w:type="dxa"/>
              <w:right w:w="97"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sz w:val="24"/>
                <w:szCs w:val="24"/>
              </w:rPr>
              <w:t xml:space="preserve">mean (SD) </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86.1 (21.8)</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86.1 (21.8)</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87.0 (21.4)</w:t>
            </w:r>
          </w:p>
        </w:tc>
      </w:tr>
      <w:tr w:rsidR="00D31581" w:rsidRPr="00E01E3E" w:rsidTr="002805C0">
        <w:trPr>
          <w:trHeight w:val="356"/>
        </w:trPr>
        <w:tc>
          <w:tcPr>
            <w:tcW w:w="2552" w:type="dxa"/>
            <w:vMerge/>
            <w:tcBorders>
              <w:top w:val="single" w:sz="8" w:space="0" w:color="FFFFFF"/>
              <w:left w:val="single" w:sz="8" w:space="0" w:color="FFFFFF"/>
              <w:bottom w:val="single" w:sz="8" w:space="0" w:color="FFFFFF"/>
              <w:right w:val="single" w:sz="8" w:space="0" w:color="FFFFFF"/>
            </w:tcBorders>
            <w:vAlign w:val="center"/>
            <w:hideMark/>
          </w:tcPr>
          <w:p w:rsidR="00D31581" w:rsidRPr="00AC603E" w:rsidRDefault="00D31581" w:rsidP="002805C0">
            <w:pPr>
              <w:bidi w:val="0"/>
              <w:spacing w:after="0" w:line="276" w:lineRule="auto"/>
              <w:rPr>
                <w:rFonts w:asciiTheme="minorBidi" w:hAnsiTheme="minorBidi"/>
                <w:sz w:val="24"/>
                <w:szCs w:val="24"/>
              </w:rPr>
            </w:pPr>
          </w:p>
        </w:tc>
        <w:tc>
          <w:tcPr>
            <w:tcW w:w="2126" w:type="dxa"/>
            <w:tcBorders>
              <w:top w:val="single" w:sz="8" w:space="0" w:color="FFFFFF"/>
              <w:left w:val="single" w:sz="8" w:space="0" w:color="FFFFFF"/>
              <w:bottom w:val="single" w:sz="8" w:space="0" w:color="FFFFFF"/>
              <w:right w:val="single" w:sz="8" w:space="0" w:color="FFFFFF"/>
            </w:tcBorders>
            <w:shd w:val="clear" w:color="auto" w:fill="5B9BD5"/>
            <w:tcMar>
              <w:top w:w="15" w:type="dxa"/>
              <w:left w:w="97" w:type="dxa"/>
              <w:bottom w:w="0" w:type="dxa"/>
              <w:right w:w="97"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sz w:val="24"/>
                <w:szCs w:val="24"/>
              </w:rPr>
              <w:t>median (Q1, Q3)</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84.0 (71.0, 99.0)</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83.0 (69.0, 98.0)</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85.0 (72.0, 100.0)</w:t>
            </w:r>
          </w:p>
        </w:tc>
      </w:tr>
      <w:tr w:rsidR="00D31581" w:rsidRPr="00E01E3E" w:rsidTr="002805C0">
        <w:trPr>
          <w:trHeight w:val="419"/>
        </w:trPr>
        <w:tc>
          <w:tcPr>
            <w:tcW w:w="2552" w:type="dxa"/>
            <w:vMerge w:val="restart"/>
            <w:tcBorders>
              <w:top w:val="single" w:sz="8" w:space="0" w:color="FFFFFF"/>
              <w:left w:val="single" w:sz="8" w:space="0" w:color="FFFFFF"/>
              <w:bottom w:val="single" w:sz="8" w:space="0" w:color="FFFFFF"/>
              <w:right w:val="single" w:sz="8" w:space="0" w:color="FFFFFF"/>
            </w:tcBorders>
            <w:shd w:val="clear" w:color="auto" w:fill="5B9BD5"/>
            <w:tcMar>
              <w:top w:w="15" w:type="dxa"/>
              <w:left w:w="97" w:type="dxa"/>
              <w:bottom w:w="0" w:type="dxa"/>
              <w:right w:w="97" w:type="dxa"/>
            </w:tcMar>
            <w:vAlign w:val="center"/>
            <w:hideMark/>
          </w:tcPr>
          <w:p w:rsidR="00D31581" w:rsidRPr="00AC603E" w:rsidRDefault="00D31581" w:rsidP="002805C0">
            <w:pPr>
              <w:bidi w:val="0"/>
              <w:spacing w:after="0" w:line="276" w:lineRule="auto"/>
              <w:rPr>
                <w:rFonts w:asciiTheme="minorBidi" w:hAnsiTheme="minorBidi"/>
                <w:sz w:val="24"/>
                <w:szCs w:val="24"/>
                <w:rtl/>
              </w:rPr>
            </w:pPr>
            <w:proofErr w:type="gramStart"/>
            <w:r w:rsidRPr="00AC603E">
              <w:rPr>
                <w:rFonts w:asciiTheme="minorBidi" w:hAnsiTheme="minorBidi"/>
                <w:b/>
                <w:bCs/>
                <w:sz w:val="24"/>
                <w:szCs w:val="24"/>
              </w:rPr>
              <w:t>eGFR  –</w:t>
            </w:r>
            <w:proofErr w:type="gramEnd"/>
            <w:r w:rsidRPr="00AC603E">
              <w:rPr>
                <w:rFonts w:asciiTheme="minorBidi" w:hAnsiTheme="minorBidi"/>
                <w:b/>
                <w:bCs/>
                <w:sz w:val="24"/>
                <w:szCs w:val="24"/>
              </w:rPr>
              <w:t xml:space="preserve"> n,  (%)</w:t>
            </w:r>
          </w:p>
        </w:tc>
        <w:tc>
          <w:tcPr>
            <w:tcW w:w="2126" w:type="dxa"/>
            <w:tcBorders>
              <w:top w:val="single" w:sz="8" w:space="0" w:color="FFFFFF"/>
              <w:left w:val="single" w:sz="8" w:space="0" w:color="FFFFFF"/>
              <w:bottom w:val="single" w:sz="8" w:space="0" w:color="FFFFFF"/>
              <w:right w:val="single" w:sz="8" w:space="0" w:color="FFFFFF"/>
            </w:tcBorders>
            <w:shd w:val="clear" w:color="auto" w:fill="5B9BD5"/>
            <w:tcMar>
              <w:top w:w="15" w:type="dxa"/>
              <w:left w:w="97" w:type="dxa"/>
              <w:bottom w:w="0" w:type="dxa"/>
              <w:right w:w="97"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sz w:val="24"/>
                <w:szCs w:val="24"/>
              </w:rPr>
              <w:t>&lt;60 mL/min/1.73m²</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1565 (9.1)</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761 (10.9)</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804 (7.9)</w:t>
            </w:r>
          </w:p>
        </w:tc>
      </w:tr>
      <w:tr w:rsidR="00D31581" w:rsidRPr="00E01E3E" w:rsidTr="002805C0">
        <w:trPr>
          <w:trHeight w:val="358"/>
        </w:trPr>
        <w:tc>
          <w:tcPr>
            <w:tcW w:w="2552" w:type="dxa"/>
            <w:vMerge/>
            <w:tcBorders>
              <w:top w:val="single" w:sz="8" w:space="0" w:color="FFFFFF"/>
              <w:left w:val="single" w:sz="8" w:space="0" w:color="FFFFFF"/>
              <w:bottom w:val="single" w:sz="8" w:space="0" w:color="FFFFFF"/>
              <w:right w:val="single" w:sz="8" w:space="0" w:color="FFFFFF"/>
            </w:tcBorders>
            <w:vAlign w:val="center"/>
            <w:hideMark/>
          </w:tcPr>
          <w:p w:rsidR="00D31581" w:rsidRPr="00AC603E" w:rsidRDefault="00D31581" w:rsidP="002805C0">
            <w:pPr>
              <w:bidi w:val="0"/>
              <w:spacing w:after="0" w:line="276" w:lineRule="auto"/>
              <w:rPr>
                <w:rFonts w:asciiTheme="minorBidi" w:hAnsiTheme="minorBidi"/>
                <w:sz w:val="24"/>
                <w:szCs w:val="24"/>
              </w:rPr>
            </w:pPr>
          </w:p>
        </w:tc>
        <w:tc>
          <w:tcPr>
            <w:tcW w:w="2126" w:type="dxa"/>
            <w:tcBorders>
              <w:top w:val="single" w:sz="8" w:space="0" w:color="FFFFFF"/>
              <w:left w:val="single" w:sz="8" w:space="0" w:color="FFFFFF"/>
              <w:bottom w:val="single" w:sz="8" w:space="0" w:color="FFFFFF"/>
              <w:right w:val="single" w:sz="8" w:space="0" w:color="FFFFFF"/>
            </w:tcBorders>
            <w:shd w:val="clear" w:color="auto" w:fill="5B9BD5"/>
            <w:tcMar>
              <w:top w:w="15" w:type="dxa"/>
              <w:left w:w="97" w:type="dxa"/>
              <w:bottom w:w="0" w:type="dxa"/>
              <w:right w:w="97" w:type="dxa"/>
            </w:tcMar>
            <w:vAlign w:val="center"/>
            <w:hideMark/>
          </w:tcPr>
          <w:p w:rsidR="00D31581" w:rsidRPr="00AC603E" w:rsidRDefault="00D31581" w:rsidP="002805C0">
            <w:pPr>
              <w:bidi w:val="0"/>
              <w:spacing w:after="0" w:line="276" w:lineRule="auto"/>
              <w:rPr>
                <w:rFonts w:asciiTheme="minorBidi" w:hAnsiTheme="minorBidi"/>
                <w:sz w:val="24"/>
                <w:szCs w:val="24"/>
              </w:rPr>
            </w:pPr>
            <w:r w:rsidRPr="00AC603E">
              <w:rPr>
                <w:rFonts w:asciiTheme="minorBidi" w:hAnsiTheme="minorBidi"/>
                <w:sz w:val="24"/>
                <w:szCs w:val="24"/>
              </w:rPr>
              <w:t>≥60 - &lt;90 mL/min/1.73m²</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8739 (50.9)</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3584 (51.4)</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5155 (50.6)</w:t>
            </w:r>
          </w:p>
        </w:tc>
      </w:tr>
      <w:tr w:rsidR="00D31581" w:rsidRPr="00E01E3E" w:rsidTr="002805C0">
        <w:trPr>
          <w:trHeight w:val="264"/>
        </w:trPr>
        <w:tc>
          <w:tcPr>
            <w:tcW w:w="2552" w:type="dxa"/>
            <w:vMerge/>
            <w:tcBorders>
              <w:top w:val="single" w:sz="8" w:space="0" w:color="FFFFFF"/>
              <w:left w:val="single" w:sz="8" w:space="0" w:color="FFFFFF"/>
              <w:bottom w:val="single" w:sz="8" w:space="0" w:color="FFFFFF"/>
              <w:right w:val="single" w:sz="8" w:space="0" w:color="FFFFFF"/>
            </w:tcBorders>
            <w:vAlign w:val="center"/>
            <w:hideMark/>
          </w:tcPr>
          <w:p w:rsidR="00D31581" w:rsidRPr="00AC603E" w:rsidRDefault="00D31581" w:rsidP="002805C0">
            <w:pPr>
              <w:bidi w:val="0"/>
              <w:spacing w:after="0" w:line="276" w:lineRule="auto"/>
              <w:rPr>
                <w:rFonts w:asciiTheme="minorBidi" w:hAnsiTheme="minorBidi"/>
                <w:sz w:val="24"/>
                <w:szCs w:val="24"/>
              </w:rPr>
            </w:pPr>
          </w:p>
        </w:tc>
        <w:tc>
          <w:tcPr>
            <w:tcW w:w="2126" w:type="dxa"/>
            <w:tcBorders>
              <w:top w:val="single" w:sz="8" w:space="0" w:color="FFFFFF"/>
              <w:left w:val="single" w:sz="8" w:space="0" w:color="FFFFFF"/>
              <w:bottom w:val="single" w:sz="8" w:space="0" w:color="FFFFFF"/>
              <w:right w:val="single" w:sz="8" w:space="0" w:color="FFFFFF"/>
            </w:tcBorders>
            <w:shd w:val="clear" w:color="auto" w:fill="5B9BD5"/>
            <w:tcMar>
              <w:top w:w="15" w:type="dxa"/>
              <w:left w:w="97" w:type="dxa"/>
              <w:bottom w:w="0" w:type="dxa"/>
              <w:right w:w="97"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sz w:val="24"/>
                <w:szCs w:val="24"/>
              </w:rPr>
              <w:t>≥90 mL/min/1.73m²</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6855 (39.9)</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2626 (37.7)</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4229 (41.5)</w:t>
            </w:r>
          </w:p>
        </w:tc>
      </w:tr>
      <w:tr w:rsidR="00D31581" w:rsidRPr="00E01E3E" w:rsidTr="002805C0">
        <w:trPr>
          <w:trHeight w:val="343"/>
        </w:trPr>
        <w:tc>
          <w:tcPr>
            <w:tcW w:w="2552" w:type="dxa"/>
            <w:tcBorders>
              <w:top w:val="single" w:sz="8" w:space="0" w:color="FFFFFF"/>
              <w:left w:val="single" w:sz="8" w:space="0" w:color="FFFFFF"/>
              <w:bottom w:val="single" w:sz="8" w:space="0" w:color="FFFFFF"/>
              <w:right w:val="single" w:sz="8" w:space="0" w:color="FFFFFF"/>
            </w:tcBorders>
            <w:shd w:val="clear" w:color="auto" w:fill="5B9BD5"/>
            <w:tcMar>
              <w:top w:w="15" w:type="dxa"/>
              <w:left w:w="97" w:type="dxa"/>
              <w:bottom w:w="0" w:type="dxa"/>
              <w:right w:w="97"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b/>
                <w:bCs/>
                <w:sz w:val="24"/>
                <w:szCs w:val="24"/>
              </w:rPr>
              <w:t>Urinary ACR (mg/g)</w:t>
            </w:r>
          </w:p>
        </w:tc>
        <w:tc>
          <w:tcPr>
            <w:tcW w:w="2126" w:type="dxa"/>
            <w:tcBorders>
              <w:top w:val="single" w:sz="8" w:space="0" w:color="FFFFFF"/>
              <w:left w:val="single" w:sz="8" w:space="0" w:color="FFFFFF"/>
              <w:bottom w:val="single" w:sz="8" w:space="0" w:color="FFFFFF"/>
              <w:right w:val="single" w:sz="8" w:space="0" w:color="FFFFFF"/>
            </w:tcBorders>
            <w:shd w:val="clear" w:color="auto" w:fill="5B9BD5"/>
            <w:tcMar>
              <w:top w:w="15" w:type="dxa"/>
              <w:left w:w="97" w:type="dxa"/>
              <w:bottom w:w="0" w:type="dxa"/>
              <w:right w:w="97"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sz w:val="24"/>
                <w:szCs w:val="24"/>
              </w:rPr>
              <w:t>median (Q1, Q3)</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13.1 (6.0, 43.6)</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15.0 (6.3, 55.1)</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12.1 (5.9, 36.3)</w:t>
            </w:r>
          </w:p>
        </w:tc>
      </w:tr>
      <w:tr w:rsidR="00D31581" w:rsidRPr="00E01E3E" w:rsidTr="002805C0">
        <w:trPr>
          <w:trHeight w:val="381"/>
        </w:trPr>
        <w:tc>
          <w:tcPr>
            <w:tcW w:w="2552" w:type="dxa"/>
            <w:vMerge w:val="restart"/>
            <w:tcBorders>
              <w:top w:val="single" w:sz="8" w:space="0" w:color="FFFFFF"/>
              <w:left w:val="single" w:sz="8" w:space="0" w:color="FFFFFF"/>
              <w:bottom w:val="single" w:sz="8" w:space="0" w:color="FFFFFF"/>
              <w:right w:val="single" w:sz="8" w:space="0" w:color="FFFFFF"/>
            </w:tcBorders>
            <w:shd w:val="clear" w:color="auto" w:fill="5B9BD5"/>
            <w:tcMar>
              <w:top w:w="15" w:type="dxa"/>
              <w:left w:w="97" w:type="dxa"/>
              <w:bottom w:w="0" w:type="dxa"/>
              <w:right w:w="97"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b/>
                <w:bCs/>
                <w:sz w:val="24"/>
                <w:szCs w:val="24"/>
              </w:rPr>
              <w:t>Urinary ACR– n</w:t>
            </w:r>
            <w:proofErr w:type="gramStart"/>
            <w:r w:rsidRPr="00AC603E">
              <w:rPr>
                <w:rFonts w:asciiTheme="minorBidi" w:hAnsiTheme="minorBidi"/>
                <w:b/>
                <w:bCs/>
                <w:sz w:val="24"/>
                <w:szCs w:val="24"/>
              </w:rPr>
              <w:t>,  (</w:t>
            </w:r>
            <w:proofErr w:type="gramEnd"/>
            <w:r w:rsidRPr="00AC603E">
              <w:rPr>
                <w:rFonts w:asciiTheme="minorBidi" w:hAnsiTheme="minorBidi"/>
                <w:b/>
                <w:bCs/>
                <w:sz w:val="24"/>
                <w:szCs w:val="24"/>
              </w:rPr>
              <w:t>%)</w:t>
            </w:r>
          </w:p>
        </w:tc>
        <w:tc>
          <w:tcPr>
            <w:tcW w:w="2126" w:type="dxa"/>
            <w:tcBorders>
              <w:top w:val="single" w:sz="8" w:space="0" w:color="FFFFFF"/>
              <w:left w:val="single" w:sz="8" w:space="0" w:color="FFFFFF"/>
              <w:bottom w:val="single" w:sz="8" w:space="0" w:color="FFFFFF"/>
              <w:right w:val="single" w:sz="8" w:space="0" w:color="FFFFFF"/>
            </w:tcBorders>
            <w:shd w:val="clear" w:color="auto" w:fill="5B9BD5"/>
            <w:tcMar>
              <w:top w:w="15" w:type="dxa"/>
              <w:left w:w="97" w:type="dxa"/>
              <w:bottom w:w="0" w:type="dxa"/>
              <w:right w:w="97"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sz w:val="24"/>
                <w:szCs w:val="24"/>
              </w:rPr>
              <w:t>&lt;30 mg/g</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11652 (67.9)</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4452 (63.9)</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7200 (70.7)</w:t>
            </w:r>
          </w:p>
        </w:tc>
      </w:tr>
      <w:tr w:rsidR="00D31581" w:rsidRPr="00E01E3E" w:rsidTr="002805C0">
        <w:trPr>
          <w:trHeight w:val="387"/>
        </w:trPr>
        <w:tc>
          <w:tcPr>
            <w:tcW w:w="2552" w:type="dxa"/>
            <w:vMerge/>
            <w:tcBorders>
              <w:top w:val="single" w:sz="8" w:space="0" w:color="FFFFFF"/>
              <w:left w:val="single" w:sz="8" w:space="0" w:color="FFFFFF"/>
              <w:bottom w:val="single" w:sz="8" w:space="0" w:color="FFFFFF"/>
              <w:right w:val="single" w:sz="8" w:space="0" w:color="FFFFFF"/>
            </w:tcBorders>
            <w:vAlign w:val="center"/>
            <w:hideMark/>
          </w:tcPr>
          <w:p w:rsidR="00D31581" w:rsidRPr="00AC603E" w:rsidRDefault="00D31581" w:rsidP="002805C0">
            <w:pPr>
              <w:bidi w:val="0"/>
              <w:spacing w:after="0" w:line="276" w:lineRule="auto"/>
              <w:rPr>
                <w:rFonts w:asciiTheme="minorBidi" w:hAnsiTheme="minorBidi"/>
                <w:sz w:val="24"/>
                <w:szCs w:val="24"/>
              </w:rPr>
            </w:pPr>
          </w:p>
        </w:tc>
        <w:tc>
          <w:tcPr>
            <w:tcW w:w="2126" w:type="dxa"/>
            <w:tcBorders>
              <w:top w:val="single" w:sz="8" w:space="0" w:color="FFFFFF"/>
              <w:left w:val="single" w:sz="8" w:space="0" w:color="FFFFFF"/>
              <w:bottom w:val="single" w:sz="8" w:space="0" w:color="FFFFFF"/>
              <w:right w:val="single" w:sz="8" w:space="0" w:color="FFFFFF"/>
            </w:tcBorders>
            <w:shd w:val="clear" w:color="auto" w:fill="5B9BD5"/>
            <w:tcMar>
              <w:top w:w="15" w:type="dxa"/>
              <w:left w:w="97" w:type="dxa"/>
              <w:bottom w:w="0" w:type="dxa"/>
              <w:right w:w="97"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sz w:val="24"/>
                <w:szCs w:val="24"/>
              </w:rPr>
              <w:t>30 - ≤300 mg/g</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4023 (23.4)</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1784 (25.6)</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2239 (22.0)</w:t>
            </w:r>
          </w:p>
        </w:tc>
      </w:tr>
      <w:tr w:rsidR="00D31581" w:rsidRPr="00E01E3E" w:rsidTr="002805C0">
        <w:trPr>
          <w:trHeight w:val="312"/>
        </w:trPr>
        <w:tc>
          <w:tcPr>
            <w:tcW w:w="2552" w:type="dxa"/>
            <w:vMerge/>
            <w:tcBorders>
              <w:top w:val="single" w:sz="8" w:space="0" w:color="FFFFFF"/>
              <w:left w:val="single" w:sz="8" w:space="0" w:color="FFFFFF"/>
              <w:bottom w:val="single" w:sz="8" w:space="0" w:color="FFFFFF"/>
              <w:right w:val="single" w:sz="8" w:space="0" w:color="FFFFFF"/>
            </w:tcBorders>
            <w:vAlign w:val="center"/>
            <w:hideMark/>
          </w:tcPr>
          <w:p w:rsidR="00D31581" w:rsidRPr="00AC603E" w:rsidRDefault="00D31581" w:rsidP="002805C0">
            <w:pPr>
              <w:bidi w:val="0"/>
              <w:spacing w:after="0" w:line="276" w:lineRule="auto"/>
              <w:rPr>
                <w:rFonts w:asciiTheme="minorBidi" w:hAnsiTheme="minorBidi"/>
                <w:sz w:val="24"/>
                <w:szCs w:val="24"/>
              </w:rPr>
            </w:pPr>
          </w:p>
        </w:tc>
        <w:tc>
          <w:tcPr>
            <w:tcW w:w="2126" w:type="dxa"/>
            <w:tcBorders>
              <w:top w:val="single" w:sz="8" w:space="0" w:color="FFFFFF"/>
              <w:left w:val="single" w:sz="8" w:space="0" w:color="FFFFFF"/>
              <w:bottom w:val="single" w:sz="8" w:space="0" w:color="FFFFFF"/>
              <w:right w:val="single" w:sz="8" w:space="0" w:color="FFFFFF"/>
            </w:tcBorders>
            <w:shd w:val="clear" w:color="auto" w:fill="5B9BD5"/>
            <w:tcMar>
              <w:top w:w="15" w:type="dxa"/>
              <w:left w:w="97" w:type="dxa"/>
              <w:bottom w:w="0" w:type="dxa"/>
              <w:right w:w="97" w:type="dxa"/>
            </w:tcMar>
            <w:vAlign w:val="center"/>
            <w:hideMark/>
          </w:tcPr>
          <w:p w:rsidR="00D31581" w:rsidRPr="00AC603E" w:rsidRDefault="00D31581" w:rsidP="002805C0">
            <w:pPr>
              <w:bidi w:val="0"/>
              <w:spacing w:after="0" w:line="276" w:lineRule="auto"/>
              <w:rPr>
                <w:rFonts w:asciiTheme="minorBidi" w:hAnsiTheme="minorBidi"/>
                <w:sz w:val="24"/>
                <w:szCs w:val="24"/>
                <w:rtl/>
              </w:rPr>
            </w:pPr>
            <w:r w:rsidRPr="00AC603E">
              <w:rPr>
                <w:rFonts w:asciiTheme="minorBidi" w:hAnsiTheme="minorBidi"/>
                <w:sz w:val="24"/>
                <w:szCs w:val="24"/>
              </w:rPr>
              <w:t>&gt;300 mg/g</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1169 (6.8)</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576 (8.3)</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15" w:type="dxa"/>
              <w:left w:w="97" w:type="dxa"/>
              <w:bottom w:w="0" w:type="dxa"/>
              <w:right w:w="97" w:type="dxa"/>
            </w:tcMar>
            <w:vAlign w:val="center"/>
            <w:hideMark/>
          </w:tcPr>
          <w:p w:rsidR="00D31581" w:rsidRPr="00AC603E" w:rsidRDefault="00D31581" w:rsidP="002805C0">
            <w:pPr>
              <w:bidi w:val="0"/>
              <w:spacing w:after="0" w:line="276" w:lineRule="auto"/>
              <w:jc w:val="center"/>
              <w:rPr>
                <w:rFonts w:asciiTheme="minorBidi" w:hAnsiTheme="minorBidi"/>
                <w:sz w:val="24"/>
                <w:szCs w:val="24"/>
                <w:rtl/>
              </w:rPr>
            </w:pPr>
            <w:r w:rsidRPr="00AC603E">
              <w:rPr>
                <w:rFonts w:asciiTheme="minorBidi" w:hAnsiTheme="minorBidi"/>
                <w:sz w:val="24"/>
                <w:szCs w:val="24"/>
              </w:rPr>
              <w:t>593 (5.8)</w:t>
            </w:r>
          </w:p>
        </w:tc>
      </w:tr>
    </w:tbl>
    <w:p w:rsidR="00D31581" w:rsidRPr="00AC603E" w:rsidRDefault="00D31581" w:rsidP="00D31581">
      <w:pPr>
        <w:bidi w:val="0"/>
        <w:rPr>
          <w:rFonts w:asciiTheme="minorBidi" w:hAnsiTheme="minorBidi"/>
          <w:sz w:val="24"/>
          <w:szCs w:val="24"/>
        </w:rPr>
      </w:pPr>
    </w:p>
    <w:p w:rsidR="00D31581" w:rsidRPr="00AC603E" w:rsidRDefault="00D31581" w:rsidP="00D31581">
      <w:pPr>
        <w:bidi w:val="0"/>
        <w:spacing w:after="0" w:line="360" w:lineRule="auto"/>
        <w:rPr>
          <w:rFonts w:asciiTheme="minorBidi" w:eastAsia="Times New Roman" w:hAnsiTheme="minorBidi"/>
          <w:color w:val="000000"/>
          <w:sz w:val="24"/>
          <w:szCs w:val="24"/>
        </w:rPr>
      </w:pPr>
      <w:r w:rsidRPr="00AC603E">
        <w:rPr>
          <w:rFonts w:asciiTheme="minorBidi" w:eastAsia="Times New Roman" w:hAnsiTheme="minorBidi"/>
          <w:color w:val="000000"/>
          <w:sz w:val="24"/>
          <w:szCs w:val="24"/>
        </w:rPr>
        <w:t>CVD- Cardiovascular Disease</w:t>
      </w:r>
    </w:p>
    <w:p w:rsidR="00D31581" w:rsidRPr="00AC603E" w:rsidRDefault="00D31581" w:rsidP="00D31581">
      <w:pPr>
        <w:bidi w:val="0"/>
        <w:spacing w:after="0" w:line="360" w:lineRule="auto"/>
        <w:rPr>
          <w:rFonts w:asciiTheme="minorBidi" w:eastAsia="Times New Roman" w:hAnsiTheme="minorBidi"/>
          <w:color w:val="000000"/>
          <w:sz w:val="24"/>
          <w:szCs w:val="24"/>
        </w:rPr>
      </w:pPr>
      <w:r w:rsidRPr="00AC603E">
        <w:rPr>
          <w:rFonts w:asciiTheme="minorBidi" w:eastAsia="Times New Roman" w:hAnsiTheme="minorBidi"/>
          <w:color w:val="000000"/>
          <w:sz w:val="24"/>
          <w:szCs w:val="24"/>
        </w:rPr>
        <w:t>MRF- Multiple risk Factor</w:t>
      </w:r>
    </w:p>
    <w:p w:rsidR="00D31581" w:rsidRPr="00AC603E" w:rsidRDefault="00D31581" w:rsidP="00D31581">
      <w:pPr>
        <w:bidi w:val="0"/>
        <w:spacing w:after="0" w:line="360" w:lineRule="auto"/>
        <w:rPr>
          <w:rFonts w:asciiTheme="minorBidi" w:eastAsia="Times New Roman" w:hAnsiTheme="minorBidi"/>
          <w:color w:val="000000"/>
          <w:sz w:val="24"/>
          <w:szCs w:val="24"/>
        </w:rPr>
      </w:pPr>
      <w:r w:rsidRPr="00AC603E">
        <w:rPr>
          <w:rFonts w:asciiTheme="minorBidi" w:eastAsia="Times New Roman" w:hAnsiTheme="minorBidi"/>
          <w:color w:val="000000"/>
          <w:sz w:val="24"/>
          <w:szCs w:val="24"/>
        </w:rPr>
        <w:t>BP –Blood Pressure</w:t>
      </w:r>
    </w:p>
    <w:p w:rsidR="00D31581" w:rsidRPr="00AC603E" w:rsidRDefault="00D31581" w:rsidP="00D31581">
      <w:pPr>
        <w:bidi w:val="0"/>
        <w:spacing w:after="0" w:line="360" w:lineRule="auto"/>
        <w:rPr>
          <w:rFonts w:asciiTheme="minorBidi" w:eastAsia="Times New Roman" w:hAnsiTheme="minorBidi"/>
          <w:color w:val="000000"/>
          <w:sz w:val="24"/>
          <w:szCs w:val="24"/>
        </w:rPr>
      </w:pPr>
      <w:r w:rsidRPr="00AC603E">
        <w:rPr>
          <w:rFonts w:asciiTheme="minorBidi" w:eastAsia="Times New Roman" w:hAnsiTheme="minorBidi"/>
          <w:color w:val="000000"/>
          <w:sz w:val="24"/>
          <w:szCs w:val="24"/>
        </w:rPr>
        <w:t>LDL - Low-density Lipoprotein</w:t>
      </w:r>
    </w:p>
    <w:p w:rsidR="00D31581" w:rsidRPr="00AC603E" w:rsidRDefault="00D31581" w:rsidP="00D31581">
      <w:pPr>
        <w:bidi w:val="0"/>
        <w:spacing w:after="0" w:line="360" w:lineRule="auto"/>
        <w:rPr>
          <w:rFonts w:asciiTheme="minorBidi" w:eastAsia="Times New Roman" w:hAnsiTheme="minorBidi"/>
          <w:color w:val="000000"/>
          <w:sz w:val="24"/>
          <w:szCs w:val="24"/>
        </w:rPr>
      </w:pPr>
      <w:r w:rsidRPr="00AC603E">
        <w:rPr>
          <w:rFonts w:asciiTheme="minorBidi" w:eastAsia="Times New Roman" w:hAnsiTheme="minorBidi"/>
          <w:color w:val="000000"/>
          <w:sz w:val="24"/>
          <w:szCs w:val="24"/>
        </w:rPr>
        <w:lastRenderedPageBreak/>
        <w:t>HDL - High-density Lipoprotein</w:t>
      </w:r>
    </w:p>
    <w:p w:rsidR="00D31581" w:rsidRPr="00AC603E" w:rsidRDefault="00D31581" w:rsidP="00D31581">
      <w:pPr>
        <w:bidi w:val="0"/>
        <w:spacing w:after="0" w:line="360" w:lineRule="auto"/>
        <w:rPr>
          <w:rFonts w:asciiTheme="minorBidi" w:eastAsia="Times New Roman" w:hAnsiTheme="minorBidi"/>
          <w:color w:val="000000"/>
          <w:sz w:val="24"/>
          <w:szCs w:val="24"/>
        </w:rPr>
      </w:pPr>
      <w:r w:rsidRPr="00AC603E">
        <w:rPr>
          <w:rFonts w:asciiTheme="minorBidi" w:eastAsia="Times New Roman" w:hAnsiTheme="minorBidi"/>
          <w:color w:val="000000"/>
          <w:sz w:val="24"/>
          <w:szCs w:val="24"/>
        </w:rPr>
        <w:t>ACR – Albumin-to-Creatinine Ratio</w:t>
      </w:r>
    </w:p>
    <w:p w:rsidR="00D31581" w:rsidRPr="00AC603E" w:rsidRDefault="00D31581" w:rsidP="00D31581">
      <w:pPr>
        <w:bidi w:val="0"/>
        <w:spacing w:after="0" w:line="360" w:lineRule="auto"/>
        <w:rPr>
          <w:rFonts w:asciiTheme="minorBidi" w:hAnsiTheme="minorBidi"/>
          <w:sz w:val="24"/>
          <w:szCs w:val="24"/>
        </w:rPr>
      </w:pPr>
      <w:proofErr w:type="gramStart"/>
      <w:r w:rsidRPr="00AC603E">
        <w:rPr>
          <w:rFonts w:asciiTheme="minorBidi" w:eastAsia="Times New Roman" w:hAnsiTheme="minorBidi"/>
          <w:color w:val="000000"/>
          <w:sz w:val="24"/>
          <w:szCs w:val="24"/>
        </w:rPr>
        <w:t>eGFR</w:t>
      </w:r>
      <w:proofErr w:type="gramEnd"/>
      <w:r w:rsidRPr="00AC603E">
        <w:rPr>
          <w:rFonts w:asciiTheme="minorBidi" w:hAnsiTheme="minorBidi"/>
          <w:sz w:val="24"/>
          <w:szCs w:val="24"/>
        </w:rPr>
        <w:t xml:space="preserve"> - </w:t>
      </w:r>
      <w:r w:rsidRPr="00AC603E">
        <w:rPr>
          <w:rFonts w:asciiTheme="minorBidi" w:eastAsia="Times New Roman" w:hAnsiTheme="minorBidi"/>
          <w:color w:val="000000"/>
          <w:sz w:val="24"/>
          <w:szCs w:val="24"/>
        </w:rPr>
        <w:t>Estimated Glomerular Filtration Rate</w:t>
      </w:r>
    </w:p>
    <w:p w:rsidR="00D31581" w:rsidRPr="00AC603E" w:rsidRDefault="00D31581" w:rsidP="00D31581">
      <w:pPr>
        <w:bidi w:val="0"/>
        <w:spacing w:after="0" w:line="360" w:lineRule="auto"/>
        <w:rPr>
          <w:rFonts w:asciiTheme="minorBidi" w:eastAsia="Times New Roman" w:hAnsiTheme="minorBidi"/>
          <w:color w:val="000000"/>
          <w:sz w:val="24"/>
          <w:szCs w:val="24"/>
        </w:rPr>
      </w:pPr>
      <w:r w:rsidRPr="00E01E3E">
        <w:rPr>
          <w:rFonts w:asciiTheme="minorBidi" w:hAnsiTheme="minorBidi"/>
          <w:b/>
          <w:bCs/>
          <w:sz w:val="24"/>
          <w:szCs w:val="24"/>
        </w:rPr>
        <w:t>Footnote:</w:t>
      </w:r>
      <w:r w:rsidRPr="00AC603E">
        <w:rPr>
          <w:rFonts w:asciiTheme="minorBidi" w:eastAsia="Times New Roman" w:hAnsiTheme="minorBidi"/>
          <w:color w:val="000000"/>
          <w:sz w:val="24"/>
          <w:szCs w:val="24"/>
        </w:rPr>
        <w:t xml:space="preserve"> Based on data as of the 2</w:t>
      </w:r>
      <w:r w:rsidRPr="00AC603E">
        <w:rPr>
          <w:rFonts w:asciiTheme="minorBidi" w:eastAsia="Times New Roman" w:hAnsiTheme="minorBidi"/>
          <w:color w:val="000000"/>
          <w:sz w:val="24"/>
          <w:szCs w:val="24"/>
          <w:vertAlign w:val="superscript"/>
        </w:rPr>
        <w:t>nd</w:t>
      </w:r>
      <w:r w:rsidRPr="00AC603E">
        <w:rPr>
          <w:rFonts w:asciiTheme="minorBidi" w:eastAsia="Times New Roman" w:hAnsiTheme="minorBidi"/>
          <w:color w:val="000000"/>
          <w:sz w:val="24"/>
          <w:szCs w:val="24"/>
        </w:rPr>
        <w:t xml:space="preserve"> of April 2017</w:t>
      </w:r>
    </w:p>
    <w:p w:rsidR="00D31581" w:rsidRPr="00AC603E" w:rsidRDefault="00D31581" w:rsidP="00D31581">
      <w:pPr>
        <w:bidi w:val="0"/>
        <w:rPr>
          <w:rFonts w:asciiTheme="minorBidi" w:hAnsiTheme="minorBidi"/>
          <w:sz w:val="24"/>
          <w:szCs w:val="24"/>
        </w:rPr>
      </w:pPr>
    </w:p>
    <w:p w:rsidR="00D31581" w:rsidRPr="00AC603E" w:rsidRDefault="00D31581" w:rsidP="00D31581">
      <w:pPr>
        <w:bidi w:val="0"/>
        <w:jc w:val="both"/>
        <w:rPr>
          <w:rFonts w:asciiTheme="minorBidi" w:hAnsiTheme="minorBidi"/>
          <w:b/>
          <w:bCs/>
          <w:sz w:val="24"/>
          <w:szCs w:val="24"/>
        </w:rPr>
      </w:pPr>
      <w:r w:rsidRPr="00AC603E">
        <w:rPr>
          <w:rFonts w:asciiTheme="minorBidi" w:hAnsiTheme="minorBidi"/>
          <w:b/>
          <w:bCs/>
          <w:sz w:val="24"/>
          <w:szCs w:val="24"/>
        </w:rPr>
        <w:br w:type="page"/>
      </w:r>
    </w:p>
    <w:p w:rsidR="00D31581" w:rsidRPr="00AC603E" w:rsidRDefault="00D31581" w:rsidP="00D31581">
      <w:pPr>
        <w:bidi w:val="0"/>
        <w:jc w:val="both"/>
        <w:rPr>
          <w:rFonts w:asciiTheme="minorBidi" w:hAnsiTheme="minorBidi"/>
          <w:sz w:val="24"/>
          <w:szCs w:val="24"/>
        </w:rPr>
      </w:pPr>
      <w:r w:rsidRPr="00AC603E">
        <w:rPr>
          <w:rFonts w:asciiTheme="minorBidi" w:hAnsiTheme="minorBidi"/>
          <w:b/>
          <w:bCs/>
          <w:sz w:val="24"/>
          <w:szCs w:val="24"/>
        </w:rPr>
        <w:lastRenderedPageBreak/>
        <w:t>Legend to Figures:</w:t>
      </w:r>
    </w:p>
    <w:p w:rsidR="00D31581" w:rsidRPr="006358E9" w:rsidRDefault="00D31581" w:rsidP="00D31581">
      <w:pPr>
        <w:bidi w:val="0"/>
        <w:rPr>
          <w:rFonts w:asciiTheme="minorBidi" w:hAnsiTheme="minorBidi"/>
          <w:sz w:val="24"/>
          <w:szCs w:val="24"/>
        </w:rPr>
      </w:pPr>
      <w:r w:rsidRPr="00E01E3E">
        <w:rPr>
          <w:rFonts w:asciiTheme="minorBidi" w:hAnsiTheme="minorBidi"/>
          <w:b/>
          <w:bCs/>
          <w:sz w:val="24"/>
          <w:szCs w:val="24"/>
        </w:rPr>
        <w:t>Figure 1-</w:t>
      </w:r>
      <w:r w:rsidRPr="006358E9">
        <w:rPr>
          <w:rFonts w:asciiTheme="minorBidi" w:hAnsiTheme="minorBidi"/>
          <w:sz w:val="24"/>
          <w:szCs w:val="24"/>
        </w:rPr>
        <w:t xml:space="preserve"> Comparing patients' baseline characteristics between the cardiovascular disease (CVD) population and multiple risk </w:t>
      </w:r>
      <w:proofErr w:type="gramStart"/>
      <w:r w:rsidRPr="006358E9">
        <w:rPr>
          <w:rFonts w:asciiTheme="minorBidi" w:hAnsiTheme="minorBidi"/>
          <w:sz w:val="24"/>
          <w:szCs w:val="24"/>
        </w:rPr>
        <w:t>factor</w:t>
      </w:r>
      <w:proofErr w:type="gramEnd"/>
      <w:r w:rsidRPr="006358E9">
        <w:rPr>
          <w:rFonts w:asciiTheme="minorBidi" w:hAnsiTheme="minorBidi"/>
          <w:sz w:val="24"/>
          <w:szCs w:val="24"/>
        </w:rPr>
        <w:t xml:space="preserve"> (MRF) population.</w:t>
      </w:r>
    </w:p>
    <w:p w:rsidR="00D31581" w:rsidRPr="00987D4E" w:rsidRDefault="00D31581" w:rsidP="00D31581">
      <w:pPr>
        <w:bidi w:val="0"/>
        <w:rPr>
          <w:rFonts w:asciiTheme="minorBidi" w:hAnsiTheme="minorBidi"/>
          <w:sz w:val="24"/>
          <w:szCs w:val="24"/>
        </w:rPr>
      </w:pPr>
      <w:r w:rsidRPr="006358E9">
        <w:rPr>
          <w:rFonts w:asciiTheme="minorBidi" w:hAnsiTheme="minorBidi"/>
          <w:sz w:val="24"/>
          <w:szCs w:val="24"/>
        </w:rPr>
        <w:t>Comparing different aspects of baseline characteristics between the CVD population and MRF population: race, region and ethnicity (Panel A), years since diagnosis of diabetes (Panel B) and different medication gro</w:t>
      </w:r>
      <w:r w:rsidRPr="00987D4E">
        <w:rPr>
          <w:rFonts w:asciiTheme="minorBidi" w:hAnsiTheme="minorBidi"/>
          <w:sz w:val="24"/>
          <w:szCs w:val="24"/>
        </w:rPr>
        <w:t>ups: glucose lowering therapy (Panel C), anti-hypertensive therapy (Panel D), anti-platelets/anti-coagulants (Panel E) and lipid lowering therapy (Panel F).</w:t>
      </w:r>
    </w:p>
    <w:p w:rsidR="00D31581" w:rsidRPr="00987D4E" w:rsidRDefault="00D31581" w:rsidP="00D31581">
      <w:pPr>
        <w:bidi w:val="0"/>
        <w:jc w:val="both"/>
        <w:rPr>
          <w:rFonts w:asciiTheme="minorBidi" w:eastAsia="Times New Roman" w:hAnsiTheme="minorBidi"/>
          <w:color w:val="000000"/>
          <w:sz w:val="24"/>
          <w:szCs w:val="24"/>
        </w:rPr>
      </w:pPr>
    </w:p>
    <w:p w:rsidR="00D31581" w:rsidRPr="00AC603E" w:rsidRDefault="00D31581" w:rsidP="00D31581">
      <w:pPr>
        <w:bidi w:val="0"/>
        <w:rPr>
          <w:rFonts w:asciiTheme="minorBidi" w:hAnsiTheme="minorBidi"/>
          <w:sz w:val="24"/>
          <w:szCs w:val="24"/>
        </w:rPr>
      </w:pPr>
    </w:p>
    <w:p w:rsidR="00D31581" w:rsidRPr="006358E9" w:rsidRDefault="00D31581" w:rsidP="00D31581">
      <w:pPr>
        <w:bidi w:val="0"/>
        <w:rPr>
          <w:rFonts w:asciiTheme="minorBidi" w:hAnsiTheme="minorBidi"/>
          <w:sz w:val="24"/>
          <w:szCs w:val="24"/>
        </w:rPr>
      </w:pPr>
      <w:r w:rsidRPr="00E01E3E">
        <w:rPr>
          <w:rFonts w:asciiTheme="minorBidi" w:hAnsiTheme="minorBidi"/>
          <w:b/>
          <w:bCs/>
          <w:sz w:val="24"/>
          <w:szCs w:val="24"/>
        </w:rPr>
        <w:t>Figure</w:t>
      </w:r>
      <w:r w:rsidRPr="006358E9">
        <w:rPr>
          <w:rFonts w:asciiTheme="minorBidi" w:hAnsiTheme="minorBidi"/>
          <w:b/>
          <w:bCs/>
          <w:sz w:val="24"/>
          <w:szCs w:val="24"/>
        </w:rPr>
        <w:t xml:space="preserve"> 1- </w:t>
      </w:r>
      <w:r w:rsidRPr="006358E9">
        <w:rPr>
          <w:rFonts w:asciiTheme="minorBidi" w:hAnsiTheme="minorBidi"/>
          <w:sz w:val="24"/>
          <w:szCs w:val="24"/>
        </w:rPr>
        <w:t>Comparing</w:t>
      </w:r>
      <w:r w:rsidRPr="00E01E3E">
        <w:rPr>
          <w:rFonts w:asciiTheme="minorBidi" w:hAnsiTheme="minorBidi"/>
          <w:sz w:val="24"/>
          <w:szCs w:val="24"/>
        </w:rPr>
        <w:t xml:space="preserve"> p</w:t>
      </w:r>
      <w:r w:rsidRPr="006358E9">
        <w:rPr>
          <w:rFonts w:asciiTheme="minorBidi" w:hAnsiTheme="minorBidi"/>
          <w:sz w:val="24"/>
          <w:szCs w:val="24"/>
        </w:rPr>
        <w:t xml:space="preserve">atients' baseline characteristics between the cardiovascular disease (CVD) population and multiple risk </w:t>
      </w:r>
      <w:proofErr w:type="gramStart"/>
      <w:r w:rsidRPr="006358E9">
        <w:rPr>
          <w:rFonts w:asciiTheme="minorBidi" w:hAnsiTheme="minorBidi"/>
          <w:sz w:val="24"/>
          <w:szCs w:val="24"/>
        </w:rPr>
        <w:t>factor</w:t>
      </w:r>
      <w:proofErr w:type="gramEnd"/>
      <w:r w:rsidRPr="006358E9">
        <w:rPr>
          <w:rFonts w:asciiTheme="minorBidi" w:hAnsiTheme="minorBidi"/>
          <w:sz w:val="24"/>
          <w:szCs w:val="24"/>
        </w:rPr>
        <w:t xml:space="preserve"> (MRF) population</w:t>
      </w:r>
      <w:r w:rsidRPr="00E01E3E">
        <w:rPr>
          <w:rFonts w:asciiTheme="minorBidi" w:hAnsiTheme="minorBidi"/>
          <w:sz w:val="24"/>
          <w:szCs w:val="24"/>
        </w:rPr>
        <w:t>.</w:t>
      </w:r>
    </w:p>
    <w:p w:rsidR="00D31581" w:rsidRPr="00AC603E" w:rsidRDefault="00D31581" w:rsidP="00D31581">
      <w:pPr>
        <w:bidi w:val="0"/>
        <w:ind w:hanging="567"/>
        <w:rPr>
          <w:rFonts w:asciiTheme="minorBidi" w:hAnsiTheme="minorBidi"/>
          <w:sz w:val="24"/>
          <w:szCs w:val="24"/>
        </w:rPr>
      </w:pPr>
      <w:r w:rsidRPr="00AC603E">
        <w:rPr>
          <w:rFonts w:asciiTheme="minorBidi" w:hAnsiTheme="minorBidi"/>
          <w:noProof/>
          <w:sz w:val="24"/>
          <w:szCs w:val="24"/>
        </w:rPr>
        <w:drawing>
          <wp:inline distT="0" distB="0" distL="0" distR="0" wp14:anchorId="04E737C3" wp14:editId="3552D94E">
            <wp:extent cx="5274310" cy="2769013"/>
            <wp:effectExtent l="19050" t="0" r="2159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31581" w:rsidRPr="00AC603E" w:rsidRDefault="00D31581" w:rsidP="00D31581">
      <w:pPr>
        <w:bidi w:val="0"/>
        <w:rPr>
          <w:rFonts w:asciiTheme="minorBidi" w:hAnsiTheme="minorBidi"/>
          <w:sz w:val="24"/>
          <w:szCs w:val="24"/>
        </w:rPr>
      </w:pPr>
    </w:p>
    <w:p w:rsidR="00D31581" w:rsidRPr="00AC603E" w:rsidRDefault="00D31581" w:rsidP="00D31581">
      <w:pPr>
        <w:bidi w:val="0"/>
        <w:rPr>
          <w:rFonts w:asciiTheme="minorBidi" w:hAnsiTheme="minorBidi"/>
          <w:sz w:val="24"/>
          <w:szCs w:val="24"/>
        </w:rPr>
      </w:pPr>
      <w:r w:rsidRPr="00AC603E">
        <w:rPr>
          <w:rFonts w:asciiTheme="minorBidi" w:hAnsiTheme="minorBidi"/>
          <w:noProof/>
          <w:sz w:val="24"/>
          <w:szCs w:val="24"/>
        </w:rPr>
        <w:lastRenderedPageBreak/>
        <w:drawing>
          <wp:inline distT="0" distB="0" distL="0" distR="0" wp14:anchorId="46675848" wp14:editId="05B29EEC">
            <wp:extent cx="5769610" cy="2724150"/>
            <wp:effectExtent l="0" t="0" r="254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31581" w:rsidRPr="00AC603E" w:rsidRDefault="00D31581" w:rsidP="00D31581">
      <w:pPr>
        <w:bidi w:val="0"/>
        <w:rPr>
          <w:rFonts w:asciiTheme="minorBidi" w:hAnsiTheme="minorBidi"/>
          <w:sz w:val="24"/>
          <w:szCs w:val="24"/>
        </w:rPr>
      </w:pPr>
    </w:p>
    <w:p w:rsidR="00D31581" w:rsidRPr="00AC603E" w:rsidRDefault="00D31581" w:rsidP="00D31581">
      <w:pPr>
        <w:bidi w:val="0"/>
        <w:rPr>
          <w:rFonts w:asciiTheme="minorBidi" w:hAnsiTheme="minorBidi"/>
          <w:sz w:val="24"/>
          <w:szCs w:val="24"/>
        </w:rPr>
      </w:pPr>
      <w:r w:rsidRPr="00AC603E">
        <w:rPr>
          <w:rFonts w:asciiTheme="minorBidi" w:hAnsiTheme="minorBidi"/>
          <w:noProof/>
          <w:sz w:val="24"/>
          <w:szCs w:val="24"/>
        </w:rPr>
        <w:drawing>
          <wp:inline distT="0" distB="0" distL="0" distR="0" wp14:anchorId="30877244" wp14:editId="57376CD3">
            <wp:extent cx="5638800" cy="268605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31581" w:rsidRPr="00AC603E" w:rsidRDefault="00D31581" w:rsidP="00D31581">
      <w:pPr>
        <w:bidi w:val="0"/>
        <w:rPr>
          <w:rFonts w:asciiTheme="minorBidi" w:hAnsiTheme="minorBidi"/>
          <w:sz w:val="24"/>
          <w:szCs w:val="24"/>
        </w:rPr>
      </w:pPr>
    </w:p>
    <w:p w:rsidR="00D31581" w:rsidRPr="00AC603E" w:rsidRDefault="00D31581" w:rsidP="00D31581">
      <w:pPr>
        <w:bidi w:val="0"/>
        <w:ind w:hanging="993"/>
        <w:rPr>
          <w:rFonts w:asciiTheme="minorBidi" w:hAnsiTheme="minorBidi"/>
          <w:sz w:val="24"/>
          <w:szCs w:val="24"/>
        </w:rPr>
      </w:pPr>
      <w:r w:rsidRPr="00AC603E">
        <w:rPr>
          <w:rFonts w:asciiTheme="minorBidi" w:hAnsiTheme="minorBidi"/>
          <w:noProof/>
          <w:sz w:val="24"/>
          <w:szCs w:val="24"/>
        </w:rPr>
        <w:lastRenderedPageBreak/>
        <w:drawing>
          <wp:inline distT="0" distB="0" distL="0" distR="0" wp14:anchorId="0456B77E" wp14:editId="0DCA1247">
            <wp:extent cx="6172200" cy="3343275"/>
            <wp:effectExtent l="0" t="0" r="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31581" w:rsidRPr="00AC603E" w:rsidRDefault="00D31581" w:rsidP="00D31581">
      <w:pPr>
        <w:bidi w:val="0"/>
        <w:ind w:hanging="993"/>
        <w:rPr>
          <w:rFonts w:asciiTheme="minorBidi" w:hAnsiTheme="minorBidi"/>
          <w:sz w:val="24"/>
          <w:szCs w:val="24"/>
        </w:rPr>
      </w:pPr>
    </w:p>
    <w:p w:rsidR="00D31581" w:rsidRPr="00AC603E" w:rsidRDefault="00D31581" w:rsidP="00D31581">
      <w:pPr>
        <w:bidi w:val="0"/>
        <w:ind w:hanging="993"/>
        <w:rPr>
          <w:rFonts w:asciiTheme="minorBidi" w:hAnsiTheme="minorBidi"/>
          <w:sz w:val="24"/>
          <w:szCs w:val="24"/>
        </w:rPr>
      </w:pPr>
      <w:r w:rsidRPr="00AC603E">
        <w:rPr>
          <w:rFonts w:asciiTheme="minorBidi" w:hAnsiTheme="minorBidi"/>
          <w:noProof/>
          <w:sz w:val="24"/>
          <w:szCs w:val="24"/>
        </w:rPr>
        <w:drawing>
          <wp:inline distT="0" distB="0" distL="0" distR="0" wp14:anchorId="1C2BD56F" wp14:editId="58A7BA2C">
            <wp:extent cx="6124575" cy="3200400"/>
            <wp:effectExtent l="0" t="0" r="9525"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31581" w:rsidRPr="00AC603E" w:rsidRDefault="00D31581" w:rsidP="00D31581">
      <w:pPr>
        <w:bidi w:val="0"/>
        <w:ind w:hanging="993"/>
        <w:rPr>
          <w:rFonts w:asciiTheme="minorBidi" w:hAnsiTheme="minorBidi"/>
          <w:sz w:val="24"/>
          <w:szCs w:val="24"/>
        </w:rPr>
      </w:pPr>
      <w:r w:rsidRPr="00AC603E">
        <w:rPr>
          <w:rFonts w:asciiTheme="minorBidi" w:hAnsiTheme="minorBidi"/>
          <w:noProof/>
          <w:sz w:val="24"/>
          <w:szCs w:val="24"/>
        </w:rPr>
        <w:lastRenderedPageBreak/>
        <w:drawing>
          <wp:inline distT="0" distB="0" distL="0" distR="0" wp14:anchorId="359E0253" wp14:editId="09CC09EA">
            <wp:extent cx="6124575" cy="2933700"/>
            <wp:effectExtent l="0" t="0" r="9525"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31581" w:rsidRPr="00AC603E" w:rsidRDefault="00D31581" w:rsidP="00D31581">
      <w:pPr>
        <w:bidi w:val="0"/>
        <w:ind w:hanging="993"/>
        <w:rPr>
          <w:rFonts w:asciiTheme="minorBidi" w:hAnsiTheme="minorBidi"/>
          <w:sz w:val="24"/>
          <w:szCs w:val="24"/>
        </w:rPr>
      </w:pPr>
    </w:p>
    <w:p w:rsidR="00D31581" w:rsidRPr="00AC603E" w:rsidRDefault="00D31581" w:rsidP="00D31581">
      <w:pPr>
        <w:bidi w:val="0"/>
        <w:spacing w:after="0" w:line="360" w:lineRule="auto"/>
        <w:rPr>
          <w:rFonts w:asciiTheme="minorBidi" w:eastAsia="Times New Roman" w:hAnsiTheme="minorBidi"/>
          <w:color w:val="000000"/>
          <w:sz w:val="24"/>
          <w:szCs w:val="24"/>
        </w:rPr>
      </w:pPr>
      <w:r w:rsidRPr="00E01E3E">
        <w:rPr>
          <w:rFonts w:asciiTheme="minorBidi" w:hAnsiTheme="minorBidi"/>
          <w:b/>
          <w:bCs/>
          <w:sz w:val="24"/>
          <w:szCs w:val="24"/>
        </w:rPr>
        <w:t>Footnote:</w:t>
      </w:r>
      <w:r w:rsidRPr="00AC603E">
        <w:rPr>
          <w:rFonts w:asciiTheme="minorBidi" w:eastAsia="Times New Roman" w:hAnsiTheme="minorBidi"/>
          <w:color w:val="000000"/>
          <w:sz w:val="24"/>
          <w:szCs w:val="24"/>
        </w:rPr>
        <w:t xml:space="preserve"> Based on data as of the 2</w:t>
      </w:r>
      <w:r w:rsidRPr="00AC603E">
        <w:rPr>
          <w:rFonts w:asciiTheme="minorBidi" w:eastAsia="Times New Roman" w:hAnsiTheme="minorBidi"/>
          <w:color w:val="000000"/>
          <w:sz w:val="24"/>
          <w:szCs w:val="24"/>
          <w:vertAlign w:val="superscript"/>
        </w:rPr>
        <w:t>nd</w:t>
      </w:r>
      <w:r w:rsidRPr="00AC603E">
        <w:rPr>
          <w:rFonts w:asciiTheme="minorBidi" w:eastAsia="Times New Roman" w:hAnsiTheme="minorBidi"/>
          <w:color w:val="000000"/>
          <w:sz w:val="24"/>
          <w:szCs w:val="24"/>
        </w:rPr>
        <w:t xml:space="preserve"> of April 2017</w:t>
      </w:r>
    </w:p>
    <w:p w:rsidR="00D31581" w:rsidRPr="00E01E3E" w:rsidRDefault="00D31581" w:rsidP="00D31581">
      <w:pPr>
        <w:bidi w:val="0"/>
        <w:jc w:val="both"/>
        <w:rPr>
          <w:rFonts w:asciiTheme="minorBidi" w:eastAsia="Times New Roman" w:hAnsiTheme="minorBidi"/>
          <w:b/>
          <w:bCs/>
          <w:color w:val="000000"/>
          <w:sz w:val="24"/>
          <w:szCs w:val="24"/>
          <w:highlight w:val="yellow"/>
          <w:rtl/>
        </w:rPr>
      </w:pPr>
    </w:p>
    <w:p w:rsidR="00D31581" w:rsidRPr="00D42383" w:rsidRDefault="00D31581" w:rsidP="00D31581">
      <w:pPr>
        <w:bidi w:val="0"/>
        <w:jc w:val="both"/>
        <w:rPr>
          <w:rFonts w:asciiTheme="minorBidi" w:eastAsia="Times New Roman" w:hAnsiTheme="minorBidi"/>
          <w:b/>
          <w:bCs/>
          <w:color w:val="000000"/>
          <w:sz w:val="24"/>
          <w:szCs w:val="24"/>
          <w:rtl/>
        </w:rPr>
      </w:pPr>
    </w:p>
    <w:p w:rsidR="00D31581" w:rsidRPr="00D42383" w:rsidRDefault="00D31581" w:rsidP="00D31581">
      <w:pPr>
        <w:bidi w:val="0"/>
        <w:jc w:val="both"/>
        <w:rPr>
          <w:rFonts w:asciiTheme="minorBidi" w:eastAsia="Times New Roman" w:hAnsiTheme="minorBidi"/>
          <w:b/>
          <w:bCs/>
          <w:color w:val="000000"/>
          <w:sz w:val="24"/>
          <w:szCs w:val="24"/>
          <w:rtl/>
        </w:rPr>
      </w:pPr>
    </w:p>
    <w:p w:rsidR="00D31581" w:rsidRPr="00D42383" w:rsidRDefault="00D31581" w:rsidP="00D31581">
      <w:pPr>
        <w:bidi w:val="0"/>
        <w:jc w:val="both"/>
        <w:rPr>
          <w:rFonts w:asciiTheme="minorBidi" w:eastAsia="Times New Roman" w:hAnsiTheme="minorBidi"/>
          <w:b/>
          <w:bCs/>
          <w:color w:val="000000"/>
          <w:sz w:val="24"/>
          <w:szCs w:val="24"/>
          <w:rtl/>
        </w:rPr>
      </w:pPr>
    </w:p>
    <w:p w:rsidR="00D31581" w:rsidRPr="00D42383" w:rsidRDefault="00D31581" w:rsidP="00D31581">
      <w:pPr>
        <w:bidi w:val="0"/>
        <w:jc w:val="both"/>
        <w:rPr>
          <w:rFonts w:asciiTheme="minorBidi" w:eastAsia="Times New Roman" w:hAnsiTheme="minorBidi"/>
          <w:b/>
          <w:bCs/>
          <w:color w:val="000000"/>
          <w:sz w:val="24"/>
          <w:szCs w:val="24"/>
          <w:rtl/>
        </w:rPr>
      </w:pPr>
    </w:p>
    <w:p w:rsidR="00D31581" w:rsidRPr="00D42383" w:rsidRDefault="00D31581" w:rsidP="00D31581">
      <w:pPr>
        <w:bidi w:val="0"/>
        <w:jc w:val="both"/>
        <w:rPr>
          <w:rFonts w:asciiTheme="minorBidi" w:eastAsia="Times New Roman" w:hAnsiTheme="minorBidi"/>
          <w:b/>
          <w:bCs/>
          <w:color w:val="000000"/>
          <w:sz w:val="24"/>
          <w:szCs w:val="24"/>
          <w:rtl/>
        </w:rPr>
      </w:pPr>
    </w:p>
    <w:p w:rsidR="00D31581" w:rsidRPr="00D42383" w:rsidRDefault="00D31581" w:rsidP="00D31581">
      <w:pPr>
        <w:bidi w:val="0"/>
        <w:jc w:val="both"/>
        <w:rPr>
          <w:rFonts w:asciiTheme="minorBidi" w:eastAsia="Times New Roman" w:hAnsiTheme="minorBidi"/>
          <w:b/>
          <w:bCs/>
          <w:color w:val="000000"/>
          <w:sz w:val="24"/>
          <w:szCs w:val="24"/>
          <w:rtl/>
        </w:rPr>
      </w:pPr>
    </w:p>
    <w:p w:rsidR="00D31581" w:rsidRPr="00D42383" w:rsidRDefault="00D31581" w:rsidP="00D31581">
      <w:pPr>
        <w:bidi w:val="0"/>
        <w:jc w:val="both"/>
        <w:rPr>
          <w:rFonts w:asciiTheme="minorBidi" w:eastAsia="Times New Roman" w:hAnsiTheme="minorBidi"/>
          <w:b/>
          <w:bCs/>
          <w:color w:val="000000"/>
          <w:sz w:val="24"/>
          <w:szCs w:val="24"/>
          <w:rtl/>
        </w:rPr>
      </w:pPr>
    </w:p>
    <w:p w:rsidR="00D31581" w:rsidRPr="00D42383" w:rsidRDefault="00D31581" w:rsidP="00D31581">
      <w:pPr>
        <w:bidi w:val="0"/>
        <w:jc w:val="both"/>
        <w:rPr>
          <w:rFonts w:asciiTheme="minorBidi" w:eastAsia="Times New Roman" w:hAnsiTheme="minorBidi"/>
          <w:b/>
          <w:bCs/>
          <w:color w:val="000000"/>
          <w:sz w:val="24"/>
          <w:szCs w:val="24"/>
          <w:rtl/>
        </w:rPr>
      </w:pPr>
    </w:p>
    <w:p w:rsidR="00D31581" w:rsidRPr="00E01E3E" w:rsidRDefault="00D31581" w:rsidP="00D31581">
      <w:pPr>
        <w:bidi w:val="0"/>
        <w:jc w:val="both"/>
        <w:rPr>
          <w:rFonts w:asciiTheme="minorBidi" w:eastAsia="Times New Roman" w:hAnsiTheme="minorBidi"/>
          <w:color w:val="000000"/>
          <w:sz w:val="24"/>
          <w:szCs w:val="24"/>
        </w:rPr>
      </w:pPr>
    </w:p>
    <w:p w:rsidR="00D31581" w:rsidRDefault="00D31581" w:rsidP="00D31581">
      <w:pPr>
        <w:bidi w:val="0"/>
      </w:pPr>
    </w:p>
    <w:p w:rsidR="00D31581" w:rsidRDefault="00D31581" w:rsidP="00D31581">
      <w:pPr>
        <w:bidi w:val="0"/>
      </w:pPr>
    </w:p>
    <w:p w:rsidR="005B3A78" w:rsidRDefault="005B3A78" w:rsidP="00D31581">
      <w:pPr>
        <w:bidi w:val="0"/>
      </w:pPr>
    </w:p>
    <w:sectPr w:rsidR="005B3A78" w:rsidSect="00EA68D2">
      <w:footerReference w:type="default" r:id="rId4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A1753">
      <w:pPr>
        <w:spacing w:after="0" w:line="240" w:lineRule="auto"/>
      </w:pPr>
      <w:r>
        <w:separator/>
      </w:r>
    </w:p>
  </w:endnote>
  <w:endnote w:type="continuationSeparator" w:id="0">
    <w:p w:rsidR="00000000" w:rsidRDefault="009A1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28864693"/>
      <w:docPartObj>
        <w:docPartGallery w:val="Page Numbers (Bottom of Page)"/>
        <w:docPartUnique/>
      </w:docPartObj>
    </w:sdtPr>
    <w:sdtEndPr>
      <w:rPr>
        <w:noProof/>
      </w:rPr>
    </w:sdtEndPr>
    <w:sdtContent>
      <w:p w:rsidR="00C67C28" w:rsidRDefault="00D31581">
        <w:pPr>
          <w:pStyle w:val="Footer"/>
          <w:jc w:val="center"/>
        </w:pPr>
        <w:r>
          <w:fldChar w:fldCharType="begin"/>
        </w:r>
        <w:r>
          <w:instrText xml:space="preserve"> PAGE   \* MERGEFORMAT </w:instrText>
        </w:r>
        <w:r>
          <w:fldChar w:fldCharType="separate"/>
        </w:r>
        <w:r w:rsidR="009A1753">
          <w:rPr>
            <w:noProof/>
            <w:rtl/>
          </w:rPr>
          <w:t>11</w:t>
        </w:r>
        <w:r>
          <w:rPr>
            <w:noProof/>
          </w:rPr>
          <w:fldChar w:fldCharType="end"/>
        </w:r>
      </w:p>
    </w:sdtContent>
  </w:sdt>
  <w:p w:rsidR="00C67C28" w:rsidRDefault="009A1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A1753">
      <w:pPr>
        <w:spacing w:after="0" w:line="240" w:lineRule="auto"/>
      </w:pPr>
      <w:r>
        <w:separator/>
      </w:r>
    </w:p>
  </w:footnote>
  <w:footnote w:type="continuationSeparator" w:id="0">
    <w:p w:rsidR="00000000" w:rsidRDefault="009A1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51480"/>
    <w:multiLevelType w:val="hybridMultilevel"/>
    <w:tmpl w:val="6A222FDC"/>
    <w:lvl w:ilvl="0" w:tplc="6178D0BE">
      <w:start w:val="1"/>
      <w:numFmt w:val="bullet"/>
      <w:lvlText w:val="•"/>
      <w:lvlJc w:val="left"/>
      <w:pPr>
        <w:tabs>
          <w:tab w:val="num" w:pos="720"/>
        </w:tabs>
        <w:ind w:left="720" w:hanging="360"/>
      </w:pPr>
      <w:rPr>
        <w:rFonts w:ascii="Arial" w:hAnsi="Arial" w:hint="default"/>
      </w:rPr>
    </w:lvl>
    <w:lvl w:ilvl="1" w:tplc="9CFE5308">
      <w:numFmt w:val="bullet"/>
      <w:lvlText w:val="•"/>
      <w:lvlJc w:val="left"/>
      <w:pPr>
        <w:tabs>
          <w:tab w:val="num" w:pos="1440"/>
        </w:tabs>
        <w:ind w:left="1440" w:hanging="360"/>
      </w:pPr>
      <w:rPr>
        <w:rFonts w:ascii="Arial" w:hAnsi="Arial" w:hint="default"/>
      </w:rPr>
    </w:lvl>
    <w:lvl w:ilvl="2" w:tplc="EE583A2C" w:tentative="1">
      <w:start w:val="1"/>
      <w:numFmt w:val="bullet"/>
      <w:lvlText w:val="•"/>
      <w:lvlJc w:val="left"/>
      <w:pPr>
        <w:tabs>
          <w:tab w:val="num" w:pos="2160"/>
        </w:tabs>
        <w:ind w:left="2160" w:hanging="360"/>
      </w:pPr>
      <w:rPr>
        <w:rFonts w:ascii="Arial" w:hAnsi="Arial" w:hint="default"/>
      </w:rPr>
    </w:lvl>
    <w:lvl w:ilvl="3" w:tplc="04B870C2" w:tentative="1">
      <w:start w:val="1"/>
      <w:numFmt w:val="bullet"/>
      <w:lvlText w:val="•"/>
      <w:lvlJc w:val="left"/>
      <w:pPr>
        <w:tabs>
          <w:tab w:val="num" w:pos="2880"/>
        </w:tabs>
        <w:ind w:left="2880" w:hanging="360"/>
      </w:pPr>
      <w:rPr>
        <w:rFonts w:ascii="Arial" w:hAnsi="Arial" w:hint="default"/>
      </w:rPr>
    </w:lvl>
    <w:lvl w:ilvl="4" w:tplc="58DED43C" w:tentative="1">
      <w:start w:val="1"/>
      <w:numFmt w:val="bullet"/>
      <w:lvlText w:val="•"/>
      <w:lvlJc w:val="left"/>
      <w:pPr>
        <w:tabs>
          <w:tab w:val="num" w:pos="3600"/>
        </w:tabs>
        <w:ind w:left="3600" w:hanging="360"/>
      </w:pPr>
      <w:rPr>
        <w:rFonts w:ascii="Arial" w:hAnsi="Arial" w:hint="default"/>
      </w:rPr>
    </w:lvl>
    <w:lvl w:ilvl="5" w:tplc="A0CC4AAC" w:tentative="1">
      <w:start w:val="1"/>
      <w:numFmt w:val="bullet"/>
      <w:lvlText w:val="•"/>
      <w:lvlJc w:val="left"/>
      <w:pPr>
        <w:tabs>
          <w:tab w:val="num" w:pos="4320"/>
        </w:tabs>
        <w:ind w:left="4320" w:hanging="360"/>
      </w:pPr>
      <w:rPr>
        <w:rFonts w:ascii="Arial" w:hAnsi="Arial" w:hint="default"/>
      </w:rPr>
    </w:lvl>
    <w:lvl w:ilvl="6" w:tplc="31BA1E04" w:tentative="1">
      <w:start w:val="1"/>
      <w:numFmt w:val="bullet"/>
      <w:lvlText w:val="•"/>
      <w:lvlJc w:val="left"/>
      <w:pPr>
        <w:tabs>
          <w:tab w:val="num" w:pos="5040"/>
        </w:tabs>
        <w:ind w:left="5040" w:hanging="360"/>
      </w:pPr>
      <w:rPr>
        <w:rFonts w:ascii="Arial" w:hAnsi="Arial" w:hint="default"/>
      </w:rPr>
    </w:lvl>
    <w:lvl w:ilvl="7" w:tplc="E466BE72" w:tentative="1">
      <w:start w:val="1"/>
      <w:numFmt w:val="bullet"/>
      <w:lvlText w:val="•"/>
      <w:lvlJc w:val="left"/>
      <w:pPr>
        <w:tabs>
          <w:tab w:val="num" w:pos="5760"/>
        </w:tabs>
        <w:ind w:left="5760" w:hanging="360"/>
      </w:pPr>
      <w:rPr>
        <w:rFonts w:ascii="Arial" w:hAnsi="Arial" w:hint="default"/>
      </w:rPr>
    </w:lvl>
    <w:lvl w:ilvl="8" w:tplc="B1E428C8" w:tentative="1">
      <w:start w:val="1"/>
      <w:numFmt w:val="bullet"/>
      <w:lvlText w:val="•"/>
      <w:lvlJc w:val="left"/>
      <w:pPr>
        <w:tabs>
          <w:tab w:val="num" w:pos="6480"/>
        </w:tabs>
        <w:ind w:left="6480" w:hanging="360"/>
      </w:pPr>
      <w:rPr>
        <w:rFonts w:ascii="Arial" w:hAnsi="Arial" w:hint="default"/>
      </w:rPr>
    </w:lvl>
  </w:abstractNum>
  <w:abstractNum w:abstractNumId="1">
    <w:nsid w:val="6EC720DD"/>
    <w:multiLevelType w:val="hybridMultilevel"/>
    <w:tmpl w:val="0D083F2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5E031C"/>
    <w:multiLevelType w:val="hybridMultilevel"/>
    <w:tmpl w:val="3F18D304"/>
    <w:lvl w:ilvl="0" w:tplc="CD445F00">
      <w:start w:val="1"/>
      <w:numFmt w:val="decimal"/>
      <w:lvlText w:val="%1)"/>
      <w:lvlJc w:val="left"/>
      <w:pPr>
        <w:ind w:left="9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581"/>
    <w:rsid w:val="005B3A78"/>
    <w:rsid w:val="009A1753"/>
    <w:rsid w:val="00D31581"/>
    <w:rsid w:val="00EA7D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81"/>
    <w:pPr>
      <w:bidi/>
      <w:spacing w:after="160" w:line="259" w:lineRule="auto"/>
    </w:pPr>
    <w:rPr>
      <w:rFonts w:eastAsiaTheme="minorEastAsia"/>
    </w:rPr>
  </w:style>
  <w:style w:type="paragraph" w:styleId="Heading1">
    <w:name w:val="heading 1"/>
    <w:basedOn w:val="Normal"/>
    <w:link w:val="Heading1Char"/>
    <w:uiPriority w:val="9"/>
    <w:qFormat/>
    <w:rsid w:val="00D31581"/>
    <w:pPr>
      <w:bidi w:val="0"/>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581"/>
    <w:rPr>
      <w:rFonts w:ascii="Times New Roman" w:eastAsia="Times New Roman" w:hAnsi="Times New Roman" w:cs="Times New Roman"/>
      <w:b/>
      <w:bCs/>
      <w:color w:val="000000"/>
      <w:kern w:val="36"/>
      <w:sz w:val="33"/>
      <w:szCs w:val="33"/>
    </w:rPr>
  </w:style>
  <w:style w:type="paragraph" w:styleId="Footer">
    <w:name w:val="footer"/>
    <w:basedOn w:val="Normal"/>
    <w:link w:val="FooterChar"/>
    <w:uiPriority w:val="99"/>
    <w:unhideWhenUsed/>
    <w:rsid w:val="00D31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581"/>
    <w:rPr>
      <w:rFonts w:eastAsiaTheme="minorEastAsia"/>
    </w:rPr>
  </w:style>
  <w:style w:type="character" w:styleId="CommentReference">
    <w:name w:val="annotation reference"/>
    <w:basedOn w:val="DefaultParagraphFont"/>
    <w:uiPriority w:val="99"/>
    <w:semiHidden/>
    <w:unhideWhenUsed/>
    <w:rsid w:val="00D31581"/>
    <w:rPr>
      <w:sz w:val="16"/>
      <w:szCs w:val="16"/>
    </w:rPr>
  </w:style>
  <w:style w:type="paragraph" w:styleId="CommentText">
    <w:name w:val="annotation text"/>
    <w:basedOn w:val="Normal"/>
    <w:link w:val="CommentTextChar"/>
    <w:uiPriority w:val="99"/>
    <w:unhideWhenUsed/>
    <w:rsid w:val="00D31581"/>
    <w:pPr>
      <w:spacing w:line="240" w:lineRule="auto"/>
    </w:pPr>
    <w:rPr>
      <w:sz w:val="20"/>
      <w:szCs w:val="20"/>
    </w:rPr>
  </w:style>
  <w:style w:type="character" w:customStyle="1" w:styleId="CommentTextChar">
    <w:name w:val="Comment Text Char"/>
    <w:basedOn w:val="DefaultParagraphFont"/>
    <w:link w:val="CommentText"/>
    <w:uiPriority w:val="99"/>
    <w:rsid w:val="00D31581"/>
    <w:rPr>
      <w:rFonts w:eastAsiaTheme="minorEastAsia"/>
      <w:sz w:val="20"/>
      <w:szCs w:val="20"/>
    </w:rPr>
  </w:style>
  <w:style w:type="paragraph" w:styleId="ListParagraph">
    <w:name w:val="List Paragraph"/>
    <w:basedOn w:val="Normal"/>
    <w:uiPriority w:val="34"/>
    <w:qFormat/>
    <w:rsid w:val="00D31581"/>
    <w:pPr>
      <w:ind w:left="720"/>
      <w:contextualSpacing/>
    </w:pPr>
  </w:style>
  <w:style w:type="character" w:customStyle="1" w:styleId="jrnl">
    <w:name w:val="jrnl"/>
    <w:basedOn w:val="DefaultParagraphFont"/>
    <w:rsid w:val="00D31581"/>
  </w:style>
  <w:style w:type="character" w:customStyle="1" w:styleId="highlight2">
    <w:name w:val="highlight2"/>
    <w:basedOn w:val="DefaultParagraphFont"/>
    <w:rsid w:val="00D31581"/>
  </w:style>
  <w:style w:type="character" w:styleId="Hyperlink">
    <w:name w:val="Hyperlink"/>
    <w:rsid w:val="00D31581"/>
    <w:rPr>
      <w:color w:val="0000FF"/>
      <w:u w:val="single"/>
    </w:rPr>
  </w:style>
  <w:style w:type="character" w:customStyle="1" w:styleId="li-content">
    <w:name w:val="li-content"/>
    <w:basedOn w:val="DefaultParagraphFont"/>
    <w:rsid w:val="00D31581"/>
    <w:rPr>
      <w:color w:val="000000"/>
    </w:rPr>
  </w:style>
  <w:style w:type="paragraph" w:styleId="BalloonText">
    <w:name w:val="Balloon Text"/>
    <w:basedOn w:val="Normal"/>
    <w:link w:val="BalloonTextChar"/>
    <w:uiPriority w:val="99"/>
    <w:semiHidden/>
    <w:unhideWhenUsed/>
    <w:rsid w:val="00D31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81"/>
    <w:rPr>
      <w:rFonts w:ascii="Tahoma" w:eastAsiaTheme="minorEastAsia" w:hAnsi="Tahoma" w:cs="Tahoma"/>
      <w:sz w:val="16"/>
      <w:szCs w:val="16"/>
    </w:rPr>
  </w:style>
  <w:style w:type="table" w:styleId="TableGrid">
    <w:name w:val="Table Grid"/>
    <w:basedOn w:val="TableNormal"/>
    <w:uiPriority w:val="59"/>
    <w:rsid w:val="00D3158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3158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31581"/>
    <w:rPr>
      <w:b/>
      <w:bCs/>
    </w:rPr>
  </w:style>
  <w:style w:type="character" w:customStyle="1" w:styleId="CommentSubjectChar">
    <w:name w:val="Comment Subject Char"/>
    <w:basedOn w:val="CommentTextChar"/>
    <w:link w:val="CommentSubject"/>
    <w:uiPriority w:val="99"/>
    <w:semiHidden/>
    <w:rsid w:val="00D31581"/>
    <w:rPr>
      <w:rFonts w:eastAsiaTheme="minorEastAsia"/>
      <w:b/>
      <w:bCs/>
      <w:sz w:val="20"/>
      <w:szCs w:val="20"/>
    </w:rPr>
  </w:style>
  <w:style w:type="paragraph" w:customStyle="1" w:styleId="para">
    <w:name w:val="para"/>
    <w:basedOn w:val="Normal"/>
    <w:rsid w:val="00D31581"/>
    <w:pPr>
      <w:bidi w:val="0"/>
      <w:spacing w:after="30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31581"/>
    <w:pPr>
      <w:tabs>
        <w:tab w:val="center" w:pos="4252"/>
        <w:tab w:val="right" w:pos="8504"/>
      </w:tabs>
      <w:snapToGrid w:val="0"/>
    </w:pPr>
  </w:style>
  <w:style w:type="character" w:customStyle="1" w:styleId="HeaderChar">
    <w:name w:val="Header Char"/>
    <w:basedOn w:val="DefaultParagraphFont"/>
    <w:link w:val="Header"/>
    <w:uiPriority w:val="99"/>
    <w:semiHidden/>
    <w:rsid w:val="00D31581"/>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81"/>
    <w:pPr>
      <w:bidi/>
      <w:spacing w:after="160" w:line="259" w:lineRule="auto"/>
    </w:pPr>
    <w:rPr>
      <w:rFonts w:eastAsiaTheme="minorEastAsia"/>
    </w:rPr>
  </w:style>
  <w:style w:type="paragraph" w:styleId="Heading1">
    <w:name w:val="heading 1"/>
    <w:basedOn w:val="Normal"/>
    <w:link w:val="Heading1Char"/>
    <w:uiPriority w:val="9"/>
    <w:qFormat/>
    <w:rsid w:val="00D31581"/>
    <w:pPr>
      <w:bidi w:val="0"/>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581"/>
    <w:rPr>
      <w:rFonts w:ascii="Times New Roman" w:eastAsia="Times New Roman" w:hAnsi="Times New Roman" w:cs="Times New Roman"/>
      <w:b/>
      <w:bCs/>
      <w:color w:val="000000"/>
      <w:kern w:val="36"/>
      <w:sz w:val="33"/>
      <w:szCs w:val="33"/>
    </w:rPr>
  </w:style>
  <w:style w:type="paragraph" w:styleId="Footer">
    <w:name w:val="footer"/>
    <w:basedOn w:val="Normal"/>
    <w:link w:val="FooterChar"/>
    <w:uiPriority w:val="99"/>
    <w:unhideWhenUsed/>
    <w:rsid w:val="00D31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581"/>
    <w:rPr>
      <w:rFonts w:eastAsiaTheme="minorEastAsia"/>
    </w:rPr>
  </w:style>
  <w:style w:type="character" w:styleId="CommentReference">
    <w:name w:val="annotation reference"/>
    <w:basedOn w:val="DefaultParagraphFont"/>
    <w:uiPriority w:val="99"/>
    <w:semiHidden/>
    <w:unhideWhenUsed/>
    <w:rsid w:val="00D31581"/>
    <w:rPr>
      <w:sz w:val="16"/>
      <w:szCs w:val="16"/>
    </w:rPr>
  </w:style>
  <w:style w:type="paragraph" w:styleId="CommentText">
    <w:name w:val="annotation text"/>
    <w:basedOn w:val="Normal"/>
    <w:link w:val="CommentTextChar"/>
    <w:uiPriority w:val="99"/>
    <w:unhideWhenUsed/>
    <w:rsid w:val="00D31581"/>
    <w:pPr>
      <w:spacing w:line="240" w:lineRule="auto"/>
    </w:pPr>
    <w:rPr>
      <w:sz w:val="20"/>
      <w:szCs w:val="20"/>
    </w:rPr>
  </w:style>
  <w:style w:type="character" w:customStyle="1" w:styleId="CommentTextChar">
    <w:name w:val="Comment Text Char"/>
    <w:basedOn w:val="DefaultParagraphFont"/>
    <w:link w:val="CommentText"/>
    <w:uiPriority w:val="99"/>
    <w:rsid w:val="00D31581"/>
    <w:rPr>
      <w:rFonts w:eastAsiaTheme="minorEastAsia"/>
      <w:sz w:val="20"/>
      <w:szCs w:val="20"/>
    </w:rPr>
  </w:style>
  <w:style w:type="paragraph" w:styleId="ListParagraph">
    <w:name w:val="List Paragraph"/>
    <w:basedOn w:val="Normal"/>
    <w:uiPriority w:val="34"/>
    <w:qFormat/>
    <w:rsid w:val="00D31581"/>
    <w:pPr>
      <w:ind w:left="720"/>
      <w:contextualSpacing/>
    </w:pPr>
  </w:style>
  <w:style w:type="character" w:customStyle="1" w:styleId="jrnl">
    <w:name w:val="jrnl"/>
    <w:basedOn w:val="DefaultParagraphFont"/>
    <w:rsid w:val="00D31581"/>
  </w:style>
  <w:style w:type="character" w:customStyle="1" w:styleId="highlight2">
    <w:name w:val="highlight2"/>
    <w:basedOn w:val="DefaultParagraphFont"/>
    <w:rsid w:val="00D31581"/>
  </w:style>
  <w:style w:type="character" w:styleId="Hyperlink">
    <w:name w:val="Hyperlink"/>
    <w:rsid w:val="00D31581"/>
    <w:rPr>
      <w:color w:val="0000FF"/>
      <w:u w:val="single"/>
    </w:rPr>
  </w:style>
  <w:style w:type="character" w:customStyle="1" w:styleId="li-content">
    <w:name w:val="li-content"/>
    <w:basedOn w:val="DefaultParagraphFont"/>
    <w:rsid w:val="00D31581"/>
    <w:rPr>
      <w:color w:val="000000"/>
    </w:rPr>
  </w:style>
  <w:style w:type="paragraph" w:styleId="BalloonText">
    <w:name w:val="Balloon Text"/>
    <w:basedOn w:val="Normal"/>
    <w:link w:val="BalloonTextChar"/>
    <w:uiPriority w:val="99"/>
    <w:semiHidden/>
    <w:unhideWhenUsed/>
    <w:rsid w:val="00D31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81"/>
    <w:rPr>
      <w:rFonts w:ascii="Tahoma" w:eastAsiaTheme="minorEastAsia" w:hAnsi="Tahoma" w:cs="Tahoma"/>
      <w:sz w:val="16"/>
      <w:szCs w:val="16"/>
    </w:rPr>
  </w:style>
  <w:style w:type="table" w:styleId="TableGrid">
    <w:name w:val="Table Grid"/>
    <w:basedOn w:val="TableNormal"/>
    <w:uiPriority w:val="59"/>
    <w:rsid w:val="00D3158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3158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31581"/>
    <w:rPr>
      <w:b/>
      <w:bCs/>
    </w:rPr>
  </w:style>
  <w:style w:type="character" w:customStyle="1" w:styleId="CommentSubjectChar">
    <w:name w:val="Comment Subject Char"/>
    <w:basedOn w:val="CommentTextChar"/>
    <w:link w:val="CommentSubject"/>
    <w:uiPriority w:val="99"/>
    <w:semiHidden/>
    <w:rsid w:val="00D31581"/>
    <w:rPr>
      <w:rFonts w:eastAsiaTheme="minorEastAsia"/>
      <w:b/>
      <w:bCs/>
      <w:sz w:val="20"/>
      <w:szCs w:val="20"/>
    </w:rPr>
  </w:style>
  <w:style w:type="paragraph" w:customStyle="1" w:styleId="para">
    <w:name w:val="para"/>
    <w:basedOn w:val="Normal"/>
    <w:rsid w:val="00D31581"/>
    <w:pPr>
      <w:bidi w:val="0"/>
      <w:spacing w:after="30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31581"/>
    <w:pPr>
      <w:tabs>
        <w:tab w:val="center" w:pos="4252"/>
        <w:tab w:val="right" w:pos="8504"/>
      </w:tabs>
      <w:snapToGrid w:val="0"/>
    </w:pPr>
  </w:style>
  <w:style w:type="character" w:customStyle="1" w:styleId="HeaderChar">
    <w:name w:val="Header Char"/>
    <w:basedOn w:val="DefaultParagraphFont"/>
    <w:link w:val="Header"/>
    <w:uiPriority w:val="99"/>
    <w:semiHidden/>
    <w:rsid w:val="00D3158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8919061" TargetMode="External"/><Relationship Id="rId13" Type="http://schemas.openxmlformats.org/officeDocument/2006/relationships/hyperlink" Target="http://www.fda.gov/downloads/Drugs/GuidanceComplianceRegulatoryInformation/Guidances/ucm071627.pdf)." TargetMode="External"/><Relationship Id="rId18" Type="http://schemas.openxmlformats.org/officeDocument/2006/relationships/hyperlink" Target="http://www.ncbi.nlm.nih.gov/pubmed/?term=Zinman+B%2C+Wanner+C%2C+et+al.+N+Engl+J+Med.+2015+Nov+26%3B373(22)%3A2117-28" TargetMode="External"/><Relationship Id="rId26" Type="http://schemas.openxmlformats.org/officeDocument/2006/relationships/hyperlink" Target="https://www.ncbi.nlm.nih.gov/pubmed/?term=Jason+H+Y+Wu%2C+Celine+Foote%2C+Juuso+Blomst" TargetMode="External"/><Relationship Id="rId39" Type="http://schemas.openxmlformats.org/officeDocument/2006/relationships/chart" Target="charts/chart1.xml"/><Relationship Id="rId3" Type="http://schemas.microsoft.com/office/2007/relationships/stylesWithEffects" Target="stylesWithEffects.xml"/><Relationship Id="rId21" Type="http://schemas.openxmlformats.org/officeDocument/2006/relationships/hyperlink" Target="https://www.ncbi.nlm.nih.gov/pubmed/?term=Lachin%20JM%5BAuthor%5D&amp;cauthor=true&amp;cauthor_uid=27299675" TargetMode="External"/><Relationship Id="rId34" Type="http://schemas.openxmlformats.org/officeDocument/2006/relationships/hyperlink" Target="https://www.ncbi.nlm.nih.gov/pubmed/?term=empa+reg+outcome+circulation" TargetMode="External"/><Relationship Id="rId42" Type="http://schemas.openxmlformats.org/officeDocument/2006/relationships/chart" Target="charts/chart4.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edicines.org.uk/emc/medicine/27188" TargetMode="External"/><Relationship Id="rId17" Type="http://schemas.openxmlformats.org/officeDocument/2006/relationships/hyperlink" Target="http://www.ncbi.nlm.nih.gov/pubmed/?term=EMPA-REG%20OUTCOME%20Investigators%5BCorporate%20Author%5D" TargetMode="External"/><Relationship Id="rId25" Type="http://schemas.openxmlformats.org/officeDocument/2006/relationships/hyperlink" Target="https://www.ncbi.nlm.nih.gov/pubmed/?term=Blomster%20J%5BAuthor%5D&amp;cauthor=true&amp;cauthor_uid=27009625" TargetMode="External"/><Relationship Id="rId33" Type="http://schemas.openxmlformats.org/officeDocument/2006/relationships/hyperlink" Target="https://www.ncbi.nlm.nih.gov/pubmed/?term=Fitchett%20DH%5BAuthor%5D&amp;cauthor=true&amp;cauthor_uid=27470878" TargetMode="External"/><Relationship Id="rId38" Type="http://schemas.openxmlformats.org/officeDocument/2006/relationships/hyperlink" Target="https://www.ncbi.nlm.nih.gov/pubmed/?term=Agewall%20S%5BAuthor%5D&amp;cauthor=true&amp;cauthor_uid=27222591"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term=Lachin%20JM%5BAuthor%5D&amp;cauthor=true&amp;cauthor_uid=26378978" TargetMode="External"/><Relationship Id="rId20" Type="http://schemas.openxmlformats.org/officeDocument/2006/relationships/hyperlink" Target="https://www.ncbi.nlm.nih.gov/pubmed/?term=Inzucchi%20SE%5BAuthor%5D&amp;cauthor=true&amp;cauthor_uid=27299675" TargetMode="External"/><Relationship Id="rId29" Type="http://schemas.openxmlformats.org/officeDocument/2006/relationships/hyperlink" Target="https://www.ncbi.nlm.nih.gov/pubmed/?term=Kendall%20DM%5BAuthor%5D&amp;cauthor=true&amp;cauthor_uid=20362759" TargetMode="External"/><Relationship Id="rId41"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26936519" TargetMode="External"/><Relationship Id="rId24" Type="http://schemas.openxmlformats.org/officeDocument/2006/relationships/hyperlink" Target="https://www.ncbi.nlm.nih.gov/pubmed/?term=Foote%20C%5BAuthor%5D&amp;cauthor=true&amp;cauthor_uid=27009625" TargetMode="External"/><Relationship Id="rId32" Type="http://schemas.openxmlformats.org/officeDocument/2006/relationships/hyperlink" Target="https://www.ncbi.nlm.nih.gov/pubmed/?term=Perkins%20BA%5BAuthor%5D&amp;cauthor=true&amp;cauthor_uid=27470878" TargetMode="External"/><Relationship Id="rId37" Type="http://schemas.openxmlformats.org/officeDocument/2006/relationships/hyperlink" Target="https://www.ncbi.nlm.nih.gov/pubmed/?term=Hoes%20AW%5BAuthor%5D&amp;cauthor=true&amp;cauthor_uid=27222591" TargetMode="External"/><Relationship Id="rId40" Type="http://schemas.openxmlformats.org/officeDocument/2006/relationships/chart" Target="charts/chart2.xm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cbi.nlm.nih.gov/pubmed/?term=Wanner%20C%5BAuthor%5D&amp;cauthor=true&amp;cauthor_uid=26378978" TargetMode="External"/><Relationship Id="rId23" Type="http://schemas.openxmlformats.org/officeDocument/2006/relationships/hyperlink" Target="https://www.ncbi.nlm.nih.gov/pubmed/?term=Wu%20JH%5BAuthor%5D&amp;cauthor=true&amp;cauthor_uid=27009625" TargetMode="External"/><Relationship Id="rId28" Type="http://schemas.openxmlformats.org/officeDocument/2006/relationships/hyperlink" Target="https://www.ncbi.nlm.nih.gov/pubmed/?term=Bailey%20CJ%5BAuthor%5D&amp;cauthor=true&amp;cauthor_uid=20362759" TargetMode="External"/><Relationship Id="rId36" Type="http://schemas.openxmlformats.org/officeDocument/2006/relationships/hyperlink" Target="https://www.ncbi.nlm.nih.gov/pubmed/?term=Piepoli%20MF%5BAuthor%5D&amp;cauthor=true&amp;cauthor_uid=27222591" TargetMode="External"/><Relationship Id="rId10" Type="http://schemas.openxmlformats.org/officeDocument/2006/relationships/hyperlink" Target="http://www.ncbi.nlm.nih.gov/pubmed/?term=dapagliflozin+and+Merlin+C.+Thomas" TargetMode="External"/><Relationship Id="rId19" Type="http://schemas.openxmlformats.org/officeDocument/2006/relationships/hyperlink" Target="https://www.ncbi.nlm.nih.gov/pubmed/?term=Wanner%20C%5BAuthor%5D&amp;cauthor=true&amp;cauthor_uid=27299675" TargetMode="External"/><Relationship Id="rId31" Type="http://schemas.openxmlformats.org/officeDocument/2006/relationships/hyperlink" Target="https://www.ncbi.nlm.nih.gov/pubmed/?term=Heerspink%20HJ%5BAuthor%5D&amp;cauthor=true&amp;cauthor_uid=27470878" TargetMode="External"/><Relationship Id="rId44"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www.ncbi.nlm.nih.gov/pubmed/?term=Thomas%20MC%5BAuthor%5D&amp;cauthor=true&amp;cauthor_uid=25126408" TargetMode="External"/><Relationship Id="rId14" Type="http://schemas.openxmlformats.org/officeDocument/2006/relationships/hyperlink" Target="http://www.ncbi.nlm.nih.gov/pubmed/?term=Zinman%20B%5BAuthor%5D&amp;cauthor=true&amp;cauthor_uid=26378978" TargetMode="External"/><Relationship Id="rId22" Type="http://schemas.openxmlformats.org/officeDocument/2006/relationships/hyperlink" Target="https://www.ncbi.nlm.nih.gov/pubmed/27299675" TargetMode="External"/><Relationship Id="rId27" Type="http://schemas.openxmlformats.org/officeDocument/2006/relationships/hyperlink" Target="https://www.ncbi.nlm.nih.gov/pubmed/?term=Bergenstal%20RM%5BAuthor%5D&amp;cauthor=true&amp;cauthor_uid=20362759" TargetMode="External"/><Relationship Id="rId30" Type="http://schemas.openxmlformats.org/officeDocument/2006/relationships/hyperlink" Target="https://www.ncbi.nlm.nih.gov/pubmed/27289124" TargetMode="External"/><Relationship Id="rId35" Type="http://schemas.openxmlformats.org/officeDocument/2006/relationships/hyperlink" Target="https://www.ncbi.nlm.nih.gov/pubmed/22228729" TargetMode="External"/><Relationship Id="rId43"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E:\work\diabetes-%20hadassh\DECLARE\ADA%20poster\tables%20and%20graphes%20UPDAT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work\diabetes-%20hadassh\DECLARE\ADA%20poster\tables%20and%20graphes%20UPDAT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work\diabetes-%20hadassh\DECLARE\ADA%20poster\tables%20and%20graphes%20UPDATE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work\diabetes-%20hadassh\DECLARE\ADA%20poster\tables%20and%20graphes%20UPDATE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work\diabetes-%20hadassh\DECLARE\ADA%20poster\tables%20and%20graphes%20UPDATE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work\diabetes-%20hadassh\DECLARE\ADA%20poster\tables%20and%20graphes%20UPDAT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1400" b="0" i="0" u="none" strike="noStrike" kern="1200" spc="0" baseline="0">
                <a:solidFill>
                  <a:schemeClr val="tx1">
                    <a:lumMod val="65000"/>
                    <a:lumOff val="35000"/>
                  </a:schemeClr>
                </a:solidFill>
                <a:latin typeface="+mn-lt"/>
                <a:ea typeface="+mn-ea"/>
                <a:cs typeface="+mn-cs"/>
              </a:defRPr>
            </a:pPr>
            <a:r>
              <a:rPr lang="en-US" sz="1800" b="0" i="0" baseline="0">
                <a:effectLst/>
              </a:rPr>
              <a:t>A</a:t>
            </a:r>
            <a:endParaRPr lang="he-IL">
              <a:effectLst/>
            </a:endParaRPr>
          </a:p>
        </c:rich>
      </c:tx>
      <c:layout>
        <c:manualLayout>
          <c:xMode val="edge"/>
          <c:yMode val="edge"/>
          <c:x val="9.5698547235735596E-3"/>
          <c:y val="1.3889004006078207E-2"/>
        </c:manualLayout>
      </c:layout>
      <c:overlay val="0"/>
      <c:spPr>
        <a:noFill/>
        <a:ln>
          <a:noFill/>
        </a:ln>
        <a:effectLst/>
      </c:spPr>
    </c:title>
    <c:autoTitleDeleted val="0"/>
    <c:plotArea>
      <c:layout>
        <c:manualLayout>
          <c:layoutTarget val="inner"/>
          <c:xMode val="edge"/>
          <c:yMode val="edge"/>
          <c:x val="1.9873532068654005E-2"/>
          <c:y val="0.17291375291375297"/>
          <c:w val="0.96025293586269178"/>
          <c:h val="0.603789699297968"/>
        </c:manualLayout>
      </c:layout>
      <c:barChart>
        <c:barDir val="col"/>
        <c:grouping val="clustered"/>
        <c:varyColors val="0"/>
        <c:ser>
          <c:idx val="2"/>
          <c:order val="0"/>
          <c:tx>
            <c:strRef>
              <c:f>graphs!$C$1</c:f>
              <c:strCache>
                <c:ptCount val="1"/>
                <c:pt idx="0">
                  <c:v>TOTAL (N=17,160)</c:v>
                </c:pt>
              </c:strCache>
            </c:strRef>
          </c:tx>
          <c:spPr>
            <a:solidFill>
              <a:schemeClr val="tx2"/>
            </a:solidFill>
            <a:ln>
              <a:solidFill>
                <a:sysClr val="windowText" lastClr="000000"/>
              </a:solidFill>
            </a:ln>
            <a:effectLst/>
          </c:spPr>
          <c:invertIfNegative val="0"/>
          <c:dLbls>
            <c:dLbl>
              <c:idx val="10"/>
              <c:layout>
                <c:manualLayout>
                  <c:x val="-2.2916666666666714E-2"/>
                  <c:y val="-7.2750482331543263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125-4567-973C-564584B758EE}"/>
                </c:ext>
              </c:extLst>
            </c:dLbl>
            <c:spPr>
              <a:noFill/>
              <a:ln>
                <a:noFill/>
              </a:ln>
              <a:effectLst/>
            </c:spPr>
            <c:txPr>
              <a:bodyPr rot="0" spcFirstLastPara="1" vertOverflow="ellipsis" vert="horz" wrap="square" lIns="38100" tIns="19050" rIns="38100" bIns="19050" anchor="ctr" anchorCtr="1">
                <a:spAutoFit/>
              </a:bodyPr>
              <a:lstStyle/>
              <a:p>
                <a:pPr>
                  <a:defRPr lang="ja-JP" sz="8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graphs!$A$2:$B$12</c:f>
              <c:multiLvlStrCache>
                <c:ptCount val="11"/>
                <c:lvl>
                  <c:pt idx="0">
                    <c:v>White</c:v>
                  </c:pt>
                  <c:pt idx="1">
                    <c:v>Black</c:v>
                  </c:pt>
                  <c:pt idx="2">
                    <c:v>Asian</c:v>
                  </c:pt>
                  <c:pt idx="3">
                    <c:v>Other</c:v>
                  </c:pt>
                  <c:pt idx="5">
                    <c:v>N. America</c:v>
                  </c:pt>
                  <c:pt idx="6">
                    <c:v>L. America</c:v>
                  </c:pt>
                  <c:pt idx="7">
                    <c:v>Asia/Pacific</c:v>
                  </c:pt>
                  <c:pt idx="8">
                    <c:v>Europe</c:v>
                  </c:pt>
                  <c:pt idx="10">
                    <c:v>Hispanic or Latino</c:v>
                  </c:pt>
                </c:lvl>
                <c:lvl>
                  <c:pt idx="0">
                    <c:v>Race</c:v>
                  </c:pt>
                  <c:pt idx="5">
                    <c:v>Region</c:v>
                  </c:pt>
                </c:lvl>
              </c:multiLvlStrCache>
            </c:multiLvlStrRef>
          </c:cat>
          <c:val>
            <c:numRef>
              <c:f>graphs!$C$2:$C$12</c:f>
              <c:numCache>
                <c:formatCode>0.0%</c:formatCode>
                <c:ptCount val="11"/>
                <c:pt idx="0">
                  <c:v>0.79600000000000004</c:v>
                </c:pt>
                <c:pt idx="1">
                  <c:v>3.500000000000001E-2</c:v>
                </c:pt>
                <c:pt idx="2">
                  <c:v>0.13400000000000001</c:v>
                </c:pt>
                <c:pt idx="3">
                  <c:v>3.500000000000001E-2</c:v>
                </c:pt>
                <c:pt idx="5">
                  <c:v>0.31900000000000012</c:v>
                </c:pt>
                <c:pt idx="6">
                  <c:v>0.10900000000000003</c:v>
                </c:pt>
                <c:pt idx="7">
                  <c:v>0.127</c:v>
                </c:pt>
                <c:pt idx="8">
                  <c:v>0.44500000000000006</c:v>
                </c:pt>
                <c:pt idx="10">
                  <c:v>0.15000000000000005</c:v>
                </c:pt>
              </c:numCache>
            </c:numRef>
          </c:val>
          <c:extLst xmlns:c16r2="http://schemas.microsoft.com/office/drawing/2015/06/chart">
            <c:ext xmlns:c16="http://schemas.microsoft.com/office/drawing/2014/chart" uri="{C3380CC4-5D6E-409C-BE32-E72D297353CC}">
              <c16:uniqueId val="{00000001-3125-4567-973C-564584B758EE}"/>
            </c:ext>
          </c:extLst>
        </c:ser>
        <c:ser>
          <c:idx val="0"/>
          <c:order val="1"/>
          <c:tx>
            <c:strRef>
              <c:f>graphs!$D$1</c:f>
              <c:strCache>
                <c:ptCount val="1"/>
                <c:pt idx="0">
                  <c:v>CVD (N=6,971)</c:v>
                </c:pt>
              </c:strCache>
            </c:strRef>
          </c:tx>
          <c:spPr>
            <a:solidFill>
              <a:schemeClr val="accent1"/>
            </a:solidFill>
            <a:ln>
              <a:solidFill>
                <a:sysClr val="windowText" lastClr="000000"/>
              </a:solidFill>
            </a:ln>
            <a:effectLst/>
          </c:spPr>
          <c:invertIfNegative val="0"/>
          <c:dLbls>
            <c:dLbl>
              <c:idx val="0"/>
              <c:layout>
                <c:manualLayout>
                  <c:x val="0"/>
                  <c:y val="-6.349206349206351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125-4567-973C-564584B758EE}"/>
                </c:ext>
              </c:extLst>
            </c:dLbl>
            <c:dLbl>
              <c:idx val="1"/>
              <c:layout>
                <c:manualLayout>
                  <c:x val="-1.9097001612030039E-17"/>
                  <c:y val="-8.33333333333334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125-4567-973C-564584B758EE}"/>
                </c:ext>
              </c:extLst>
            </c:dLbl>
            <c:dLbl>
              <c:idx val="2"/>
              <c:layout>
                <c:manualLayout>
                  <c:x val="0"/>
                  <c:y val="-7.142857142857141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125-4567-973C-564584B758EE}"/>
                </c:ext>
              </c:extLst>
            </c:dLbl>
            <c:dLbl>
              <c:idx val="3"/>
              <c:layout>
                <c:manualLayout>
                  <c:x val="-3.8194003224060066E-17"/>
                  <c:y val="-6.349206349206351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125-4567-973C-564584B758EE}"/>
                </c:ext>
              </c:extLst>
            </c:dLbl>
            <c:dLbl>
              <c:idx val="5"/>
              <c:layout>
                <c:manualLayout>
                  <c:x val="0"/>
                  <c:y val="-5.9523809523809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125-4567-973C-564584B758EE}"/>
                </c:ext>
              </c:extLst>
            </c:dLbl>
            <c:dLbl>
              <c:idx val="6"/>
              <c:layout>
                <c:manualLayout>
                  <c:x val="0"/>
                  <c:y val="-0.10714285714285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125-4567-973C-564584B758EE}"/>
                </c:ext>
              </c:extLst>
            </c:dLbl>
            <c:dLbl>
              <c:idx val="7"/>
              <c:layout>
                <c:manualLayout>
                  <c:x val="0"/>
                  <c:y val="-6.349206349206351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125-4567-973C-564584B758EE}"/>
                </c:ext>
              </c:extLst>
            </c:dLbl>
            <c:dLbl>
              <c:idx val="8"/>
              <c:layout>
                <c:manualLayout>
                  <c:x val="0"/>
                  <c:y val="-3.571428571428569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125-4567-973C-564584B758EE}"/>
                </c:ext>
              </c:extLst>
            </c:dLbl>
            <c:dLbl>
              <c:idx val="10"/>
              <c:layout>
                <c:manualLayout>
                  <c:x val="0"/>
                  <c:y val="-8.333333333333332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3125-4567-973C-564584B758EE}"/>
                </c:ext>
              </c:extLst>
            </c:dLbl>
            <c:spPr>
              <a:noFill/>
              <a:ln>
                <a:noFill/>
              </a:ln>
              <a:effectLst/>
            </c:spPr>
            <c:txPr>
              <a:bodyPr wrap="square" lIns="38100" tIns="19050" rIns="38100" bIns="19050" anchor="ctr">
                <a:spAutoFit/>
              </a:bodyPr>
              <a:lstStyle/>
              <a:p>
                <a:pPr>
                  <a:defRPr lang="ja-JP" sz="700"/>
                </a:pPr>
                <a:endParaRPr lang="he-I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multiLvlStrRef>
              <c:f>graphs!$A$2:$B$12</c:f>
              <c:multiLvlStrCache>
                <c:ptCount val="11"/>
                <c:lvl>
                  <c:pt idx="0">
                    <c:v>White</c:v>
                  </c:pt>
                  <c:pt idx="1">
                    <c:v>Black</c:v>
                  </c:pt>
                  <c:pt idx="2">
                    <c:v>Asian</c:v>
                  </c:pt>
                  <c:pt idx="3">
                    <c:v>Other</c:v>
                  </c:pt>
                  <c:pt idx="5">
                    <c:v>N. America</c:v>
                  </c:pt>
                  <c:pt idx="6">
                    <c:v>L. America</c:v>
                  </c:pt>
                  <c:pt idx="7">
                    <c:v>Asia/Pacific</c:v>
                  </c:pt>
                  <c:pt idx="8">
                    <c:v>Europe</c:v>
                  </c:pt>
                  <c:pt idx="10">
                    <c:v>Hispanic or Latino</c:v>
                  </c:pt>
                </c:lvl>
                <c:lvl>
                  <c:pt idx="0">
                    <c:v>Race</c:v>
                  </c:pt>
                  <c:pt idx="5">
                    <c:v>Region</c:v>
                  </c:pt>
                </c:lvl>
              </c:multiLvlStrCache>
            </c:multiLvlStrRef>
          </c:cat>
          <c:val>
            <c:numRef>
              <c:f>graphs!$D$2:$D$12</c:f>
              <c:numCache>
                <c:formatCode>0.0%</c:formatCode>
                <c:ptCount val="11"/>
                <c:pt idx="0">
                  <c:v>0.80100000000000005</c:v>
                </c:pt>
                <c:pt idx="1">
                  <c:v>3.0000000000000009E-2</c:v>
                </c:pt>
                <c:pt idx="2">
                  <c:v>0.13400000000000001</c:v>
                </c:pt>
                <c:pt idx="3">
                  <c:v>3.500000000000001E-2</c:v>
                </c:pt>
                <c:pt idx="5">
                  <c:v>0.33700000000000013</c:v>
                </c:pt>
                <c:pt idx="6">
                  <c:v>7.1000000000000008E-2</c:v>
                </c:pt>
                <c:pt idx="7">
                  <c:v>0.127</c:v>
                </c:pt>
                <c:pt idx="8">
                  <c:v>0.46600000000000008</c:v>
                </c:pt>
                <c:pt idx="10">
                  <c:v>0.10700000000000003</c:v>
                </c:pt>
              </c:numCache>
            </c:numRef>
          </c:val>
          <c:extLst xmlns:c16r2="http://schemas.microsoft.com/office/drawing/2015/06/chart">
            <c:ext xmlns:c16="http://schemas.microsoft.com/office/drawing/2014/chart" uri="{C3380CC4-5D6E-409C-BE32-E72D297353CC}">
              <c16:uniqueId val="{0000000B-3125-4567-973C-564584B758EE}"/>
            </c:ext>
          </c:extLst>
        </c:ser>
        <c:ser>
          <c:idx val="1"/>
          <c:order val="2"/>
          <c:tx>
            <c:strRef>
              <c:f>graphs!$E$1</c:f>
              <c:strCache>
                <c:ptCount val="1"/>
                <c:pt idx="0">
                  <c:v>MRF (N=10,189)</c:v>
                </c:pt>
              </c:strCache>
            </c:strRef>
          </c:tx>
          <c:spPr>
            <a:solidFill>
              <a:schemeClr val="accent5">
                <a:lumMod val="20000"/>
                <a:lumOff val="80000"/>
              </a:schemeClr>
            </a:solidFill>
            <a:ln>
              <a:solidFill>
                <a:sysClr val="windowText" lastClr="000000"/>
              </a:solidFill>
            </a:ln>
            <a:effectLst/>
          </c:spPr>
          <c:invertIfNegative val="0"/>
          <c:dLbls>
            <c:dLbl>
              <c:idx val="0"/>
              <c:layout>
                <c:manualLayout>
                  <c:x val="1.6666666666666708E-2"/>
                  <c:y val="-3.6375241165771478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3125-4567-973C-564584B758EE}"/>
                </c:ext>
              </c:extLst>
            </c:dLbl>
            <c:dLbl>
              <c:idx val="8"/>
              <c:layout>
                <c:manualLayout>
                  <c:x val="1.4583333333333203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3125-4567-973C-564584B758EE}"/>
                </c:ext>
              </c:extLst>
            </c:dLbl>
            <c:dLbl>
              <c:idx val="10"/>
              <c:layout>
                <c:manualLayout>
                  <c:x val="1.6666666666666708E-2"/>
                  <c:y val="-3.968253968253971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3125-4567-973C-564584B758EE}"/>
                </c:ext>
              </c:extLst>
            </c:dLbl>
            <c:spPr>
              <a:noFill/>
              <a:ln>
                <a:noFill/>
              </a:ln>
              <a:effectLst/>
            </c:spPr>
            <c:txPr>
              <a:bodyPr wrap="square" lIns="38100" tIns="19050" rIns="38100" bIns="19050" anchor="ctr">
                <a:spAutoFit/>
              </a:bodyPr>
              <a:lstStyle/>
              <a:p>
                <a:pPr>
                  <a:defRPr lang="ja-JP" sz="700"/>
                </a:pPr>
                <a:endParaRPr lang="he-I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multiLvlStrRef>
              <c:f>graphs!$A$2:$B$12</c:f>
              <c:multiLvlStrCache>
                <c:ptCount val="11"/>
                <c:lvl>
                  <c:pt idx="0">
                    <c:v>White</c:v>
                  </c:pt>
                  <c:pt idx="1">
                    <c:v>Black</c:v>
                  </c:pt>
                  <c:pt idx="2">
                    <c:v>Asian</c:v>
                  </c:pt>
                  <c:pt idx="3">
                    <c:v>Other</c:v>
                  </c:pt>
                  <c:pt idx="5">
                    <c:v>N. America</c:v>
                  </c:pt>
                  <c:pt idx="6">
                    <c:v>L. America</c:v>
                  </c:pt>
                  <c:pt idx="7">
                    <c:v>Asia/Pacific</c:v>
                  </c:pt>
                  <c:pt idx="8">
                    <c:v>Europe</c:v>
                  </c:pt>
                  <c:pt idx="10">
                    <c:v>Hispanic or Latino</c:v>
                  </c:pt>
                </c:lvl>
                <c:lvl>
                  <c:pt idx="0">
                    <c:v>Race</c:v>
                  </c:pt>
                  <c:pt idx="5">
                    <c:v>Region</c:v>
                  </c:pt>
                </c:lvl>
              </c:multiLvlStrCache>
            </c:multiLvlStrRef>
          </c:cat>
          <c:val>
            <c:numRef>
              <c:f>graphs!$E$2:$E$12</c:f>
              <c:numCache>
                <c:formatCode>0.0%</c:formatCode>
                <c:ptCount val="11"/>
                <c:pt idx="0">
                  <c:v>0.79200000000000004</c:v>
                </c:pt>
                <c:pt idx="1">
                  <c:v>3.9000000000000014E-2</c:v>
                </c:pt>
                <c:pt idx="2">
                  <c:v>0.13400000000000001</c:v>
                </c:pt>
                <c:pt idx="3">
                  <c:v>3.500000000000001E-2</c:v>
                </c:pt>
                <c:pt idx="5">
                  <c:v>0.30600000000000016</c:v>
                </c:pt>
                <c:pt idx="6">
                  <c:v>0.13600000000000001</c:v>
                </c:pt>
                <c:pt idx="7">
                  <c:v>0.128</c:v>
                </c:pt>
                <c:pt idx="8">
                  <c:v>0.4300000000000001</c:v>
                </c:pt>
                <c:pt idx="10">
                  <c:v>0.17900000000000005</c:v>
                </c:pt>
              </c:numCache>
            </c:numRef>
          </c:val>
          <c:extLst xmlns:c16r2="http://schemas.microsoft.com/office/drawing/2015/06/chart">
            <c:ext xmlns:c16="http://schemas.microsoft.com/office/drawing/2014/chart" uri="{C3380CC4-5D6E-409C-BE32-E72D297353CC}">
              <c16:uniqueId val="{0000000F-3125-4567-973C-564584B758EE}"/>
            </c:ext>
          </c:extLst>
        </c:ser>
        <c:dLbls>
          <c:showLegendKey val="0"/>
          <c:showVal val="0"/>
          <c:showCatName val="0"/>
          <c:showSerName val="0"/>
          <c:showPercent val="0"/>
          <c:showBubbleSize val="0"/>
        </c:dLbls>
        <c:gapWidth val="84"/>
        <c:axId val="80235520"/>
        <c:axId val="80261888"/>
      </c:barChart>
      <c:catAx>
        <c:axId val="802355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he-IL"/>
          </a:p>
        </c:txPr>
        <c:crossAx val="80261888"/>
        <c:crosses val="autoZero"/>
        <c:auto val="1"/>
        <c:lblAlgn val="ctr"/>
        <c:lblOffset val="100"/>
        <c:noMultiLvlLbl val="0"/>
      </c:catAx>
      <c:valAx>
        <c:axId val="80261888"/>
        <c:scaling>
          <c:orientation val="minMax"/>
        </c:scaling>
        <c:delete val="0"/>
        <c:axPos val="l"/>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he-IL"/>
          </a:p>
        </c:txPr>
        <c:crossAx val="80235520"/>
        <c:crosses val="autoZero"/>
        <c:crossBetween val="between"/>
      </c:valAx>
      <c:spPr>
        <a:noFill/>
        <a:ln>
          <a:noFill/>
        </a:ln>
        <a:effectLst/>
      </c:spPr>
    </c:plotArea>
    <c:legend>
      <c:legendPos val="b"/>
      <c:layout>
        <c:manualLayout>
          <c:xMode val="edge"/>
          <c:yMode val="edge"/>
          <c:x val="0.46458147349415713"/>
          <c:y val="3.1249481972648104E-2"/>
          <c:w val="0.53368189645084241"/>
          <c:h val="7.4013675922088837E-2"/>
        </c:manualLayout>
      </c:layout>
      <c:overlay val="0"/>
      <c:spPr>
        <a:noFill/>
        <a:ln>
          <a:solidFill>
            <a:sysClr val="windowText" lastClr="000000"/>
          </a:solidFill>
        </a:ln>
        <a:effectLst/>
      </c:spPr>
      <c:txPr>
        <a:bodyPr rot="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he-I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1400" b="0" i="0" u="none" strike="noStrike" kern="1200" spc="0" baseline="0">
                <a:solidFill>
                  <a:schemeClr val="tx1">
                    <a:lumMod val="65000"/>
                    <a:lumOff val="35000"/>
                  </a:schemeClr>
                </a:solidFill>
                <a:latin typeface="+mn-lt"/>
                <a:ea typeface="+mn-ea"/>
                <a:cs typeface="+mn-cs"/>
              </a:defRPr>
            </a:pPr>
            <a:r>
              <a:rPr lang="en-US" sz="1800" b="0" i="0" baseline="0">
                <a:effectLst/>
              </a:rPr>
              <a:t>B</a:t>
            </a:r>
            <a:endParaRPr lang="he-IL">
              <a:effectLst/>
            </a:endParaRPr>
          </a:p>
        </c:rich>
      </c:tx>
      <c:layout>
        <c:manualLayout>
          <c:xMode val="edge"/>
          <c:yMode val="edge"/>
          <c:x val="1.7826407624883606E-2"/>
          <c:y val="0"/>
        </c:manualLayout>
      </c:layout>
      <c:overlay val="0"/>
      <c:spPr>
        <a:noFill/>
        <a:ln>
          <a:noFill/>
        </a:ln>
        <a:effectLst/>
      </c:spPr>
    </c:title>
    <c:autoTitleDeleted val="0"/>
    <c:plotArea>
      <c:layout>
        <c:manualLayout>
          <c:layoutTarget val="inner"/>
          <c:xMode val="edge"/>
          <c:yMode val="edge"/>
          <c:x val="1.9873532068654005E-2"/>
          <c:y val="0.17291375291375297"/>
          <c:w val="0.96025293586269178"/>
          <c:h val="0.61805755214795699"/>
        </c:manualLayout>
      </c:layout>
      <c:barChart>
        <c:barDir val="col"/>
        <c:grouping val="clustered"/>
        <c:varyColors val="0"/>
        <c:ser>
          <c:idx val="2"/>
          <c:order val="0"/>
          <c:tx>
            <c:strRef>
              <c:f>graphs!$C$1</c:f>
              <c:strCache>
                <c:ptCount val="1"/>
                <c:pt idx="0">
                  <c:v>TOTAL (N=17,160)</c:v>
                </c:pt>
              </c:strCache>
            </c:strRef>
          </c:tx>
          <c:spPr>
            <a:solidFill>
              <a:schemeClr val="tx2"/>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ja-JP"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graphs!$A$13:$B$17</c:f>
              <c:multiLvlStrCache>
                <c:ptCount val="5"/>
                <c:lvl>
                  <c:pt idx="0">
                    <c:v>≤5</c:v>
                  </c:pt>
                  <c:pt idx="1">
                    <c:v>&gt;5 - ≤10</c:v>
                  </c:pt>
                  <c:pt idx="2">
                    <c:v>&gt;10 - ≤15</c:v>
                  </c:pt>
                  <c:pt idx="3">
                    <c:v>&gt;15 - ≤20</c:v>
                  </c:pt>
                  <c:pt idx="4">
                    <c:v>&gt;20</c:v>
                  </c:pt>
                </c:lvl>
                <c:lvl>
                  <c:pt idx="0">
                    <c:v>Years since diagnosis of T2DM</c:v>
                  </c:pt>
                </c:lvl>
              </c:multiLvlStrCache>
            </c:multiLvlStrRef>
          </c:cat>
          <c:val>
            <c:numRef>
              <c:f>graphs!$C$13:$C$17</c:f>
              <c:numCache>
                <c:formatCode>0.0%</c:formatCode>
                <c:ptCount val="5"/>
                <c:pt idx="0">
                  <c:v>0.224</c:v>
                </c:pt>
                <c:pt idx="1">
                  <c:v>0.27600000000000002</c:v>
                </c:pt>
                <c:pt idx="2">
                  <c:v>0.23</c:v>
                </c:pt>
                <c:pt idx="3">
                  <c:v>0.14200000000000004</c:v>
                </c:pt>
                <c:pt idx="4">
                  <c:v>0.129</c:v>
                </c:pt>
              </c:numCache>
            </c:numRef>
          </c:val>
          <c:extLst xmlns:c16r2="http://schemas.microsoft.com/office/drawing/2015/06/chart">
            <c:ext xmlns:c16="http://schemas.microsoft.com/office/drawing/2014/chart" uri="{C3380CC4-5D6E-409C-BE32-E72D297353CC}">
              <c16:uniqueId val="{00000000-33AB-4490-B33F-1AF2AA922167}"/>
            </c:ext>
          </c:extLst>
        </c:ser>
        <c:ser>
          <c:idx val="0"/>
          <c:order val="1"/>
          <c:tx>
            <c:strRef>
              <c:f>graphs!$D$1</c:f>
              <c:strCache>
                <c:ptCount val="1"/>
                <c:pt idx="0">
                  <c:v>CVD (N=6,971)</c:v>
                </c:pt>
              </c:strCache>
            </c:strRef>
          </c:tx>
          <c:spPr>
            <a:solidFill>
              <a:schemeClr val="accent1"/>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ja-JP"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graphs!$A$13:$B$17</c:f>
              <c:multiLvlStrCache>
                <c:ptCount val="5"/>
                <c:lvl>
                  <c:pt idx="0">
                    <c:v>≤5</c:v>
                  </c:pt>
                  <c:pt idx="1">
                    <c:v>&gt;5 - ≤10</c:v>
                  </c:pt>
                  <c:pt idx="2">
                    <c:v>&gt;10 - ≤15</c:v>
                  </c:pt>
                  <c:pt idx="3">
                    <c:v>&gt;15 - ≤20</c:v>
                  </c:pt>
                  <c:pt idx="4">
                    <c:v>&gt;20</c:v>
                  </c:pt>
                </c:lvl>
                <c:lvl>
                  <c:pt idx="0">
                    <c:v>Years since diagnosis of T2DM</c:v>
                  </c:pt>
                </c:lvl>
              </c:multiLvlStrCache>
            </c:multiLvlStrRef>
          </c:cat>
          <c:val>
            <c:numRef>
              <c:f>graphs!$D$13:$D$17</c:f>
              <c:numCache>
                <c:formatCode>0.0%</c:formatCode>
                <c:ptCount val="5"/>
                <c:pt idx="0">
                  <c:v>0.23200000000000001</c:v>
                </c:pt>
                <c:pt idx="1">
                  <c:v>0.26200000000000001</c:v>
                </c:pt>
                <c:pt idx="2">
                  <c:v>0.21900000000000006</c:v>
                </c:pt>
                <c:pt idx="3">
                  <c:v>0.14200000000000004</c:v>
                </c:pt>
                <c:pt idx="4">
                  <c:v>0.14400000000000004</c:v>
                </c:pt>
              </c:numCache>
            </c:numRef>
          </c:val>
          <c:extLst xmlns:c16r2="http://schemas.microsoft.com/office/drawing/2015/06/chart">
            <c:ext xmlns:c16="http://schemas.microsoft.com/office/drawing/2014/chart" uri="{C3380CC4-5D6E-409C-BE32-E72D297353CC}">
              <c16:uniqueId val="{00000001-33AB-4490-B33F-1AF2AA922167}"/>
            </c:ext>
          </c:extLst>
        </c:ser>
        <c:ser>
          <c:idx val="1"/>
          <c:order val="2"/>
          <c:tx>
            <c:strRef>
              <c:f>graphs!$E$1</c:f>
              <c:strCache>
                <c:ptCount val="1"/>
                <c:pt idx="0">
                  <c:v>MRF (N=10,189)</c:v>
                </c:pt>
              </c:strCache>
            </c:strRef>
          </c:tx>
          <c:spPr>
            <a:solidFill>
              <a:schemeClr val="accent5">
                <a:lumMod val="20000"/>
                <a:lumOff val="80000"/>
              </a:scheme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ja-JP"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graphs!$A$13:$B$17</c:f>
              <c:multiLvlStrCache>
                <c:ptCount val="5"/>
                <c:lvl>
                  <c:pt idx="0">
                    <c:v>≤5</c:v>
                  </c:pt>
                  <c:pt idx="1">
                    <c:v>&gt;5 - ≤10</c:v>
                  </c:pt>
                  <c:pt idx="2">
                    <c:v>&gt;10 - ≤15</c:v>
                  </c:pt>
                  <c:pt idx="3">
                    <c:v>&gt;15 - ≤20</c:v>
                  </c:pt>
                  <c:pt idx="4">
                    <c:v>&gt;20</c:v>
                  </c:pt>
                </c:lvl>
                <c:lvl>
                  <c:pt idx="0">
                    <c:v>Years since diagnosis of T2DM</c:v>
                  </c:pt>
                </c:lvl>
              </c:multiLvlStrCache>
            </c:multiLvlStrRef>
          </c:cat>
          <c:val>
            <c:numRef>
              <c:f>graphs!$E$13:$E$17</c:f>
              <c:numCache>
                <c:formatCode>0.0%</c:formatCode>
                <c:ptCount val="5"/>
                <c:pt idx="0">
                  <c:v>0.21800000000000005</c:v>
                </c:pt>
                <c:pt idx="1">
                  <c:v>0.28500000000000009</c:v>
                </c:pt>
                <c:pt idx="2">
                  <c:v>0.23800000000000004</c:v>
                </c:pt>
                <c:pt idx="3">
                  <c:v>0.14100000000000001</c:v>
                </c:pt>
                <c:pt idx="4">
                  <c:v>0.11799999999999998</c:v>
                </c:pt>
              </c:numCache>
            </c:numRef>
          </c:val>
          <c:extLst xmlns:c16r2="http://schemas.microsoft.com/office/drawing/2015/06/chart">
            <c:ext xmlns:c16="http://schemas.microsoft.com/office/drawing/2014/chart" uri="{C3380CC4-5D6E-409C-BE32-E72D297353CC}">
              <c16:uniqueId val="{00000002-33AB-4490-B33F-1AF2AA922167}"/>
            </c:ext>
          </c:extLst>
        </c:ser>
        <c:dLbls>
          <c:showLegendKey val="0"/>
          <c:showVal val="0"/>
          <c:showCatName val="0"/>
          <c:showSerName val="0"/>
          <c:showPercent val="0"/>
          <c:showBubbleSize val="0"/>
        </c:dLbls>
        <c:gapWidth val="84"/>
        <c:axId val="81404672"/>
        <c:axId val="81406208"/>
      </c:barChart>
      <c:catAx>
        <c:axId val="814046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rtl="0">
              <a:defRPr lang="ja-JP" sz="900" b="0" i="0" u="none" strike="noStrike" kern="1200" baseline="0">
                <a:solidFill>
                  <a:schemeClr val="tx1">
                    <a:lumMod val="65000"/>
                    <a:lumOff val="35000"/>
                  </a:schemeClr>
                </a:solidFill>
                <a:latin typeface="+mn-lt"/>
                <a:ea typeface="+mn-ea"/>
                <a:cs typeface="+mn-cs"/>
              </a:defRPr>
            </a:pPr>
            <a:endParaRPr lang="he-IL"/>
          </a:p>
        </c:txPr>
        <c:crossAx val="81406208"/>
        <c:crosses val="autoZero"/>
        <c:auto val="1"/>
        <c:lblAlgn val="ctr"/>
        <c:lblOffset val="100"/>
        <c:noMultiLvlLbl val="0"/>
      </c:catAx>
      <c:valAx>
        <c:axId val="81406208"/>
        <c:scaling>
          <c:orientation val="minMax"/>
        </c:scaling>
        <c:delete val="0"/>
        <c:axPos val="l"/>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he-IL"/>
          </a:p>
        </c:txPr>
        <c:crossAx val="81404672"/>
        <c:crosses val="autoZero"/>
        <c:crossBetween val="between"/>
      </c:valAx>
      <c:spPr>
        <a:noFill/>
        <a:ln w="25400">
          <a:noFill/>
        </a:ln>
        <a:effectLst/>
      </c:spPr>
    </c:plotArea>
    <c:legend>
      <c:legendPos val="b"/>
      <c:layout>
        <c:manualLayout>
          <c:xMode val="edge"/>
          <c:yMode val="edge"/>
          <c:x val="0.445669984626344"/>
          <c:y val="4.0209239579318302E-2"/>
          <c:w val="0.55329996308242702"/>
          <c:h val="7.8671879301800474E-2"/>
        </c:manualLayout>
      </c:layout>
      <c:overlay val="0"/>
      <c:spPr>
        <a:noFill/>
        <a:ln>
          <a:solidFill>
            <a:sysClr val="windowText" lastClr="000000"/>
          </a:solidFill>
        </a:ln>
        <a:effectLst/>
      </c:spPr>
      <c:txPr>
        <a:bodyPr rot="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he-I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1400" b="0" i="0" u="none" strike="noStrike" kern="1200" spc="0" baseline="0">
                <a:solidFill>
                  <a:schemeClr val="tx1">
                    <a:lumMod val="65000"/>
                    <a:lumOff val="35000"/>
                  </a:schemeClr>
                </a:solidFill>
                <a:latin typeface="+mn-lt"/>
                <a:ea typeface="+mn-ea"/>
                <a:cs typeface="+mn-cs"/>
              </a:defRPr>
            </a:pPr>
            <a:r>
              <a:rPr lang="en-US" sz="1800" b="0" i="0" baseline="0">
                <a:effectLst/>
              </a:rPr>
              <a:t>C</a:t>
            </a:r>
            <a:endParaRPr lang="he-IL">
              <a:effectLst/>
            </a:endParaRPr>
          </a:p>
        </c:rich>
      </c:tx>
      <c:layout>
        <c:manualLayout>
          <c:xMode val="edge"/>
          <c:yMode val="edge"/>
          <c:x val="1.7826334208224E-2"/>
          <c:y val="1.3888888888888907E-2"/>
        </c:manualLayout>
      </c:layout>
      <c:overlay val="0"/>
      <c:spPr>
        <a:noFill/>
        <a:ln>
          <a:noFill/>
        </a:ln>
        <a:effectLst/>
      </c:spPr>
    </c:title>
    <c:autoTitleDeleted val="0"/>
    <c:plotArea>
      <c:layout>
        <c:manualLayout>
          <c:layoutTarget val="inner"/>
          <c:xMode val="edge"/>
          <c:yMode val="edge"/>
          <c:x val="1.9873532068654005E-2"/>
          <c:y val="0.17291375291375297"/>
          <c:w val="0.96025293586269178"/>
          <c:h val="0.61805755214795699"/>
        </c:manualLayout>
      </c:layout>
      <c:barChart>
        <c:barDir val="col"/>
        <c:grouping val="clustered"/>
        <c:varyColors val="0"/>
        <c:ser>
          <c:idx val="2"/>
          <c:order val="0"/>
          <c:tx>
            <c:strRef>
              <c:f>graphs!$C$1</c:f>
              <c:strCache>
                <c:ptCount val="1"/>
                <c:pt idx="0">
                  <c:v>TOTAL (N=17,160)</c:v>
                </c:pt>
              </c:strCache>
            </c:strRef>
          </c:tx>
          <c:spPr>
            <a:solidFill>
              <a:schemeClr val="tx2"/>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ja-JP"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graphs!$A$18:$B$22</c:f>
              <c:multiLvlStrCache>
                <c:ptCount val="5"/>
                <c:lvl>
                  <c:pt idx="0">
                    <c:v>Metformin</c:v>
                  </c:pt>
                  <c:pt idx="1">
                    <c:v>Insulin</c:v>
                  </c:pt>
                  <c:pt idx="2">
                    <c:v>Sulfonylurea</c:v>
                  </c:pt>
                  <c:pt idx="3">
                    <c:v>DPP-4 inhibitor</c:v>
                  </c:pt>
                  <c:pt idx="4">
                    <c:v>GLP1-RA</c:v>
                  </c:pt>
                </c:lvl>
                <c:lvl>
                  <c:pt idx="0">
                    <c:v>Glucose-lowering agents (GLA)</c:v>
                  </c:pt>
                </c:lvl>
              </c:multiLvlStrCache>
            </c:multiLvlStrRef>
          </c:cat>
          <c:val>
            <c:numRef>
              <c:f>graphs!$C$18:$C$22</c:f>
              <c:numCache>
                <c:formatCode>0.0%</c:formatCode>
                <c:ptCount val="5"/>
                <c:pt idx="0">
                  <c:v>0.78500000000000003</c:v>
                </c:pt>
                <c:pt idx="1">
                  <c:v>0.39600000000000013</c:v>
                </c:pt>
                <c:pt idx="2">
                  <c:v>0.41100000000000009</c:v>
                </c:pt>
                <c:pt idx="3">
                  <c:v>0.16</c:v>
                </c:pt>
                <c:pt idx="4">
                  <c:v>4.2000000000000016E-2</c:v>
                </c:pt>
              </c:numCache>
            </c:numRef>
          </c:val>
          <c:extLst xmlns:c16r2="http://schemas.microsoft.com/office/drawing/2015/06/chart">
            <c:ext xmlns:c16="http://schemas.microsoft.com/office/drawing/2014/chart" uri="{C3380CC4-5D6E-409C-BE32-E72D297353CC}">
              <c16:uniqueId val="{00000000-312B-4DD4-8067-69E06C256323}"/>
            </c:ext>
          </c:extLst>
        </c:ser>
        <c:ser>
          <c:idx val="0"/>
          <c:order val="1"/>
          <c:tx>
            <c:strRef>
              <c:f>graphs!$D$1</c:f>
              <c:strCache>
                <c:ptCount val="1"/>
                <c:pt idx="0">
                  <c:v>CVD (N=6,971)</c:v>
                </c:pt>
              </c:strCache>
            </c:strRef>
          </c:tx>
          <c:spPr>
            <a:solidFill>
              <a:schemeClr val="accent1"/>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ja-JP"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graphs!$A$18:$B$22</c:f>
              <c:multiLvlStrCache>
                <c:ptCount val="5"/>
                <c:lvl>
                  <c:pt idx="0">
                    <c:v>Metformin</c:v>
                  </c:pt>
                  <c:pt idx="1">
                    <c:v>Insulin</c:v>
                  </c:pt>
                  <c:pt idx="2">
                    <c:v>Sulfonylurea</c:v>
                  </c:pt>
                  <c:pt idx="3">
                    <c:v>DPP-4 inhibitor</c:v>
                  </c:pt>
                  <c:pt idx="4">
                    <c:v>GLP1-RA</c:v>
                  </c:pt>
                </c:lvl>
                <c:lvl>
                  <c:pt idx="0">
                    <c:v>Glucose-lowering agents (GLA)</c:v>
                  </c:pt>
                </c:lvl>
              </c:multiLvlStrCache>
            </c:multiLvlStrRef>
          </c:cat>
          <c:val>
            <c:numRef>
              <c:f>graphs!$D$18:$D$22</c:f>
              <c:numCache>
                <c:formatCode>0.0%</c:formatCode>
                <c:ptCount val="5"/>
                <c:pt idx="0">
                  <c:v>0.74600000000000022</c:v>
                </c:pt>
                <c:pt idx="1">
                  <c:v>0.442</c:v>
                </c:pt>
                <c:pt idx="2">
                  <c:v>0.38000000000000012</c:v>
                </c:pt>
                <c:pt idx="3">
                  <c:v>0.15400000000000005</c:v>
                </c:pt>
                <c:pt idx="4">
                  <c:v>4.1000000000000002E-2</c:v>
                </c:pt>
              </c:numCache>
            </c:numRef>
          </c:val>
          <c:extLst xmlns:c16r2="http://schemas.microsoft.com/office/drawing/2015/06/chart">
            <c:ext xmlns:c16="http://schemas.microsoft.com/office/drawing/2014/chart" uri="{C3380CC4-5D6E-409C-BE32-E72D297353CC}">
              <c16:uniqueId val="{00000001-312B-4DD4-8067-69E06C256323}"/>
            </c:ext>
          </c:extLst>
        </c:ser>
        <c:ser>
          <c:idx val="1"/>
          <c:order val="2"/>
          <c:tx>
            <c:strRef>
              <c:f>graphs!$E$1</c:f>
              <c:strCache>
                <c:ptCount val="1"/>
                <c:pt idx="0">
                  <c:v>MRF (N=10,189)</c:v>
                </c:pt>
              </c:strCache>
            </c:strRef>
          </c:tx>
          <c:spPr>
            <a:solidFill>
              <a:schemeClr val="accent5">
                <a:lumMod val="20000"/>
                <a:lumOff val="80000"/>
              </a:scheme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ja-JP"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graphs!$A$18:$B$22</c:f>
              <c:multiLvlStrCache>
                <c:ptCount val="5"/>
                <c:lvl>
                  <c:pt idx="0">
                    <c:v>Metformin</c:v>
                  </c:pt>
                  <c:pt idx="1">
                    <c:v>Insulin</c:v>
                  </c:pt>
                  <c:pt idx="2">
                    <c:v>Sulfonylurea</c:v>
                  </c:pt>
                  <c:pt idx="3">
                    <c:v>DPP-4 inhibitor</c:v>
                  </c:pt>
                  <c:pt idx="4">
                    <c:v>GLP1-RA</c:v>
                  </c:pt>
                </c:lvl>
                <c:lvl>
                  <c:pt idx="0">
                    <c:v>Glucose-lowering agents (GLA)</c:v>
                  </c:pt>
                </c:lvl>
              </c:multiLvlStrCache>
            </c:multiLvlStrRef>
          </c:cat>
          <c:val>
            <c:numRef>
              <c:f>graphs!$E$18:$E$22</c:f>
              <c:numCache>
                <c:formatCode>0.0%</c:formatCode>
                <c:ptCount val="5"/>
                <c:pt idx="0">
                  <c:v>0.81200000000000028</c:v>
                </c:pt>
                <c:pt idx="1">
                  <c:v>0.36400000000000016</c:v>
                </c:pt>
                <c:pt idx="2">
                  <c:v>0.43200000000000011</c:v>
                </c:pt>
                <c:pt idx="3">
                  <c:v>0.16400000000000001</c:v>
                </c:pt>
                <c:pt idx="4">
                  <c:v>4.3000000000000003E-2</c:v>
                </c:pt>
              </c:numCache>
            </c:numRef>
          </c:val>
          <c:extLst xmlns:c16r2="http://schemas.microsoft.com/office/drawing/2015/06/chart">
            <c:ext xmlns:c16="http://schemas.microsoft.com/office/drawing/2014/chart" uri="{C3380CC4-5D6E-409C-BE32-E72D297353CC}">
              <c16:uniqueId val="{00000002-312B-4DD4-8067-69E06C256323}"/>
            </c:ext>
          </c:extLst>
        </c:ser>
        <c:dLbls>
          <c:showLegendKey val="0"/>
          <c:showVal val="0"/>
          <c:showCatName val="0"/>
          <c:showSerName val="0"/>
          <c:showPercent val="0"/>
          <c:showBubbleSize val="0"/>
        </c:dLbls>
        <c:gapWidth val="84"/>
        <c:axId val="81459456"/>
        <c:axId val="84672512"/>
      </c:barChart>
      <c:catAx>
        <c:axId val="814594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rtl="0">
              <a:defRPr lang="ja-JP" sz="900" b="0" i="0" u="none" strike="noStrike" kern="1200" baseline="0">
                <a:solidFill>
                  <a:schemeClr val="tx1">
                    <a:lumMod val="65000"/>
                    <a:lumOff val="35000"/>
                  </a:schemeClr>
                </a:solidFill>
                <a:latin typeface="+mn-lt"/>
                <a:ea typeface="+mn-ea"/>
                <a:cs typeface="+mn-cs"/>
              </a:defRPr>
            </a:pPr>
            <a:endParaRPr lang="he-IL"/>
          </a:p>
        </c:txPr>
        <c:crossAx val="84672512"/>
        <c:crosses val="autoZero"/>
        <c:auto val="1"/>
        <c:lblAlgn val="ctr"/>
        <c:lblOffset val="100"/>
        <c:noMultiLvlLbl val="0"/>
      </c:catAx>
      <c:valAx>
        <c:axId val="84672512"/>
        <c:scaling>
          <c:orientation val="minMax"/>
        </c:scaling>
        <c:delete val="0"/>
        <c:axPos val="l"/>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he-IL"/>
          </a:p>
        </c:txPr>
        <c:crossAx val="81459456"/>
        <c:crosses val="autoZero"/>
        <c:crossBetween val="between"/>
      </c:valAx>
      <c:spPr>
        <a:noFill/>
        <a:ln w="25400">
          <a:noFill/>
        </a:ln>
        <a:effectLst/>
      </c:spPr>
    </c:plotArea>
    <c:legend>
      <c:legendPos val="b"/>
      <c:layout>
        <c:manualLayout>
          <c:xMode val="edge"/>
          <c:yMode val="edge"/>
          <c:x val="0.43311823798050525"/>
          <c:y val="5.0235848178551964E-2"/>
          <c:w val="0.56639065621529239"/>
          <c:h val="7.9787792483386424E-2"/>
        </c:manualLayout>
      </c:layout>
      <c:overlay val="0"/>
      <c:spPr>
        <a:noFill/>
        <a:ln>
          <a:solidFill>
            <a:sysClr val="windowText" lastClr="000000"/>
          </a:solidFill>
        </a:ln>
        <a:effectLst/>
      </c:spPr>
      <c:txPr>
        <a:bodyPr rot="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he-I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1400" b="0" i="0" u="none" strike="noStrike" kern="1200" spc="0" baseline="0">
                <a:solidFill>
                  <a:schemeClr val="tx1">
                    <a:lumMod val="65000"/>
                    <a:lumOff val="35000"/>
                  </a:schemeClr>
                </a:solidFill>
                <a:latin typeface="+mn-lt"/>
                <a:ea typeface="+mn-ea"/>
                <a:cs typeface="+mn-cs"/>
              </a:defRPr>
            </a:pPr>
            <a:r>
              <a:rPr lang="en-US" sz="1800" b="0" i="0" baseline="0">
                <a:effectLst/>
              </a:rPr>
              <a:t>D</a:t>
            </a:r>
            <a:endParaRPr lang="he-IL">
              <a:effectLst/>
            </a:endParaRPr>
          </a:p>
        </c:rich>
      </c:tx>
      <c:layout>
        <c:manualLayout>
          <c:xMode val="edge"/>
          <c:yMode val="edge"/>
          <c:x val="1.7826334208224E-2"/>
          <c:y val="1.3888888888888907E-2"/>
        </c:manualLayout>
      </c:layout>
      <c:overlay val="0"/>
      <c:spPr>
        <a:noFill/>
        <a:ln>
          <a:noFill/>
        </a:ln>
        <a:effectLst/>
      </c:spPr>
    </c:title>
    <c:autoTitleDeleted val="0"/>
    <c:plotArea>
      <c:layout>
        <c:manualLayout>
          <c:layoutTarget val="inner"/>
          <c:xMode val="edge"/>
          <c:yMode val="edge"/>
          <c:x val="5.2271961375198496E-2"/>
          <c:y val="0.161517673538671"/>
          <c:w val="0.96025293586269178"/>
          <c:h val="0.56088983390705605"/>
        </c:manualLayout>
      </c:layout>
      <c:barChart>
        <c:barDir val="col"/>
        <c:grouping val="clustered"/>
        <c:varyColors val="0"/>
        <c:ser>
          <c:idx val="2"/>
          <c:order val="0"/>
          <c:tx>
            <c:strRef>
              <c:f>graphs!$C$1</c:f>
              <c:strCache>
                <c:ptCount val="1"/>
                <c:pt idx="0">
                  <c:v>TOTAL (N=17,160)</c:v>
                </c:pt>
              </c:strCache>
            </c:strRef>
          </c:tx>
          <c:spPr>
            <a:solidFill>
              <a:schemeClr val="tx2"/>
            </a:solidFill>
            <a:ln>
              <a:solidFill>
                <a:sysClr val="windowText" lastClr="000000"/>
              </a:solidFill>
            </a:ln>
            <a:effectLst/>
          </c:spPr>
          <c:invertIfNegative val="0"/>
          <c:dLbls>
            <c:dLbl>
              <c:idx val="3"/>
              <c:tx>
                <c:rich>
                  <a:bodyPr/>
                  <a:lstStyle/>
                  <a:p>
                    <a:r>
                      <a:rPr lang="en-US"/>
                      <a:t>33.0%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159-45E8-BD19-BC868748FB3E}"/>
                </c:ext>
              </c:extLst>
            </c:dLbl>
            <c:spPr>
              <a:noFill/>
              <a:ln>
                <a:noFill/>
              </a:ln>
              <a:effectLst/>
            </c:spPr>
            <c:txPr>
              <a:bodyPr rot="0" spcFirstLastPara="1" vertOverflow="ellipsis" vert="horz" wrap="square" lIns="38100" tIns="19050" rIns="38100" bIns="19050" anchor="ctr" anchorCtr="1">
                <a:spAutoFit/>
              </a:bodyPr>
              <a:lstStyle/>
              <a:p>
                <a:pPr>
                  <a:defRPr lang="ja-JP"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graphs!$A$23:$B$28</c:f>
              <c:multiLvlStrCache>
                <c:ptCount val="6"/>
                <c:lvl>
                  <c:pt idx="0">
                    <c:v>ACEI/ARB</c:v>
                  </c:pt>
                  <c:pt idx="1">
                    <c:v>Beta-blockers</c:v>
                  </c:pt>
                  <c:pt idx="2">
                    <c:v>Diuretics</c:v>
                  </c:pt>
                  <c:pt idx="3">
                    <c:v>Calcium channel blockers</c:v>
                  </c:pt>
                  <c:pt idx="4">
                    <c:v>Mineralocorticoid receptor antagonist</c:v>
                  </c:pt>
                  <c:pt idx="5">
                    <c:v>Other </c:v>
                  </c:pt>
                </c:lvl>
                <c:lvl>
                  <c:pt idx="0">
                    <c:v>Anti-hypertensive therapy</c:v>
                  </c:pt>
                </c:lvl>
              </c:multiLvlStrCache>
            </c:multiLvlStrRef>
          </c:cat>
          <c:val>
            <c:numRef>
              <c:f>graphs!$C$23:$C$28</c:f>
              <c:numCache>
                <c:formatCode>0.0%</c:formatCode>
                <c:ptCount val="6"/>
                <c:pt idx="0">
                  <c:v>0.77100000000000024</c:v>
                </c:pt>
                <c:pt idx="1">
                  <c:v>0.46200000000000002</c:v>
                </c:pt>
                <c:pt idx="2">
                  <c:v>0.38600000000000012</c:v>
                </c:pt>
                <c:pt idx="3">
                  <c:v>0.33100000000000013</c:v>
                </c:pt>
                <c:pt idx="4">
                  <c:v>4.2000000000000016E-2</c:v>
                </c:pt>
                <c:pt idx="5">
                  <c:v>5.8000000000000003E-2</c:v>
                </c:pt>
              </c:numCache>
            </c:numRef>
          </c:val>
          <c:extLst xmlns:c16r2="http://schemas.microsoft.com/office/drawing/2015/06/chart">
            <c:ext xmlns:c16="http://schemas.microsoft.com/office/drawing/2014/chart" uri="{C3380CC4-5D6E-409C-BE32-E72D297353CC}">
              <c16:uniqueId val="{00000000-2DEA-416B-A641-F7AA24452FC8}"/>
            </c:ext>
          </c:extLst>
        </c:ser>
        <c:ser>
          <c:idx val="0"/>
          <c:order val="1"/>
          <c:tx>
            <c:strRef>
              <c:f>graphs!$D$1</c:f>
              <c:strCache>
                <c:ptCount val="1"/>
                <c:pt idx="0">
                  <c:v>CVD (N=6,971)</c:v>
                </c:pt>
              </c:strCache>
            </c:strRef>
          </c:tx>
          <c:spPr>
            <a:solidFill>
              <a:schemeClr val="accent1"/>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ja-JP"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graphs!$A$23:$B$28</c:f>
              <c:multiLvlStrCache>
                <c:ptCount val="6"/>
                <c:lvl>
                  <c:pt idx="0">
                    <c:v>ACEI/ARB</c:v>
                  </c:pt>
                  <c:pt idx="1">
                    <c:v>Beta-blockers</c:v>
                  </c:pt>
                  <c:pt idx="2">
                    <c:v>Diuretics</c:v>
                  </c:pt>
                  <c:pt idx="3">
                    <c:v>Calcium channel blockers</c:v>
                  </c:pt>
                  <c:pt idx="4">
                    <c:v>Mineralocorticoid receptor antagonist</c:v>
                  </c:pt>
                  <c:pt idx="5">
                    <c:v>Other </c:v>
                  </c:pt>
                </c:lvl>
                <c:lvl>
                  <c:pt idx="0">
                    <c:v>Anti-hypertensive therapy</c:v>
                  </c:pt>
                </c:lvl>
              </c:multiLvlStrCache>
            </c:multiLvlStrRef>
          </c:cat>
          <c:val>
            <c:numRef>
              <c:f>graphs!$D$23:$D$28</c:f>
              <c:numCache>
                <c:formatCode>0.0%</c:formatCode>
                <c:ptCount val="6"/>
                <c:pt idx="0">
                  <c:v>0.77700000000000025</c:v>
                </c:pt>
                <c:pt idx="1">
                  <c:v>0.66600000000000026</c:v>
                </c:pt>
                <c:pt idx="2">
                  <c:v>0.39100000000000013</c:v>
                </c:pt>
                <c:pt idx="3">
                  <c:v>0.32100000000000012</c:v>
                </c:pt>
                <c:pt idx="4">
                  <c:v>6.7000000000000004E-2</c:v>
                </c:pt>
                <c:pt idx="5">
                  <c:v>5.5000000000000014E-2</c:v>
                </c:pt>
              </c:numCache>
            </c:numRef>
          </c:val>
          <c:extLst xmlns:c16r2="http://schemas.microsoft.com/office/drawing/2015/06/chart">
            <c:ext xmlns:c16="http://schemas.microsoft.com/office/drawing/2014/chart" uri="{C3380CC4-5D6E-409C-BE32-E72D297353CC}">
              <c16:uniqueId val="{00000001-2DEA-416B-A641-F7AA24452FC8}"/>
            </c:ext>
          </c:extLst>
        </c:ser>
        <c:ser>
          <c:idx val="1"/>
          <c:order val="2"/>
          <c:tx>
            <c:strRef>
              <c:f>graphs!$E$1</c:f>
              <c:strCache>
                <c:ptCount val="1"/>
                <c:pt idx="0">
                  <c:v>MRF (N=10,189)</c:v>
                </c:pt>
              </c:strCache>
            </c:strRef>
          </c:tx>
          <c:spPr>
            <a:solidFill>
              <a:schemeClr val="accent5">
                <a:lumMod val="20000"/>
                <a:lumOff val="80000"/>
              </a:scheme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ja-JP"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graphs!$A$23:$B$28</c:f>
              <c:multiLvlStrCache>
                <c:ptCount val="6"/>
                <c:lvl>
                  <c:pt idx="0">
                    <c:v>ACEI/ARB</c:v>
                  </c:pt>
                  <c:pt idx="1">
                    <c:v>Beta-blockers</c:v>
                  </c:pt>
                  <c:pt idx="2">
                    <c:v>Diuretics</c:v>
                  </c:pt>
                  <c:pt idx="3">
                    <c:v>Calcium channel blockers</c:v>
                  </c:pt>
                  <c:pt idx="4">
                    <c:v>Mineralocorticoid receptor antagonist</c:v>
                  </c:pt>
                  <c:pt idx="5">
                    <c:v>Other </c:v>
                  </c:pt>
                </c:lvl>
                <c:lvl>
                  <c:pt idx="0">
                    <c:v>Anti-hypertensive therapy</c:v>
                  </c:pt>
                </c:lvl>
              </c:multiLvlStrCache>
            </c:multiLvlStrRef>
          </c:cat>
          <c:val>
            <c:numRef>
              <c:f>graphs!$E$23:$E$28</c:f>
              <c:numCache>
                <c:formatCode>0.0%</c:formatCode>
                <c:ptCount val="6"/>
                <c:pt idx="0">
                  <c:v>0.76700000000000024</c:v>
                </c:pt>
                <c:pt idx="1">
                  <c:v>0.32300000000000012</c:v>
                </c:pt>
                <c:pt idx="2">
                  <c:v>0.38200000000000012</c:v>
                </c:pt>
                <c:pt idx="3">
                  <c:v>0.33700000000000013</c:v>
                </c:pt>
                <c:pt idx="4">
                  <c:v>2.4E-2</c:v>
                </c:pt>
                <c:pt idx="5">
                  <c:v>6.0000000000000019E-2</c:v>
                </c:pt>
              </c:numCache>
            </c:numRef>
          </c:val>
          <c:extLst xmlns:c16r2="http://schemas.microsoft.com/office/drawing/2015/06/chart">
            <c:ext xmlns:c16="http://schemas.microsoft.com/office/drawing/2014/chart" uri="{C3380CC4-5D6E-409C-BE32-E72D297353CC}">
              <c16:uniqueId val="{00000002-2DEA-416B-A641-F7AA24452FC8}"/>
            </c:ext>
          </c:extLst>
        </c:ser>
        <c:dLbls>
          <c:showLegendKey val="0"/>
          <c:showVal val="0"/>
          <c:showCatName val="0"/>
          <c:showSerName val="0"/>
          <c:showPercent val="0"/>
          <c:showBubbleSize val="0"/>
        </c:dLbls>
        <c:gapWidth val="84"/>
        <c:axId val="84717568"/>
        <c:axId val="84719104"/>
      </c:barChart>
      <c:catAx>
        <c:axId val="84717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rtl="0">
              <a:defRPr lang="ja-JP" sz="900" b="0" i="0" u="none" strike="noStrike" kern="1200" baseline="0">
                <a:solidFill>
                  <a:schemeClr val="tx1">
                    <a:lumMod val="65000"/>
                    <a:lumOff val="35000"/>
                  </a:schemeClr>
                </a:solidFill>
                <a:latin typeface="+mn-lt"/>
                <a:ea typeface="+mn-ea"/>
                <a:cs typeface="+mn-cs"/>
              </a:defRPr>
            </a:pPr>
            <a:endParaRPr lang="he-IL"/>
          </a:p>
        </c:txPr>
        <c:crossAx val="84719104"/>
        <c:crosses val="autoZero"/>
        <c:auto val="1"/>
        <c:lblAlgn val="ctr"/>
        <c:lblOffset val="100"/>
        <c:noMultiLvlLbl val="0"/>
      </c:catAx>
      <c:valAx>
        <c:axId val="84719104"/>
        <c:scaling>
          <c:orientation val="minMax"/>
        </c:scaling>
        <c:delete val="0"/>
        <c:axPos val="l"/>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he-IL"/>
          </a:p>
        </c:txPr>
        <c:crossAx val="84717568"/>
        <c:crosses val="autoZero"/>
        <c:crossBetween val="between"/>
      </c:valAx>
      <c:spPr>
        <a:noFill/>
        <a:ln w="25400">
          <a:noFill/>
        </a:ln>
        <a:effectLst/>
      </c:spPr>
    </c:plotArea>
    <c:legend>
      <c:legendPos val="b"/>
      <c:layout>
        <c:manualLayout>
          <c:xMode val="edge"/>
          <c:yMode val="edge"/>
          <c:x val="0.46155941155503699"/>
          <c:y val="4.3209427881343916E-2"/>
          <c:w val="0.51721023298013702"/>
          <c:h val="6.4103012764430103E-2"/>
        </c:manualLayout>
      </c:layout>
      <c:overlay val="0"/>
      <c:spPr>
        <a:noFill/>
        <a:ln>
          <a:solidFill>
            <a:sysClr val="windowText" lastClr="000000"/>
          </a:solidFill>
        </a:ln>
        <a:effectLst/>
      </c:spPr>
      <c:txPr>
        <a:bodyPr rot="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he-I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1400" b="0" i="0" u="none" strike="noStrike" kern="1200" spc="0" baseline="0">
                <a:solidFill>
                  <a:schemeClr val="tx1">
                    <a:lumMod val="65000"/>
                    <a:lumOff val="35000"/>
                  </a:schemeClr>
                </a:solidFill>
                <a:latin typeface="+mn-lt"/>
                <a:ea typeface="+mn-ea"/>
                <a:cs typeface="+mn-cs"/>
              </a:defRPr>
            </a:pPr>
            <a:r>
              <a:rPr lang="en-US" sz="1800" b="0" i="0" baseline="0">
                <a:effectLst/>
              </a:rPr>
              <a:t>E</a:t>
            </a:r>
            <a:endParaRPr lang="he-IL">
              <a:effectLst/>
            </a:endParaRPr>
          </a:p>
        </c:rich>
      </c:tx>
      <c:layout>
        <c:manualLayout>
          <c:xMode val="edge"/>
          <c:yMode val="edge"/>
          <c:x val="1.7826334208224E-2"/>
          <c:y val="1.3888888888888907E-2"/>
        </c:manualLayout>
      </c:layout>
      <c:overlay val="0"/>
      <c:spPr>
        <a:noFill/>
        <a:ln>
          <a:noFill/>
        </a:ln>
        <a:effectLst/>
      </c:spPr>
    </c:title>
    <c:autoTitleDeleted val="0"/>
    <c:plotArea>
      <c:layout>
        <c:manualLayout>
          <c:layoutTarget val="inner"/>
          <c:xMode val="edge"/>
          <c:yMode val="edge"/>
          <c:x val="1.9873532068654005E-2"/>
          <c:y val="0.17291375291375297"/>
          <c:w val="0.96025293586269178"/>
          <c:h val="0.56088983390705605"/>
        </c:manualLayout>
      </c:layout>
      <c:barChart>
        <c:barDir val="col"/>
        <c:grouping val="clustered"/>
        <c:varyColors val="0"/>
        <c:ser>
          <c:idx val="2"/>
          <c:order val="0"/>
          <c:tx>
            <c:strRef>
              <c:f>graphs!$C$1</c:f>
              <c:strCache>
                <c:ptCount val="1"/>
                <c:pt idx="0">
                  <c:v>TOTAL (N=17,160)</c:v>
                </c:pt>
              </c:strCache>
            </c:strRef>
          </c:tx>
          <c:spPr>
            <a:solidFill>
              <a:schemeClr val="tx2"/>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ja-JP"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graphs!$A$29:$B$31</c:f>
              <c:multiLvlStrCache>
                <c:ptCount val="3"/>
                <c:lvl>
                  <c:pt idx="0">
                    <c:v>Acetylsalicyclic acid</c:v>
                  </c:pt>
                  <c:pt idx="1">
                    <c:v>Clopidogrel</c:v>
                  </c:pt>
                  <c:pt idx="2">
                    <c:v>Vitamin K antagonists</c:v>
                  </c:pt>
                </c:lvl>
                <c:lvl>
                  <c:pt idx="0">
                    <c:v>Anti-Platelets/ Anti-coagulants</c:v>
                  </c:pt>
                </c:lvl>
              </c:multiLvlStrCache>
            </c:multiLvlStrRef>
          </c:cat>
          <c:val>
            <c:numRef>
              <c:f>graphs!$C$29:$C$31</c:f>
              <c:numCache>
                <c:formatCode>0.0%</c:formatCode>
                <c:ptCount val="3"/>
                <c:pt idx="0">
                  <c:v>0.52100000000000002</c:v>
                </c:pt>
                <c:pt idx="1">
                  <c:v>0.10900000000000003</c:v>
                </c:pt>
                <c:pt idx="2">
                  <c:v>4.5000000000000012E-2</c:v>
                </c:pt>
              </c:numCache>
            </c:numRef>
          </c:val>
          <c:extLst xmlns:c16r2="http://schemas.microsoft.com/office/drawing/2015/06/chart">
            <c:ext xmlns:c16="http://schemas.microsoft.com/office/drawing/2014/chart" uri="{C3380CC4-5D6E-409C-BE32-E72D297353CC}">
              <c16:uniqueId val="{00000000-DD2D-440D-810B-9AE826962CD6}"/>
            </c:ext>
          </c:extLst>
        </c:ser>
        <c:ser>
          <c:idx val="0"/>
          <c:order val="1"/>
          <c:tx>
            <c:strRef>
              <c:f>graphs!$D$1</c:f>
              <c:strCache>
                <c:ptCount val="1"/>
                <c:pt idx="0">
                  <c:v>CVD (N=6,971)</c:v>
                </c:pt>
              </c:strCache>
            </c:strRef>
          </c:tx>
          <c:spPr>
            <a:solidFill>
              <a:schemeClr val="accent1"/>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ja-JP"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graphs!$A$29:$B$31</c:f>
              <c:multiLvlStrCache>
                <c:ptCount val="3"/>
                <c:lvl>
                  <c:pt idx="0">
                    <c:v>Acetylsalicyclic acid</c:v>
                  </c:pt>
                  <c:pt idx="1">
                    <c:v>Clopidogrel</c:v>
                  </c:pt>
                  <c:pt idx="2">
                    <c:v>Vitamin K antagonists</c:v>
                  </c:pt>
                </c:lvl>
                <c:lvl>
                  <c:pt idx="0">
                    <c:v>Anti-Platelets/ Anti-coagulants</c:v>
                  </c:pt>
                </c:lvl>
              </c:multiLvlStrCache>
            </c:multiLvlStrRef>
          </c:cat>
          <c:val>
            <c:numRef>
              <c:f>graphs!$D$29:$D$31</c:f>
              <c:numCache>
                <c:formatCode>0.0%</c:formatCode>
                <c:ptCount val="3"/>
                <c:pt idx="0">
                  <c:v>0.71100000000000019</c:v>
                </c:pt>
                <c:pt idx="1">
                  <c:v>0.24700000000000005</c:v>
                </c:pt>
                <c:pt idx="2">
                  <c:v>6.1000000000000013E-2</c:v>
                </c:pt>
              </c:numCache>
            </c:numRef>
          </c:val>
          <c:extLst xmlns:c16r2="http://schemas.microsoft.com/office/drawing/2015/06/chart">
            <c:ext xmlns:c16="http://schemas.microsoft.com/office/drawing/2014/chart" uri="{C3380CC4-5D6E-409C-BE32-E72D297353CC}">
              <c16:uniqueId val="{00000001-DD2D-440D-810B-9AE826962CD6}"/>
            </c:ext>
          </c:extLst>
        </c:ser>
        <c:ser>
          <c:idx val="1"/>
          <c:order val="2"/>
          <c:tx>
            <c:strRef>
              <c:f>graphs!$E$1</c:f>
              <c:strCache>
                <c:ptCount val="1"/>
                <c:pt idx="0">
                  <c:v>MRF (N=10,189)</c:v>
                </c:pt>
              </c:strCache>
            </c:strRef>
          </c:tx>
          <c:spPr>
            <a:solidFill>
              <a:schemeClr val="accent5">
                <a:lumMod val="20000"/>
                <a:lumOff val="80000"/>
              </a:scheme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ja-JP"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graphs!$A$29:$B$31</c:f>
              <c:multiLvlStrCache>
                <c:ptCount val="3"/>
                <c:lvl>
                  <c:pt idx="0">
                    <c:v>Acetylsalicyclic acid</c:v>
                  </c:pt>
                  <c:pt idx="1">
                    <c:v>Clopidogrel</c:v>
                  </c:pt>
                  <c:pt idx="2">
                    <c:v>Vitamin K antagonists</c:v>
                  </c:pt>
                </c:lvl>
                <c:lvl>
                  <c:pt idx="0">
                    <c:v>Anti-Platelets/ Anti-coagulants</c:v>
                  </c:pt>
                </c:lvl>
              </c:multiLvlStrCache>
            </c:multiLvlStrRef>
          </c:cat>
          <c:val>
            <c:numRef>
              <c:f>graphs!$E$29:$E$31</c:f>
              <c:numCache>
                <c:formatCode>0.0%</c:formatCode>
                <c:ptCount val="3"/>
                <c:pt idx="0">
                  <c:v>0.39100000000000013</c:v>
                </c:pt>
                <c:pt idx="1">
                  <c:v>1.4999999999999998E-2</c:v>
                </c:pt>
                <c:pt idx="2">
                  <c:v>3.500000000000001E-2</c:v>
                </c:pt>
              </c:numCache>
            </c:numRef>
          </c:val>
          <c:extLst xmlns:c16r2="http://schemas.microsoft.com/office/drawing/2015/06/chart">
            <c:ext xmlns:c16="http://schemas.microsoft.com/office/drawing/2014/chart" uri="{C3380CC4-5D6E-409C-BE32-E72D297353CC}">
              <c16:uniqueId val="{00000002-DD2D-440D-810B-9AE826962CD6}"/>
            </c:ext>
          </c:extLst>
        </c:ser>
        <c:dLbls>
          <c:showLegendKey val="0"/>
          <c:showVal val="0"/>
          <c:showCatName val="0"/>
          <c:showSerName val="0"/>
          <c:showPercent val="0"/>
          <c:showBubbleSize val="0"/>
        </c:dLbls>
        <c:gapWidth val="84"/>
        <c:axId val="36943360"/>
        <c:axId val="36944896"/>
      </c:barChart>
      <c:catAx>
        <c:axId val="369433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rtl="0">
              <a:defRPr lang="ja-JP" sz="900" b="0" i="0" u="none" strike="noStrike" kern="1200" baseline="0">
                <a:solidFill>
                  <a:schemeClr val="tx1">
                    <a:lumMod val="65000"/>
                    <a:lumOff val="35000"/>
                  </a:schemeClr>
                </a:solidFill>
                <a:latin typeface="+mn-lt"/>
                <a:ea typeface="+mn-ea"/>
                <a:cs typeface="+mn-cs"/>
              </a:defRPr>
            </a:pPr>
            <a:endParaRPr lang="he-IL"/>
          </a:p>
        </c:txPr>
        <c:crossAx val="36944896"/>
        <c:crosses val="autoZero"/>
        <c:auto val="1"/>
        <c:lblAlgn val="ctr"/>
        <c:lblOffset val="100"/>
        <c:noMultiLvlLbl val="0"/>
      </c:catAx>
      <c:valAx>
        <c:axId val="36944896"/>
        <c:scaling>
          <c:orientation val="minMax"/>
        </c:scaling>
        <c:delete val="0"/>
        <c:axPos val="l"/>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he-IL"/>
          </a:p>
        </c:txPr>
        <c:crossAx val="36943360"/>
        <c:crosses val="autoZero"/>
        <c:crossBetween val="between"/>
      </c:valAx>
      <c:spPr>
        <a:noFill/>
        <a:ln w="25400">
          <a:noFill/>
        </a:ln>
        <a:effectLst/>
      </c:spPr>
    </c:plotArea>
    <c:legend>
      <c:legendPos val="b"/>
      <c:layout>
        <c:manualLayout>
          <c:xMode val="edge"/>
          <c:yMode val="edge"/>
          <c:x val="0.46540780380679497"/>
          <c:y val="4.0178102737157773E-2"/>
          <c:w val="0.52123208549164557"/>
          <c:h val="6.6964754405699295E-2"/>
        </c:manualLayout>
      </c:layout>
      <c:overlay val="0"/>
      <c:spPr>
        <a:noFill/>
        <a:ln>
          <a:solidFill>
            <a:sysClr val="windowText" lastClr="000000"/>
          </a:solidFill>
        </a:ln>
        <a:effectLst/>
      </c:spPr>
      <c:txPr>
        <a:bodyPr rot="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he-I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1400" b="0" i="0" u="none" strike="noStrike" kern="1200" spc="0" baseline="0">
                <a:solidFill>
                  <a:schemeClr val="tx1">
                    <a:lumMod val="65000"/>
                    <a:lumOff val="35000"/>
                  </a:schemeClr>
                </a:solidFill>
                <a:latin typeface="+mn-lt"/>
                <a:ea typeface="+mn-ea"/>
                <a:cs typeface="+mn-cs"/>
              </a:defRPr>
            </a:pPr>
            <a:r>
              <a:rPr lang="en-US" sz="1800" b="0" i="0" baseline="0">
                <a:effectLst/>
              </a:rPr>
              <a:t>F</a:t>
            </a:r>
            <a:endParaRPr lang="he-IL">
              <a:effectLst/>
            </a:endParaRPr>
          </a:p>
        </c:rich>
      </c:tx>
      <c:layout>
        <c:manualLayout>
          <c:xMode val="edge"/>
          <c:yMode val="edge"/>
          <c:x val="1.7826334208224E-2"/>
          <c:y val="1.3888888888888907E-2"/>
        </c:manualLayout>
      </c:layout>
      <c:overlay val="0"/>
      <c:spPr>
        <a:noFill/>
        <a:ln>
          <a:noFill/>
        </a:ln>
        <a:effectLst/>
      </c:spPr>
    </c:title>
    <c:autoTitleDeleted val="0"/>
    <c:plotArea>
      <c:layout>
        <c:manualLayout>
          <c:layoutTarget val="inner"/>
          <c:xMode val="edge"/>
          <c:yMode val="edge"/>
          <c:x val="1.9873532068654005E-2"/>
          <c:y val="0.17291375291375297"/>
          <c:w val="0.96025293586269178"/>
          <c:h val="0.56088983390705605"/>
        </c:manualLayout>
      </c:layout>
      <c:barChart>
        <c:barDir val="col"/>
        <c:grouping val="clustered"/>
        <c:varyColors val="0"/>
        <c:ser>
          <c:idx val="2"/>
          <c:order val="0"/>
          <c:tx>
            <c:strRef>
              <c:f>graphs!$C$1</c:f>
              <c:strCache>
                <c:ptCount val="1"/>
                <c:pt idx="0">
                  <c:v>TOTAL (N=17,160)</c:v>
                </c:pt>
              </c:strCache>
            </c:strRef>
          </c:tx>
          <c:spPr>
            <a:solidFill>
              <a:schemeClr val="tx2"/>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ja-JP"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graphs!$A$32:$B$35</c:f>
              <c:multiLvlStrCache>
                <c:ptCount val="4"/>
                <c:lvl>
                  <c:pt idx="0">
                    <c:v>Statins</c:v>
                  </c:pt>
                  <c:pt idx="1">
                    <c:v>Fibrates</c:v>
                  </c:pt>
                  <c:pt idx="2">
                    <c:v>Ezetimibe</c:v>
                  </c:pt>
                  <c:pt idx="3">
                    <c:v>Other</c:v>
                  </c:pt>
                </c:lvl>
                <c:lvl>
                  <c:pt idx="0">
                    <c:v>Lipid-lowering therapy</c:v>
                  </c:pt>
                </c:lvl>
              </c:multiLvlStrCache>
            </c:multiLvlStrRef>
          </c:cat>
          <c:val>
            <c:numRef>
              <c:f>graphs!$C$32:$C$35</c:f>
              <c:numCache>
                <c:formatCode>0.0%</c:formatCode>
                <c:ptCount val="4"/>
                <c:pt idx="0">
                  <c:v>0.71300000000000019</c:v>
                </c:pt>
                <c:pt idx="1">
                  <c:v>8.3000000000000032E-2</c:v>
                </c:pt>
                <c:pt idx="2">
                  <c:v>4.5999999999999999E-2</c:v>
                </c:pt>
                <c:pt idx="3">
                  <c:v>7.3999999999999996E-2</c:v>
                </c:pt>
              </c:numCache>
            </c:numRef>
          </c:val>
          <c:extLst xmlns:c16r2="http://schemas.microsoft.com/office/drawing/2015/06/chart">
            <c:ext xmlns:c16="http://schemas.microsoft.com/office/drawing/2014/chart" uri="{C3380CC4-5D6E-409C-BE32-E72D297353CC}">
              <c16:uniqueId val="{00000000-96AB-4C58-9936-A6DC749C97C2}"/>
            </c:ext>
          </c:extLst>
        </c:ser>
        <c:ser>
          <c:idx val="0"/>
          <c:order val="1"/>
          <c:tx>
            <c:strRef>
              <c:f>graphs!$D$1</c:f>
              <c:strCache>
                <c:ptCount val="1"/>
                <c:pt idx="0">
                  <c:v>CVD (N=6,971)</c:v>
                </c:pt>
              </c:strCache>
            </c:strRef>
          </c:tx>
          <c:spPr>
            <a:solidFill>
              <a:schemeClr val="accent1"/>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ja-JP"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graphs!$A$32:$B$35</c:f>
              <c:multiLvlStrCache>
                <c:ptCount val="4"/>
                <c:lvl>
                  <c:pt idx="0">
                    <c:v>Statins</c:v>
                  </c:pt>
                  <c:pt idx="1">
                    <c:v>Fibrates</c:v>
                  </c:pt>
                  <c:pt idx="2">
                    <c:v>Ezetimibe</c:v>
                  </c:pt>
                  <c:pt idx="3">
                    <c:v>Other</c:v>
                  </c:pt>
                </c:lvl>
                <c:lvl>
                  <c:pt idx="0">
                    <c:v>Lipid-lowering therapy</c:v>
                  </c:pt>
                </c:lvl>
              </c:multiLvlStrCache>
            </c:multiLvlStrRef>
          </c:cat>
          <c:val>
            <c:numRef>
              <c:f>graphs!$D$32:$D$35</c:f>
              <c:numCache>
                <c:formatCode>0.0%</c:formatCode>
                <c:ptCount val="4"/>
                <c:pt idx="0">
                  <c:v>0.82199999999999995</c:v>
                </c:pt>
                <c:pt idx="1">
                  <c:v>8.3000000000000032E-2</c:v>
                </c:pt>
                <c:pt idx="2">
                  <c:v>6.9000000000000034E-2</c:v>
                </c:pt>
                <c:pt idx="3">
                  <c:v>8.9000000000000135E-2</c:v>
                </c:pt>
              </c:numCache>
            </c:numRef>
          </c:val>
          <c:extLst xmlns:c16r2="http://schemas.microsoft.com/office/drawing/2015/06/chart">
            <c:ext xmlns:c16="http://schemas.microsoft.com/office/drawing/2014/chart" uri="{C3380CC4-5D6E-409C-BE32-E72D297353CC}">
              <c16:uniqueId val="{00000001-96AB-4C58-9936-A6DC749C97C2}"/>
            </c:ext>
          </c:extLst>
        </c:ser>
        <c:ser>
          <c:idx val="1"/>
          <c:order val="2"/>
          <c:tx>
            <c:strRef>
              <c:f>graphs!$E$1</c:f>
              <c:strCache>
                <c:ptCount val="1"/>
                <c:pt idx="0">
                  <c:v>MRF (N=10,189)</c:v>
                </c:pt>
              </c:strCache>
            </c:strRef>
          </c:tx>
          <c:spPr>
            <a:solidFill>
              <a:schemeClr val="accent5">
                <a:lumMod val="20000"/>
                <a:lumOff val="80000"/>
              </a:scheme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ja-JP"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graphs!$A$32:$B$35</c:f>
              <c:multiLvlStrCache>
                <c:ptCount val="4"/>
                <c:lvl>
                  <c:pt idx="0">
                    <c:v>Statins</c:v>
                  </c:pt>
                  <c:pt idx="1">
                    <c:v>Fibrates</c:v>
                  </c:pt>
                  <c:pt idx="2">
                    <c:v>Ezetimibe</c:v>
                  </c:pt>
                  <c:pt idx="3">
                    <c:v>Other</c:v>
                  </c:pt>
                </c:lvl>
                <c:lvl>
                  <c:pt idx="0">
                    <c:v>Lipid-lowering therapy</c:v>
                  </c:pt>
                </c:lvl>
              </c:multiLvlStrCache>
            </c:multiLvlStrRef>
          </c:cat>
          <c:val>
            <c:numRef>
              <c:f>graphs!$E$32:$E$35</c:f>
              <c:numCache>
                <c:formatCode>0.0%</c:formatCode>
                <c:ptCount val="4"/>
                <c:pt idx="0">
                  <c:v>0.63700000000000023</c:v>
                </c:pt>
                <c:pt idx="1">
                  <c:v>8.4000000000000047E-2</c:v>
                </c:pt>
                <c:pt idx="2">
                  <c:v>3.100000000000001E-2</c:v>
                </c:pt>
                <c:pt idx="3">
                  <c:v>6.3E-2</c:v>
                </c:pt>
              </c:numCache>
            </c:numRef>
          </c:val>
          <c:extLst xmlns:c16r2="http://schemas.microsoft.com/office/drawing/2015/06/chart">
            <c:ext xmlns:c16="http://schemas.microsoft.com/office/drawing/2014/chart" uri="{C3380CC4-5D6E-409C-BE32-E72D297353CC}">
              <c16:uniqueId val="{00000002-96AB-4C58-9936-A6DC749C97C2}"/>
            </c:ext>
          </c:extLst>
        </c:ser>
        <c:dLbls>
          <c:showLegendKey val="0"/>
          <c:showVal val="0"/>
          <c:showCatName val="0"/>
          <c:showSerName val="0"/>
          <c:showPercent val="0"/>
          <c:showBubbleSize val="0"/>
        </c:dLbls>
        <c:gapWidth val="84"/>
        <c:axId val="37972992"/>
        <c:axId val="37978880"/>
      </c:barChart>
      <c:catAx>
        <c:axId val="379729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rtl="0">
              <a:defRPr lang="ja-JP" sz="900" b="0" i="0" u="none" strike="noStrike" kern="1200" baseline="0">
                <a:solidFill>
                  <a:schemeClr val="tx1">
                    <a:lumMod val="65000"/>
                    <a:lumOff val="35000"/>
                  </a:schemeClr>
                </a:solidFill>
                <a:latin typeface="+mn-lt"/>
                <a:ea typeface="+mn-ea"/>
                <a:cs typeface="+mn-cs"/>
              </a:defRPr>
            </a:pPr>
            <a:endParaRPr lang="he-IL"/>
          </a:p>
        </c:txPr>
        <c:crossAx val="37978880"/>
        <c:crosses val="autoZero"/>
        <c:auto val="1"/>
        <c:lblAlgn val="ctr"/>
        <c:lblOffset val="100"/>
        <c:noMultiLvlLbl val="0"/>
      </c:catAx>
      <c:valAx>
        <c:axId val="37978880"/>
        <c:scaling>
          <c:orientation val="minMax"/>
        </c:scaling>
        <c:delete val="0"/>
        <c:axPos val="l"/>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he-IL"/>
          </a:p>
        </c:txPr>
        <c:crossAx val="37972992"/>
        <c:crosses val="autoZero"/>
        <c:crossBetween val="between"/>
      </c:valAx>
      <c:spPr>
        <a:noFill/>
        <a:ln w="25400">
          <a:noFill/>
        </a:ln>
        <a:effectLst/>
      </c:spPr>
    </c:plotArea>
    <c:legend>
      <c:legendPos val="b"/>
      <c:layout>
        <c:manualLayout>
          <c:xMode val="edge"/>
          <c:yMode val="edge"/>
          <c:x val="0.38037051292017421"/>
          <c:y val="6.0840651173341823E-2"/>
          <c:w val="0.60525926614097425"/>
          <c:h val="8.4648737089682027E-2"/>
        </c:manualLayout>
      </c:layout>
      <c:overlay val="0"/>
      <c:spPr>
        <a:noFill/>
        <a:ln>
          <a:solidFill>
            <a:sysClr val="windowText" lastClr="000000"/>
          </a:solidFill>
        </a:ln>
        <a:effectLst/>
      </c:spPr>
      <c:txPr>
        <a:bodyPr rot="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he-IL"/>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7144</Words>
  <Characters>35725</Characters>
  <Application>Microsoft Office Word</Application>
  <DocSecurity>0</DocSecurity>
  <Lines>297</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ספרונג רבקה - SPRUNG RIVKA</dc:creator>
  <cp:lastModifiedBy>ספרונג רבקה - SPRUNG RIVKA</cp:lastModifiedBy>
  <cp:revision>2</cp:revision>
  <dcterms:created xsi:type="dcterms:W3CDTF">2017-12-18T08:23:00Z</dcterms:created>
  <dcterms:modified xsi:type="dcterms:W3CDTF">2017-12-24T07:06:00Z</dcterms:modified>
</cp:coreProperties>
</file>