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959FB" w14:textId="4807F401" w:rsidR="00132AF1" w:rsidRDefault="00BA4F1A" w:rsidP="00631474">
      <w:pPr>
        <w:spacing w:line="480" w:lineRule="auto"/>
        <w:jc w:val="center"/>
        <w:rPr>
          <w:b/>
          <w:sz w:val="28"/>
          <w:szCs w:val="28"/>
        </w:rPr>
      </w:pPr>
      <w:bookmarkStart w:id="0" w:name="_GoBack"/>
      <w:bookmarkEnd w:id="0"/>
      <w:r>
        <w:rPr>
          <w:b/>
          <w:sz w:val="28"/>
          <w:szCs w:val="28"/>
        </w:rPr>
        <w:t>PROTEOMIC PROFILING</w:t>
      </w:r>
      <w:r w:rsidR="00090514">
        <w:rPr>
          <w:b/>
          <w:sz w:val="28"/>
          <w:szCs w:val="28"/>
        </w:rPr>
        <w:t xml:space="preserve"> </w:t>
      </w:r>
      <w:r w:rsidR="00021C64">
        <w:rPr>
          <w:b/>
          <w:sz w:val="28"/>
          <w:szCs w:val="28"/>
        </w:rPr>
        <w:t xml:space="preserve">OF RECTAL CANCER </w:t>
      </w:r>
      <w:r w:rsidR="00090514">
        <w:rPr>
          <w:b/>
          <w:sz w:val="28"/>
          <w:szCs w:val="28"/>
        </w:rPr>
        <w:t xml:space="preserve">REVEALS </w:t>
      </w:r>
      <w:r w:rsidR="000A5371">
        <w:rPr>
          <w:b/>
          <w:sz w:val="28"/>
          <w:szCs w:val="28"/>
        </w:rPr>
        <w:t>ACID</w:t>
      </w:r>
      <w:r w:rsidR="00D44FCD">
        <w:rPr>
          <w:b/>
          <w:sz w:val="28"/>
          <w:szCs w:val="28"/>
        </w:rPr>
        <w:t xml:space="preserve"> CERAMIDASE </w:t>
      </w:r>
      <w:r w:rsidR="00021C64">
        <w:rPr>
          <w:b/>
          <w:sz w:val="28"/>
          <w:szCs w:val="28"/>
        </w:rPr>
        <w:t>IS IMPLICATED IN RADIATION RES</w:t>
      </w:r>
      <w:r w:rsidR="008171D9">
        <w:rPr>
          <w:b/>
          <w:sz w:val="28"/>
          <w:szCs w:val="28"/>
        </w:rPr>
        <w:t>PONSE</w:t>
      </w:r>
    </w:p>
    <w:p w14:paraId="546DCD12" w14:textId="77777777" w:rsidR="003227EF" w:rsidRPr="00EE51D0" w:rsidRDefault="003227EF" w:rsidP="00210E25">
      <w:pPr>
        <w:spacing w:line="480" w:lineRule="auto"/>
        <w:rPr>
          <w:b/>
          <w:sz w:val="28"/>
          <w:szCs w:val="28"/>
        </w:rPr>
      </w:pPr>
    </w:p>
    <w:p w14:paraId="1361120B" w14:textId="77777777" w:rsidR="00132AF1" w:rsidRDefault="00EE51D0" w:rsidP="00631474">
      <w:pPr>
        <w:spacing w:line="480" w:lineRule="auto"/>
        <w:jc w:val="center"/>
        <w:rPr>
          <w:vertAlign w:val="superscript"/>
        </w:rPr>
      </w:pPr>
      <w:r>
        <w:t>D</w:t>
      </w:r>
      <w:r w:rsidR="00C86C2D">
        <w:t>L</w:t>
      </w:r>
      <w:r>
        <w:t xml:space="preserve"> </w:t>
      </w:r>
      <w:r w:rsidRPr="00FD5D90">
        <w:t>Bowden</w:t>
      </w:r>
      <w:r w:rsidR="00FD5D90">
        <w:rPr>
          <w:vertAlign w:val="superscript"/>
        </w:rPr>
        <w:t>1(*)</w:t>
      </w:r>
      <w:r>
        <w:t>, P</w:t>
      </w:r>
      <w:r w:rsidR="00C86C2D">
        <w:t>A</w:t>
      </w:r>
      <w:r>
        <w:t xml:space="preserve"> Sutton</w:t>
      </w:r>
      <w:r w:rsidR="003B520F">
        <w:rPr>
          <w:vertAlign w:val="superscript"/>
        </w:rPr>
        <w:t>1</w:t>
      </w:r>
      <w:r w:rsidR="00FD5D90">
        <w:rPr>
          <w:vertAlign w:val="superscript"/>
        </w:rPr>
        <w:t>(*)</w:t>
      </w:r>
      <w:r>
        <w:t>, M</w:t>
      </w:r>
      <w:r w:rsidR="0058718C">
        <w:t>A</w:t>
      </w:r>
      <w:r>
        <w:t xml:space="preserve"> Wall</w:t>
      </w:r>
      <w:r w:rsidR="003B520F">
        <w:rPr>
          <w:vertAlign w:val="superscript"/>
        </w:rPr>
        <w:t>2</w:t>
      </w:r>
      <w:r>
        <w:t>, P</w:t>
      </w:r>
      <w:r w:rsidR="002F695D">
        <w:t>V</w:t>
      </w:r>
      <w:r>
        <w:t xml:space="preserve"> Jithesh</w:t>
      </w:r>
      <w:r w:rsidR="000F6E3E">
        <w:rPr>
          <w:vertAlign w:val="superscript"/>
        </w:rPr>
        <w:t>4</w:t>
      </w:r>
      <w:r>
        <w:t xml:space="preserve">, </w:t>
      </w:r>
      <w:r w:rsidR="00C86C2D">
        <w:t xml:space="preserve">RE </w:t>
      </w:r>
      <w:r w:rsidR="00C86C2D" w:rsidRPr="00C86C2D">
        <w:t>Jenkins</w:t>
      </w:r>
      <w:r w:rsidR="00C86C2D">
        <w:rPr>
          <w:vertAlign w:val="superscript"/>
        </w:rPr>
        <w:t>1</w:t>
      </w:r>
      <w:r w:rsidR="00C86C2D">
        <w:t xml:space="preserve">, </w:t>
      </w:r>
      <w:r w:rsidRPr="00C86C2D">
        <w:t>D</w:t>
      </w:r>
      <w:r w:rsidR="00C86C2D">
        <w:t>H</w:t>
      </w:r>
      <w:r>
        <w:t xml:space="preserve"> Palmer</w:t>
      </w:r>
      <w:r w:rsidR="003B520F">
        <w:rPr>
          <w:vertAlign w:val="superscript"/>
        </w:rPr>
        <w:t>3</w:t>
      </w:r>
      <w:r>
        <w:t>, C</w:t>
      </w:r>
      <w:r w:rsidR="00C86C2D">
        <w:t>E</w:t>
      </w:r>
      <w:r>
        <w:t xml:space="preserve"> Goldring</w:t>
      </w:r>
      <w:r w:rsidR="003B520F">
        <w:rPr>
          <w:vertAlign w:val="superscript"/>
        </w:rPr>
        <w:t>1</w:t>
      </w:r>
      <w:r w:rsidR="003B520F">
        <w:t xml:space="preserve">, </w:t>
      </w:r>
      <w:r w:rsidR="0096302F">
        <w:t>J</w:t>
      </w:r>
      <w:r w:rsidR="004E350A">
        <w:t>L</w:t>
      </w:r>
      <w:r w:rsidR="0096302F">
        <w:t xml:space="preserve"> Parsons</w:t>
      </w:r>
      <w:r w:rsidR="003B520F">
        <w:rPr>
          <w:vertAlign w:val="superscript"/>
        </w:rPr>
        <w:t>3</w:t>
      </w:r>
      <w:r>
        <w:t xml:space="preserve">, </w:t>
      </w:r>
      <w:r w:rsidR="00496B22">
        <w:t>BK Park</w:t>
      </w:r>
      <w:r w:rsidR="00CA4CCB">
        <w:rPr>
          <w:vertAlign w:val="superscript"/>
        </w:rPr>
        <w:t>1</w:t>
      </w:r>
      <w:r w:rsidR="00CA4CCB">
        <w:t xml:space="preserve">, </w:t>
      </w:r>
      <w:r w:rsidR="00334C75">
        <w:t xml:space="preserve">NR </w:t>
      </w:r>
      <w:r w:rsidR="00334C75" w:rsidRPr="00334C75">
        <w:t>Kitteringham</w:t>
      </w:r>
      <w:r w:rsidR="00334C75">
        <w:rPr>
          <w:vertAlign w:val="superscript"/>
        </w:rPr>
        <w:t>1</w:t>
      </w:r>
      <w:r w:rsidR="00334C75">
        <w:t xml:space="preserve">, </w:t>
      </w:r>
      <w:r w:rsidRPr="00334C75">
        <w:t>D</w:t>
      </w:r>
      <w:r>
        <w:t xml:space="preserve"> Vimalachandran</w:t>
      </w:r>
      <w:r w:rsidR="003B520F">
        <w:rPr>
          <w:vertAlign w:val="superscript"/>
        </w:rPr>
        <w:t>2</w:t>
      </w:r>
      <w:r w:rsidR="00CA4CCB">
        <w:rPr>
          <w:vertAlign w:val="superscript"/>
        </w:rPr>
        <w:t>,3</w:t>
      </w:r>
    </w:p>
    <w:p w14:paraId="0DFDF60F" w14:textId="77777777" w:rsidR="00091A8E" w:rsidRPr="000F6E3E" w:rsidRDefault="00091A8E" w:rsidP="00631474">
      <w:pPr>
        <w:spacing w:line="480" w:lineRule="auto"/>
        <w:jc w:val="center"/>
        <w:rPr>
          <w:vertAlign w:val="superscript"/>
        </w:rPr>
      </w:pPr>
    </w:p>
    <w:p w14:paraId="62D54A8E" w14:textId="77777777" w:rsidR="003B520F" w:rsidRPr="003B520F" w:rsidRDefault="003B520F" w:rsidP="00631474">
      <w:pPr>
        <w:spacing w:after="0" w:line="480" w:lineRule="auto"/>
        <w:jc w:val="center"/>
        <w:rPr>
          <w:sz w:val="18"/>
          <w:szCs w:val="18"/>
        </w:rPr>
      </w:pPr>
      <w:r w:rsidRPr="003B520F">
        <w:rPr>
          <w:sz w:val="18"/>
          <w:szCs w:val="18"/>
        </w:rPr>
        <w:t>1</w:t>
      </w:r>
      <w:r w:rsidR="000F6E3E">
        <w:rPr>
          <w:sz w:val="18"/>
          <w:szCs w:val="18"/>
        </w:rPr>
        <w:t xml:space="preserve">) </w:t>
      </w:r>
      <w:r w:rsidRPr="003B520F">
        <w:rPr>
          <w:sz w:val="18"/>
          <w:szCs w:val="18"/>
        </w:rPr>
        <w:t xml:space="preserve"> </w:t>
      </w:r>
      <w:bookmarkStart w:id="1" w:name="_Hlk496471601"/>
      <w:bookmarkStart w:id="2" w:name="_Hlk492809360"/>
      <w:r w:rsidRPr="003B520F">
        <w:rPr>
          <w:sz w:val="18"/>
          <w:szCs w:val="18"/>
        </w:rPr>
        <w:t>The University of Liverpool, Department of Molecular and Clinical Pharmacology, Ashton Street, Liverpool, L69 3GE</w:t>
      </w:r>
      <w:bookmarkEnd w:id="1"/>
    </w:p>
    <w:bookmarkEnd w:id="2"/>
    <w:p w14:paraId="2B9A10C4" w14:textId="77777777" w:rsidR="003B520F" w:rsidRPr="003B520F" w:rsidRDefault="003B520F" w:rsidP="00631474">
      <w:pPr>
        <w:spacing w:after="0" w:line="480" w:lineRule="auto"/>
        <w:jc w:val="center"/>
        <w:rPr>
          <w:sz w:val="18"/>
          <w:szCs w:val="18"/>
        </w:rPr>
      </w:pPr>
      <w:r w:rsidRPr="003B520F">
        <w:rPr>
          <w:sz w:val="18"/>
          <w:szCs w:val="18"/>
        </w:rPr>
        <w:t>2</w:t>
      </w:r>
      <w:r w:rsidR="000F6E3E">
        <w:rPr>
          <w:sz w:val="18"/>
          <w:szCs w:val="18"/>
        </w:rPr>
        <w:t>)</w:t>
      </w:r>
      <w:r w:rsidRPr="003B520F">
        <w:rPr>
          <w:sz w:val="18"/>
          <w:szCs w:val="18"/>
        </w:rPr>
        <w:t xml:space="preserve"> </w:t>
      </w:r>
      <w:bookmarkStart w:id="3" w:name="_Hlk479837298"/>
      <w:r w:rsidRPr="003B520F">
        <w:rPr>
          <w:sz w:val="18"/>
          <w:szCs w:val="18"/>
        </w:rPr>
        <w:t>The Countess of Chester Hospital, Liverpool Road, Chester, CH2 1UL</w:t>
      </w:r>
      <w:bookmarkEnd w:id="3"/>
    </w:p>
    <w:p w14:paraId="5081E740" w14:textId="77777777" w:rsidR="003B520F" w:rsidRDefault="003B520F" w:rsidP="00631474">
      <w:pPr>
        <w:spacing w:after="0" w:line="480" w:lineRule="auto"/>
        <w:jc w:val="center"/>
        <w:rPr>
          <w:sz w:val="18"/>
          <w:szCs w:val="18"/>
        </w:rPr>
      </w:pPr>
      <w:r w:rsidRPr="003B520F">
        <w:rPr>
          <w:sz w:val="18"/>
          <w:szCs w:val="18"/>
        </w:rPr>
        <w:t>3</w:t>
      </w:r>
      <w:r w:rsidR="000F6E3E">
        <w:rPr>
          <w:sz w:val="18"/>
          <w:szCs w:val="18"/>
        </w:rPr>
        <w:t>)</w:t>
      </w:r>
      <w:r w:rsidRPr="003B520F">
        <w:rPr>
          <w:sz w:val="18"/>
          <w:szCs w:val="18"/>
        </w:rPr>
        <w:t xml:space="preserve"> The University of Liverpool, Department of Molecular and Clinical Cancer Medicine, London Road, Liverpool, L3 9TA</w:t>
      </w:r>
    </w:p>
    <w:p w14:paraId="229156FF" w14:textId="77777777" w:rsidR="000F6E3E" w:rsidRPr="003B520F" w:rsidRDefault="000F6E3E" w:rsidP="00631474">
      <w:pPr>
        <w:spacing w:after="0" w:line="480" w:lineRule="auto"/>
        <w:jc w:val="center"/>
        <w:rPr>
          <w:sz w:val="18"/>
          <w:szCs w:val="18"/>
        </w:rPr>
      </w:pPr>
      <w:r>
        <w:rPr>
          <w:sz w:val="18"/>
          <w:szCs w:val="18"/>
        </w:rPr>
        <w:t>4) Sidra Medical and Research Centre, PO Box 26999, Doha, Qatar</w:t>
      </w:r>
    </w:p>
    <w:p w14:paraId="3CC338D2" w14:textId="77777777" w:rsidR="00091A8E" w:rsidRDefault="00091A8E" w:rsidP="00631474">
      <w:pPr>
        <w:spacing w:line="480" w:lineRule="auto"/>
        <w:rPr>
          <w:b/>
          <w:sz w:val="18"/>
          <w:szCs w:val="18"/>
          <w:vertAlign w:val="superscript"/>
        </w:rPr>
      </w:pPr>
    </w:p>
    <w:p w14:paraId="2867B55E" w14:textId="77777777" w:rsidR="007468FA" w:rsidRPr="00D3553B" w:rsidRDefault="00FD5D90" w:rsidP="00631474">
      <w:pPr>
        <w:spacing w:line="480" w:lineRule="auto"/>
        <w:rPr>
          <w:b/>
          <w:sz w:val="24"/>
          <w:szCs w:val="18"/>
          <w:vertAlign w:val="superscript"/>
        </w:rPr>
      </w:pPr>
      <w:r w:rsidRPr="00D3553B">
        <w:rPr>
          <w:b/>
          <w:sz w:val="24"/>
          <w:szCs w:val="18"/>
          <w:vertAlign w:val="superscript"/>
        </w:rPr>
        <w:t>*=Joint 1st author</w:t>
      </w:r>
    </w:p>
    <w:p w14:paraId="2DA5B243" w14:textId="77777777" w:rsidR="00A5562D" w:rsidRDefault="00A5562D" w:rsidP="00631474">
      <w:pPr>
        <w:spacing w:line="480" w:lineRule="auto"/>
        <w:rPr>
          <w:b/>
          <w:sz w:val="18"/>
          <w:szCs w:val="18"/>
          <w:vertAlign w:val="superscript"/>
        </w:rPr>
      </w:pPr>
    </w:p>
    <w:p w14:paraId="48B48962" w14:textId="77777777" w:rsidR="00091A8E" w:rsidRPr="000D6276" w:rsidRDefault="00091A8E" w:rsidP="00631474">
      <w:pPr>
        <w:spacing w:line="480" w:lineRule="auto"/>
        <w:rPr>
          <w:b/>
          <w:sz w:val="18"/>
          <w:szCs w:val="18"/>
          <w:vertAlign w:val="superscript"/>
        </w:rPr>
      </w:pPr>
    </w:p>
    <w:p w14:paraId="510754A9" w14:textId="33452B29" w:rsidR="00A5562D" w:rsidRPr="00A5562D" w:rsidRDefault="003C30D0" w:rsidP="00631474">
      <w:pPr>
        <w:spacing w:after="0" w:line="480" w:lineRule="auto"/>
        <w:rPr>
          <w:sz w:val="20"/>
          <w:szCs w:val="20"/>
        </w:rPr>
      </w:pPr>
      <w:r w:rsidRPr="003C30D0">
        <w:rPr>
          <w:sz w:val="20"/>
          <w:szCs w:val="20"/>
        </w:rPr>
        <w:t xml:space="preserve">Corresponding </w:t>
      </w:r>
      <w:r w:rsidRPr="00A5562D">
        <w:rPr>
          <w:sz w:val="20"/>
          <w:szCs w:val="20"/>
        </w:rPr>
        <w:t>author</w:t>
      </w:r>
      <w:r w:rsidR="00A5562D" w:rsidRPr="00A5562D">
        <w:rPr>
          <w:sz w:val="20"/>
          <w:szCs w:val="20"/>
        </w:rPr>
        <w:tab/>
      </w:r>
      <w:r w:rsidR="009301A4">
        <w:rPr>
          <w:sz w:val="20"/>
          <w:szCs w:val="20"/>
        </w:rPr>
        <w:t>Mr D Bowden</w:t>
      </w:r>
    </w:p>
    <w:p w14:paraId="2147ABFE" w14:textId="0EE31468" w:rsidR="000D6276" w:rsidRPr="00A5562D" w:rsidRDefault="009301A4" w:rsidP="00631474">
      <w:pPr>
        <w:spacing w:after="0" w:line="480" w:lineRule="auto"/>
        <w:ind w:left="1440" w:firstLine="720"/>
        <w:rPr>
          <w:sz w:val="20"/>
          <w:szCs w:val="20"/>
        </w:rPr>
      </w:pPr>
      <w:r>
        <w:rPr>
          <w:sz w:val="20"/>
          <w:szCs w:val="20"/>
        </w:rPr>
        <w:t>dbowden</w:t>
      </w:r>
      <w:r w:rsidR="00A5562D" w:rsidRPr="00A5562D">
        <w:rPr>
          <w:sz w:val="20"/>
          <w:szCs w:val="20"/>
        </w:rPr>
        <w:t>@nhs.net</w:t>
      </w:r>
    </w:p>
    <w:p w14:paraId="559DE585" w14:textId="07F259F0" w:rsidR="00A5562D" w:rsidRDefault="00F033D0" w:rsidP="00D00648">
      <w:pPr>
        <w:spacing w:after="0" w:line="480" w:lineRule="auto"/>
        <w:ind w:left="2160"/>
        <w:rPr>
          <w:sz w:val="20"/>
          <w:szCs w:val="20"/>
        </w:rPr>
      </w:pPr>
      <w:r w:rsidRPr="00D00648">
        <w:rPr>
          <w:sz w:val="20"/>
          <w:szCs w:val="20"/>
        </w:rPr>
        <w:t>The University of Liverpool, Department of Molecular and Clinical Pharmacology, Ashton Street, Liverpool, L69 3GE</w:t>
      </w:r>
    </w:p>
    <w:p w14:paraId="257B0CA4" w14:textId="77777777" w:rsidR="00A5562D" w:rsidRPr="003C30D0" w:rsidRDefault="00A5562D" w:rsidP="00631474">
      <w:pPr>
        <w:spacing w:after="0" w:line="480" w:lineRule="auto"/>
        <w:ind w:left="1440" w:firstLine="720"/>
        <w:rPr>
          <w:sz w:val="20"/>
          <w:szCs w:val="20"/>
        </w:rPr>
      </w:pPr>
    </w:p>
    <w:p w14:paraId="7CA0A393" w14:textId="77777777" w:rsidR="009B6426" w:rsidRDefault="009B6426" w:rsidP="00631474">
      <w:pPr>
        <w:spacing w:line="480" w:lineRule="auto"/>
        <w:rPr>
          <w:b/>
          <w:sz w:val="24"/>
          <w:szCs w:val="24"/>
        </w:rPr>
      </w:pPr>
    </w:p>
    <w:p w14:paraId="39B040DA" w14:textId="77777777" w:rsidR="003227EF" w:rsidRDefault="003227EF" w:rsidP="00631474">
      <w:pPr>
        <w:spacing w:line="480" w:lineRule="auto"/>
        <w:rPr>
          <w:b/>
          <w:sz w:val="24"/>
          <w:szCs w:val="24"/>
        </w:rPr>
      </w:pPr>
      <w:bookmarkStart w:id="4" w:name="_Hlk492810179"/>
    </w:p>
    <w:p w14:paraId="6AE0FCD2" w14:textId="77777777" w:rsidR="00D00648" w:rsidRDefault="00D00648" w:rsidP="00631474">
      <w:pPr>
        <w:spacing w:line="480" w:lineRule="auto"/>
        <w:rPr>
          <w:b/>
          <w:sz w:val="24"/>
          <w:szCs w:val="24"/>
        </w:rPr>
      </w:pPr>
    </w:p>
    <w:p w14:paraId="45FF6F19" w14:textId="77777777" w:rsidR="001F153D" w:rsidRDefault="001F153D" w:rsidP="00631474">
      <w:pPr>
        <w:spacing w:line="480" w:lineRule="auto"/>
        <w:rPr>
          <w:b/>
          <w:sz w:val="24"/>
          <w:szCs w:val="24"/>
        </w:rPr>
      </w:pPr>
    </w:p>
    <w:p w14:paraId="56805C9A" w14:textId="465FF905" w:rsidR="000C10BF" w:rsidRPr="00337759" w:rsidRDefault="00C92496" w:rsidP="00631474">
      <w:pPr>
        <w:spacing w:line="480" w:lineRule="auto"/>
        <w:rPr>
          <w:b/>
          <w:sz w:val="24"/>
          <w:szCs w:val="24"/>
        </w:rPr>
      </w:pPr>
      <w:r w:rsidRPr="00337759">
        <w:rPr>
          <w:b/>
          <w:sz w:val="24"/>
          <w:szCs w:val="24"/>
        </w:rPr>
        <w:lastRenderedPageBreak/>
        <w:t>Abstract</w:t>
      </w:r>
    </w:p>
    <w:p w14:paraId="156D5584" w14:textId="450E9CD9" w:rsidR="00A5562D" w:rsidRDefault="000F6E3E" w:rsidP="00631474">
      <w:pPr>
        <w:spacing w:line="480" w:lineRule="auto"/>
      </w:pPr>
      <w:r>
        <w:rPr>
          <w:b/>
        </w:rPr>
        <w:t xml:space="preserve">Background - </w:t>
      </w:r>
      <w:r w:rsidR="0096302F">
        <w:t xml:space="preserve">Neoadjuvant chemoradiotherapy (CRT) is used in locally advanced rectal cancer when </w:t>
      </w:r>
      <w:r w:rsidR="00C046BE">
        <w:t>tumours threaten the circumferential resection margin</w:t>
      </w:r>
      <w:r w:rsidR="00B507CC">
        <w:t xml:space="preserve">, with varying response to treatment. </w:t>
      </w:r>
      <w:r w:rsidR="009C58C1">
        <w:t xml:space="preserve">This experimental study aimed to </w:t>
      </w:r>
      <w:r w:rsidR="00992B81">
        <w:t xml:space="preserve">identify significantly differentially </w:t>
      </w:r>
      <w:r w:rsidR="00F94A3B">
        <w:t>expressed proteins between</w:t>
      </w:r>
      <w:r w:rsidR="00992B81">
        <w:t xml:space="preserve"> patients responding </w:t>
      </w:r>
      <w:r w:rsidR="001F153D">
        <w:t xml:space="preserve">and not responding to </w:t>
      </w:r>
      <w:r w:rsidR="00992B81">
        <w:t>CRT</w:t>
      </w:r>
      <w:r w:rsidR="00B507CC">
        <w:t xml:space="preserve">, </w:t>
      </w:r>
      <w:r w:rsidR="008672B8">
        <w:t xml:space="preserve">and to validate </w:t>
      </w:r>
      <w:r w:rsidR="00C046BE">
        <w:t>any proteins of interest</w:t>
      </w:r>
      <w:r w:rsidR="009C58C1">
        <w:t>.</w:t>
      </w:r>
    </w:p>
    <w:p w14:paraId="1E766D11" w14:textId="51B3343A" w:rsidR="0047710F" w:rsidRDefault="000F6E3E" w:rsidP="00631474">
      <w:pPr>
        <w:spacing w:line="480" w:lineRule="auto"/>
      </w:pPr>
      <w:r>
        <w:rPr>
          <w:b/>
        </w:rPr>
        <w:t xml:space="preserve">Methods </w:t>
      </w:r>
      <w:r w:rsidR="0007540C">
        <w:rPr>
          <w:b/>
        </w:rPr>
        <w:t>–</w:t>
      </w:r>
      <w:r>
        <w:rPr>
          <w:b/>
        </w:rPr>
        <w:t xml:space="preserve"> </w:t>
      </w:r>
      <w:r w:rsidR="00A5562D">
        <w:t>Mass spectrometry</w:t>
      </w:r>
      <w:r w:rsidR="009B6426">
        <w:t xml:space="preserve"> </w:t>
      </w:r>
      <w:r w:rsidR="00C046BE">
        <w:t>(</w:t>
      </w:r>
      <w:r>
        <w:t xml:space="preserve">with isobaric tagging for relative </w:t>
      </w:r>
      <w:r w:rsidR="0047710F">
        <w:t>quantification</w:t>
      </w:r>
      <w:r w:rsidR="00C046BE">
        <w:t xml:space="preserve">) </w:t>
      </w:r>
      <w:r w:rsidR="00A5562D">
        <w:t xml:space="preserve">analysis </w:t>
      </w:r>
      <w:r w:rsidR="0007540C">
        <w:t>of rectal cancers</w:t>
      </w:r>
      <w:r w:rsidR="00717E13">
        <w:t xml:space="preserve"> pre- and post-CRT, and </w:t>
      </w:r>
      <w:r w:rsidR="001F153D">
        <w:t>at resection</w:t>
      </w:r>
      <w:r w:rsidR="00C046BE">
        <w:t>.  V</w:t>
      </w:r>
      <w:r w:rsidR="00CF2A29">
        <w:t xml:space="preserve">alidation of proteins of interest </w:t>
      </w:r>
      <w:r w:rsidR="0056223A">
        <w:t>was performed by assessing</w:t>
      </w:r>
      <w:r w:rsidR="0056223A" w:rsidRPr="0056223A">
        <w:t xml:space="preserve"> </w:t>
      </w:r>
      <w:r w:rsidR="00C046BE">
        <w:t xml:space="preserve">tissue microarray (TMA) </w:t>
      </w:r>
      <w:r w:rsidR="004D238C">
        <w:t>immunohistochemistry</w:t>
      </w:r>
      <w:r w:rsidR="0056223A" w:rsidRPr="0056223A">
        <w:t xml:space="preserve"> expression</w:t>
      </w:r>
      <w:r w:rsidR="00C046BE">
        <w:t xml:space="preserve"> </w:t>
      </w:r>
      <w:r w:rsidR="00CF2A29">
        <w:t xml:space="preserve">in </w:t>
      </w:r>
      <w:r w:rsidR="001F153D">
        <w:t>a further 111 patients with rectal cancer.</w:t>
      </w:r>
    </w:p>
    <w:p w14:paraId="4042DCEC" w14:textId="512FD23C" w:rsidR="00C92496" w:rsidRDefault="0047710F" w:rsidP="00631474">
      <w:pPr>
        <w:spacing w:line="480" w:lineRule="auto"/>
      </w:pPr>
      <w:r>
        <w:rPr>
          <w:b/>
        </w:rPr>
        <w:t xml:space="preserve">Results </w:t>
      </w:r>
      <w:r w:rsidR="0010592A">
        <w:t>–</w:t>
      </w:r>
      <w:r w:rsidR="0070407A">
        <w:t xml:space="preserve">  </w:t>
      </w:r>
      <w:r w:rsidR="001F153D">
        <w:t>Proteomic d</w:t>
      </w:r>
      <w:r w:rsidR="0070407A" w:rsidRPr="0070407A">
        <w:rPr>
          <w:rFonts w:cstheme="minorHAnsi"/>
          <w:color w:val="000000" w:themeColor="text1"/>
          <w:shd w:val="clear" w:color="auto" w:fill="FFFFFF"/>
        </w:rPr>
        <w:t>ata are available via ProteomeXchange with identifier PXD008436.</w:t>
      </w:r>
      <w:r w:rsidR="0070407A">
        <w:rPr>
          <w:rFonts w:cstheme="minorHAnsi"/>
          <w:color w:val="000000" w:themeColor="text1"/>
          <w:shd w:val="clear" w:color="auto" w:fill="FFFFFF"/>
        </w:rPr>
        <w:t xml:space="preserve">  </w:t>
      </w:r>
      <w:r w:rsidR="00C046BE">
        <w:t>R</w:t>
      </w:r>
      <w:r w:rsidR="00591608">
        <w:t>educed abundance of contributing peptide ions for</w:t>
      </w:r>
      <w:r w:rsidR="00A13391">
        <w:t xml:space="preserve"> acid ceramidase (AC)</w:t>
      </w:r>
      <w:r w:rsidR="00717E13">
        <w:t xml:space="preserve"> (log </w:t>
      </w:r>
      <w:r w:rsidR="008672B8">
        <w:t>fold change -1.526, p=</w:t>
      </w:r>
      <w:r w:rsidR="008672B8" w:rsidRPr="00F24146">
        <w:t>1.17E-02</w:t>
      </w:r>
      <w:r w:rsidR="008672B8">
        <w:t>) was obs</w:t>
      </w:r>
      <w:r w:rsidR="004D238C">
        <w:t xml:space="preserve">erved in </w:t>
      </w:r>
      <w:r w:rsidR="00717E13">
        <w:t xml:space="preserve">CRT </w:t>
      </w:r>
      <w:r w:rsidR="004D238C">
        <w:t>responders</w:t>
      </w:r>
      <w:r w:rsidR="009C58C1">
        <w:t xml:space="preserve">.  </w:t>
      </w:r>
      <w:r w:rsidR="008672B8">
        <w:t>D</w:t>
      </w:r>
      <w:r w:rsidR="005B4612">
        <w:t>ifferential expres</w:t>
      </w:r>
      <w:r w:rsidR="00247445">
        <w:t>sion of AC</w:t>
      </w:r>
      <w:r w:rsidR="009D5A76">
        <w:t xml:space="preserve"> was confirmed</w:t>
      </w:r>
      <w:r w:rsidR="004D238C">
        <w:t xml:space="preserve"> upon </w:t>
      </w:r>
      <w:r w:rsidR="00BF4082">
        <w:t xml:space="preserve">analysis of the </w:t>
      </w:r>
      <w:r w:rsidR="006F2D01">
        <w:t>TMA</w:t>
      </w:r>
      <w:r w:rsidR="00BF4082">
        <w:t>s</w:t>
      </w:r>
      <w:r w:rsidR="005B4612">
        <w:t xml:space="preserve">.  </w:t>
      </w:r>
      <w:r w:rsidR="004014AC">
        <w:t>Cancer</w:t>
      </w:r>
      <w:r w:rsidR="00CC1B3C">
        <w:t xml:space="preserve"> si</w:t>
      </w:r>
      <w:r w:rsidR="00D96731">
        <w:t>te expression of AC</w:t>
      </w:r>
      <w:r w:rsidR="00CC1B3C">
        <w:t xml:space="preserve"> in stromal cells </w:t>
      </w:r>
      <w:r w:rsidR="00AA5FDB">
        <w:t>from</w:t>
      </w:r>
      <w:r w:rsidR="004014AC">
        <w:t xml:space="preserve"> post-CRT resection specimens </w:t>
      </w:r>
      <w:r w:rsidR="00CC1B3C">
        <w:t xml:space="preserve">was observed </w:t>
      </w:r>
      <w:r w:rsidR="00591608">
        <w:t>to be relatively low</w:t>
      </w:r>
      <w:r w:rsidR="004014AC">
        <w:t xml:space="preserve"> </w:t>
      </w:r>
      <w:r w:rsidR="004D238C">
        <w:t xml:space="preserve">in </w:t>
      </w:r>
      <w:r w:rsidR="004014AC">
        <w:t>pathologica</w:t>
      </w:r>
      <w:r w:rsidR="009A1DD2">
        <w:t>l complete response</w:t>
      </w:r>
      <w:r w:rsidR="001F153D" w:rsidRPr="001F153D">
        <w:t xml:space="preserve"> </w:t>
      </w:r>
      <w:r w:rsidR="001F153D">
        <w:t>(p=0.003),</w:t>
      </w:r>
      <w:r w:rsidR="004014AC">
        <w:t xml:space="preserve"> and </w:t>
      </w:r>
      <w:r w:rsidR="00591608">
        <w:t>relatively high</w:t>
      </w:r>
      <w:r w:rsidR="004D238C">
        <w:t xml:space="preserve"> with </w:t>
      </w:r>
      <w:r w:rsidR="009A1DD2">
        <w:t>no response to CRT</w:t>
      </w:r>
      <w:r w:rsidR="006F2D01">
        <w:t xml:space="preserve"> (p=0.017)</w:t>
      </w:r>
      <w:r w:rsidR="004014AC">
        <w:t>.</w:t>
      </w:r>
    </w:p>
    <w:p w14:paraId="602228F7" w14:textId="77777777" w:rsidR="005B4612" w:rsidRDefault="008672B8" w:rsidP="00631474">
      <w:pPr>
        <w:spacing w:line="480" w:lineRule="auto"/>
      </w:pPr>
      <w:r>
        <w:rPr>
          <w:b/>
        </w:rPr>
        <w:t xml:space="preserve">Conclusion </w:t>
      </w:r>
      <w:r w:rsidR="009C58C1">
        <w:t>–</w:t>
      </w:r>
      <w:r>
        <w:t xml:space="preserve"> </w:t>
      </w:r>
      <w:r w:rsidR="00A21BAB">
        <w:t xml:space="preserve">AC may be </w:t>
      </w:r>
      <w:r w:rsidR="009C58C1">
        <w:t>implicated in the respons</w:t>
      </w:r>
      <w:r w:rsidR="004D238C">
        <w:t>e of rectal cancer to CRT.  W</w:t>
      </w:r>
      <w:r w:rsidR="006A4307">
        <w:t>e</w:t>
      </w:r>
      <w:r w:rsidR="005D399D">
        <w:t xml:space="preserve"> </w:t>
      </w:r>
      <w:r w:rsidR="00A2432C">
        <w:t xml:space="preserve">propose </w:t>
      </w:r>
      <w:r w:rsidR="009C58C1">
        <w:t xml:space="preserve">its </w:t>
      </w:r>
      <w:r w:rsidR="00A2432C">
        <w:t>furth</w:t>
      </w:r>
      <w:r w:rsidR="009C58C1">
        <w:t>er assessment</w:t>
      </w:r>
      <w:r w:rsidR="00A2432C">
        <w:t xml:space="preserve"> as a</w:t>
      </w:r>
      <w:r w:rsidR="009A1DD2">
        <w:t xml:space="preserve"> novel potential b</w:t>
      </w:r>
      <w:r w:rsidR="00CF2A29">
        <w:t>iomarker and therapeutic target.</w:t>
      </w:r>
    </w:p>
    <w:bookmarkEnd w:id="4"/>
    <w:p w14:paraId="198A86C4" w14:textId="77777777" w:rsidR="002C4EDB" w:rsidRDefault="002C4EDB" w:rsidP="00631474">
      <w:pPr>
        <w:spacing w:line="480" w:lineRule="auto"/>
      </w:pPr>
    </w:p>
    <w:p w14:paraId="7260CA6B" w14:textId="77777777" w:rsidR="007468FA" w:rsidRDefault="007468FA" w:rsidP="00631474">
      <w:pPr>
        <w:spacing w:line="480" w:lineRule="auto"/>
      </w:pPr>
    </w:p>
    <w:p w14:paraId="0C5EB1DE" w14:textId="77777777" w:rsidR="00B507CC" w:rsidRDefault="00B507CC">
      <w:pPr>
        <w:rPr>
          <w:b/>
          <w:sz w:val="24"/>
          <w:szCs w:val="24"/>
        </w:rPr>
      </w:pPr>
      <w:r>
        <w:rPr>
          <w:b/>
          <w:sz w:val="24"/>
          <w:szCs w:val="24"/>
        </w:rPr>
        <w:br w:type="page"/>
      </w:r>
    </w:p>
    <w:p w14:paraId="0944FCBA" w14:textId="4AE69E96" w:rsidR="00573E8D" w:rsidRDefault="00573E8D" w:rsidP="00631474">
      <w:pPr>
        <w:spacing w:line="480" w:lineRule="auto"/>
        <w:rPr>
          <w:b/>
          <w:sz w:val="24"/>
          <w:szCs w:val="24"/>
        </w:rPr>
      </w:pPr>
      <w:r>
        <w:rPr>
          <w:b/>
          <w:sz w:val="24"/>
          <w:szCs w:val="24"/>
        </w:rPr>
        <w:lastRenderedPageBreak/>
        <w:t>Significance</w:t>
      </w:r>
    </w:p>
    <w:p w14:paraId="36A017EE" w14:textId="5C3BCBA4" w:rsidR="00210E25" w:rsidRPr="00210E25" w:rsidRDefault="00210E25" w:rsidP="00210E25">
      <w:pPr>
        <w:spacing w:line="480" w:lineRule="auto"/>
      </w:pPr>
      <w:r w:rsidRPr="00210E25">
        <w:t xml:space="preserve">There is a need for biomarkers to guide the use of chemoradiotherapy in rectal cancer, as none are in routine clinical use.  We have determined acid ceramidase </w:t>
      </w:r>
      <w:r w:rsidR="001F153D">
        <w:t>may have a role in radiation response</w:t>
      </w:r>
      <w:r w:rsidRPr="00210E25">
        <w:t>, based on novel proteomic profiling and validat</w:t>
      </w:r>
      <w:r w:rsidR="003653E3">
        <w:t>ion</w:t>
      </w:r>
      <w:r w:rsidRPr="00210E25">
        <w:t xml:space="preserve"> in a wider dataset using tissue microarrays.</w:t>
      </w:r>
      <w:r>
        <w:t xml:space="preserve">  </w:t>
      </w:r>
      <w:r w:rsidRPr="00210E25">
        <w:t xml:space="preserve">The ability to predict </w:t>
      </w:r>
      <w:r w:rsidR="003653E3">
        <w:t xml:space="preserve">or improve </w:t>
      </w:r>
      <w:r w:rsidRPr="00210E25">
        <w:t>response would positively select those patients who will derive benefit</w:t>
      </w:r>
      <w:r w:rsidR="003653E3">
        <w:t xml:space="preserve">, prevent delays in the local and systemic management of disease in non-responders, and reduce </w:t>
      </w:r>
      <w:r w:rsidRPr="00210E25">
        <w:t>morbidity associated with chemoradiotherapy</w:t>
      </w:r>
      <w:r w:rsidR="00B507CC">
        <w:t>.</w:t>
      </w:r>
    </w:p>
    <w:p w14:paraId="36C2CD51" w14:textId="77777777" w:rsidR="00573E8D" w:rsidRPr="00210E25" w:rsidRDefault="00573E8D" w:rsidP="00631474">
      <w:pPr>
        <w:spacing w:line="480" w:lineRule="auto"/>
      </w:pPr>
    </w:p>
    <w:p w14:paraId="6A4B7DAE" w14:textId="77777777" w:rsidR="00210E25" w:rsidRDefault="00210E25" w:rsidP="00631474">
      <w:pPr>
        <w:spacing w:line="480" w:lineRule="auto"/>
        <w:rPr>
          <w:b/>
          <w:sz w:val="24"/>
          <w:szCs w:val="24"/>
        </w:rPr>
      </w:pPr>
    </w:p>
    <w:p w14:paraId="6D217392" w14:textId="77777777" w:rsidR="0005518C" w:rsidRDefault="0005518C" w:rsidP="0005518C">
      <w:pPr>
        <w:spacing w:line="480" w:lineRule="auto"/>
        <w:rPr>
          <w:b/>
          <w:sz w:val="24"/>
          <w:szCs w:val="24"/>
        </w:rPr>
      </w:pPr>
      <w:r>
        <w:rPr>
          <w:b/>
          <w:sz w:val="24"/>
          <w:szCs w:val="24"/>
        </w:rPr>
        <w:t>Keywords</w:t>
      </w:r>
    </w:p>
    <w:p w14:paraId="375B8F71" w14:textId="77777777" w:rsidR="00210E25" w:rsidRPr="0005518C" w:rsidRDefault="0005518C" w:rsidP="00631474">
      <w:pPr>
        <w:spacing w:line="480" w:lineRule="auto"/>
      </w:pPr>
      <w:r w:rsidRPr="0005518C">
        <w:t>Rectal</w:t>
      </w:r>
      <w:r>
        <w:t>; cancer;</w:t>
      </w:r>
      <w:r w:rsidRPr="0005518C">
        <w:t xml:space="preserve"> chemoradiotherapy</w:t>
      </w:r>
      <w:r>
        <w:t>; response;</w:t>
      </w:r>
      <w:r w:rsidRPr="0005518C">
        <w:t xml:space="preserve"> proteomic</w:t>
      </w:r>
      <w:r>
        <w:t>s;</w:t>
      </w:r>
      <w:r w:rsidRPr="0005518C">
        <w:t xml:space="preserve"> biomarker</w:t>
      </w:r>
      <w:r>
        <w:t>.</w:t>
      </w:r>
      <w:r w:rsidRPr="0005518C">
        <w:t xml:space="preserve"> </w:t>
      </w:r>
    </w:p>
    <w:p w14:paraId="4E9AAF00" w14:textId="77777777" w:rsidR="00210E25" w:rsidRDefault="00210E25" w:rsidP="00631474">
      <w:pPr>
        <w:spacing w:line="480" w:lineRule="auto"/>
        <w:rPr>
          <w:b/>
          <w:sz w:val="24"/>
          <w:szCs w:val="24"/>
        </w:rPr>
      </w:pPr>
    </w:p>
    <w:p w14:paraId="1F3881BF" w14:textId="77777777" w:rsidR="00210E25" w:rsidRDefault="00210E25" w:rsidP="00631474">
      <w:pPr>
        <w:spacing w:line="480" w:lineRule="auto"/>
        <w:rPr>
          <w:b/>
          <w:sz w:val="24"/>
          <w:szCs w:val="24"/>
        </w:rPr>
      </w:pPr>
    </w:p>
    <w:p w14:paraId="55D641B2" w14:textId="77777777" w:rsidR="00210E25" w:rsidRDefault="00210E25" w:rsidP="00631474">
      <w:pPr>
        <w:spacing w:line="480" w:lineRule="auto"/>
        <w:rPr>
          <w:b/>
          <w:sz w:val="24"/>
          <w:szCs w:val="24"/>
        </w:rPr>
      </w:pPr>
    </w:p>
    <w:p w14:paraId="17A3242E" w14:textId="77777777" w:rsidR="00210E25" w:rsidRDefault="00210E25" w:rsidP="00631474">
      <w:pPr>
        <w:spacing w:line="480" w:lineRule="auto"/>
        <w:rPr>
          <w:b/>
          <w:sz w:val="24"/>
          <w:szCs w:val="24"/>
        </w:rPr>
      </w:pPr>
    </w:p>
    <w:p w14:paraId="68AFBC5E" w14:textId="77777777" w:rsidR="00210E25" w:rsidRDefault="00210E25" w:rsidP="00631474">
      <w:pPr>
        <w:spacing w:line="480" w:lineRule="auto"/>
        <w:rPr>
          <w:b/>
          <w:sz w:val="24"/>
          <w:szCs w:val="24"/>
        </w:rPr>
      </w:pPr>
    </w:p>
    <w:p w14:paraId="38DA632D" w14:textId="77777777" w:rsidR="00210E25" w:rsidRDefault="00210E25" w:rsidP="00631474">
      <w:pPr>
        <w:spacing w:line="480" w:lineRule="auto"/>
        <w:rPr>
          <w:b/>
          <w:sz w:val="24"/>
          <w:szCs w:val="24"/>
        </w:rPr>
      </w:pPr>
    </w:p>
    <w:p w14:paraId="2D1B86F2" w14:textId="77777777" w:rsidR="00210E25" w:rsidRDefault="00210E25" w:rsidP="00631474">
      <w:pPr>
        <w:spacing w:line="480" w:lineRule="auto"/>
        <w:rPr>
          <w:b/>
          <w:sz w:val="24"/>
          <w:szCs w:val="24"/>
        </w:rPr>
      </w:pPr>
    </w:p>
    <w:p w14:paraId="1414C457" w14:textId="77777777" w:rsidR="00210E25" w:rsidRDefault="00210E25" w:rsidP="00631474">
      <w:pPr>
        <w:spacing w:line="480" w:lineRule="auto"/>
        <w:rPr>
          <w:b/>
          <w:sz w:val="24"/>
          <w:szCs w:val="24"/>
        </w:rPr>
      </w:pPr>
    </w:p>
    <w:p w14:paraId="7BBCE996" w14:textId="77777777" w:rsidR="00993C00" w:rsidRDefault="00993C00" w:rsidP="00631474">
      <w:pPr>
        <w:spacing w:line="480" w:lineRule="auto"/>
        <w:rPr>
          <w:b/>
          <w:sz w:val="24"/>
          <w:szCs w:val="24"/>
        </w:rPr>
      </w:pPr>
    </w:p>
    <w:p w14:paraId="195A113C" w14:textId="77777777" w:rsidR="00C92496" w:rsidRPr="00337759" w:rsidRDefault="00C92496" w:rsidP="00631474">
      <w:pPr>
        <w:spacing w:line="480" w:lineRule="auto"/>
        <w:rPr>
          <w:b/>
          <w:sz w:val="24"/>
          <w:szCs w:val="24"/>
        </w:rPr>
      </w:pPr>
      <w:r w:rsidRPr="00337759">
        <w:rPr>
          <w:b/>
          <w:sz w:val="24"/>
          <w:szCs w:val="24"/>
        </w:rPr>
        <w:lastRenderedPageBreak/>
        <w:t>Introduction</w:t>
      </w:r>
    </w:p>
    <w:p w14:paraId="2F53FA72" w14:textId="77777777" w:rsidR="00C92496" w:rsidRDefault="001E770E" w:rsidP="00631474">
      <w:pPr>
        <w:spacing w:line="480" w:lineRule="auto"/>
      </w:pPr>
      <w:r>
        <w:t>Colorectal cancer is the second commonest cause of cancer related death in the UK</w:t>
      </w:r>
      <w:r w:rsidR="005818D7">
        <w:rPr>
          <w:vertAlign w:val="superscript"/>
        </w:rPr>
        <w:t>(1)</w:t>
      </w:r>
      <w:r w:rsidR="00CC33EA">
        <w:t>.</w:t>
      </w:r>
      <w:r>
        <w:t xml:space="preserve"> </w:t>
      </w:r>
      <w:r w:rsidR="00CC33EA">
        <w:t xml:space="preserve"> </w:t>
      </w:r>
      <w:r>
        <w:t xml:space="preserve">Outcomes and survival in rectal cancer have </w:t>
      </w:r>
      <w:r w:rsidR="009D5A76">
        <w:t xml:space="preserve">improved with the recognition that </w:t>
      </w:r>
      <w:r w:rsidR="00FB1C8F">
        <w:t>circumferential resection margin (</w:t>
      </w:r>
      <w:r w:rsidR="009D5A76">
        <w:t>CRM</w:t>
      </w:r>
      <w:r w:rsidR="00FB1C8F">
        <w:t>)</w:t>
      </w:r>
      <w:r w:rsidR="009D5A76">
        <w:t xml:space="preserve"> involvement</w:t>
      </w:r>
      <w:r>
        <w:t xml:space="preserve"> predict</w:t>
      </w:r>
      <w:r w:rsidR="009D5A76">
        <w:t>s</w:t>
      </w:r>
      <w:r>
        <w:t xml:space="preserve"> </w:t>
      </w:r>
      <w:r w:rsidR="009D5A76">
        <w:t xml:space="preserve">a greater risk of </w:t>
      </w:r>
      <w:r>
        <w:t>local recurrence and poorer survival</w:t>
      </w:r>
      <w:r w:rsidR="00CC33EA">
        <w:rPr>
          <w:vertAlign w:val="superscript"/>
        </w:rPr>
        <w:t>(2,3)</w:t>
      </w:r>
      <w:r w:rsidR="00CC33EA">
        <w:t xml:space="preserve">, </w:t>
      </w:r>
      <w:r>
        <w:t>and with widespread adoption of total mesorectal excision</w:t>
      </w:r>
      <w:r w:rsidR="00CC33EA">
        <w:rPr>
          <w:vertAlign w:val="superscript"/>
        </w:rPr>
        <w:t>(4,5)</w:t>
      </w:r>
      <w:r w:rsidR="00543F01">
        <w:t>.</w:t>
      </w:r>
      <w:r>
        <w:t xml:space="preserve">  In cases where the </w:t>
      </w:r>
      <w:r w:rsidR="00624F3F">
        <w:t>CRM</w:t>
      </w:r>
      <w:r>
        <w:t xml:space="preserve"> is identified to be threatened </w:t>
      </w:r>
      <w:r w:rsidR="00BF4082">
        <w:t>on pre-treatment magnetic resonance imaging</w:t>
      </w:r>
      <w:r w:rsidR="00CC33EA">
        <w:rPr>
          <w:vertAlign w:val="superscript"/>
        </w:rPr>
        <w:t>(6</w:t>
      </w:r>
      <w:r w:rsidR="00404FB7">
        <w:rPr>
          <w:vertAlign w:val="superscript"/>
        </w:rPr>
        <w:t>-</w:t>
      </w:r>
      <w:r w:rsidR="00CC33EA">
        <w:rPr>
          <w:vertAlign w:val="superscript"/>
        </w:rPr>
        <w:t>8)</w:t>
      </w:r>
      <w:r w:rsidR="00D63884">
        <w:t xml:space="preserve">, </w:t>
      </w:r>
      <w:r w:rsidR="00624F3F">
        <w:t xml:space="preserve">neo-adjuvant treatment </w:t>
      </w:r>
      <w:r w:rsidR="00595B6C">
        <w:t xml:space="preserve">with chemoradiotherapy (CRT) </w:t>
      </w:r>
      <w:r w:rsidR="009D5A76">
        <w:t>is utilised</w:t>
      </w:r>
      <w:r>
        <w:t xml:space="preserve"> </w:t>
      </w:r>
      <w:r w:rsidR="00624F3F">
        <w:t>to attempt to downstage these tumours, enhance R0 resection rates and red</w:t>
      </w:r>
      <w:r w:rsidR="00A308D6">
        <w:t>uce the risk of local recurrence</w:t>
      </w:r>
      <w:r w:rsidR="00A308D6">
        <w:rPr>
          <w:vertAlign w:val="superscript"/>
        </w:rPr>
        <w:t>(9</w:t>
      </w:r>
      <w:r w:rsidR="00404FB7">
        <w:rPr>
          <w:vertAlign w:val="superscript"/>
        </w:rPr>
        <w:t>-</w:t>
      </w:r>
      <w:r w:rsidR="00A308D6">
        <w:rPr>
          <w:vertAlign w:val="superscript"/>
        </w:rPr>
        <w:t>11)</w:t>
      </w:r>
      <w:r w:rsidR="00543F01">
        <w:t>.</w:t>
      </w:r>
    </w:p>
    <w:p w14:paraId="7463C2A1" w14:textId="77777777" w:rsidR="00D3553B" w:rsidRDefault="00D3553B" w:rsidP="00631474">
      <w:pPr>
        <w:spacing w:line="480" w:lineRule="auto"/>
      </w:pPr>
    </w:p>
    <w:p w14:paraId="43BBC47A" w14:textId="77777777" w:rsidR="00265DB2" w:rsidRDefault="00624F3F" w:rsidP="00631474">
      <w:pPr>
        <w:spacing w:line="480" w:lineRule="auto"/>
      </w:pPr>
      <w:r>
        <w:t xml:space="preserve">In </w:t>
      </w:r>
      <w:r w:rsidR="00BF4082">
        <w:t>10-15</w:t>
      </w:r>
      <w:r w:rsidR="00595B6C">
        <w:t xml:space="preserve">% of patients treated with </w:t>
      </w:r>
      <w:r>
        <w:t>CRT, a</w:t>
      </w:r>
      <w:r w:rsidR="00D96731">
        <w:t xml:space="preserve"> </w:t>
      </w:r>
      <w:r w:rsidR="00FB1C8F">
        <w:t>pathological complete response (</w:t>
      </w:r>
      <w:r w:rsidR="00D96731">
        <w:t>pCR</w:t>
      </w:r>
      <w:r w:rsidR="00FB1C8F">
        <w:t>)</w:t>
      </w:r>
      <w:r w:rsidR="00E44614">
        <w:t xml:space="preserve"> </w:t>
      </w:r>
      <w:r>
        <w:t>is observed in the subsequent resection specimen.  These patients not only have a lower risk of local recurrence but improv</w:t>
      </w:r>
      <w:r w:rsidR="00487CD2">
        <w:t>ed overall survival</w:t>
      </w:r>
      <w:r w:rsidR="00A308D6">
        <w:rPr>
          <w:vertAlign w:val="superscript"/>
        </w:rPr>
        <w:t>(12,13)</w:t>
      </w:r>
      <w:r w:rsidR="00487CD2">
        <w:t>.</w:t>
      </w:r>
      <w:r w:rsidR="00E44614">
        <w:t xml:space="preserve"> </w:t>
      </w:r>
      <w:r w:rsidR="00543F01">
        <w:t xml:space="preserve"> </w:t>
      </w:r>
      <w:r w:rsidR="00E44614">
        <w:t>Whilst it is possible to attempt to clinically and radiologically identify those patients achieving a complete response following CRT</w:t>
      </w:r>
      <w:r w:rsidR="00A308D6">
        <w:rPr>
          <w:vertAlign w:val="superscript"/>
        </w:rPr>
        <w:t>(14)</w:t>
      </w:r>
      <w:r w:rsidR="00FB1C8F">
        <w:t>,</w:t>
      </w:r>
      <w:r w:rsidR="00E44614">
        <w:t xml:space="preserve"> and in whom the morbidity of surgical resection may be spared</w:t>
      </w:r>
      <w:r w:rsidR="00487CD2">
        <w:t xml:space="preserve"> with a watch and wait approach</w:t>
      </w:r>
      <w:r w:rsidR="00A308D6">
        <w:rPr>
          <w:vertAlign w:val="superscript"/>
        </w:rPr>
        <w:t>(15)</w:t>
      </w:r>
      <w:r w:rsidR="00D63884">
        <w:t xml:space="preserve">, </w:t>
      </w:r>
      <w:r w:rsidR="00E44614">
        <w:t>there are currently no biomarkers that can reliably predict response to CRT</w:t>
      </w:r>
      <w:r w:rsidR="00A308D6">
        <w:rPr>
          <w:vertAlign w:val="superscript"/>
        </w:rPr>
        <w:t>(16)</w:t>
      </w:r>
      <w:r w:rsidR="00543F01">
        <w:t>.</w:t>
      </w:r>
      <w:r w:rsidR="005C3668">
        <w:t xml:space="preserve">  A</w:t>
      </w:r>
      <w:r w:rsidR="004E51E4">
        <w:t xml:space="preserve"> longer downstaging period (&gt;8 weeks) subsequent to CRT completion </w:t>
      </w:r>
      <w:r w:rsidR="005C3668">
        <w:t xml:space="preserve">has </w:t>
      </w:r>
      <w:r w:rsidR="007B10C4">
        <w:t xml:space="preserve">also </w:t>
      </w:r>
      <w:r w:rsidR="005C3668">
        <w:t>been demonstrated to increase</w:t>
      </w:r>
      <w:r w:rsidR="004E51E4">
        <w:t xml:space="preserve"> the rate of pCR</w:t>
      </w:r>
      <w:r w:rsidR="00A308D6">
        <w:rPr>
          <w:vertAlign w:val="superscript"/>
        </w:rPr>
        <w:t>(17)</w:t>
      </w:r>
      <w:r w:rsidR="005C3668">
        <w:t xml:space="preserve">, </w:t>
      </w:r>
      <w:r w:rsidR="007B10C4">
        <w:t>although temporal changes in tumour phenotype that may explain this phenomenon have not been assessed.</w:t>
      </w:r>
    </w:p>
    <w:p w14:paraId="322E8F3A" w14:textId="77777777" w:rsidR="00D3553B" w:rsidRPr="005C3668" w:rsidRDefault="00D3553B" w:rsidP="00631474">
      <w:pPr>
        <w:spacing w:line="480" w:lineRule="auto"/>
      </w:pPr>
    </w:p>
    <w:p w14:paraId="156D46BA" w14:textId="0D026886" w:rsidR="00B506B8" w:rsidRDefault="00595B6C" w:rsidP="00631474">
      <w:pPr>
        <w:spacing w:line="480" w:lineRule="auto"/>
        <w:rPr>
          <w:rFonts w:ascii="Calibri" w:hAnsi="Calibri"/>
          <w:spacing w:val="-3"/>
        </w:rPr>
      </w:pPr>
      <w:bookmarkStart w:id="5" w:name="_Hlk479831945"/>
      <w:r>
        <w:t xml:space="preserve">The current pCR rate of 10-15% remains quite low, and a small proportion of patients develop disease progression whilst undergoing CRT.  Work to further improve this response rate is urgently needed.  </w:t>
      </w:r>
      <w:r w:rsidR="00E44614">
        <w:t xml:space="preserve">The ability to predict </w:t>
      </w:r>
      <w:r w:rsidR="00DC0090">
        <w:t>response would positively select those patients who will derive benefit, whilst sparing others the morbidity associated with CRT and a delay in the local and systemic management of their disease</w:t>
      </w:r>
      <w:r w:rsidR="00404FB7">
        <w:rPr>
          <w:vertAlign w:val="superscript"/>
        </w:rPr>
        <w:t>(18-21)</w:t>
      </w:r>
      <w:r w:rsidR="00543F01">
        <w:t>.</w:t>
      </w:r>
      <w:bookmarkEnd w:id="5"/>
      <w:r w:rsidR="00265DB2">
        <w:t xml:space="preserve">  </w:t>
      </w:r>
      <w:r w:rsidR="00265DB2">
        <w:rPr>
          <w:rFonts w:ascii="Calibri" w:hAnsi="Calibri"/>
          <w:spacing w:val="-3"/>
        </w:rPr>
        <w:t xml:space="preserve">The necessity for further research in this area has recently been </w:t>
      </w:r>
      <w:r w:rsidR="00D3553B">
        <w:rPr>
          <w:rFonts w:ascii="Calibri" w:hAnsi="Calibri"/>
          <w:spacing w:val="-3"/>
        </w:rPr>
        <w:t>highlighted</w:t>
      </w:r>
      <w:r w:rsidR="00265DB2">
        <w:rPr>
          <w:rFonts w:ascii="Calibri" w:hAnsi="Calibri"/>
          <w:spacing w:val="-3"/>
        </w:rPr>
        <w:t xml:space="preserve"> by the Association of Coloproctology</w:t>
      </w:r>
      <w:r w:rsidR="00543F01">
        <w:rPr>
          <w:rFonts w:ascii="Calibri" w:hAnsi="Calibri"/>
          <w:spacing w:val="-3"/>
        </w:rPr>
        <w:t xml:space="preserve"> of Great Britain and Ireland</w:t>
      </w:r>
      <w:r w:rsidR="00265DB2">
        <w:rPr>
          <w:rFonts w:ascii="Calibri" w:hAnsi="Calibri"/>
          <w:spacing w:val="-3"/>
        </w:rPr>
        <w:t xml:space="preserve">, who have </w:t>
      </w:r>
      <w:r w:rsidR="00D3553B">
        <w:rPr>
          <w:rFonts w:ascii="Calibri" w:hAnsi="Calibri"/>
          <w:spacing w:val="-3"/>
        </w:rPr>
        <w:t>advocated</w:t>
      </w:r>
      <w:r w:rsidR="00265DB2">
        <w:rPr>
          <w:rFonts w:ascii="Calibri" w:hAnsi="Calibri"/>
          <w:spacing w:val="-3"/>
        </w:rPr>
        <w:t xml:space="preserve"> the </w:t>
      </w:r>
      <w:r w:rsidR="00265DB2">
        <w:rPr>
          <w:rFonts w:ascii="Calibri" w:hAnsi="Calibri"/>
          <w:spacing w:val="-3"/>
        </w:rPr>
        <w:lastRenderedPageBreak/>
        <w:t xml:space="preserve">need for reliably predicting </w:t>
      </w:r>
      <w:r w:rsidR="00D965FA">
        <w:rPr>
          <w:rFonts w:ascii="Calibri" w:hAnsi="Calibri"/>
          <w:spacing w:val="-3"/>
        </w:rPr>
        <w:t xml:space="preserve">the </w:t>
      </w:r>
      <w:r w:rsidR="00265DB2">
        <w:rPr>
          <w:rFonts w:ascii="Calibri" w:hAnsi="Calibri"/>
          <w:spacing w:val="-3"/>
        </w:rPr>
        <w:t>response of</w:t>
      </w:r>
      <w:r w:rsidR="00D965FA">
        <w:rPr>
          <w:rFonts w:ascii="Calibri" w:hAnsi="Calibri"/>
          <w:spacing w:val="-3"/>
        </w:rPr>
        <w:t xml:space="preserve"> rectal cancer to CRT, and </w:t>
      </w:r>
      <w:r w:rsidR="00265DB2">
        <w:rPr>
          <w:rFonts w:ascii="Calibri" w:hAnsi="Calibri"/>
          <w:spacing w:val="-3"/>
        </w:rPr>
        <w:t>for novel strategies for i</w:t>
      </w:r>
      <w:r w:rsidR="00265DB2" w:rsidRPr="00076126">
        <w:rPr>
          <w:rFonts w:ascii="Calibri" w:hAnsi="Calibri"/>
          <w:spacing w:val="-3"/>
        </w:rPr>
        <w:t xml:space="preserve">mproving the </w:t>
      </w:r>
      <w:r w:rsidR="00D3553B">
        <w:rPr>
          <w:rFonts w:ascii="Calibri" w:hAnsi="Calibri"/>
          <w:spacing w:val="-3"/>
        </w:rPr>
        <w:t>s</w:t>
      </w:r>
      <w:r w:rsidR="00265DB2" w:rsidRPr="00076126">
        <w:rPr>
          <w:rFonts w:ascii="Calibri" w:hAnsi="Calibri"/>
          <w:spacing w:val="-3"/>
        </w:rPr>
        <w:t>ensitivity of rectal cancer</w:t>
      </w:r>
      <w:r w:rsidR="00D3553B">
        <w:rPr>
          <w:rFonts w:ascii="Calibri" w:hAnsi="Calibri"/>
          <w:spacing w:val="-3"/>
        </w:rPr>
        <w:t xml:space="preserve"> to radiation therapy</w:t>
      </w:r>
      <w:r w:rsidR="00404FB7">
        <w:rPr>
          <w:rFonts w:ascii="Calibri" w:hAnsi="Calibri"/>
          <w:spacing w:val="-3"/>
          <w:vertAlign w:val="superscript"/>
        </w:rPr>
        <w:t>(22)</w:t>
      </w:r>
      <w:r w:rsidR="00543F01">
        <w:rPr>
          <w:rFonts w:ascii="Calibri" w:hAnsi="Calibri"/>
          <w:spacing w:val="-3"/>
        </w:rPr>
        <w:t>.</w:t>
      </w:r>
    </w:p>
    <w:p w14:paraId="698CD8EB" w14:textId="77777777" w:rsidR="00D3553B" w:rsidRDefault="00D3553B" w:rsidP="00631474">
      <w:pPr>
        <w:spacing w:line="480" w:lineRule="auto"/>
        <w:rPr>
          <w:rFonts w:ascii="Calibri" w:hAnsi="Calibri"/>
          <w:spacing w:val="-3"/>
        </w:rPr>
      </w:pPr>
    </w:p>
    <w:p w14:paraId="1C3F0F36" w14:textId="77777777" w:rsidR="00E44614" w:rsidRPr="00B506B8" w:rsidRDefault="00690E8A" w:rsidP="00631474">
      <w:pPr>
        <w:spacing w:line="480" w:lineRule="auto"/>
        <w:rPr>
          <w:rFonts w:ascii="Calibri" w:hAnsi="Calibri"/>
          <w:spacing w:val="-3"/>
        </w:rPr>
      </w:pPr>
      <w:r>
        <w:t>Proteomic anal</w:t>
      </w:r>
      <w:r w:rsidR="00EF5B28">
        <w:t>ysis</w:t>
      </w:r>
      <w:r>
        <w:t xml:space="preserve"> has the potential advantage of providing the most direct assessm</w:t>
      </w:r>
      <w:r w:rsidR="00404FB7">
        <w:t>ent of functional tumour biology</w:t>
      </w:r>
      <w:r w:rsidR="00404FB7">
        <w:rPr>
          <w:vertAlign w:val="superscript"/>
        </w:rPr>
        <w:t>(23)</w:t>
      </w:r>
      <w:r>
        <w:t>.</w:t>
      </w:r>
      <w:r w:rsidR="00B506B8">
        <w:t xml:space="preserve">  We aimed to undertake a novel temporal proteomic profiling of rectal cancers </w:t>
      </w:r>
      <w:r w:rsidR="00EB2C6C">
        <w:t xml:space="preserve">both prior to and following CRT, </w:t>
      </w:r>
      <w:r w:rsidR="00B506B8">
        <w:t>to determine differentially expressed proteins between responders and non-responders to CRT</w:t>
      </w:r>
      <w:r w:rsidR="00EB2C6C">
        <w:t xml:space="preserve"> as defined by standard tumour regression grading (TRG).  </w:t>
      </w:r>
      <w:r w:rsidR="004D2344">
        <w:t>Any c</w:t>
      </w:r>
      <w:r w:rsidR="00EB2C6C">
        <w:t xml:space="preserve">andidate proteins would be subsequently validated using </w:t>
      </w:r>
      <w:r w:rsidR="004D2344">
        <w:t xml:space="preserve">a </w:t>
      </w:r>
      <w:r w:rsidR="00EB2C6C">
        <w:t>specially constructed tissue microarray</w:t>
      </w:r>
      <w:r w:rsidR="004D2344">
        <w:t xml:space="preserve"> </w:t>
      </w:r>
      <w:r w:rsidR="00EB2C6C">
        <w:t>(TMA) of rectal cancer specimens.</w:t>
      </w:r>
    </w:p>
    <w:p w14:paraId="3A374297" w14:textId="77777777" w:rsidR="00EE51D0" w:rsidRDefault="00EE51D0" w:rsidP="00631474">
      <w:pPr>
        <w:spacing w:line="480" w:lineRule="auto"/>
      </w:pPr>
    </w:p>
    <w:p w14:paraId="750268A1" w14:textId="77777777" w:rsidR="007468FA" w:rsidRDefault="007468FA" w:rsidP="00631474">
      <w:pPr>
        <w:spacing w:line="480" w:lineRule="auto"/>
      </w:pPr>
    </w:p>
    <w:p w14:paraId="7874D727" w14:textId="77777777" w:rsidR="007955A9" w:rsidRDefault="007955A9" w:rsidP="00631474">
      <w:pPr>
        <w:spacing w:line="480" w:lineRule="auto"/>
        <w:rPr>
          <w:b/>
          <w:sz w:val="24"/>
          <w:szCs w:val="24"/>
        </w:rPr>
      </w:pPr>
    </w:p>
    <w:p w14:paraId="356EFE50" w14:textId="77777777" w:rsidR="007955A9" w:rsidRDefault="007955A9" w:rsidP="00631474">
      <w:pPr>
        <w:spacing w:line="480" w:lineRule="auto"/>
        <w:rPr>
          <w:b/>
          <w:sz w:val="24"/>
          <w:szCs w:val="24"/>
        </w:rPr>
      </w:pPr>
    </w:p>
    <w:p w14:paraId="7E1F0260" w14:textId="77777777" w:rsidR="007955A9" w:rsidRDefault="007955A9" w:rsidP="00631474">
      <w:pPr>
        <w:spacing w:line="480" w:lineRule="auto"/>
        <w:rPr>
          <w:b/>
          <w:sz w:val="24"/>
          <w:szCs w:val="24"/>
        </w:rPr>
      </w:pPr>
    </w:p>
    <w:p w14:paraId="06AB0960" w14:textId="77777777" w:rsidR="007955A9" w:rsidRDefault="007955A9" w:rsidP="00631474">
      <w:pPr>
        <w:spacing w:line="480" w:lineRule="auto"/>
        <w:rPr>
          <w:b/>
          <w:sz w:val="24"/>
          <w:szCs w:val="24"/>
        </w:rPr>
      </w:pPr>
    </w:p>
    <w:p w14:paraId="6A935BF3" w14:textId="77777777" w:rsidR="007955A9" w:rsidRDefault="007955A9" w:rsidP="00631474">
      <w:pPr>
        <w:spacing w:line="480" w:lineRule="auto"/>
        <w:rPr>
          <w:b/>
          <w:sz w:val="24"/>
          <w:szCs w:val="24"/>
        </w:rPr>
      </w:pPr>
    </w:p>
    <w:p w14:paraId="323B5C55" w14:textId="77777777" w:rsidR="007955A9" w:rsidRDefault="007955A9" w:rsidP="00631474">
      <w:pPr>
        <w:spacing w:line="480" w:lineRule="auto"/>
        <w:rPr>
          <w:b/>
          <w:sz w:val="24"/>
          <w:szCs w:val="24"/>
        </w:rPr>
      </w:pPr>
    </w:p>
    <w:p w14:paraId="2A5207AA" w14:textId="77777777" w:rsidR="007955A9" w:rsidRDefault="007955A9" w:rsidP="00631474">
      <w:pPr>
        <w:spacing w:line="480" w:lineRule="auto"/>
        <w:rPr>
          <w:b/>
          <w:sz w:val="24"/>
          <w:szCs w:val="24"/>
        </w:rPr>
      </w:pPr>
    </w:p>
    <w:p w14:paraId="27FCD5FB" w14:textId="77777777" w:rsidR="007955A9" w:rsidRDefault="007955A9" w:rsidP="00631474">
      <w:pPr>
        <w:spacing w:line="480" w:lineRule="auto"/>
        <w:rPr>
          <w:b/>
          <w:sz w:val="24"/>
          <w:szCs w:val="24"/>
        </w:rPr>
      </w:pPr>
    </w:p>
    <w:p w14:paraId="29A9D421" w14:textId="77777777" w:rsidR="005A66E0" w:rsidRDefault="005A66E0" w:rsidP="00B506B8">
      <w:pPr>
        <w:spacing w:line="480" w:lineRule="auto"/>
        <w:rPr>
          <w:b/>
          <w:sz w:val="24"/>
          <w:szCs w:val="24"/>
        </w:rPr>
      </w:pPr>
    </w:p>
    <w:p w14:paraId="733BB693" w14:textId="77777777" w:rsidR="00210E25" w:rsidRDefault="00210E25" w:rsidP="00B506B8">
      <w:pPr>
        <w:spacing w:line="480" w:lineRule="auto"/>
        <w:rPr>
          <w:b/>
          <w:sz w:val="24"/>
          <w:szCs w:val="24"/>
        </w:rPr>
      </w:pPr>
    </w:p>
    <w:p w14:paraId="34FF3648" w14:textId="77777777" w:rsidR="00B506B8" w:rsidRDefault="00C92496" w:rsidP="00B506B8">
      <w:pPr>
        <w:spacing w:line="480" w:lineRule="auto"/>
        <w:rPr>
          <w:b/>
          <w:sz w:val="24"/>
          <w:szCs w:val="24"/>
        </w:rPr>
      </w:pPr>
      <w:r w:rsidRPr="00337759">
        <w:rPr>
          <w:b/>
          <w:sz w:val="24"/>
          <w:szCs w:val="24"/>
        </w:rPr>
        <w:lastRenderedPageBreak/>
        <w:t>Methods</w:t>
      </w:r>
    </w:p>
    <w:p w14:paraId="3DD22D51" w14:textId="77777777" w:rsidR="00337759" w:rsidRPr="00B506B8" w:rsidRDefault="00BD4548" w:rsidP="00B506B8">
      <w:pPr>
        <w:spacing w:after="0" w:line="480" w:lineRule="auto"/>
        <w:rPr>
          <w:b/>
          <w:sz w:val="24"/>
          <w:szCs w:val="24"/>
        </w:rPr>
      </w:pPr>
      <w:r>
        <w:rPr>
          <w:b/>
        </w:rPr>
        <w:t>Ethical A</w:t>
      </w:r>
      <w:r w:rsidR="00A34C7C" w:rsidRPr="00337759">
        <w:rPr>
          <w:b/>
        </w:rPr>
        <w:t>pproval</w:t>
      </w:r>
    </w:p>
    <w:p w14:paraId="43215481" w14:textId="77777777" w:rsidR="00C92496" w:rsidRPr="00337759" w:rsidRDefault="00337759" w:rsidP="00631474">
      <w:pPr>
        <w:spacing w:line="480" w:lineRule="auto"/>
      </w:pPr>
      <w:bookmarkStart w:id="6" w:name="_Hlk492811266"/>
      <w:r>
        <w:t xml:space="preserve">The work presented in this paper was performed under NHS Research Ethics Committee approval (12/NW/0011).  </w:t>
      </w:r>
    </w:p>
    <w:bookmarkEnd w:id="6"/>
    <w:p w14:paraId="70B3B360" w14:textId="77777777" w:rsidR="00A34C7C" w:rsidRDefault="00BD4548" w:rsidP="00B506B8">
      <w:pPr>
        <w:spacing w:after="0" w:line="480" w:lineRule="auto"/>
      </w:pPr>
      <w:r>
        <w:rPr>
          <w:b/>
        </w:rPr>
        <w:t>Rectal Cancer S</w:t>
      </w:r>
      <w:r w:rsidR="00A34C7C" w:rsidRPr="00337759">
        <w:rPr>
          <w:b/>
        </w:rPr>
        <w:t>ampling</w:t>
      </w:r>
    </w:p>
    <w:p w14:paraId="11FB2464" w14:textId="27DA4F2B" w:rsidR="00202CD8" w:rsidRDefault="00AC0FDC" w:rsidP="00202CD8">
      <w:pPr>
        <w:spacing w:after="0" w:line="480" w:lineRule="auto"/>
      </w:pPr>
      <w:r>
        <w:t xml:space="preserve">Patients </w:t>
      </w:r>
      <w:r w:rsidR="00D44FCD">
        <w:t>receiving a diagnosis of rectal cancer at The Countess of Chester Hospital and identified by the multidisciplinary team as requiring CRT were approach</w:t>
      </w:r>
      <w:r w:rsidR="00786FA3">
        <w:t xml:space="preserve">ed for inclusion in the study.  </w:t>
      </w:r>
      <w:r>
        <w:t>Those giving informed consent</w:t>
      </w:r>
      <w:r w:rsidR="00D44FCD">
        <w:t xml:space="preserve"> to participate were invited back to th</w:t>
      </w:r>
      <w:r>
        <w:t xml:space="preserve">e endoscopy unit for a </w:t>
      </w:r>
      <w:r w:rsidR="00D44FCD">
        <w:t xml:space="preserve">limited flexible sigmoidoscopy and biopsy.  Three ‘double bites’ </w:t>
      </w:r>
      <w:r w:rsidR="00652B4F">
        <w:t>with</w:t>
      </w:r>
      <w:r w:rsidR="00D44FCD">
        <w:t xml:space="preserve"> a standard e</w:t>
      </w:r>
      <w:r>
        <w:t>ndoscopic forcep (</w:t>
      </w:r>
      <w:r>
        <w:rPr>
          <w:rFonts w:cstheme="minorHAnsi"/>
        </w:rPr>
        <w:t>≈</w:t>
      </w:r>
      <w:r w:rsidR="00D44FCD">
        <w:t>3mm</w:t>
      </w:r>
      <w:r w:rsidR="00D44FCD">
        <w:rPr>
          <w:vertAlign w:val="superscript"/>
        </w:rPr>
        <w:t>3</w:t>
      </w:r>
      <w:r w:rsidR="00D44FCD">
        <w:t xml:space="preserve"> tissue in total) of peripheral tumour was biopsied, with deliberate attempts to avoid the area of necrotic tissue</w:t>
      </w:r>
      <w:r w:rsidR="00652B4F">
        <w:t xml:space="preserve"> centrally</w:t>
      </w:r>
      <w:r w:rsidR="00D44FCD">
        <w:t>.  Patients were contacted o</w:t>
      </w:r>
      <w:r w:rsidR="00652B4F">
        <w:t>ne week after CRT cessation</w:t>
      </w:r>
      <w:r w:rsidR="00D44FCD">
        <w:t xml:space="preserve"> and invited to return for a further limited fle</w:t>
      </w:r>
      <w:r w:rsidR="004B178F">
        <w:t>xible sigmoidoscopy and biopsy.</w:t>
      </w:r>
      <w:r w:rsidR="00202CD8">
        <w:t xml:space="preserve"> </w:t>
      </w:r>
      <w:r w:rsidR="00D44FCD">
        <w:t xml:space="preserve">On the day of resection, a sample of tumour and normal adjacent mucosa were obtained. </w:t>
      </w:r>
      <w:r w:rsidR="00652B4F">
        <w:t xml:space="preserve"> </w:t>
      </w:r>
      <w:r w:rsidR="00D44FCD">
        <w:t>Following delivery of the colorectal specimen</w:t>
      </w:r>
      <w:r w:rsidR="00652B4F">
        <w:t>,</w:t>
      </w:r>
      <w:r w:rsidR="00D44FCD">
        <w:t xml:space="preserve"> the proximal staple line was incised and a linear cut made down the antimesenteric border before excising a peripheral section of tumour using forceps and a scalpel.  All samples were placed in individually labelled cryodorfs, snap frozen in liquid nitrogen and transferre</w:t>
      </w:r>
      <w:r w:rsidR="00652B4F">
        <w:t>d to a -80</w:t>
      </w:r>
      <w:r w:rsidR="00652B4F">
        <w:rPr>
          <w:rFonts w:cstheme="minorHAnsi"/>
        </w:rPr>
        <w:t>°</w:t>
      </w:r>
      <w:r w:rsidR="00652B4F">
        <w:t>C storage facility.</w:t>
      </w:r>
    </w:p>
    <w:p w14:paraId="455A0AD0" w14:textId="2DD5DBE4" w:rsidR="00DA2118" w:rsidRPr="00DA2118" w:rsidRDefault="00DA2118" w:rsidP="00B507CC">
      <w:pPr>
        <w:spacing w:before="240" w:after="0" w:line="480" w:lineRule="auto"/>
        <w:rPr>
          <w:b/>
        </w:rPr>
      </w:pPr>
      <w:r>
        <w:rPr>
          <w:b/>
        </w:rPr>
        <w:t>Sample Preparation</w:t>
      </w:r>
      <w:r w:rsidR="00177932">
        <w:rPr>
          <w:b/>
        </w:rPr>
        <w:t xml:space="preserve"> and Labelling </w:t>
      </w:r>
    </w:p>
    <w:p w14:paraId="50715495" w14:textId="398AA2E2" w:rsidR="00DA2118" w:rsidRPr="004B178F" w:rsidRDefault="00652B4F" w:rsidP="004B178F">
      <w:pPr>
        <w:spacing w:line="480" w:lineRule="auto"/>
      </w:pPr>
      <w:r>
        <w:t>Protein was extracted from sampled tissue by mechanical</w:t>
      </w:r>
      <w:r w:rsidR="00DA2118">
        <w:t xml:space="preserve"> dissolution and sonication in </w:t>
      </w:r>
      <w:r>
        <w:t>500mM triethylammonium bicarbonate with 0.1% sodium dodecyl sulphate.  After centrifugation at 4</w:t>
      </w:r>
      <w:r>
        <w:rPr>
          <w:rFonts w:cstheme="minorHAnsi"/>
        </w:rPr>
        <w:t>°</w:t>
      </w:r>
      <w:r w:rsidR="00DA2118">
        <w:t>C a</w:t>
      </w:r>
      <w:r w:rsidR="0020532B">
        <w:t>nd</w:t>
      </w:r>
      <w:r w:rsidR="00DA2118">
        <w:t xml:space="preserve"> 20</w:t>
      </w:r>
      <w:r w:rsidR="0020532B">
        <w:t>0</w:t>
      </w:r>
      <w:r w:rsidR="00DA2118">
        <w:t>00</w:t>
      </w:r>
      <w:r>
        <w:t>g for 15 minutes, the supernatant was re</w:t>
      </w:r>
      <w:r w:rsidR="0020532B">
        <w:t>covere</w:t>
      </w:r>
      <w:r>
        <w:t>d and protein concentration</w:t>
      </w:r>
      <w:r w:rsidR="004B178F">
        <w:t xml:space="preserve"> determined by Bradford assay.</w:t>
      </w:r>
      <w:r w:rsidR="00177932">
        <w:t xml:space="preserve"> </w:t>
      </w:r>
      <w:r w:rsidR="00DA2118" w:rsidRPr="00DA2118">
        <w:t>Labelling with iTRAQ reagents was carried out according to t</w:t>
      </w:r>
      <w:r w:rsidR="007E35AA">
        <w:t xml:space="preserve">he </w:t>
      </w:r>
      <w:r w:rsidR="00A13391">
        <w:t>Sciex</w:t>
      </w:r>
      <w:r w:rsidR="007E35AA">
        <w:t xml:space="preserve"> protocol </w:t>
      </w:r>
      <w:r w:rsidR="00DA2118" w:rsidRPr="00DA2118">
        <w:t>for an 8-plex procedure (</w:t>
      </w:r>
      <w:r w:rsidR="00A13391">
        <w:t>Framingham, MA, USA</w:t>
      </w:r>
      <w:r w:rsidR="00DA2118" w:rsidRPr="00DA2118">
        <w:t>).  I</w:t>
      </w:r>
      <w:r w:rsidR="007E35AA">
        <w:t xml:space="preserve">n brief, 100μg of protein from </w:t>
      </w:r>
      <w:r w:rsidR="00DA2118" w:rsidRPr="00DA2118">
        <w:t>each sample was reduced with Tris (2-carboxyethyl) phos</w:t>
      </w:r>
      <w:r w:rsidR="007E35AA">
        <w:t xml:space="preserve">phine hydrochloride (TCEP) and capped with </w:t>
      </w:r>
      <w:r w:rsidR="00DA2118" w:rsidRPr="00DA2118">
        <w:t>methylmethanethiosulfate (MMTS), before ov</w:t>
      </w:r>
      <w:r w:rsidR="007E35AA">
        <w:t xml:space="preserve">ernight digestion with trypsin (Promega, </w:t>
      </w:r>
      <w:r w:rsidR="00DA2118" w:rsidRPr="00DA2118">
        <w:t>Southampton, UK).</w:t>
      </w:r>
      <w:r w:rsidR="007E35AA">
        <w:t xml:space="preserve"> </w:t>
      </w:r>
      <w:r w:rsidR="00DA2118" w:rsidRPr="00DA2118">
        <w:t xml:space="preserve"> Peptides were then labelled</w:t>
      </w:r>
      <w:r w:rsidR="007E35AA">
        <w:t xml:space="preserve"> with isobaric tags</w:t>
      </w:r>
      <w:r w:rsidR="0020532B">
        <w:t xml:space="preserve">, </w:t>
      </w:r>
      <w:r w:rsidR="007E35AA">
        <w:t>pooled and diluted to 5mL</w:t>
      </w:r>
      <w:r w:rsidR="00DA2118" w:rsidRPr="00DA2118">
        <w:t xml:space="preserve"> with </w:t>
      </w:r>
      <w:r w:rsidR="00DA2118" w:rsidRPr="00DA2118">
        <w:lastRenderedPageBreak/>
        <w:t>10mM potassium dihydrogen ph</w:t>
      </w:r>
      <w:r w:rsidR="007E35AA">
        <w:t xml:space="preserve">osphate/25% acetonitrile (ACN) </w:t>
      </w:r>
      <w:r w:rsidR="00DA2118" w:rsidRPr="00DA2118">
        <w:t>and acidified to pH</w:t>
      </w:r>
      <w:r w:rsidR="007E35AA" w:rsidRPr="00DA2118">
        <w:t>&lt;</w:t>
      </w:r>
      <w:r w:rsidR="00DA2118" w:rsidRPr="00DA2118">
        <w:t>3 with phosphoric acid.</w:t>
      </w:r>
    </w:p>
    <w:p w14:paraId="26C6B963" w14:textId="77777777" w:rsidR="00DA2118" w:rsidRPr="00DA2118" w:rsidRDefault="004B178F" w:rsidP="00B506B8">
      <w:pPr>
        <w:spacing w:after="0" w:line="480" w:lineRule="auto"/>
        <w:rPr>
          <w:b/>
        </w:rPr>
      </w:pPr>
      <w:r>
        <w:rPr>
          <w:b/>
        </w:rPr>
        <w:t>Cation E</w:t>
      </w:r>
      <w:r w:rsidR="00B506B8">
        <w:rPr>
          <w:b/>
        </w:rPr>
        <w:t>xchange</w:t>
      </w:r>
    </w:p>
    <w:p w14:paraId="30C2DBF7" w14:textId="1FF1E8AE" w:rsidR="006A49F1" w:rsidRPr="004B178F" w:rsidRDefault="00DA2118" w:rsidP="004B178F">
      <w:pPr>
        <w:spacing w:line="480" w:lineRule="auto"/>
      </w:pPr>
      <w:r w:rsidRPr="007E35AA">
        <w:t>Samples were fractionated on a Polysulfoethyl A strong cation-</w:t>
      </w:r>
      <w:r w:rsidR="007E35AA">
        <w:t>exchange column (200 × 4.6mm, 5</w:t>
      </w:r>
      <w:r w:rsidR="007E35AA">
        <w:rPr>
          <w:rFonts w:cstheme="minorHAnsi"/>
        </w:rPr>
        <w:t>µ</w:t>
      </w:r>
      <w:r w:rsidRPr="007E35AA">
        <w:t>m, 300Å; Poly LC, Columbia, MD) at 2ml/min</w:t>
      </w:r>
      <w:r w:rsidR="007E35AA">
        <w:t xml:space="preserve"> using a gradient from 10mM </w:t>
      </w:r>
      <w:r w:rsidRPr="007E35AA">
        <w:t>potassium dihydrogen phosphate/25% ACN (w/v) t</w:t>
      </w:r>
      <w:r w:rsidR="007E35AA">
        <w:t>o 0.</w:t>
      </w:r>
      <w:r w:rsidR="0020532B">
        <w:t>1</w:t>
      </w:r>
      <w:r w:rsidR="007E35AA">
        <w:t xml:space="preserve">5M potassium chloride/10mM </w:t>
      </w:r>
      <w:r w:rsidRPr="007E35AA">
        <w:t xml:space="preserve">potassium dihydrogen phosphate/25% ACN (w/w/v) in 75 </w:t>
      </w:r>
      <w:r w:rsidR="007E35AA">
        <w:t xml:space="preserve">minutes. </w:t>
      </w:r>
      <w:r w:rsidR="004268ED">
        <w:t xml:space="preserve"> Fractions of 2mL</w:t>
      </w:r>
      <w:r w:rsidR="007E35AA">
        <w:t xml:space="preserve"> were </w:t>
      </w:r>
      <w:r w:rsidRPr="007E35AA">
        <w:t>collected and dried by centrifugation under vacuu</w:t>
      </w:r>
      <w:r w:rsidR="007E35AA">
        <w:t xml:space="preserve">m (SpeedVac, Eppendorf UK Ltd, </w:t>
      </w:r>
      <w:r w:rsidRPr="007E35AA">
        <w:t xml:space="preserve">Stevenage, UK). </w:t>
      </w:r>
      <w:r w:rsidR="007E35AA">
        <w:t xml:space="preserve"> </w:t>
      </w:r>
      <w:r w:rsidRPr="007E35AA">
        <w:t>Fra</w:t>
      </w:r>
      <w:r w:rsidR="007E35AA">
        <w:t>ctions were reconstituted in 1mL</w:t>
      </w:r>
      <w:r w:rsidRPr="007E35AA">
        <w:t xml:space="preserve"> of 0.1% </w:t>
      </w:r>
      <w:r w:rsidR="007E35AA">
        <w:t xml:space="preserve">trifluoroacetic acid (TFA) and </w:t>
      </w:r>
      <w:r w:rsidRPr="007E35AA">
        <w:t xml:space="preserve">were desalted using a mRP Hi Recovery protein column 4.6 </w:t>
      </w:r>
      <w:r w:rsidR="007E35AA" w:rsidRPr="007E35AA">
        <w:t xml:space="preserve">x 50mm (Agilent, Berkshire UK) </w:t>
      </w:r>
      <w:r w:rsidRPr="007E35AA">
        <w:t>on a Vision Workstation (Applied Biosystems/Life Technologi</w:t>
      </w:r>
      <w:r w:rsidR="007E35AA">
        <w:t>es, Paisley, UK) prior to mass spectrometry</w:t>
      </w:r>
      <w:r w:rsidRPr="007E35AA">
        <w:t xml:space="preserve"> analysis.</w:t>
      </w:r>
    </w:p>
    <w:p w14:paraId="3E7D53C5" w14:textId="77777777" w:rsidR="00DA2118" w:rsidRPr="00DA2118" w:rsidRDefault="004B178F" w:rsidP="00B506B8">
      <w:pPr>
        <w:spacing w:after="0" w:line="480" w:lineRule="auto"/>
        <w:rPr>
          <w:b/>
        </w:rPr>
      </w:pPr>
      <w:r>
        <w:rPr>
          <w:b/>
        </w:rPr>
        <w:t>Mass S</w:t>
      </w:r>
      <w:r w:rsidR="00DA2118" w:rsidRPr="00DA2118">
        <w:rPr>
          <w:b/>
        </w:rPr>
        <w:t xml:space="preserve">pectrometry </w:t>
      </w:r>
    </w:p>
    <w:p w14:paraId="69037984" w14:textId="396B96B1" w:rsidR="007E35AA" w:rsidRDefault="00DA2118" w:rsidP="004B178F">
      <w:pPr>
        <w:spacing w:line="480" w:lineRule="auto"/>
      </w:pPr>
      <w:r w:rsidRPr="007E35AA">
        <w:t>Desalted fra</w:t>
      </w:r>
      <w:r w:rsidR="007E35AA">
        <w:t>ctions were reconstituted in 40</w:t>
      </w:r>
      <w:r w:rsidR="007E35AA">
        <w:rPr>
          <w:rFonts w:cstheme="minorHAnsi"/>
        </w:rPr>
        <w:t>µ</w:t>
      </w:r>
      <w:r w:rsidR="004268ED">
        <w:t>L</w:t>
      </w:r>
      <w:r w:rsidRPr="007E35AA">
        <w:t xml:space="preserve"> 0.1% formic acid </w:t>
      </w:r>
      <w:r w:rsidR="007E35AA">
        <w:t>and 5</w:t>
      </w:r>
      <w:r w:rsidR="007E35AA">
        <w:rPr>
          <w:rFonts w:cstheme="minorHAnsi"/>
        </w:rPr>
        <w:t>µ</w:t>
      </w:r>
      <w:r w:rsidR="004268ED">
        <w:t>L</w:t>
      </w:r>
      <w:r w:rsidR="007E35AA">
        <w:t xml:space="preserve"> aliquots were </w:t>
      </w:r>
      <w:r w:rsidRPr="007E35AA">
        <w:t>deliv</w:t>
      </w:r>
      <w:r w:rsidR="0020532B">
        <w:t>ered into a Triple TOF 5600 (</w:t>
      </w:r>
      <w:r w:rsidRPr="007E35AA">
        <w:t>Sciex, Warrington,</w:t>
      </w:r>
      <w:r w:rsidR="007E35AA">
        <w:t xml:space="preserve"> UK) via an Eksig</w:t>
      </w:r>
      <w:r w:rsidR="0020532B">
        <w:t>ent NanoUltra cHiPLC System (</w:t>
      </w:r>
      <w:r w:rsidR="007E35AA">
        <w:t xml:space="preserve">Sciex) </w:t>
      </w:r>
      <w:r w:rsidRPr="007E35AA">
        <w:t>mounted with a microfluidic</w:t>
      </w:r>
      <w:r w:rsidR="007E35AA">
        <w:t xml:space="preserve"> trap and analytical column (15cm × 75μm) packed with ChromXP </w:t>
      </w:r>
      <w:r w:rsidR="004268ED">
        <w:t>C18−CL 3</w:t>
      </w:r>
      <w:r w:rsidRPr="007E35AA">
        <w:t>μm.</w:t>
      </w:r>
      <w:r w:rsidR="007E35AA">
        <w:t xml:space="preserve"> </w:t>
      </w:r>
      <w:r w:rsidRPr="007E35AA">
        <w:t xml:space="preserve"> A NanoSpray III</w:t>
      </w:r>
      <w:r w:rsidR="007E35AA">
        <w:t xml:space="preserve"> source was fitted with a 10μm </w:t>
      </w:r>
      <w:r w:rsidRPr="007E35AA">
        <w:t xml:space="preserve">inner diameter PicoTip emitter (New Objective, Woburn, USA). </w:t>
      </w:r>
      <w:r w:rsidR="007E35AA">
        <w:t xml:space="preserve"> The trap column was </w:t>
      </w:r>
      <w:r w:rsidRPr="007E35AA">
        <w:t>washed with 2% ACN/0.1% formic acid for 10 minutes at</w:t>
      </w:r>
      <w:r w:rsidR="007E35AA">
        <w:t xml:space="preserve"> 2μL/min before switching in-</w:t>
      </w:r>
      <w:r w:rsidRPr="007E35AA">
        <w:t xml:space="preserve">line with the analytical column. </w:t>
      </w:r>
      <w:r w:rsidR="007E35AA">
        <w:t xml:space="preserve"> </w:t>
      </w:r>
      <w:r w:rsidRPr="007E35AA">
        <w:t>A gradient of 2−50% ACN/</w:t>
      </w:r>
      <w:r w:rsidR="007E35AA">
        <w:t xml:space="preserve">0.1% formic acid (v/v) over 90 </w:t>
      </w:r>
      <w:r w:rsidRPr="007E35AA">
        <w:t>minutes was applied to th</w:t>
      </w:r>
      <w:r w:rsidR="007E35AA">
        <w:t>e column at a flow rate of 300nL</w:t>
      </w:r>
      <w:r w:rsidR="004268ED">
        <w:t xml:space="preserve">/min. Spectra were acquired </w:t>
      </w:r>
      <w:r w:rsidRPr="007E35AA">
        <w:t>automatically in positive ion mode using information-dependent acquisition powered by</w:t>
      </w:r>
      <w:r w:rsidR="006A49F1">
        <w:t xml:space="preserve"> Analyst TF 1.5.1. software (</w:t>
      </w:r>
      <w:r w:rsidRPr="007E35AA">
        <w:t>Sciex).</w:t>
      </w:r>
      <w:r w:rsidR="004268ED">
        <w:t xml:space="preserve"> </w:t>
      </w:r>
      <w:r w:rsidRPr="007E35AA">
        <w:t xml:space="preserve"> Up to 25 MS/MS </w:t>
      </w:r>
      <w:r w:rsidR="004268ED">
        <w:t xml:space="preserve">spectra were acquired per cycle </w:t>
      </w:r>
      <w:r w:rsidRPr="007E35AA">
        <w:t>(approximately 10Hz) using a threshold of 100 coun</w:t>
      </w:r>
      <w:r w:rsidR="004268ED">
        <w:t xml:space="preserve">ts per second and with dynamic </w:t>
      </w:r>
      <w:r w:rsidRPr="007E35AA">
        <w:t>exclusion for 12 seconds.</w:t>
      </w:r>
      <w:r w:rsidR="004268ED">
        <w:t xml:space="preserve"> </w:t>
      </w:r>
      <w:r w:rsidRPr="007E35AA">
        <w:t xml:space="preserve"> The rolling collision energy was increased automatically </w:t>
      </w:r>
      <w:r w:rsidR="004268ED">
        <w:t xml:space="preserve">by </w:t>
      </w:r>
      <w:r w:rsidRPr="007E35AA">
        <w:t xml:space="preserve">selecting the </w:t>
      </w:r>
      <w:r w:rsidR="004B178F">
        <w:t>isobaric tagging for relative and absolute quantification (</w:t>
      </w:r>
      <w:r w:rsidRPr="007E35AA">
        <w:t>iTRAQ</w:t>
      </w:r>
      <w:r w:rsidR="004B178F">
        <w:t>)</w:t>
      </w:r>
      <w:r w:rsidRPr="007E35AA">
        <w:t xml:space="preserve"> check box in Analyst, and manually by i</w:t>
      </w:r>
      <w:r w:rsidR="004268ED">
        <w:t xml:space="preserve">ncreasing the collision energy </w:t>
      </w:r>
      <w:r w:rsidRPr="007E35AA">
        <w:t>intercepts by 5.</w:t>
      </w:r>
    </w:p>
    <w:p w14:paraId="4559ABB2" w14:textId="77777777" w:rsidR="00127A37" w:rsidRDefault="00EE51D0" w:rsidP="00B506B8">
      <w:pPr>
        <w:spacing w:after="0" w:line="480" w:lineRule="auto"/>
        <w:rPr>
          <w:b/>
        </w:rPr>
      </w:pPr>
      <w:r>
        <w:rPr>
          <w:b/>
        </w:rPr>
        <w:lastRenderedPageBreak/>
        <w:t>Protein Identification</w:t>
      </w:r>
    </w:p>
    <w:p w14:paraId="1C1CB757" w14:textId="77777777" w:rsidR="00127A37" w:rsidRPr="004B178F" w:rsidRDefault="00BD4548" w:rsidP="004B178F">
      <w:pPr>
        <w:spacing w:line="480" w:lineRule="auto"/>
      </w:pPr>
      <w:r>
        <w:t>Data were searched using ProteinPilot 4.</w:t>
      </w:r>
      <w:r w:rsidR="006A49F1">
        <w:t>2 and the Paragon algorithm (</w:t>
      </w:r>
      <w:r>
        <w:t>Sciex) against the latest version of the SwissProt database</w:t>
      </w:r>
      <w:r w:rsidR="006A49F1">
        <w:t xml:space="preserve"> (release 2013_08: 20,266 human entries), </w:t>
      </w:r>
      <w:r>
        <w:t xml:space="preserve">with MMTS as a </w:t>
      </w:r>
      <w:r w:rsidR="00127A37">
        <w:t xml:space="preserve">fixed modification of cysteine </w:t>
      </w:r>
      <w:r>
        <w:t xml:space="preserve">residues and biological modifications allowed. </w:t>
      </w:r>
      <w:r w:rsidR="00127A37">
        <w:t xml:space="preserve"> </w:t>
      </w:r>
      <w:r w:rsidR="006A49F1">
        <w:t xml:space="preserve">Mass tolerance for precursor and fragment ions was 10ppm.  No missed cleavages or variable modifications were allowed for peptides used for quantification.  </w:t>
      </w:r>
      <w:r>
        <w:t>The dat</w:t>
      </w:r>
      <w:r w:rsidR="00127A37">
        <w:t xml:space="preserve">a were also searched against a </w:t>
      </w:r>
      <w:r>
        <w:t>reversed decoy database and only proteins lying within a 1% global false discover</w:t>
      </w:r>
      <w:r w:rsidR="00127A37">
        <w:t>y rate</w:t>
      </w:r>
      <w:r>
        <w:t xml:space="preserve"> w</w:t>
      </w:r>
      <w:r w:rsidR="00127A37">
        <w:t xml:space="preserve">ere taken forward for analysis.  </w:t>
      </w:r>
      <w:r>
        <w:t>Quanti</w:t>
      </w:r>
      <w:r w:rsidR="00127A37">
        <w:t>fica</w:t>
      </w:r>
      <w:r>
        <w:t>tion of prote</w:t>
      </w:r>
      <w:r w:rsidR="00127A37">
        <w:t xml:space="preserve">ins was relative to a common </w:t>
      </w:r>
      <w:r>
        <w:t xml:space="preserve">pooled </w:t>
      </w:r>
      <w:r w:rsidR="006A49F1">
        <w:t>sample present in all</w:t>
      </w:r>
      <w:r w:rsidR="00127A37">
        <w:t xml:space="preserve"> experiment</w:t>
      </w:r>
      <w:r w:rsidR="006A49F1">
        <w:t>s</w:t>
      </w:r>
      <w:r w:rsidR="00127A37">
        <w:t xml:space="preserve">.  </w:t>
      </w:r>
      <w:r>
        <w:t>iTRAQ d</w:t>
      </w:r>
      <w:r w:rsidR="00127A37">
        <w:t xml:space="preserve">ata for proteins identified by 2 </w:t>
      </w:r>
      <w:r>
        <w:t>or more peptides with at least 90% confidence of correct sequenc</w:t>
      </w:r>
      <w:r w:rsidR="00127A37">
        <w:t xml:space="preserve">e assignment, or by a </w:t>
      </w:r>
      <w:r>
        <w:t>single peptide with at least 99% co</w:t>
      </w:r>
      <w:r w:rsidR="00127A37">
        <w:t xml:space="preserve">nfidence were log2 transformed, batch corrected and </w:t>
      </w:r>
      <w:r>
        <w:t>included in subsequent analyses</w:t>
      </w:r>
      <w:r w:rsidR="00425BA4">
        <w:t>.</w:t>
      </w:r>
    </w:p>
    <w:p w14:paraId="14B238C2" w14:textId="77777777" w:rsidR="00127A37" w:rsidRDefault="000C4ADE" w:rsidP="00B506B8">
      <w:pPr>
        <w:spacing w:after="0" w:line="480" w:lineRule="auto"/>
        <w:rPr>
          <w:b/>
        </w:rPr>
      </w:pPr>
      <w:r>
        <w:rPr>
          <w:b/>
        </w:rPr>
        <w:t xml:space="preserve">Differential Analysis and </w:t>
      </w:r>
      <w:r w:rsidR="00BD4548">
        <w:rPr>
          <w:b/>
        </w:rPr>
        <w:t>Pathway Analysis</w:t>
      </w:r>
    </w:p>
    <w:p w14:paraId="14382E24" w14:textId="30F8E059" w:rsidR="00127A37" w:rsidRPr="00127A37" w:rsidRDefault="00127A37" w:rsidP="004B178F">
      <w:pPr>
        <w:spacing w:line="480" w:lineRule="auto"/>
      </w:pPr>
      <w:r w:rsidRPr="00127A37">
        <w:t>A number of direct two group comparisons were</w:t>
      </w:r>
      <w:r>
        <w:t xml:space="preserve"> made using Partek® (St Louis, </w:t>
      </w:r>
      <w:r w:rsidRPr="00127A37">
        <w:t>USA) to identify proteins significantly different between the groups.</w:t>
      </w:r>
      <w:r w:rsidR="00786FA3">
        <w:t xml:space="preserve"> </w:t>
      </w:r>
      <w:r w:rsidRPr="00127A37">
        <w:t xml:space="preserve"> A two-</w:t>
      </w:r>
      <w:r>
        <w:t xml:space="preserve">way Analysis of Variance (ANOVA) was </w:t>
      </w:r>
      <w:r w:rsidRPr="00127A37">
        <w:t xml:space="preserve">employed to identify the differential </w:t>
      </w:r>
      <w:r>
        <w:t xml:space="preserve">proteins whilst accounting for </w:t>
      </w:r>
      <w:r w:rsidRPr="00127A37">
        <w:t>batch effect.</w:t>
      </w:r>
      <w:r w:rsidR="00786FA3">
        <w:t xml:space="preserve"> </w:t>
      </w:r>
      <w:r w:rsidRPr="00127A37">
        <w:t xml:space="preserve"> In the case of paired samples, a 3-way ANOVA</w:t>
      </w:r>
      <w:r>
        <w:t xml:space="preserve"> was performed with additional </w:t>
      </w:r>
      <w:r w:rsidRPr="00127A37">
        <w:t>inclusion of the patient factor.  With the aim of reducing</w:t>
      </w:r>
      <w:r>
        <w:t xml:space="preserve"> the false discovery rate, the </w:t>
      </w:r>
      <w:r w:rsidRPr="00127A37">
        <w:t>Benjamini-Hochberg multiple test correction was used</w:t>
      </w:r>
      <w:r>
        <w:t xml:space="preserve">. </w:t>
      </w:r>
      <w:r w:rsidR="00786FA3">
        <w:t xml:space="preserve"> </w:t>
      </w:r>
      <w:r w:rsidR="000C4ADE">
        <w:t>T</w:t>
      </w:r>
      <w:r>
        <w:t>hose proteins identified as statistically significantly different were subjected to analysis with Ingenuity Pathwa</w:t>
      </w:r>
      <w:r w:rsidR="004B178F">
        <w:t>y Analysis (Redwood City, USA).</w:t>
      </w:r>
    </w:p>
    <w:p w14:paraId="4A4ECF61" w14:textId="77777777" w:rsidR="00A34C7C" w:rsidRPr="001513F8" w:rsidRDefault="001513F8" w:rsidP="004B178F">
      <w:pPr>
        <w:spacing w:after="0" w:line="480" w:lineRule="auto"/>
        <w:rPr>
          <w:b/>
        </w:rPr>
      </w:pPr>
      <w:r w:rsidRPr="001513F8">
        <w:rPr>
          <w:b/>
        </w:rPr>
        <w:t>Tissue M</w:t>
      </w:r>
      <w:r w:rsidR="00A34C7C" w:rsidRPr="001513F8">
        <w:rPr>
          <w:b/>
        </w:rPr>
        <w:t xml:space="preserve">icroarray </w:t>
      </w:r>
      <w:r w:rsidRPr="001513F8">
        <w:rPr>
          <w:b/>
        </w:rPr>
        <w:t>C</w:t>
      </w:r>
      <w:r w:rsidR="00A34C7C" w:rsidRPr="001513F8">
        <w:rPr>
          <w:b/>
        </w:rPr>
        <w:t>onstruction</w:t>
      </w:r>
    </w:p>
    <w:p w14:paraId="4C768DD6" w14:textId="0E8A2602" w:rsidR="001513F8" w:rsidRDefault="001513F8" w:rsidP="00631474">
      <w:pPr>
        <w:spacing w:line="480" w:lineRule="auto"/>
      </w:pPr>
      <w:r>
        <w:t>Formalin-fixed paraffin-embedded tissue blocks were retrie</w:t>
      </w:r>
      <w:r w:rsidR="0014151C">
        <w:t xml:space="preserve">ved from archived storage for </w:t>
      </w:r>
      <w:r>
        <w:t xml:space="preserve">111 consecutive patients </w:t>
      </w:r>
      <w:r w:rsidR="0014151C">
        <w:t>who ha</w:t>
      </w:r>
      <w:r>
        <w:t>d undergone surgical resection for a rectal adenocarcinoma (following CRT</w:t>
      </w:r>
      <w:r w:rsidR="0014151C">
        <w:t>)</w:t>
      </w:r>
      <w:r>
        <w:t xml:space="preserve"> at The Countess of Chester Hospital between 2007 and 2015.  </w:t>
      </w:r>
      <w:r w:rsidR="0016773C">
        <w:t xml:space="preserve">Three sets of tissue microarrays were constructed comprising; a) tissue from the diagnostic biopsy specimen (n=106), b) ‘normal’ colonic epithelium obtained from the colonic end of the resection specimen outside the radiation </w:t>
      </w:r>
      <w:r w:rsidR="0016773C">
        <w:lastRenderedPageBreak/>
        <w:t>field (n=111), and c) tissue from the cancer site, specifically targeting residual malignant cells where present (n=111)</w:t>
      </w:r>
      <w:r w:rsidR="00D3553B">
        <w:t>. In the case of pCR, tissue was obtained from the scar in order to assess stromal expression</w:t>
      </w:r>
      <w:r w:rsidR="00B507CC">
        <w:t>.</w:t>
      </w:r>
      <w:r w:rsidR="0016773C">
        <w:t xml:space="preserve"> Triplicate 0.6mm cores were obtained from donor blocks and transferred int</w:t>
      </w:r>
      <w:r w:rsidR="0014151C">
        <w:t>o recipient blocks in a randomised fashion</w:t>
      </w:r>
      <w:r w:rsidR="004B178F">
        <w:t>.</w:t>
      </w:r>
    </w:p>
    <w:p w14:paraId="7B2C1D29" w14:textId="77777777" w:rsidR="00A34C7C" w:rsidRDefault="0016773C" w:rsidP="004B178F">
      <w:pPr>
        <w:spacing w:after="0" w:line="480" w:lineRule="auto"/>
        <w:rPr>
          <w:b/>
        </w:rPr>
      </w:pPr>
      <w:r>
        <w:rPr>
          <w:b/>
        </w:rPr>
        <w:t>Immunohistochemical S</w:t>
      </w:r>
      <w:r w:rsidR="00A34C7C" w:rsidRPr="0016773C">
        <w:rPr>
          <w:b/>
        </w:rPr>
        <w:t>taining</w:t>
      </w:r>
      <w:r>
        <w:rPr>
          <w:b/>
        </w:rPr>
        <w:t xml:space="preserve"> for Acid Ceramidase and A</w:t>
      </w:r>
      <w:r w:rsidR="008F0946" w:rsidRPr="0016773C">
        <w:rPr>
          <w:b/>
        </w:rPr>
        <w:t>nalysis</w:t>
      </w:r>
    </w:p>
    <w:p w14:paraId="6667A69A" w14:textId="77777777" w:rsidR="0005779B" w:rsidRDefault="00D96731" w:rsidP="004B178F">
      <w:pPr>
        <w:spacing w:after="0" w:line="480" w:lineRule="auto"/>
      </w:pPr>
      <w:r>
        <w:t>IHC</w:t>
      </w:r>
      <w:r w:rsidR="0005779B">
        <w:t xml:space="preserve"> staining was performed using the EnVision™ FLEX system (Dako UK Ltd).  Tissue microarray sections were dewaxed and antigen retrieval performed</w:t>
      </w:r>
      <w:r w:rsidR="00A1420D">
        <w:t>,</w:t>
      </w:r>
      <w:r w:rsidR="0005779B">
        <w:t xml:space="preserve"> prior to peroxidase block and then a</w:t>
      </w:r>
      <w:r>
        <w:t>pplication of the AC</w:t>
      </w:r>
      <w:r w:rsidR="004B178F">
        <w:t xml:space="preserve"> primary antibody (</w:t>
      </w:r>
      <w:r w:rsidR="0005779B">
        <w:t xml:space="preserve">BD612302, </w:t>
      </w:r>
      <w:r w:rsidR="004B178F">
        <w:t xml:space="preserve">mouse monoclonal, </w:t>
      </w:r>
      <w:r w:rsidR="0005779B">
        <w:t xml:space="preserve">BD Transduction Laboratories).  A horseradish peroxidase conjugated secondary antibody was applied prior to </w:t>
      </w:r>
      <w:r w:rsidR="00EB5F59">
        <w:t>development with diaminobezidine tetrahydrochloride, and counterstaining with haematoxylin.</w:t>
      </w:r>
    </w:p>
    <w:p w14:paraId="16ED364F" w14:textId="6662221B" w:rsidR="004D2344" w:rsidRDefault="000A3B4C" w:rsidP="00B507CC">
      <w:pPr>
        <w:spacing w:after="0" w:line="480" w:lineRule="auto"/>
      </w:pPr>
      <w:r w:rsidRPr="000A3B4C">
        <w:t>Stained sections of the tissue microarrays were asse</w:t>
      </w:r>
      <w:r w:rsidR="00AC0FDC">
        <w:t>ssed under light microscopy by</w:t>
      </w:r>
      <w:r w:rsidRPr="000A3B4C">
        <w:t xml:space="preserve"> </w:t>
      </w:r>
      <w:r w:rsidR="004D2344">
        <w:t>two individuals (MW and DB)</w:t>
      </w:r>
      <w:r w:rsidR="00090514">
        <w:t>, and</w:t>
      </w:r>
      <w:r w:rsidRPr="000A3B4C">
        <w:t xml:space="preserve"> semi-quantitative analysis for each tissue core </w:t>
      </w:r>
      <w:r w:rsidR="005A45A9">
        <w:t xml:space="preserve">present was undertaken </w:t>
      </w:r>
      <w:r w:rsidRPr="000A3B4C">
        <w:t>us</w:t>
      </w:r>
      <w:r w:rsidR="00090514">
        <w:t>ing a simplified H-score</w:t>
      </w:r>
      <w:r w:rsidR="00404FB7">
        <w:rPr>
          <w:vertAlign w:val="superscript"/>
        </w:rPr>
        <w:t>(24)</w:t>
      </w:r>
      <w:r w:rsidR="00EB3544">
        <w:t>.</w:t>
      </w:r>
      <w:r w:rsidR="00090514">
        <w:t xml:space="preserve"> </w:t>
      </w:r>
      <w:r w:rsidRPr="000A3B4C">
        <w:t xml:space="preserve"> The system applies a score to the percentage of positive staining cells (0-5) added to a score for the inte</w:t>
      </w:r>
      <w:r w:rsidR="00501FC6">
        <w:t xml:space="preserve">nsity of that positivity (0-3). </w:t>
      </w:r>
      <w:r w:rsidRPr="000A3B4C">
        <w:t>The breakdown of scoring for the percentage of positive st</w:t>
      </w:r>
      <w:r w:rsidR="00AC0FDC">
        <w:t>aining cells is defined as 0%=0, &lt;1%=1, 1-10%=2, 10-33%=3, 33-66%=4, and &gt;66%=</w:t>
      </w:r>
      <w:r w:rsidRPr="000A3B4C">
        <w:t>5, with the in</w:t>
      </w:r>
      <w:r w:rsidR="00AC0FDC">
        <w:t>tensity score defined as none=0, weak=1, intermediate=2, strong=</w:t>
      </w:r>
      <w:r w:rsidRPr="000A3B4C">
        <w:t>3.</w:t>
      </w:r>
      <w:r w:rsidR="00937C3A">
        <w:t xml:space="preserve">  Each tissue core was assigned an individual score for epithelial and stromal staining respectively</w:t>
      </w:r>
      <w:r w:rsidR="00D37C1F">
        <w:t>, where the tissue subsets were present</w:t>
      </w:r>
      <w:r w:rsidR="00937C3A">
        <w:t>.</w:t>
      </w:r>
      <w:r w:rsidR="00B507CC">
        <w:t xml:space="preserve"> </w:t>
      </w:r>
      <w:r w:rsidR="004D2344">
        <w:t xml:space="preserve">Where any discrepancy in scoring was discovered, consensus score was achieved after both assessors reviewed samples together.  </w:t>
      </w:r>
      <w:r w:rsidR="00D60E81">
        <w:t>The H-scores for each tissue subset were dichotomised about the median score for that tissue to determine relative high and low expression.</w:t>
      </w:r>
      <w:r w:rsidR="007716DC">
        <w:t xml:space="preserve">  Expression was correlated with regression grading using </w:t>
      </w:r>
      <w:r w:rsidR="00177932">
        <w:rPr>
          <w:i/>
        </w:rPr>
        <w:t>X</w:t>
      </w:r>
      <w:r w:rsidR="007716DC">
        <w:rPr>
          <w:vertAlign w:val="superscript"/>
        </w:rPr>
        <w:t>2</w:t>
      </w:r>
      <w:r w:rsidR="007716DC">
        <w:t>.</w:t>
      </w:r>
    </w:p>
    <w:p w14:paraId="25493FB4" w14:textId="77777777" w:rsidR="004D2344" w:rsidRDefault="004D2344" w:rsidP="004D2344">
      <w:pPr>
        <w:spacing w:line="480" w:lineRule="auto"/>
        <w:rPr>
          <w:b/>
        </w:rPr>
      </w:pPr>
    </w:p>
    <w:p w14:paraId="061DAF6A" w14:textId="77777777" w:rsidR="008F0946" w:rsidRPr="004D2344" w:rsidRDefault="00EE51D0" w:rsidP="004D2344">
      <w:pPr>
        <w:spacing w:line="480" w:lineRule="auto"/>
      </w:pPr>
      <w:r>
        <w:rPr>
          <w:b/>
        </w:rPr>
        <w:t>Tumour r</w:t>
      </w:r>
      <w:r w:rsidR="008F0946" w:rsidRPr="00F16348">
        <w:rPr>
          <w:b/>
        </w:rPr>
        <w:t>egression grading</w:t>
      </w:r>
    </w:p>
    <w:p w14:paraId="3BDF32E0" w14:textId="77777777" w:rsidR="00F16348" w:rsidRDefault="00F16348" w:rsidP="00631474">
      <w:pPr>
        <w:spacing w:line="480" w:lineRule="auto"/>
      </w:pPr>
      <w:r>
        <w:t>Haematoxylin and eosin stained</w:t>
      </w:r>
      <w:r w:rsidR="0014151C">
        <w:t xml:space="preserve"> slides</w:t>
      </w:r>
      <w:r>
        <w:t xml:space="preserve"> were reviewed by consultant histopathologist </w:t>
      </w:r>
      <w:r w:rsidR="004D2344">
        <w:t xml:space="preserve">(MW) </w:t>
      </w:r>
      <w:r>
        <w:t>to confirm the diagnosis of adenocarcinoma, and slides from the resection spec</w:t>
      </w:r>
      <w:r w:rsidR="0014151C">
        <w:t xml:space="preserve">imen were assessed for </w:t>
      </w:r>
      <w:r w:rsidR="0014151C">
        <w:lastRenderedPageBreak/>
        <w:t>tumour regression grading</w:t>
      </w:r>
      <w:r w:rsidR="00404FB7">
        <w:t>.  The four-</w:t>
      </w:r>
      <w:r>
        <w:t>tier system recommended by The Royal College of Pathologists, and si</w:t>
      </w:r>
      <w:r w:rsidR="00132AF1">
        <w:t>milar to that described by Ryan</w:t>
      </w:r>
      <w:r w:rsidR="00404FB7">
        <w:rPr>
          <w:vertAlign w:val="superscript"/>
        </w:rPr>
        <w:t>(25)</w:t>
      </w:r>
      <w:r w:rsidR="002210EA">
        <w:t xml:space="preserve"> </w:t>
      </w:r>
      <w:r>
        <w:t>was used.</w:t>
      </w:r>
    </w:p>
    <w:p w14:paraId="7CAF8C25" w14:textId="7019F854" w:rsidR="00F16348" w:rsidRDefault="00F16348" w:rsidP="00631474">
      <w:pPr>
        <w:pStyle w:val="ListParagraph"/>
        <w:numPr>
          <w:ilvl w:val="0"/>
          <w:numId w:val="1"/>
        </w:numPr>
        <w:spacing w:line="480" w:lineRule="auto"/>
      </w:pPr>
      <w:r>
        <w:t xml:space="preserve">TRG 4: </w:t>
      </w:r>
      <w:r w:rsidRPr="00265494">
        <w:t>no viable tumour cells (</w:t>
      </w:r>
      <w:r>
        <w:t>fibrosis or muc</w:t>
      </w:r>
      <w:r w:rsidR="00177932">
        <w:t>o</w:t>
      </w:r>
      <w:r>
        <w:t>us lakes only)</w:t>
      </w:r>
    </w:p>
    <w:p w14:paraId="75A0604C" w14:textId="77777777" w:rsidR="00F16348" w:rsidRDefault="00F16348" w:rsidP="00631474">
      <w:pPr>
        <w:pStyle w:val="ListParagraph"/>
        <w:numPr>
          <w:ilvl w:val="0"/>
          <w:numId w:val="1"/>
        </w:numPr>
        <w:spacing w:line="480" w:lineRule="auto"/>
      </w:pPr>
      <w:r>
        <w:t xml:space="preserve">TRG 3: </w:t>
      </w:r>
      <w:r w:rsidRPr="00265494">
        <w:t>single cells or scattered small groups o</w:t>
      </w:r>
      <w:r>
        <w:t>f cancer cells</w:t>
      </w:r>
    </w:p>
    <w:p w14:paraId="249B435D" w14:textId="77777777" w:rsidR="00F16348" w:rsidRDefault="00F16348" w:rsidP="00631474">
      <w:pPr>
        <w:pStyle w:val="ListParagraph"/>
        <w:numPr>
          <w:ilvl w:val="0"/>
          <w:numId w:val="1"/>
        </w:numPr>
        <w:spacing w:line="480" w:lineRule="auto"/>
      </w:pPr>
      <w:r>
        <w:t xml:space="preserve">TRG 2: </w:t>
      </w:r>
      <w:r w:rsidRPr="00265494">
        <w:t>residua</w:t>
      </w:r>
      <w:r>
        <w:t>l cancer outgrown by fibrosis</w:t>
      </w:r>
    </w:p>
    <w:p w14:paraId="73741515" w14:textId="77777777" w:rsidR="00F16348" w:rsidRDefault="00F16348" w:rsidP="00631474">
      <w:pPr>
        <w:pStyle w:val="ListParagraph"/>
        <w:numPr>
          <w:ilvl w:val="0"/>
          <w:numId w:val="1"/>
        </w:numPr>
        <w:spacing w:line="480" w:lineRule="auto"/>
      </w:pPr>
      <w:r>
        <w:t xml:space="preserve">TRG 1: </w:t>
      </w:r>
      <w:r w:rsidRPr="00265494">
        <w:t>minimal or no regress</w:t>
      </w:r>
      <w:r>
        <w:t>ion (extensive residual tumour)</w:t>
      </w:r>
    </w:p>
    <w:p w14:paraId="4759BFB7" w14:textId="77777777" w:rsidR="00EE51D0" w:rsidRPr="00EE51D0" w:rsidRDefault="00EE51D0" w:rsidP="00631474">
      <w:pPr>
        <w:spacing w:line="480" w:lineRule="auto"/>
      </w:pPr>
    </w:p>
    <w:p w14:paraId="591C9756" w14:textId="77777777" w:rsidR="007468FA" w:rsidRDefault="007468FA" w:rsidP="00631474">
      <w:pPr>
        <w:spacing w:line="480" w:lineRule="auto"/>
      </w:pPr>
    </w:p>
    <w:p w14:paraId="38E69F80" w14:textId="77777777" w:rsidR="007468FA" w:rsidRPr="00A34C7C" w:rsidRDefault="007468FA" w:rsidP="00631474">
      <w:pPr>
        <w:spacing w:line="480" w:lineRule="auto"/>
      </w:pPr>
    </w:p>
    <w:p w14:paraId="0281C280" w14:textId="77777777" w:rsidR="00247445" w:rsidRDefault="00247445" w:rsidP="00631474">
      <w:pPr>
        <w:spacing w:line="480" w:lineRule="auto"/>
        <w:rPr>
          <w:b/>
          <w:sz w:val="24"/>
          <w:szCs w:val="24"/>
        </w:rPr>
      </w:pPr>
    </w:p>
    <w:p w14:paraId="470F698A" w14:textId="77777777" w:rsidR="00247445" w:rsidRDefault="00247445" w:rsidP="00631474">
      <w:pPr>
        <w:spacing w:line="480" w:lineRule="auto"/>
        <w:rPr>
          <w:b/>
          <w:sz w:val="24"/>
          <w:szCs w:val="24"/>
        </w:rPr>
      </w:pPr>
    </w:p>
    <w:p w14:paraId="3550A016" w14:textId="77777777" w:rsidR="00247445" w:rsidRDefault="00247445" w:rsidP="00631474">
      <w:pPr>
        <w:spacing w:line="480" w:lineRule="auto"/>
        <w:rPr>
          <w:b/>
          <w:sz w:val="24"/>
          <w:szCs w:val="24"/>
        </w:rPr>
      </w:pPr>
    </w:p>
    <w:p w14:paraId="711A4B60" w14:textId="77777777" w:rsidR="00247445" w:rsidRDefault="00247445" w:rsidP="00631474">
      <w:pPr>
        <w:spacing w:line="480" w:lineRule="auto"/>
        <w:rPr>
          <w:b/>
          <w:sz w:val="24"/>
          <w:szCs w:val="24"/>
        </w:rPr>
      </w:pPr>
    </w:p>
    <w:p w14:paraId="18CA847C" w14:textId="77777777" w:rsidR="007955A9" w:rsidRDefault="007955A9" w:rsidP="00631474">
      <w:pPr>
        <w:spacing w:line="480" w:lineRule="auto"/>
        <w:rPr>
          <w:b/>
          <w:sz w:val="24"/>
          <w:szCs w:val="24"/>
        </w:rPr>
      </w:pPr>
    </w:p>
    <w:p w14:paraId="2C493E06" w14:textId="77777777" w:rsidR="007955A9" w:rsidRDefault="007955A9" w:rsidP="00631474">
      <w:pPr>
        <w:spacing w:line="480" w:lineRule="auto"/>
        <w:rPr>
          <w:b/>
          <w:sz w:val="24"/>
          <w:szCs w:val="24"/>
        </w:rPr>
      </w:pPr>
    </w:p>
    <w:p w14:paraId="10DD2FC5" w14:textId="77777777" w:rsidR="007955A9" w:rsidRDefault="007955A9" w:rsidP="00631474">
      <w:pPr>
        <w:spacing w:line="480" w:lineRule="auto"/>
        <w:rPr>
          <w:b/>
          <w:sz w:val="24"/>
          <w:szCs w:val="24"/>
        </w:rPr>
      </w:pPr>
    </w:p>
    <w:p w14:paraId="107E45E7" w14:textId="77777777" w:rsidR="007955A9" w:rsidRDefault="007955A9" w:rsidP="00631474">
      <w:pPr>
        <w:spacing w:line="480" w:lineRule="auto"/>
        <w:rPr>
          <w:b/>
          <w:sz w:val="24"/>
          <w:szCs w:val="24"/>
        </w:rPr>
      </w:pPr>
    </w:p>
    <w:p w14:paraId="574C5E46" w14:textId="77777777" w:rsidR="00210E25" w:rsidRDefault="00210E25" w:rsidP="00631474">
      <w:pPr>
        <w:spacing w:line="480" w:lineRule="auto"/>
        <w:rPr>
          <w:b/>
          <w:sz w:val="24"/>
          <w:szCs w:val="24"/>
        </w:rPr>
      </w:pPr>
    </w:p>
    <w:p w14:paraId="2CCA0582" w14:textId="77777777" w:rsidR="00756C90" w:rsidRDefault="00756C90" w:rsidP="00631474">
      <w:pPr>
        <w:spacing w:line="480" w:lineRule="auto"/>
        <w:rPr>
          <w:b/>
          <w:sz w:val="24"/>
          <w:szCs w:val="24"/>
        </w:rPr>
      </w:pPr>
    </w:p>
    <w:p w14:paraId="268D338E" w14:textId="77777777" w:rsidR="00501FC6" w:rsidRDefault="00501FC6">
      <w:pPr>
        <w:rPr>
          <w:b/>
          <w:sz w:val="24"/>
          <w:szCs w:val="24"/>
        </w:rPr>
      </w:pPr>
      <w:r>
        <w:rPr>
          <w:b/>
          <w:sz w:val="24"/>
          <w:szCs w:val="24"/>
        </w:rPr>
        <w:br w:type="page"/>
      </w:r>
    </w:p>
    <w:p w14:paraId="27C9757A" w14:textId="5DC34078" w:rsidR="00EE51D0" w:rsidRDefault="00C92496" w:rsidP="00631474">
      <w:pPr>
        <w:spacing w:line="480" w:lineRule="auto"/>
        <w:rPr>
          <w:b/>
          <w:sz w:val="24"/>
          <w:szCs w:val="24"/>
        </w:rPr>
      </w:pPr>
      <w:r w:rsidRPr="00337759">
        <w:rPr>
          <w:b/>
          <w:sz w:val="24"/>
          <w:szCs w:val="24"/>
        </w:rPr>
        <w:lastRenderedPageBreak/>
        <w:t>Results</w:t>
      </w:r>
    </w:p>
    <w:p w14:paraId="4ECAFB3A" w14:textId="095E5A80" w:rsidR="00335FA0" w:rsidRDefault="00335FA0" w:rsidP="00631474">
      <w:pPr>
        <w:spacing w:after="0" w:line="480" w:lineRule="auto"/>
        <w:rPr>
          <w:b/>
        </w:rPr>
      </w:pPr>
      <w:r>
        <w:rPr>
          <w:b/>
        </w:rPr>
        <w:t xml:space="preserve">Proteomic Profiling </w:t>
      </w:r>
    </w:p>
    <w:p w14:paraId="4122A6CF" w14:textId="77777777" w:rsidR="00501FC6" w:rsidRDefault="00501FC6" w:rsidP="00631474">
      <w:pPr>
        <w:spacing w:after="0" w:line="480" w:lineRule="auto"/>
        <w:rPr>
          <w:b/>
        </w:rPr>
      </w:pPr>
    </w:p>
    <w:p w14:paraId="7FB1CC14" w14:textId="1314A9A9" w:rsidR="00B14C34" w:rsidRDefault="00B507CC" w:rsidP="004B178F">
      <w:pPr>
        <w:spacing w:line="480" w:lineRule="auto"/>
        <w:rPr>
          <w:rFonts w:cstheme="minorHAnsi"/>
          <w:color w:val="000000" w:themeColor="text1"/>
          <w:shd w:val="clear" w:color="auto" w:fill="FFFFFF"/>
        </w:rPr>
      </w:pPr>
      <w:r>
        <w:t xml:space="preserve">Eight </w:t>
      </w:r>
      <w:r w:rsidR="00335FA0">
        <w:t xml:space="preserve">patients were studied, with clinical variables detailed </w:t>
      </w:r>
      <w:r>
        <w:t>in Table 1.</w:t>
      </w:r>
      <w:r w:rsidR="00756C90">
        <w:t xml:space="preserve"> All patients were male with a median (range) age of 74 (50-78) years at diagnosis.</w:t>
      </w:r>
      <w:r w:rsidR="00F02E55">
        <w:t xml:space="preserve"> </w:t>
      </w:r>
      <w:r w:rsidR="00B628C7">
        <w:t>3359 proteins were identified, all of which were present in at least hal</w:t>
      </w:r>
      <w:r w:rsidR="00121D21">
        <w:t>f</w:t>
      </w:r>
      <w:r w:rsidR="00B628C7">
        <w:t xml:space="preserve"> the samples</w:t>
      </w:r>
      <w:r w:rsidR="00121D21">
        <w:t>,</w:t>
      </w:r>
      <w:r w:rsidR="00B628C7">
        <w:t xml:space="preserve"> and were subjected to bioinformatics analysis. </w:t>
      </w:r>
      <w:r w:rsidR="0070407A">
        <w:t xml:space="preserve"> </w:t>
      </w:r>
      <w:r w:rsidRPr="00B507CC">
        <w:rPr>
          <w:rFonts w:cstheme="minorHAnsi"/>
          <w:color w:val="000000" w:themeColor="text1"/>
          <w:shd w:val="clear" w:color="auto" w:fill="FFFFFF"/>
        </w:rPr>
        <w:t>The mass spectrometry proteomics data have been deposited to the ProteomeXchange Consortium via the PRIDE</w:t>
      </w:r>
      <w:r>
        <w:rPr>
          <w:rFonts w:cstheme="minorHAnsi"/>
          <w:color w:val="000000" w:themeColor="text1"/>
          <w:shd w:val="clear" w:color="auto" w:fill="FFFFFF"/>
          <w:vertAlign w:val="superscript"/>
        </w:rPr>
        <w:t xml:space="preserve">(26) </w:t>
      </w:r>
      <w:r w:rsidRPr="00B507CC">
        <w:rPr>
          <w:rFonts w:cstheme="minorHAnsi"/>
          <w:color w:val="000000" w:themeColor="text1"/>
          <w:shd w:val="clear" w:color="auto" w:fill="FFFFFF"/>
        </w:rPr>
        <w:t xml:space="preserve">partner repository with the dataset identifier PXD008436. </w:t>
      </w:r>
      <w:r>
        <w:rPr>
          <w:rFonts w:cstheme="minorHAnsi"/>
          <w:color w:val="000000" w:themeColor="text1"/>
          <w:shd w:val="clear" w:color="auto" w:fill="FFFFFF"/>
        </w:rPr>
        <w:t xml:space="preserve"> </w:t>
      </w:r>
      <w:r w:rsidRPr="00B507CC">
        <w:rPr>
          <w:rFonts w:cstheme="minorHAnsi"/>
          <w:color w:val="000000" w:themeColor="text1"/>
          <w:shd w:val="clear" w:color="auto" w:fill="FFFFFF"/>
        </w:rPr>
        <w:t xml:space="preserve">A summary of the data set can also be found in </w:t>
      </w:r>
      <w:r w:rsidR="00501FC6">
        <w:rPr>
          <w:rFonts w:cstheme="minorHAnsi"/>
          <w:color w:val="000000" w:themeColor="text1"/>
          <w:shd w:val="clear" w:color="auto" w:fill="FFFFFF"/>
        </w:rPr>
        <w:t>S</w:t>
      </w:r>
      <w:r w:rsidRPr="00B507CC">
        <w:rPr>
          <w:rFonts w:cstheme="minorHAnsi"/>
          <w:color w:val="000000" w:themeColor="text1"/>
          <w:shd w:val="clear" w:color="auto" w:fill="FFFFFF"/>
        </w:rPr>
        <w:t xml:space="preserve">upplementary </w:t>
      </w:r>
      <w:r w:rsidR="00501FC6">
        <w:rPr>
          <w:rFonts w:cstheme="minorHAnsi"/>
          <w:color w:val="000000" w:themeColor="text1"/>
          <w:shd w:val="clear" w:color="auto" w:fill="FFFFFF"/>
        </w:rPr>
        <w:t>F</w:t>
      </w:r>
      <w:r w:rsidRPr="00B507CC">
        <w:rPr>
          <w:rFonts w:cstheme="minorHAnsi"/>
          <w:color w:val="000000" w:themeColor="text1"/>
          <w:shd w:val="clear" w:color="auto" w:fill="FFFFFF"/>
        </w:rPr>
        <w:t xml:space="preserve">ile </w:t>
      </w:r>
      <w:r>
        <w:rPr>
          <w:rFonts w:cstheme="minorHAnsi"/>
          <w:color w:val="000000" w:themeColor="text1"/>
          <w:shd w:val="clear" w:color="auto" w:fill="FFFFFF"/>
        </w:rPr>
        <w:t>A.</w:t>
      </w:r>
    </w:p>
    <w:p w14:paraId="3F05B886" w14:textId="4791D845" w:rsidR="00590902" w:rsidRDefault="00811F37" w:rsidP="004B178F">
      <w:pPr>
        <w:spacing w:line="480" w:lineRule="auto"/>
      </w:pPr>
      <w:r>
        <w:t xml:space="preserve">The abundance of contributing peptide ions for </w:t>
      </w:r>
      <w:r w:rsidR="00131E5E">
        <w:t>18 proteins were signif</w:t>
      </w:r>
      <w:r>
        <w:t>icantly different</w:t>
      </w:r>
      <w:r w:rsidR="00131E5E">
        <w:t xml:space="preserve"> between pre- and post-CRT samples, </w:t>
      </w:r>
      <w:r w:rsidR="00C67DE2">
        <w:t>of which 16 were upregulated and 2 downregulated.  There were 19 upregulated and 10 downregulated proteins when comparing pre-CRT and resection samples,</w:t>
      </w:r>
      <w:r w:rsidR="00131E5E">
        <w:t xml:space="preserve"> and</w:t>
      </w:r>
      <w:r w:rsidR="00C67DE2">
        <w:t xml:space="preserve"> 9 upregulated and 30 downregulated between post-CRT and resection samples.  </w:t>
      </w:r>
      <w:r w:rsidR="00F24C32">
        <w:t xml:space="preserve">These proteins are detailed in </w:t>
      </w:r>
      <w:r w:rsidR="00501FC6">
        <w:t>S</w:t>
      </w:r>
      <w:r w:rsidR="00F24C32">
        <w:t xml:space="preserve">upplementary </w:t>
      </w:r>
      <w:r w:rsidR="00501FC6">
        <w:t>F</w:t>
      </w:r>
      <w:r w:rsidR="00F24C32">
        <w:t xml:space="preserve">ile B.  </w:t>
      </w:r>
      <w:r w:rsidR="00131E5E">
        <w:t xml:space="preserve">When comparing </w:t>
      </w:r>
      <w:r w:rsidR="00396B56">
        <w:t>tumours</w:t>
      </w:r>
      <w:r w:rsidR="00131E5E">
        <w:t xml:space="preserve"> between those patients subsequently dichotomised as relative responders or non-responders to CRT, </w:t>
      </w:r>
      <w:r>
        <w:t xml:space="preserve">the abundance of contributing peptide ions for </w:t>
      </w:r>
      <w:r w:rsidR="00131E5E">
        <w:t xml:space="preserve">8 </w:t>
      </w:r>
      <w:r>
        <w:t>proteins were significantly different</w:t>
      </w:r>
      <w:r w:rsidR="00131E5E">
        <w:t>, 5 of which were upregulated in responders and 3 downregulated.  These</w:t>
      </w:r>
      <w:r w:rsidR="00F02E55">
        <w:t xml:space="preserve"> proteins are detailed in T</w:t>
      </w:r>
      <w:r w:rsidR="00AC7394">
        <w:t>able</w:t>
      </w:r>
      <w:r w:rsidR="00131E5E">
        <w:t xml:space="preserve"> </w:t>
      </w:r>
      <w:r w:rsidR="00F02E55">
        <w:t>2.</w:t>
      </w:r>
    </w:p>
    <w:p w14:paraId="45CF9574" w14:textId="77777777" w:rsidR="00177932" w:rsidRDefault="00177932" w:rsidP="004B178F">
      <w:pPr>
        <w:spacing w:line="480" w:lineRule="auto"/>
      </w:pPr>
    </w:p>
    <w:p w14:paraId="57FF941F" w14:textId="31C7C17D" w:rsidR="00590902" w:rsidRPr="004B178F" w:rsidRDefault="00131E5E" w:rsidP="004B178F">
      <w:pPr>
        <w:spacing w:line="480" w:lineRule="auto"/>
      </w:pPr>
      <w:r>
        <w:t xml:space="preserve">The ceramide degradation pathway was identified as the most significantly downregulated pathway in those tumours responding to </w:t>
      </w:r>
      <w:r w:rsidR="00DF1B08">
        <w:t xml:space="preserve">CRT as demonstrated in </w:t>
      </w:r>
      <w:r w:rsidR="00177932">
        <w:t>T</w:t>
      </w:r>
      <w:r w:rsidR="00DF1B08">
        <w:t>able</w:t>
      </w:r>
      <w:r w:rsidR="00786FA3">
        <w:t xml:space="preserve"> </w:t>
      </w:r>
      <w:r w:rsidR="00F02E55">
        <w:t>3, and is</w:t>
      </w:r>
      <w:r>
        <w:t xml:space="preserve"> bas</w:t>
      </w:r>
      <w:r w:rsidR="00811F37">
        <w:t xml:space="preserve">ed on the significantly lower abundance of contributing peptide ions for </w:t>
      </w:r>
      <w:r w:rsidR="00177932">
        <w:t>AC</w:t>
      </w:r>
      <w:r>
        <w:t>.</w:t>
      </w:r>
      <w:r w:rsidR="00955410">
        <w:t xml:space="preserve">  </w:t>
      </w:r>
      <w:r w:rsidR="00F24C32">
        <w:t xml:space="preserve">This protein was selected </w:t>
      </w:r>
      <w:r w:rsidR="00BC212D">
        <w:t xml:space="preserve">initially </w:t>
      </w:r>
      <w:r w:rsidR="00F24C32">
        <w:t xml:space="preserve">for further evaluation on the basis of literature evidence implicating it in </w:t>
      </w:r>
      <w:r w:rsidR="00BC212D">
        <w:t xml:space="preserve">radiotherapy </w:t>
      </w:r>
      <w:r w:rsidR="00F24C32">
        <w:t>response</w:t>
      </w:r>
      <w:r w:rsidR="00BC212D">
        <w:t xml:space="preserve"> in </w:t>
      </w:r>
      <w:r w:rsidR="00F24C32">
        <w:t>prostate cancer, and for the availability of a commercially available chemotherapeutic inhibitor, as detailed in the discussion.</w:t>
      </w:r>
    </w:p>
    <w:p w14:paraId="5756B150" w14:textId="77777777" w:rsidR="00177932" w:rsidRDefault="00177932" w:rsidP="00F02E55">
      <w:pPr>
        <w:spacing w:after="0" w:line="480" w:lineRule="auto"/>
        <w:rPr>
          <w:b/>
        </w:rPr>
      </w:pPr>
    </w:p>
    <w:p w14:paraId="5A622614" w14:textId="4D08F3DE" w:rsidR="00590902" w:rsidRDefault="00FE29D7" w:rsidP="00F02E55">
      <w:pPr>
        <w:spacing w:after="0" w:line="480" w:lineRule="auto"/>
        <w:rPr>
          <w:b/>
        </w:rPr>
      </w:pPr>
      <w:r>
        <w:rPr>
          <w:b/>
        </w:rPr>
        <w:t xml:space="preserve">Tissue Microarray </w:t>
      </w:r>
      <w:r w:rsidR="00756C90">
        <w:rPr>
          <w:b/>
        </w:rPr>
        <w:t>Staining for Acid Ceramidase</w:t>
      </w:r>
    </w:p>
    <w:p w14:paraId="22C56271" w14:textId="77777777" w:rsidR="00F02E55" w:rsidRPr="004B178F" w:rsidRDefault="00F02E55" w:rsidP="00F02E55">
      <w:pPr>
        <w:spacing w:after="0" w:line="480" w:lineRule="auto"/>
        <w:rPr>
          <w:b/>
        </w:rPr>
      </w:pPr>
    </w:p>
    <w:p w14:paraId="1D479660" w14:textId="3A4E9A41" w:rsidR="00590902" w:rsidRDefault="00651DB5" w:rsidP="00501FC6">
      <w:pPr>
        <w:spacing w:line="480" w:lineRule="auto"/>
        <w:rPr>
          <w:rFonts w:ascii="Calibri" w:hAnsi="Calibri" w:cs="Calibri"/>
          <w:color w:val="000000"/>
        </w:rPr>
      </w:pPr>
      <w:r>
        <w:t xml:space="preserve">Clinical and pathological data </w:t>
      </w:r>
      <w:r w:rsidR="00756C90">
        <w:t>of</w:t>
      </w:r>
      <w:r>
        <w:t xml:space="preserve"> patients included for tissue microarray analysis are detailed in </w:t>
      </w:r>
      <w:r w:rsidR="00501FC6">
        <w:t>S</w:t>
      </w:r>
      <w:r>
        <w:t xml:space="preserve">upplementary </w:t>
      </w:r>
      <w:r w:rsidR="00501FC6">
        <w:t>F</w:t>
      </w:r>
      <w:r>
        <w:t xml:space="preserve">ile C.  There were 82 males and 29 females with a median </w:t>
      </w:r>
      <w:r w:rsidR="00756C90">
        <w:t xml:space="preserve">(range) </w:t>
      </w:r>
      <w:r>
        <w:t>age of 66</w:t>
      </w:r>
      <w:r w:rsidR="00756C90">
        <w:t xml:space="preserve"> (26-86)</w:t>
      </w:r>
      <w:r>
        <w:t xml:space="preserve"> years at diagnosis.  </w:t>
      </w:r>
      <w:r w:rsidR="00A26E7F">
        <w:t>A pCR</w:t>
      </w:r>
      <w:r w:rsidR="0061672B">
        <w:t xml:space="preserve"> (TRG4) was observed in</w:t>
      </w:r>
      <w:r w:rsidR="00DF1B08">
        <w:t xml:space="preserve"> 22 cases (19.8%), TRG3 = 15, TRG2 = 55 and TRG1 = 19.  </w:t>
      </w:r>
      <w:r w:rsidR="0061672B">
        <w:t>There were 37 relati</w:t>
      </w:r>
      <w:r w:rsidR="00DF1B08">
        <w:t xml:space="preserve">ve responders to CRT (TRG </w:t>
      </w:r>
      <w:r w:rsidR="00955410">
        <w:t>4-3</w:t>
      </w:r>
      <w:r w:rsidR="0061672B">
        <w:t>), and 74 rela</w:t>
      </w:r>
      <w:r w:rsidR="00955410">
        <w:t>tive non-responders (TRG 2-1</w:t>
      </w:r>
      <w:r w:rsidR="0061672B">
        <w:t>).</w:t>
      </w:r>
      <w:r w:rsidR="00501FC6">
        <w:t xml:space="preserve"> </w:t>
      </w:r>
      <w:r w:rsidR="00D37C1F">
        <w:t>Differential staining of the tissue microarrays for AC was observed across all tissue types (</w:t>
      </w:r>
      <w:r w:rsidR="0025261B">
        <w:t xml:space="preserve">normal colon, diagnostic </w:t>
      </w:r>
      <w:r w:rsidR="0025035D">
        <w:t>biopsy,</w:t>
      </w:r>
      <w:r w:rsidR="0025261B">
        <w:t xml:space="preserve"> and </w:t>
      </w:r>
      <w:r w:rsidR="00D37C1F">
        <w:t>cancer sit</w:t>
      </w:r>
      <w:r w:rsidR="0025261B">
        <w:t>e</w:t>
      </w:r>
      <w:r w:rsidR="00501FC6">
        <w:t xml:space="preserve"> at resection</w:t>
      </w:r>
      <w:r w:rsidR="00955410">
        <w:t>) as depicted</w:t>
      </w:r>
      <w:r w:rsidR="00D37C1F">
        <w:t xml:space="preserve"> by the </w:t>
      </w:r>
      <w:r w:rsidR="00D71A15">
        <w:t xml:space="preserve">images in </w:t>
      </w:r>
      <w:r w:rsidR="00756C90">
        <w:t>F</w:t>
      </w:r>
      <w:r w:rsidR="00D71A15">
        <w:t>igures 1, 2 and 3</w:t>
      </w:r>
      <w:r w:rsidR="0025261B">
        <w:t xml:space="preserve"> respectively</w:t>
      </w:r>
      <w:r w:rsidR="00D71A15">
        <w:t>.</w:t>
      </w:r>
      <w:r w:rsidR="007716DC">
        <w:t xml:space="preserve">  </w:t>
      </w:r>
      <w:r w:rsidR="00501FC6">
        <w:t>O</w:t>
      </w:r>
      <w:r w:rsidR="007B7EE6">
        <w:t>f the 111 cases</w:t>
      </w:r>
      <w:r w:rsidR="00501FC6">
        <w:t>, 86-107</w:t>
      </w:r>
      <w:r w:rsidR="007B7EE6">
        <w:t xml:space="preserve"> were</w:t>
      </w:r>
      <w:r w:rsidR="00901E04">
        <w:t xml:space="preserve"> </w:t>
      </w:r>
      <w:r w:rsidR="00901E04">
        <w:rPr>
          <w:rFonts w:ascii="Calibri" w:hAnsi="Calibri" w:cs="Calibri"/>
          <w:color w:val="000000"/>
        </w:rPr>
        <w:t>successfully represented in the TMA</w:t>
      </w:r>
      <w:r w:rsidR="000B71B1">
        <w:rPr>
          <w:rFonts w:ascii="Calibri" w:hAnsi="Calibri" w:cs="Calibri"/>
          <w:color w:val="000000"/>
        </w:rPr>
        <w:t>s</w:t>
      </w:r>
      <w:r w:rsidR="00901E04">
        <w:rPr>
          <w:rFonts w:ascii="Calibri" w:hAnsi="Calibri" w:cs="Calibri"/>
          <w:color w:val="000000"/>
        </w:rPr>
        <w:t xml:space="preserve"> (dep</w:t>
      </w:r>
      <w:r w:rsidR="000B71B1">
        <w:rPr>
          <w:rFonts w:ascii="Calibri" w:hAnsi="Calibri" w:cs="Calibri"/>
          <w:color w:val="000000"/>
        </w:rPr>
        <w:t>ending on the tissue component)</w:t>
      </w:r>
      <w:r w:rsidR="00F02E55">
        <w:rPr>
          <w:rFonts w:ascii="Calibri" w:hAnsi="Calibri" w:cs="Calibri"/>
          <w:color w:val="000000"/>
        </w:rPr>
        <w:t>, as demonstrated in Table 4.</w:t>
      </w:r>
    </w:p>
    <w:p w14:paraId="7B1DE7C7" w14:textId="77777777" w:rsidR="00F02E55" w:rsidRDefault="00F02E55" w:rsidP="00631474">
      <w:pPr>
        <w:spacing w:after="0" w:line="480" w:lineRule="auto"/>
      </w:pPr>
    </w:p>
    <w:p w14:paraId="5E60A2E3" w14:textId="0557026D" w:rsidR="00937C3A" w:rsidRDefault="00941836" w:rsidP="00631474">
      <w:pPr>
        <w:spacing w:after="0" w:line="480" w:lineRule="auto"/>
      </w:pPr>
      <w:r>
        <w:t xml:space="preserve">A </w:t>
      </w:r>
      <w:r w:rsidR="00D60E81">
        <w:t xml:space="preserve">relatively </w:t>
      </w:r>
      <w:r>
        <w:t>low strom</w:t>
      </w:r>
      <w:r w:rsidR="0054559E">
        <w:t>al expression of AC</w:t>
      </w:r>
      <w:r>
        <w:t xml:space="preserve"> at the cancer site from the resection specimen was associated with both a pathological complete response </w:t>
      </w:r>
      <w:r w:rsidR="0092617A">
        <w:t>(TRG 4</w:t>
      </w:r>
      <w:r w:rsidR="00756C90">
        <w:t>) (</w:t>
      </w:r>
      <w:r w:rsidR="0092617A">
        <w:t xml:space="preserve"> </w:t>
      </w:r>
      <w:r>
        <w:t>p=0.003)</w:t>
      </w:r>
      <w:r w:rsidR="00756C90">
        <w:t>,</w:t>
      </w:r>
      <w:r>
        <w:t xml:space="preserve"> </w:t>
      </w:r>
      <w:r w:rsidR="00D71A15">
        <w:t>and</w:t>
      </w:r>
      <w:r>
        <w:t xml:space="preserve"> a good response to CRT </w:t>
      </w:r>
      <w:r w:rsidR="0092617A">
        <w:t xml:space="preserve">(TRG </w:t>
      </w:r>
      <w:r w:rsidR="00756C90">
        <w:t>3-4) (</w:t>
      </w:r>
      <w:r>
        <w:t>p=0.048), w</w:t>
      </w:r>
      <w:r w:rsidR="0054559E">
        <w:t xml:space="preserve">hereas </w:t>
      </w:r>
      <w:r w:rsidR="00D60E81">
        <w:t xml:space="preserve">a relatively </w:t>
      </w:r>
      <w:r w:rsidR="0054559E">
        <w:t>high expression of AC</w:t>
      </w:r>
      <w:r>
        <w:t xml:space="preserve"> was associated with a poor response to CRT </w:t>
      </w:r>
      <w:r w:rsidR="006917A0">
        <w:t>(TRG 1</w:t>
      </w:r>
      <w:r w:rsidR="00756C90">
        <w:t>-2</w:t>
      </w:r>
      <w:r w:rsidR="006917A0">
        <w:t xml:space="preserve">) </w:t>
      </w:r>
      <w:r>
        <w:t>(p=0.017).</w:t>
      </w:r>
    </w:p>
    <w:p w14:paraId="68394CFD" w14:textId="77777777" w:rsidR="00F02E55" w:rsidRDefault="00F02E55" w:rsidP="00631474">
      <w:pPr>
        <w:spacing w:after="0" w:line="480" w:lineRule="auto"/>
      </w:pPr>
    </w:p>
    <w:p w14:paraId="3C55B947" w14:textId="509A5AB3" w:rsidR="00247445" w:rsidRDefault="00941836" w:rsidP="00631474">
      <w:pPr>
        <w:spacing w:line="480" w:lineRule="auto"/>
      </w:pPr>
      <w:r>
        <w:t xml:space="preserve">A </w:t>
      </w:r>
      <w:r w:rsidR="00D60E81">
        <w:t xml:space="preserve">relatively </w:t>
      </w:r>
      <w:r>
        <w:t>high epitheli</w:t>
      </w:r>
      <w:r w:rsidR="0054559E">
        <w:t>al expression of AC</w:t>
      </w:r>
      <w:r w:rsidR="0092617A">
        <w:t xml:space="preserve"> in norma</w:t>
      </w:r>
      <w:r w:rsidR="00756C90">
        <w:t>l adjacent colon</w:t>
      </w:r>
      <w:r w:rsidR="0092617A">
        <w:t xml:space="preserve"> </w:t>
      </w:r>
      <w:r>
        <w:t>was also associated with a poor response to CRT (p=0.012).  There were no statistically significant results from the diagnostic biopsy samples, although 9/11 cores representing patients with a poor response to CRT</w:t>
      </w:r>
      <w:r w:rsidR="0055672B">
        <w:t xml:space="preserve"> </w:t>
      </w:r>
      <w:r w:rsidR="006917A0">
        <w:t xml:space="preserve">(TRG 1) </w:t>
      </w:r>
      <w:r w:rsidR="00501FC6">
        <w:t xml:space="preserve">had a relatively high, but non statistically significant, </w:t>
      </w:r>
      <w:r w:rsidR="008B1DBA">
        <w:t xml:space="preserve">stromal </w:t>
      </w:r>
      <w:r w:rsidR="0054559E">
        <w:t>expression of AC</w:t>
      </w:r>
      <w:r w:rsidR="0055672B">
        <w:t xml:space="preserve"> (p=0.075).</w:t>
      </w:r>
    </w:p>
    <w:p w14:paraId="6F67DB8B" w14:textId="77777777" w:rsidR="00756C90" w:rsidRDefault="00756C90" w:rsidP="00631474">
      <w:pPr>
        <w:spacing w:line="480" w:lineRule="auto"/>
      </w:pPr>
    </w:p>
    <w:p w14:paraId="3FB1B854" w14:textId="017BB7B2" w:rsidR="000B71B1" w:rsidRPr="00F02E55" w:rsidRDefault="00A631BA" w:rsidP="00631474">
      <w:pPr>
        <w:spacing w:line="480" w:lineRule="auto"/>
      </w:pPr>
      <w:r>
        <w:t>Relatively h</w:t>
      </w:r>
      <w:r w:rsidR="00AB3980">
        <w:t xml:space="preserve">igh AC expression in both epithelium and stroma at the cancer site from the resection specimen correlated with an increased </w:t>
      </w:r>
      <w:r>
        <w:t>incidence</w:t>
      </w:r>
      <w:r w:rsidR="00AB3980">
        <w:t xml:space="preserve"> of local recurrence (p=0.031 and p=0.038 respectively), as detailed in </w:t>
      </w:r>
      <w:r w:rsidR="00F02E55">
        <w:t>T</w:t>
      </w:r>
      <w:r w:rsidR="00AB3980">
        <w:t xml:space="preserve">able 5.  There was no association between AC expression and the </w:t>
      </w:r>
      <w:r w:rsidR="00AB3980">
        <w:lastRenderedPageBreak/>
        <w:t>incidence of metastatic disease but a poorer overall survival was correlated with AC expression in normal colon</w:t>
      </w:r>
      <w:r w:rsidR="00756C90">
        <w:t>ic</w:t>
      </w:r>
      <w:r w:rsidR="00AB3980">
        <w:t xml:space="preserve"> epithelium.  The mean survival in those with a relatively high expression (n=51) was 89.7 months (95% </w:t>
      </w:r>
      <w:r w:rsidR="00F02E55">
        <w:t>CI</w:t>
      </w:r>
      <w:r w:rsidR="00AB3980">
        <w:t xml:space="preserve"> 80.7 - 98.8), which was significantly longer than those with a relatively low expression</w:t>
      </w:r>
      <w:r w:rsidR="00F02E55">
        <w:t xml:space="preserve">, </w:t>
      </w:r>
      <w:r w:rsidR="00AB3980">
        <w:t xml:space="preserve">where mean survival was 71.9 months (95% </w:t>
      </w:r>
      <w:r w:rsidR="006A409B">
        <w:t xml:space="preserve">CI </w:t>
      </w:r>
      <w:r w:rsidR="00AB3980">
        <w:t xml:space="preserve"> 61.5 - 82.3)</w:t>
      </w:r>
      <w:r w:rsidR="00F02E55">
        <w:t xml:space="preserve"> ((p=0.013, Mantel-Cox).</w:t>
      </w:r>
    </w:p>
    <w:p w14:paraId="0580F621" w14:textId="77777777" w:rsidR="00F02E55" w:rsidRDefault="00F02E55">
      <w:pPr>
        <w:rPr>
          <w:b/>
        </w:rPr>
      </w:pPr>
      <w:r>
        <w:rPr>
          <w:b/>
        </w:rPr>
        <w:br w:type="page"/>
      </w:r>
    </w:p>
    <w:p w14:paraId="4330E78D" w14:textId="6AD842A0" w:rsidR="00335FA0" w:rsidRDefault="00F02E55" w:rsidP="00631474">
      <w:pPr>
        <w:spacing w:line="480" w:lineRule="auto"/>
        <w:rPr>
          <w:b/>
        </w:rPr>
      </w:pPr>
      <w:r>
        <w:rPr>
          <w:b/>
        </w:rPr>
        <w:lastRenderedPageBreak/>
        <w:t>Ta</w:t>
      </w:r>
      <w:r w:rsidR="00335FA0">
        <w:rPr>
          <w:b/>
        </w:rPr>
        <w:t>ble 1 - Proteomic Profiling Patient Characteristics</w:t>
      </w:r>
    </w:p>
    <w:tbl>
      <w:tblPr>
        <w:tblStyle w:val="TableGrid"/>
        <w:tblW w:w="8500" w:type="dxa"/>
        <w:tblLook w:val="04A0" w:firstRow="1" w:lastRow="0" w:firstColumn="1" w:lastColumn="0" w:noHBand="0" w:noVBand="1"/>
      </w:tblPr>
      <w:tblGrid>
        <w:gridCol w:w="495"/>
        <w:gridCol w:w="761"/>
        <w:gridCol w:w="1836"/>
        <w:gridCol w:w="1547"/>
        <w:gridCol w:w="1667"/>
        <w:gridCol w:w="891"/>
        <w:gridCol w:w="1303"/>
      </w:tblGrid>
      <w:tr w:rsidR="00677386" w:rsidRPr="0040333D" w14:paraId="6F4F0B76" w14:textId="33922580" w:rsidTr="00677386">
        <w:trPr>
          <w:trHeight w:val="1191"/>
        </w:trPr>
        <w:tc>
          <w:tcPr>
            <w:tcW w:w="495" w:type="dxa"/>
            <w:tcBorders>
              <w:bottom w:val="single" w:sz="4" w:space="0" w:color="auto"/>
            </w:tcBorders>
            <w:vAlign w:val="center"/>
          </w:tcPr>
          <w:p w14:paraId="1BD64267" w14:textId="77777777" w:rsidR="00677386" w:rsidRPr="0040333D" w:rsidRDefault="00677386" w:rsidP="002E6AC0">
            <w:pPr>
              <w:jc w:val="center"/>
              <w:rPr>
                <w:sz w:val="18"/>
                <w:szCs w:val="18"/>
              </w:rPr>
            </w:pPr>
            <w:r w:rsidRPr="0040333D">
              <w:rPr>
                <w:sz w:val="18"/>
                <w:szCs w:val="18"/>
              </w:rPr>
              <w:t>Age</w:t>
            </w:r>
          </w:p>
        </w:tc>
        <w:tc>
          <w:tcPr>
            <w:tcW w:w="761" w:type="dxa"/>
            <w:tcBorders>
              <w:bottom w:val="single" w:sz="4" w:space="0" w:color="auto"/>
            </w:tcBorders>
            <w:vAlign w:val="center"/>
          </w:tcPr>
          <w:p w14:paraId="05BE19D3" w14:textId="77777777" w:rsidR="00677386" w:rsidRPr="0040333D" w:rsidRDefault="00677386" w:rsidP="002E6AC0">
            <w:pPr>
              <w:jc w:val="center"/>
              <w:rPr>
                <w:sz w:val="18"/>
                <w:szCs w:val="18"/>
              </w:rPr>
            </w:pPr>
            <w:r w:rsidRPr="0040333D">
              <w:rPr>
                <w:sz w:val="18"/>
                <w:szCs w:val="18"/>
              </w:rPr>
              <w:t>Gender</w:t>
            </w:r>
          </w:p>
        </w:tc>
        <w:tc>
          <w:tcPr>
            <w:tcW w:w="1836" w:type="dxa"/>
            <w:tcBorders>
              <w:bottom w:val="single" w:sz="4" w:space="0" w:color="auto"/>
            </w:tcBorders>
            <w:vAlign w:val="center"/>
          </w:tcPr>
          <w:p w14:paraId="68F1742A" w14:textId="77777777" w:rsidR="00677386" w:rsidRPr="0040333D" w:rsidRDefault="00677386" w:rsidP="002E6AC0">
            <w:pPr>
              <w:jc w:val="center"/>
              <w:rPr>
                <w:sz w:val="18"/>
                <w:szCs w:val="18"/>
              </w:rPr>
            </w:pPr>
            <w:r w:rsidRPr="0040333D">
              <w:rPr>
                <w:sz w:val="18"/>
                <w:szCs w:val="18"/>
              </w:rPr>
              <w:t>Neoadjuvant Treatment</w:t>
            </w:r>
          </w:p>
        </w:tc>
        <w:tc>
          <w:tcPr>
            <w:tcW w:w="1547" w:type="dxa"/>
            <w:tcBorders>
              <w:bottom w:val="single" w:sz="4" w:space="0" w:color="auto"/>
            </w:tcBorders>
            <w:vAlign w:val="center"/>
          </w:tcPr>
          <w:p w14:paraId="61171962" w14:textId="77777777" w:rsidR="00677386" w:rsidRDefault="00677386" w:rsidP="00830799">
            <w:pPr>
              <w:jc w:val="center"/>
              <w:rPr>
                <w:sz w:val="18"/>
                <w:szCs w:val="18"/>
              </w:rPr>
            </w:pPr>
            <w:r>
              <w:rPr>
                <w:sz w:val="18"/>
                <w:szCs w:val="18"/>
              </w:rPr>
              <w:t>Response</w:t>
            </w:r>
          </w:p>
          <w:p w14:paraId="0C065AF5" w14:textId="4E35BB10" w:rsidR="00677386" w:rsidRPr="0040333D" w:rsidRDefault="00677386" w:rsidP="002E6AC0">
            <w:pPr>
              <w:jc w:val="center"/>
              <w:rPr>
                <w:sz w:val="18"/>
                <w:szCs w:val="18"/>
              </w:rPr>
            </w:pPr>
            <w:r>
              <w:rPr>
                <w:sz w:val="18"/>
                <w:szCs w:val="18"/>
              </w:rPr>
              <w:t>(Y/N)</w:t>
            </w:r>
          </w:p>
        </w:tc>
        <w:tc>
          <w:tcPr>
            <w:tcW w:w="1667" w:type="dxa"/>
            <w:tcBorders>
              <w:bottom w:val="single" w:sz="4" w:space="0" w:color="auto"/>
            </w:tcBorders>
            <w:vAlign w:val="center"/>
          </w:tcPr>
          <w:p w14:paraId="12025829" w14:textId="1963301D" w:rsidR="00677386" w:rsidRPr="0040333D" w:rsidRDefault="00677386" w:rsidP="002E6AC0">
            <w:pPr>
              <w:jc w:val="center"/>
              <w:rPr>
                <w:sz w:val="18"/>
                <w:szCs w:val="18"/>
              </w:rPr>
            </w:pPr>
            <w:r w:rsidRPr="0040333D">
              <w:rPr>
                <w:sz w:val="18"/>
                <w:szCs w:val="18"/>
              </w:rPr>
              <w:t>Procedure</w:t>
            </w:r>
          </w:p>
        </w:tc>
        <w:tc>
          <w:tcPr>
            <w:tcW w:w="891" w:type="dxa"/>
            <w:tcBorders>
              <w:bottom w:val="single" w:sz="4" w:space="0" w:color="auto"/>
            </w:tcBorders>
            <w:vAlign w:val="center"/>
          </w:tcPr>
          <w:p w14:paraId="7EFCDBC1" w14:textId="77777777" w:rsidR="00677386" w:rsidRPr="0040333D" w:rsidRDefault="00677386" w:rsidP="002E6AC0">
            <w:pPr>
              <w:jc w:val="center"/>
              <w:rPr>
                <w:sz w:val="18"/>
                <w:szCs w:val="18"/>
              </w:rPr>
            </w:pPr>
            <w:r w:rsidRPr="0040333D">
              <w:rPr>
                <w:sz w:val="18"/>
                <w:szCs w:val="18"/>
              </w:rPr>
              <w:t>Dukes’ Stage</w:t>
            </w:r>
          </w:p>
        </w:tc>
        <w:tc>
          <w:tcPr>
            <w:tcW w:w="1303" w:type="dxa"/>
            <w:tcBorders>
              <w:bottom w:val="single" w:sz="4" w:space="0" w:color="auto"/>
            </w:tcBorders>
            <w:vAlign w:val="center"/>
          </w:tcPr>
          <w:p w14:paraId="45878A87" w14:textId="77777777" w:rsidR="00677386" w:rsidRPr="0040333D" w:rsidRDefault="00677386" w:rsidP="002E6AC0">
            <w:pPr>
              <w:jc w:val="center"/>
              <w:rPr>
                <w:sz w:val="18"/>
                <w:szCs w:val="18"/>
              </w:rPr>
            </w:pPr>
            <w:r w:rsidRPr="0040333D">
              <w:rPr>
                <w:sz w:val="18"/>
                <w:szCs w:val="18"/>
              </w:rPr>
              <w:t>Histology</w:t>
            </w:r>
          </w:p>
        </w:tc>
      </w:tr>
      <w:tr w:rsidR="00677386" w14:paraId="1ABA6F6C" w14:textId="34A0D46B" w:rsidTr="00677386">
        <w:trPr>
          <w:trHeight w:val="277"/>
        </w:trPr>
        <w:tc>
          <w:tcPr>
            <w:tcW w:w="495" w:type="dxa"/>
            <w:tcBorders>
              <w:top w:val="single" w:sz="4" w:space="0" w:color="auto"/>
            </w:tcBorders>
            <w:vAlign w:val="center"/>
          </w:tcPr>
          <w:p w14:paraId="790752BA" w14:textId="77777777" w:rsidR="00677386" w:rsidRPr="00943174" w:rsidRDefault="00677386" w:rsidP="002E6AC0">
            <w:pPr>
              <w:jc w:val="center"/>
              <w:rPr>
                <w:sz w:val="16"/>
                <w:szCs w:val="16"/>
              </w:rPr>
            </w:pPr>
            <w:r w:rsidRPr="00943174">
              <w:rPr>
                <w:sz w:val="16"/>
                <w:szCs w:val="16"/>
              </w:rPr>
              <w:t>77</w:t>
            </w:r>
          </w:p>
        </w:tc>
        <w:tc>
          <w:tcPr>
            <w:tcW w:w="761" w:type="dxa"/>
            <w:tcBorders>
              <w:top w:val="single" w:sz="4" w:space="0" w:color="auto"/>
            </w:tcBorders>
            <w:vAlign w:val="center"/>
          </w:tcPr>
          <w:p w14:paraId="28FDAA4D" w14:textId="77777777" w:rsidR="00677386" w:rsidRPr="00943174" w:rsidRDefault="00677386" w:rsidP="002E6AC0">
            <w:pPr>
              <w:jc w:val="center"/>
              <w:rPr>
                <w:sz w:val="16"/>
                <w:szCs w:val="16"/>
              </w:rPr>
            </w:pPr>
            <w:r w:rsidRPr="00943174">
              <w:rPr>
                <w:sz w:val="16"/>
                <w:szCs w:val="16"/>
              </w:rPr>
              <w:t>M</w:t>
            </w:r>
          </w:p>
        </w:tc>
        <w:tc>
          <w:tcPr>
            <w:tcW w:w="1836" w:type="dxa"/>
            <w:tcBorders>
              <w:top w:val="single" w:sz="4" w:space="0" w:color="auto"/>
            </w:tcBorders>
            <w:vAlign w:val="center"/>
          </w:tcPr>
          <w:p w14:paraId="267B01D9" w14:textId="77777777" w:rsidR="00677386" w:rsidRPr="00943174" w:rsidRDefault="00677386" w:rsidP="002E6AC0">
            <w:pPr>
              <w:jc w:val="center"/>
              <w:rPr>
                <w:sz w:val="16"/>
                <w:szCs w:val="16"/>
              </w:rPr>
            </w:pPr>
            <w:r w:rsidRPr="00943174">
              <w:rPr>
                <w:sz w:val="16"/>
                <w:szCs w:val="16"/>
              </w:rPr>
              <w:t>Capecitabine plus 45Gy in 25 fractions</w:t>
            </w:r>
          </w:p>
        </w:tc>
        <w:tc>
          <w:tcPr>
            <w:tcW w:w="1547" w:type="dxa"/>
            <w:tcBorders>
              <w:top w:val="single" w:sz="4" w:space="0" w:color="auto"/>
            </w:tcBorders>
            <w:vAlign w:val="center"/>
          </w:tcPr>
          <w:p w14:paraId="1799BF3D" w14:textId="7E563551" w:rsidR="00677386" w:rsidRPr="00943174" w:rsidRDefault="00677386" w:rsidP="002E6AC0">
            <w:pPr>
              <w:jc w:val="center"/>
              <w:rPr>
                <w:sz w:val="16"/>
                <w:szCs w:val="16"/>
              </w:rPr>
            </w:pPr>
            <w:r>
              <w:rPr>
                <w:sz w:val="16"/>
                <w:szCs w:val="16"/>
              </w:rPr>
              <w:t>Y</w:t>
            </w:r>
          </w:p>
        </w:tc>
        <w:tc>
          <w:tcPr>
            <w:tcW w:w="1667" w:type="dxa"/>
            <w:tcBorders>
              <w:top w:val="single" w:sz="4" w:space="0" w:color="auto"/>
            </w:tcBorders>
            <w:vAlign w:val="center"/>
          </w:tcPr>
          <w:p w14:paraId="5802AC4F" w14:textId="7511A5D3" w:rsidR="00677386" w:rsidRPr="00943174" w:rsidRDefault="00677386" w:rsidP="002E6AC0">
            <w:pPr>
              <w:jc w:val="center"/>
              <w:rPr>
                <w:sz w:val="16"/>
                <w:szCs w:val="16"/>
              </w:rPr>
            </w:pPr>
            <w:r w:rsidRPr="00943174">
              <w:rPr>
                <w:sz w:val="16"/>
                <w:szCs w:val="16"/>
              </w:rPr>
              <w:t>Open low anterior resection</w:t>
            </w:r>
          </w:p>
        </w:tc>
        <w:tc>
          <w:tcPr>
            <w:tcW w:w="891" w:type="dxa"/>
            <w:tcBorders>
              <w:top w:val="single" w:sz="4" w:space="0" w:color="auto"/>
            </w:tcBorders>
            <w:vAlign w:val="center"/>
          </w:tcPr>
          <w:p w14:paraId="799941AA" w14:textId="77777777" w:rsidR="00677386" w:rsidRPr="00943174" w:rsidRDefault="00677386" w:rsidP="002E6AC0">
            <w:pPr>
              <w:jc w:val="center"/>
              <w:rPr>
                <w:sz w:val="16"/>
                <w:szCs w:val="16"/>
              </w:rPr>
            </w:pPr>
            <w:r w:rsidRPr="00943174">
              <w:rPr>
                <w:sz w:val="16"/>
                <w:szCs w:val="16"/>
              </w:rPr>
              <w:t>C1</w:t>
            </w:r>
          </w:p>
        </w:tc>
        <w:tc>
          <w:tcPr>
            <w:tcW w:w="1303" w:type="dxa"/>
            <w:tcBorders>
              <w:top w:val="single" w:sz="4" w:space="0" w:color="auto"/>
            </w:tcBorders>
            <w:vAlign w:val="center"/>
          </w:tcPr>
          <w:p w14:paraId="07791757" w14:textId="77777777" w:rsidR="00677386" w:rsidRPr="00943174" w:rsidRDefault="00677386" w:rsidP="002E6AC0">
            <w:pPr>
              <w:jc w:val="center"/>
              <w:rPr>
                <w:sz w:val="16"/>
                <w:szCs w:val="16"/>
              </w:rPr>
            </w:pPr>
            <w:r w:rsidRPr="00943174">
              <w:rPr>
                <w:sz w:val="16"/>
                <w:szCs w:val="16"/>
              </w:rPr>
              <w:t>Moderately differentiated adenocarcinoma</w:t>
            </w:r>
          </w:p>
        </w:tc>
      </w:tr>
      <w:tr w:rsidR="00677386" w14:paraId="64BBCBAB" w14:textId="75AF8BCF" w:rsidTr="00677386">
        <w:trPr>
          <w:trHeight w:val="277"/>
        </w:trPr>
        <w:tc>
          <w:tcPr>
            <w:tcW w:w="495" w:type="dxa"/>
            <w:vAlign w:val="center"/>
          </w:tcPr>
          <w:p w14:paraId="30862D48" w14:textId="77777777" w:rsidR="00677386" w:rsidRPr="00943174" w:rsidRDefault="00677386" w:rsidP="002E6AC0">
            <w:pPr>
              <w:jc w:val="center"/>
              <w:rPr>
                <w:sz w:val="16"/>
                <w:szCs w:val="16"/>
              </w:rPr>
            </w:pPr>
            <w:r w:rsidRPr="00943174">
              <w:rPr>
                <w:sz w:val="16"/>
                <w:szCs w:val="16"/>
              </w:rPr>
              <w:t>50</w:t>
            </w:r>
          </w:p>
        </w:tc>
        <w:tc>
          <w:tcPr>
            <w:tcW w:w="761" w:type="dxa"/>
            <w:vAlign w:val="center"/>
          </w:tcPr>
          <w:p w14:paraId="2683E71E" w14:textId="77777777" w:rsidR="00677386" w:rsidRPr="00943174" w:rsidRDefault="00677386" w:rsidP="002E6AC0">
            <w:pPr>
              <w:jc w:val="center"/>
              <w:rPr>
                <w:sz w:val="16"/>
                <w:szCs w:val="16"/>
              </w:rPr>
            </w:pPr>
            <w:r w:rsidRPr="00943174">
              <w:rPr>
                <w:sz w:val="16"/>
                <w:szCs w:val="16"/>
              </w:rPr>
              <w:t>M</w:t>
            </w:r>
          </w:p>
        </w:tc>
        <w:tc>
          <w:tcPr>
            <w:tcW w:w="1836" w:type="dxa"/>
            <w:vAlign w:val="center"/>
          </w:tcPr>
          <w:p w14:paraId="2D463A13" w14:textId="77777777" w:rsidR="00677386" w:rsidRPr="00943174" w:rsidRDefault="00677386" w:rsidP="002E6AC0">
            <w:pPr>
              <w:jc w:val="center"/>
              <w:rPr>
                <w:sz w:val="16"/>
                <w:szCs w:val="16"/>
              </w:rPr>
            </w:pPr>
            <w:r w:rsidRPr="00943174">
              <w:rPr>
                <w:sz w:val="16"/>
                <w:szCs w:val="16"/>
              </w:rPr>
              <w:t>Capecitabine plus 50.4Gy in 28 fractions</w:t>
            </w:r>
          </w:p>
        </w:tc>
        <w:tc>
          <w:tcPr>
            <w:tcW w:w="1547" w:type="dxa"/>
            <w:vAlign w:val="center"/>
          </w:tcPr>
          <w:p w14:paraId="3E952466" w14:textId="4C4862D4" w:rsidR="00677386" w:rsidRPr="00943174" w:rsidRDefault="00677386" w:rsidP="002E6AC0">
            <w:pPr>
              <w:jc w:val="center"/>
              <w:rPr>
                <w:sz w:val="16"/>
                <w:szCs w:val="16"/>
              </w:rPr>
            </w:pPr>
            <w:r>
              <w:rPr>
                <w:sz w:val="16"/>
                <w:szCs w:val="16"/>
              </w:rPr>
              <w:t>Y</w:t>
            </w:r>
          </w:p>
        </w:tc>
        <w:tc>
          <w:tcPr>
            <w:tcW w:w="1667" w:type="dxa"/>
            <w:vAlign w:val="center"/>
          </w:tcPr>
          <w:p w14:paraId="7A2EAC03" w14:textId="22A0030E" w:rsidR="00677386" w:rsidRPr="00943174" w:rsidRDefault="00677386" w:rsidP="002E6AC0">
            <w:pPr>
              <w:jc w:val="center"/>
              <w:rPr>
                <w:sz w:val="16"/>
                <w:szCs w:val="16"/>
              </w:rPr>
            </w:pPr>
            <w:r w:rsidRPr="00943174">
              <w:rPr>
                <w:sz w:val="16"/>
                <w:szCs w:val="16"/>
              </w:rPr>
              <w:t>Laparoscopic low anterior resection</w:t>
            </w:r>
          </w:p>
        </w:tc>
        <w:tc>
          <w:tcPr>
            <w:tcW w:w="891" w:type="dxa"/>
            <w:vAlign w:val="center"/>
          </w:tcPr>
          <w:p w14:paraId="6B89E95F" w14:textId="77777777" w:rsidR="00677386" w:rsidRPr="00943174" w:rsidRDefault="00677386" w:rsidP="002E6AC0">
            <w:pPr>
              <w:jc w:val="center"/>
              <w:rPr>
                <w:sz w:val="16"/>
                <w:szCs w:val="16"/>
              </w:rPr>
            </w:pPr>
            <w:r w:rsidRPr="00943174">
              <w:rPr>
                <w:sz w:val="16"/>
                <w:szCs w:val="16"/>
              </w:rPr>
              <w:t>B</w:t>
            </w:r>
          </w:p>
        </w:tc>
        <w:tc>
          <w:tcPr>
            <w:tcW w:w="1303" w:type="dxa"/>
            <w:vAlign w:val="center"/>
          </w:tcPr>
          <w:p w14:paraId="24CACC23" w14:textId="77777777" w:rsidR="00677386" w:rsidRPr="00943174" w:rsidRDefault="00677386" w:rsidP="002E6AC0">
            <w:pPr>
              <w:jc w:val="center"/>
              <w:rPr>
                <w:sz w:val="16"/>
                <w:szCs w:val="16"/>
              </w:rPr>
            </w:pPr>
            <w:r w:rsidRPr="00943174">
              <w:rPr>
                <w:sz w:val="16"/>
                <w:szCs w:val="16"/>
              </w:rPr>
              <w:t>Moderately differentiated adenocarcinoma</w:t>
            </w:r>
          </w:p>
        </w:tc>
      </w:tr>
      <w:tr w:rsidR="00677386" w14:paraId="51F74693" w14:textId="35D2D19E" w:rsidTr="00677386">
        <w:trPr>
          <w:trHeight w:val="277"/>
        </w:trPr>
        <w:tc>
          <w:tcPr>
            <w:tcW w:w="495" w:type="dxa"/>
            <w:vAlign w:val="center"/>
          </w:tcPr>
          <w:p w14:paraId="5FEBC19B" w14:textId="77777777" w:rsidR="00677386" w:rsidRPr="00943174" w:rsidRDefault="00677386" w:rsidP="002E6AC0">
            <w:pPr>
              <w:jc w:val="center"/>
              <w:rPr>
                <w:sz w:val="16"/>
                <w:szCs w:val="16"/>
              </w:rPr>
            </w:pPr>
            <w:r w:rsidRPr="00943174">
              <w:rPr>
                <w:sz w:val="16"/>
                <w:szCs w:val="16"/>
              </w:rPr>
              <w:t>77</w:t>
            </w:r>
          </w:p>
        </w:tc>
        <w:tc>
          <w:tcPr>
            <w:tcW w:w="761" w:type="dxa"/>
            <w:vAlign w:val="center"/>
          </w:tcPr>
          <w:p w14:paraId="726F436D" w14:textId="77777777" w:rsidR="00677386" w:rsidRPr="00943174" w:rsidRDefault="00677386" w:rsidP="002E6AC0">
            <w:pPr>
              <w:jc w:val="center"/>
              <w:rPr>
                <w:sz w:val="16"/>
                <w:szCs w:val="16"/>
              </w:rPr>
            </w:pPr>
            <w:r w:rsidRPr="00943174">
              <w:rPr>
                <w:sz w:val="16"/>
                <w:szCs w:val="16"/>
              </w:rPr>
              <w:t>M</w:t>
            </w:r>
          </w:p>
        </w:tc>
        <w:tc>
          <w:tcPr>
            <w:tcW w:w="1836" w:type="dxa"/>
            <w:vAlign w:val="center"/>
          </w:tcPr>
          <w:p w14:paraId="317AB0EC" w14:textId="77777777" w:rsidR="00677386" w:rsidRPr="00943174" w:rsidRDefault="00677386" w:rsidP="002E6AC0">
            <w:pPr>
              <w:jc w:val="center"/>
              <w:rPr>
                <w:sz w:val="16"/>
                <w:szCs w:val="16"/>
              </w:rPr>
            </w:pPr>
            <w:r w:rsidRPr="00943174">
              <w:rPr>
                <w:sz w:val="16"/>
                <w:szCs w:val="16"/>
              </w:rPr>
              <w:t>Capecitabine plus 45Gy in 25 fractions</w:t>
            </w:r>
          </w:p>
        </w:tc>
        <w:tc>
          <w:tcPr>
            <w:tcW w:w="1547" w:type="dxa"/>
            <w:vAlign w:val="center"/>
          </w:tcPr>
          <w:p w14:paraId="3C548CEC" w14:textId="10044958" w:rsidR="00677386" w:rsidRPr="00943174" w:rsidRDefault="00677386" w:rsidP="002E6AC0">
            <w:pPr>
              <w:jc w:val="center"/>
              <w:rPr>
                <w:sz w:val="16"/>
                <w:szCs w:val="16"/>
              </w:rPr>
            </w:pPr>
            <w:r>
              <w:rPr>
                <w:sz w:val="16"/>
                <w:szCs w:val="16"/>
              </w:rPr>
              <w:t>N</w:t>
            </w:r>
          </w:p>
        </w:tc>
        <w:tc>
          <w:tcPr>
            <w:tcW w:w="1667" w:type="dxa"/>
            <w:vAlign w:val="center"/>
          </w:tcPr>
          <w:p w14:paraId="4AE21F2E" w14:textId="3295269D" w:rsidR="00677386" w:rsidRPr="00943174" w:rsidRDefault="00677386" w:rsidP="002E6AC0">
            <w:pPr>
              <w:jc w:val="center"/>
              <w:rPr>
                <w:sz w:val="16"/>
                <w:szCs w:val="16"/>
              </w:rPr>
            </w:pPr>
            <w:r w:rsidRPr="00943174">
              <w:rPr>
                <w:sz w:val="16"/>
                <w:szCs w:val="16"/>
              </w:rPr>
              <w:t>Open low anterior resection</w:t>
            </w:r>
          </w:p>
        </w:tc>
        <w:tc>
          <w:tcPr>
            <w:tcW w:w="891" w:type="dxa"/>
            <w:vAlign w:val="center"/>
          </w:tcPr>
          <w:p w14:paraId="5FD3128F" w14:textId="77777777" w:rsidR="00677386" w:rsidRPr="00943174" w:rsidRDefault="00677386" w:rsidP="002E6AC0">
            <w:pPr>
              <w:jc w:val="center"/>
              <w:rPr>
                <w:sz w:val="16"/>
                <w:szCs w:val="16"/>
              </w:rPr>
            </w:pPr>
            <w:r w:rsidRPr="00943174">
              <w:rPr>
                <w:sz w:val="16"/>
                <w:szCs w:val="16"/>
              </w:rPr>
              <w:t>C1</w:t>
            </w:r>
          </w:p>
        </w:tc>
        <w:tc>
          <w:tcPr>
            <w:tcW w:w="1303" w:type="dxa"/>
            <w:vAlign w:val="center"/>
          </w:tcPr>
          <w:p w14:paraId="3F7BD28A" w14:textId="77777777" w:rsidR="00677386" w:rsidRPr="00943174" w:rsidRDefault="00677386" w:rsidP="002E6AC0">
            <w:pPr>
              <w:jc w:val="center"/>
              <w:rPr>
                <w:sz w:val="16"/>
                <w:szCs w:val="16"/>
              </w:rPr>
            </w:pPr>
            <w:r w:rsidRPr="00943174">
              <w:rPr>
                <w:sz w:val="16"/>
                <w:szCs w:val="16"/>
              </w:rPr>
              <w:t>Moderately differentiated adenocarcinoma</w:t>
            </w:r>
          </w:p>
        </w:tc>
      </w:tr>
      <w:tr w:rsidR="00677386" w14:paraId="0733EFC8" w14:textId="3815C6E5" w:rsidTr="00677386">
        <w:trPr>
          <w:trHeight w:val="267"/>
        </w:trPr>
        <w:tc>
          <w:tcPr>
            <w:tcW w:w="495" w:type="dxa"/>
            <w:vAlign w:val="center"/>
          </w:tcPr>
          <w:p w14:paraId="46582214" w14:textId="77777777" w:rsidR="00677386" w:rsidRPr="00943174" w:rsidRDefault="00677386" w:rsidP="002E6AC0">
            <w:pPr>
              <w:jc w:val="center"/>
              <w:rPr>
                <w:sz w:val="16"/>
                <w:szCs w:val="16"/>
              </w:rPr>
            </w:pPr>
            <w:r w:rsidRPr="00943174">
              <w:rPr>
                <w:sz w:val="16"/>
                <w:szCs w:val="16"/>
              </w:rPr>
              <w:t>77</w:t>
            </w:r>
          </w:p>
        </w:tc>
        <w:tc>
          <w:tcPr>
            <w:tcW w:w="761" w:type="dxa"/>
            <w:vAlign w:val="center"/>
          </w:tcPr>
          <w:p w14:paraId="3E202684" w14:textId="77777777" w:rsidR="00677386" w:rsidRPr="00943174" w:rsidRDefault="00677386" w:rsidP="002E6AC0">
            <w:pPr>
              <w:jc w:val="center"/>
              <w:rPr>
                <w:sz w:val="16"/>
                <w:szCs w:val="16"/>
              </w:rPr>
            </w:pPr>
            <w:r w:rsidRPr="00943174">
              <w:rPr>
                <w:sz w:val="16"/>
                <w:szCs w:val="16"/>
              </w:rPr>
              <w:t>M</w:t>
            </w:r>
          </w:p>
        </w:tc>
        <w:tc>
          <w:tcPr>
            <w:tcW w:w="1836" w:type="dxa"/>
            <w:vAlign w:val="center"/>
          </w:tcPr>
          <w:p w14:paraId="72727A34" w14:textId="77777777" w:rsidR="00677386" w:rsidRPr="00943174" w:rsidRDefault="00677386" w:rsidP="002E6AC0">
            <w:pPr>
              <w:jc w:val="center"/>
              <w:rPr>
                <w:sz w:val="16"/>
                <w:szCs w:val="16"/>
              </w:rPr>
            </w:pPr>
            <w:r w:rsidRPr="00943174">
              <w:rPr>
                <w:sz w:val="16"/>
                <w:szCs w:val="16"/>
              </w:rPr>
              <w:t>Capecitabine plus 50.4Gy in 28 fractions</w:t>
            </w:r>
          </w:p>
        </w:tc>
        <w:tc>
          <w:tcPr>
            <w:tcW w:w="1547" w:type="dxa"/>
            <w:vAlign w:val="center"/>
          </w:tcPr>
          <w:p w14:paraId="612744BA" w14:textId="0F7E5EC8" w:rsidR="00677386" w:rsidRPr="00943174" w:rsidRDefault="00677386" w:rsidP="002E6AC0">
            <w:pPr>
              <w:jc w:val="center"/>
              <w:rPr>
                <w:sz w:val="16"/>
                <w:szCs w:val="16"/>
              </w:rPr>
            </w:pPr>
            <w:r>
              <w:rPr>
                <w:sz w:val="16"/>
                <w:szCs w:val="16"/>
              </w:rPr>
              <w:t>Y</w:t>
            </w:r>
          </w:p>
        </w:tc>
        <w:tc>
          <w:tcPr>
            <w:tcW w:w="1667" w:type="dxa"/>
            <w:vAlign w:val="center"/>
          </w:tcPr>
          <w:p w14:paraId="2CC71E71" w14:textId="0864405E" w:rsidR="00677386" w:rsidRPr="00943174" w:rsidRDefault="00677386" w:rsidP="002E6AC0">
            <w:pPr>
              <w:jc w:val="center"/>
              <w:rPr>
                <w:sz w:val="16"/>
                <w:szCs w:val="16"/>
              </w:rPr>
            </w:pPr>
            <w:r w:rsidRPr="00943174">
              <w:rPr>
                <w:sz w:val="16"/>
                <w:szCs w:val="16"/>
              </w:rPr>
              <w:t>Ultra-low Hartmann's</w:t>
            </w:r>
          </w:p>
        </w:tc>
        <w:tc>
          <w:tcPr>
            <w:tcW w:w="891" w:type="dxa"/>
            <w:vAlign w:val="center"/>
          </w:tcPr>
          <w:p w14:paraId="6DE7B123" w14:textId="77777777" w:rsidR="00677386" w:rsidRPr="00943174" w:rsidRDefault="00677386" w:rsidP="002E6AC0">
            <w:pPr>
              <w:jc w:val="center"/>
              <w:rPr>
                <w:sz w:val="16"/>
                <w:szCs w:val="16"/>
              </w:rPr>
            </w:pPr>
            <w:r w:rsidRPr="00943174">
              <w:rPr>
                <w:sz w:val="16"/>
                <w:szCs w:val="16"/>
              </w:rPr>
              <w:t>B</w:t>
            </w:r>
          </w:p>
        </w:tc>
        <w:tc>
          <w:tcPr>
            <w:tcW w:w="1303" w:type="dxa"/>
            <w:vAlign w:val="center"/>
          </w:tcPr>
          <w:p w14:paraId="6C836E9E" w14:textId="77777777" w:rsidR="00677386" w:rsidRPr="00943174" w:rsidRDefault="00677386" w:rsidP="002E6AC0">
            <w:pPr>
              <w:jc w:val="center"/>
              <w:rPr>
                <w:sz w:val="16"/>
                <w:szCs w:val="16"/>
              </w:rPr>
            </w:pPr>
            <w:r w:rsidRPr="00943174">
              <w:rPr>
                <w:sz w:val="16"/>
                <w:szCs w:val="16"/>
              </w:rPr>
              <w:t>Moderately differentiated adenocarcinoma</w:t>
            </w:r>
          </w:p>
        </w:tc>
      </w:tr>
      <w:tr w:rsidR="00677386" w14:paraId="7B058616" w14:textId="50ED642F" w:rsidTr="00677386">
        <w:trPr>
          <w:trHeight w:val="277"/>
        </w:trPr>
        <w:tc>
          <w:tcPr>
            <w:tcW w:w="495" w:type="dxa"/>
            <w:vAlign w:val="center"/>
          </w:tcPr>
          <w:p w14:paraId="21BB315A" w14:textId="77777777" w:rsidR="00677386" w:rsidRPr="00943174" w:rsidRDefault="00677386" w:rsidP="002E6AC0">
            <w:pPr>
              <w:jc w:val="center"/>
              <w:rPr>
                <w:sz w:val="16"/>
                <w:szCs w:val="16"/>
              </w:rPr>
            </w:pPr>
            <w:r w:rsidRPr="00943174">
              <w:rPr>
                <w:sz w:val="16"/>
                <w:szCs w:val="16"/>
              </w:rPr>
              <w:t>63</w:t>
            </w:r>
          </w:p>
        </w:tc>
        <w:tc>
          <w:tcPr>
            <w:tcW w:w="761" w:type="dxa"/>
            <w:vAlign w:val="center"/>
          </w:tcPr>
          <w:p w14:paraId="2560FD2C" w14:textId="77777777" w:rsidR="00677386" w:rsidRPr="00943174" w:rsidRDefault="00677386" w:rsidP="002E6AC0">
            <w:pPr>
              <w:jc w:val="center"/>
              <w:rPr>
                <w:sz w:val="16"/>
                <w:szCs w:val="16"/>
              </w:rPr>
            </w:pPr>
            <w:r w:rsidRPr="00943174">
              <w:rPr>
                <w:sz w:val="16"/>
                <w:szCs w:val="16"/>
              </w:rPr>
              <w:t>M</w:t>
            </w:r>
          </w:p>
        </w:tc>
        <w:tc>
          <w:tcPr>
            <w:tcW w:w="1836" w:type="dxa"/>
            <w:vAlign w:val="center"/>
          </w:tcPr>
          <w:p w14:paraId="14DD52A9" w14:textId="77777777" w:rsidR="00677386" w:rsidRPr="00943174" w:rsidRDefault="00677386" w:rsidP="002E6AC0">
            <w:pPr>
              <w:jc w:val="center"/>
              <w:rPr>
                <w:sz w:val="16"/>
                <w:szCs w:val="16"/>
              </w:rPr>
            </w:pPr>
            <w:r w:rsidRPr="00943174">
              <w:rPr>
                <w:sz w:val="16"/>
                <w:szCs w:val="16"/>
              </w:rPr>
              <w:t>Capecitabine plus 50.4Gy in 28 fractions</w:t>
            </w:r>
          </w:p>
        </w:tc>
        <w:tc>
          <w:tcPr>
            <w:tcW w:w="1547" w:type="dxa"/>
            <w:vAlign w:val="center"/>
          </w:tcPr>
          <w:p w14:paraId="0A512E2D" w14:textId="7E06DFC4" w:rsidR="00677386" w:rsidRPr="00943174" w:rsidRDefault="00677386" w:rsidP="002E6AC0">
            <w:pPr>
              <w:jc w:val="center"/>
              <w:rPr>
                <w:sz w:val="16"/>
                <w:szCs w:val="16"/>
              </w:rPr>
            </w:pPr>
            <w:r>
              <w:rPr>
                <w:sz w:val="16"/>
                <w:szCs w:val="16"/>
              </w:rPr>
              <w:t>N</w:t>
            </w:r>
          </w:p>
        </w:tc>
        <w:tc>
          <w:tcPr>
            <w:tcW w:w="1667" w:type="dxa"/>
            <w:vAlign w:val="center"/>
          </w:tcPr>
          <w:p w14:paraId="09B8D06D" w14:textId="45A0E856" w:rsidR="00677386" w:rsidRPr="00943174" w:rsidRDefault="00677386" w:rsidP="002E6AC0">
            <w:pPr>
              <w:jc w:val="center"/>
              <w:rPr>
                <w:sz w:val="16"/>
                <w:szCs w:val="16"/>
              </w:rPr>
            </w:pPr>
            <w:r w:rsidRPr="00943174">
              <w:rPr>
                <w:sz w:val="16"/>
                <w:szCs w:val="16"/>
              </w:rPr>
              <w:t>Laparoscopic low anterior resection</w:t>
            </w:r>
          </w:p>
        </w:tc>
        <w:tc>
          <w:tcPr>
            <w:tcW w:w="891" w:type="dxa"/>
            <w:vAlign w:val="center"/>
          </w:tcPr>
          <w:p w14:paraId="12208D76" w14:textId="77777777" w:rsidR="00677386" w:rsidRPr="00943174" w:rsidRDefault="00677386" w:rsidP="002E6AC0">
            <w:pPr>
              <w:jc w:val="center"/>
              <w:rPr>
                <w:sz w:val="16"/>
                <w:szCs w:val="16"/>
              </w:rPr>
            </w:pPr>
            <w:r w:rsidRPr="00943174">
              <w:rPr>
                <w:sz w:val="16"/>
                <w:szCs w:val="16"/>
              </w:rPr>
              <w:t>D</w:t>
            </w:r>
          </w:p>
        </w:tc>
        <w:tc>
          <w:tcPr>
            <w:tcW w:w="1303" w:type="dxa"/>
            <w:vAlign w:val="center"/>
          </w:tcPr>
          <w:p w14:paraId="05DFB3A0" w14:textId="77777777" w:rsidR="00677386" w:rsidRPr="00943174" w:rsidRDefault="00677386" w:rsidP="002E6AC0">
            <w:pPr>
              <w:jc w:val="center"/>
              <w:rPr>
                <w:sz w:val="16"/>
                <w:szCs w:val="16"/>
              </w:rPr>
            </w:pPr>
            <w:r w:rsidRPr="00943174">
              <w:rPr>
                <w:sz w:val="16"/>
                <w:szCs w:val="16"/>
              </w:rPr>
              <w:t>Moderately differentiated adenocarcinoma</w:t>
            </w:r>
          </w:p>
        </w:tc>
      </w:tr>
      <w:tr w:rsidR="00677386" w14:paraId="32A60FC4" w14:textId="4D4E4821" w:rsidTr="00677386">
        <w:trPr>
          <w:trHeight w:val="277"/>
        </w:trPr>
        <w:tc>
          <w:tcPr>
            <w:tcW w:w="495" w:type="dxa"/>
            <w:vAlign w:val="center"/>
          </w:tcPr>
          <w:p w14:paraId="00F67D0E" w14:textId="77777777" w:rsidR="00677386" w:rsidRPr="00943174" w:rsidRDefault="00677386" w:rsidP="002E6AC0">
            <w:pPr>
              <w:jc w:val="center"/>
              <w:rPr>
                <w:sz w:val="16"/>
                <w:szCs w:val="16"/>
              </w:rPr>
            </w:pPr>
            <w:r w:rsidRPr="00943174">
              <w:rPr>
                <w:sz w:val="16"/>
                <w:szCs w:val="16"/>
              </w:rPr>
              <w:t>71</w:t>
            </w:r>
          </w:p>
        </w:tc>
        <w:tc>
          <w:tcPr>
            <w:tcW w:w="761" w:type="dxa"/>
            <w:vAlign w:val="center"/>
          </w:tcPr>
          <w:p w14:paraId="0B283617" w14:textId="77777777" w:rsidR="00677386" w:rsidRPr="00943174" w:rsidRDefault="00677386" w:rsidP="002E6AC0">
            <w:pPr>
              <w:jc w:val="center"/>
              <w:rPr>
                <w:sz w:val="16"/>
                <w:szCs w:val="16"/>
              </w:rPr>
            </w:pPr>
            <w:r w:rsidRPr="00943174">
              <w:rPr>
                <w:sz w:val="16"/>
                <w:szCs w:val="16"/>
              </w:rPr>
              <w:t>M</w:t>
            </w:r>
          </w:p>
        </w:tc>
        <w:tc>
          <w:tcPr>
            <w:tcW w:w="1836" w:type="dxa"/>
            <w:vAlign w:val="center"/>
          </w:tcPr>
          <w:p w14:paraId="20AFC615" w14:textId="77777777" w:rsidR="00677386" w:rsidRPr="00943174" w:rsidRDefault="00677386" w:rsidP="002E6AC0">
            <w:pPr>
              <w:jc w:val="center"/>
              <w:rPr>
                <w:sz w:val="16"/>
                <w:szCs w:val="16"/>
              </w:rPr>
            </w:pPr>
            <w:r w:rsidRPr="00943174">
              <w:rPr>
                <w:sz w:val="16"/>
                <w:szCs w:val="16"/>
              </w:rPr>
              <w:t>Capecitabine plus 50.4Gy in 28 fractions</w:t>
            </w:r>
          </w:p>
        </w:tc>
        <w:tc>
          <w:tcPr>
            <w:tcW w:w="1547" w:type="dxa"/>
            <w:vAlign w:val="center"/>
          </w:tcPr>
          <w:p w14:paraId="2E599F77" w14:textId="68C35C7C" w:rsidR="00677386" w:rsidRPr="00943174" w:rsidRDefault="00677386" w:rsidP="002E6AC0">
            <w:pPr>
              <w:jc w:val="center"/>
              <w:rPr>
                <w:sz w:val="16"/>
                <w:szCs w:val="16"/>
              </w:rPr>
            </w:pPr>
            <w:r>
              <w:rPr>
                <w:sz w:val="16"/>
                <w:szCs w:val="16"/>
              </w:rPr>
              <w:t>Y</w:t>
            </w:r>
          </w:p>
        </w:tc>
        <w:tc>
          <w:tcPr>
            <w:tcW w:w="1667" w:type="dxa"/>
            <w:vAlign w:val="center"/>
          </w:tcPr>
          <w:p w14:paraId="124EDBAD" w14:textId="516F66D2" w:rsidR="00677386" w:rsidRPr="00943174" w:rsidRDefault="00677386" w:rsidP="002E6AC0">
            <w:pPr>
              <w:jc w:val="center"/>
              <w:rPr>
                <w:sz w:val="16"/>
                <w:szCs w:val="16"/>
              </w:rPr>
            </w:pPr>
            <w:r w:rsidRPr="00943174">
              <w:rPr>
                <w:sz w:val="16"/>
                <w:szCs w:val="16"/>
              </w:rPr>
              <w:t>Laparoscopic low anterior resection</w:t>
            </w:r>
          </w:p>
        </w:tc>
        <w:tc>
          <w:tcPr>
            <w:tcW w:w="891" w:type="dxa"/>
            <w:vAlign w:val="center"/>
          </w:tcPr>
          <w:p w14:paraId="764E34FA" w14:textId="77777777" w:rsidR="00677386" w:rsidRPr="00943174" w:rsidRDefault="00677386" w:rsidP="002E6AC0">
            <w:pPr>
              <w:jc w:val="center"/>
              <w:rPr>
                <w:sz w:val="16"/>
                <w:szCs w:val="16"/>
              </w:rPr>
            </w:pPr>
            <w:r w:rsidRPr="00943174">
              <w:rPr>
                <w:sz w:val="16"/>
                <w:szCs w:val="16"/>
              </w:rPr>
              <w:t>B</w:t>
            </w:r>
          </w:p>
        </w:tc>
        <w:tc>
          <w:tcPr>
            <w:tcW w:w="1303" w:type="dxa"/>
            <w:vAlign w:val="center"/>
          </w:tcPr>
          <w:p w14:paraId="31535B10" w14:textId="77777777" w:rsidR="00677386" w:rsidRPr="00943174" w:rsidRDefault="00677386" w:rsidP="002E6AC0">
            <w:pPr>
              <w:jc w:val="center"/>
              <w:rPr>
                <w:sz w:val="16"/>
                <w:szCs w:val="16"/>
              </w:rPr>
            </w:pPr>
            <w:r w:rsidRPr="00943174">
              <w:rPr>
                <w:sz w:val="16"/>
                <w:szCs w:val="16"/>
              </w:rPr>
              <w:t>Moderately differentiated adenocarcinoma</w:t>
            </w:r>
          </w:p>
        </w:tc>
      </w:tr>
      <w:tr w:rsidR="00677386" w14:paraId="3A3DCE8F" w14:textId="4B4F9315" w:rsidTr="00677386">
        <w:trPr>
          <w:trHeight w:val="277"/>
        </w:trPr>
        <w:tc>
          <w:tcPr>
            <w:tcW w:w="495" w:type="dxa"/>
            <w:vAlign w:val="center"/>
          </w:tcPr>
          <w:p w14:paraId="49F72EB2" w14:textId="77777777" w:rsidR="00677386" w:rsidRPr="00943174" w:rsidRDefault="00677386" w:rsidP="002E6AC0">
            <w:pPr>
              <w:jc w:val="center"/>
              <w:rPr>
                <w:sz w:val="16"/>
                <w:szCs w:val="16"/>
              </w:rPr>
            </w:pPr>
            <w:r w:rsidRPr="00943174">
              <w:rPr>
                <w:sz w:val="16"/>
                <w:szCs w:val="16"/>
              </w:rPr>
              <w:t>57</w:t>
            </w:r>
          </w:p>
        </w:tc>
        <w:tc>
          <w:tcPr>
            <w:tcW w:w="761" w:type="dxa"/>
            <w:vAlign w:val="center"/>
          </w:tcPr>
          <w:p w14:paraId="2AC74D5D" w14:textId="77777777" w:rsidR="00677386" w:rsidRPr="00943174" w:rsidRDefault="00677386" w:rsidP="002E6AC0">
            <w:pPr>
              <w:jc w:val="center"/>
              <w:rPr>
                <w:sz w:val="16"/>
                <w:szCs w:val="16"/>
              </w:rPr>
            </w:pPr>
            <w:r w:rsidRPr="00943174">
              <w:rPr>
                <w:sz w:val="16"/>
                <w:szCs w:val="16"/>
              </w:rPr>
              <w:t>M</w:t>
            </w:r>
          </w:p>
        </w:tc>
        <w:tc>
          <w:tcPr>
            <w:tcW w:w="1836" w:type="dxa"/>
            <w:vAlign w:val="center"/>
          </w:tcPr>
          <w:p w14:paraId="3AEFB570" w14:textId="77777777" w:rsidR="00677386" w:rsidRPr="00943174" w:rsidRDefault="00677386" w:rsidP="002E6AC0">
            <w:pPr>
              <w:jc w:val="center"/>
              <w:rPr>
                <w:sz w:val="16"/>
                <w:szCs w:val="16"/>
              </w:rPr>
            </w:pPr>
            <w:r w:rsidRPr="00943174">
              <w:rPr>
                <w:sz w:val="16"/>
                <w:szCs w:val="16"/>
              </w:rPr>
              <w:t>Capecitabine plus 50.4Gy in 28 fractions</w:t>
            </w:r>
          </w:p>
        </w:tc>
        <w:tc>
          <w:tcPr>
            <w:tcW w:w="1547" w:type="dxa"/>
            <w:vAlign w:val="center"/>
          </w:tcPr>
          <w:p w14:paraId="2FA2D43C" w14:textId="29BFEBAC" w:rsidR="00677386" w:rsidRPr="00943174" w:rsidRDefault="00677386" w:rsidP="002E6AC0">
            <w:pPr>
              <w:jc w:val="center"/>
              <w:rPr>
                <w:sz w:val="16"/>
                <w:szCs w:val="16"/>
              </w:rPr>
            </w:pPr>
            <w:r>
              <w:rPr>
                <w:sz w:val="16"/>
                <w:szCs w:val="16"/>
              </w:rPr>
              <w:t>N</w:t>
            </w:r>
          </w:p>
        </w:tc>
        <w:tc>
          <w:tcPr>
            <w:tcW w:w="1667" w:type="dxa"/>
            <w:vAlign w:val="center"/>
          </w:tcPr>
          <w:p w14:paraId="19105C90" w14:textId="5910CD28" w:rsidR="00677386" w:rsidRPr="00943174" w:rsidRDefault="00677386" w:rsidP="002E6AC0">
            <w:pPr>
              <w:jc w:val="center"/>
              <w:rPr>
                <w:sz w:val="16"/>
                <w:szCs w:val="16"/>
              </w:rPr>
            </w:pPr>
            <w:r w:rsidRPr="00943174">
              <w:rPr>
                <w:sz w:val="16"/>
                <w:szCs w:val="16"/>
              </w:rPr>
              <w:t>Laparoscopic low anterior resection</w:t>
            </w:r>
          </w:p>
        </w:tc>
        <w:tc>
          <w:tcPr>
            <w:tcW w:w="891" w:type="dxa"/>
            <w:vAlign w:val="center"/>
          </w:tcPr>
          <w:p w14:paraId="23BBAFBF" w14:textId="77777777" w:rsidR="00677386" w:rsidRPr="00943174" w:rsidRDefault="00677386" w:rsidP="002E6AC0">
            <w:pPr>
              <w:jc w:val="center"/>
              <w:rPr>
                <w:sz w:val="16"/>
                <w:szCs w:val="16"/>
              </w:rPr>
            </w:pPr>
            <w:r w:rsidRPr="00943174">
              <w:rPr>
                <w:sz w:val="16"/>
                <w:szCs w:val="16"/>
              </w:rPr>
              <w:t>B</w:t>
            </w:r>
          </w:p>
        </w:tc>
        <w:tc>
          <w:tcPr>
            <w:tcW w:w="1303" w:type="dxa"/>
            <w:vAlign w:val="center"/>
          </w:tcPr>
          <w:p w14:paraId="7251E509" w14:textId="77777777" w:rsidR="00677386" w:rsidRPr="00943174" w:rsidRDefault="00677386" w:rsidP="002E6AC0">
            <w:pPr>
              <w:jc w:val="center"/>
              <w:rPr>
                <w:sz w:val="16"/>
                <w:szCs w:val="16"/>
              </w:rPr>
            </w:pPr>
            <w:r w:rsidRPr="00943174">
              <w:rPr>
                <w:sz w:val="16"/>
                <w:szCs w:val="16"/>
              </w:rPr>
              <w:t>Moderately differentiated adenocarcinoma</w:t>
            </w:r>
          </w:p>
        </w:tc>
      </w:tr>
      <w:tr w:rsidR="00677386" w14:paraId="3734B72A" w14:textId="5ED24F5E" w:rsidTr="00677386">
        <w:trPr>
          <w:trHeight w:val="277"/>
        </w:trPr>
        <w:tc>
          <w:tcPr>
            <w:tcW w:w="495" w:type="dxa"/>
            <w:vAlign w:val="center"/>
          </w:tcPr>
          <w:p w14:paraId="18197ED6" w14:textId="77777777" w:rsidR="00677386" w:rsidRPr="00943174" w:rsidRDefault="00677386" w:rsidP="002E6AC0">
            <w:pPr>
              <w:jc w:val="center"/>
              <w:rPr>
                <w:sz w:val="16"/>
                <w:szCs w:val="16"/>
              </w:rPr>
            </w:pPr>
            <w:r w:rsidRPr="00943174">
              <w:rPr>
                <w:sz w:val="16"/>
                <w:szCs w:val="16"/>
              </w:rPr>
              <w:t>78</w:t>
            </w:r>
          </w:p>
        </w:tc>
        <w:tc>
          <w:tcPr>
            <w:tcW w:w="761" w:type="dxa"/>
            <w:vAlign w:val="center"/>
          </w:tcPr>
          <w:p w14:paraId="2523A080" w14:textId="77777777" w:rsidR="00677386" w:rsidRPr="00943174" w:rsidRDefault="00677386" w:rsidP="002E6AC0">
            <w:pPr>
              <w:jc w:val="center"/>
              <w:rPr>
                <w:sz w:val="16"/>
                <w:szCs w:val="16"/>
              </w:rPr>
            </w:pPr>
            <w:r w:rsidRPr="00943174">
              <w:rPr>
                <w:sz w:val="16"/>
                <w:szCs w:val="16"/>
              </w:rPr>
              <w:t>M</w:t>
            </w:r>
          </w:p>
        </w:tc>
        <w:tc>
          <w:tcPr>
            <w:tcW w:w="1836" w:type="dxa"/>
            <w:vAlign w:val="center"/>
          </w:tcPr>
          <w:p w14:paraId="62D11049" w14:textId="77777777" w:rsidR="00677386" w:rsidRPr="00943174" w:rsidRDefault="00677386" w:rsidP="002E6AC0">
            <w:pPr>
              <w:jc w:val="center"/>
              <w:rPr>
                <w:sz w:val="16"/>
                <w:szCs w:val="16"/>
              </w:rPr>
            </w:pPr>
            <w:r w:rsidRPr="00943174">
              <w:rPr>
                <w:sz w:val="16"/>
                <w:szCs w:val="16"/>
              </w:rPr>
              <w:t>Capecitabine plus 45Gy in 25 fractions</w:t>
            </w:r>
          </w:p>
        </w:tc>
        <w:tc>
          <w:tcPr>
            <w:tcW w:w="1547" w:type="dxa"/>
            <w:vAlign w:val="center"/>
          </w:tcPr>
          <w:p w14:paraId="76E26A56" w14:textId="42C0EB2B" w:rsidR="00677386" w:rsidRPr="00943174" w:rsidRDefault="00677386" w:rsidP="002E6AC0">
            <w:pPr>
              <w:jc w:val="center"/>
              <w:rPr>
                <w:sz w:val="16"/>
                <w:szCs w:val="16"/>
              </w:rPr>
            </w:pPr>
            <w:r>
              <w:rPr>
                <w:sz w:val="16"/>
                <w:szCs w:val="16"/>
              </w:rPr>
              <w:t>N</w:t>
            </w:r>
          </w:p>
        </w:tc>
        <w:tc>
          <w:tcPr>
            <w:tcW w:w="1667" w:type="dxa"/>
            <w:vAlign w:val="center"/>
          </w:tcPr>
          <w:p w14:paraId="096AACCB" w14:textId="07426788" w:rsidR="00677386" w:rsidRPr="00943174" w:rsidRDefault="00677386" w:rsidP="002E6AC0">
            <w:pPr>
              <w:jc w:val="center"/>
              <w:rPr>
                <w:sz w:val="16"/>
                <w:szCs w:val="16"/>
              </w:rPr>
            </w:pPr>
            <w:r w:rsidRPr="00943174">
              <w:rPr>
                <w:sz w:val="16"/>
                <w:szCs w:val="16"/>
              </w:rPr>
              <w:t>Abdomino-perineal excision</w:t>
            </w:r>
          </w:p>
        </w:tc>
        <w:tc>
          <w:tcPr>
            <w:tcW w:w="891" w:type="dxa"/>
            <w:vAlign w:val="center"/>
          </w:tcPr>
          <w:p w14:paraId="5C73AD47" w14:textId="77777777" w:rsidR="00677386" w:rsidRPr="00943174" w:rsidRDefault="00677386" w:rsidP="002E6AC0">
            <w:pPr>
              <w:jc w:val="center"/>
              <w:rPr>
                <w:sz w:val="16"/>
                <w:szCs w:val="16"/>
              </w:rPr>
            </w:pPr>
            <w:r w:rsidRPr="00943174">
              <w:rPr>
                <w:sz w:val="16"/>
                <w:szCs w:val="16"/>
              </w:rPr>
              <w:t>B</w:t>
            </w:r>
          </w:p>
        </w:tc>
        <w:tc>
          <w:tcPr>
            <w:tcW w:w="1303" w:type="dxa"/>
            <w:vAlign w:val="center"/>
          </w:tcPr>
          <w:p w14:paraId="5CCB6C36" w14:textId="77777777" w:rsidR="00677386" w:rsidRPr="00943174" w:rsidRDefault="00677386" w:rsidP="002E6AC0">
            <w:pPr>
              <w:jc w:val="center"/>
              <w:rPr>
                <w:sz w:val="16"/>
                <w:szCs w:val="16"/>
              </w:rPr>
            </w:pPr>
            <w:r w:rsidRPr="00943174">
              <w:rPr>
                <w:sz w:val="16"/>
                <w:szCs w:val="16"/>
              </w:rPr>
              <w:t>Moderately differentiated adenocarcinoma</w:t>
            </w:r>
          </w:p>
        </w:tc>
      </w:tr>
    </w:tbl>
    <w:p w14:paraId="23C61DCC" w14:textId="41887091" w:rsidR="00BE3A4D" w:rsidRDefault="00BE3A4D" w:rsidP="00BE3A4D">
      <w:pPr>
        <w:spacing w:line="480" w:lineRule="auto"/>
        <w:jc w:val="center"/>
        <w:rPr>
          <w:b/>
          <w:sz w:val="20"/>
          <w:szCs w:val="20"/>
        </w:rPr>
      </w:pPr>
    </w:p>
    <w:p w14:paraId="2A53323C" w14:textId="02872257" w:rsidR="00BE3A4D" w:rsidRDefault="00D440CF" w:rsidP="00BE3A4D">
      <w:pPr>
        <w:spacing w:line="480" w:lineRule="auto"/>
        <w:jc w:val="center"/>
        <w:rPr>
          <w:sz w:val="20"/>
          <w:szCs w:val="20"/>
        </w:rPr>
      </w:pPr>
      <w:r>
        <w:rPr>
          <w:sz w:val="20"/>
          <w:szCs w:val="20"/>
        </w:rPr>
        <w:t>Clinico-pathological characteristics of those patients included for proteomic profiling</w:t>
      </w:r>
      <w:r w:rsidR="00E414D2">
        <w:rPr>
          <w:sz w:val="20"/>
          <w:szCs w:val="20"/>
        </w:rPr>
        <w:t xml:space="preserve">. </w:t>
      </w:r>
    </w:p>
    <w:p w14:paraId="69276865" w14:textId="3A6F62F1" w:rsidR="00D440CF" w:rsidRDefault="00D440CF" w:rsidP="00BE3A4D">
      <w:pPr>
        <w:spacing w:line="480" w:lineRule="auto"/>
        <w:jc w:val="center"/>
        <w:rPr>
          <w:sz w:val="20"/>
          <w:szCs w:val="20"/>
        </w:rPr>
      </w:pPr>
    </w:p>
    <w:p w14:paraId="5E338F24" w14:textId="65A72608" w:rsidR="00D440CF" w:rsidRDefault="00D440CF" w:rsidP="00BE3A4D">
      <w:pPr>
        <w:spacing w:line="480" w:lineRule="auto"/>
        <w:jc w:val="center"/>
        <w:rPr>
          <w:sz w:val="20"/>
          <w:szCs w:val="20"/>
        </w:rPr>
      </w:pPr>
    </w:p>
    <w:p w14:paraId="586AF9EA" w14:textId="15EB075B" w:rsidR="00D440CF" w:rsidRDefault="00D440CF" w:rsidP="00BE3A4D">
      <w:pPr>
        <w:spacing w:line="480" w:lineRule="auto"/>
        <w:jc w:val="center"/>
        <w:rPr>
          <w:sz w:val="20"/>
          <w:szCs w:val="20"/>
        </w:rPr>
      </w:pPr>
    </w:p>
    <w:p w14:paraId="7485E055" w14:textId="67E00320" w:rsidR="00D440CF" w:rsidRDefault="00D440CF" w:rsidP="00BE3A4D">
      <w:pPr>
        <w:spacing w:line="480" w:lineRule="auto"/>
        <w:jc w:val="center"/>
        <w:rPr>
          <w:sz w:val="20"/>
          <w:szCs w:val="20"/>
        </w:rPr>
      </w:pPr>
    </w:p>
    <w:p w14:paraId="17E4C71B" w14:textId="3C8F6E2A" w:rsidR="00D440CF" w:rsidRDefault="00D440CF" w:rsidP="00BE3A4D">
      <w:pPr>
        <w:spacing w:line="480" w:lineRule="auto"/>
        <w:jc w:val="center"/>
        <w:rPr>
          <w:sz w:val="20"/>
          <w:szCs w:val="20"/>
        </w:rPr>
      </w:pPr>
    </w:p>
    <w:p w14:paraId="65821819" w14:textId="0209291C" w:rsidR="00D440CF" w:rsidRDefault="00D440CF" w:rsidP="00BE3A4D">
      <w:pPr>
        <w:spacing w:line="480" w:lineRule="auto"/>
        <w:jc w:val="center"/>
        <w:rPr>
          <w:sz w:val="20"/>
          <w:szCs w:val="20"/>
        </w:rPr>
      </w:pPr>
    </w:p>
    <w:p w14:paraId="347ABC90" w14:textId="28AE25A1" w:rsidR="00D440CF" w:rsidRDefault="00D440CF" w:rsidP="00BE3A4D">
      <w:pPr>
        <w:spacing w:line="480" w:lineRule="auto"/>
        <w:jc w:val="center"/>
        <w:rPr>
          <w:sz w:val="20"/>
          <w:szCs w:val="20"/>
        </w:rPr>
      </w:pPr>
    </w:p>
    <w:p w14:paraId="3BE65E24" w14:textId="2FF98BEA" w:rsidR="00D440CF" w:rsidRDefault="00D440CF" w:rsidP="00BE3A4D">
      <w:pPr>
        <w:spacing w:line="480" w:lineRule="auto"/>
        <w:jc w:val="center"/>
        <w:rPr>
          <w:sz w:val="20"/>
          <w:szCs w:val="20"/>
        </w:rPr>
      </w:pPr>
    </w:p>
    <w:p w14:paraId="137958FE" w14:textId="77777777" w:rsidR="00D440CF" w:rsidRPr="00F02E55" w:rsidRDefault="00D440CF" w:rsidP="00F02E55">
      <w:pPr>
        <w:spacing w:line="480" w:lineRule="auto"/>
        <w:jc w:val="center"/>
        <w:rPr>
          <w:sz w:val="20"/>
          <w:szCs w:val="20"/>
        </w:rPr>
      </w:pPr>
    </w:p>
    <w:p w14:paraId="5E8529DF" w14:textId="0E90565B" w:rsidR="00C752F7" w:rsidRPr="00CA07B9" w:rsidRDefault="00CA07B9" w:rsidP="00631474">
      <w:pPr>
        <w:spacing w:line="480" w:lineRule="auto"/>
        <w:rPr>
          <w:b/>
        </w:rPr>
      </w:pPr>
      <w:r>
        <w:rPr>
          <w:b/>
        </w:rPr>
        <w:lastRenderedPageBreak/>
        <w:t xml:space="preserve">Table </w:t>
      </w:r>
      <w:r w:rsidR="00F02E55">
        <w:rPr>
          <w:b/>
        </w:rPr>
        <w:t>2</w:t>
      </w:r>
      <w:r>
        <w:rPr>
          <w:b/>
        </w:rPr>
        <w:t xml:space="preserve"> - Differentially Expressed Proteins</w:t>
      </w:r>
    </w:p>
    <w:tbl>
      <w:tblPr>
        <w:tblStyle w:val="TableGridLight1"/>
        <w:tblW w:w="9214" w:type="dxa"/>
        <w:tblLook w:val="04A0" w:firstRow="1" w:lastRow="0" w:firstColumn="1" w:lastColumn="0" w:noHBand="0" w:noVBand="1"/>
      </w:tblPr>
      <w:tblGrid>
        <w:gridCol w:w="2127"/>
        <w:gridCol w:w="3402"/>
        <w:gridCol w:w="1559"/>
        <w:gridCol w:w="2126"/>
      </w:tblGrid>
      <w:tr w:rsidR="00955410" w14:paraId="37C8505C" w14:textId="77777777" w:rsidTr="000332B7">
        <w:trPr>
          <w:trHeight w:val="508"/>
        </w:trPr>
        <w:tc>
          <w:tcPr>
            <w:tcW w:w="2127" w:type="dxa"/>
            <w:vAlign w:val="center"/>
          </w:tcPr>
          <w:p w14:paraId="35A425F5" w14:textId="77777777" w:rsidR="00955410" w:rsidRPr="00AC7394" w:rsidRDefault="00955410" w:rsidP="00BE494F">
            <w:pPr>
              <w:spacing w:line="360" w:lineRule="auto"/>
              <w:jc w:val="center"/>
              <w:rPr>
                <w:b/>
                <w:sz w:val="24"/>
                <w:szCs w:val="24"/>
              </w:rPr>
            </w:pPr>
            <w:r w:rsidRPr="00AC7394">
              <w:rPr>
                <w:b/>
                <w:sz w:val="24"/>
                <w:szCs w:val="24"/>
              </w:rPr>
              <w:t>Accession Number</w:t>
            </w:r>
          </w:p>
        </w:tc>
        <w:tc>
          <w:tcPr>
            <w:tcW w:w="3402" w:type="dxa"/>
            <w:vAlign w:val="center"/>
          </w:tcPr>
          <w:p w14:paraId="7550E897" w14:textId="77777777" w:rsidR="00955410" w:rsidRPr="00AC7394" w:rsidRDefault="00955410" w:rsidP="00BE494F">
            <w:pPr>
              <w:spacing w:line="360" w:lineRule="auto"/>
              <w:jc w:val="center"/>
              <w:rPr>
                <w:b/>
                <w:sz w:val="24"/>
                <w:szCs w:val="24"/>
              </w:rPr>
            </w:pPr>
            <w:r w:rsidRPr="00AC7394">
              <w:rPr>
                <w:b/>
                <w:sz w:val="24"/>
                <w:szCs w:val="24"/>
              </w:rPr>
              <w:t>Name</w:t>
            </w:r>
          </w:p>
        </w:tc>
        <w:tc>
          <w:tcPr>
            <w:tcW w:w="1559" w:type="dxa"/>
            <w:vAlign w:val="center"/>
          </w:tcPr>
          <w:p w14:paraId="3BF7D8B9" w14:textId="77777777" w:rsidR="00955410" w:rsidRPr="00AC7394" w:rsidRDefault="00955410" w:rsidP="00BE494F">
            <w:pPr>
              <w:spacing w:line="360" w:lineRule="auto"/>
              <w:jc w:val="center"/>
              <w:rPr>
                <w:b/>
                <w:sz w:val="24"/>
                <w:szCs w:val="24"/>
              </w:rPr>
            </w:pPr>
            <w:r w:rsidRPr="00AC7394">
              <w:rPr>
                <w:b/>
                <w:sz w:val="24"/>
                <w:szCs w:val="24"/>
              </w:rPr>
              <w:t>p Value</w:t>
            </w:r>
          </w:p>
        </w:tc>
        <w:tc>
          <w:tcPr>
            <w:tcW w:w="2126" w:type="dxa"/>
            <w:vAlign w:val="center"/>
          </w:tcPr>
          <w:p w14:paraId="2E421264" w14:textId="77777777" w:rsidR="00955410" w:rsidRPr="00AC7394" w:rsidRDefault="00955410" w:rsidP="00BE494F">
            <w:pPr>
              <w:spacing w:line="360" w:lineRule="auto"/>
              <w:jc w:val="center"/>
              <w:rPr>
                <w:b/>
                <w:sz w:val="24"/>
                <w:szCs w:val="24"/>
              </w:rPr>
            </w:pPr>
            <w:r w:rsidRPr="00AC7394">
              <w:rPr>
                <w:b/>
                <w:sz w:val="24"/>
                <w:szCs w:val="24"/>
              </w:rPr>
              <w:t>Log Fold-Change</w:t>
            </w:r>
          </w:p>
        </w:tc>
      </w:tr>
      <w:tr w:rsidR="00955410" w14:paraId="446D6B8E" w14:textId="77777777" w:rsidTr="000332B7">
        <w:tc>
          <w:tcPr>
            <w:tcW w:w="2127" w:type="dxa"/>
          </w:tcPr>
          <w:p w14:paraId="1ABF9E95" w14:textId="77777777" w:rsidR="00955410" w:rsidRPr="00F24146" w:rsidRDefault="00955410" w:rsidP="00BE494F">
            <w:pPr>
              <w:spacing w:line="360" w:lineRule="auto"/>
              <w:jc w:val="center"/>
              <w:rPr>
                <w:b/>
              </w:rPr>
            </w:pPr>
            <w:r w:rsidRPr="00F24146">
              <w:t>Q9NZM1</w:t>
            </w:r>
          </w:p>
        </w:tc>
        <w:tc>
          <w:tcPr>
            <w:tcW w:w="3402" w:type="dxa"/>
          </w:tcPr>
          <w:p w14:paraId="443386B5" w14:textId="77777777" w:rsidR="00955410" w:rsidRPr="00F24146" w:rsidRDefault="00955410" w:rsidP="00BE494F">
            <w:pPr>
              <w:spacing w:line="360" w:lineRule="auto"/>
              <w:jc w:val="center"/>
            </w:pPr>
            <w:r w:rsidRPr="00F24146">
              <w:t>Myoferlin</w:t>
            </w:r>
          </w:p>
        </w:tc>
        <w:tc>
          <w:tcPr>
            <w:tcW w:w="1559" w:type="dxa"/>
          </w:tcPr>
          <w:p w14:paraId="07C399A9" w14:textId="77777777" w:rsidR="00955410" w:rsidRPr="00F24146" w:rsidRDefault="00955410" w:rsidP="00BE494F">
            <w:pPr>
              <w:spacing w:line="360" w:lineRule="auto"/>
              <w:jc w:val="center"/>
            </w:pPr>
            <w:r w:rsidRPr="00F24146">
              <w:t>4.35E-02</w:t>
            </w:r>
          </w:p>
        </w:tc>
        <w:tc>
          <w:tcPr>
            <w:tcW w:w="2126" w:type="dxa"/>
          </w:tcPr>
          <w:p w14:paraId="75EA9BF1" w14:textId="77777777" w:rsidR="00955410" w:rsidRPr="00F24146" w:rsidRDefault="00955410" w:rsidP="00BE494F">
            <w:pPr>
              <w:spacing w:line="360" w:lineRule="auto"/>
              <w:jc w:val="center"/>
            </w:pPr>
            <w:r w:rsidRPr="00F24146">
              <w:t>-1.633</w:t>
            </w:r>
          </w:p>
        </w:tc>
      </w:tr>
      <w:tr w:rsidR="00955410" w14:paraId="7EF2088B" w14:textId="77777777" w:rsidTr="000332B7">
        <w:tc>
          <w:tcPr>
            <w:tcW w:w="2127" w:type="dxa"/>
          </w:tcPr>
          <w:p w14:paraId="34C3FBEE" w14:textId="77777777" w:rsidR="00955410" w:rsidRPr="00F24146" w:rsidRDefault="00955410" w:rsidP="00BE494F">
            <w:pPr>
              <w:spacing w:line="360" w:lineRule="auto"/>
              <w:jc w:val="center"/>
              <w:rPr>
                <w:b/>
              </w:rPr>
            </w:pPr>
            <w:r w:rsidRPr="00F24146">
              <w:t>Q13510</w:t>
            </w:r>
          </w:p>
        </w:tc>
        <w:tc>
          <w:tcPr>
            <w:tcW w:w="3402" w:type="dxa"/>
          </w:tcPr>
          <w:p w14:paraId="5DA4AF07" w14:textId="77777777" w:rsidR="00955410" w:rsidRPr="00F24146" w:rsidRDefault="00955410" w:rsidP="00BE494F">
            <w:pPr>
              <w:spacing w:line="360" w:lineRule="auto"/>
              <w:jc w:val="center"/>
            </w:pPr>
            <w:r w:rsidRPr="00F24146">
              <w:t>Acid ceramidase</w:t>
            </w:r>
          </w:p>
        </w:tc>
        <w:tc>
          <w:tcPr>
            <w:tcW w:w="1559" w:type="dxa"/>
          </w:tcPr>
          <w:p w14:paraId="11DB8A05" w14:textId="77777777" w:rsidR="00955410" w:rsidRPr="00F24146" w:rsidRDefault="00955410" w:rsidP="00BE494F">
            <w:pPr>
              <w:spacing w:line="360" w:lineRule="auto"/>
              <w:jc w:val="center"/>
            </w:pPr>
            <w:r w:rsidRPr="00F24146">
              <w:t>1.17E-02</w:t>
            </w:r>
          </w:p>
        </w:tc>
        <w:tc>
          <w:tcPr>
            <w:tcW w:w="2126" w:type="dxa"/>
          </w:tcPr>
          <w:p w14:paraId="2E4A9991" w14:textId="77777777" w:rsidR="00955410" w:rsidRPr="00F24146" w:rsidRDefault="00955410" w:rsidP="00BE494F">
            <w:pPr>
              <w:spacing w:line="360" w:lineRule="auto"/>
              <w:jc w:val="center"/>
            </w:pPr>
            <w:r w:rsidRPr="00F24146">
              <w:t>-1.526</w:t>
            </w:r>
          </w:p>
        </w:tc>
      </w:tr>
      <w:tr w:rsidR="00955410" w14:paraId="0C96F5C8" w14:textId="77777777" w:rsidTr="000332B7">
        <w:tc>
          <w:tcPr>
            <w:tcW w:w="2127" w:type="dxa"/>
          </w:tcPr>
          <w:p w14:paraId="263EB788" w14:textId="77777777" w:rsidR="00955410" w:rsidRPr="00F24146" w:rsidRDefault="00955410" w:rsidP="00BE494F">
            <w:pPr>
              <w:spacing w:line="360" w:lineRule="auto"/>
              <w:jc w:val="center"/>
              <w:rPr>
                <w:b/>
              </w:rPr>
            </w:pPr>
            <w:r w:rsidRPr="00F24146">
              <w:t>P09525</w:t>
            </w:r>
          </w:p>
        </w:tc>
        <w:tc>
          <w:tcPr>
            <w:tcW w:w="3402" w:type="dxa"/>
          </w:tcPr>
          <w:p w14:paraId="4F1399C6" w14:textId="77777777" w:rsidR="00955410" w:rsidRPr="00F24146" w:rsidRDefault="00955410" w:rsidP="00BE494F">
            <w:pPr>
              <w:spacing w:line="360" w:lineRule="auto"/>
              <w:jc w:val="center"/>
            </w:pPr>
            <w:r w:rsidRPr="00F24146">
              <w:t>Annexin A4</w:t>
            </w:r>
          </w:p>
        </w:tc>
        <w:tc>
          <w:tcPr>
            <w:tcW w:w="1559" w:type="dxa"/>
          </w:tcPr>
          <w:p w14:paraId="3DFF11B4" w14:textId="77777777" w:rsidR="00955410" w:rsidRPr="00F24146" w:rsidRDefault="00955410" w:rsidP="00BE494F">
            <w:pPr>
              <w:spacing w:line="360" w:lineRule="auto"/>
              <w:jc w:val="center"/>
            </w:pPr>
            <w:r w:rsidRPr="00F24146">
              <w:t>1.93E-02</w:t>
            </w:r>
          </w:p>
        </w:tc>
        <w:tc>
          <w:tcPr>
            <w:tcW w:w="2126" w:type="dxa"/>
          </w:tcPr>
          <w:p w14:paraId="7D56F8E2" w14:textId="77777777" w:rsidR="00955410" w:rsidRPr="00F24146" w:rsidRDefault="00955410" w:rsidP="00BE494F">
            <w:pPr>
              <w:spacing w:line="360" w:lineRule="auto"/>
              <w:jc w:val="center"/>
            </w:pPr>
            <w:r w:rsidRPr="00F24146">
              <w:t>-1.524</w:t>
            </w:r>
          </w:p>
        </w:tc>
      </w:tr>
      <w:tr w:rsidR="00955410" w14:paraId="1E3A4EBE" w14:textId="77777777" w:rsidTr="000332B7">
        <w:tc>
          <w:tcPr>
            <w:tcW w:w="2127" w:type="dxa"/>
          </w:tcPr>
          <w:p w14:paraId="165FC0EA" w14:textId="77777777" w:rsidR="00955410" w:rsidRPr="00F24146" w:rsidRDefault="00955410" w:rsidP="00BE494F">
            <w:pPr>
              <w:spacing w:line="360" w:lineRule="auto"/>
              <w:jc w:val="center"/>
              <w:rPr>
                <w:b/>
              </w:rPr>
            </w:pPr>
            <w:r w:rsidRPr="00F24146">
              <w:t>P41219</w:t>
            </w:r>
          </w:p>
        </w:tc>
        <w:tc>
          <w:tcPr>
            <w:tcW w:w="3402" w:type="dxa"/>
          </w:tcPr>
          <w:p w14:paraId="7278A0E1" w14:textId="77777777" w:rsidR="00955410" w:rsidRPr="00F24146" w:rsidRDefault="00955410" w:rsidP="00BE494F">
            <w:pPr>
              <w:spacing w:line="360" w:lineRule="auto"/>
              <w:jc w:val="center"/>
            </w:pPr>
            <w:r w:rsidRPr="00F24146">
              <w:t>Peripherin</w:t>
            </w:r>
          </w:p>
        </w:tc>
        <w:tc>
          <w:tcPr>
            <w:tcW w:w="1559" w:type="dxa"/>
          </w:tcPr>
          <w:p w14:paraId="18C0C9B5" w14:textId="77777777" w:rsidR="00955410" w:rsidRPr="00F24146" w:rsidRDefault="00955410" w:rsidP="00BE494F">
            <w:pPr>
              <w:spacing w:line="360" w:lineRule="auto"/>
              <w:jc w:val="center"/>
            </w:pPr>
            <w:r w:rsidRPr="00F24146">
              <w:t>2.13E-02</w:t>
            </w:r>
          </w:p>
        </w:tc>
        <w:tc>
          <w:tcPr>
            <w:tcW w:w="2126" w:type="dxa"/>
          </w:tcPr>
          <w:p w14:paraId="3706E2DF" w14:textId="77777777" w:rsidR="00955410" w:rsidRPr="00F24146" w:rsidRDefault="00955410" w:rsidP="00BE494F">
            <w:pPr>
              <w:spacing w:line="360" w:lineRule="auto"/>
              <w:jc w:val="center"/>
            </w:pPr>
            <w:r w:rsidRPr="00F24146">
              <w:t>1.583</w:t>
            </w:r>
          </w:p>
        </w:tc>
      </w:tr>
      <w:tr w:rsidR="00955410" w14:paraId="3B57ABF1" w14:textId="77777777" w:rsidTr="000332B7">
        <w:tc>
          <w:tcPr>
            <w:tcW w:w="2127" w:type="dxa"/>
          </w:tcPr>
          <w:p w14:paraId="3DEB9EAC" w14:textId="77777777" w:rsidR="00955410" w:rsidRPr="00F24146" w:rsidRDefault="00955410" w:rsidP="00BE494F">
            <w:pPr>
              <w:spacing w:line="360" w:lineRule="auto"/>
              <w:jc w:val="center"/>
              <w:rPr>
                <w:b/>
              </w:rPr>
            </w:pPr>
            <w:r w:rsidRPr="00F24146">
              <w:t>P12109</w:t>
            </w:r>
          </w:p>
        </w:tc>
        <w:tc>
          <w:tcPr>
            <w:tcW w:w="3402" w:type="dxa"/>
          </w:tcPr>
          <w:p w14:paraId="1333098C" w14:textId="77777777" w:rsidR="00955410" w:rsidRPr="00F24146" w:rsidRDefault="00955410" w:rsidP="00BE494F">
            <w:pPr>
              <w:spacing w:line="360" w:lineRule="auto"/>
              <w:jc w:val="center"/>
            </w:pPr>
            <w:r w:rsidRPr="00F24146">
              <w:t>Collagen alpha-1(VI) chain</w:t>
            </w:r>
          </w:p>
        </w:tc>
        <w:tc>
          <w:tcPr>
            <w:tcW w:w="1559" w:type="dxa"/>
          </w:tcPr>
          <w:p w14:paraId="28020A44" w14:textId="77777777" w:rsidR="00955410" w:rsidRPr="00F24146" w:rsidRDefault="00955410" w:rsidP="00BE494F">
            <w:pPr>
              <w:spacing w:line="360" w:lineRule="auto"/>
              <w:jc w:val="center"/>
            </w:pPr>
            <w:r w:rsidRPr="00F24146">
              <w:t>3.61E-02</w:t>
            </w:r>
          </w:p>
        </w:tc>
        <w:tc>
          <w:tcPr>
            <w:tcW w:w="2126" w:type="dxa"/>
          </w:tcPr>
          <w:p w14:paraId="71509456" w14:textId="77777777" w:rsidR="00955410" w:rsidRPr="00F24146" w:rsidRDefault="00955410" w:rsidP="00BE494F">
            <w:pPr>
              <w:spacing w:line="360" w:lineRule="auto"/>
              <w:jc w:val="center"/>
            </w:pPr>
            <w:r w:rsidRPr="00F24146">
              <w:t>1.800</w:t>
            </w:r>
          </w:p>
        </w:tc>
      </w:tr>
      <w:tr w:rsidR="00955410" w14:paraId="6C8E374C" w14:textId="77777777" w:rsidTr="000332B7">
        <w:tc>
          <w:tcPr>
            <w:tcW w:w="2127" w:type="dxa"/>
          </w:tcPr>
          <w:p w14:paraId="2D6C0A67" w14:textId="77777777" w:rsidR="00955410" w:rsidRPr="00F24146" w:rsidRDefault="00955410" w:rsidP="00BE494F">
            <w:pPr>
              <w:spacing w:line="360" w:lineRule="auto"/>
              <w:jc w:val="center"/>
              <w:rPr>
                <w:b/>
              </w:rPr>
            </w:pPr>
            <w:r w:rsidRPr="00F24146">
              <w:t>P80748</w:t>
            </w:r>
          </w:p>
        </w:tc>
        <w:tc>
          <w:tcPr>
            <w:tcW w:w="3402" w:type="dxa"/>
          </w:tcPr>
          <w:p w14:paraId="24D7E0B2" w14:textId="77777777" w:rsidR="00955410" w:rsidRPr="00F24146" w:rsidRDefault="00955410" w:rsidP="00BE494F">
            <w:pPr>
              <w:spacing w:line="360" w:lineRule="auto"/>
              <w:jc w:val="center"/>
            </w:pPr>
            <w:r w:rsidRPr="00F24146">
              <w:t>Ig lambda chain V-III region LOI</w:t>
            </w:r>
          </w:p>
        </w:tc>
        <w:tc>
          <w:tcPr>
            <w:tcW w:w="1559" w:type="dxa"/>
          </w:tcPr>
          <w:p w14:paraId="08D3C6E3" w14:textId="77777777" w:rsidR="00955410" w:rsidRPr="00F24146" w:rsidRDefault="00955410" w:rsidP="00BE494F">
            <w:pPr>
              <w:spacing w:line="360" w:lineRule="auto"/>
              <w:jc w:val="center"/>
            </w:pPr>
            <w:r w:rsidRPr="00F24146">
              <w:t>4.82E-02</w:t>
            </w:r>
          </w:p>
        </w:tc>
        <w:tc>
          <w:tcPr>
            <w:tcW w:w="2126" w:type="dxa"/>
          </w:tcPr>
          <w:p w14:paraId="3F81AB1C" w14:textId="77777777" w:rsidR="00955410" w:rsidRPr="00F24146" w:rsidRDefault="00955410" w:rsidP="00BE494F">
            <w:pPr>
              <w:spacing w:line="360" w:lineRule="auto"/>
              <w:jc w:val="center"/>
            </w:pPr>
            <w:r w:rsidRPr="00F24146">
              <w:t>1.866</w:t>
            </w:r>
          </w:p>
        </w:tc>
      </w:tr>
      <w:tr w:rsidR="00955410" w14:paraId="2BB577D8" w14:textId="77777777" w:rsidTr="000332B7">
        <w:tc>
          <w:tcPr>
            <w:tcW w:w="2127" w:type="dxa"/>
          </w:tcPr>
          <w:p w14:paraId="26EC4E8E" w14:textId="77777777" w:rsidR="00955410" w:rsidRPr="00F24146" w:rsidRDefault="00955410" w:rsidP="00BE494F">
            <w:pPr>
              <w:spacing w:line="360" w:lineRule="auto"/>
              <w:jc w:val="center"/>
              <w:rPr>
                <w:b/>
              </w:rPr>
            </w:pPr>
            <w:r w:rsidRPr="00F24146">
              <w:t>P07602</w:t>
            </w:r>
          </w:p>
        </w:tc>
        <w:tc>
          <w:tcPr>
            <w:tcW w:w="3402" w:type="dxa"/>
          </w:tcPr>
          <w:p w14:paraId="528E5F72" w14:textId="77777777" w:rsidR="00955410" w:rsidRPr="00F24146" w:rsidRDefault="00955410" w:rsidP="00BE494F">
            <w:pPr>
              <w:spacing w:line="360" w:lineRule="auto"/>
              <w:jc w:val="center"/>
            </w:pPr>
            <w:r w:rsidRPr="00F24146">
              <w:t>Proactivator polypeptide</w:t>
            </w:r>
          </w:p>
        </w:tc>
        <w:tc>
          <w:tcPr>
            <w:tcW w:w="1559" w:type="dxa"/>
          </w:tcPr>
          <w:p w14:paraId="3AF08BA8" w14:textId="77777777" w:rsidR="00955410" w:rsidRPr="00F24146" w:rsidRDefault="00955410" w:rsidP="00BE494F">
            <w:pPr>
              <w:spacing w:line="360" w:lineRule="auto"/>
              <w:jc w:val="center"/>
            </w:pPr>
            <w:r w:rsidRPr="00F24146">
              <w:t>5.90E-04</w:t>
            </w:r>
          </w:p>
        </w:tc>
        <w:tc>
          <w:tcPr>
            <w:tcW w:w="2126" w:type="dxa"/>
          </w:tcPr>
          <w:p w14:paraId="392A6D72" w14:textId="77777777" w:rsidR="00955410" w:rsidRPr="00F24146" w:rsidRDefault="00955410" w:rsidP="00BE494F">
            <w:pPr>
              <w:spacing w:line="360" w:lineRule="auto"/>
              <w:jc w:val="center"/>
            </w:pPr>
            <w:r w:rsidRPr="00F24146">
              <w:t>1.943</w:t>
            </w:r>
          </w:p>
        </w:tc>
      </w:tr>
      <w:tr w:rsidR="00955410" w14:paraId="2EBA6C74" w14:textId="77777777" w:rsidTr="000332B7">
        <w:tc>
          <w:tcPr>
            <w:tcW w:w="2127" w:type="dxa"/>
          </w:tcPr>
          <w:p w14:paraId="6BC3739B" w14:textId="77777777" w:rsidR="00955410" w:rsidRPr="00F24146" w:rsidRDefault="00955410" w:rsidP="00BE494F">
            <w:pPr>
              <w:spacing w:line="360" w:lineRule="auto"/>
              <w:jc w:val="center"/>
              <w:rPr>
                <w:b/>
              </w:rPr>
            </w:pPr>
            <w:r w:rsidRPr="00F24146">
              <w:t>P01860</w:t>
            </w:r>
          </w:p>
        </w:tc>
        <w:tc>
          <w:tcPr>
            <w:tcW w:w="3402" w:type="dxa"/>
          </w:tcPr>
          <w:p w14:paraId="4436EEDB" w14:textId="77777777" w:rsidR="00955410" w:rsidRPr="00F24146" w:rsidRDefault="00955410" w:rsidP="00BE494F">
            <w:pPr>
              <w:spacing w:line="360" w:lineRule="auto"/>
              <w:jc w:val="center"/>
            </w:pPr>
            <w:r w:rsidRPr="00F24146">
              <w:t>Ig gamma-3 chain C region</w:t>
            </w:r>
          </w:p>
        </w:tc>
        <w:tc>
          <w:tcPr>
            <w:tcW w:w="1559" w:type="dxa"/>
          </w:tcPr>
          <w:p w14:paraId="0A76109E" w14:textId="77777777" w:rsidR="00955410" w:rsidRPr="00F24146" w:rsidRDefault="00955410" w:rsidP="00BE494F">
            <w:pPr>
              <w:spacing w:line="360" w:lineRule="auto"/>
              <w:jc w:val="center"/>
            </w:pPr>
            <w:r w:rsidRPr="00F24146">
              <w:t>2.74E-02</w:t>
            </w:r>
          </w:p>
        </w:tc>
        <w:tc>
          <w:tcPr>
            <w:tcW w:w="2126" w:type="dxa"/>
          </w:tcPr>
          <w:p w14:paraId="6E6834B1" w14:textId="77777777" w:rsidR="00955410" w:rsidRPr="00F24146" w:rsidRDefault="00955410" w:rsidP="00BE494F">
            <w:pPr>
              <w:spacing w:line="360" w:lineRule="auto"/>
              <w:jc w:val="center"/>
            </w:pPr>
            <w:r w:rsidRPr="00F24146">
              <w:t>2.549</w:t>
            </w:r>
          </w:p>
        </w:tc>
      </w:tr>
    </w:tbl>
    <w:p w14:paraId="40DF653F" w14:textId="77777777" w:rsidR="00C752F7" w:rsidRDefault="00C752F7" w:rsidP="00631474">
      <w:pPr>
        <w:spacing w:line="480" w:lineRule="auto"/>
        <w:jc w:val="center"/>
        <w:rPr>
          <w:sz w:val="20"/>
          <w:szCs w:val="20"/>
        </w:rPr>
      </w:pPr>
    </w:p>
    <w:p w14:paraId="553C0A30" w14:textId="524DAB89" w:rsidR="00955410" w:rsidRDefault="004B28BF" w:rsidP="00631474">
      <w:pPr>
        <w:spacing w:line="480" w:lineRule="auto"/>
        <w:jc w:val="center"/>
        <w:rPr>
          <w:sz w:val="20"/>
          <w:szCs w:val="20"/>
        </w:rPr>
      </w:pPr>
      <w:r>
        <w:rPr>
          <w:sz w:val="20"/>
          <w:szCs w:val="20"/>
        </w:rPr>
        <w:t>P</w:t>
      </w:r>
      <w:r w:rsidR="00955410">
        <w:rPr>
          <w:sz w:val="20"/>
          <w:szCs w:val="20"/>
        </w:rPr>
        <w:t xml:space="preserve">roteins identified </w:t>
      </w:r>
      <w:r w:rsidR="00BF6202">
        <w:rPr>
          <w:sz w:val="20"/>
          <w:szCs w:val="20"/>
        </w:rPr>
        <w:t xml:space="preserve">from the differential abundance of contributing peptide ions </w:t>
      </w:r>
      <w:r w:rsidR="00955410">
        <w:rPr>
          <w:sz w:val="20"/>
          <w:szCs w:val="20"/>
        </w:rPr>
        <w:t>between relative responders an</w:t>
      </w:r>
      <w:r>
        <w:rPr>
          <w:sz w:val="20"/>
          <w:szCs w:val="20"/>
        </w:rPr>
        <w:t>d non-responders to CRT</w:t>
      </w:r>
      <w:r w:rsidR="00955410">
        <w:rPr>
          <w:sz w:val="20"/>
          <w:szCs w:val="20"/>
        </w:rPr>
        <w:t>.  A negative log fold-change indicates reduced expression in relative responders, and a positive log fold-change increased expression.</w:t>
      </w:r>
    </w:p>
    <w:p w14:paraId="7B5FA747" w14:textId="77777777" w:rsidR="00955410" w:rsidRDefault="00955410" w:rsidP="00631474">
      <w:pPr>
        <w:spacing w:line="480" w:lineRule="auto"/>
        <w:jc w:val="center"/>
        <w:rPr>
          <w:sz w:val="20"/>
          <w:szCs w:val="20"/>
        </w:rPr>
      </w:pPr>
    </w:p>
    <w:p w14:paraId="1FA158D0" w14:textId="77777777" w:rsidR="005B2FEA" w:rsidRDefault="005B2FEA" w:rsidP="00631474">
      <w:pPr>
        <w:spacing w:line="480" w:lineRule="auto"/>
        <w:jc w:val="center"/>
        <w:rPr>
          <w:sz w:val="20"/>
          <w:szCs w:val="20"/>
        </w:rPr>
      </w:pPr>
    </w:p>
    <w:p w14:paraId="0BD8ED85" w14:textId="77777777" w:rsidR="0025261B" w:rsidRDefault="0025261B" w:rsidP="00631474">
      <w:pPr>
        <w:spacing w:line="480" w:lineRule="auto"/>
        <w:jc w:val="center"/>
        <w:rPr>
          <w:sz w:val="20"/>
          <w:szCs w:val="20"/>
        </w:rPr>
      </w:pPr>
    </w:p>
    <w:p w14:paraId="1C1CC582" w14:textId="77777777" w:rsidR="0025261B" w:rsidRDefault="0025261B" w:rsidP="00631474">
      <w:pPr>
        <w:spacing w:line="480" w:lineRule="auto"/>
        <w:jc w:val="center"/>
        <w:rPr>
          <w:sz w:val="20"/>
          <w:szCs w:val="20"/>
        </w:rPr>
      </w:pPr>
    </w:p>
    <w:p w14:paraId="16D1DCED" w14:textId="77777777" w:rsidR="0025261B" w:rsidRDefault="0025261B" w:rsidP="00631474">
      <w:pPr>
        <w:spacing w:line="480" w:lineRule="auto"/>
        <w:jc w:val="center"/>
        <w:rPr>
          <w:sz w:val="20"/>
          <w:szCs w:val="20"/>
        </w:rPr>
      </w:pPr>
    </w:p>
    <w:p w14:paraId="0C153BA1" w14:textId="77777777" w:rsidR="0025261B" w:rsidRDefault="0025261B" w:rsidP="00631474">
      <w:pPr>
        <w:spacing w:line="480" w:lineRule="auto"/>
        <w:jc w:val="center"/>
        <w:rPr>
          <w:sz w:val="20"/>
          <w:szCs w:val="20"/>
        </w:rPr>
      </w:pPr>
    </w:p>
    <w:p w14:paraId="259D4690" w14:textId="77777777" w:rsidR="0025261B" w:rsidRDefault="0025261B" w:rsidP="00631474">
      <w:pPr>
        <w:spacing w:line="480" w:lineRule="auto"/>
        <w:jc w:val="center"/>
        <w:rPr>
          <w:sz w:val="20"/>
          <w:szCs w:val="20"/>
        </w:rPr>
      </w:pPr>
    </w:p>
    <w:p w14:paraId="1DA8C932" w14:textId="77777777" w:rsidR="00CA07B9" w:rsidRDefault="00CA07B9" w:rsidP="0025261B">
      <w:pPr>
        <w:spacing w:line="480" w:lineRule="auto"/>
        <w:rPr>
          <w:b/>
        </w:rPr>
      </w:pPr>
    </w:p>
    <w:p w14:paraId="6F3B568F" w14:textId="77777777" w:rsidR="00CA07B9" w:rsidRDefault="00CA07B9" w:rsidP="0025261B">
      <w:pPr>
        <w:spacing w:line="480" w:lineRule="auto"/>
        <w:rPr>
          <w:b/>
        </w:rPr>
      </w:pPr>
    </w:p>
    <w:p w14:paraId="52748C28" w14:textId="77777777" w:rsidR="00BE494F" w:rsidRDefault="00BE494F" w:rsidP="0025261B">
      <w:pPr>
        <w:spacing w:line="480" w:lineRule="auto"/>
        <w:rPr>
          <w:b/>
        </w:rPr>
      </w:pPr>
    </w:p>
    <w:p w14:paraId="5C31BD10" w14:textId="77777777" w:rsidR="00BE494F" w:rsidRDefault="00BE494F" w:rsidP="0025261B">
      <w:pPr>
        <w:spacing w:line="480" w:lineRule="auto"/>
        <w:rPr>
          <w:b/>
        </w:rPr>
      </w:pPr>
    </w:p>
    <w:p w14:paraId="7B2EE32E" w14:textId="790F4DDF" w:rsidR="0025261B" w:rsidRPr="0025261B" w:rsidRDefault="0025261B" w:rsidP="0025261B">
      <w:pPr>
        <w:spacing w:line="480" w:lineRule="auto"/>
        <w:rPr>
          <w:b/>
        </w:rPr>
      </w:pPr>
      <w:r>
        <w:rPr>
          <w:b/>
        </w:rPr>
        <w:lastRenderedPageBreak/>
        <w:t xml:space="preserve">Table </w:t>
      </w:r>
      <w:r w:rsidR="00F02E55">
        <w:rPr>
          <w:b/>
        </w:rPr>
        <w:t>3</w:t>
      </w:r>
      <w:r w:rsidR="00CA07B9">
        <w:rPr>
          <w:b/>
        </w:rPr>
        <w:t xml:space="preserve"> - Associated Upregulated and Downregulated Pathways</w:t>
      </w:r>
    </w:p>
    <w:tbl>
      <w:tblPr>
        <w:tblStyle w:val="TableGridLight1"/>
        <w:tblW w:w="0" w:type="auto"/>
        <w:tblLook w:val="04A0" w:firstRow="1" w:lastRow="0" w:firstColumn="1" w:lastColumn="0" w:noHBand="0" w:noVBand="1"/>
      </w:tblPr>
      <w:tblGrid>
        <w:gridCol w:w="5098"/>
        <w:gridCol w:w="1276"/>
        <w:gridCol w:w="2410"/>
      </w:tblGrid>
      <w:tr w:rsidR="00955410" w14:paraId="2C046FFE" w14:textId="77777777" w:rsidTr="000332B7">
        <w:trPr>
          <w:trHeight w:val="594"/>
        </w:trPr>
        <w:tc>
          <w:tcPr>
            <w:tcW w:w="5098" w:type="dxa"/>
            <w:vAlign w:val="center"/>
          </w:tcPr>
          <w:p w14:paraId="50CE49C8" w14:textId="77777777" w:rsidR="00955410" w:rsidRPr="00AC7394" w:rsidRDefault="00955410" w:rsidP="00BE494F">
            <w:pPr>
              <w:spacing w:line="360" w:lineRule="auto"/>
              <w:jc w:val="center"/>
              <w:rPr>
                <w:b/>
                <w:sz w:val="24"/>
                <w:szCs w:val="24"/>
              </w:rPr>
            </w:pPr>
            <w:r w:rsidRPr="00AC7394">
              <w:rPr>
                <w:b/>
                <w:sz w:val="24"/>
                <w:szCs w:val="24"/>
              </w:rPr>
              <w:t>Upregulated Pathways</w:t>
            </w:r>
          </w:p>
        </w:tc>
        <w:tc>
          <w:tcPr>
            <w:tcW w:w="1276" w:type="dxa"/>
            <w:vAlign w:val="center"/>
          </w:tcPr>
          <w:p w14:paraId="14F1510E" w14:textId="77777777" w:rsidR="00955410" w:rsidRPr="00AC7394" w:rsidRDefault="00955410" w:rsidP="00BE494F">
            <w:pPr>
              <w:spacing w:line="360" w:lineRule="auto"/>
              <w:jc w:val="center"/>
              <w:rPr>
                <w:b/>
                <w:sz w:val="24"/>
                <w:szCs w:val="24"/>
              </w:rPr>
            </w:pPr>
            <w:r w:rsidRPr="00AC7394">
              <w:rPr>
                <w:b/>
                <w:sz w:val="24"/>
                <w:szCs w:val="24"/>
              </w:rPr>
              <w:t>p Value</w:t>
            </w:r>
          </w:p>
        </w:tc>
        <w:tc>
          <w:tcPr>
            <w:tcW w:w="2410" w:type="dxa"/>
            <w:vAlign w:val="center"/>
          </w:tcPr>
          <w:p w14:paraId="08BF3FEF" w14:textId="77777777" w:rsidR="00955410" w:rsidRPr="00AC7394" w:rsidRDefault="00955410" w:rsidP="00BE494F">
            <w:pPr>
              <w:spacing w:line="360" w:lineRule="auto"/>
              <w:jc w:val="center"/>
              <w:rPr>
                <w:b/>
                <w:sz w:val="24"/>
                <w:szCs w:val="24"/>
              </w:rPr>
            </w:pPr>
            <w:r w:rsidRPr="00AC7394">
              <w:rPr>
                <w:b/>
                <w:sz w:val="24"/>
                <w:szCs w:val="24"/>
              </w:rPr>
              <w:t>Ratio</w:t>
            </w:r>
          </w:p>
        </w:tc>
      </w:tr>
      <w:tr w:rsidR="00955410" w14:paraId="1E7E365E" w14:textId="77777777" w:rsidTr="000332B7">
        <w:tc>
          <w:tcPr>
            <w:tcW w:w="5098" w:type="dxa"/>
          </w:tcPr>
          <w:p w14:paraId="414937A5" w14:textId="77777777" w:rsidR="00955410" w:rsidRPr="00974C75" w:rsidRDefault="00955410" w:rsidP="00BE494F">
            <w:pPr>
              <w:spacing w:line="360" w:lineRule="auto"/>
              <w:jc w:val="center"/>
              <w:rPr>
                <w:b/>
              </w:rPr>
            </w:pPr>
            <w:r w:rsidRPr="00974C75">
              <w:t>Lipid antigen presentation by CD1</w:t>
            </w:r>
          </w:p>
        </w:tc>
        <w:tc>
          <w:tcPr>
            <w:tcW w:w="1276" w:type="dxa"/>
          </w:tcPr>
          <w:p w14:paraId="30E87CA6" w14:textId="77777777" w:rsidR="00955410" w:rsidRPr="00974C75" w:rsidRDefault="00955410" w:rsidP="00BE494F">
            <w:pPr>
              <w:spacing w:line="360" w:lineRule="auto"/>
              <w:jc w:val="center"/>
            </w:pPr>
            <w:r w:rsidRPr="00974C75">
              <w:t>5.28E-03</w:t>
            </w:r>
          </w:p>
        </w:tc>
        <w:tc>
          <w:tcPr>
            <w:tcW w:w="2410" w:type="dxa"/>
          </w:tcPr>
          <w:p w14:paraId="6202BFA0" w14:textId="77777777" w:rsidR="00955410" w:rsidRPr="00974C75" w:rsidRDefault="00955410" w:rsidP="00BE494F">
            <w:pPr>
              <w:spacing w:line="360" w:lineRule="auto"/>
              <w:jc w:val="center"/>
            </w:pPr>
            <w:r w:rsidRPr="00974C75">
              <w:t>1/24 (0.042)</w:t>
            </w:r>
          </w:p>
        </w:tc>
      </w:tr>
      <w:tr w:rsidR="00955410" w14:paraId="1AD8B445" w14:textId="77777777" w:rsidTr="000332B7">
        <w:tc>
          <w:tcPr>
            <w:tcW w:w="5098" w:type="dxa"/>
          </w:tcPr>
          <w:p w14:paraId="6AF8746F" w14:textId="77777777" w:rsidR="00955410" w:rsidRPr="00974C75" w:rsidRDefault="00955410" w:rsidP="00BE494F">
            <w:pPr>
              <w:spacing w:line="360" w:lineRule="auto"/>
              <w:jc w:val="center"/>
              <w:rPr>
                <w:b/>
              </w:rPr>
            </w:pPr>
            <w:r w:rsidRPr="00974C75">
              <w:t>Autoimmune thyroid disease signalling</w:t>
            </w:r>
          </w:p>
        </w:tc>
        <w:tc>
          <w:tcPr>
            <w:tcW w:w="1276" w:type="dxa"/>
          </w:tcPr>
          <w:p w14:paraId="5897C0AE" w14:textId="77777777" w:rsidR="00955410" w:rsidRPr="00974C75" w:rsidRDefault="00955410" w:rsidP="00BE494F">
            <w:pPr>
              <w:spacing w:line="360" w:lineRule="auto"/>
              <w:jc w:val="center"/>
            </w:pPr>
            <w:r w:rsidRPr="00974C75">
              <w:t>9.23E-03</w:t>
            </w:r>
          </w:p>
        </w:tc>
        <w:tc>
          <w:tcPr>
            <w:tcW w:w="2410" w:type="dxa"/>
          </w:tcPr>
          <w:p w14:paraId="50C7C4E0" w14:textId="77777777" w:rsidR="00955410" w:rsidRPr="00974C75" w:rsidRDefault="00955410" w:rsidP="00BE494F">
            <w:pPr>
              <w:spacing w:line="360" w:lineRule="auto"/>
              <w:jc w:val="center"/>
            </w:pPr>
            <w:r w:rsidRPr="00974C75">
              <w:t>1/42 (0.024)</w:t>
            </w:r>
          </w:p>
        </w:tc>
      </w:tr>
      <w:tr w:rsidR="00955410" w14:paraId="2429D24A" w14:textId="77777777" w:rsidTr="000332B7">
        <w:tc>
          <w:tcPr>
            <w:tcW w:w="5098" w:type="dxa"/>
          </w:tcPr>
          <w:p w14:paraId="06888E51" w14:textId="77777777" w:rsidR="00955410" w:rsidRPr="00974C75" w:rsidRDefault="00955410" w:rsidP="00BE494F">
            <w:pPr>
              <w:spacing w:line="360" w:lineRule="auto"/>
              <w:jc w:val="center"/>
              <w:rPr>
                <w:b/>
              </w:rPr>
            </w:pPr>
            <w:r w:rsidRPr="00974C75">
              <w:t>Haematopoiesis from pleuripotent stem cells</w:t>
            </w:r>
          </w:p>
        </w:tc>
        <w:tc>
          <w:tcPr>
            <w:tcW w:w="1276" w:type="dxa"/>
          </w:tcPr>
          <w:p w14:paraId="3FC86556" w14:textId="77777777" w:rsidR="00955410" w:rsidRPr="00974C75" w:rsidRDefault="00955410" w:rsidP="00BE494F">
            <w:pPr>
              <w:spacing w:line="360" w:lineRule="auto"/>
              <w:jc w:val="center"/>
            </w:pPr>
            <w:r w:rsidRPr="00974C75">
              <w:t>9.67E-03</w:t>
            </w:r>
          </w:p>
        </w:tc>
        <w:tc>
          <w:tcPr>
            <w:tcW w:w="2410" w:type="dxa"/>
          </w:tcPr>
          <w:p w14:paraId="05E458A8" w14:textId="77777777" w:rsidR="00955410" w:rsidRPr="00974C75" w:rsidRDefault="00955410" w:rsidP="00BE494F">
            <w:pPr>
              <w:spacing w:line="360" w:lineRule="auto"/>
              <w:jc w:val="center"/>
            </w:pPr>
            <w:r w:rsidRPr="00974C75">
              <w:t>1/44 (0.024)</w:t>
            </w:r>
          </w:p>
        </w:tc>
      </w:tr>
      <w:tr w:rsidR="00955410" w14:paraId="57BA4B05" w14:textId="77777777" w:rsidTr="000332B7">
        <w:tc>
          <w:tcPr>
            <w:tcW w:w="5098" w:type="dxa"/>
          </w:tcPr>
          <w:p w14:paraId="73752FA1" w14:textId="77777777" w:rsidR="00955410" w:rsidRPr="00974C75" w:rsidRDefault="00955410" w:rsidP="00BE494F">
            <w:pPr>
              <w:spacing w:line="360" w:lineRule="auto"/>
              <w:jc w:val="center"/>
              <w:rPr>
                <w:b/>
              </w:rPr>
            </w:pPr>
            <w:r w:rsidRPr="00974C75">
              <w:t>Primary immunodeficiency signalling</w:t>
            </w:r>
          </w:p>
        </w:tc>
        <w:tc>
          <w:tcPr>
            <w:tcW w:w="1276" w:type="dxa"/>
          </w:tcPr>
          <w:p w14:paraId="71B13004" w14:textId="77777777" w:rsidR="00955410" w:rsidRPr="00974C75" w:rsidRDefault="00955410" w:rsidP="00BE494F">
            <w:pPr>
              <w:spacing w:line="360" w:lineRule="auto"/>
              <w:jc w:val="center"/>
            </w:pPr>
            <w:r w:rsidRPr="00974C75">
              <w:t>1.01E-02</w:t>
            </w:r>
          </w:p>
        </w:tc>
        <w:tc>
          <w:tcPr>
            <w:tcW w:w="2410" w:type="dxa"/>
          </w:tcPr>
          <w:p w14:paraId="358C0576" w14:textId="77777777" w:rsidR="00955410" w:rsidRPr="00974C75" w:rsidRDefault="00955410" w:rsidP="00BE494F">
            <w:pPr>
              <w:spacing w:line="360" w:lineRule="auto"/>
              <w:jc w:val="center"/>
            </w:pPr>
            <w:r w:rsidRPr="00974C75">
              <w:t>1/46 (0.022)</w:t>
            </w:r>
          </w:p>
        </w:tc>
      </w:tr>
      <w:tr w:rsidR="00955410" w14:paraId="2F8A7A25" w14:textId="77777777" w:rsidTr="000332B7">
        <w:tc>
          <w:tcPr>
            <w:tcW w:w="5098" w:type="dxa"/>
          </w:tcPr>
          <w:p w14:paraId="20DCDFC7" w14:textId="77777777" w:rsidR="00955410" w:rsidRPr="00974C75" w:rsidRDefault="00955410" w:rsidP="00BE494F">
            <w:pPr>
              <w:spacing w:line="360" w:lineRule="auto"/>
              <w:jc w:val="center"/>
              <w:rPr>
                <w:b/>
              </w:rPr>
            </w:pPr>
            <w:r w:rsidRPr="00974C75">
              <w:t>Allograft rejection signalling</w:t>
            </w:r>
          </w:p>
        </w:tc>
        <w:tc>
          <w:tcPr>
            <w:tcW w:w="1276" w:type="dxa"/>
          </w:tcPr>
          <w:p w14:paraId="54818A6B" w14:textId="77777777" w:rsidR="00955410" w:rsidRPr="00974C75" w:rsidRDefault="00955410" w:rsidP="00BE494F">
            <w:pPr>
              <w:spacing w:line="360" w:lineRule="auto"/>
              <w:jc w:val="center"/>
            </w:pPr>
            <w:r w:rsidRPr="00974C75">
              <w:t>1.05E-02</w:t>
            </w:r>
          </w:p>
        </w:tc>
        <w:tc>
          <w:tcPr>
            <w:tcW w:w="2410" w:type="dxa"/>
          </w:tcPr>
          <w:p w14:paraId="08A7FC66" w14:textId="77777777" w:rsidR="00955410" w:rsidRPr="00974C75" w:rsidRDefault="00955410" w:rsidP="00BE494F">
            <w:pPr>
              <w:spacing w:line="360" w:lineRule="auto"/>
              <w:jc w:val="center"/>
            </w:pPr>
            <w:r w:rsidRPr="00974C75">
              <w:t>1/48 (0.021)</w:t>
            </w:r>
          </w:p>
        </w:tc>
      </w:tr>
    </w:tbl>
    <w:p w14:paraId="6E7CB3E8" w14:textId="77777777" w:rsidR="00955410" w:rsidRPr="00C43759" w:rsidRDefault="00955410" w:rsidP="00BE494F">
      <w:pPr>
        <w:spacing w:after="0" w:line="360" w:lineRule="auto"/>
        <w:rPr>
          <w:sz w:val="20"/>
          <w:szCs w:val="20"/>
        </w:rPr>
      </w:pPr>
    </w:p>
    <w:tbl>
      <w:tblPr>
        <w:tblStyle w:val="TableGridLight1"/>
        <w:tblW w:w="0" w:type="auto"/>
        <w:tblLook w:val="04A0" w:firstRow="1" w:lastRow="0" w:firstColumn="1" w:lastColumn="0" w:noHBand="0" w:noVBand="1"/>
      </w:tblPr>
      <w:tblGrid>
        <w:gridCol w:w="5103"/>
        <w:gridCol w:w="1271"/>
        <w:gridCol w:w="2410"/>
      </w:tblGrid>
      <w:tr w:rsidR="00955410" w:rsidRPr="00974C75" w14:paraId="12E476C5" w14:textId="77777777" w:rsidTr="000332B7">
        <w:trPr>
          <w:trHeight w:val="594"/>
        </w:trPr>
        <w:tc>
          <w:tcPr>
            <w:tcW w:w="5103" w:type="dxa"/>
            <w:vAlign w:val="center"/>
          </w:tcPr>
          <w:p w14:paraId="410EBCA6" w14:textId="77777777" w:rsidR="00955410" w:rsidRPr="00AC7394" w:rsidRDefault="00955410" w:rsidP="00BE494F">
            <w:pPr>
              <w:spacing w:line="360" w:lineRule="auto"/>
              <w:jc w:val="center"/>
              <w:rPr>
                <w:b/>
                <w:sz w:val="24"/>
                <w:szCs w:val="24"/>
              </w:rPr>
            </w:pPr>
            <w:r w:rsidRPr="00AC7394">
              <w:rPr>
                <w:b/>
                <w:sz w:val="24"/>
                <w:szCs w:val="24"/>
              </w:rPr>
              <w:t>Downregulated Pathways</w:t>
            </w:r>
          </w:p>
        </w:tc>
        <w:tc>
          <w:tcPr>
            <w:tcW w:w="1271" w:type="dxa"/>
            <w:vAlign w:val="center"/>
          </w:tcPr>
          <w:p w14:paraId="6D67FF66" w14:textId="77777777" w:rsidR="00955410" w:rsidRPr="00AC7394" w:rsidRDefault="00955410" w:rsidP="00BE494F">
            <w:pPr>
              <w:spacing w:line="360" w:lineRule="auto"/>
              <w:jc w:val="center"/>
              <w:rPr>
                <w:b/>
                <w:sz w:val="24"/>
                <w:szCs w:val="24"/>
              </w:rPr>
            </w:pPr>
            <w:r w:rsidRPr="00AC7394">
              <w:rPr>
                <w:b/>
                <w:sz w:val="24"/>
                <w:szCs w:val="24"/>
              </w:rPr>
              <w:t>p Value</w:t>
            </w:r>
          </w:p>
        </w:tc>
        <w:tc>
          <w:tcPr>
            <w:tcW w:w="2410" w:type="dxa"/>
            <w:vAlign w:val="center"/>
          </w:tcPr>
          <w:p w14:paraId="49BDD6C1" w14:textId="77777777" w:rsidR="00955410" w:rsidRPr="00AC7394" w:rsidRDefault="00955410" w:rsidP="00BE494F">
            <w:pPr>
              <w:spacing w:line="360" w:lineRule="auto"/>
              <w:jc w:val="center"/>
              <w:rPr>
                <w:b/>
                <w:sz w:val="24"/>
                <w:szCs w:val="24"/>
              </w:rPr>
            </w:pPr>
            <w:r w:rsidRPr="00AC7394">
              <w:rPr>
                <w:b/>
                <w:sz w:val="24"/>
                <w:szCs w:val="24"/>
              </w:rPr>
              <w:t>Ratio</w:t>
            </w:r>
          </w:p>
        </w:tc>
      </w:tr>
      <w:tr w:rsidR="00955410" w:rsidRPr="00974C75" w14:paraId="47E723F5" w14:textId="77777777" w:rsidTr="000332B7">
        <w:tc>
          <w:tcPr>
            <w:tcW w:w="5103" w:type="dxa"/>
          </w:tcPr>
          <w:p w14:paraId="61AD1012" w14:textId="77777777" w:rsidR="00955410" w:rsidRPr="00974C75" w:rsidRDefault="00955410" w:rsidP="00BE494F">
            <w:pPr>
              <w:spacing w:line="360" w:lineRule="auto"/>
              <w:jc w:val="center"/>
              <w:rPr>
                <w:b/>
              </w:rPr>
            </w:pPr>
            <w:r w:rsidRPr="007F4E46">
              <w:t>Ceramide degradation</w:t>
            </w:r>
          </w:p>
        </w:tc>
        <w:tc>
          <w:tcPr>
            <w:tcW w:w="1271" w:type="dxa"/>
          </w:tcPr>
          <w:p w14:paraId="474E7EB2" w14:textId="77777777" w:rsidR="00955410" w:rsidRPr="00974C75" w:rsidRDefault="00955410" w:rsidP="00BE494F">
            <w:pPr>
              <w:spacing w:line="360" w:lineRule="auto"/>
              <w:jc w:val="center"/>
            </w:pPr>
            <w:r w:rsidRPr="007F4E46">
              <w:t>9.92E-04</w:t>
            </w:r>
          </w:p>
        </w:tc>
        <w:tc>
          <w:tcPr>
            <w:tcW w:w="2410" w:type="dxa"/>
          </w:tcPr>
          <w:p w14:paraId="295F4BAE" w14:textId="77777777" w:rsidR="00955410" w:rsidRPr="00974C75" w:rsidRDefault="00955410" w:rsidP="00BE494F">
            <w:pPr>
              <w:spacing w:line="360" w:lineRule="auto"/>
              <w:jc w:val="center"/>
            </w:pPr>
            <w:r w:rsidRPr="007F4E46">
              <w:t>1/6 (0.167)</w:t>
            </w:r>
          </w:p>
        </w:tc>
      </w:tr>
      <w:tr w:rsidR="00955410" w:rsidRPr="00974C75" w14:paraId="4B0DA476" w14:textId="77777777" w:rsidTr="000332B7">
        <w:tc>
          <w:tcPr>
            <w:tcW w:w="5103" w:type="dxa"/>
          </w:tcPr>
          <w:p w14:paraId="095B4E5E" w14:textId="77777777" w:rsidR="00955410" w:rsidRPr="00974C75" w:rsidRDefault="00955410" w:rsidP="00BE494F">
            <w:pPr>
              <w:spacing w:line="360" w:lineRule="auto"/>
              <w:jc w:val="center"/>
              <w:rPr>
                <w:b/>
              </w:rPr>
            </w:pPr>
            <w:r w:rsidRPr="0063523B">
              <w:t>Sphingosine and sphingosine-1phosphate metabolism</w:t>
            </w:r>
          </w:p>
        </w:tc>
        <w:tc>
          <w:tcPr>
            <w:tcW w:w="1271" w:type="dxa"/>
          </w:tcPr>
          <w:p w14:paraId="0EDA0FE4" w14:textId="77777777" w:rsidR="00955410" w:rsidRPr="00974C75" w:rsidRDefault="00955410" w:rsidP="00BE494F">
            <w:pPr>
              <w:spacing w:line="360" w:lineRule="auto"/>
              <w:jc w:val="center"/>
            </w:pPr>
            <w:r w:rsidRPr="0063523B">
              <w:t>1.32E-03</w:t>
            </w:r>
          </w:p>
        </w:tc>
        <w:tc>
          <w:tcPr>
            <w:tcW w:w="2410" w:type="dxa"/>
          </w:tcPr>
          <w:p w14:paraId="5EA069F4" w14:textId="77777777" w:rsidR="00955410" w:rsidRPr="00974C75" w:rsidRDefault="00955410" w:rsidP="00BE494F">
            <w:pPr>
              <w:spacing w:line="360" w:lineRule="auto"/>
              <w:jc w:val="center"/>
            </w:pPr>
            <w:r w:rsidRPr="0063523B">
              <w:t>1/8 (0.125)</w:t>
            </w:r>
          </w:p>
        </w:tc>
      </w:tr>
      <w:tr w:rsidR="00955410" w:rsidRPr="00974C75" w14:paraId="4FEC7E6F" w14:textId="77777777" w:rsidTr="000332B7">
        <w:tc>
          <w:tcPr>
            <w:tcW w:w="5103" w:type="dxa"/>
          </w:tcPr>
          <w:p w14:paraId="656B0F24" w14:textId="77777777" w:rsidR="00955410" w:rsidRPr="00974C75" w:rsidRDefault="00955410" w:rsidP="00BE494F">
            <w:pPr>
              <w:spacing w:line="360" w:lineRule="auto"/>
              <w:jc w:val="center"/>
              <w:rPr>
                <w:b/>
              </w:rPr>
            </w:pPr>
            <w:r w:rsidRPr="0063523B">
              <w:t>Sphingosine-1-phosphate signalling</w:t>
            </w:r>
          </w:p>
        </w:tc>
        <w:tc>
          <w:tcPr>
            <w:tcW w:w="1271" w:type="dxa"/>
          </w:tcPr>
          <w:p w14:paraId="5730D4D5" w14:textId="77777777" w:rsidR="00955410" w:rsidRPr="00974C75" w:rsidRDefault="00955410" w:rsidP="00BE494F">
            <w:pPr>
              <w:spacing w:line="360" w:lineRule="auto"/>
              <w:jc w:val="center"/>
            </w:pPr>
            <w:r w:rsidRPr="0063523B">
              <w:t>1.78E-02</w:t>
            </w:r>
          </w:p>
        </w:tc>
        <w:tc>
          <w:tcPr>
            <w:tcW w:w="2410" w:type="dxa"/>
          </w:tcPr>
          <w:p w14:paraId="0761D9C8" w14:textId="77777777" w:rsidR="00955410" w:rsidRPr="00974C75" w:rsidRDefault="00955410" w:rsidP="00BE494F">
            <w:pPr>
              <w:spacing w:line="360" w:lineRule="auto"/>
              <w:jc w:val="center"/>
            </w:pPr>
            <w:r w:rsidRPr="0063523B">
              <w:t>1/108 (0.009)</w:t>
            </w:r>
          </w:p>
        </w:tc>
      </w:tr>
    </w:tbl>
    <w:p w14:paraId="3EBB4BAE" w14:textId="77777777" w:rsidR="00C752F7" w:rsidRDefault="00C752F7" w:rsidP="00631474">
      <w:pPr>
        <w:spacing w:line="480" w:lineRule="auto"/>
        <w:jc w:val="center"/>
        <w:rPr>
          <w:sz w:val="20"/>
          <w:szCs w:val="20"/>
        </w:rPr>
      </w:pPr>
    </w:p>
    <w:p w14:paraId="32532682" w14:textId="39560835" w:rsidR="00955410" w:rsidRDefault="004B28BF" w:rsidP="00631474">
      <w:pPr>
        <w:spacing w:line="480" w:lineRule="auto"/>
        <w:jc w:val="center"/>
        <w:rPr>
          <w:sz w:val="20"/>
          <w:szCs w:val="20"/>
        </w:rPr>
      </w:pPr>
      <w:r>
        <w:rPr>
          <w:sz w:val="20"/>
          <w:szCs w:val="20"/>
        </w:rPr>
        <w:t>U</w:t>
      </w:r>
      <w:r w:rsidR="00C67DE2">
        <w:rPr>
          <w:sz w:val="20"/>
          <w:szCs w:val="20"/>
        </w:rPr>
        <w:t xml:space="preserve">pregulated and </w:t>
      </w:r>
      <w:r w:rsidR="00955410">
        <w:rPr>
          <w:sz w:val="20"/>
          <w:szCs w:val="20"/>
        </w:rPr>
        <w:t xml:space="preserve">downregulated pathways identified from </w:t>
      </w:r>
      <w:r w:rsidR="00BF6202">
        <w:rPr>
          <w:sz w:val="20"/>
          <w:szCs w:val="20"/>
        </w:rPr>
        <w:t>proteins with differential</w:t>
      </w:r>
      <w:r w:rsidR="00955410">
        <w:rPr>
          <w:sz w:val="20"/>
          <w:szCs w:val="20"/>
        </w:rPr>
        <w:t xml:space="preserve"> </w:t>
      </w:r>
      <w:r w:rsidR="00BF6202">
        <w:rPr>
          <w:sz w:val="20"/>
          <w:szCs w:val="20"/>
        </w:rPr>
        <w:t>abundance of contributing peptide ions</w:t>
      </w:r>
      <w:r w:rsidR="00E10466">
        <w:rPr>
          <w:sz w:val="20"/>
          <w:szCs w:val="20"/>
        </w:rPr>
        <w:t>,</w:t>
      </w:r>
      <w:r w:rsidR="00955410">
        <w:rPr>
          <w:sz w:val="20"/>
          <w:szCs w:val="20"/>
        </w:rPr>
        <w:t xml:space="preserve"> </w:t>
      </w:r>
      <w:r w:rsidR="00C67DE2">
        <w:rPr>
          <w:sz w:val="20"/>
          <w:szCs w:val="20"/>
        </w:rPr>
        <w:t xml:space="preserve">when </w:t>
      </w:r>
      <w:r w:rsidR="005E7DD2">
        <w:rPr>
          <w:sz w:val="20"/>
          <w:szCs w:val="20"/>
        </w:rPr>
        <w:t xml:space="preserve">comparing </w:t>
      </w:r>
      <w:r w:rsidR="00E10466">
        <w:rPr>
          <w:sz w:val="20"/>
          <w:szCs w:val="20"/>
        </w:rPr>
        <w:t xml:space="preserve"> </w:t>
      </w:r>
      <w:r w:rsidR="00955410">
        <w:rPr>
          <w:sz w:val="20"/>
          <w:szCs w:val="20"/>
        </w:rPr>
        <w:t>relative respo</w:t>
      </w:r>
      <w:r w:rsidR="00A355C4">
        <w:rPr>
          <w:sz w:val="20"/>
          <w:szCs w:val="20"/>
        </w:rPr>
        <w:t>nders and non-responders to CRT</w:t>
      </w:r>
      <w:r w:rsidR="00F02E55">
        <w:rPr>
          <w:sz w:val="20"/>
          <w:szCs w:val="20"/>
        </w:rPr>
        <w:t>.</w:t>
      </w:r>
    </w:p>
    <w:p w14:paraId="3AF909F7" w14:textId="77777777" w:rsidR="00955410" w:rsidRDefault="00955410" w:rsidP="00631474">
      <w:pPr>
        <w:spacing w:line="480" w:lineRule="auto"/>
        <w:rPr>
          <w:noProof/>
          <w:lang w:eastAsia="en-GB"/>
        </w:rPr>
      </w:pPr>
      <w:r>
        <w:rPr>
          <w:noProof/>
          <w:lang w:eastAsia="en-GB"/>
        </w:rPr>
        <w:t xml:space="preserve">    </w:t>
      </w:r>
    </w:p>
    <w:p w14:paraId="7F00202B" w14:textId="77777777" w:rsidR="006F1724" w:rsidRDefault="006F1724" w:rsidP="00631474">
      <w:pPr>
        <w:spacing w:line="480" w:lineRule="auto"/>
        <w:jc w:val="center"/>
        <w:rPr>
          <w:b/>
          <w:sz w:val="24"/>
          <w:szCs w:val="24"/>
        </w:rPr>
      </w:pPr>
    </w:p>
    <w:p w14:paraId="42DF10D9" w14:textId="77777777" w:rsidR="00955410" w:rsidRDefault="00955410" w:rsidP="00631474">
      <w:pPr>
        <w:spacing w:line="480" w:lineRule="auto"/>
        <w:rPr>
          <w:sz w:val="20"/>
          <w:szCs w:val="20"/>
        </w:rPr>
      </w:pPr>
    </w:p>
    <w:p w14:paraId="02963F29" w14:textId="77777777" w:rsidR="005B2FEA" w:rsidRDefault="005B2FEA" w:rsidP="00631474">
      <w:pPr>
        <w:spacing w:line="480" w:lineRule="auto"/>
        <w:rPr>
          <w:sz w:val="20"/>
          <w:szCs w:val="20"/>
        </w:rPr>
      </w:pPr>
    </w:p>
    <w:p w14:paraId="5901B1B4" w14:textId="77777777" w:rsidR="003E7AB8" w:rsidRDefault="003E7AB8" w:rsidP="00631474">
      <w:pPr>
        <w:spacing w:line="480" w:lineRule="auto"/>
        <w:jc w:val="center"/>
        <w:rPr>
          <w:sz w:val="20"/>
          <w:szCs w:val="20"/>
        </w:rPr>
      </w:pPr>
    </w:p>
    <w:p w14:paraId="310B2DDF" w14:textId="77777777" w:rsidR="002A140B" w:rsidRDefault="002A140B" w:rsidP="00631474">
      <w:pPr>
        <w:spacing w:line="480" w:lineRule="auto"/>
        <w:jc w:val="center"/>
        <w:rPr>
          <w:sz w:val="20"/>
          <w:szCs w:val="20"/>
        </w:rPr>
      </w:pPr>
    </w:p>
    <w:p w14:paraId="14EB8893" w14:textId="77777777" w:rsidR="00F2753E" w:rsidRDefault="00F2753E" w:rsidP="00631474">
      <w:pPr>
        <w:spacing w:line="480" w:lineRule="auto"/>
        <w:rPr>
          <w:sz w:val="20"/>
          <w:szCs w:val="20"/>
        </w:rPr>
      </w:pPr>
    </w:p>
    <w:p w14:paraId="2AE32A99" w14:textId="77777777" w:rsidR="00BE494F" w:rsidRDefault="00BE494F" w:rsidP="00CA07B9">
      <w:pPr>
        <w:spacing w:line="480" w:lineRule="auto"/>
        <w:rPr>
          <w:b/>
        </w:rPr>
      </w:pPr>
    </w:p>
    <w:p w14:paraId="67E5F616" w14:textId="77777777" w:rsidR="00BE494F" w:rsidRDefault="00BE494F" w:rsidP="00CA07B9">
      <w:pPr>
        <w:spacing w:line="480" w:lineRule="auto"/>
        <w:rPr>
          <w:b/>
        </w:rPr>
      </w:pPr>
    </w:p>
    <w:p w14:paraId="5E51152A" w14:textId="77777777" w:rsidR="00D440CF" w:rsidRDefault="00D440CF" w:rsidP="00CA07B9">
      <w:pPr>
        <w:spacing w:line="480" w:lineRule="auto"/>
        <w:rPr>
          <w:b/>
        </w:rPr>
      </w:pPr>
    </w:p>
    <w:p w14:paraId="7C1EA745" w14:textId="19062FFD" w:rsidR="005B2FEA" w:rsidRPr="00CA07B9" w:rsidRDefault="00CA07B9" w:rsidP="00CA07B9">
      <w:pPr>
        <w:spacing w:line="480" w:lineRule="auto"/>
        <w:rPr>
          <w:b/>
        </w:rPr>
      </w:pPr>
      <w:r>
        <w:rPr>
          <w:b/>
        </w:rPr>
        <w:lastRenderedPageBreak/>
        <w:t xml:space="preserve">Table </w:t>
      </w:r>
      <w:r w:rsidR="00F02E55">
        <w:rPr>
          <w:b/>
        </w:rPr>
        <w:t>4</w:t>
      </w:r>
      <w:r>
        <w:rPr>
          <w:b/>
        </w:rPr>
        <w:t xml:space="preserve"> - </w:t>
      </w:r>
      <w:r w:rsidR="00BE494F">
        <w:rPr>
          <w:b/>
        </w:rPr>
        <w:t>Analysis of Tissue Microarray Acid Ceramidase Expression</w:t>
      </w:r>
    </w:p>
    <w:tbl>
      <w:tblPr>
        <w:tblStyle w:val="TableGridLight1"/>
        <w:tblW w:w="0" w:type="auto"/>
        <w:tblLook w:val="04A0" w:firstRow="1" w:lastRow="0" w:firstColumn="1" w:lastColumn="0" w:noHBand="0" w:noVBand="1"/>
      </w:tblPr>
      <w:tblGrid>
        <w:gridCol w:w="1321"/>
        <w:gridCol w:w="1223"/>
        <w:gridCol w:w="1486"/>
        <w:gridCol w:w="982"/>
        <w:gridCol w:w="2565"/>
        <w:gridCol w:w="1207"/>
      </w:tblGrid>
      <w:tr w:rsidR="00955410" w14:paraId="72FC7C69" w14:textId="77777777" w:rsidTr="006C2C7A">
        <w:trPr>
          <w:trHeight w:val="836"/>
        </w:trPr>
        <w:tc>
          <w:tcPr>
            <w:tcW w:w="1321" w:type="dxa"/>
            <w:vAlign w:val="center"/>
          </w:tcPr>
          <w:p w14:paraId="3F03F6E1" w14:textId="77777777" w:rsidR="00955410" w:rsidRPr="00835687" w:rsidRDefault="00955410" w:rsidP="00F02E55">
            <w:pPr>
              <w:jc w:val="center"/>
              <w:rPr>
                <w:b/>
                <w:color w:val="000000" w:themeColor="text1"/>
                <w:sz w:val="24"/>
                <w:szCs w:val="24"/>
              </w:rPr>
            </w:pPr>
            <w:r w:rsidRPr="00835687">
              <w:rPr>
                <w:b/>
                <w:color w:val="000000" w:themeColor="text1"/>
                <w:sz w:val="24"/>
                <w:szCs w:val="24"/>
              </w:rPr>
              <w:t>Tissue Microarray</w:t>
            </w:r>
          </w:p>
        </w:tc>
        <w:tc>
          <w:tcPr>
            <w:tcW w:w="1223" w:type="dxa"/>
            <w:vAlign w:val="center"/>
          </w:tcPr>
          <w:p w14:paraId="1622F679" w14:textId="77777777" w:rsidR="00955410" w:rsidRPr="00835687" w:rsidRDefault="00955410" w:rsidP="00F02E55">
            <w:pPr>
              <w:jc w:val="center"/>
              <w:rPr>
                <w:b/>
                <w:color w:val="000000" w:themeColor="text1"/>
                <w:sz w:val="24"/>
                <w:szCs w:val="24"/>
              </w:rPr>
            </w:pPr>
            <w:r w:rsidRPr="00835687">
              <w:rPr>
                <w:b/>
                <w:color w:val="000000" w:themeColor="text1"/>
                <w:sz w:val="24"/>
                <w:szCs w:val="24"/>
              </w:rPr>
              <w:t>Cellular Subset</w:t>
            </w:r>
          </w:p>
        </w:tc>
        <w:tc>
          <w:tcPr>
            <w:tcW w:w="1486" w:type="dxa"/>
            <w:vAlign w:val="center"/>
          </w:tcPr>
          <w:p w14:paraId="5656468A" w14:textId="77777777" w:rsidR="00955410" w:rsidRPr="00835687" w:rsidRDefault="00955410" w:rsidP="00F02E55">
            <w:pPr>
              <w:jc w:val="center"/>
              <w:rPr>
                <w:b/>
                <w:color w:val="000000" w:themeColor="text1"/>
                <w:sz w:val="24"/>
                <w:szCs w:val="24"/>
              </w:rPr>
            </w:pPr>
            <w:r w:rsidRPr="00835687">
              <w:rPr>
                <w:b/>
                <w:color w:val="000000" w:themeColor="text1"/>
                <w:sz w:val="24"/>
                <w:szCs w:val="24"/>
              </w:rPr>
              <w:t>Cases Represented</w:t>
            </w:r>
          </w:p>
        </w:tc>
        <w:tc>
          <w:tcPr>
            <w:tcW w:w="982" w:type="dxa"/>
            <w:vAlign w:val="center"/>
          </w:tcPr>
          <w:p w14:paraId="46DCFA05" w14:textId="77777777" w:rsidR="00955410" w:rsidRPr="00835687" w:rsidRDefault="00955410" w:rsidP="00F02E55">
            <w:pPr>
              <w:jc w:val="center"/>
              <w:rPr>
                <w:b/>
                <w:color w:val="000000" w:themeColor="text1"/>
                <w:sz w:val="24"/>
                <w:szCs w:val="24"/>
              </w:rPr>
            </w:pPr>
            <w:r w:rsidRPr="00835687">
              <w:rPr>
                <w:b/>
                <w:color w:val="000000" w:themeColor="text1"/>
                <w:sz w:val="24"/>
                <w:szCs w:val="24"/>
              </w:rPr>
              <w:t>Median H Score</w:t>
            </w:r>
          </w:p>
        </w:tc>
        <w:tc>
          <w:tcPr>
            <w:tcW w:w="2565" w:type="dxa"/>
            <w:vAlign w:val="center"/>
          </w:tcPr>
          <w:p w14:paraId="26705C26" w14:textId="77777777" w:rsidR="00955410" w:rsidRPr="00835687" w:rsidRDefault="00955410" w:rsidP="00F02E55">
            <w:pPr>
              <w:jc w:val="center"/>
              <w:rPr>
                <w:b/>
                <w:color w:val="000000" w:themeColor="text1"/>
                <w:sz w:val="24"/>
                <w:szCs w:val="24"/>
              </w:rPr>
            </w:pPr>
            <w:r w:rsidRPr="00835687">
              <w:rPr>
                <w:b/>
                <w:color w:val="000000" w:themeColor="text1"/>
                <w:sz w:val="24"/>
                <w:szCs w:val="24"/>
              </w:rPr>
              <w:t>TRG Comparison</w:t>
            </w:r>
          </w:p>
        </w:tc>
        <w:tc>
          <w:tcPr>
            <w:tcW w:w="1207" w:type="dxa"/>
            <w:vAlign w:val="center"/>
          </w:tcPr>
          <w:p w14:paraId="3F8BD879" w14:textId="77777777" w:rsidR="00955410" w:rsidRPr="00835687" w:rsidRDefault="00955410" w:rsidP="00F02E55">
            <w:pPr>
              <w:jc w:val="center"/>
              <w:rPr>
                <w:b/>
                <w:color w:val="000000" w:themeColor="text1"/>
                <w:sz w:val="24"/>
                <w:szCs w:val="24"/>
              </w:rPr>
            </w:pPr>
            <w:r w:rsidRPr="00835687">
              <w:rPr>
                <w:b/>
                <w:color w:val="000000" w:themeColor="text1"/>
                <w:sz w:val="24"/>
                <w:szCs w:val="24"/>
              </w:rPr>
              <w:t>p Value (x</w:t>
            </w:r>
            <w:r w:rsidRPr="00835687">
              <w:rPr>
                <w:b/>
                <w:color w:val="000000" w:themeColor="text1"/>
                <w:sz w:val="24"/>
                <w:szCs w:val="24"/>
                <w:vertAlign w:val="superscript"/>
              </w:rPr>
              <w:t>2</w:t>
            </w:r>
            <w:r w:rsidRPr="00835687">
              <w:rPr>
                <w:b/>
                <w:color w:val="000000" w:themeColor="text1"/>
                <w:sz w:val="24"/>
                <w:szCs w:val="24"/>
              </w:rPr>
              <w:t>)</w:t>
            </w:r>
          </w:p>
        </w:tc>
      </w:tr>
      <w:tr w:rsidR="00955410" w14:paraId="42D851F2" w14:textId="77777777" w:rsidTr="006C2C7A">
        <w:trPr>
          <w:trHeight w:val="90"/>
        </w:trPr>
        <w:tc>
          <w:tcPr>
            <w:tcW w:w="1321" w:type="dxa"/>
            <w:vMerge w:val="restart"/>
            <w:vAlign w:val="center"/>
          </w:tcPr>
          <w:p w14:paraId="5B3DBBE8" w14:textId="77777777" w:rsidR="00955410" w:rsidRPr="001619E9" w:rsidRDefault="00955410" w:rsidP="00BE494F">
            <w:pPr>
              <w:spacing w:line="360" w:lineRule="auto"/>
              <w:jc w:val="center"/>
              <w:rPr>
                <w:b/>
                <w:color w:val="000000" w:themeColor="text1"/>
              </w:rPr>
            </w:pPr>
            <w:r w:rsidRPr="001619E9">
              <w:rPr>
                <w:color w:val="000000" w:themeColor="text1"/>
              </w:rPr>
              <w:t>Diagnostic Biopsy</w:t>
            </w:r>
          </w:p>
        </w:tc>
        <w:tc>
          <w:tcPr>
            <w:tcW w:w="1223" w:type="dxa"/>
            <w:vMerge w:val="restart"/>
            <w:vAlign w:val="center"/>
          </w:tcPr>
          <w:p w14:paraId="6A5EA58B" w14:textId="77777777" w:rsidR="00955410" w:rsidRPr="001619E9" w:rsidRDefault="00955410" w:rsidP="00BE494F">
            <w:pPr>
              <w:spacing w:line="360" w:lineRule="auto"/>
              <w:jc w:val="center"/>
              <w:rPr>
                <w:color w:val="000000" w:themeColor="text1"/>
              </w:rPr>
            </w:pPr>
            <w:r w:rsidRPr="001619E9">
              <w:rPr>
                <w:color w:val="000000" w:themeColor="text1"/>
              </w:rPr>
              <w:t>Epithelium</w:t>
            </w:r>
          </w:p>
        </w:tc>
        <w:tc>
          <w:tcPr>
            <w:tcW w:w="1486" w:type="dxa"/>
            <w:vMerge w:val="restart"/>
            <w:vAlign w:val="center"/>
          </w:tcPr>
          <w:p w14:paraId="4C01C5C6" w14:textId="77777777" w:rsidR="00955410" w:rsidRPr="001619E9" w:rsidRDefault="00955410" w:rsidP="00BE494F">
            <w:pPr>
              <w:spacing w:line="360" w:lineRule="auto"/>
              <w:jc w:val="center"/>
              <w:rPr>
                <w:color w:val="000000" w:themeColor="text1"/>
              </w:rPr>
            </w:pPr>
            <w:r>
              <w:rPr>
                <w:color w:val="000000" w:themeColor="text1"/>
              </w:rPr>
              <w:t>86/105</w:t>
            </w:r>
          </w:p>
        </w:tc>
        <w:tc>
          <w:tcPr>
            <w:tcW w:w="982" w:type="dxa"/>
            <w:vMerge w:val="restart"/>
            <w:vAlign w:val="center"/>
          </w:tcPr>
          <w:p w14:paraId="7B0D1591" w14:textId="77777777" w:rsidR="00955410" w:rsidRPr="001619E9" w:rsidRDefault="00955410" w:rsidP="00BE494F">
            <w:pPr>
              <w:spacing w:line="360" w:lineRule="auto"/>
              <w:jc w:val="center"/>
              <w:rPr>
                <w:color w:val="000000" w:themeColor="text1"/>
              </w:rPr>
            </w:pPr>
            <w:r>
              <w:rPr>
                <w:color w:val="000000" w:themeColor="text1"/>
              </w:rPr>
              <w:t>5.0</w:t>
            </w:r>
          </w:p>
        </w:tc>
        <w:tc>
          <w:tcPr>
            <w:tcW w:w="2565" w:type="dxa"/>
          </w:tcPr>
          <w:p w14:paraId="4001574F" w14:textId="77777777" w:rsidR="00955410" w:rsidRPr="001619E9" w:rsidRDefault="006C2C7A" w:rsidP="00BE494F">
            <w:pPr>
              <w:spacing w:line="360" w:lineRule="auto"/>
              <w:jc w:val="center"/>
              <w:rPr>
                <w:color w:val="000000" w:themeColor="text1"/>
              </w:rPr>
            </w:pPr>
            <w:r>
              <w:rPr>
                <w:color w:val="000000" w:themeColor="text1"/>
              </w:rPr>
              <w:t>pCR vs Others</w:t>
            </w:r>
          </w:p>
        </w:tc>
        <w:tc>
          <w:tcPr>
            <w:tcW w:w="1207" w:type="dxa"/>
          </w:tcPr>
          <w:p w14:paraId="0E7F4074" w14:textId="77777777" w:rsidR="00955410" w:rsidRPr="001619E9" w:rsidRDefault="00955410" w:rsidP="00BE494F">
            <w:pPr>
              <w:spacing w:line="360" w:lineRule="auto"/>
              <w:jc w:val="center"/>
              <w:rPr>
                <w:color w:val="000000" w:themeColor="text1"/>
              </w:rPr>
            </w:pPr>
            <w:r>
              <w:rPr>
                <w:color w:val="000000" w:themeColor="text1"/>
              </w:rPr>
              <w:t>0.695</w:t>
            </w:r>
          </w:p>
        </w:tc>
      </w:tr>
      <w:tr w:rsidR="00955410" w14:paraId="33A7AFEB" w14:textId="77777777" w:rsidTr="006C2C7A">
        <w:trPr>
          <w:trHeight w:val="90"/>
        </w:trPr>
        <w:tc>
          <w:tcPr>
            <w:tcW w:w="1321" w:type="dxa"/>
            <w:vMerge/>
            <w:vAlign w:val="center"/>
          </w:tcPr>
          <w:p w14:paraId="7FCC8667" w14:textId="77777777" w:rsidR="00955410" w:rsidRPr="001619E9" w:rsidRDefault="00955410" w:rsidP="00BE494F">
            <w:pPr>
              <w:spacing w:line="360" w:lineRule="auto"/>
              <w:jc w:val="center"/>
              <w:rPr>
                <w:color w:val="000000" w:themeColor="text1"/>
              </w:rPr>
            </w:pPr>
          </w:p>
        </w:tc>
        <w:tc>
          <w:tcPr>
            <w:tcW w:w="1223" w:type="dxa"/>
            <w:vMerge/>
            <w:vAlign w:val="center"/>
          </w:tcPr>
          <w:p w14:paraId="644D2749" w14:textId="77777777" w:rsidR="00955410" w:rsidRPr="001619E9" w:rsidRDefault="00955410" w:rsidP="00BE494F">
            <w:pPr>
              <w:spacing w:line="360" w:lineRule="auto"/>
              <w:jc w:val="center"/>
              <w:rPr>
                <w:color w:val="000000" w:themeColor="text1"/>
              </w:rPr>
            </w:pPr>
          </w:p>
        </w:tc>
        <w:tc>
          <w:tcPr>
            <w:tcW w:w="1486" w:type="dxa"/>
            <w:vMerge/>
            <w:vAlign w:val="center"/>
          </w:tcPr>
          <w:p w14:paraId="7EE8FDBF" w14:textId="77777777" w:rsidR="00955410" w:rsidRDefault="00955410" w:rsidP="00BE494F">
            <w:pPr>
              <w:spacing w:line="360" w:lineRule="auto"/>
              <w:jc w:val="center"/>
              <w:rPr>
                <w:color w:val="000000" w:themeColor="text1"/>
              </w:rPr>
            </w:pPr>
          </w:p>
        </w:tc>
        <w:tc>
          <w:tcPr>
            <w:tcW w:w="982" w:type="dxa"/>
            <w:vMerge/>
            <w:vAlign w:val="center"/>
          </w:tcPr>
          <w:p w14:paraId="4B5B8D9C" w14:textId="77777777" w:rsidR="00955410" w:rsidRDefault="00955410" w:rsidP="00BE494F">
            <w:pPr>
              <w:spacing w:line="360" w:lineRule="auto"/>
              <w:jc w:val="center"/>
              <w:rPr>
                <w:color w:val="000000" w:themeColor="text1"/>
              </w:rPr>
            </w:pPr>
          </w:p>
        </w:tc>
        <w:tc>
          <w:tcPr>
            <w:tcW w:w="2565" w:type="dxa"/>
          </w:tcPr>
          <w:p w14:paraId="12547204" w14:textId="77777777" w:rsidR="00955410" w:rsidRPr="001619E9" w:rsidRDefault="006C2C7A" w:rsidP="00BE494F">
            <w:pPr>
              <w:spacing w:line="360" w:lineRule="auto"/>
              <w:jc w:val="center"/>
              <w:rPr>
                <w:color w:val="000000" w:themeColor="text1"/>
              </w:rPr>
            </w:pPr>
            <w:r>
              <w:rPr>
                <w:color w:val="000000" w:themeColor="text1"/>
              </w:rPr>
              <w:t>Relative Response</w:t>
            </w:r>
          </w:p>
        </w:tc>
        <w:tc>
          <w:tcPr>
            <w:tcW w:w="1207" w:type="dxa"/>
          </w:tcPr>
          <w:p w14:paraId="4CA6BCD9" w14:textId="77777777" w:rsidR="00955410" w:rsidRPr="001619E9" w:rsidRDefault="00955410" w:rsidP="00BE494F">
            <w:pPr>
              <w:spacing w:line="360" w:lineRule="auto"/>
              <w:jc w:val="center"/>
              <w:rPr>
                <w:color w:val="000000" w:themeColor="text1"/>
              </w:rPr>
            </w:pPr>
            <w:r>
              <w:rPr>
                <w:color w:val="000000" w:themeColor="text1"/>
              </w:rPr>
              <w:t>0.699</w:t>
            </w:r>
          </w:p>
        </w:tc>
      </w:tr>
      <w:tr w:rsidR="00955410" w14:paraId="2AEBF406" w14:textId="77777777" w:rsidTr="006C2C7A">
        <w:trPr>
          <w:trHeight w:val="90"/>
        </w:trPr>
        <w:tc>
          <w:tcPr>
            <w:tcW w:w="1321" w:type="dxa"/>
            <w:vMerge/>
            <w:vAlign w:val="center"/>
          </w:tcPr>
          <w:p w14:paraId="4314911B" w14:textId="77777777" w:rsidR="00955410" w:rsidRPr="001619E9" w:rsidRDefault="00955410" w:rsidP="00BE494F">
            <w:pPr>
              <w:spacing w:line="360" w:lineRule="auto"/>
              <w:jc w:val="center"/>
              <w:rPr>
                <w:color w:val="000000" w:themeColor="text1"/>
              </w:rPr>
            </w:pPr>
          </w:p>
        </w:tc>
        <w:tc>
          <w:tcPr>
            <w:tcW w:w="1223" w:type="dxa"/>
            <w:vMerge/>
            <w:vAlign w:val="center"/>
          </w:tcPr>
          <w:p w14:paraId="070F7E45" w14:textId="77777777" w:rsidR="00955410" w:rsidRPr="001619E9" w:rsidRDefault="00955410" w:rsidP="00BE494F">
            <w:pPr>
              <w:spacing w:line="360" w:lineRule="auto"/>
              <w:jc w:val="center"/>
              <w:rPr>
                <w:color w:val="000000" w:themeColor="text1"/>
              </w:rPr>
            </w:pPr>
          </w:p>
        </w:tc>
        <w:tc>
          <w:tcPr>
            <w:tcW w:w="1486" w:type="dxa"/>
            <w:vMerge/>
            <w:vAlign w:val="center"/>
          </w:tcPr>
          <w:p w14:paraId="786BDF26" w14:textId="77777777" w:rsidR="00955410" w:rsidRDefault="00955410" w:rsidP="00BE494F">
            <w:pPr>
              <w:spacing w:line="360" w:lineRule="auto"/>
              <w:jc w:val="center"/>
              <w:rPr>
                <w:color w:val="000000" w:themeColor="text1"/>
              </w:rPr>
            </w:pPr>
          </w:p>
        </w:tc>
        <w:tc>
          <w:tcPr>
            <w:tcW w:w="982" w:type="dxa"/>
            <w:vMerge/>
            <w:vAlign w:val="center"/>
          </w:tcPr>
          <w:p w14:paraId="5D5CBCF3" w14:textId="77777777" w:rsidR="00955410" w:rsidRDefault="00955410" w:rsidP="00BE494F">
            <w:pPr>
              <w:spacing w:line="360" w:lineRule="auto"/>
              <w:jc w:val="center"/>
              <w:rPr>
                <w:color w:val="000000" w:themeColor="text1"/>
              </w:rPr>
            </w:pPr>
          </w:p>
        </w:tc>
        <w:tc>
          <w:tcPr>
            <w:tcW w:w="2565" w:type="dxa"/>
          </w:tcPr>
          <w:p w14:paraId="49C991C4" w14:textId="77777777" w:rsidR="00955410" w:rsidRPr="001619E9" w:rsidRDefault="006C2C7A" w:rsidP="00BE494F">
            <w:pPr>
              <w:spacing w:line="360" w:lineRule="auto"/>
              <w:jc w:val="center"/>
              <w:rPr>
                <w:color w:val="000000" w:themeColor="text1"/>
              </w:rPr>
            </w:pPr>
            <w:r>
              <w:rPr>
                <w:color w:val="000000" w:themeColor="text1"/>
              </w:rPr>
              <w:t>Others vs Non-response</w:t>
            </w:r>
          </w:p>
        </w:tc>
        <w:tc>
          <w:tcPr>
            <w:tcW w:w="1207" w:type="dxa"/>
          </w:tcPr>
          <w:p w14:paraId="54E9DDB9" w14:textId="77777777" w:rsidR="00955410" w:rsidRPr="001619E9" w:rsidRDefault="00955410" w:rsidP="00BE494F">
            <w:pPr>
              <w:spacing w:line="360" w:lineRule="auto"/>
              <w:jc w:val="center"/>
              <w:rPr>
                <w:color w:val="000000" w:themeColor="text1"/>
              </w:rPr>
            </w:pPr>
            <w:r>
              <w:rPr>
                <w:color w:val="000000" w:themeColor="text1"/>
              </w:rPr>
              <w:t>0.375</w:t>
            </w:r>
          </w:p>
        </w:tc>
      </w:tr>
      <w:tr w:rsidR="00955410" w14:paraId="5C0F8B36" w14:textId="77777777" w:rsidTr="006C2C7A">
        <w:trPr>
          <w:trHeight w:val="90"/>
        </w:trPr>
        <w:tc>
          <w:tcPr>
            <w:tcW w:w="1321" w:type="dxa"/>
            <w:vMerge/>
            <w:vAlign w:val="center"/>
          </w:tcPr>
          <w:p w14:paraId="38FD60A6" w14:textId="77777777" w:rsidR="00955410" w:rsidRPr="001619E9" w:rsidRDefault="00955410" w:rsidP="00BE494F">
            <w:pPr>
              <w:spacing w:line="360" w:lineRule="auto"/>
              <w:jc w:val="center"/>
              <w:rPr>
                <w:b/>
                <w:color w:val="000000" w:themeColor="text1"/>
              </w:rPr>
            </w:pPr>
          </w:p>
        </w:tc>
        <w:tc>
          <w:tcPr>
            <w:tcW w:w="1223" w:type="dxa"/>
            <w:vMerge w:val="restart"/>
            <w:vAlign w:val="center"/>
          </w:tcPr>
          <w:p w14:paraId="6B718B4E" w14:textId="77777777" w:rsidR="00955410" w:rsidRPr="001619E9" w:rsidRDefault="00955410" w:rsidP="00BE494F">
            <w:pPr>
              <w:spacing w:line="360" w:lineRule="auto"/>
              <w:jc w:val="center"/>
              <w:rPr>
                <w:color w:val="000000" w:themeColor="text1"/>
              </w:rPr>
            </w:pPr>
            <w:r>
              <w:rPr>
                <w:color w:val="000000" w:themeColor="text1"/>
              </w:rPr>
              <w:t>Stroma</w:t>
            </w:r>
          </w:p>
        </w:tc>
        <w:tc>
          <w:tcPr>
            <w:tcW w:w="1486" w:type="dxa"/>
            <w:vMerge w:val="restart"/>
            <w:vAlign w:val="center"/>
          </w:tcPr>
          <w:p w14:paraId="7DFA28B7" w14:textId="77777777" w:rsidR="00955410" w:rsidRPr="001619E9" w:rsidRDefault="00955410" w:rsidP="00BE494F">
            <w:pPr>
              <w:spacing w:line="360" w:lineRule="auto"/>
              <w:jc w:val="center"/>
              <w:rPr>
                <w:color w:val="000000" w:themeColor="text1"/>
              </w:rPr>
            </w:pPr>
            <w:r>
              <w:rPr>
                <w:color w:val="000000" w:themeColor="text1"/>
              </w:rPr>
              <w:t>86/105</w:t>
            </w:r>
          </w:p>
        </w:tc>
        <w:tc>
          <w:tcPr>
            <w:tcW w:w="982" w:type="dxa"/>
            <w:vMerge w:val="restart"/>
            <w:vAlign w:val="center"/>
          </w:tcPr>
          <w:p w14:paraId="00F8FE94" w14:textId="77777777" w:rsidR="00955410" w:rsidRPr="001619E9" w:rsidRDefault="00955410" w:rsidP="00BE494F">
            <w:pPr>
              <w:spacing w:line="360" w:lineRule="auto"/>
              <w:jc w:val="center"/>
              <w:rPr>
                <w:color w:val="000000" w:themeColor="text1"/>
              </w:rPr>
            </w:pPr>
            <w:r>
              <w:rPr>
                <w:color w:val="000000" w:themeColor="text1"/>
              </w:rPr>
              <w:t>5.0</w:t>
            </w:r>
          </w:p>
        </w:tc>
        <w:tc>
          <w:tcPr>
            <w:tcW w:w="2565" w:type="dxa"/>
          </w:tcPr>
          <w:p w14:paraId="6B4B1E3F" w14:textId="77777777" w:rsidR="00955410" w:rsidRPr="001619E9" w:rsidRDefault="006C2C7A" w:rsidP="00BE494F">
            <w:pPr>
              <w:spacing w:line="360" w:lineRule="auto"/>
              <w:jc w:val="center"/>
              <w:rPr>
                <w:color w:val="000000" w:themeColor="text1"/>
              </w:rPr>
            </w:pPr>
            <w:r>
              <w:rPr>
                <w:color w:val="000000" w:themeColor="text1"/>
              </w:rPr>
              <w:t>pCR vs Others</w:t>
            </w:r>
          </w:p>
        </w:tc>
        <w:tc>
          <w:tcPr>
            <w:tcW w:w="1207" w:type="dxa"/>
          </w:tcPr>
          <w:p w14:paraId="3BD456B7" w14:textId="77777777" w:rsidR="00955410" w:rsidRPr="001619E9" w:rsidRDefault="00955410" w:rsidP="00BE494F">
            <w:pPr>
              <w:spacing w:line="360" w:lineRule="auto"/>
              <w:jc w:val="center"/>
              <w:rPr>
                <w:color w:val="000000" w:themeColor="text1"/>
              </w:rPr>
            </w:pPr>
            <w:r>
              <w:rPr>
                <w:color w:val="000000" w:themeColor="text1"/>
              </w:rPr>
              <w:t>0.472</w:t>
            </w:r>
          </w:p>
        </w:tc>
      </w:tr>
      <w:tr w:rsidR="00955410" w14:paraId="75AD7B0E" w14:textId="77777777" w:rsidTr="006C2C7A">
        <w:trPr>
          <w:trHeight w:val="90"/>
        </w:trPr>
        <w:tc>
          <w:tcPr>
            <w:tcW w:w="1321" w:type="dxa"/>
            <w:vMerge/>
            <w:vAlign w:val="center"/>
          </w:tcPr>
          <w:p w14:paraId="5B5C8390" w14:textId="77777777" w:rsidR="00955410" w:rsidRPr="001619E9" w:rsidRDefault="00955410" w:rsidP="00BE494F">
            <w:pPr>
              <w:spacing w:line="360" w:lineRule="auto"/>
              <w:jc w:val="center"/>
              <w:rPr>
                <w:color w:val="000000" w:themeColor="text1"/>
              </w:rPr>
            </w:pPr>
          </w:p>
        </w:tc>
        <w:tc>
          <w:tcPr>
            <w:tcW w:w="1223" w:type="dxa"/>
            <w:vMerge/>
            <w:vAlign w:val="center"/>
          </w:tcPr>
          <w:p w14:paraId="07300934" w14:textId="77777777" w:rsidR="00955410" w:rsidRDefault="00955410" w:rsidP="00BE494F">
            <w:pPr>
              <w:spacing w:line="360" w:lineRule="auto"/>
              <w:jc w:val="center"/>
              <w:rPr>
                <w:color w:val="000000" w:themeColor="text1"/>
              </w:rPr>
            </w:pPr>
          </w:p>
        </w:tc>
        <w:tc>
          <w:tcPr>
            <w:tcW w:w="1486" w:type="dxa"/>
            <w:vMerge/>
            <w:vAlign w:val="center"/>
          </w:tcPr>
          <w:p w14:paraId="58DDB3DB" w14:textId="77777777" w:rsidR="00955410" w:rsidRDefault="00955410" w:rsidP="00BE494F">
            <w:pPr>
              <w:spacing w:line="360" w:lineRule="auto"/>
              <w:jc w:val="center"/>
              <w:rPr>
                <w:color w:val="000000" w:themeColor="text1"/>
              </w:rPr>
            </w:pPr>
          </w:p>
        </w:tc>
        <w:tc>
          <w:tcPr>
            <w:tcW w:w="982" w:type="dxa"/>
            <w:vMerge/>
            <w:vAlign w:val="center"/>
          </w:tcPr>
          <w:p w14:paraId="4C49B997" w14:textId="77777777" w:rsidR="00955410" w:rsidRDefault="00955410" w:rsidP="00BE494F">
            <w:pPr>
              <w:spacing w:line="360" w:lineRule="auto"/>
              <w:jc w:val="center"/>
              <w:rPr>
                <w:color w:val="000000" w:themeColor="text1"/>
              </w:rPr>
            </w:pPr>
          </w:p>
        </w:tc>
        <w:tc>
          <w:tcPr>
            <w:tcW w:w="2565" w:type="dxa"/>
          </w:tcPr>
          <w:p w14:paraId="4361B850" w14:textId="77777777" w:rsidR="00955410" w:rsidRPr="001619E9" w:rsidRDefault="006C2C7A" w:rsidP="00BE494F">
            <w:pPr>
              <w:spacing w:line="360" w:lineRule="auto"/>
              <w:jc w:val="center"/>
              <w:rPr>
                <w:color w:val="000000" w:themeColor="text1"/>
              </w:rPr>
            </w:pPr>
            <w:r>
              <w:rPr>
                <w:color w:val="000000" w:themeColor="text1"/>
              </w:rPr>
              <w:t>Relative Response</w:t>
            </w:r>
          </w:p>
        </w:tc>
        <w:tc>
          <w:tcPr>
            <w:tcW w:w="1207" w:type="dxa"/>
          </w:tcPr>
          <w:p w14:paraId="16E8A277" w14:textId="77777777" w:rsidR="00955410" w:rsidRPr="001619E9" w:rsidRDefault="00955410" w:rsidP="00BE494F">
            <w:pPr>
              <w:spacing w:line="360" w:lineRule="auto"/>
              <w:jc w:val="center"/>
              <w:rPr>
                <w:color w:val="000000" w:themeColor="text1"/>
              </w:rPr>
            </w:pPr>
            <w:r>
              <w:rPr>
                <w:color w:val="000000" w:themeColor="text1"/>
              </w:rPr>
              <w:t>0.764</w:t>
            </w:r>
          </w:p>
        </w:tc>
      </w:tr>
      <w:tr w:rsidR="00955410" w14:paraId="6D6BEC2B" w14:textId="77777777" w:rsidTr="006C2C7A">
        <w:trPr>
          <w:trHeight w:val="90"/>
        </w:trPr>
        <w:tc>
          <w:tcPr>
            <w:tcW w:w="1321" w:type="dxa"/>
            <w:vMerge/>
            <w:vAlign w:val="center"/>
          </w:tcPr>
          <w:p w14:paraId="1B56C166" w14:textId="77777777" w:rsidR="00955410" w:rsidRPr="001619E9" w:rsidRDefault="00955410" w:rsidP="00BE494F">
            <w:pPr>
              <w:spacing w:line="360" w:lineRule="auto"/>
              <w:jc w:val="center"/>
              <w:rPr>
                <w:color w:val="000000" w:themeColor="text1"/>
              </w:rPr>
            </w:pPr>
          </w:p>
        </w:tc>
        <w:tc>
          <w:tcPr>
            <w:tcW w:w="1223" w:type="dxa"/>
            <w:vMerge/>
            <w:vAlign w:val="center"/>
          </w:tcPr>
          <w:p w14:paraId="6A461C86" w14:textId="77777777" w:rsidR="00955410" w:rsidRDefault="00955410" w:rsidP="00BE494F">
            <w:pPr>
              <w:spacing w:line="360" w:lineRule="auto"/>
              <w:jc w:val="center"/>
              <w:rPr>
                <w:color w:val="000000" w:themeColor="text1"/>
              </w:rPr>
            </w:pPr>
          </w:p>
        </w:tc>
        <w:tc>
          <w:tcPr>
            <w:tcW w:w="1486" w:type="dxa"/>
            <w:vMerge/>
            <w:vAlign w:val="center"/>
          </w:tcPr>
          <w:p w14:paraId="1EC142E8" w14:textId="77777777" w:rsidR="00955410" w:rsidRDefault="00955410" w:rsidP="00BE494F">
            <w:pPr>
              <w:spacing w:line="360" w:lineRule="auto"/>
              <w:jc w:val="center"/>
              <w:rPr>
                <w:color w:val="000000" w:themeColor="text1"/>
              </w:rPr>
            </w:pPr>
          </w:p>
        </w:tc>
        <w:tc>
          <w:tcPr>
            <w:tcW w:w="982" w:type="dxa"/>
            <w:vMerge/>
            <w:vAlign w:val="center"/>
          </w:tcPr>
          <w:p w14:paraId="77308C47" w14:textId="77777777" w:rsidR="00955410" w:rsidRDefault="00955410" w:rsidP="00BE494F">
            <w:pPr>
              <w:spacing w:line="360" w:lineRule="auto"/>
              <w:jc w:val="center"/>
              <w:rPr>
                <w:color w:val="000000" w:themeColor="text1"/>
              </w:rPr>
            </w:pPr>
          </w:p>
        </w:tc>
        <w:tc>
          <w:tcPr>
            <w:tcW w:w="2565" w:type="dxa"/>
          </w:tcPr>
          <w:p w14:paraId="1C82835F" w14:textId="77777777" w:rsidR="00955410" w:rsidRPr="001619E9" w:rsidRDefault="006C2C7A" w:rsidP="00BE494F">
            <w:pPr>
              <w:spacing w:line="360" w:lineRule="auto"/>
              <w:jc w:val="center"/>
              <w:rPr>
                <w:color w:val="000000" w:themeColor="text1"/>
              </w:rPr>
            </w:pPr>
            <w:r>
              <w:rPr>
                <w:color w:val="000000" w:themeColor="text1"/>
              </w:rPr>
              <w:t>Others vs Non-response</w:t>
            </w:r>
          </w:p>
        </w:tc>
        <w:tc>
          <w:tcPr>
            <w:tcW w:w="1207" w:type="dxa"/>
          </w:tcPr>
          <w:p w14:paraId="55F6857D" w14:textId="77777777" w:rsidR="00955410" w:rsidRPr="00752D32" w:rsidRDefault="00955410" w:rsidP="00BE494F">
            <w:pPr>
              <w:spacing w:line="360" w:lineRule="auto"/>
              <w:jc w:val="center"/>
              <w:rPr>
                <w:b/>
                <w:color w:val="000000" w:themeColor="text1"/>
              </w:rPr>
            </w:pPr>
            <w:r w:rsidRPr="00752D32">
              <w:rPr>
                <w:b/>
                <w:color w:val="000000" w:themeColor="text1"/>
              </w:rPr>
              <w:t>0.075</w:t>
            </w:r>
          </w:p>
        </w:tc>
      </w:tr>
      <w:tr w:rsidR="00955410" w14:paraId="7214707D" w14:textId="77777777" w:rsidTr="006C2C7A">
        <w:trPr>
          <w:trHeight w:val="90"/>
        </w:trPr>
        <w:tc>
          <w:tcPr>
            <w:tcW w:w="1321" w:type="dxa"/>
            <w:vMerge w:val="restart"/>
            <w:vAlign w:val="center"/>
          </w:tcPr>
          <w:p w14:paraId="60500CB4" w14:textId="77777777" w:rsidR="00955410" w:rsidRPr="001619E9" w:rsidRDefault="00955410" w:rsidP="00BE494F">
            <w:pPr>
              <w:spacing w:line="360" w:lineRule="auto"/>
              <w:jc w:val="center"/>
              <w:rPr>
                <w:b/>
                <w:color w:val="000000" w:themeColor="text1"/>
              </w:rPr>
            </w:pPr>
            <w:r>
              <w:rPr>
                <w:color w:val="000000" w:themeColor="text1"/>
              </w:rPr>
              <w:t>Cancer Site</w:t>
            </w:r>
          </w:p>
        </w:tc>
        <w:tc>
          <w:tcPr>
            <w:tcW w:w="1223" w:type="dxa"/>
            <w:vMerge w:val="restart"/>
            <w:vAlign w:val="center"/>
          </w:tcPr>
          <w:p w14:paraId="7A04428F" w14:textId="77777777" w:rsidR="00955410" w:rsidRPr="001619E9" w:rsidRDefault="00955410" w:rsidP="00BE494F">
            <w:pPr>
              <w:spacing w:line="360" w:lineRule="auto"/>
              <w:jc w:val="center"/>
              <w:rPr>
                <w:color w:val="000000" w:themeColor="text1"/>
              </w:rPr>
            </w:pPr>
            <w:r>
              <w:rPr>
                <w:color w:val="000000" w:themeColor="text1"/>
              </w:rPr>
              <w:t>Epithelium</w:t>
            </w:r>
          </w:p>
        </w:tc>
        <w:tc>
          <w:tcPr>
            <w:tcW w:w="1486" w:type="dxa"/>
            <w:vMerge w:val="restart"/>
            <w:vAlign w:val="center"/>
          </w:tcPr>
          <w:p w14:paraId="107A5ABE" w14:textId="1ED231E4" w:rsidR="00955410" w:rsidRPr="001619E9" w:rsidRDefault="00F02E55" w:rsidP="00F02E55">
            <w:pPr>
              <w:spacing w:line="360" w:lineRule="auto"/>
              <w:jc w:val="center"/>
              <w:rPr>
                <w:color w:val="000000" w:themeColor="text1"/>
              </w:rPr>
            </w:pPr>
            <w:r>
              <w:rPr>
                <w:color w:val="000000" w:themeColor="text1"/>
              </w:rPr>
              <w:t>68</w:t>
            </w:r>
            <w:r w:rsidR="00955410">
              <w:rPr>
                <w:color w:val="000000" w:themeColor="text1"/>
              </w:rPr>
              <w:t>/89</w:t>
            </w:r>
          </w:p>
        </w:tc>
        <w:tc>
          <w:tcPr>
            <w:tcW w:w="982" w:type="dxa"/>
            <w:vMerge w:val="restart"/>
            <w:vAlign w:val="center"/>
          </w:tcPr>
          <w:p w14:paraId="40F7E8FD" w14:textId="77777777" w:rsidR="00955410" w:rsidRPr="001619E9" w:rsidRDefault="00955410" w:rsidP="00BE494F">
            <w:pPr>
              <w:spacing w:line="360" w:lineRule="auto"/>
              <w:jc w:val="center"/>
              <w:rPr>
                <w:color w:val="000000" w:themeColor="text1"/>
              </w:rPr>
            </w:pPr>
            <w:r>
              <w:rPr>
                <w:color w:val="000000" w:themeColor="text1"/>
              </w:rPr>
              <w:t>5.5</w:t>
            </w:r>
          </w:p>
        </w:tc>
        <w:tc>
          <w:tcPr>
            <w:tcW w:w="2565" w:type="dxa"/>
          </w:tcPr>
          <w:p w14:paraId="01B21412" w14:textId="77777777" w:rsidR="00955410" w:rsidRPr="001619E9" w:rsidRDefault="006C2C7A" w:rsidP="00BE494F">
            <w:pPr>
              <w:spacing w:line="360" w:lineRule="auto"/>
              <w:jc w:val="center"/>
              <w:rPr>
                <w:color w:val="000000" w:themeColor="text1"/>
              </w:rPr>
            </w:pPr>
            <w:r>
              <w:rPr>
                <w:color w:val="000000" w:themeColor="text1"/>
              </w:rPr>
              <w:t>pCR vs Others</w:t>
            </w:r>
          </w:p>
        </w:tc>
        <w:tc>
          <w:tcPr>
            <w:tcW w:w="1207" w:type="dxa"/>
          </w:tcPr>
          <w:p w14:paraId="27B8A812" w14:textId="77777777" w:rsidR="00955410" w:rsidRPr="001619E9" w:rsidRDefault="00955410" w:rsidP="00BE494F">
            <w:pPr>
              <w:spacing w:line="360" w:lineRule="auto"/>
              <w:jc w:val="center"/>
              <w:rPr>
                <w:color w:val="000000" w:themeColor="text1"/>
              </w:rPr>
            </w:pPr>
            <w:r>
              <w:rPr>
                <w:color w:val="000000" w:themeColor="text1"/>
              </w:rPr>
              <w:t>N/A</w:t>
            </w:r>
          </w:p>
        </w:tc>
      </w:tr>
      <w:tr w:rsidR="00955410" w14:paraId="0144AF6F" w14:textId="77777777" w:rsidTr="006C2C7A">
        <w:trPr>
          <w:trHeight w:val="90"/>
        </w:trPr>
        <w:tc>
          <w:tcPr>
            <w:tcW w:w="1321" w:type="dxa"/>
            <w:vMerge/>
            <w:vAlign w:val="center"/>
          </w:tcPr>
          <w:p w14:paraId="152C53DD" w14:textId="77777777" w:rsidR="00955410" w:rsidRDefault="00955410" w:rsidP="00BE494F">
            <w:pPr>
              <w:spacing w:line="360" w:lineRule="auto"/>
              <w:jc w:val="center"/>
              <w:rPr>
                <w:b/>
                <w:color w:val="000000" w:themeColor="text1"/>
              </w:rPr>
            </w:pPr>
          </w:p>
        </w:tc>
        <w:tc>
          <w:tcPr>
            <w:tcW w:w="1223" w:type="dxa"/>
            <w:vMerge/>
            <w:vAlign w:val="center"/>
          </w:tcPr>
          <w:p w14:paraId="609A00DA" w14:textId="77777777" w:rsidR="00955410" w:rsidRDefault="00955410" w:rsidP="00BE494F">
            <w:pPr>
              <w:spacing w:line="360" w:lineRule="auto"/>
              <w:jc w:val="center"/>
              <w:rPr>
                <w:color w:val="000000" w:themeColor="text1"/>
              </w:rPr>
            </w:pPr>
          </w:p>
        </w:tc>
        <w:tc>
          <w:tcPr>
            <w:tcW w:w="1486" w:type="dxa"/>
            <w:vMerge/>
            <w:vAlign w:val="center"/>
          </w:tcPr>
          <w:p w14:paraId="0F1F948C" w14:textId="77777777" w:rsidR="00955410" w:rsidRDefault="00955410" w:rsidP="00BE494F">
            <w:pPr>
              <w:spacing w:line="360" w:lineRule="auto"/>
              <w:jc w:val="center"/>
              <w:rPr>
                <w:color w:val="000000" w:themeColor="text1"/>
              </w:rPr>
            </w:pPr>
          </w:p>
        </w:tc>
        <w:tc>
          <w:tcPr>
            <w:tcW w:w="982" w:type="dxa"/>
            <w:vMerge/>
            <w:vAlign w:val="center"/>
          </w:tcPr>
          <w:p w14:paraId="4992812C" w14:textId="77777777" w:rsidR="00955410" w:rsidRDefault="00955410" w:rsidP="00BE494F">
            <w:pPr>
              <w:spacing w:line="360" w:lineRule="auto"/>
              <w:jc w:val="center"/>
              <w:rPr>
                <w:color w:val="000000" w:themeColor="text1"/>
              </w:rPr>
            </w:pPr>
          </w:p>
        </w:tc>
        <w:tc>
          <w:tcPr>
            <w:tcW w:w="2565" w:type="dxa"/>
          </w:tcPr>
          <w:p w14:paraId="1472454F" w14:textId="77777777" w:rsidR="00955410" w:rsidRPr="001619E9" w:rsidRDefault="006C2C7A" w:rsidP="00BE494F">
            <w:pPr>
              <w:spacing w:line="360" w:lineRule="auto"/>
              <w:jc w:val="center"/>
              <w:rPr>
                <w:color w:val="000000" w:themeColor="text1"/>
              </w:rPr>
            </w:pPr>
            <w:r>
              <w:rPr>
                <w:color w:val="000000" w:themeColor="text1"/>
              </w:rPr>
              <w:t>Relative Response</w:t>
            </w:r>
          </w:p>
        </w:tc>
        <w:tc>
          <w:tcPr>
            <w:tcW w:w="1207" w:type="dxa"/>
          </w:tcPr>
          <w:p w14:paraId="7ED9B6BF" w14:textId="77777777" w:rsidR="00955410" w:rsidRPr="001619E9" w:rsidRDefault="00955410" w:rsidP="00BE494F">
            <w:pPr>
              <w:spacing w:line="360" w:lineRule="auto"/>
              <w:jc w:val="center"/>
              <w:rPr>
                <w:color w:val="000000" w:themeColor="text1"/>
              </w:rPr>
            </w:pPr>
            <w:r>
              <w:rPr>
                <w:color w:val="000000" w:themeColor="text1"/>
              </w:rPr>
              <w:t>0.506</w:t>
            </w:r>
          </w:p>
        </w:tc>
      </w:tr>
      <w:tr w:rsidR="00955410" w14:paraId="274CE118" w14:textId="77777777" w:rsidTr="006C2C7A">
        <w:trPr>
          <w:trHeight w:val="90"/>
        </w:trPr>
        <w:tc>
          <w:tcPr>
            <w:tcW w:w="1321" w:type="dxa"/>
            <w:vMerge/>
            <w:vAlign w:val="center"/>
          </w:tcPr>
          <w:p w14:paraId="430AD41F" w14:textId="77777777" w:rsidR="00955410" w:rsidRDefault="00955410" w:rsidP="00BE494F">
            <w:pPr>
              <w:spacing w:line="360" w:lineRule="auto"/>
              <w:jc w:val="center"/>
              <w:rPr>
                <w:b/>
                <w:color w:val="000000" w:themeColor="text1"/>
              </w:rPr>
            </w:pPr>
          </w:p>
        </w:tc>
        <w:tc>
          <w:tcPr>
            <w:tcW w:w="1223" w:type="dxa"/>
            <w:vMerge/>
            <w:vAlign w:val="center"/>
          </w:tcPr>
          <w:p w14:paraId="117875D8" w14:textId="77777777" w:rsidR="00955410" w:rsidRDefault="00955410" w:rsidP="00BE494F">
            <w:pPr>
              <w:spacing w:line="360" w:lineRule="auto"/>
              <w:jc w:val="center"/>
              <w:rPr>
                <w:color w:val="000000" w:themeColor="text1"/>
              </w:rPr>
            </w:pPr>
          </w:p>
        </w:tc>
        <w:tc>
          <w:tcPr>
            <w:tcW w:w="1486" w:type="dxa"/>
            <w:vMerge/>
            <w:vAlign w:val="center"/>
          </w:tcPr>
          <w:p w14:paraId="554D9079" w14:textId="77777777" w:rsidR="00955410" w:rsidRDefault="00955410" w:rsidP="00BE494F">
            <w:pPr>
              <w:spacing w:line="360" w:lineRule="auto"/>
              <w:jc w:val="center"/>
              <w:rPr>
                <w:color w:val="000000" w:themeColor="text1"/>
              </w:rPr>
            </w:pPr>
          </w:p>
        </w:tc>
        <w:tc>
          <w:tcPr>
            <w:tcW w:w="982" w:type="dxa"/>
            <w:vMerge/>
            <w:vAlign w:val="center"/>
          </w:tcPr>
          <w:p w14:paraId="1BAC43DB" w14:textId="77777777" w:rsidR="00955410" w:rsidRDefault="00955410" w:rsidP="00BE494F">
            <w:pPr>
              <w:spacing w:line="360" w:lineRule="auto"/>
              <w:jc w:val="center"/>
              <w:rPr>
                <w:color w:val="000000" w:themeColor="text1"/>
              </w:rPr>
            </w:pPr>
          </w:p>
        </w:tc>
        <w:tc>
          <w:tcPr>
            <w:tcW w:w="2565" w:type="dxa"/>
          </w:tcPr>
          <w:p w14:paraId="3AB3F07E" w14:textId="77777777" w:rsidR="00955410" w:rsidRPr="001619E9" w:rsidRDefault="006C2C7A" w:rsidP="00BE494F">
            <w:pPr>
              <w:spacing w:line="360" w:lineRule="auto"/>
              <w:jc w:val="center"/>
              <w:rPr>
                <w:color w:val="000000" w:themeColor="text1"/>
              </w:rPr>
            </w:pPr>
            <w:r>
              <w:rPr>
                <w:color w:val="000000" w:themeColor="text1"/>
              </w:rPr>
              <w:t>Others vs Non-response</w:t>
            </w:r>
          </w:p>
        </w:tc>
        <w:tc>
          <w:tcPr>
            <w:tcW w:w="1207" w:type="dxa"/>
          </w:tcPr>
          <w:p w14:paraId="241DD3A3" w14:textId="77777777" w:rsidR="00955410" w:rsidRPr="001619E9" w:rsidRDefault="00955410" w:rsidP="00BE494F">
            <w:pPr>
              <w:spacing w:line="360" w:lineRule="auto"/>
              <w:jc w:val="center"/>
              <w:rPr>
                <w:color w:val="000000" w:themeColor="text1"/>
              </w:rPr>
            </w:pPr>
            <w:r>
              <w:rPr>
                <w:color w:val="000000" w:themeColor="text1"/>
              </w:rPr>
              <w:t>0.487</w:t>
            </w:r>
          </w:p>
        </w:tc>
      </w:tr>
      <w:tr w:rsidR="00955410" w14:paraId="5C1E2ADB" w14:textId="77777777" w:rsidTr="006C2C7A">
        <w:trPr>
          <w:trHeight w:val="90"/>
        </w:trPr>
        <w:tc>
          <w:tcPr>
            <w:tcW w:w="1321" w:type="dxa"/>
            <w:vMerge/>
            <w:vAlign w:val="center"/>
          </w:tcPr>
          <w:p w14:paraId="4B641721" w14:textId="77777777" w:rsidR="00955410" w:rsidRPr="001619E9" w:rsidRDefault="00955410" w:rsidP="00BE494F">
            <w:pPr>
              <w:spacing w:line="360" w:lineRule="auto"/>
              <w:jc w:val="center"/>
              <w:rPr>
                <w:b/>
                <w:color w:val="000000" w:themeColor="text1"/>
              </w:rPr>
            </w:pPr>
          </w:p>
        </w:tc>
        <w:tc>
          <w:tcPr>
            <w:tcW w:w="1223" w:type="dxa"/>
            <w:vMerge w:val="restart"/>
            <w:vAlign w:val="center"/>
          </w:tcPr>
          <w:p w14:paraId="59D83CC8" w14:textId="77777777" w:rsidR="00955410" w:rsidRPr="001619E9" w:rsidRDefault="00955410" w:rsidP="00BE494F">
            <w:pPr>
              <w:spacing w:line="360" w:lineRule="auto"/>
              <w:jc w:val="center"/>
              <w:rPr>
                <w:color w:val="000000" w:themeColor="text1"/>
              </w:rPr>
            </w:pPr>
            <w:r>
              <w:rPr>
                <w:color w:val="000000" w:themeColor="text1"/>
              </w:rPr>
              <w:t>Stroma</w:t>
            </w:r>
          </w:p>
        </w:tc>
        <w:tc>
          <w:tcPr>
            <w:tcW w:w="1486" w:type="dxa"/>
            <w:vMerge w:val="restart"/>
            <w:vAlign w:val="center"/>
          </w:tcPr>
          <w:p w14:paraId="57A09ECB" w14:textId="77777777" w:rsidR="00955410" w:rsidRPr="001619E9" w:rsidRDefault="00955410" w:rsidP="00BE494F">
            <w:pPr>
              <w:spacing w:line="360" w:lineRule="auto"/>
              <w:jc w:val="center"/>
              <w:rPr>
                <w:color w:val="000000" w:themeColor="text1"/>
              </w:rPr>
            </w:pPr>
            <w:r>
              <w:rPr>
                <w:color w:val="000000" w:themeColor="text1"/>
              </w:rPr>
              <w:t>105/111</w:t>
            </w:r>
          </w:p>
        </w:tc>
        <w:tc>
          <w:tcPr>
            <w:tcW w:w="982" w:type="dxa"/>
            <w:vMerge w:val="restart"/>
            <w:vAlign w:val="center"/>
          </w:tcPr>
          <w:p w14:paraId="47F8BF4B" w14:textId="77777777" w:rsidR="00955410" w:rsidRPr="001619E9" w:rsidRDefault="00955410" w:rsidP="00BE494F">
            <w:pPr>
              <w:spacing w:line="360" w:lineRule="auto"/>
              <w:jc w:val="center"/>
              <w:rPr>
                <w:color w:val="000000" w:themeColor="text1"/>
              </w:rPr>
            </w:pPr>
            <w:r>
              <w:rPr>
                <w:color w:val="000000" w:themeColor="text1"/>
              </w:rPr>
              <w:t>4.0</w:t>
            </w:r>
          </w:p>
        </w:tc>
        <w:tc>
          <w:tcPr>
            <w:tcW w:w="2565" w:type="dxa"/>
          </w:tcPr>
          <w:p w14:paraId="2CCF6927" w14:textId="77777777" w:rsidR="00955410" w:rsidRPr="001619E9" w:rsidRDefault="006C2C7A" w:rsidP="00BE494F">
            <w:pPr>
              <w:spacing w:line="360" w:lineRule="auto"/>
              <w:jc w:val="center"/>
              <w:rPr>
                <w:color w:val="000000" w:themeColor="text1"/>
              </w:rPr>
            </w:pPr>
            <w:r>
              <w:rPr>
                <w:color w:val="000000" w:themeColor="text1"/>
              </w:rPr>
              <w:t>pCR vs Others</w:t>
            </w:r>
          </w:p>
        </w:tc>
        <w:tc>
          <w:tcPr>
            <w:tcW w:w="1207" w:type="dxa"/>
          </w:tcPr>
          <w:p w14:paraId="2C01CCE5" w14:textId="77777777" w:rsidR="00955410" w:rsidRPr="00752D32" w:rsidRDefault="00955410" w:rsidP="00BE494F">
            <w:pPr>
              <w:spacing w:line="360" w:lineRule="auto"/>
              <w:jc w:val="center"/>
              <w:rPr>
                <w:b/>
                <w:color w:val="000000" w:themeColor="text1"/>
              </w:rPr>
            </w:pPr>
            <w:r w:rsidRPr="00752D32">
              <w:rPr>
                <w:b/>
                <w:color w:val="000000" w:themeColor="text1"/>
              </w:rPr>
              <w:t>0.003</w:t>
            </w:r>
          </w:p>
        </w:tc>
      </w:tr>
      <w:tr w:rsidR="00955410" w14:paraId="4D573DB7" w14:textId="77777777" w:rsidTr="006C2C7A">
        <w:trPr>
          <w:trHeight w:val="90"/>
        </w:trPr>
        <w:tc>
          <w:tcPr>
            <w:tcW w:w="1321" w:type="dxa"/>
            <w:vMerge/>
            <w:vAlign w:val="center"/>
          </w:tcPr>
          <w:p w14:paraId="0C5F0035" w14:textId="77777777" w:rsidR="00955410" w:rsidRPr="001619E9" w:rsidRDefault="00955410" w:rsidP="00BE494F">
            <w:pPr>
              <w:spacing w:line="360" w:lineRule="auto"/>
              <w:jc w:val="center"/>
              <w:rPr>
                <w:color w:val="000000" w:themeColor="text1"/>
              </w:rPr>
            </w:pPr>
          </w:p>
        </w:tc>
        <w:tc>
          <w:tcPr>
            <w:tcW w:w="1223" w:type="dxa"/>
            <w:vMerge/>
            <w:vAlign w:val="center"/>
          </w:tcPr>
          <w:p w14:paraId="3397B344" w14:textId="77777777" w:rsidR="00955410" w:rsidRDefault="00955410" w:rsidP="00BE494F">
            <w:pPr>
              <w:spacing w:line="360" w:lineRule="auto"/>
              <w:jc w:val="center"/>
              <w:rPr>
                <w:color w:val="000000" w:themeColor="text1"/>
              </w:rPr>
            </w:pPr>
          </w:p>
        </w:tc>
        <w:tc>
          <w:tcPr>
            <w:tcW w:w="1486" w:type="dxa"/>
            <w:vMerge/>
            <w:vAlign w:val="center"/>
          </w:tcPr>
          <w:p w14:paraId="5DC51284" w14:textId="77777777" w:rsidR="00955410" w:rsidRDefault="00955410" w:rsidP="00BE494F">
            <w:pPr>
              <w:spacing w:line="360" w:lineRule="auto"/>
              <w:jc w:val="center"/>
              <w:rPr>
                <w:color w:val="000000" w:themeColor="text1"/>
              </w:rPr>
            </w:pPr>
          </w:p>
        </w:tc>
        <w:tc>
          <w:tcPr>
            <w:tcW w:w="982" w:type="dxa"/>
            <w:vMerge/>
            <w:vAlign w:val="center"/>
          </w:tcPr>
          <w:p w14:paraId="6C64317C" w14:textId="77777777" w:rsidR="00955410" w:rsidRDefault="00955410" w:rsidP="00BE494F">
            <w:pPr>
              <w:spacing w:line="360" w:lineRule="auto"/>
              <w:jc w:val="center"/>
              <w:rPr>
                <w:color w:val="000000" w:themeColor="text1"/>
              </w:rPr>
            </w:pPr>
          </w:p>
        </w:tc>
        <w:tc>
          <w:tcPr>
            <w:tcW w:w="2565" w:type="dxa"/>
          </w:tcPr>
          <w:p w14:paraId="5ACB5296" w14:textId="77777777" w:rsidR="00955410" w:rsidRPr="001619E9" w:rsidRDefault="006C2C7A" w:rsidP="00BE494F">
            <w:pPr>
              <w:spacing w:line="360" w:lineRule="auto"/>
              <w:jc w:val="center"/>
              <w:rPr>
                <w:color w:val="000000" w:themeColor="text1"/>
              </w:rPr>
            </w:pPr>
            <w:r>
              <w:rPr>
                <w:color w:val="000000" w:themeColor="text1"/>
              </w:rPr>
              <w:t>Relative Response</w:t>
            </w:r>
          </w:p>
        </w:tc>
        <w:tc>
          <w:tcPr>
            <w:tcW w:w="1207" w:type="dxa"/>
          </w:tcPr>
          <w:p w14:paraId="452C3E1A" w14:textId="77777777" w:rsidR="00955410" w:rsidRPr="00752D32" w:rsidRDefault="00955410" w:rsidP="00BE494F">
            <w:pPr>
              <w:spacing w:line="360" w:lineRule="auto"/>
              <w:jc w:val="center"/>
              <w:rPr>
                <w:b/>
                <w:color w:val="000000" w:themeColor="text1"/>
              </w:rPr>
            </w:pPr>
            <w:r>
              <w:rPr>
                <w:b/>
                <w:color w:val="000000" w:themeColor="text1"/>
              </w:rPr>
              <w:t>0.048</w:t>
            </w:r>
          </w:p>
        </w:tc>
      </w:tr>
      <w:tr w:rsidR="00955410" w14:paraId="58CB2A29" w14:textId="77777777" w:rsidTr="006C2C7A">
        <w:trPr>
          <w:trHeight w:val="90"/>
        </w:trPr>
        <w:tc>
          <w:tcPr>
            <w:tcW w:w="1321" w:type="dxa"/>
            <w:vMerge/>
            <w:vAlign w:val="center"/>
          </w:tcPr>
          <w:p w14:paraId="26E78041" w14:textId="77777777" w:rsidR="00955410" w:rsidRPr="001619E9" w:rsidRDefault="00955410" w:rsidP="00BE494F">
            <w:pPr>
              <w:spacing w:line="360" w:lineRule="auto"/>
              <w:jc w:val="center"/>
              <w:rPr>
                <w:color w:val="000000" w:themeColor="text1"/>
              </w:rPr>
            </w:pPr>
          </w:p>
        </w:tc>
        <w:tc>
          <w:tcPr>
            <w:tcW w:w="1223" w:type="dxa"/>
            <w:vMerge/>
            <w:vAlign w:val="center"/>
          </w:tcPr>
          <w:p w14:paraId="1A30113C" w14:textId="77777777" w:rsidR="00955410" w:rsidRDefault="00955410" w:rsidP="00BE494F">
            <w:pPr>
              <w:spacing w:line="360" w:lineRule="auto"/>
              <w:jc w:val="center"/>
              <w:rPr>
                <w:color w:val="000000" w:themeColor="text1"/>
              </w:rPr>
            </w:pPr>
          </w:p>
        </w:tc>
        <w:tc>
          <w:tcPr>
            <w:tcW w:w="1486" w:type="dxa"/>
            <w:vMerge/>
            <w:vAlign w:val="center"/>
          </w:tcPr>
          <w:p w14:paraId="4111F98C" w14:textId="77777777" w:rsidR="00955410" w:rsidRDefault="00955410" w:rsidP="00BE494F">
            <w:pPr>
              <w:spacing w:line="360" w:lineRule="auto"/>
              <w:jc w:val="center"/>
              <w:rPr>
                <w:color w:val="000000" w:themeColor="text1"/>
              </w:rPr>
            </w:pPr>
          </w:p>
        </w:tc>
        <w:tc>
          <w:tcPr>
            <w:tcW w:w="982" w:type="dxa"/>
            <w:vMerge/>
            <w:vAlign w:val="center"/>
          </w:tcPr>
          <w:p w14:paraId="699F4606" w14:textId="77777777" w:rsidR="00955410" w:rsidRDefault="00955410" w:rsidP="00BE494F">
            <w:pPr>
              <w:spacing w:line="360" w:lineRule="auto"/>
              <w:jc w:val="center"/>
              <w:rPr>
                <w:color w:val="000000" w:themeColor="text1"/>
              </w:rPr>
            </w:pPr>
          </w:p>
        </w:tc>
        <w:tc>
          <w:tcPr>
            <w:tcW w:w="2565" w:type="dxa"/>
          </w:tcPr>
          <w:p w14:paraId="1E4E500A" w14:textId="77777777" w:rsidR="00955410" w:rsidRPr="001619E9" w:rsidRDefault="006C2C7A" w:rsidP="00BE494F">
            <w:pPr>
              <w:spacing w:line="360" w:lineRule="auto"/>
              <w:jc w:val="center"/>
              <w:rPr>
                <w:color w:val="000000" w:themeColor="text1"/>
              </w:rPr>
            </w:pPr>
            <w:r>
              <w:rPr>
                <w:color w:val="000000" w:themeColor="text1"/>
              </w:rPr>
              <w:t>Others vs Non-response</w:t>
            </w:r>
          </w:p>
        </w:tc>
        <w:tc>
          <w:tcPr>
            <w:tcW w:w="1207" w:type="dxa"/>
          </w:tcPr>
          <w:p w14:paraId="3D614CC6" w14:textId="77777777" w:rsidR="00955410" w:rsidRPr="00752D32" w:rsidRDefault="00955410" w:rsidP="00BE494F">
            <w:pPr>
              <w:spacing w:line="360" w:lineRule="auto"/>
              <w:jc w:val="center"/>
              <w:rPr>
                <w:b/>
                <w:color w:val="000000" w:themeColor="text1"/>
              </w:rPr>
            </w:pPr>
            <w:r>
              <w:rPr>
                <w:b/>
                <w:color w:val="000000" w:themeColor="text1"/>
              </w:rPr>
              <w:t>0.017</w:t>
            </w:r>
          </w:p>
        </w:tc>
      </w:tr>
      <w:tr w:rsidR="00955410" w14:paraId="186164F5" w14:textId="77777777" w:rsidTr="006C2C7A">
        <w:trPr>
          <w:trHeight w:val="90"/>
        </w:trPr>
        <w:tc>
          <w:tcPr>
            <w:tcW w:w="1321" w:type="dxa"/>
            <w:vMerge w:val="restart"/>
            <w:vAlign w:val="center"/>
          </w:tcPr>
          <w:p w14:paraId="051D45C2" w14:textId="77777777" w:rsidR="00955410" w:rsidRPr="001619E9" w:rsidRDefault="00955410" w:rsidP="00BE494F">
            <w:pPr>
              <w:spacing w:line="360" w:lineRule="auto"/>
              <w:jc w:val="center"/>
              <w:rPr>
                <w:b/>
                <w:color w:val="000000" w:themeColor="text1"/>
              </w:rPr>
            </w:pPr>
            <w:r>
              <w:rPr>
                <w:color w:val="000000" w:themeColor="text1"/>
              </w:rPr>
              <w:t>Normal Colon</w:t>
            </w:r>
          </w:p>
        </w:tc>
        <w:tc>
          <w:tcPr>
            <w:tcW w:w="1223" w:type="dxa"/>
            <w:vMerge w:val="restart"/>
            <w:vAlign w:val="center"/>
          </w:tcPr>
          <w:p w14:paraId="4F09D54E" w14:textId="77777777" w:rsidR="00955410" w:rsidRPr="001619E9" w:rsidRDefault="00955410" w:rsidP="00BE494F">
            <w:pPr>
              <w:spacing w:line="360" w:lineRule="auto"/>
              <w:jc w:val="center"/>
              <w:rPr>
                <w:color w:val="000000" w:themeColor="text1"/>
              </w:rPr>
            </w:pPr>
            <w:r>
              <w:rPr>
                <w:color w:val="000000" w:themeColor="text1"/>
              </w:rPr>
              <w:t>Epithelium</w:t>
            </w:r>
          </w:p>
        </w:tc>
        <w:tc>
          <w:tcPr>
            <w:tcW w:w="1486" w:type="dxa"/>
            <w:vMerge w:val="restart"/>
            <w:vAlign w:val="center"/>
          </w:tcPr>
          <w:p w14:paraId="4748E328" w14:textId="77777777" w:rsidR="00955410" w:rsidRPr="001619E9" w:rsidRDefault="00955410" w:rsidP="00BE494F">
            <w:pPr>
              <w:spacing w:line="360" w:lineRule="auto"/>
              <w:jc w:val="center"/>
              <w:rPr>
                <w:color w:val="000000" w:themeColor="text1"/>
              </w:rPr>
            </w:pPr>
            <w:r>
              <w:rPr>
                <w:color w:val="000000" w:themeColor="text1"/>
              </w:rPr>
              <w:t>107/111</w:t>
            </w:r>
          </w:p>
        </w:tc>
        <w:tc>
          <w:tcPr>
            <w:tcW w:w="982" w:type="dxa"/>
            <w:vMerge w:val="restart"/>
            <w:vAlign w:val="center"/>
          </w:tcPr>
          <w:p w14:paraId="523F5CDB" w14:textId="77777777" w:rsidR="00955410" w:rsidRPr="001619E9" w:rsidRDefault="00955410" w:rsidP="00BE494F">
            <w:pPr>
              <w:spacing w:line="360" w:lineRule="auto"/>
              <w:jc w:val="center"/>
              <w:rPr>
                <w:color w:val="000000" w:themeColor="text1"/>
              </w:rPr>
            </w:pPr>
            <w:r>
              <w:rPr>
                <w:color w:val="000000" w:themeColor="text1"/>
              </w:rPr>
              <w:t>6.5</w:t>
            </w:r>
          </w:p>
        </w:tc>
        <w:tc>
          <w:tcPr>
            <w:tcW w:w="2565" w:type="dxa"/>
          </w:tcPr>
          <w:p w14:paraId="63DA29E7" w14:textId="77777777" w:rsidR="00955410" w:rsidRPr="001619E9" w:rsidRDefault="006C2C7A" w:rsidP="00BE494F">
            <w:pPr>
              <w:spacing w:line="360" w:lineRule="auto"/>
              <w:jc w:val="center"/>
              <w:rPr>
                <w:color w:val="000000" w:themeColor="text1"/>
              </w:rPr>
            </w:pPr>
            <w:r>
              <w:rPr>
                <w:color w:val="000000" w:themeColor="text1"/>
              </w:rPr>
              <w:t>pCR vs Others</w:t>
            </w:r>
          </w:p>
        </w:tc>
        <w:tc>
          <w:tcPr>
            <w:tcW w:w="1207" w:type="dxa"/>
          </w:tcPr>
          <w:p w14:paraId="438675C8" w14:textId="77777777" w:rsidR="00955410" w:rsidRPr="001619E9" w:rsidRDefault="00955410" w:rsidP="00BE494F">
            <w:pPr>
              <w:spacing w:line="360" w:lineRule="auto"/>
              <w:jc w:val="center"/>
              <w:rPr>
                <w:color w:val="000000" w:themeColor="text1"/>
              </w:rPr>
            </w:pPr>
            <w:r>
              <w:rPr>
                <w:color w:val="000000" w:themeColor="text1"/>
              </w:rPr>
              <w:t>0.816</w:t>
            </w:r>
          </w:p>
        </w:tc>
      </w:tr>
      <w:tr w:rsidR="00955410" w14:paraId="5B0299D9" w14:textId="77777777" w:rsidTr="006C2C7A">
        <w:trPr>
          <w:trHeight w:val="90"/>
        </w:trPr>
        <w:tc>
          <w:tcPr>
            <w:tcW w:w="1321" w:type="dxa"/>
            <w:vMerge/>
          </w:tcPr>
          <w:p w14:paraId="6B6AC2AC" w14:textId="77777777" w:rsidR="00955410" w:rsidRDefault="00955410" w:rsidP="00BE494F">
            <w:pPr>
              <w:spacing w:line="360" w:lineRule="auto"/>
              <w:jc w:val="center"/>
              <w:rPr>
                <w:b/>
                <w:color w:val="000000" w:themeColor="text1"/>
              </w:rPr>
            </w:pPr>
          </w:p>
        </w:tc>
        <w:tc>
          <w:tcPr>
            <w:tcW w:w="1223" w:type="dxa"/>
            <w:vMerge/>
          </w:tcPr>
          <w:p w14:paraId="79BB3F1C" w14:textId="77777777" w:rsidR="00955410" w:rsidRDefault="00955410" w:rsidP="00BE494F">
            <w:pPr>
              <w:spacing w:line="360" w:lineRule="auto"/>
              <w:jc w:val="center"/>
              <w:rPr>
                <w:color w:val="000000" w:themeColor="text1"/>
              </w:rPr>
            </w:pPr>
          </w:p>
        </w:tc>
        <w:tc>
          <w:tcPr>
            <w:tcW w:w="1486" w:type="dxa"/>
            <w:vMerge/>
          </w:tcPr>
          <w:p w14:paraId="1F71147A" w14:textId="77777777" w:rsidR="00955410" w:rsidRDefault="00955410" w:rsidP="00BE494F">
            <w:pPr>
              <w:spacing w:line="360" w:lineRule="auto"/>
              <w:jc w:val="center"/>
              <w:rPr>
                <w:color w:val="000000" w:themeColor="text1"/>
              </w:rPr>
            </w:pPr>
          </w:p>
        </w:tc>
        <w:tc>
          <w:tcPr>
            <w:tcW w:w="982" w:type="dxa"/>
            <w:vMerge/>
          </w:tcPr>
          <w:p w14:paraId="502B572C" w14:textId="77777777" w:rsidR="00955410" w:rsidRDefault="00955410" w:rsidP="00BE494F">
            <w:pPr>
              <w:spacing w:line="360" w:lineRule="auto"/>
              <w:jc w:val="center"/>
              <w:rPr>
                <w:color w:val="000000" w:themeColor="text1"/>
              </w:rPr>
            </w:pPr>
          </w:p>
        </w:tc>
        <w:tc>
          <w:tcPr>
            <w:tcW w:w="2565" w:type="dxa"/>
          </w:tcPr>
          <w:p w14:paraId="29BC1E6F" w14:textId="77777777" w:rsidR="00955410" w:rsidRPr="001619E9" w:rsidRDefault="006C2C7A" w:rsidP="00BE494F">
            <w:pPr>
              <w:spacing w:line="360" w:lineRule="auto"/>
              <w:jc w:val="center"/>
              <w:rPr>
                <w:color w:val="000000" w:themeColor="text1"/>
              </w:rPr>
            </w:pPr>
            <w:r>
              <w:rPr>
                <w:color w:val="000000" w:themeColor="text1"/>
              </w:rPr>
              <w:t>Relative Response</w:t>
            </w:r>
          </w:p>
        </w:tc>
        <w:tc>
          <w:tcPr>
            <w:tcW w:w="1207" w:type="dxa"/>
          </w:tcPr>
          <w:p w14:paraId="30E84DEF" w14:textId="77777777" w:rsidR="00955410" w:rsidRPr="001619E9" w:rsidRDefault="00955410" w:rsidP="00BE494F">
            <w:pPr>
              <w:spacing w:line="360" w:lineRule="auto"/>
              <w:jc w:val="center"/>
              <w:rPr>
                <w:color w:val="000000" w:themeColor="text1"/>
              </w:rPr>
            </w:pPr>
            <w:r>
              <w:rPr>
                <w:color w:val="000000" w:themeColor="text1"/>
              </w:rPr>
              <w:t>0.196</w:t>
            </w:r>
          </w:p>
        </w:tc>
      </w:tr>
      <w:tr w:rsidR="00955410" w14:paraId="47A3936D" w14:textId="77777777" w:rsidTr="006C2C7A">
        <w:trPr>
          <w:trHeight w:val="90"/>
        </w:trPr>
        <w:tc>
          <w:tcPr>
            <w:tcW w:w="1321" w:type="dxa"/>
            <w:vMerge/>
          </w:tcPr>
          <w:p w14:paraId="0DD4F360" w14:textId="77777777" w:rsidR="00955410" w:rsidRDefault="00955410" w:rsidP="00BE494F">
            <w:pPr>
              <w:spacing w:line="360" w:lineRule="auto"/>
              <w:jc w:val="center"/>
              <w:rPr>
                <w:b/>
                <w:color w:val="000000" w:themeColor="text1"/>
              </w:rPr>
            </w:pPr>
          </w:p>
        </w:tc>
        <w:tc>
          <w:tcPr>
            <w:tcW w:w="1223" w:type="dxa"/>
            <w:vMerge/>
          </w:tcPr>
          <w:p w14:paraId="3D895FAD" w14:textId="77777777" w:rsidR="00955410" w:rsidRDefault="00955410" w:rsidP="00BE494F">
            <w:pPr>
              <w:spacing w:line="360" w:lineRule="auto"/>
              <w:jc w:val="center"/>
              <w:rPr>
                <w:color w:val="000000" w:themeColor="text1"/>
              </w:rPr>
            </w:pPr>
          </w:p>
        </w:tc>
        <w:tc>
          <w:tcPr>
            <w:tcW w:w="1486" w:type="dxa"/>
            <w:vMerge/>
          </w:tcPr>
          <w:p w14:paraId="5A28335B" w14:textId="77777777" w:rsidR="00955410" w:rsidRDefault="00955410" w:rsidP="00BE494F">
            <w:pPr>
              <w:spacing w:line="360" w:lineRule="auto"/>
              <w:jc w:val="center"/>
              <w:rPr>
                <w:color w:val="000000" w:themeColor="text1"/>
              </w:rPr>
            </w:pPr>
          </w:p>
        </w:tc>
        <w:tc>
          <w:tcPr>
            <w:tcW w:w="982" w:type="dxa"/>
            <w:vMerge/>
          </w:tcPr>
          <w:p w14:paraId="53471D26" w14:textId="77777777" w:rsidR="00955410" w:rsidRDefault="00955410" w:rsidP="00BE494F">
            <w:pPr>
              <w:spacing w:line="360" w:lineRule="auto"/>
              <w:jc w:val="center"/>
              <w:rPr>
                <w:color w:val="000000" w:themeColor="text1"/>
              </w:rPr>
            </w:pPr>
          </w:p>
        </w:tc>
        <w:tc>
          <w:tcPr>
            <w:tcW w:w="2565" w:type="dxa"/>
          </w:tcPr>
          <w:p w14:paraId="6A3614A4" w14:textId="77777777" w:rsidR="00955410" w:rsidRPr="001619E9" w:rsidRDefault="006C2C7A" w:rsidP="00BE494F">
            <w:pPr>
              <w:spacing w:line="360" w:lineRule="auto"/>
              <w:jc w:val="center"/>
              <w:rPr>
                <w:color w:val="000000" w:themeColor="text1"/>
              </w:rPr>
            </w:pPr>
            <w:r>
              <w:rPr>
                <w:color w:val="000000" w:themeColor="text1"/>
              </w:rPr>
              <w:t>Others vs Non-response</w:t>
            </w:r>
          </w:p>
        </w:tc>
        <w:tc>
          <w:tcPr>
            <w:tcW w:w="1207" w:type="dxa"/>
          </w:tcPr>
          <w:p w14:paraId="37C2CF9D" w14:textId="77777777" w:rsidR="00955410" w:rsidRPr="00752D32" w:rsidRDefault="00955410" w:rsidP="00BE494F">
            <w:pPr>
              <w:spacing w:line="360" w:lineRule="auto"/>
              <w:jc w:val="center"/>
              <w:rPr>
                <w:b/>
                <w:color w:val="000000" w:themeColor="text1"/>
              </w:rPr>
            </w:pPr>
            <w:r>
              <w:rPr>
                <w:b/>
                <w:color w:val="000000" w:themeColor="text1"/>
              </w:rPr>
              <w:t>0.012</w:t>
            </w:r>
          </w:p>
        </w:tc>
      </w:tr>
    </w:tbl>
    <w:p w14:paraId="695B8AD2" w14:textId="77777777" w:rsidR="00BE494F" w:rsidRDefault="00BE494F" w:rsidP="00631474">
      <w:pPr>
        <w:spacing w:line="480" w:lineRule="auto"/>
        <w:jc w:val="center"/>
        <w:rPr>
          <w:sz w:val="20"/>
          <w:szCs w:val="20"/>
        </w:rPr>
      </w:pPr>
    </w:p>
    <w:p w14:paraId="77E98C67" w14:textId="77777777" w:rsidR="000F3197" w:rsidRDefault="006C2C7A" w:rsidP="00631474">
      <w:pPr>
        <w:spacing w:line="480" w:lineRule="auto"/>
        <w:jc w:val="center"/>
        <w:rPr>
          <w:sz w:val="20"/>
          <w:szCs w:val="20"/>
        </w:rPr>
      </w:pPr>
      <w:r>
        <w:rPr>
          <w:sz w:val="20"/>
          <w:szCs w:val="20"/>
        </w:rPr>
        <w:t>Each tissue assessed</w:t>
      </w:r>
      <w:r w:rsidR="00955410" w:rsidRPr="00955410">
        <w:rPr>
          <w:sz w:val="20"/>
          <w:szCs w:val="20"/>
        </w:rPr>
        <w:t xml:space="preserve"> (diagnostic biopsy, </w:t>
      </w:r>
      <w:r w:rsidR="008029F4">
        <w:rPr>
          <w:sz w:val="20"/>
          <w:szCs w:val="20"/>
        </w:rPr>
        <w:t xml:space="preserve">resection </w:t>
      </w:r>
      <w:r w:rsidR="00F2753E">
        <w:rPr>
          <w:sz w:val="20"/>
          <w:szCs w:val="20"/>
        </w:rPr>
        <w:t xml:space="preserve">specimen </w:t>
      </w:r>
      <w:r w:rsidR="00955410" w:rsidRPr="00955410">
        <w:rPr>
          <w:sz w:val="20"/>
          <w:szCs w:val="20"/>
        </w:rPr>
        <w:t>cancer site or normal colon) and subset (epithelium or s</w:t>
      </w:r>
      <w:r w:rsidR="00F85491">
        <w:rPr>
          <w:sz w:val="20"/>
          <w:szCs w:val="20"/>
        </w:rPr>
        <w:t>troma) was analysed by correlating</w:t>
      </w:r>
      <w:r w:rsidR="00E10466">
        <w:rPr>
          <w:sz w:val="20"/>
          <w:szCs w:val="20"/>
        </w:rPr>
        <w:t xml:space="preserve"> low</w:t>
      </w:r>
      <w:r w:rsidR="00F2753E">
        <w:rPr>
          <w:sz w:val="20"/>
          <w:szCs w:val="20"/>
        </w:rPr>
        <w:t>er</w:t>
      </w:r>
      <w:r w:rsidR="00E10466">
        <w:rPr>
          <w:sz w:val="20"/>
          <w:szCs w:val="20"/>
        </w:rPr>
        <w:t>/high</w:t>
      </w:r>
      <w:r w:rsidR="00F2753E">
        <w:rPr>
          <w:sz w:val="20"/>
          <w:szCs w:val="20"/>
        </w:rPr>
        <w:t>er</w:t>
      </w:r>
      <w:r w:rsidR="00E10466">
        <w:rPr>
          <w:sz w:val="20"/>
          <w:szCs w:val="20"/>
        </w:rPr>
        <w:t xml:space="preserve"> IHC</w:t>
      </w:r>
      <w:r w:rsidR="00955410" w:rsidRPr="00955410">
        <w:rPr>
          <w:sz w:val="20"/>
          <w:szCs w:val="20"/>
        </w:rPr>
        <w:t xml:space="preserve"> scoring for </w:t>
      </w:r>
      <w:r w:rsidR="00E10466">
        <w:rPr>
          <w:sz w:val="20"/>
          <w:szCs w:val="20"/>
        </w:rPr>
        <w:t>AC</w:t>
      </w:r>
      <w:r w:rsidR="00955410" w:rsidRPr="00955410">
        <w:rPr>
          <w:sz w:val="20"/>
          <w:szCs w:val="20"/>
        </w:rPr>
        <w:t xml:space="preserve"> (dichotomised about the median score) aga</w:t>
      </w:r>
      <w:r w:rsidR="008029F4">
        <w:rPr>
          <w:sz w:val="20"/>
          <w:szCs w:val="20"/>
        </w:rPr>
        <w:t>inst the respective TRG group</w:t>
      </w:r>
      <w:r w:rsidR="00955410" w:rsidRPr="00955410">
        <w:rPr>
          <w:sz w:val="20"/>
          <w:szCs w:val="20"/>
        </w:rPr>
        <w:t xml:space="preserve"> </w:t>
      </w:r>
      <w:r w:rsidR="008029F4">
        <w:rPr>
          <w:sz w:val="20"/>
          <w:szCs w:val="20"/>
        </w:rPr>
        <w:t>(compared as pCR</w:t>
      </w:r>
      <w:r w:rsidR="00955410" w:rsidRPr="00955410">
        <w:rPr>
          <w:sz w:val="20"/>
          <w:szCs w:val="20"/>
        </w:rPr>
        <w:t xml:space="preserve"> (TRG 4) vs. others (TRG 3-1), relative responders (TRG 4-3) vs. relative non-responders (TRG 2-1), and non-responders (TRG </w:t>
      </w:r>
      <w:r w:rsidR="00955410">
        <w:rPr>
          <w:sz w:val="20"/>
          <w:szCs w:val="20"/>
        </w:rPr>
        <w:t>1) vs. others (TRG 4-2)) using x</w:t>
      </w:r>
      <w:r w:rsidR="00955410">
        <w:rPr>
          <w:sz w:val="20"/>
          <w:szCs w:val="20"/>
          <w:vertAlign w:val="superscript"/>
        </w:rPr>
        <w:t>2</w:t>
      </w:r>
      <w:r w:rsidR="00955410" w:rsidRPr="00955410">
        <w:rPr>
          <w:sz w:val="20"/>
          <w:szCs w:val="20"/>
        </w:rPr>
        <w:t>.</w:t>
      </w:r>
    </w:p>
    <w:p w14:paraId="55BC3DC2" w14:textId="77777777" w:rsidR="00BE494F" w:rsidRDefault="00BE494F" w:rsidP="00631474">
      <w:pPr>
        <w:spacing w:line="480" w:lineRule="auto"/>
        <w:rPr>
          <w:b/>
          <w:sz w:val="24"/>
          <w:szCs w:val="24"/>
        </w:rPr>
      </w:pPr>
    </w:p>
    <w:p w14:paraId="319A1C83" w14:textId="77777777" w:rsidR="00BE494F" w:rsidRDefault="00BE494F" w:rsidP="00631474">
      <w:pPr>
        <w:spacing w:line="480" w:lineRule="auto"/>
        <w:rPr>
          <w:b/>
          <w:sz w:val="24"/>
          <w:szCs w:val="24"/>
        </w:rPr>
      </w:pPr>
    </w:p>
    <w:p w14:paraId="004489B0" w14:textId="77777777" w:rsidR="00BE494F" w:rsidRDefault="00BE494F" w:rsidP="00631474">
      <w:pPr>
        <w:spacing w:line="480" w:lineRule="auto"/>
        <w:rPr>
          <w:b/>
          <w:sz w:val="24"/>
          <w:szCs w:val="24"/>
        </w:rPr>
      </w:pPr>
    </w:p>
    <w:p w14:paraId="6062CBF9" w14:textId="77777777" w:rsidR="00BE494F" w:rsidRDefault="00BE494F" w:rsidP="00631474">
      <w:pPr>
        <w:spacing w:line="480" w:lineRule="auto"/>
        <w:rPr>
          <w:b/>
          <w:sz w:val="24"/>
          <w:szCs w:val="24"/>
        </w:rPr>
      </w:pPr>
    </w:p>
    <w:p w14:paraId="285D4DCF" w14:textId="34859F8A" w:rsidR="002E6AC0" w:rsidRDefault="002E6AC0" w:rsidP="00631474">
      <w:pPr>
        <w:spacing w:line="480" w:lineRule="auto"/>
        <w:rPr>
          <w:b/>
          <w:sz w:val="24"/>
          <w:szCs w:val="24"/>
        </w:rPr>
      </w:pPr>
      <w:r>
        <w:rPr>
          <w:b/>
          <w:sz w:val="24"/>
          <w:szCs w:val="24"/>
        </w:rPr>
        <w:lastRenderedPageBreak/>
        <w:t>Table 5 – Clinical Outcome</w:t>
      </w:r>
      <w:r w:rsidR="005E7DD2">
        <w:rPr>
          <w:b/>
          <w:sz w:val="24"/>
          <w:szCs w:val="24"/>
        </w:rPr>
        <w:t>s</w:t>
      </w:r>
      <w:r w:rsidR="009470C7">
        <w:rPr>
          <w:b/>
          <w:sz w:val="24"/>
          <w:szCs w:val="24"/>
        </w:rPr>
        <w:t xml:space="preserve"> and </w:t>
      </w:r>
      <w:r>
        <w:rPr>
          <w:b/>
          <w:sz w:val="24"/>
          <w:szCs w:val="24"/>
        </w:rPr>
        <w:t>Tissue Microarray Acid Ceramidase Expression</w:t>
      </w:r>
    </w:p>
    <w:tbl>
      <w:tblPr>
        <w:tblStyle w:val="TableGrid"/>
        <w:tblW w:w="0" w:type="auto"/>
        <w:tblLook w:val="04A0" w:firstRow="1" w:lastRow="0" w:firstColumn="1" w:lastColumn="0" w:noHBand="0" w:noVBand="1"/>
      </w:tblPr>
      <w:tblGrid>
        <w:gridCol w:w="1830"/>
        <w:gridCol w:w="1426"/>
        <w:gridCol w:w="992"/>
        <w:gridCol w:w="992"/>
        <w:gridCol w:w="862"/>
        <w:gridCol w:w="981"/>
        <w:gridCol w:w="854"/>
        <w:gridCol w:w="1079"/>
      </w:tblGrid>
      <w:tr w:rsidR="002E6AC0" w14:paraId="7DF84E6C" w14:textId="77777777" w:rsidTr="002E6AC0">
        <w:trPr>
          <w:trHeight w:val="405"/>
        </w:trPr>
        <w:tc>
          <w:tcPr>
            <w:tcW w:w="1830" w:type="dxa"/>
            <w:vMerge w:val="restart"/>
            <w:vAlign w:val="center"/>
          </w:tcPr>
          <w:p w14:paraId="3E419D49" w14:textId="77777777" w:rsidR="002E6AC0" w:rsidRPr="00B46D04" w:rsidRDefault="002E6AC0" w:rsidP="002E6AC0">
            <w:pPr>
              <w:jc w:val="center"/>
              <w:rPr>
                <w:b/>
              </w:rPr>
            </w:pPr>
            <w:r>
              <w:rPr>
                <w:b/>
              </w:rPr>
              <w:t>Tissue</w:t>
            </w:r>
          </w:p>
        </w:tc>
        <w:tc>
          <w:tcPr>
            <w:tcW w:w="1426" w:type="dxa"/>
            <w:vMerge w:val="restart"/>
            <w:vAlign w:val="center"/>
          </w:tcPr>
          <w:p w14:paraId="763BC113" w14:textId="77777777" w:rsidR="002E6AC0" w:rsidRPr="00B46D04" w:rsidRDefault="002E6AC0" w:rsidP="002E6AC0">
            <w:pPr>
              <w:jc w:val="center"/>
              <w:rPr>
                <w:b/>
              </w:rPr>
            </w:pPr>
            <w:r>
              <w:rPr>
                <w:b/>
              </w:rPr>
              <w:t>Relative Acid Ceramidase Expression</w:t>
            </w:r>
          </w:p>
        </w:tc>
        <w:tc>
          <w:tcPr>
            <w:tcW w:w="1984" w:type="dxa"/>
            <w:gridSpan w:val="2"/>
            <w:vAlign w:val="center"/>
          </w:tcPr>
          <w:p w14:paraId="6D6AE1A6" w14:textId="77777777" w:rsidR="002E6AC0" w:rsidRPr="00B46D04" w:rsidRDefault="002E6AC0" w:rsidP="002E6AC0">
            <w:pPr>
              <w:jc w:val="center"/>
              <w:rPr>
                <w:b/>
              </w:rPr>
            </w:pPr>
            <w:r>
              <w:rPr>
                <w:b/>
              </w:rPr>
              <w:t>Local Recurrence</w:t>
            </w:r>
          </w:p>
        </w:tc>
        <w:tc>
          <w:tcPr>
            <w:tcW w:w="1843" w:type="dxa"/>
            <w:gridSpan w:val="2"/>
            <w:vAlign w:val="center"/>
          </w:tcPr>
          <w:p w14:paraId="385F7EF0" w14:textId="77777777" w:rsidR="002E6AC0" w:rsidRPr="00B46D04" w:rsidRDefault="002E6AC0" w:rsidP="002E6AC0">
            <w:pPr>
              <w:jc w:val="center"/>
              <w:rPr>
                <w:b/>
              </w:rPr>
            </w:pPr>
            <w:r>
              <w:rPr>
                <w:b/>
              </w:rPr>
              <w:t>Metastases</w:t>
            </w:r>
          </w:p>
        </w:tc>
        <w:tc>
          <w:tcPr>
            <w:tcW w:w="1933" w:type="dxa"/>
            <w:gridSpan w:val="2"/>
            <w:vAlign w:val="center"/>
          </w:tcPr>
          <w:p w14:paraId="42958ABD" w14:textId="77777777" w:rsidR="002E6AC0" w:rsidRPr="00B46D04" w:rsidRDefault="002E6AC0" w:rsidP="002E6AC0">
            <w:pPr>
              <w:jc w:val="center"/>
              <w:rPr>
                <w:b/>
              </w:rPr>
            </w:pPr>
            <w:r>
              <w:rPr>
                <w:b/>
              </w:rPr>
              <w:t>Death</w:t>
            </w:r>
          </w:p>
        </w:tc>
      </w:tr>
      <w:tr w:rsidR="002E6AC0" w14:paraId="68DA34EC" w14:textId="77777777" w:rsidTr="002E6AC0">
        <w:trPr>
          <w:trHeight w:val="405"/>
        </w:trPr>
        <w:tc>
          <w:tcPr>
            <w:tcW w:w="1830" w:type="dxa"/>
            <w:vMerge/>
            <w:vAlign w:val="center"/>
          </w:tcPr>
          <w:p w14:paraId="39E5764D" w14:textId="77777777" w:rsidR="002E6AC0" w:rsidRDefault="002E6AC0" w:rsidP="002E6AC0">
            <w:pPr>
              <w:jc w:val="center"/>
              <w:rPr>
                <w:b/>
              </w:rPr>
            </w:pPr>
          </w:p>
        </w:tc>
        <w:tc>
          <w:tcPr>
            <w:tcW w:w="1426" w:type="dxa"/>
            <w:vMerge/>
            <w:vAlign w:val="center"/>
          </w:tcPr>
          <w:p w14:paraId="32F8458F" w14:textId="77777777" w:rsidR="002E6AC0" w:rsidRDefault="002E6AC0" w:rsidP="002E6AC0">
            <w:pPr>
              <w:jc w:val="center"/>
              <w:rPr>
                <w:b/>
              </w:rPr>
            </w:pPr>
          </w:p>
        </w:tc>
        <w:tc>
          <w:tcPr>
            <w:tcW w:w="992" w:type="dxa"/>
            <w:vAlign w:val="center"/>
          </w:tcPr>
          <w:p w14:paraId="799153C4" w14:textId="77777777" w:rsidR="002E6AC0" w:rsidRDefault="002E6AC0" w:rsidP="002E6AC0">
            <w:pPr>
              <w:jc w:val="center"/>
              <w:rPr>
                <w:b/>
              </w:rPr>
            </w:pPr>
            <w:r>
              <w:rPr>
                <w:b/>
              </w:rPr>
              <w:t>n=</w:t>
            </w:r>
          </w:p>
        </w:tc>
        <w:tc>
          <w:tcPr>
            <w:tcW w:w="992" w:type="dxa"/>
            <w:vAlign w:val="center"/>
          </w:tcPr>
          <w:p w14:paraId="574777B8" w14:textId="77777777" w:rsidR="002E6AC0" w:rsidRDefault="002E6AC0" w:rsidP="002E6AC0">
            <w:pPr>
              <w:jc w:val="center"/>
              <w:rPr>
                <w:b/>
              </w:rPr>
            </w:pPr>
            <w:r>
              <w:rPr>
                <w:b/>
              </w:rPr>
              <w:t>p value</w:t>
            </w:r>
          </w:p>
        </w:tc>
        <w:tc>
          <w:tcPr>
            <w:tcW w:w="862" w:type="dxa"/>
            <w:vAlign w:val="center"/>
          </w:tcPr>
          <w:p w14:paraId="6BC8AEE0" w14:textId="77777777" w:rsidR="002E6AC0" w:rsidRDefault="002E6AC0" w:rsidP="002E6AC0">
            <w:pPr>
              <w:jc w:val="center"/>
              <w:rPr>
                <w:b/>
              </w:rPr>
            </w:pPr>
            <w:r>
              <w:rPr>
                <w:b/>
              </w:rPr>
              <w:t>n=</w:t>
            </w:r>
          </w:p>
        </w:tc>
        <w:tc>
          <w:tcPr>
            <w:tcW w:w="981" w:type="dxa"/>
            <w:vAlign w:val="center"/>
          </w:tcPr>
          <w:p w14:paraId="0CE9A9D6" w14:textId="77777777" w:rsidR="002E6AC0" w:rsidRDefault="002E6AC0" w:rsidP="002E6AC0">
            <w:pPr>
              <w:jc w:val="center"/>
              <w:rPr>
                <w:b/>
              </w:rPr>
            </w:pPr>
            <w:r>
              <w:rPr>
                <w:b/>
              </w:rPr>
              <w:t>p value</w:t>
            </w:r>
          </w:p>
        </w:tc>
        <w:tc>
          <w:tcPr>
            <w:tcW w:w="854" w:type="dxa"/>
            <w:vAlign w:val="center"/>
          </w:tcPr>
          <w:p w14:paraId="7B251DED" w14:textId="77777777" w:rsidR="002E6AC0" w:rsidRDefault="002E6AC0" w:rsidP="002E6AC0">
            <w:pPr>
              <w:jc w:val="center"/>
              <w:rPr>
                <w:b/>
              </w:rPr>
            </w:pPr>
            <w:r>
              <w:rPr>
                <w:b/>
              </w:rPr>
              <w:t>n=</w:t>
            </w:r>
          </w:p>
        </w:tc>
        <w:tc>
          <w:tcPr>
            <w:tcW w:w="1079" w:type="dxa"/>
            <w:vAlign w:val="center"/>
          </w:tcPr>
          <w:p w14:paraId="59FA0D39" w14:textId="77777777" w:rsidR="002E6AC0" w:rsidRDefault="002E6AC0" w:rsidP="002E6AC0">
            <w:pPr>
              <w:jc w:val="center"/>
              <w:rPr>
                <w:b/>
              </w:rPr>
            </w:pPr>
            <w:r>
              <w:rPr>
                <w:b/>
              </w:rPr>
              <w:t>p value</w:t>
            </w:r>
          </w:p>
        </w:tc>
      </w:tr>
      <w:tr w:rsidR="002E6AC0" w14:paraId="3B3B9C35" w14:textId="77777777" w:rsidTr="002E6AC0">
        <w:trPr>
          <w:trHeight w:val="50"/>
        </w:trPr>
        <w:tc>
          <w:tcPr>
            <w:tcW w:w="1830" w:type="dxa"/>
            <w:vMerge w:val="restart"/>
            <w:vAlign w:val="center"/>
          </w:tcPr>
          <w:p w14:paraId="31866AAB" w14:textId="77777777" w:rsidR="002E6AC0" w:rsidRPr="00D32E9E" w:rsidRDefault="002E6AC0" w:rsidP="002E6AC0">
            <w:pPr>
              <w:jc w:val="center"/>
            </w:pPr>
            <w:r w:rsidRPr="00D32E9E">
              <w:t>Diagnostic Biopsy Epithelium</w:t>
            </w:r>
          </w:p>
        </w:tc>
        <w:tc>
          <w:tcPr>
            <w:tcW w:w="1426" w:type="dxa"/>
            <w:vAlign w:val="center"/>
          </w:tcPr>
          <w:p w14:paraId="0CB6EC01" w14:textId="77777777" w:rsidR="002E6AC0" w:rsidRPr="00227365" w:rsidRDefault="002E6AC0" w:rsidP="002E6AC0">
            <w:pPr>
              <w:jc w:val="center"/>
            </w:pPr>
            <w:r>
              <w:t>Lower n=42</w:t>
            </w:r>
          </w:p>
        </w:tc>
        <w:tc>
          <w:tcPr>
            <w:tcW w:w="992" w:type="dxa"/>
            <w:vAlign w:val="center"/>
          </w:tcPr>
          <w:p w14:paraId="60889995" w14:textId="77777777" w:rsidR="002E6AC0" w:rsidRPr="00227365" w:rsidRDefault="002E6AC0" w:rsidP="002E6AC0">
            <w:pPr>
              <w:jc w:val="center"/>
            </w:pPr>
            <w:r>
              <w:t>1</w:t>
            </w:r>
          </w:p>
        </w:tc>
        <w:tc>
          <w:tcPr>
            <w:tcW w:w="992" w:type="dxa"/>
            <w:vMerge w:val="restart"/>
            <w:vAlign w:val="center"/>
          </w:tcPr>
          <w:p w14:paraId="7378E44F" w14:textId="77777777" w:rsidR="002E6AC0" w:rsidRPr="00227365" w:rsidRDefault="002E6AC0" w:rsidP="002E6AC0">
            <w:pPr>
              <w:jc w:val="center"/>
            </w:pPr>
            <w:r>
              <w:t>0.518</w:t>
            </w:r>
          </w:p>
        </w:tc>
        <w:tc>
          <w:tcPr>
            <w:tcW w:w="862" w:type="dxa"/>
            <w:vAlign w:val="center"/>
          </w:tcPr>
          <w:p w14:paraId="7FDB9C36" w14:textId="77777777" w:rsidR="002E6AC0" w:rsidRPr="00227365" w:rsidRDefault="002E6AC0" w:rsidP="002E6AC0">
            <w:pPr>
              <w:jc w:val="center"/>
            </w:pPr>
            <w:r>
              <w:t>17</w:t>
            </w:r>
          </w:p>
        </w:tc>
        <w:tc>
          <w:tcPr>
            <w:tcW w:w="981" w:type="dxa"/>
            <w:vMerge w:val="restart"/>
            <w:vAlign w:val="center"/>
          </w:tcPr>
          <w:p w14:paraId="2704CB04" w14:textId="77777777" w:rsidR="002E6AC0" w:rsidRPr="00227365" w:rsidRDefault="002E6AC0" w:rsidP="002E6AC0">
            <w:pPr>
              <w:jc w:val="center"/>
            </w:pPr>
            <w:r>
              <w:t>0.061</w:t>
            </w:r>
          </w:p>
        </w:tc>
        <w:tc>
          <w:tcPr>
            <w:tcW w:w="854" w:type="dxa"/>
            <w:vAlign w:val="center"/>
          </w:tcPr>
          <w:p w14:paraId="7DED149E" w14:textId="77777777" w:rsidR="002E6AC0" w:rsidRPr="00227365" w:rsidRDefault="002E6AC0" w:rsidP="002E6AC0">
            <w:pPr>
              <w:jc w:val="center"/>
            </w:pPr>
            <w:r>
              <w:t>11</w:t>
            </w:r>
          </w:p>
        </w:tc>
        <w:tc>
          <w:tcPr>
            <w:tcW w:w="1079" w:type="dxa"/>
            <w:vMerge w:val="restart"/>
            <w:vAlign w:val="center"/>
          </w:tcPr>
          <w:p w14:paraId="0B3CEC22" w14:textId="77777777" w:rsidR="002E6AC0" w:rsidRPr="00227365" w:rsidRDefault="002E6AC0" w:rsidP="002E6AC0">
            <w:pPr>
              <w:jc w:val="center"/>
            </w:pPr>
            <w:r>
              <w:t>0.263</w:t>
            </w:r>
          </w:p>
        </w:tc>
      </w:tr>
      <w:tr w:rsidR="002E6AC0" w14:paraId="273C3575" w14:textId="77777777" w:rsidTr="002E6AC0">
        <w:trPr>
          <w:trHeight w:val="50"/>
        </w:trPr>
        <w:tc>
          <w:tcPr>
            <w:tcW w:w="1830" w:type="dxa"/>
            <w:vMerge/>
            <w:vAlign w:val="center"/>
          </w:tcPr>
          <w:p w14:paraId="78E47E82" w14:textId="77777777" w:rsidR="002E6AC0" w:rsidRPr="00D32E9E" w:rsidRDefault="002E6AC0" w:rsidP="002E6AC0">
            <w:pPr>
              <w:jc w:val="center"/>
            </w:pPr>
          </w:p>
        </w:tc>
        <w:tc>
          <w:tcPr>
            <w:tcW w:w="1426" w:type="dxa"/>
            <w:vAlign w:val="center"/>
          </w:tcPr>
          <w:p w14:paraId="70D63896" w14:textId="77777777" w:rsidR="002E6AC0" w:rsidRPr="00227365" w:rsidRDefault="002E6AC0" w:rsidP="002E6AC0">
            <w:pPr>
              <w:jc w:val="center"/>
            </w:pPr>
            <w:r>
              <w:t>Higher n=44</w:t>
            </w:r>
          </w:p>
        </w:tc>
        <w:tc>
          <w:tcPr>
            <w:tcW w:w="992" w:type="dxa"/>
            <w:vAlign w:val="center"/>
          </w:tcPr>
          <w:p w14:paraId="6545B9F7" w14:textId="77777777" w:rsidR="002E6AC0" w:rsidRPr="00227365" w:rsidRDefault="002E6AC0" w:rsidP="002E6AC0">
            <w:pPr>
              <w:jc w:val="center"/>
            </w:pPr>
            <w:r>
              <w:t>2</w:t>
            </w:r>
          </w:p>
        </w:tc>
        <w:tc>
          <w:tcPr>
            <w:tcW w:w="992" w:type="dxa"/>
            <w:vMerge/>
            <w:vAlign w:val="center"/>
          </w:tcPr>
          <w:p w14:paraId="3EFC3317" w14:textId="77777777" w:rsidR="002E6AC0" w:rsidRPr="00227365" w:rsidRDefault="002E6AC0" w:rsidP="002E6AC0">
            <w:pPr>
              <w:jc w:val="center"/>
            </w:pPr>
          </w:p>
        </w:tc>
        <w:tc>
          <w:tcPr>
            <w:tcW w:w="862" w:type="dxa"/>
            <w:vAlign w:val="center"/>
          </w:tcPr>
          <w:p w14:paraId="6C40C495" w14:textId="77777777" w:rsidR="002E6AC0" w:rsidRPr="00227365" w:rsidRDefault="002E6AC0" w:rsidP="002E6AC0">
            <w:pPr>
              <w:jc w:val="center"/>
            </w:pPr>
            <w:r>
              <w:t>10</w:t>
            </w:r>
          </w:p>
        </w:tc>
        <w:tc>
          <w:tcPr>
            <w:tcW w:w="981" w:type="dxa"/>
            <w:vMerge/>
            <w:vAlign w:val="center"/>
          </w:tcPr>
          <w:p w14:paraId="0BC2700F" w14:textId="77777777" w:rsidR="002E6AC0" w:rsidRPr="00227365" w:rsidRDefault="002E6AC0" w:rsidP="002E6AC0">
            <w:pPr>
              <w:jc w:val="center"/>
            </w:pPr>
          </w:p>
        </w:tc>
        <w:tc>
          <w:tcPr>
            <w:tcW w:w="854" w:type="dxa"/>
            <w:vAlign w:val="center"/>
          </w:tcPr>
          <w:p w14:paraId="3D51A087" w14:textId="77777777" w:rsidR="002E6AC0" w:rsidRPr="00227365" w:rsidRDefault="002E6AC0" w:rsidP="002E6AC0">
            <w:pPr>
              <w:jc w:val="center"/>
            </w:pPr>
            <w:r>
              <w:t>8</w:t>
            </w:r>
          </w:p>
        </w:tc>
        <w:tc>
          <w:tcPr>
            <w:tcW w:w="1079" w:type="dxa"/>
            <w:vMerge/>
            <w:vAlign w:val="center"/>
          </w:tcPr>
          <w:p w14:paraId="7F8833E8" w14:textId="77777777" w:rsidR="002E6AC0" w:rsidRPr="00227365" w:rsidRDefault="002E6AC0" w:rsidP="002E6AC0">
            <w:pPr>
              <w:jc w:val="center"/>
            </w:pPr>
          </w:p>
        </w:tc>
      </w:tr>
      <w:tr w:rsidR="002E6AC0" w14:paraId="04A7C220" w14:textId="77777777" w:rsidTr="002E6AC0">
        <w:trPr>
          <w:trHeight w:val="270"/>
        </w:trPr>
        <w:tc>
          <w:tcPr>
            <w:tcW w:w="1830" w:type="dxa"/>
            <w:vMerge w:val="restart"/>
            <w:vAlign w:val="center"/>
          </w:tcPr>
          <w:p w14:paraId="4BDB8BD1" w14:textId="77777777" w:rsidR="002E6AC0" w:rsidRPr="00D32E9E" w:rsidRDefault="002E6AC0" w:rsidP="002E6AC0">
            <w:pPr>
              <w:jc w:val="center"/>
            </w:pPr>
            <w:r w:rsidRPr="00D32E9E">
              <w:t>Diagnostic Biopsy Stroma</w:t>
            </w:r>
          </w:p>
        </w:tc>
        <w:tc>
          <w:tcPr>
            <w:tcW w:w="1426" w:type="dxa"/>
            <w:vAlign w:val="center"/>
          </w:tcPr>
          <w:p w14:paraId="408FA140" w14:textId="77777777" w:rsidR="002E6AC0" w:rsidRPr="00227365" w:rsidRDefault="002E6AC0" w:rsidP="002E6AC0">
            <w:pPr>
              <w:jc w:val="center"/>
            </w:pPr>
            <w:r>
              <w:t>Lower n=37</w:t>
            </w:r>
          </w:p>
        </w:tc>
        <w:tc>
          <w:tcPr>
            <w:tcW w:w="992" w:type="dxa"/>
            <w:vAlign w:val="center"/>
          </w:tcPr>
          <w:p w14:paraId="6129E34C" w14:textId="77777777" w:rsidR="002E6AC0" w:rsidRPr="00227365" w:rsidRDefault="002E6AC0" w:rsidP="002E6AC0">
            <w:pPr>
              <w:jc w:val="center"/>
            </w:pPr>
            <w:r>
              <w:t>0</w:t>
            </w:r>
          </w:p>
        </w:tc>
        <w:tc>
          <w:tcPr>
            <w:tcW w:w="992" w:type="dxa"/>
            <w:vMerge w:val="restart"/>
            <w:vAlign w:val="center"/>
          </w:tcPr>
          <w:p w14:paraId="1F01CCA7" w14:textId="77777777" w:rsidR="002E6AC0" w:rsidRPr="00227365" w:rsidRDefault="002E6AC0" w:rsidP="002E6AC0">
            <w:pPr>
              <w:jc w:val="center"/>
            </w:pPr>
            <w:r>
              <w:t>0.180</w:t>
            </w:r>
          </w:p>
        </w:tc>
        <w:tc>
          <w:tcPr>
            <w:tcW w:w="862" w:type="dxa"/>
            <w:vAlign w:val="center"/>
          </w:tcPr>
          <w:p w14:paraId="2314E7AE" w14:textId="77777777" w:rsidR="002E6AC0" w:rsidRPr="00227365" w:rsidRDefault="002E6AC0" w:rsidP="002E6AC0">
            <w:pPr>
              <w:jc w:val="center"/>
            </w:pPr>
            <w:r>
              <w:t>12</w:t>
            </w:r>
          </w:p>
        </w:tc>
        <w:tc>
          <w:tcPr>
            <w:tcW w:w="981" w:type="dxa"/>
            <w:vMerge w:val="restart"/>
            <w:vAlign w:val="center"/>
          </w:tcPr>
          <w:p w14:paraId="7408BCD9" w14:textId="77777777" w:rsidR="002E6AC0" w:rsidRPr="00227365" w:rsidRDefault="002E6AC0" w:rsidP="002E6AC0">
            <w:pPr>
              <w:jc w:val="center"/>
            </w:pPr>
            <w:r>
              <w:t>0.520</w:t>
            </w:r>
          </w:p>
        </w:tc>
        <w:tc>
          <w:tcPr>
            <w:tcW w:w="854" w:type="dxa"/>
            <w:vAlign w:val="center"/>
          </w:tcPr>
          <w:p w14:paraId="0E41CB58" w14:textId="77777777" w:rsidR="002E6AC0" w:rsidRPr="00227365" w:rsidRDefault="002E6AC0" w:rsidP="002E6AC0">
            <w:pPr>
              <w:jc w:val="center"/>
            </w:pPr>
            <w:r>
              <w:t>8</w:t>
            </w:r>
          </w:p>
        </w:tc>
        <w:tc>
          <w:tcPr>
            <w:tcW w:w="1079" w:type="dxa"/>
            <w:vMerge w:val="restart"/>
            <w:vAlign w:val="center"/>
          </w:tcPr>
          <w:p w14:paraId="0D22A1D9" w14:textId="77777777" w:rsidR="002E6AC0" w:rsidRPr="00227365" w:rsidRDefault="002E6AC0" w:rsidP="002E6AC0">
            <w:pPr>
              <w:jc w:val="center"/>
            </w:pPr>
            <w:r>
              <w:t>0.570</w:t>
            </w:r>
          </w:p>
        </w:tc>
      </w:tr>
      <w:tr w:rsidR="002E6AC0" w14:paraId="581F59B2" w14:textId="77777777" w:rsidTr="002E6AC0">
        <w:trPr>
          <w:trHeight w:val="270"/>
        </w:trPr>
        <w:tc>
          <w:tcPr>
            <w:tcW w:w="1830" w:type="dxa"/>
            <w:vMerge/>
            <w:vAlign w:val="center"/>
          </w:tcPr>
          <w:p w14:paraId="32CEF342" w14:textId="77777777" w:rsidR="002E6AC0" w:rsidRPr="00D32E9E" w:rsidRDefault="002E6AC0" w:rsidP="002E6AC0">
            <w:pPr>
              <w:jc w:val="center"/>
            </w:pPr>
          </w:p>
        </w:tc>
        <w:tc>
          <w:tcPr>
            <w:tcW w:w="1426" w:type="dxa"/>
            <w:vAlign w:val="center"/>
          </w:tcPr>
          <w:p w14:paraId="4856F634" w14:textId="77777777" w:rsidR="002E6AC0" w:rsidRPr="00227365" w:rsidRDefault="002E6AC0" w:rsidP="002E6AC0">
            <w:pPr>
              <w:jc w:val="center"/>
            </w:pPr>
            <w:r>
              <w:t>Higher n=49</w:t>
            </w:r>
          </w:p>
        </w:tc>
        <w:tc>
          <w:tcPr>
            <w:tcW w:w="992" w:type="dxa"/>
            <w:vAlign w:val="center"/>
          </w:tcPr>
          <w:p w14:paraId="4B3010D1" w14:textId="77777777" w:rsidR="002E6AC0" w:rsidRPr="00227365" w:rsidRDefault="002E6AC0" w:rsidP="002E6AC0">
            <w:pPr>
              <w:jc w:val="center"/>
            </w:pPr>
            <w:r>
              <w:t>3</w:t>
            </w:r>
          </w:p>
        </w:tc>
        <w:tc>
          <w:tcPr>
            <w:tcW w:w="992" w:type="dxa"/>
            <w:vMerge/>
            <w:vAlign w:val="center"/>
          </w:tcPr>
          <w:p w14:paraId="0E01F94C" w14:textId="77777777" w:rsidR="002E6AC0" w:rsidRPr="00227365" w:rsidRDefault="002E6AC0" w:rsidP="002E6AC0">
            <w:pPr>
              <w:jc w:val="center"/>
            </w:pPr>
          </w:p>
        </w:tc>
        <w:tc>
          <w:tcPr>
            <w:tcW w:w="862" w:type="dxa"/>
            <w:vAlign w:val="center"/>
          </w:tcPr>
          <w:p w14:paraId="7CC58424" w14:textId="77777777" w:rsidR="002E6AC0" w:rsidRPr="00227365" w:rsidRDefault="002E6AC0" w:rsidP="002E6AC0">
            <w:pPr>
              <w:jc w:val="center"/>
            </w:pPr>
            <w:r>
              <w:t>15</w:t>
            </w:r>
          </w:p>
        </w:tc>
        <w:tc>
          <w:tcPr>
            <w:tcW w:w="981" w:type="dxa"/>
            <w:vMerge/>
            <w:vAlign w:val="center"/>
          </w:tcPr>
          <w:p w14:paraId="406B475F" w14:textId="77777777" w:rsidR="002E6AC0" w:rsidRPr="00227365" w:rsidRDefault="002E6AC0" w:rsidP="002E6AC0">
            <w:pPr>
              <w:jc w:val="center"/>
            </w:pPr>
          </w:p>
        </w:tc>
        <w:tc>
          <w:tcPr>
            <w:tcW w:w="854" w:type="dxa"/>
            <w:vAlign w:val="center"/>
          </w:tcPr>
          <w:p w14:paraId="6E9DEFBC" w14:textId="77777777" w:rsidR="002E6AC0" w:rsidRPr="00227365" w:rsidRDefault="002E6AC0" w:rsidP="002E6AC0">
            <w:pPr>
              <w:jc w:val="center"/>
            </w:pPr>
            <w:r>
              <w:t>11</w:t>
            </w:r>
          </w:p>
        </w:tc>
        <w:tc>
          <w:tcPr>
            <w:tcW w:w="1079" w:type="dxa"/>
            <w:vMerge/>
            <w:vAlign w:val="center"/>
          </w:tcPr>
          <w:p w14:paraId="3C02F28A" w14:textId="77777777" w:rsidR="002E6AC0" w:rsidRPr="00227365" w:rsidRDefault="002E6AC0" w:rsidP="002E6AC0">
            <w:pPr>
              <w:jc w:val="center"/>
            </w:pPr>
          </w:p>
        </w:tc>
      </w:tr>
      <w:tr w:rsidR="002E6AC0" w14:paraId="50690939" w14:textId="77777777" w:rsidTr="002E6AC0">
        <w:trPr>
          <w:trHeight w:val="270"/>
        </w:trPr>
        <w:tc>
          <w:tcPr>
            <w:tcW w:w="1830" w:type="dxa"/>
            <w:vMerge w:val="restart"/>
            <w:vAlign w:val="center"/>
          </w:tcPr>
          <w:p w14:paraId="45C0D908" w14:textId="77777777" w:rsidR="002E6AC0" w:rsidRPr="00D32E9E" w:rsidRDefault="002E6AC0" w:rsidP="002E6AC0">
            <w:pPr>
              <w:jc w:val="center"/>
            </w:pPr>
            <w:r w:rsidRPr="00D32E9E">
              <w:t>Cancer Site Epithelium</w:t>
            </w:r>
          </w:p>
        </w:tc>
        <w:tc>
          <w:tcPr>
            <w:tcW w:w="1426" w:type="dxa"/>
            <w:vAlign w:val="center"/>
          </w:tcPr>
          <w:p w14:paraId="1252D9CE" w14:textId="77777777" w:rsidR="002E6AC0" w:rsidRPr="00227365" w:rsidRDefault="002E6AC0" w:rsidP="002E6AC0">
            <w:pPr>
              <w:jc w:val="center"/>
            </w:pPr>
            <w:r>
              <w:t>Lower n=33</w:t>
            </w:r>
          </w:p>
        </w:tc>
        <w:tc>
          <w:tcPr>
            <w:tcW w:w="992" w:type="dxa"/>
            <w:vAlign w:val="center"/>
          </w:tcPr>
          <w:p w14:paraId="0F7A7BC5" w14:textId="77777777" w:rsidR="002E6AC0" w:rsidRPr="00227365" w:rsidRDefault="002E6AC0" w:rsidP="002E6AC0">
            <w:pPr>
              <w:jc w:val="center"/>
            </w:pPr>
            <w:r>
              <w:t>0</w:t>
            </w:r>
          </w:p>
        </w:tc>
        <w:tc>
          <w:tcPr>
            <w:tcW w:w="992" w:type="dxa"/>
            <w:vMerge w:val="restart"/>
            <w:vAlign w:val="center"/>
          </w:tcPr>
          <w:p w14:paraId="68EAF66D" w14:textId="77777777" w:rsidR="002E6AC0" w:rsidRPr="0072048F" w:rsidRDefault="002E6AC0" w:rsidP="002E6AC0">
            <w:pPr>
              <w:jc w:val="center"/>
              <w:rPr>
                <w:b/>
              </w:rPr>
            </w:pPr>
            <w:r w:rsidRPr="0072048F">
              <w:rPr>
                <w:b/>
              </w:rPr>
              <w:t>0.031</w:t>
            </w:r>
          </w:p>
        </w:tc>
        <w:tc>
          <w:tcPr>
            <w:tcW w:w="862" w:type="dxa"/>
            <w:vAlign w:val="center"/>
          </w:tcPr>
          <w:p w14:paraId="18FCA6D7" w14:textId="77777777" w:rsidR="002E6AC0" w:rsidRPr="00227365" w:rsidRDefault="002E6AC0" w:rsidP="002E6AC0">
            <w:pPr>
              <w:jc w:val="center"/>
            </w:pPr>
            <w:r>
              <w:t>11</w:t>
            </w:r>
          </w:p>
        </w:tc>
        <w:tc>
          <w:tcPr>
            <w:tcW w:w="981" w:type="dxa"/>
            <w:vMerge w:val="restart"/>
            <w:vAlign w:val="center"/>
          </w:tcPr>
          <w:p w14:paraId="2F994785" w14:textId="77777777" w:rsidR="002E6AC0" w:rsidRPr="00227365" w:rsidRDefault="002E6AC0" w:rsidP="002E6AC0">
            <w:pPr>
              <w:jc w:val="center"/>
            </w:pPr>
            <w:r>
              <w:t>0.376</w:t>
            </w:r>
          </w:p>
        </w:tc>
        <w:tc>
          <w:tcPr>
            <w:tcW w:w="854" w:type="dxa"/>
            <w:vAlign w:val="center"/>
          </w:tcPr>
          <w:p w14:paraId="265982BF" w14:textId="77777777" w:rsidR="002E6AC0" w:rsidRPr="00227365" w:rsidRDefault="002E6AC0" w:rsidP="002E6AC0">
            <w:pPr>
              <w:jc w:val="center"/>
            </w:pPr>
            <w:r>
              <w:t>7</w:t>
            </w:r>
          </w:p>
        </w:tc>
        <w:tc>
          <w:tcPr>
            <w:tcW w:w="1079" w:type="dxa"/>
            <w:vMerge w:val="restart"/>
            <w:vAlign w:val="center"/>
          </w:tcPr>
          <w:p w14:paraId="52F9B386" w14:textId="77777777" w:rsidR="002E6AC0" w:rsidRPr="00227365" w:rsidRDefault="002E6AC0" w:rsidP="002E6AC0">
            <w:pPr>
              <w:jc w:val="center"/>
            </w:pPr>
            <w:r>
              <w:t>0.338</w:t>
            </w:r>
          </w:p>
        </w:tc>
      </w:tr>
      <w:tr w:rsidR="002E6AC0" w14:paraId="676B3FA7" w14:textId="77777777" w:rsidTr="002E6AC0">
        <w:trPr>
          <w:trHeight w:val="270"/>
        </w:trPr>
        <w:tc>
          <w:tcPr>
            <w:tcW w:w="1830" w:type="dxa"/>
            <w:vMerge/>
            <w:vAlign w:val="center"/>
          </w:tcPr>
          <w:p w14:paraId="6893BEF9" w14:textId="77777777" w:rsidR="002E6AC0" w:rsidRPr="00D32E9E" w:rsidRDefault="002E6AC0" w:rsidP="002E6AC0">
            <w:pPr>
              <w:jc w:val="center"/>
            </w:pPr>
          </w:p>
        </w:tc>
        <w:tc>
          <w:tcPr>
            <w:tcW w:w="1426" w:type="dxa"/>
            <w:vAlign w:val="center"/>
          </w:tcPr>
          <w:p w14:paraId="07124C8C" w14:textId="77777777" w:rsidR="002E6AC0" w:rsidRPr="00227365" w:rsidRDefault="002E6AC0" w:rsidP="002E6AC0">
            <w:pPr>
              <w:jc w:val="center"/>
            </w:pPr>
            <w:r>
              <w:t>Higher n=35</w:t>
            </w:r>
          </w:p>
        </w:tc>
        <w:tc>
          <w:tcPr>
            <w:tcW w:w="992" w:type="dxa"/>
            <w:vAlign w:val="center"/>
          </w:tcPr>
          <w:p w14:paraId="640F5486" w14:textId="77777777" w:rsidR="002E6AC0" w:rsidRPr="00227365" w:rsidRDefault="002E6AC0" w:rsidP="002E6AC0">
            <w:pPr>
              <w:jc w:val="center"/>
            </w:pPr>
            <w:r>
              <w:t>5</w:t>
            </w:r>
          </w:p>
        </w:tc>
        <w:tc>
          <w:tcPr>
            <w:tcW w:w="992" w:type="dxa"/>
            <w:vMerge/>
            <w:vAlign w:val="center"/>
          </w:tcPr>
          <w:p w14:paraId="3B2A8554" w14:textId="77777777" w:rsidR="002E6AC0" w:rsidRPr="00227365" w:rsidRDefault="002E6AC0" w:rsidP="002E6AC0">
            <w:pPr>
              <w:jc w:val="center"/>
            </w:pPr>
          </w:p>
        </w:tc>
        <w:tc>
          <w:tcPr>
            <w:tcW w:w="862" w:type="dxa"/>
            <w:vAlign w:val="center"/>
          </w:tcPr>
          <w:p w14:paraId="6949A986" w14:textId="77777777" w:rsidR="002E6AC0" w:rsidRPr="00227365" w:rsidRDefault="002E6AC0" w:rsidP="002E6AC0">
            <w:pPr>
              <w:jc w:val="center"/>
            </w:pPr>
            <w:r>
              <w:t>14</w:t>
            </w:r>
          </w:p>
        </w:tc>
        <w:tc>
          <w:tcPr>
            <w:tcW w:w="981" w:type="dxa"/>
            <w:vMerge/>
            <w:vAlign w:val="center"/>
          </w:tcPr>
          <w:p w14:paraId="49F97ADB" w14:textId="77777777" w:rsidR="002E6AC0" w:rsidRPr="00227365" w:rsidRDefault="002E6AC0" w:rsidP="002E6AC0">
            <w:pPr>
              <w:jc w:val="center"/>
            </w:pPr>
          </w:p>
        </w:tc>
        <w:tc>
          <w:tcPr>
            <w:tcW w:w="854" w:type="dxa"/>
            <w:vAlign w:val="center"/>
          </w:tcPr>
          <w:p w14:paraId="02EB0319" w14:textId="77777777" w:rsidR="002E6AC0" w:rsidRPr="00227365" w:rsidRDefault="002E6AC0" w:rsidP="002E6AC0">
            <w:pPr>
              <w:jc w:val="center"/>
            </w:pPr>
            <w:r>
              <w:t>10</w:t>
            </w:r>
          </w:p>
        </w:tc>
        <w:tc>
          <w:tcPr>
            <w:tcW w:w="1079" w:type="dxa"/>
            <w:vMerge/>
            <w:vAlign w:val="center"/>
          </w:tcPr>
          <w:p w14:paraId="0CE279E7" w14:textId="77777777" w:rsidR="002E6AC0" w:rsidRPr="00227365" w:rsidRDefault="002E6AC0" w:rsidP="002E6AC0">
            <w:pPr>
              <w:jc w:val="center"/>
            </w:pPr>
          </w:p>
        </w:tc>
      </w:tr>
      <w:tr w:rsidR="002E6AC0" w14:paraId="0A59F9D9" w14:textId="77777777" w:rsidTr="002E6AC0">
        <w:trPr>
          <w:trHeight w:val="270"/>
        </w:trPr>
        <w:tc>
          <w:tcPr>
            <w:tcW w:w="1830" w:type="dxa"/>
            <w:vMerge w:val="restart"/>
            <w:vAlign w:val="center"/>
          </w:tcPr>
          <w:p w14:paraId="1875C500" w14:textId="77777777" w:rsidR="002E6AC0" w:rsidRPr="00D32E9E" w:rsidRDefault="002E6AC0" w:rsidP="002E6AC0">
            <w:pPr>
              <w:jc w:val="center"/>
            </w:pPr>
            <w:r w:rsidRPr="00D32E9E">
              <w:t>Cancer Site Stroma</w:t>
            </w:r>
          </w:p>
        </w:tc>
        <w:tc>
          <w:tcPr>
            <w:tcW w:w="1426" w:type="dxa"/>
            <w:vAlign w:val="center"/>
          </w:tcPr>
          <w:p w14:paraId="7913454C" w14:textId="77777777" w:rsidR="002E6AC0" w:rsidRPr="00227365" w:rsidRDefault="002E6AC0" w:rsidP="002E6AC0">
            <w:pPr>
              <w:jc w:val="center"/>
            </w:pPr>
            <w:r>
              <w:t>Lower n=56</w:t>
            </w:r>
          </w:p>
        </w:tc>
        <w:tc>
          <w:tcPr>
            <w:tcW w:w="992" w:type="dxa"/>
            <w:vAlign w:val="center"/>
          </w:tcPr>
          <w:p w14:paraId="73566C91" w14:textId="77777777" w:rsidR="002E6AC0" w:rsidRPr="00227365" w:rsidRDefault="002E6AC0" w:rsidP="002E6AC0">
            <w:pPr>
              <w:jc w:val="center"/>
            </w:pPr>
            <w:r>
              <w:t>1</w:t>
            </w:r>
          </w:p>
        </w:tc>
        <w:tc>
          <w:tcPr>
            <w:tcW w:w="992" w:type="dxa"/>
            <w:vMerge w:val="restart"/>
            <w:vAlign w:val="center"/>
          </w:tcPr>
          <w:p w14:paraId="558FEF89" w14:textId="77777777" w:rsidR="002E6AC0" w:rsidRPr="0072048F" w:rsidRDefault="002E6AC0" w:rsidP="002E6AC0">
            <w:pPr>
              <w:jc w:val="center"/>
              <w:rPr>
                <w:b/>
              </w:rPr>
            </w:pPr>
            <w:r w:rsidRPr="0072048F">
              <w:rPr>
                <w:b/>
              </w:rPr>
              <w:t>0.038</w:t>
            </w:r>
          </w:p>
        </w:tc>
        <w:tc>
          <w:tcPr>
            <w:tcW w:w="862" w:type="dxa"/>
            <w:vAlign w:val="center"/>
          </w:tcPr>
          <w:p w14:paraId="0DE5342A" w14:textId="77777777" w:rsidR="002E6AC0" w:rsidRPr="00227365" w:rsidRDefault="002E6AC0" w:rsidP="002E6AC0">
            <w:pPr>
              <w:jc w:val="center"/>
            </w:pPr>
            <w:r>
              <w:t>17</w:t>
            </w:r>
          </w:p>
        </w:tc>
        <w:tc>
          <w:tcPr>
            <w:tcW w:w="981" w:type="dxa"/>
            <w:vMerge w:val="restart"/>
            <w:vAlign w:val="center"/>
          </w:tcPr>
          <w:p w14:paraId="2D0ED71F" w14:textId="77777777" w:rsidR="002E6AC0" w:rsidRPr="00227365" w:rsidRDefault="002E6AC0" w:rsidP="002E6AC0">
            <w:pPr>
              <w:jc w:val="center"/>
            </w:pPr>
            <w:r>
              <w:t>0.180</w:t>
            </w:r>
          </w:p>
        </w:tc>
        <w:tc>
          <w:tcPr>
            <w:tcW w:w="854" w:type="dxa"/>
            <w:vAlign w:val="center"/>
          </w:tcPr>
          <w:p w14:paraId="2D5F8C04" w14:textId="77777777" w:rsidR="002E6AC0" w:rsidRPr="00227365" w:rsidRDefault="002E6AC0" w:rsidP="002E6AC0">
            <w:pPr>
              <w:jc w:val="center"/>
            </w:pPr>
            <w:r>
              <w:t>11</w:t>
            </w:r>
          </w:p>
        </w:tc>
        <w:tc>
          <w:tcPr>
            <w:tcW w:w="1079" w:type="dxa"/>
            <w:vMerge w:val="restart"/>
            <w:vAlign w:val="center"/>
          </w:tcPr>
          <w:p w14:paraId="458B416E" w14:textId="77777777" w:rsidR="002E6AC0" w:rsidRPr="00227365" w:rsidRDefault="002E6AC0" w:rsidP="002E6AC0">
            <w:pPr>
              <w:jc w:val="center"/>
            </w:pPr>
            <w:r>
              <w:t>0.200</w:t>
            </w:r>
          </w:p>
        </w:tc>
      </w:tr>
      <w:tr w:rsidR="002E6AC0" w:rsidRPr="0072048F" w14:paraId="7C7D6F33" w14:textId="77777777" w:rsidTr="002E6AC0">
        <w:trPr>
          <w:trHeight w:val="270"/>
        </w:trPr>
        <w:tc>
          <w:tcPr>
            <w:tcW w:w="1830" w:type="dxa"/>
            <w:vMerge/>
          </w:tcPr>
          <w:p w14:paraId="38D2A7FD" w14:textId="77777777" w:rsidR="002E6AC0" w:rsidRPr="0072048F" w:rsidRDefault="002E6AC0" w:rsidP="002E6AC0">
            <w:pPr>
              <w:jc w:val="center"/>
            </w:pPr>
          </w:p>
        </w:tc>
        <w:tc>
          <w:tcPr>
            <w:tcW w:w="1426" w:type="dxa"/>
          </w:tcPr>
          <w:p w14:paraId="04836A8F" w14:textId="77777777" w:rsidR="002E6AC0" w:rsidRPr="0072048F" w:rsidRDefault="002E6AC0" w:rsidP="002E6AC0">
            <w:pPr>
              <w:jc w:val="center"/>
            </w:pPr>
            <w:r>
              <w:t>Higher n=49</w:t>
            </w:r>
          </w:p>
        </w:tc>
        <w:tc>
          <w:tcPr>
            <w:tcW w:w="992" w:type="dxa"/>
          </w:tcPr>
          <w:p w14:paraId="409B94AA" w14:textId="77777777" w:rsidR="002E6AC0" w:rsidRPr="0072048F" w:rsidRDefault="002E6AC0" w:rsidP="002E6AC0">
            <w:pPr>
              <w:jc w:val="center"/>
            </w:pPr>
            <w:r>
              <w:t>6</w:t>
            </w:r>
          </w:p>
        </w:tc>
        <w:tc>
          <w:tcPr>
            <w:tcW w:w="992" w:type="dxa"/>
            <w:vMerge/>
          </w:tcPr>
          <w:p w14:paraId="2BA317C0" w14:textId="77777777" w:rsidR="002E6AC0" w:rsidRPr="0072048F" w:rsidRDefault="002E6AC0" w:rsidP="002E6AC0">
            <w:pPr>
              <w:jc w:val="center"/>
            </w:pPr>
          </w:p>
        </w:tc>
        <w:tc>
          <w:tcPr>
            <w:tcW w:w="862" w:type="dxa"/>
          </w:tcPr>
          <w:p w14:paraId="2AD2D9FF" w14:textId="77777777" w:rsidR="002E6AC0" w:rsidRPr="0072048F" w:rsidRDefault="002E6AC0" w:rsidP="002E6AC0">
            <w:pPr>
              <w:jc w:val="center"/>
            </w:pPr>
            <w:r>
              <w:t>20</w:t>
            </w:r>
          </w:p>
        </w:tc>
        <w:tc>
          <w:tcPr>
            <w:tcW w:w="981" w:type="dxa"/>
            <w:vMerge/>
          </w:tcPr>
          <w:p w14:paraId="7601DCC8" w14:textId="77777777" w:rsidR="002E6AC0" w:rsidRPr="0072048F" w:rsidRDefault="002E6AC0" w:rsidP="002E6AC0">
            <w:pPr>
              <w:jc w:val="center"/>
            </w:pPr>
          </w:p>
        </w:tc>
        <w:tc>
          <w:tcPr>
            <w:tcW w:w="854" w:type="dxa"/>
          </w:tcPr>
          <w:p w14:paraId="407FD9FF" w14:textId="77777777" w:rsidR="002E6AC0" w:rsidRPr="0072048F" w:rsidRDefault="002E6AC0" w:rsidP="002E6AC0">
            <w:pPr>
              <w:jc w:val="center"/>
            </w:pPr>
            <w:r>
              <w:t>14</w:t>
            </w:r>
          </w:p>
        </w:tc>
        <w:tc>
          <w:tcPr>
            <w:tcW w:w="1079" w:type="dxa"/>
            <w:vMerge/>
          </w:tcPr>
          <w:p w14:paraId="03DAD080" w14:textId="77777777" w:rsidR="002E6AC0" w:rsidRPr="0072048F" w:rsidRDefault="002E6AC0" w:rsidP="002E6AC0">
            <w:pPr>
              <w:jc w:val="center"/>
            </w:pPr>
          </w:p>
        </w:tc>
      </w:tr>
      <w:tr w:rsidR="002E6AC0" w:rsidRPr="0072048F" w14:paraId="68685036" w14:textId="77777777" w:rsidTr="002E6AC0">
        <w:trPr>
          <w:trHeight w:val="275"/>
        </w:trPr>
        <w:tc>
          <w:tcPr>
            <w:tcW w:w="1830" w:type="dxa"/>
            <w:vMerge w:val="restart"/>
            <w:vAlign w:val="center"/>
          </w:tcPr>
          <w:p w14:paraId="5203888F" w14:textId="77777777" w:rsidR="002E6AC0" w:rsidRPr="00D32E9E" w:rsidRDefault="002E6AC0" w:rsidP="002E6AC0">
            <w:pPr>
              <w:jc w:val="center"/>
            </w:pPr>
            <w:r w:rsidRPr="00D32E9E">
              <w:t>Normal Colon Epithelium</w:t>
            </w:r>
          </w:p>
        </w:tc>
        <w:tc>
          <w:tcPr>
            <w:tcW w:w="1426" w:type="dxa"/>
            <w:vAlign w:val="center"/>
          </w:tcPr>
          <w:p w14:paraId="6C9AC404" w14:textId="77777777" w:rsidR="002E6AC0" w:rsidRPr="00227365" w:rsidRDefault="002E6AC0" w:rsidP="002E6AC0">
            <w:pPr>
              <w:jc w:val="center"/>
            </w:pPr>
            <w:r>
              <w:t>Lower n=56</w:t>
            </w:r>
          </w:p>
        </w:tc>
        <w:tc>
          <w:tcPr>
            <w:tcW w:w="992" w:type="dxa"/>
            <w:vAlign w:val="center"/>
          </w:tcPr>
          <w:p w14:paraId="085EC724" w14:textId="77777777" w:rsidR="002E6AC0" w:rsidRPr="00227365" w:rsidRDefault="002E6AC0" w:rsidP="002E6AC0">
            <w:pPr>
              <w:jc w:val="center"/>
            </w:pPr>
            <w:r>
              <w:t>3</w:t>
            </w:r>
          </w:p>
        </w:tc>
        <w:tc>
          <w:tcPr>
            <w:tcW w:w="992" w:type="dxa"/>
            <w:vMerge w:val="restart"/>
            <w:vAlign w:val="center"/>
          </w:tcPr>
          <w:p w14:paraId="370A62F5" w14:textId="77777777" w:rsidR="002E6AC0" w:rsidRPr="00227365" w:rsidRDefault="002E6AC0" w:rsidP="002E6AC0">
            <w:pPr>
              <w:jc w:val="center"/>
            </w:pPr>
            <w:r>
              <w:t>0.615</w:t>
            </w:r>
          </w:p>
        </w:tc>
        <w:tc>
          <w:tcPr>
            <w:tcW w:w="862" w:type="dxa"/>
            <w:vAlign w:val="center"/>
          </w:tcPr>
          <w:p w14:paraId="2483114B" w14:textId="77777777" w:rsidR="002E6AC0" w:rsidRPr="00227365" w:rsidRDefault="002E6AC0" w:rsidP="002E6AC0">
            <w:pPr>
              <w:jc w:val="center"/>
            </w:pPr>
            <w:r>
              <w:t>21</w:t>
            </w:r>
          </w:p>
        </w:tc>
        <w:tc>
          <w:tcPr>
            <w:tcW w:w="981" w:type="dxa"/>
            <w:vMerge w:val="restart"/>
            <w:vAlign w:val="center"/>
          </w:tcPr>
          <w:p w14:paraId="533B3E3D" w14:textId="77777777" w:rsidR="002E6AC0" w:rsidRPr="00227365" w:rsidRDefault="002E6AC0" w:rsidP="002E6AC0">
            <w:pPr>
              <w:jc w:val="center"/>
            </w:pPr>
            <w:r>
              <w:t>0.403</w:t>
            </w:r>
          </w:p>
        </w:tc>
        <w:tc>
          <w:tcPr>
            <w:tcW w:w="854" w:type="dxa"/>
            <w:vAlign w:val="center"/>
          </w:tcPr>
          <w:p w14:paraId="22CF9BC1" w14:textId="77777777" w:rsidR="002E6AC0" w:rsidRPr="00227365" w:rsidRDefault="002E6AC0" w:rsidP="002E6AC0">
            <w:pPr>
              <w:jc w:val="center"/>
            </w:pPr>
            <w:r>
              <w:t>22</w:t>
            </w:r>
          </w:p>
        </w:tc>
        <w:tc>
          <w:tcPr>
            <w:tcW w:w="1079" w:type="dxa"/>
            <w:vMerge w:val="restart"/>
            <w:vAlign w:val="center"/>
          </w:tcPr>
          <w:p w14:paraId="1196FCAE" w14:textId="77777777" w:rsidR="002E6AC0" w:rsidRPr="0072048F" w:rsidRDefault="002E6AC0" w:rsidP="002E6AC0">
            <w:pPr>
              <w:jc w:val="center"/>
              <w:rPr>
                <w:b/>
              </w:rPr>
            </w:pPr>
            <w:r w:rsidRPr="0072048F">
              <w:rPr>
                <w:b/>
              </w:rPr>
              <w:t>0.001</w:t>
            </w:r>
          </w:p>
        </w:tc>
      </w:tr>
      <w:tr w:rsidR="002E6AC0" w:rsidRPr="00227365" w14:paraId="3C64B8DF" w14:textId="77777777" w:rsidTr="002E6AC0">
        <w:trPr>
          <w:trHeight w:val="50"/>
        </w:trPr>
        <w:tc>
          <w:tcPr>
            <w:tcW w:w="1830" w:type="dxa"/>
            <w:vMerge/>
            <w:vAlign w:val="center"/>
          </w:tcPr>
          <w:p w14:paraId="04DA1FE2" w14:textId="77777777" w:rsidR="002E6AC0" w:rsidRPr="00D32E9E" w:rsidRDefault="002E6AC0" w:rsidP="002E6AC0">
            <w:pPr>
              <w:jc w:val="center"/>
            </w:pPr>
          </w:p>
        </w:tc>
        <w:tc>
          <w:tcPr>
            <w:tcW w:w="1426" w:type="dxa"/>
            <w:vAlign w:val="center"/>
          </w:tcPr>
          <w:p w14:paraId="3F05C2AB" w14:textId="77777777" w:rsidR="002E6AC0" w:rsidRPr="00227365" w:rsidRDefault="002E6AC0" w:rsidP="002E6AC0">
            <w:pPr>
              <w:jc w:val="center"/>
            </w:pPr>
            <w:r>
              <w:t>Higher n=51</w:t>
            </w:r>
          </w:p>
        </w:tc>
        <w:tc>
          <w:tcPr>
            <w:tcW w:w="992" w:type="dxa"/>
            <w:vAlign w:val="center"/>
          </w:tcPr>
          <w:p w14:paraId="5B0A0258" w14:textId="77777777" w:rsidR="002E6AC0" w:rsidRPr="00227365" w:rsidRDefault="002E6AC0" w:rsidP="002E6AC0">
            <w:pPr>
              <w:jc w:val="center"/>
            </w:pPr>
            <w:r>
              <w:t>3</w:t>
            </w:r>
          </w:p>
        </w:tc>
        <w:tc>
          <w:tcPr>
            <w:tcW w:w="992" w:type="dxa"/>
            <w:vMerge/>
            <w:vAlign w:val="center"/>
          </w:tcPr>
          <w:p w14:paraId="2A08DD36" w14:textId="77777777" w:rsidR="002E6AC0" w:rsidRPr="00227365" w:rsidRDefault="002E6AC0" w:rsidP="002E6AC0">
            <w:pPr>
              <w:jc w:val="center"/>
            </w:pPr>
          </w:p>
        </w:tc>
        <w:tc>
          <w:tcPr>
            <w:tcW w:w="862" w:type="dxa"/>
            <w:vAlign w:val="center"/>
          </w:tcPr>
          <w:p w14:paraId="311B2208" w14:textId="77777777" w:rsidR="002E6AC0" w:rsidRPr="00227365" w:rsidRDefault="002E6AC0" w:rsidP="002E6AC0">
            <w:pPr>
              <w:jc w:val="center"/>
            </w:pPr>
            <w:r>
              <w:t>17</w:t>
            </w:r>
          </w:p>
        </w:tc>
        <w:tc>
          <w:tcPr>
            <w:tcW w:w="981" w:type="dxa"/>
            <w:vMerge/>
            <w:vAlign w:val="center"/>
          </w:tcPr>
          <w:p w14:paraId="78F55655" w14:textId="77777777" w:rsidR="002E6AC0" w:rsidRPr="00227365" w:rsidRDefault="002E6AC0" w:rsidP="002E6AC0">
            <w:pPr>
              <w:jc w:val="center"/>
            </w:pPr>
          </w:p>
        </w:tc>
        <w:tc>
          <w:tcPr>
            <w:tcW w:w="854" w:type="dxa"/>
            <w:vAlign w:val="center"/>
          </w:tcPr>
          <w:p w14:paraId="76FDFB61" w14:textId="77777777" w:rsidR="002E6AC0" w:rsidRPr="00227365" w:rsidRDefault="002E6AC0" w:rsidP="002E6AC0">
            <w:pPr>
              <w:jc w:val="center"/>
            </w:pPr>
            <w:r>
              <w:t>6</w:t>
            </w:r>
          </w:p>
        </w:tc>
        <w:tc>
          <w:tcPr>
            <w:tcW w:w="1079" w:type="dxa"/>
            <w:vMerge/>
            <w:vAlign w:val="center"/>
          </w:tcPr>
          <w:p w14:paraId="08A1A5DD" w14:textId="77777777" w:rsidR="002E6AC0" w:rsidRPr="00227365" w:rsidRDefault="002E6AC0" w:rsidP="002E6AC0">
            <w:pPr>
              <w:jc w:val="center"/>
            </w:pPr>
          </w:p>
        </w:tc>
      </w:tr>
    </w:tbl>
    <w:p w14:paraId="4F1F63C5" w14:textId="2764BF05" w:rsidR="002E6AC0" w:rsidRDefault="002E6AC0" w:rsidP="00631474">
      <w:pPr>
        <w:spacing w:line="480" w:lineRule="auto"/>
        <w:rPr>
          <w:b/>
          <w:sz w:val="24"/>
          <w:szCs w:val="24"/>
        </w:rPr>
      </w:pPr>
    </w:p>
    <w:p w14:paraId="5F00DF22" w14:textId="219E31BE" w:rsidR="002E6AC0" w:rsidRDefault="002E6AC0" w:rsidP="002E6AC0">
      <w:pPr>
        <w:spacing w:line="480" w:lineRule="auto"/>
        <w:jc w:val="center"/>
        <w:rPr>
          <w:sz w:val="20"/>
          <w:szCs w:val="20"/>
        </w:rPr>
      </w:pPr>
      <w:r>
        <w:rPr>
          <w:sz w:val="20"/>
          <w:szCs w:val="20"/>
        </w:rPr>
        <w:t xml:space="preserve">Relative tissue microarray acid ceramidase expression </w:t>
      </w:r>
      <w:r w:rsidR="00173241">
        <w:rPr>
          <w:sz w:val="20"/>
          <w:szCs w:val="20"/>
        </w:rPr>
        <w:t>in</w:t>
      </w:r>
      <w:r>
        <w:rPr>
          <w:sz w:val="20"/>
          <w:szCs w:val="20"/>
        </w:rPr>
        <w:t xml:space="preserve"> each tissue subset was correlated with local disease recurrence, metastatic disease and death </w:t>
      </w:r>
      <w:r w:rsidR="003D1C68">
        <w:rPr>
          <w:sz w:val="20"/>
          <w:szCs w:val="20"/>
        </w:rPr>
        <w:t>using Fisher’s exact test.</w:t>
      </w:r>
    </w:p>
    <w:p w14:paraId="33127A33" w14:textId="7AB491AE" w:rsidR="003D1C68" w:rsidRDefault="003D1C68" w:rsidP="002E6AC0">
      <w:pPr>
        <w:spacing w:line="480" w:lineRule="auto"/>
        <w:jc w:val="center"/>
        <w:rPr>
          <w:sz w:val="20"/>
          <w:szCs w:val="20"/>
        </w:rPr>
      </w:pPr>
    </w:p>
    <w:p w14:paraId="7C45C235" w14:textId="0EAB9C4D" w:rsidR="003D1C68" w:rsidRDefault="003D1C68" w:rsidP="002E6AC0">
      <w:pPr>
        <w:spacing w:line="480" w:lineRule="auto"/>
        <w:jc w:val="center"/>
        <w:rPr>
          <w:sz w:val="20"/>
          <w:szCs w:val="20"/>
        </w:rPr>
      </w:pPr>
    </w:p>
    <w:p w14:paraId="6897F62F" w14:textId="20E4D490" w:rsidR="003D1C68" w:rsidRDefault="003D1C68" w:rsidP="002E6AC0">
      <w:pPr>
        <w:spacing w:line="480" w:lineRule="auto"/>
        <w:jc w:val="center"/>
        <w:rPr>
          <w:sz w:val="20"/>
          <w:szCs w:val="20"/>
        </w:rPr>
      </w:pPr>
    </w:p>
    <w:p w14:paraId="05BB5515" w14:textId="4E805FC3" w:rsidR="003D1C68" w:rsidRDefault="003D1C68" w:rsidP="002E6AC0">
      <w:pPr>
        <w:spacing w:line="480" w:lineRule="auto"/>
        <w:jc w:val="center"/>
        <w:rPr>
          <w:sz w:val="20"/>
          <w:szCs w:val="20"/>
        </w:rPr>
      </w:pPr>
    </w:p>
    <w:p w14:paraId="2DE6A63D" w14:textId="1F1A84C8" w:rsidR="003D1C68" w:rsidRDefault="003D1C68" w:rsidP="002E6AC0">
      <w:pPr>
        <w:spacing w:line="480" w:lineRule="auto"/>
        <w:jc w:val="center"/>
        <w:rPr>
          <w:sz w:val="20"/>
          <w:szCs w:val="20"/>
        </w:rPr>
      </w:pPr>
    </w:p>
    <w:p w14:paraId="5764BC27" w14:textId="543F8FF7" w:rsidR="003D1C68" w:rsidRDefault="003D1C68" w:rsidP="002E6AC0">
      <w:pPr>
        <w:spacing w:line="480" w:lineRule="auto"/>
        <w:jc w:val="center"/>
        <w:rPr>
          <w:sz w:val="20"/>
          <w:szCs w:val="20"/>
        </w:rPr>
      </w:pPr>
    </w:p>
    <w:p w14:paraId="2582DB70" w14:textId="46913944" w:rsidR="003D1C68" w:rsidRDefault="003D1C68" w:rsidP="002E6AC0">
      <w:pPr>
        <w:spacing w:line="480" w:lineRule="auto"/>
        <w:jc w:val="center"/>
        <w:rPr>
          <w:sz w:val="20"/>
          <w:szCs w:val="20"/>
        </w:rPr>
      </w:pPr>
    </w:p>
    <w:p w14:paraId="4C4EBC9F" w14:textId="5B3C96F8" w:rsidR="003D1C68" w:rsidRDefault="003D1C68" w:rsidP="002E6AC0">
      <w:pPr>
        <w:spacing w:line="480" w:lineRule="auto"/>
        <w:jc w:val="center"/>
        <w:rPr>
          <w:sz w:val="20"/>
          <w:szCs w:val="20"/>
        </w:rPr>
      </w:pPr>
    </w:p>
    <w:p w14:paraId="3E788754" w14:textId="1BFF06E5" w:rsidR="003D1C68" w:rsidRDefault="003D1C68" w:rsidP="002E6AC0">
      <w:pPr>
        <w:spacing w:line="480" w:lineRule="auto"/>
        <w:jc w:val="center"/>
        <w:rPr>
          <w:sz w:val="20"/>
          <w:szCs w:val="20"/>
        </w:rPr>
      </w:pPr>
    </w:p>
    <w:p w14:paraId="21B83A89" w14:textId="0917966C" w:rsidR="003D1C68" w:rsidRDefault="003D1C68" w:rsidP="002E6AC0">
      <w:pPr>
        <w:spacing w:line="480" w:lineRule="auto"/>
        <w:jc w:val="center"/>
        <w:rPr>
          <w:sz w:val="20"/>
          <w:szCs w:val="20"/>
        </w:rPr>
      </w:pPr>
    </w:p>
    <w:p w14:paraId="68F25A6A" w14:textId="6DD6EE8F" w:rsidR="003D1C68" w:rsidRDefault="003D1C68" w:rsidP="002E6AC0">
      <w:pPr>
        <w:spacing w:line="480" w:lineRule="auto"/>
        <w:jc w:val="center"/>
        <w:rPr>
          <w:sz w:val="20"/>
          <w:szCs w:val="20"/>
        </w:rPr>
      </w:pPr>
    </w:p>
    <w:p w14:paraId="21BF3413" w14:textId="77777777" w:rsidR="00F02E55" w:rsidRDefault="00F02E55">
      <w:pPr>
        <w:rPr>
          <w:b/>
          <w:sz w:val="24"/>
          <w:szCs w:val="24"/>
        </w:rPr>
      </w:pPr>
      <w:r>
        <w:rPr>
          <w:b/>
          <w:sz w:val="24"/>
          <w:szCs w:val="24"/>
        </w:rPr>
        <w:br w:type="page"/>
      </w:r>
    </w:p>
    <w:p w14:paraId="493801A6" w14:textId="3F6F0929" w:rsidR="00EE51D0" w:rsidRPr="000F3197" w:rsidRDefault="00C92496" w:rsidP="00631474">
      <w:pPr>
        <w:spacing w:line="480" w:lineRule="auto"/>
        <w:rPr>
          <w:sz w:val="20"/>
          <w:szCs w:val="20"/>
        </w:rPr>
      </w:pPr>
      <w:r w:rsidRPr="00337759">
        <w:rPr>
          <w:b/>
          <w:sz w:val="24"/>
          <w:szCs w:val="24"/>
        </w:rPr>
        <w:lastRenderedPageBreak/>
        <w:t>Discussion</w:t>
      </w:r>
    </w:p>
    <w:p w14:paraId="04A41EA4" w14:textId="6AF830F0" w:rsidR="00690E8A" w:rsidRDefault="003C5AE7" w:rsidP="00BE494F">
      <w:pPr>
        <w:spacing w:line="480" w:lineRule="auto"/>
      </w:pPr>
      <w:r>
        <w:t>We have undertaken novel proteomic profiling of rectal cancer</w:t>
      </w:r>
      <w:r w:rsidR="00224970">
        <w:t xml:space="preserve">, and identified that AC is implicated in radiation </w:t>
      </w:r>
      <w:r w:rsidR="00E50DBA">
        <w:t>sensitivity</w:t>
      </w:r>
      <w:r>
        <w:t xml:space="preserve">, with lower expression observed in radiosensitive tumours.  Further independent validation has been undertaken in 111 rectal cancer patients where stromal tumour expression </w:t>
      </w:r>
      <w:r w:rsidR="00C7087A">
        <w:t>of AC in post-CRT specimens is consistent with t</w:t>
      </w:r>
      <w:r>
        <w:t>he original findi</w:t>
      </w:r>
      <w:r w:rsidR="00F95BDC">
        <w:t xml:space="preserve">ngs.  </w:t>
      </w:r>
      <w:r w:rsidR="00C7087A">
        <w:t xml:space="preserve">A high epithelial expression of AC in normal colon has been associated with a poor response to CRT.  </w:t>
      </w:r>
    </w:p>
    <w:p w14:paraId="1DADB371" w14:textId="77777777" w:rsidR="009653D8" w:rsidRDefault="009653D8" w:rsidP="00BE494F">
      <w:pPr>
        <w:spacing w:line="480" w:lineRule="auto"/>
      </w:pPr>
    </w:p>
    <w:p w14:paraId="08CF8F00" w14:textId="77777777" w:rsidR="009653D8" w:rsidRDefault="009653D8" w:rsidP="009653D8">
      <w:pPr>
        <w:spacing w:line="480" w:lineRule="auto"/>
      </w:pPr>
      <w:r>
        <w:t>Whilst AC was one of eight proteins originally identified as differentially expressed between relative responders and non-responders to CRT, we have initially focussed on AC individually in the validation work on the basis of the evidence for its implication in prostate cancer response to radiotherapy, and the availability of a commercially available chemotherapeutic inhibitor.  Our proteomic profiling also revealed myoferlin as another protein that may be implicated in response to CRT.  Myoferlin is a muscle specific protein that has been identified in cancer cells and has been shown to confer a poor prognosis in oropharyngeal cancers</w:t>
      </w:r>
      <w:r>
        <w:rPr>
          <w:vertAlign w:val="superscript"/>
        </w:rPr>
        <w:t>(37)</w:t>
      </w:r>
      <w:r>
        <w:t>, another tumour group often treated with radiotherapy.  Further work is also needed to assess the role of this protein in rectal cancer.</w:t>
      </w:r>
    </w:p>
    <w:p w14:paraId="143864CA" w14:textId="77777777" w:rsidR="009653D8" w:rsidRDefault="009653D8" w:rsidP="00BE494F">
      <w:pPr>
        <w:spacing w:line="480" w:lineRule="auto"/>
      </w:pPr>
    </w:p>
    <w:p w14:paraId="46C3AA23" w14:textId="3E1A656B" w:rsidR="009C6DED" w:rsidRDefault="009C6DED" w:rsidP="00BE494F">
      <w:pPr>
        <w:spacing w:line="480" w:lineRule="auto"/>
      </w:pPr>
      <w:r>
        <w:t xml:space="preserve">Correlation of AC expression with outcome data has additionally demonstrated association between relatively high epithelial and stromal expression in post-CRT cancer site tissue and local recurrence, and poorer survival with relatively low </w:t>
      </w:r>
      <w:r w:rsidR="009470C7">
        <w:t xml:space="preserve">epithelial expression in normal colon.  These findings further implicate AC </w:t>
      </w:r>
      <w:r w:rsidR="00224970">
        <w:t>in radiation response</w:t>
      </w:r>
      <w:r w:rsidR="00AE39B9">
        <w:t>, although the latter is contrary to relatively high expression in normal colon epithelium correlating with improved response to CRT</w:t>
      </w:r>
      <w:r w:rsidR="009470C7">
        <w:t>.</w:t>
      </w:r>
      <w:r w:rsidR="00AE39B9">
        <w:t xml:space="preserve">  This may be a statistical </w:t>
      </w:r>
      <w:r w:rsidR="009F1F83">
        <w:t>anomaly</w:t>
      </w:r>
      <w:r w:rsidR="00224970">
        <w:t>,</w:t>
      </w:r>
      <w:r w:rsidR="009F1F83">
        <w:t xml:space="preserve"> </w:t>
      </w:r>
      <w:r w:rsidR="00AE39B9">
        <w:t xml:space="preserve">but </w:t>
      </w:r>
      <w:r w:rsidR="00224970">
        <w:t xml:space="preserve"> requires </w:t>
      </w:r>
      <w:r w:rsidR="00654958">
        <w:t>further analysis in a prospectiv</w:t>
      </w:r>
      <w:r w:rsidR="00A46F0E">
        <w:t>e dataset.</w:t>
      </w:r>
    </w:p>
    <w:p w14:paraId="73AFE3BF" w14:textId="77777777" w:rsidR="009653D8" w:rsidRDefault="009653D8" w:rsidP="00BE494F">
      <w:pPr>
        <w:spacing w:line="480" w:lineRule="auto"/>
      </w:pPr>
    </w:p>
    <w:p w14:paraId="3005D936" w14:textId="77777777" w:rsidR="009653D8" w:rsidRDefault="009653D8" w:rsidP="009653D8">
      <w:pPr>
        <w:spacing w:line="480" w:lineRule="auto"/>
      </w:pPr>
      <w:r>
        <w:lastRenderedPageBreak/>
        <w:t>We recognise the limitations of the initial proteomic profiling.  The number of proteins with significant difference is small compared to the number of identified proteins, and the number of proteins used for Ingenuity Pathway Analysis is also small.  This is a consequence of a small initial study and a desire to keep statistical selection stringent to avoid false discovery, and is why we looked to and would recommend validation.  Tissues were also not micro-dissected in sample preparation, however this was intentional in order to mimic a clinical diagnostic biopsy and ensure translation of any results to clinical practice.</w:t>
      </w:r>
    </w:p>
    <w:p w14:paraId="3DC0FF10" w14:textId="77777777" w:rsidR="009653D8" w:rsidRDefault="009653D8" w:rsidP="00BE494F">
      <w:pPr>
        <w:spacing w:line="480" w:lineRule="auto"/>
      </w:pPr>
    </w:p>
    <w:p w14:paraId="30DD66FE" w14:textId="3471817C" w:rsidR="00C7087A" w:rsidRDefault="00690E8A" w:rsidP="00BE494F">
      <w:pPr>
        <w:spacing w:line="480" w:lineRule="auto"/>
      </w:pPr>
      <w:r>
        <w:t>Previous individual biomarker studies have focussed on candidate proteins involved in DNA damage repair, cell proliferation, angiogenesis and apoptosis, most frequently evaluating p53, p21, KRAS, EGFR, VEGF, Bax, Bcl-2, thymidylate synthetase, and Ki-67</w:t>
      </w:r>
      <w:r w:rsidR="00404FB7">
        <w:rPr>
          <w:vertAlign w:val="superscript"/>
        </w:rPr>
        <w:t>(2</w:t>
      </w:r>
      <w:r w:rsidR="00BE3817">
        <w:rPr>
          <w:vertAlign w:val="superscript"/>
        </w:rPr>
        <w:t>7</w:t>
      </w:r>
      <w:r w:rsidR="00404FB7">
        <w:rPr>
          <w:vertAlign w:val="superscript"/>
        </w:rPr>
        <w:t>)</w:t>
      </w:r>
      <w:r>
        <w:t>.  No single protein has been consistently demonstrated to be predictive of response to CRT in rectal cancer.  Equally gene expressio</w:t>
      </w:r>
      <w:r w:rsidR="001A11ED">
        <w:t>n profiles investigating pCR have</w:t>
      </w:r>
      <w:r>
        <w:t xml:space="preserve"> not </w:t>
      </w:r>
      <w:r w:rsidR="001A11ED">
        <w:t xml:space="preserve">been </w:t>
      </w:r>
      <w:r>
        <w:t>comparable between studies</w:t>
      </w:r>
      <w:r w:rsidR="00494719">
        <w:rPr>
          <w:vertAlign w:val="superscript"/>
        </w:rPr>
        <w:t>(16)</w:t>
      </w:r>
      <w:r>
        <w:t>.  Given the variable response to CRT, and the lack of reproducibility between studies, it is likely that multiple genes and cellular pathways play a role in the regulation of tumour response, notwithstanding post-translational modifications and interactions in the tumour micro-environment</w:t>
      </w:r>
      <w:r w:rsidR="00494719">
        <w:rPr>
          <w:vertAlign w:val="superscript"/>
        </w:rPr>
        <w:t>(2</w:t>
      </w:r>
      <w:r w:rsidR="004C69F5">
        <w:rPr>
          <w:vertAlign w:val="superscript"/>
        </w:rPr>
        <w:t>8</w:t>
      </w:r>
      <w:r w:rsidR="00494719">
        <w:rPr>
          <w:vertAlign w:val="superscript"/>
        </w:rPr>
        <w:t>)</w:t>
      </w:r>
      <w:r>
        <w:t>.</w:t>
      </w:r>
    </w:p>
    <w:p w14:paraId="00851BC2" w14:textId="77777777" w:rsidR="009653D8" w:rsidRPr="00BE494F" w:rsidRDefault="009653D8" w:rsidP="00BE494F">
      <w:pPr>
        <w:spacing w:line="480" w:lineRule="auto"/>
        <w:rPr>
          <w:vertAlign w:val="superscript"/>
        </w:rPr>
      </w:pPr>
    </w:p>
    <w:p w14:paraId="50057006" w14:textId="264A8761" w:rsidR="00451679" w:rsidRDefault="00681048" w:rsidP="00BE494F">
      <w:pPr>
        <w:spacing w:line="480" w:lineRule="auto"/>
      </w:pPr>
      <w:r>
        <w:t xml:space="preserve">The stroma (or tumour micro-environment) is considered to play an essential role in both the development of malignancy and in the resistance to treatment.  </w:t>
      </w:r>
      <w:r w:rsidRPr="00681048">
        <w:t>Th</w:t>
      </w:r>
      <w:r>
        <w:t xml:space="preserve">is environment, composed of </w:t>
      </w:r>
      <w:r w:rsidRPr="00681048">
        <w:t>extracellular matrix, fibroblasts, endothelial cells, and cells of the immune system regulates the behavio</w:t>
      </w:r>
      <w:r>
        <w:t>u</w:t>
      </w:r>
      <w:r w:rsidRPr="00681048">
        <w:t>r of</w:t>
      </w:r>
      <w:r w:rsidR="00C71F02">
        <w:t xml:space="preserve"> </w:t>
      </w:r>
      <w:r w:rsidRPr="00681048">
        <w:t>tumo</w:t>
      </w:r>
      <w:r>
        <w:t>u</w:t>
      </w:r>
      <w:r w:rsidRPr="00681048">
        <w:t>r cells</w:t>
      </w:r>
      <w:r w:rsidR="00C71F02">
        <w:t xml:space="preserve"> and co-evolves</w:t>
      </w:r>
      <w:r w:rsidR="00494719">
        <w:rPr>
          <w:vertAlign w:val="superscript"/>
        </w:rPr>
        <w:t>(</w:t>
      </w:r>
      <w:r w:rsidR="004C69F5">
        <w:rPr>
          <w:vertAlign w:val="superscript"/>
        </w:rPr>
        <w:t>29</w:t>
      </w:r>
      <w:r w:rsidR="00494719">
        <w:rPr>
          <w:vertAlign w:val="superscript"/>
        </w:rPr>
        <w:t>)</w:t>
      </w:r>
      <w:r w:rsidRPr="00681048">
        <w:t>.</w:t>
      </w:r>
      <w:r w:rsidR="00C71F02">
        <w:t xml:space="preserve">  Cancer cells have been demonstrated to </w:t>
      </w:r>
      <w:r w:rsidR="00C71F02" w:rsidRPr="00C71F02">
        <w:rPr>
          <w:lang w:val="en"/>
        </w:rPr>
        <w:t>activate and recruit carcinoma-associated fibrobla</w:t>
      </w:r>
      <w:r w:rsidR="00C71F02">
        <w:rPr>
          <w:lang w:val="en"/>
        </w:rPr>
        <w:t xml:space="preserve">sts, which </w:t>
      </w:r>
      <w:r w:rsidR="00C71F02" w:rsidRPr="00C71F02">
        <w:rPr>
          <w:lang w:val="en"/>
        </w:rPr>
        <w:t xml:space="preserve">are able to </w:t>
      </w:r>
      <w:r w:rsidR="00C215A2">
        <w:rPr>
          <w:lang w:val="en"/>
        </w:rPr>
        <w:t>both stimulate</w:t>
      </w:r>
      <w:r w:rsidR="00C71F02" w:rsidRPr="00C71F02">
        <w:rPr>
          <w:lang w:val="en"/>
        </w:rPr>
        <w:t xml:space="preserve"> cell growth and invasion</w:t>
      </w:r>
      <w:r w:rsidR="00F2753E">
        <w:rPr>
          <w:lang w:val="en"/>
        </w:rPr>
        <w:t>,</w:t>
      </w:r>
      <w:r w:rsidR="00C71F02" w:rsidRPr="00C71F02">
        <w:rPr>
          <w:lang w:val="en"/>
        </w:rPr>
        <w:t xml:space="preserve"> as well a</w:t>
      </w:r>
      <w:r w:rsidR="00C71F02">
        <w:rPr>
          <w:lang w:val="en"/>
        </w:rPr>
        <w:t>s inflammation and angiogenesis but</w:t>
      </w:r>
      <w:r w:rsidR="00C71F02" w:rsidRPr="00C71F02">
        <w:rPr>
          <w:lang w:val="en"/>
        </w:rPr>
        <w:t xml:space="preserve"> may also be tumo</w:t>
      </w:r>
      <w:r w:rsidR="00C215A2">
        <w:rPr>
          <w:lang w:val="en"/>
        </w:rPr>
        <w:t>u</w:t>
      </w:r>
      <w:r w:rsidR="00C71F02" w:rsidRPr="00C71F02">
        <w:rPr>
          <w:lang w:val="en"/>
        </w:rPr>
        <w:t>r inhibiting</w:t>
      </w:r>
      <w:r w:rsidR="00494719">
        <w:rPr>
          <w:vertAlign w:val="superscript"/>
          <w:lang w:val="en"/>
        </w:rPr>
        <w:t>(3</w:t>
      </w:r>
      <w:r w:rsidR="004C69F5">
        <w:rPr>
          <w:vertAlign w:val="superscript"/>
          <w:lang w:val="en"/>
        </w:rPr>
        <w:t>0</w:t>
      </w:r>
      <w:r w:rsidR="00494719">
        <w:rPr>
          <w:vertAlign w:val="superscript"/>
          <w:lang w:val="en"/>
        </w:rPr>
        <w:t>)</w:t>
      </w:r>
      <w:r w:rsidR="00C215A2">
        <w:rPr>
          <w:lang w:val="en"/>
        </w:rPr>
        <w:t>.</w:t>
      </w:r>
      <w:r w:rsidR="00C60CA8">
        <w:rPr>
          <w:lang w:val="en"/>
        </w:rPr>
        <w:t xml:space="preserve">  This process is considered to be under the regulation of transforming growth factor </w:t>
      </w:r>
      <w:r w:rsidR="00C60CA8">
        <w:rPr>
          <w:rFonts w:cstheme="minorHAnsi"/>
          <w:lang w:val="en"/>
        </w:rPr>
        <w:t>β</w:t>
      </w:r>
      <w:r w:rsidR="00C60CA8">
        <w:rPr>
          <w:lang w:val="en"/>
        </w:rPr>
        <w:t xml:space="preserve"> (</w:t>
      </w:r>
      <w:r w:rsidR="00C60CA8" w:rsidRPr="00C60CA8">
        <w:rPr>
          <w:lang w:val="en"/>
        </w:rPr>
        <w:t>TGFβ</w:t>
      </w:r>
      <w:r w:rsidR="00C60CA8">
        <w:rPr>
          <w:lang w:val="en"/>
        </w:rPr>
        <w:t>)</w:t>
      </w:r>
      <w:r w:rsidR="00C60CA8" w:rsidRPr="00C60CA8">
        <w:rPr>
          <w:lang w:val="en"/>
        </w:rPr>
        <w:t xml:space="preserve"> signalling</w:t>
      </w:r>
      <w:r w:rsidR="00C60CA8">
        <w:rPr>
          <w:lang w:val="en"/>
        </w:rPr>
        <w:t>, which itse</w:t>
      </w:r>
      <w:r w:rsidR="005A66E0">
        <w:rPr>
          <w:lang w:val="en"/>
        </w:rPr>
        <w:t>lf</w:t>
      </w:r>
      <w:r w:rsidR="00C60CA8" w:rsidRPr="00C60CA8">
        <w:rPr>
          <w:lang w:val="en"/>
        </w:rPr>
        <w:t xml:space="preserve"> </w:t>
      </w:r>
      <w:r w:rsidR="00C60CA8">
        <w:rPr>
          <w:lang w:val="en"/>
        </w:rPr>
        <w:t>is primarily activated by integrins secreted from both tumour and stromal cells.</w:t>
      </w:r>
      <w:r w:rsidR="00A26FF6">
        <w:rPr>
          <w:lang w:val="en"/>
        </w:rPr>
        <w:t xml:space="preserve">  In normal tissues </w:t>
      </w:r>
      <w:r w:rsidR="00A26FF6">
        <w:rPr>
          <w:lang w:val="en"/>
        </w:rPr>
        <w:lastRenderedPageBreak/>
        <w:t>TGF</w:t>
      </w:r>
      <w:r w:rsidR="00A26FF6">
        <w:rPr>
          <w:rFonts w:cstheme="minorHAnsi"/>
          <w:lang w:val="en"/>
        </w:rPr>
        <w:t>β</w:t>
      </w:r>
      <w:r w:rsidR="00A26FF6">
        <w:rPr>
          <w:lang w:val="en"/>
        </w:rPr>
        <w:t xml:space="preserve"> suppresses epithelial cell division but tumour cells can develop escape mechanisms to become resistant to TGF</w:t>
      </w:r>
      <w:r w:rsidR="00A26FF6">
        <w:rPr>
          <w:rFonts w:cstheme="minorHAnsi"/>
          <w:lang w:val="en"/>
        </w:rPr>
        <w:t>β</w:t>
      </w:r>
      <w:r w:rsidR="00A26FF6">
        <w:rPr>
          <w:lang w:val="en"/>
        </w:rPr>
        <w:t xml:space="preserve"> growth suppression.</w:t>
      </w:r>
      <w:r w:rsidR="00C60CA8" w:rsidRPr="00C60CA8">
        <w:rPr>
          <w:lang w:val="en"/>
        </w:rPr>
        <w:t xml:space="preserve"> </w:t>
      </w:r>
      <w:r w:rsidR="00C60CA8">
        <w:rPr>
          <w:lang w:val="en"/>
        </w:rPr>
        <w:t xml:space="preserve"> </w:t>
      </w:r>
      <w:r w:rsidR="00C60CA8" w:rsidRPr="00C60CA8">
        <w:rPr>
          <w:lang w:val="en"/>
        </w:rPr>
        <w:t>In addi</w:t>
      </w:r>
      <w:r w:rsidR="00A26FF6">
        <w:rPr>
          <w:lang w:val="en"/>
        </w:rPr>
        <w:t xml:space="preserve">tion, TGFβ drives epithelial mesenchymal transition, </w:t>
      </w:r>
      <w:r w:rsidR="00C60CA8" w:rsidRPr="00C60CA8">
        <w:rPr>
          <w:lang w:val="en"/>
        </w:rPr>
        <w:t>increasi</w:t>
      </w:r>
      <w:r w:rsidR="005A66E0">
        <w:rPr>
          <w:lang w:val="en"/>
        </w:rPr>
        <w:t>ng the potential f</w:t>
      </w:r>
      <w:r w:rsidR="00494719">
        <w:rPr>
          <w:lang w:val="en"/>
        </w:rPr>
        <w:t>or metastasis</w:t>
      </w:r>
      <w:r w:rsidR="00494719">
        <w:rPr>
          <w:vertAlign w:val="superscript"/>
          <w:lang w:val="en"/>
        </w:rPr>
        <w:t>(3</w:t>
      </w:r>
      <w:r w:rsidR="004C69F5">
        <w:rPr>
          <w:vertAlign w:val="superscript"/>
          <w:lang w:val="en"/>
        </w:rPr>
        <w:t>1</w:t>
      </w:r>
      <w:r w:rsidR="00494719">
        <w:rPr>
          <w:vertAlign w:val="superscript"/>
          <w:lang w:val="en"/>
        </w:rPr>
        <w:t>)</w:t>
      </w:r>
      <w:r w:rsidR="005A66E0">
        <w:rPr>
          <w:lang w:val="en"/>
        </w:rPr>
        <w:t>.</w:t>
      </w:r>
      <w:r w:rsidR="009653D8">
        <w:rPr>
          <w:lang w:val="en"/>
        </w:rPr>
        <w:t xml:space="preserve">  </w:t>
      </w:r>
      <w:r w:rsidR="00451679">
        <w:t>The host response</w:t>
      </w:r>
      <w:r w:rsidR="00994DDE">
        <w:t>,</w:t>
      </w:r>
      <w:r w:rsidR="00451679">
        <w:t xml:space="preserve"> th</w:t>
      </w:r>
      <w:r w:rsidR="00224970">
        <w:t>r</w:t>
      </w:r>
      <w:r w:rsidR="00451679">
        <w:t>ough natural killer cells</w:t>
      </w:r>
      <w:r w:rsidR="00994DDE">
        <w:t>,</w:t>
      </w:r>
      <w:r w:rsidR="00451679">
        <w:t xml:space="preserve"> has also been observed as a determinant of response to CRT</w:t>
      </w:r>
      <w:r w:rsidR="00853C00">
        <w:rPr>
          <w:vertAlign w:val="superscript"/>
        </w:rPr>
        <w:t>(32)</w:t>
      </w:r>
      <w:r w:rsidR="00994DDE">
        <w:t>.  Particularly g</w:t>
      </w:r>
      <w:r w:rsidR="00451679">
        <w:t xml:space="preserve">iven </w:t>
      </w:r>
      <w:r w:rsidR="00994DDE">
        <w:t>the association of higher expression of AC in normal colon epithelium with a poor response to CRT</w:t>
      </w:r>
      <w:r w:rsidR="00451679">
        <w:t xml:space="preserve">, it may be </w:t>
      </w:r>
      <w:r w:rsidR="00853C00">
        <w:t>AC is implicated in mediating radio-resistance through tumour-stroma interaction or host response, and could represent a therapeutic target.</w:t>
      </w:r>
    </w:p>
    <w:p w14:paraId="6B6AC2A2" w14:textId="77777777" w:rsidR="009653D8" w:rsidRDefault="009653D8" w:rsidP="00BE494F">
      <w:pPr>
        <w:spacing w:line="480" w:lineRule="auto"/>
      </w:pPr>
    </w:p>
    <w:p w14:paraId="302FCA7E" w14:textId="7A387422" w:rsidR="00E117AF" w:rsidRDefault="001A11ED" w:rsidP="00BE494F">
      <w:pPr>
        <w:spacing w:line="480" w:lineRule="auto"/>
      </w:pPr>
      <w:r>
        <w:t>AC</w:t>
      </w:r>
      <w:r w:rsidR="00E117AF" w:rsidRPr="00E117AF">
        <w:t xml:space="preserve"> is a sphingolipid - a group of biomolecules known to be responsible for important signalling functions in the control of cell gro</w:t>
      </w:r>
      <w:r w:rsidR="002210EA">
        <w:t>wth,</w:t>
      </w:r>
      <w:r w:rsidR="00E117AF">
        <w:t xml:space="preserve"> differentia</w:t>
      </w:r>
      <w:r w:rsidR="006E0B68">
        <w:t>tion</w:t>
      </w:r>
      <w:r w:rsidR="002210EA">
        <w:t xml:space="preserve"> and apoptosis</w:t>
      </w:r>
      <w:r w:rsidR="00E117AF">
        <w:t>, and itself catalyses the cleavage of ceramide into sphingosine and free fatty acid</w:t>
      </w:r>
      <w:r w:rsidR="00494719">
        <w:rPr>
          <w:vertAlign w:val="superscript"/>
        </w:rPr>
        <w:t>(3</w:t>
      </w:r>
      <w:r w:rsidR="004C69F5">
        <w:rPr>
          <w:vertAlign w:val="superscript"/>
        </w:rPr>
        <w:t>2</w:t>
      </w:r>
      <w:r w:rsidR="00494719">
        <w:rPr>
          <w:vertAlign w:val="superscript"/>
        </w:rPr>
        <w:t>,3</w:t>
      </w:r>
      <w:r w:rsidR="004C69F5">
        <w:rPr>
          <w:vertAlign w:val="superscript"/>
        </w:rPr>
        <w:t>3</w:t>
      </w:r>
      <w:r w:rsidR="00494719">
        <w:rPr>
          <w:vertAlign w:val="superscript"/>
        </w:rPr>
        <w:t>)</w:t>
      </w:r>
      <w:r w:rsidR="00F91B02">
        <w:t xml:space="preserve">. </w:t>
      </w:r>
      <w:r w:rsidR="00E117AF">
        <w:t xml:space="preserve"> Ceramide has been observed to accumulate in radiation induced apoptosis, and is described as a t</w:t>
      </w:r>
      <w:r w:rsidR="006E0B68">
        <w:t>umour suppressor lipid</w:t>
      </w:r>
      <w:r w:rsidR="00494719">
        <w:rPr>
          <w:vertAlign w:val="superscript"/>
        </w:rPr>
        <w:t>(3</w:t>
      </w:r>
      <w:r w:rsidR="004C69F5">
        <w:rPr>
          <w:vertAlign w:val="superscript"/>
        </w:rPr>
        <w:t>4</w:t>
      </w:r>
      <w:r w:rsidR="00494719">
        <w:rPr>
          <w:vertAlign w:val="superscript"/>
        </w:rPr>
        <w:t>)</w:t>
      </w:r>
      <w:r w:rsidR="00F91B02">
        <w:t>.</w:t>
      </w:r>
      <w:r w:rsidR="006E0B68">
        <w:t xml:space="preserve">  Lower levels of </w:t>
      </w:r>
      <w:r>
        <w:t>AC</w:t>
      </w:r>
      <w:r w:rsidR="006E0B68">
        <w:t xml:space="preserve"> may therefore facilitate ceramide accumulation and radiation induced apoptosis, with higher levels fa</w:t>
      </w:r>
      <w:r w:rsidR="002A5009">
        <w:t>cilitating ceramide cleavage,</w:t>
      </w:r>
      <w:r w:rsidR="006E0B68">
        <w:t xml:space="preserve"> driving the cell away from apoptosis towards survival.</w:t>
      </w:r>
      <w:r w:rsidR="009653D8">
        <w:t xml:space="preserve"> </w:t>
      </w:r>
      <w:r w:rsidR="00E117AF">
        <w:t>D</w:t>
      </w:r>
      <w:r w:rsidR="00E117AF" w:rsidRPr="00E117AF">
        <w:t>ownregulation of the corresponding</w:t>
      </w:r>
      <w:r>
        <w:t xml:space="preserve"> gene for AC</w:t>
      </w:r>
      <w:r w:rsidR="00E117AF">
        <w:t xml:space="preserve"> with siRNA in a prostate cancer cell line has been convincingly demonstrated to confer </w:t>
      </w:r>
      <w:r w:rsidR="00E117AF" w:rsidRPr="00E117AF">
        <w:t>radio</w:t>
      </w:r>
      <w:r w:rsidR="0000083D">
        <w:t>-</w:t>
      </w:r>
      <w:r w:rsidR="00E117AF" w:rsidRPr="00E117AF">
        <w:t>sensitivity</w:t>
      </w:r>
      <w:r w:rsidR="00494719">
        <w:rPr>
          <w:vertAlign w:val="superscript"/>
        </w:rPr>
        <w:t>(3</w:t>
      </w:r>
      <w:r w:rsidR="004C69F5">
        <w:rPr>
          <w:vertAlign w:val="superscript"/>
        </w:rPr>
        <w:t>5</w:t>
      </w:r>
      <w:r w:rsidR="00494719">
        <w:rPr>
          <w:vertAlign w:val="superscript"/>
        </w:rPr>
        <w:t>)</w:t>
      </w:r>
      <w:r w:rsidR="00F91B02">
        <w:t>.</w:t>
      </w:r>
      <w:r w:rsidR="00E117AF" w:rsidRPr="00E117AF">
        <w:t xml:space="preserve"> </w:t>
      </w:r>
      <w:r w:rsidR="00E117AF">
        <w:t xml:space="preserve"> </w:t>
      </w:r>
      <w:r w:rsidR="00E117AF" w:rsidRPr="00E117AF">
        <w:t xml:space="preserve">This </w:t>
      </w:r>
      <w:r w:rsidR="00E117AF" w:rsidRPr="00E117AF">
        <w:rPr>
          <w:i/>
        </w:rPr>
        <w:t>in vitro</w:t>
      </w:r>
      <w:r w:rsidR="00E117AF" w:rsidRPr="00E117AF">
        <w:t xml:space="preserve"> study in </w:t>
      </w:r>
      <w:r w:rsidR="00E117AF">
        <w:t xml:space="preserve">PPC-1 cells assessed radiation </w:t>
      </w:r>
      <w:r w:rsidR="00E117AF" w:rsidRPr="00E117AF">
        <w:t>response by clonogenic</w:t>
      </w:r>
      <w:r w:rsidR="002A5009">
        <w:t xml:space="preserve"> and cytotoxic assays, </w:t>
      </w:r>
      <w:r w:rsidR="00E117AF" w:rsidRPr="00E117AF">
        <w:t>dem</w:t>
      </w:r>
      <w:r w:rsidR="002A5009">
        <w:t>onstrating</w:t>
      </w:r>
      <w:r w:rsidR="00E117AF">
        <w:t xml:space="preserve"> that upregulation of </w:t>
      </w:r>
      <w:r>
        <w:t xml:space="preserve">AC </w:t>
      </w:r>
      <w:r w:rsidR="00E117AF">
        <w:t xml:space="preserve">decreased sensitivity </w:t>
      </w:r>
      <w:r w:rsidR="00E117AF" w:rsidRPr="00E117AF">
        <w:t>to radiation a</w:t>
      </w:r>
      <w:r w:rsidR="00E117AF">
        <w:t xml:space="preserve">nd created cross-resistance to </w:t>
      </w:r>
      <w:r w:rsidR="00E117AF" w:rsidRPr="00E117AF">
        <w:t xml:space="preserve">chemotherapy. </w:t>
      </w:r>
      <w:r w:rsidR="00E117AF">
        <w:t xml:space="preserve"> </w:t>
      </w:r>
      <w:r w:rsidR="00E117AF" w:rsidRPr="00E117AF">
        <w:t>The small mol</w:t>
      </w:r>
      <w:r>
        <w:t>ecule AC</w:t>
      </w:r>
      <w:r w:rsidR="00E117AF">
        <w:t xml:space="preserve"> inhibitor</w:t>
      </w:r>
      <w:r w:rsidR="002A5009">
        <w:t xml:space="preserve"> LCL385</w:t>
      </w:r>
      <w:r w:rsidR="00E117AF" w:rsidRPr="00E117AF">
        <w:t xml:space="preserve"> was also </w:t>
      </w:r>
      <w:r w:rsidR="00E117AF">
        <w:t xml:space="preserve">sufficient to </w:t>
      </w:r>
      <w:r w:rsidR="00E117AF" w:rsidRPr="00E117AF">
        <w:t>sens</w:t>
      </w:r>
      <w:r w:rsidR="00BE494F">
        <w:t>itize PPC-1 cells to radiation.</w:t>
      </w:r>
      <w:r w:rsidR="009653D8">
        <w:t xml:space="preserve"> </w:t>
      </w:r>
      <w:r w:rsidR="006E0B68">
        <w:t>Carmofur</w:t>
      </w:r>
      <w:r w:rsidR="00E117AF">
        <w:t xml:space="preserve"> is a fluorouracil </w:t>
      </w:r>
      <w:r w:rsidR="00E117AF" w:rsidRPr="00E117AF">
        <w:t xml:space="preserve">analogue </w:t>
      </w:r>
      <w:r w:rsidR="00F91B02">
        <w:t xml:space="preserve">which has been </w:t>
      </w:r>
      <w:r w:rsidR="006E0B68">
        <w:t>used in the</w:t>
      </w:r>
      <w:r w:rsidR="00E117AF" w:rsidRPr="00E117AF">
        <w:t xml:space="preserve"> US in the adjuvant setting for c</w:t>
      </w:r>
      <w:r w:rsidR="00E117AF">
        <w:t xml:space="preserve">olorectal </w:t>
      </w:r>
      <w:r w:rsidR="006E0B68">
        <w:t xml:space="preserve">and breast cancer.  </w:t>
      </w:r>
      <w:r w:rsidR="00E117AF" w:rsidRPr="00E117AF">
        <w:t>In addition to its presumed primary mode of acti</w:t>
      </w:r>
      <w:r w:rsidR="0054274D">
        <w:t>on as a thymidylate synth</w:t>
      </w:r>
      <w:r w:rsidR="00E117AF">
        <w:t xml:space="preserve">ase </w:t>
      </w:r>
      <w:r w:rsidR="00E117AF" w:rsidRPr="00E117AF">
        <w:t>inhibitor it has also independently been shown to inhibi</w:t>
      </w:r>
      <w:r w:rsidR="00F91B02">
        <w:t>t AC</w:t>
      </w:r>
      <w:r w:rsidR="00E117AF">
        <w:t xml:space="preserve"> in the human </w:t>
      </w:r>
      <w:r w:rsidR="00E117AF" w:rsidRPr="00E117AF">
        <w:t xml:space="preserve">tumour derived cell lines SW403 (colorectal) and LNCaP (prostate), a </w:t>
      </w:r>
      <w:r w:rsidR="00E117AF">
        <w:t xml:space="preserve">property not shared </w:t>
      </w:r>
      <w:r w:rsidR="00E117AF" w:rsidRPr="00E117AF">
        <w:t>b</w:t>
      </w:r>
      <w:r w:rsidR="00132AF1">
        <w:t>y fluorouracil or capecitabine</w:t>
      </w:r>
      <w:r w:rsidR="00494719">
        <w:rPr>
          <w:vertAlign w:val="superscript"/>
        </w:rPr>
        <w:t>(3</w:t>
      </w:r>
      <w:r w:rsidR="004C69F5">
        <w:rPr>
          <w:vertAlign w:val="superscript"/>
        </w:rPr>
        <w:t>6</w:t>
      </w:r>
      <w:r w:rsidR="00494719">
        <w:rPr>
          <w:vertAlign w:val="superscript"/>
        </w:rPr>
        <w:t>)</w:t>
      </w:r>
      <w:r w:rsidR="00F91B02">
        <w:t>.</w:t>
      </w:r>
      <w:r w:rsidR="00E117AF" w:rsidRPr="00E117AF">
        <w:t xml:space="preserve"> </w:t>
      </w:r>
      <w:r w:rsidR="00E117AF">
        <w:t xml:space="preserve"> </w:t>
      </w:r>
      <w:r w:rsidR="00651FDA" w:rsidRPr="00E117AF">
        <w:t>Considering</w:t>
      </w:r>
      <w:r w:rsidR="00E117AF">
        <w:t xml:space="preserve"> our study, further </w:t>
      </w:r>
      <w:r w:rsidR="00651FDA">
        <w:rPr>
          <w:i/>
        </w:rPr>
        <w:t xml:space="preserve">in vitro </w:t>
      </w:r>
      <w:r w:rsidR="00E117AF">
        <w:t xml:space="preserve">work is </w:t>
      </w:r>
      <w:r w:rsidR="00E117AF" w:rsidRPr="00E117AF">
        <w:t>needed to co</w:t>
      </w:r>
      <w:r w:rsidR="00E117AF">
        <w:t xml:space="preserve">mpare the radiosensitisation of </w:t>
      </w:r>
      <w:r w:rsidR="00132AF1">
        <w:t>the commonly used</w:t>
      </w:r>
      <w:r w:rsidR="002A5009">
        <w:t xml:space="preserve"> </w:t>
      </w:r>
      <w:r w:rsidR="006E0B68">
        <w:t>5-fluorouracil</w:t>
      </w:r>
      <w:r w:rsidR="00F95BDC">
        <w:t xml:space="preserve"> </w:t>
      </w:r>
      <w:r w:rsidR="00985B68">
        <w:t xml:space="preserve">(5FU, </w:t>
      </w:r>
      <w:r w:rsidR="00E117AF" w:rsidRPr="00E117AF">
        <w:t>th</w:t>
      </w:r>
      <w:r w:rsidR="00E117AF">
        <w:t xml:space="preserve">ymidylate synthase inhibition) </w:t>
      </w:r>
      <w:r w:rsidR="00132AF1">
        <w:t>with</w:t>
      </w:r>
      <w:r w:rsidR="00E117AF" w:rsidRPr="00E117AF">
        <w:t xml:space="preserve"> carmofur (thymidylate </w:t>
      </w:r>
      <w:r w:rsidR="00E117AF" w:rsidRPr="00E117AF">
        <w:lastRenderedPageBreak/>
        <w:t xml:space="preserve">synthase </w:t>
      </w:r>
      <w:r w:rsidR="00F91B02">
        <w:t>and AC</w:t>
      </w:r>
      <w:r w:rsidR="003E7AB8">
        <w:t xml:space="preserve"> </w:t>
      </w:r>
      <w:r w:rsidR="00F95BDC">
        <w:t>inhibition).</w:t>
      </w:r>
      <w:r w:rsidR="00435114">
        <w:t xml:space="preserve">  Should </w:t>
      </w:r>
      <w:r w:rsidR="00435114">
        <w:rPr>
          <w:i/>
        </w:rPr>
        <w:t xml:space="preserve">in vitro </w:t>
      </w:r>
      <w:r w:rsidR="00435114">
        <w:t>work give further confirmation of the role of AC in rectal cancer response to CRT, a translation study comparing the radiosensitisation of carmo</w:t>
      </w:r>
      <w:r w:rsidR="0054274D">
        <w:t xml:space="preserve">fur against 5FU or capecitabine </w:t>
      </w:r>
      <w:r w:rsidR="0054274D">
        <w:rPr>
          <w:i/>
        </w:rPr>
        <w:t xml:space="preserve">in vivo </w:t>
      </w:r>
      <w:r w:rsidR="0054274D" w:rsidRPr="0054274D">
        <w:t>is</w:t>
      </w:r>
      <w:r w:rsidR="008249B8">
        <w:t xml:space="preserve"> possible.</w:t>
      </w:r>
    </w:p>
    <w:p w14:paraId="74A4CD3F" w14:textId="77777777" w:rsidR="009F1F83" w:rsidRDefault="009F1F83" w:rsidP="00BE494F">
      <w:pPr>
        <w:spacing w:line="480" w:lineRule="auto"/>
      </w:pPr>
    </w:p>
    <w:p w14:paraId="14315B5E" w14:textId="2B769D81" w:rsidR="00954137" w:rsidRDefault="00985B68" w:rsidP="009653D8">
      <w:pPr>
        <w:spacing w:after="0" w:line="480" w:lineRule="auto"/>
        <w:rPr>
          <w:b/>
          <w:sz w:val="24"/>
          <w:szCs w:val="24"/>
        </w:rPr>
      </w:pPr>
      <w:r>
        <w:t>Whilst our data has not suggested a role for AC as an upfront predictive biomarker</w:t>
      </w:r>
      <w:r w:rsidR="00EE1A57">
        <w:t xml:space="preserve"> of response to CRT</w:t>
      </w:r>
      <w:r>
        <w:t>, it does appear to be implicated in mediating radio</w:t>
      </w:r>
      <w:r w:rsidR="00BA7FCC">
        <w:t>-</w:t>
      </w:r>
      <w:r>
        <w:t>resistance</w:t>
      </w:r>
      <w:r w:rsidR="00C94A74">
        <w:t>, and further work to</w:t>
      </w:r>
      <w:r>
        <w:t xml:space="preserve"> establish its role is urgently needed</w:t>
      </w:r>
      <w:r w:rsidR="009653D8">
        <w:t xml:space="preserve">. </w:t>
      </w:r>
      <w:r>
        <w:t xml:space="preserve">The </w:t>
      </w:r>
      <w:r w:rsidR="009653D8">
        <w:t xml:space="preserve">contribution, </w:t>
      </w:r>
      <w:r>
        <w:t>if any</w:t>
      </w:r>
      <w:r w:rsidR="009653D8">
        <w:t>,</w:t>
      </w:r>
      <w:r>
        <w:t xml:space="preserve"> of</w:t>
      </w:r>
      <w:r w:rsidR="00C94A74">
        <w:t xml:space="preserve"> the established AC inhibitor c</w:t>
      </w:r>
      <w:r>
        <w:t xml:space="preserve">armofur </w:t>
      </w:r>
      <w:r w:rsidR="009653D8">
        <w:t>also needs</w:t>
      </w:r>
      <w:r>
        <w:t xml:space="preserve"> to be further defined in this patient population.</w:t>
      </w:r>
      <w:r w:rsidR="002F4A78">
        <w:t xml:space="preserve">  </w:t>
      </w:r>
    </w:p>
    <w:p w14:paraId="448AE450" w14:textId="77777777" w:rsidR="00CA07B9" w:rsidRDefault="00CA07B9" w:rsidP="00CA07B9">
      <w:pPr>
        <w:spacing w:line="480" w:lineRule="auto"/>
        <w:rPr>
          <w:b/>
          <w:sz w:val="24"/>
          <w:szCs w:val="24"/>
        </w:rPr>
      </w:pPr>
    </w:p>
    <w:p w14:paraId="1F65AFA0" w14:textId="77777777" w:rsidR="00CA07B9" w:rsidRDefault="00CA07B9" w:rsidP="00CA07B9">
      <w:pPr>
        <w:spacing w:line="480" w:lineRule="auto"/>
        <w:rPr>
          <w:b/>
        </w:rPr>
      </w:pPr>
    </w:p>
    <w:p w14:paraId="345AD46C" w14:textId="77777777" w:rsidR="00677386" w:rsidRDefault="00677386">
      <w:pPr>
        <w:rPr>
          <w:b/>
        </w:rPr>
      </w:pPr>
      <w:r>
        <w:rPr>
          <w:b/>
        </w:rPr>
        <w:br w:type="page"/>
      </w:r>
    </w:p>
    <w:p w14:paraId="5C3B7889" w14:textId="137616F1" w:rsidR="00247445" w:rsidRDefault="0025261B" w:rsidP="00CA07B9">
      <w:pPr>
        <w:spacing w:line="480" w:lineRule="auto"/>
        <w:rPr>
          <w:b/>
        </w:rPr>
      </w:pPr>
      <w:r>
        <w:rPr>
          <w:b/>
        </w:rPr>
        <w:lastRenderedPageBreak/>
        <w:t>Titles and Legends to Figures</w:t>
      </w:r>
    </w:p>
    <w:p w14:paraId="708C097E" w14:textId="77777777" w:rsidR="00CA07B9" w:rsidRPr="00CA07B9" w:rsidRDefault="0025261B" w:rsidP="00CA07B9">
      <w:pPr>
        <w:spacing w:after="0" w:line="480" w:lineRule="auto"/>
        <w:rPr>
          <w:noProof/>
          <w:lang w:eastAsia="en-GB"/>
        </w:rPr>
      </w:pPr>
      <w:r w:rsidRPr="00CA07B9">
        <w:rPr>
          <w:noProof/>
          <w:lang w:eastAsia="en-GB"/>
        </w:rPr>
        <w:t xml:space="preserve">Figure </w:t>
      </w:r>
      <w:r w:rsidR="00CA07B9">
        <w:rPr>
          <w:noProof/>
          <w:lang w:eastAsia="en-GB"/>
        </w:rPr>
        <w:t>1 - N</w:t>
      </w:r>
      <w:r w:rsidRPr="00CA07B9">
        <w:rPr>
          <w:noProof/>
          <w:lang w:eastAsia="en-GB"/>
        </w:rPr>
        <w:t xml:space="preserve">ormal </w:t>
      </w:r>
      <w:r w:rsidR="00CA07B9">
        <w:rPr>
          <w:noProof/>
          <w:lang w:eastAsia="en-GB"/>
        </w:rPr>
        <w:t>C</w:t>
      </w:r>
      <w:r w:rsidRPr="00CA07B9">
        <w:rPr>
          <w:noProof/>
          <w:lang w:eastAsia="en-GB"/>
        </w:rPr>
        <w:t xml:space="preserve">olon TMA </w:t>
      </w:r>
      <w:r w:rsidR="00CA07B9">
        <w:rPr>
          <w:noProof/>
          <w:lang w:eastAsia="en-GB"/>
        </w:rPr>
        <w:t>C</w:t>
      </w:r>
      <w:r w:rsidRPr="00CA07B9">
        <w:rPr>
          <w:noProof/>
          <w:lang w:eastAsia="en-GB"/>
        </w:rPr>
        <w:t>ores.</w:t>
      </w:r>
    </w:p>
    <w:p w14:paraId="47550BED" w14:textId="77777777" w:rsidR="0025261B" w:rsidRDefault="0025261B" w:rsidP="00E50DBA">
      <w:pPr>
        <w:spacing w:line="480" w:lineRule="auto"/>
        <w:rPr>
          <w:noProof/>
          <w:sz w:val="20"/>
          <w:szCs w:val="20"/>
          <w:lang w:eastAsia="en-GB"/>
        </w:rPr>
      </w:pPr>
      <w:r>
        <w:rPr>
          <w:noProof/>
          <w:sz w:val="20"/>
          <w:szCs w:val="20"/>
          <w:lang w:eastAsia="en-GB"/>
        </w:rPr>
        <w:t xml:space="preserve">The </w:t>
      </w:r>
      <w:r w:rsidR="00CA07B9">
        <w:rPr>
          <w:noProof/>
          <w:sz w:val="20"/>
          <w:szCs w:val="20"/>
          <w:lang w:eastAsia="en-GB"/>
        </w:rPr>
        <w:t xml:space="preserve">depicted </w:t>
      </w:r>
      <w:r>
        <w:rPr>
          <w:noProof/>
          <w:sz w:val="20"/>
          <w:szCs w:val="20"/>
          <w:lang w:eastAsia="en-GB"/>
        </w:rPr>
        <w:t xml:space="preserve">cores were observed from one TMA section having been stained for AC (A&amp;C), with the corresponding cores (B&amp;D) from another section exposed to a mouse IgG isotype as a negative control.  The core in image A demonstrates high epithelial expression of AC (H-score = 5+3 = 8) in a case where a poor response to CRT (TRG1) was assigned to the resection specimen.  Low epithelial expression of AC is observed in image C (H-score = 2+1 = 3) in a case where a good response to CRT (TRG3) was assigned to the resection specimen.  </w:t>
      </w:r>
      <w:bookmarkStart w:id="7" w:name="_Hlk481762353"/>
      <w:r>
        <w:rPr>
          <w:noProof/>
          <w:sz w:val="20"/>
          <w:szCs w:val="20"/>
          <w:lang w:eastAsia="en-GB"/>
        </w:rPr>
        <w:t>The rectangular bar in each image represents 300</w:t>
      </w:r>
      <w:r>
        <w:rPr>
          <w:rFonts w:cstheme="minorHAnsi"/>
          <w:noProof/>
          <w:sz w:val="20"/>
          <w:szCs w:val="20"/>
          <w:lang w:eastAsia="en-GB"/>
        </w:rPr>
        <w:t>µ</w:t>
      </w:r>
      <w:r>
        <w:rPr>
          <w:noProof/>
          <w:sz w:val="20"/>
          <w:szCs w:val="20"/>
          <w:lang w:eastAsia="en-GB"/>
        </w:rPr>
        <w:t>m.</w:t>
      </w:r>
      <w:bookmarkEnd w:id="7"/>
    </w:p>
    <w:p w14:paraId="24B76555" w14:textId="77777777" w:rsidR="00CA07B9" w:rsidRPr="00CA07B9" w:rsidRDefault="00CA07B9" w:rsidP="00CA07B9">
      <w:pPr>
        <w:spacing w:line="480" w:lineRule="auto"/>
        <w:jc w:val="center"/>
        <w:rPr>
          <w:noProof/>
          <w:sz w:val="20"/>
          <w:szCs w:val="20"/>
          <w:lang w:eastAsia="en-GB"/>
        </w:rPr>
      </w:pPr>
    </w:p>
    <w:p w14:paraId="2AB72660" w14:textId="77777777" w:rsidR="00CA07B9" w:rsidRPr="00CA07B9" w:rsidRDefault="00CA07B9" w:rsidP="00CA07B9">
      <w:pPr>
        <w:spacing w:after="0" w:line="480" w:lineRule="auto"/>
        <w:jc w:val="both"/>
      </w:pPr>
      <w:r>
        <w:t>Figure 2 - Diagnostic Biopsy TMA Cores</w:t>
      </w:r>
    </w:p>
    <w:p w14:paraId="4F480911" w14:textId="77777777" w:rsidR="00CA07B9" w:rsidRDefault="00CA07B9" w:rsidP="00E50DBA">
      <w:pPr>
        <w:spacing w:line="480" w:lineRule="auto"/>
        <w:rPr>
          <w:noProof/>
          <w:sz w:val="20"/>
          <w:szCs w:val="20"/>
          <w:lang w:eastAsia="en-GB"/>
        </w:rPr>
      </w:pPr>
      <w:r w:rsidRPr="000F4088">
        <w:rPr>
          <w:sz w:val="20"/>
          <w:szCs w:val="20"/>
        </w:rPr>
        <w:t>The</w:t>
      </w:r>
      <w:r>
        <w:rPr>
          <w:sz w:val="20"/>
          <w:szCs w:val="20"/>
        </w:rPr>
        <w:t xml:space="preserve"> depicted</w:t>
      </w:r>
      <w:r w:rsidRPr="000F4088">
        <w:rPr>
          <w:sz w:val="20"/>
          <w:szCs w:val="20"/>
        </w:rPr>
        <w:t xml:space="preserve"> cores were observed from the same TMA section having been stained for AC (A&amp;C</w:t>
      </w:r>
      <w:r>
        <w:rPr>
          <w:sz w:val="20"/>
          <w:szCs w:val="20"/>
        </w:rPr>
        <w:t>),</w:t>
      </w:r>
      <w:r w:rsidRPr="000F4088">
        <w:t xml:space="preserve"> </w:t>
      </w:r>
      <w:r w:rsidRPr="000F4088">
        <w:rPr>
          <w:sz w:val="20"/>
          <w:szCs w:val="20"/>
        </w:rPr>
        <w:t xml:space="preserve">with the corresponding cores (B&amp;D) from another section exposed to a mouse IgG isotype as a negative control.  The core in image A demonstrates high epithelial </w:t>
      </w:r>
      <w:r>
        <w:rPr>
          <w:sz w:val="20"/>
          <w:szCs w:val="20"/>
        </w:rPr>
        <w:t xml:space="preserve">(H-score = 5+3 = 8) and stromal (H-score = 5+2 = 7) </w:t>
      </w:r>
      <w:r w:rsidRPr="000F4088">
        <w:rPr>
          <w:sz w:val="20"/>
          <w:szCs w:val="20"/>
        </w:rPr>
        <w:t>expression of AC</w:t>
      </w:r>
      <w:r>
        <w:rPr>
          <w:sz w:val="20"/>
          <w:szCs w:val="20"/>
        </w:rPr>
        <w:t>,</w:t>
      </w:r>
      <w:r w:rsidRPr="000F4088">
        <w:rPr>
          <w:sz w:val="20"/>
          <w:szCs w:val="20"/>
        </w:rPr>
        <w:t xml:space="preserve"> </w:t>
      </w:r>
      <w:r>
        <w:rPr>
          <w:sz w:val="20"/>
          <w:szCs w:val="20"/>
        </w:rPr>
        <w:t>in a case where a minimal</w:t>
      </w:r>
      <w:r w:rsidRPr="000F4088">
        <w:rPr>
          <w:sz w:val="20"/>
          <w:szCs w:val="20"/>
        </w:rPr>
        <w:t xml:space="preserve"> </w:t>
      </w:r>
      <w:r>
        <w:rPr>
          <w:sz w:val="20"/>
          <w:szCs w:val="20"/>
        </w:rPr>
        <w:t>response to CRT (TRG2</w:t>
      </w:r>
      <w:r w:rsidRPr="000F4088">
        <w:rPr>
          <w:sz w:val="20"/>
          <w:szCs w:val="20"/>
        </w:rPr>
        <w:t xml:space="preserve">) was assigned to the resection specimen.  Low epithelial </w:t>
      </w:r>
      <w:r>
        <w:rPr>
          <w:sz w:val="20"/>
          <w:szCs w:val="20"/>
        </w:rPr>
        <w:t xml:space="preserve">(H-score = 1+1 = 2) and stromal </w:t>
      </w:r>
      <w:r w:rsidRPr="000F4088">
        <w:rPr>
          <w:sz w:val="20"/>
          <w:szCs w:val="20"/>
        </w:rPr>
        <w:t xml:space="preserve">expression </w:t>
      </w:r>
      <w:r>
        <w:rPr>
          <w:sz w:val="20"/>
          <w:szCs w:val="20"/>
        </w:rPr>
        <w:t>(H-score = 0+0 = 0) of AC is demonstrated in image C</w:t>
      </w:r>
      <w:r w:rsidRPr="000F4088">
        <w:rPr>
          <w:sz w:val="20"/>
          <w:szCs w:val="20"/>
        </w:rPr>
        <w:t xml:space="preserve"> in a ca</w:t>
      </w:r>
      <w:r>
        <w:rPr>
          <w:sz w:val="20"/>
          <w:szCs w:val="20"/>
        </w:rPr>
        <w:t>se where a subsequent pCR (TRG4</w:t>
      </w:r>
      <w:r w:rsidRPr="000F4088">
        <w:rPr>
          <w:sz w:val="20"/>
          <w:szCs w:val="20"/>
        </w:rPr>
        <w:t>) was</w:t>
      </w:r>
      <w:r>
        <w:rPr>
          <w:sz w:val="20"/>
          <w:szCs w:val="20"/>
        </w:rPr>
        <w:t xml:space="preserve"> observed</w:t>
      </w:r>
      <w:r w:rsidRPr="000F4088">
        <w:rPr>
          <w:sz w:val="20"/>
          <w:szCs w:val="20"/>
        </w:rPr>
        <w:t>.</w:t>
      </w:r>
      <w:r>
        <w:rPr>
          <w:sz w:val="20"/>
          <w:szCs w:val="20"/>
        </w:rPr>
        <w:t xml:space="preserve">  </w:t>
      </w:r>
      <w:r>
        <w:rPr>
          <w:noProof/>
          <w:sz w:val="20"/>
          <w:szCs w:val="20"/>
          <w:lang w:eastAsia="en-GB"/>
        </w:rPr>
        <w:t>The rectangular bar in each image represents 300</w:t>
      </w:r>
      <w:r>
        <w:rPr>
          <w:rFonts w:cstheme="minorHAnsi"/>
          <w:noProof/>
          <w:sz w:val="20"/>
          <w:szCs w:val="20"/>
          <w:lang w:eastAsia="en-GB"/>
        </w:rPr>
        <w:t>µ</w:t>
      </w:r>
      <w:r>
        <w:rPr>
          <w:noProof/>
          <w:sz w:val="20"/>
          <w:szCs w:val="20"/>
          <w:lang w:eastAsia="en-GB"/>
        </w:rPr>
        <w:t>m.</w:t>
      </w:r>
    </w:p>
    <w:p w14:paraId="1990A300" w14:textId="77777777" w:rsidR="002E48FE" w:rsidRDefault="002E48FE" w:rsidP="00631474">
      <w:pPr>
        <w:spacing w:line="480" w:lineRule="auto"/>
        <w:rPr>
          <w:b/>
          <w:sz w:val="24"/>
          <w:szCs w:val="24"/>
        </w:rPr>
      </w:pPr>
    </w:p>
    <w:p w14:paraId="5CC9F7F6" w14:textId="77777777" w:rsidR="00247445" w:rsidRPr="00CA07B9" w:rsidRDefault="00CA07B9" w:rsidP="00CA07B9">
      <w:pPr>
        <w:spacing w:after="0" w:line="480" w:lineRule="auto"/>
      </w:pPr>
      <w:r w:rsidRPr="00CA07B9">
        <w:t xml:space="preserve">Figure 3 - </w:t>
      </w:r>
      <w:r>
        <w:t xml:space="preserve">Cancer Site </w:t>
      </w:r>
      <w:r w:rsidR="00B374B0">
        <w:t>(</w:t>
      </w:r>
      <w:r>
        <w:t>Resection Specimen</w:t>
      </w:r>
      <w:r w:rsidR="00B374B0">
        <w:t>)</w:t>
      </w:r>
      <w:r>
        <w:t xml:space="preserve"> TMA Cores</w:t>
      </w:r>
    </w:p>
    <w:p w14:paraId="4B3A84B7" w14:textId="77777777" w:rsidR="00CA07B9" w:rsidRPr="00D37C1F" w:rsidRDefault="00CA07B9" w:rsidP="00E50DBA">
      <w:pPr>
        <w:spacing w:line="480" w:lineRule="auto"/>
        <w:rPr>
          <w:noProof/>
          <w:sz w:val="20"/>
          <w:szCs w:val="20"/>
          <w:lang w:eastAsia="en-GB"/>
        </w:rPr>
      </w:pPr>
      <w:r w:rsidRPr="002A140B">
        <w:rPr>
          <w:sz w:val="20"/>
          <w:szCs w:val="20"/>
        </w:rPr>
        <w:t xml:space="preserve">The </w:t>
      </w:r>
      <w:r>
        <w:rPr>
          <w:sz w:val="20"/>
          <w:szCs w:val="20"/>
        </w:rPr>
        <w:t xml:space="preserve">depicted </w:t>
      </w:r>
      <w:r w:rsidRPr="002A140B">
        <w:rPr>
          <w:sz w:val="20"/>
          <w:szCs w:val="20"/>
        </w:rPr>
        <w:t xml:space="preserve">cores were observed from the same TMA section having been stained for AC (A&amp;C), with the corresponding cores (B&amp;D) from another section exposed to a mouse IgG isotype as a negative control.  The core in image A demonstrates high epithelial (H-score = 5+3 = 8) and stromal (H-score = 5+2 = 7) expression of AC, in a case where a </w:t>
      </w:r>
      <w:r>
        <w:rPr>
          <w:sz w:val="20"/>
          <w:szCs w:val="20"/>
        </w:rPr>
        <w:t>poor response to CRT (TRG1</w:t>
      </w:r>
      <w:r w:rsidRPr="002A140B">
        <w:rPr>
          <w:sz w:val="20"/>
          <w:szCs w:val="20"/>
        </w:rPr>
        <w:t>) was as</w:t>
      </w:r>
      <w:r>
        <w:rPr>
          <w:sz w:val="20"/>
          <w:szCs w:val="20"/>
        </w:rPr>
        <w:t>signed</w:t>
      </w:r>
      <w:r w:rsidRPr="002A140B">
        <w:rPr>
          <w:sz w:val="20"/>
          <w:szCs w:val="20"/>
        </w:rPr>
        <w:t>.  Lo</w:t>
      </w:r>
      <w:r>
        <w:rPr>
          <w:sz w:val="20"/>
          <w:szCs w:val="20"/>
        </w:rPr>
        <w:t xml:space="preserve">w epithelial (H-score = 0+0 = 0) but higher </w:t>
      </w:r>
      <w:r w:rsidRPr="002A140B">
        <w:rPr>
          <w:sz w:val="20"/>
          <w:szCs w:val="20"/>
        </w:rPr>
        <w:t>s</w:t>
      </w:r>
      <w:r>
        <w:rPr>
          <w:sz w:val="20"/>
          <w:szCs w:val="20"/>
        </w:rPr>
        <w:t>tromal expression (H-score = 3+2 = 5</w:t>
      </w:r>
      <w:r w:rsidRPr="002A140B">
        <w:rPr>
          <w:sz w:val="20"/>
          <w:szCs w:val="20"/>
        </w:rPr>
        <w:t>) of AC is demonstrated in</w:t>
      </w:r>
      <w:r>
        <w:rPr>
          <w:sz w:val="20"/>
          <w:szCs w:val="20"/>
        </w:rPr>
        <w:t xml:space="preserve"> the core in</w:t>
      </w:r>
      <w:r w:rsidRPr="002A140B">
        <w:rPr>
          <w:sz w:val="20"/>
          <w:szCs w:val="20"/>
        </w:rPr>
        <w:t xml:space="preserve"> image C in a case </w:t>
      </w:r>
      <w:r>
        <w:rPr>
          <w:sz w:val="20"/>
          <w:szCs w:val="20"/>
        </w:rPr>
        <w:t xml:space="preserve">with a minimal response to CRT (TRG2).  </w:t>
      </w:r>
      <w:r>
        <w:rPr>
          <w:noProof/>
          <w:sz w:val="20"/>
          <w:szCs w:val="20"/>
          <w:lang w:eastAsia="en-GB"/>
        </w:rPr>
        <w:t>The rectangular bar in each image represents 300</w:t>
      </w:r>
      <w:r>
        <w:rPr>
          <w:rFonts w:cstheme="minorHAnsi"/>
          <w:noProof/>
          <w:sz w:val="20"/>
          <w:szCs w:val="20"/>
          <w:lang w:eastAsia="en-GB"/>
        </w:rPr>
        <w:t>µ</w:t>
      </w:r>
      <w:r>
        <w:rPr>
          <w:noProof/>
          <w:sz w:val="20"/>
          <w:szCs w:val="20"/>
          <w:lang w:eastAsia="en-GB"/>
        </w:rPr>
        <w:t>m.</w:t>
      </w:r>
    </w:p>
    <w:p w14:paraId="1F022CFC" w14:textId="77777777" w:rsidR="00BE494F" w:rsidRDefault="00BE494F" w:rsidP="00631474">
      <w:pPr>
        <w:spacing w:line="480" w:lineRule="auto"/>
        <w:rPr>
          <w:b/>
          <w:sz w:val="24"/>
          <w:szCs w:val="24"/>
        </w:rPr>
      </w:pPr>
    </w:p>
    <w:p w14:paraId="3184847B" w14:textId="77777777" w:rsidR="00210E25" w:rsidRPr="00210E25" w:rsidRDefault="00210E25" w:rsidP="00210E25">
      <w:pPr>
        <w:spacing w:line="480" w:lineRule="auto"/>
        <w:rPr>
          <w:b/>
          <w:sz w:val="24"/>
          <w:szCs w:val="24"/>
          <w:lang w:val="en-US"/>
        </w:rPr>
      </w:pPr>
      <w:r w:rsidRPr="00210E25">
        <w:rPr>
          <w:b/>
          <w:bCs/>
          <w:sz w:val="24"/>
          <w:szCs w:val="24"/>
        </w:rPr>
        <w:lastRenderedPageBreak/>
        <w:t>Funding</w:t>
      </w:r>
      <w:r w:rsidRPr="00210E25">
        <w:rPr>
          <w:b/>
          <w:sz w:val="24"/>
          <w:szCs w:val="24"/>
          <w:lang w:val="en-US"/>
        </w:rPr>
        <w:t> </w:t>
      </w:r>
    </w:p>
    <w:p w14:paraId="43DB40B8" w14:textId="77777777" w:rsidR="00210E25" w:rsidRPr="00210E25" w:rsidRDefault="00210E25" w:rsidP="00210E25">
      <w:pPr>
        <w:spacing w:line="480" w:lineRule="auto"/>
        <w:rPr>
          <w:lang w:val="en-US"/>
        </w:rPr>
      </w:pPr>
      <w:r w:rsidRPr="00210E25">
        <w:t>Cancer Research (UK) provided funding to support PA Sutton in his role as a clinical research fellow, during which the mass spectrometry based proteomic profiling was performed.</w:t>
      </w:r>
      <w:r w:rsidRPr="00210E25">
        <w:rPr>
          <w:lang w:val="en-US"/>
        </w:rPr>
        <w:t> </w:t>
      </w:r>
    </w:p>
    <w:p w14:paraId="4D4EAB1C" w14:textId="77777777" w:rsidR="00210E25" w:rsidRPr="00210E25" w:rsidRDefault="00210E25" w:rsidP="00210E25">
      <w:pPr>
        <w:spacing w:line="480" w:lineRule="auto"/>
        <w:rPr>
          <w:lang w:val="en-US"/>
        </w:rPr>
      </w:pPr>
      <w:r w:rsidRPr="00210E25">
        <w:t>The Bowel Disease Research Foundation provided a grant to DL Bowden to facilitate the tissue microarray work.</w:t>
      </w:r>
      <w:r w:rsidRPr="00210E25">
        <w:rPr>
          <w:lang w:val="en-US"/>
        </w:rPr>
        <w:t> </w:t>
      </w:r>
    </w:p>
    <w:p w14:paraId="5E0729F6" w14:textId="77777777" w:rsidR="00210E25" w:rsidRPr="00210E25" w:rsidRDefault="00210E25" w:rsidP="00210E25">
      <w:pPr>
        <w:spacing w:line="480" w:lineRule="auto"/>
        <w:rPr>
          <w:lang w:val="en-US"/>
        </w:rPr>
      </w:pPr>
      <w:r w:rsidRPr="00210E25">
        <w:t>Neither funding body had any involvement in the study design, in the collection, analysis and interpretation of data, in the writing of the report, or in the decision to submit the article for publication.</w:t>
      </w:r>
    </w:p>
    <w:p w14:paraId="53E1A592" w14:textId="77777777" w:rsidR="00210E25" w:rsidRDefault="00210E25" w:rsidP="00CE625D">
      <w:pPr>
        <w:spacing w:line="480" w:lineRule="auto"/>
        <w:rPr>
          <w:b/>
        </w:rPr>
      </w:pPr>
    </w:p>
    <w:p w14:paraId="1299BEC3" w14:textId="77777777" w:rsidR="00210E25" w:rsidRDefault="00210E25" w:rsidP="00CE625D">
      <w:pPr>
        <w:spacing w:line="480" w:lineRule="auto"/>
        <w:rPr>
          <w:b/>
        </w:rPr>
      </w:pPr>
    </w:p>
    <w:p w14:paraId="2F3807D2" w14:textId="77777777" w:rsidR="00210E25" w:rsidRDefault="00210E25" w:rsidP="00CE625D">
      <w:pPr>
        <w:spacing w:line="480" w:lineRule="auto"/>
        <w:rPr>
          <w:b/>
        </w:rPr>
      </w:pPr>
    </w:p>
    <w:p w14:paraId="1390D9FC" w14:textId="77777777" w:rsidR="00210E25" w:rsidRDefault="00210E25" w:rsidP="00CE625D">
      <w:pPr>
        <w:spacing w:line="480" w:lineRule="auto"/>
        <w:rPr>
          <w:b/>
        </w:rPr>
      </w:pPr>
    </w:p>
    <w:p w14:paraId="37075218" w14:textId="77777777" w:rsidR="00210E25" w:rsidRDefault="00210E25" w:rsidP="00CE625D">
      <w:pPr>
        <w:spacing w:line="480" w:lineRule="auto"/>
        <w:rPr>
          <w:b/>
        </w:rPr>
      </w:pPr>
    </w:p>
    <w:p w14:paraId="2EE52961" w14:textId="77777777" w:rsidR="00210E25" w:rsidRDefault="00210E25" w:rsidP="00CE625D">
      <w:pPr>
        <w:spacing w:line="480" w:lineRule="auto"/>
        <w:rPr>
          <w:b/>
        </w:rPr>
      </w:pPr>
    </w:p>
    <w:p w14:paraId="28712CBB" w14:textId="77777777" w:rsidR="00993C00" w:rsidRDefault="00993C00" w:rsidP="00CE625D">
      <w:pPr>
        <w:spacing w:line="480" w:lineRule="auto"/>
        <w:rPr>
          <w:b/>
        </w:rPr>
      </w:pPr>
    </w:p>
    <w:p w14:paraId="18CDC825" w14:textId="77777777" w:rsidR="00993C00" w:rsidRDefault="00993C00" w:rsidP="00CE625D">
      <w:pPr>
        <w:spacing w:line="480" w:lineRule="auto"/>
        <w:rPr>
          <w:b/>
        </w:rPr>
      </w:pPr>
    </w:p>
    <w:p w14:paraId="2983EE7D" w14:textId="77777777" w:rsidR="00993C00" w:rsidRDefault="00993C00" w:rsidP="00CE625D">
      <w:pPr>
        <w:spacing w:line="480" w:lineRule="auto"/>
        <w:rPr>
          <w:b/>
        </w:rPr>
      </w:pPr>
    </w:p>
    <w:p w14:paraId="4560E9FB" w14:textId="77777777" w:rsidR="00993C00" w:rsidRDefault="00993C00" w:rsidP="00CE625D">
      <w:pPr>
        <w:spacing w:line="480" w:lineRule="auto"/>
        <w:rPr>
          <w:b/>
        </w:rPr>
      </w:pPr>
    </w:p>
    <w:p w14:paraId="47142D90" w14:textId="77777777" w:rsidR="00E50DBA" w:rsidRDefault="00E50DBA">
      <w:pPr>
        <w:rPr>
          <w:b/>
        </w:rPr>
      </w:pPr>
      <w:r>
        <w:rPr>
          <w:b/>
        </w:rPr>
        <w:br w:type="page"/>
      </w:r>
    </w:p>
    <w:p w14:paraId="591FB61D" w14:textId="4E7A5B7A" w:rsidR="00CE625D" w:rsidRPr="00AB1093" w:rsidRDefault="00CE625D" w:rsidP="00CE625D">
      <w:pPr>
        <w:spacing w:line="480" w:lineRule="auto"/>
        <w:rPr>
          <w:b/>
        </w:rPr>
      </w:pPr>
      <w:r w:rsidRPr="00AB1093">
        <w:rPr>
          <w:b/>
        </w:rPr>
        <w:lastRenderedPageBreak/>
        <w:t>References</w:t>
      </w:r>
    </w:p>
    <w:p w14:paraId="309A54CC" w14:textId="77777777" w:rsidR="00CC33EA" w:rsidRDefault="0070083F" w:rsidP="0070083F">
      <w:pPr>
        <w:spacing w:line="480" w:lineRule="auto"/>
      </w:pPr>
      <w:r>
        <w:t xml:space="preserve">[1] </w:t>
      </w:r>
      <w:r w:rsidR="00CC33EA">
        <w:t>http://www.cancerresearchuk.org/health-professional/cancer-statistics/mortality/common-cancers-compared</w:t>
      </w:r>
    </w:p>
    <w:p w14:paraId="2BB3DCEB" w14:textId="77777777" w:rsidR="00CC33EA" w:rsidRPr="00AB1093" w:rsidRDefault="0070083F" w:rsidP="0070083F">
      <w:pPr>
        <w:spacing w:line="480" w:lineRule="auto"/>
      </w:pPr>
      <w:r>
        <w:t xml:space="preserve">[2] </w:t>
      </w:r>
      <w:r w:rsidR="00CC33EA" w:rsidRPr="00AB1093">
        <w:t>Quirke P, Durdey P, Dixon MF, Williams NS.  Local recurrence of rectal adenocarcinoma due to inadequate surgical resection. Histopathological study of lateral tumour spread and surgical excision.  Lancet. 1986 Nov 1; 2(8514): 996-9.</w:t>
      </w:r>
    </w:p>
    <w:p w14:paraId="2E2EEFCD" w14:textId="77777777" w:rsidR="00CC33EA" w:rsidRPr="00AB1093" w:rsidRDefault="0070083F" w:rsidP="0070083F">
      <w:pPr>
        <w:spacing w:line="480" w:lineRule="auto"/>
      </w:pPr>
      <w:r>
        <w:t xml:space="preserve">[3] </w:t>
      </w:r>
      <w:r w:rsidR="00CC33EA" w:rsidRPr="00AB1093">
        <w:t>Quirke P.  Training and quality assurance for rectal cancer: 20 years of data is enough.  Lancet Oncol. 2003 Nov; 4(11): 695-702.</w:t>
      </w:r>
    </w:p>
    <w:p w14:paraId="59B24970" w14:textId="77777777" w:rsidR="00CC33EA" w:rsidRPr="00AB1093" w:rsidRDefault="0070083F" w:rsidP="0070083F">
      <w:pPr>
        <w:spacing w:line="480" w:lineRule="auto"/>
      </w:pPr>
      <w:r>
        <w:t xml:space="preserve">[4] </w:t>
      </w:r>
      <w:r w:rsidR="00CC33EA" w:rsidRPr="00AB1093">
        <w:t>Heald RJ, Husband EM, Ryall RD.  The mesorectum in rectal cancer surgery - the clue to pelvic recurrence?  Br J Surg. 1982 Oct; 69(10): 613-6.</w:t>
      </w:r>
    </w:p>
    <w:p w14:paraId="27B82FD8" w14:textId="77777777" w:rsidR="00CC33EA" w:rsidRPr="00AB1093" w:rsidRDefault="0070083F" w:rsidP="0070083F">
      <w:pPr>
        <w:spacing w:line="480" w:lineRule="auto"/>
      </w:pPr>
      <w:r>
        <w:t xml:space="preserve">[5] </w:t>
      </w:r>
      <w:r w:rsidR="00CC33EA" w:rsidRPr="00AB1093">
        <w:t>Heald RJ, Moran BJ, Ryall RD, Sexton R, MacFarlane JK.  Rectal cancer: the Basingstoke experience of total mesorectal excision, 1978-1997.  Arch Surg. 1998 Aug; 133(8): 894-9.</w:t>
      </w:r>
    </w:p>
    <w:p w14:paraId="6010495C" w14:textId="77777777" w:rsidR="00CC33EA" w:rsidRPr="00AB1093" w:rsidRDefault="0070083F" w:rsidP="0070083F">
      <w:pPr>
        <w:spacing w:line="480" w:lineRule="auto"/>
      </w:pPr>
      <w:r>
        <w:t xml:space="preserve">[6] </w:t>
      </w:r>
      <w:r w:rsidR="00CC33EA" w:rsidRPr="00AB1093">
        <w:t>Nagtegaal ID, Marijnen CA, Kranenbarg EK, van de Velde CJ, van Krieken JH; Pathology Review Committee; Cooperative Clinical Investigators.  Circumferential margin involvement is still an important predictor of local recurrence in rectal carcinoma: not one millimeter but two millimeters is the limit.  Am J Surg Pathol. 2002 Mar; 26(3): 350-7.</w:t>
      </w:r>
    </w:p>
    <w:p w14:paraId="6BDB2ABB" w14:textId="77777777" w:rsidR="00CC33EA" w:rsidRPr="00AB1093" w:rsidRDefault="0070083F" w:rsidP="0070083F">
      <w:pPr>
        <w:spacing w:line="480" w:lineRule="auto"/>
      </w:pPr>
      <w:r>
        <w:t xml:space="preserve">[7] </w:t>
      </w:r>
      <w:r w:rsidR="00CC33EA" w:rsidRPr="00AB1093">
        <w:t>MERCURY Study Group.  Diagnostic accuracy of preoperative magnetic resonance imaging in predicting curative resection of rectal cancer: prospective observational study.  BMJ. 2006 Oct 14; 333(7572): 779.</w:t>
      </w:r>
    </w:p>
    <w:p w14:paraId="52033FBE" w14:textId="77777777" w:rsidR="00CC33EA" w:rsidRPr="00AB1093" w:rsidRDefault="0070083F" w:rsidP="0070083F">
      <w:pPr>
        <w:spacing w:line="480" w:lineRule="auto"/>
      </w:pPr>
      <w:r>
        <w:t xml:space="preserve">[8] </w:t>
      </w:r>
      <w:r w:rsidR="00CC33EA" w:rsidRPr="00AB1093">
        <w:t>Taylor FG, Quirke P, Heald RJ, Moran BJ, Blomqvist L, Swift IR, Sebag-</w:t>
      </w:r>
      <w:r w:rsidR="00CC33EA">
        <w:t>Montefiore D, Tekkis P, Brown G;</w:t>
      </w:r>
      <w:r w:rsidR="00CC33EA" w:rsidRPr="00AB1093">
        <w:t xml:space="preserve"> Magnetic Resonance Imaging in Rectal Cancer European Equivalence Study Study Group.  Preoperative magnetic resonance imaging assessment of circumferential resection margin predicts disease-free survival and local recurrence: 5-year follow-up results of the MERCURY study.  J Clin Oncol. 2014 Jan 1; 32(1): 34-43.</w:t>
      </w:r>
    </w:p>
    <w:p w14:paraId="61B146F2" w14:textId="77777777" w:rsidR="00CC33EA" w:rsidRPr="00AB1093" w:rsidRDefault="00D61181" w:rsidP="00D61181">
      <w:pPr>
        <w:spacing w:line="480" w:lineRule="auto"/>
      </w:pPr>
      <w:r>
        <w:lastRenderedPageBreak/>
        <w:t xml:space="preserve">[9] </w:t>
      </w:r>
      <w:r w:rsidR="00CC33EA" w:rsidRPr="00AB1093">
        <w:t>Kapiteijn E, Marijnen CA, Nagtegaal ID, Putter H, Steup WH, Wiggers T, Rutten HJ, Pahlman L, Glimelius B, van Krieken JH, Leer JW, van de Velde CJ; Dutch Colorectal Cancer Group.  Preoperative radiotherapy combined with total mesorectal excision for resectable rectal cancer.  N Engl J Med. 2001 Aug 30; 345(9): 638-46.</w:t>
      </w:r>
    </w:p>
    <w:p w14:paraId="68FB9378" w14:textId="77777777" w:rsidR="00CC33EA" w:rsidRPr="00AB1093" w:rsidRDefault="00D61181" w:rsidP="00D61181">
      <w:pPr>
        <w:spacing w:line="480" w:lineRule="auto"/>
      </w:pPr>
      <w:r>
        <w:t xml:space="preserve">[10] </w:t>
      </w:r>
      <w:r w:rsidR="00CC33EA" w:rsidRPr="00AB1093">
        <w:t>Sauer R, Becker H, Hohenberger W, Rödel C, Wittekind C, Fietkau R, Martus P, Tschmelitsch J, Hager E, Hess CF, Karstens JH, Liersch T, Schmidberger H, Raab R; German Rectal Cancer Study Group.  Preoperative versus postoperative chemoradiotherapy for rectal cancer.  N Engl J Med. 2004 Oct 21; 351(17): 1731-40.</w:t>
      </w:r>
    </w:p>
    <w:p w14:paraId="16554F78" w14:textId="77777777" w:rsidR="00CC33EA" w:rsidRPr="00AB1093" w:rsidRDefault="00D61181" w:rsidP="00D61181">
      <w:pPr>
        <w:spacing w:line="480" w:lineRule="auto"/>
      </w:pPr>
      <w:r>
        <w:t xml:space="preserve">[11] </w:t>
      </w:r>
      <w:r w:rsidR="00CC33EA" w:rsidRPr="00AB1093">
        <w:t>Ceelen WP, Van Nieuwenhove Y, Fierens K.  Preoperative chemoradiation versus radiation alone for stage II and III resectable rectal cancer.  Cochrane Database Syst Rev. 2009; CD006041.</w:t>
      </w:r>
    </w:p>
    <w:p w14:paraId="61D65F25" w14:textId="77777777" w:rsidR="00A308D6" w:rsidRPr="00AB1093" w:rsidRDefault="00D61181" w:rsidP="00D61181">
      <w:pPr>
        <w:spacing w:line="480" w:lineRule="auto"/>
      </w:pPr>
      <w:r>
        <w:t xml:space="preserve">[12] </w:t>
      </w:r>
      <w:r w:rsidR="00A308D6" w:rsidRPr="00AB1093">
        <w:t>Fleming FJ, Påhlman L, Monson JR.  Neoadjuvant therapy in rectal cancer.  Dis Colon Rectum. 2011 Jul; 54(7): 901-12.</w:t>
      </w:r>
    </w:p>
    <w:p w14:paraId="780D0340" w14:textId="77777777" w:rsidR="00A308D6" w:rsidRPr="00AB1093" w:rsidRDefault="00D61181" w:rsidP="00D61181">
      <w:pPr>
        <w:spacing w:line="480" w:lineRule="auto"/>
      </w:pPr>
      <w:r>
        <w:t xml:space="preserve">[13] </w:t>
      </w:r>
      <w:r w:rsidR="00A308D6" w:rsidRPr="00AB1093">
        <w:t>Martin ST, Heneghan HM, Winter DC.  Systematic review and meta-analysis of outcomes following pathological complete response to neoadjuvant chemoradiotherapy for rectal cancer.  Br J Surg. 2012 Jul; 99(7): 918-28.</w:t>
      </w:r>
    </w:p>
    <w:p w14:paraId="2642B546" w14:textId="77777777" w:rsidR="00A308D6" w:rsidRPr="00AB1093" w:rsidRDefault="00D61181" w:rsidP="00D61181">
      <w:pPr>
        <w:spacing w:line="480" w:lineRule="auto"/>
      </w:pPr>
      <w:r>
        <w:t xml:space="preserve">[14] </w:t>
      </w:r>
      <w:r w:rsidR="00A308D6" w:rsidRPr="00AB1093">
        <w:t>Habr-Gama A, Perez R, Proscurshim I, Gama-Rodrigues J.  Complete clinical response after neoadjuvant chemoradiation for distal rectal cancer.  Surg Oncol Clin N Am. 2010 Oct; 19(4): 829-45.</w:t>
      </w:r>
    </w:p>
    <w:p w14:paraId="6830FE31" w14:textId="77777777" w:rsidR="00A308D6" w:rsidRPr="00AB1093" w:rsidRDefault="00D61181" w:rsidP="00D61181">
      <w:pPr>
        <w:spacing w:line="480" w:lineRule="auto"/>
      </w:pPr>
      <w:r>
        <w:t xml:space="preserve">[15] </w:t>
      </w:r>
      <w:r w:rsidR="00A308D6" w:rsidRPr="00AB1093">
        <w:t>Renehan AG, Malcomson L, Emsley R, Gollins S, Maw A, Myint AS, Rooney PS, Susnerwala S, Blower A, Saunders MP, Wilson MS, Scott N, O'Dwyer ST.  Watch-and-wait approach versus surgical resection after chemoradiotherapy for patients with rectal cancer (the OnCoRe project): a propensity-score matched cohort analysis.  Lancet Oncol. 2016 Feb; 17(2): 174-83.</w:t>
      </w:r>
    </w:p>
    <w:p w14:paraId="3A948DBF" w14:textId="77777777" w:rsidR="00A308D6" w:rsidRPr="00AB1093" w:rsidRDefault="00D61181" w:rsidP="00D61181">
      <w:pPr>
        <w:spacing w:line="480" w:lineRule="auto"/>
      </w:pPr>
      <w:r>
        <w:t xml:space="preserve">[16] </w:t>
      </w:r>
      <w:r w:rsidR="00A308D6" w:rsidRPr="00AB1093">
        <w:t>Ryan JE, Warrier SK, Lynch AC, Ramsay RG, Phillips WA, Heriot AG.  Predicting pathological complete response to neoadjuvant chemoradiotherapy in locally advanced rectal cancer: a systematic review.  Colorectal Dis. 2016 Mar; 18(3): 234-46.</w:t>
      </w:r>
    </w:p>
    <w:p w14:paraId="700E9A19" w14:textId="77777777" w:rsidR="00A308D6" w:rsidRPr="00AB1093" w:rsidRDefault="00D61181" w:rsidP="00D61181">
      <w:pPr>
        <w:spacing w:line="480" w:lineRule="auto"/>
      </w:pPr>
      <w:r>
        <w:lastRenderedPageBreak/>
        <w:t xml:space="preserve">[17] </w:t>
      </w:r>
      <w:r w:rsidR="00A308D6" w:rsidRPr="00AB1093">
        <w:t>Probst CP, Becerra AZ, Aquina CT, Tejani MA, Wexner SD, Garcia-Aguilar J, Remzi FH, Dietz DW, Monson JR, Fleming FJ; Consortium for Optimizing the Surgical Treatment of Rectal Cancer (OSTRiCh).  Extended Intervals after Neoadjuvant Therapy in Locally Advanced Rectal Cancer: The Key to Improved Tumor Response and Potential Organ Preservation.  J Am Coll Surg. 2015 Aug; 221(2): 430-40.</w:t>
      </w:r>
    </w:p>
    <w:p w14:paraId="7B3A9662" w14:textId="77777777" w:rsidR="00404FB7" w:rsidRPr="00AB1093" w:rsidRDefault="00D61181" w:rsidP="00D61181">
      <w:pPr>
        <w:spacing w:line="480" w:lineRule="auto"/>
      </w:pPr>
      <w:r>
        <w:t xml:space="preserve">[18] </w:t>
      </w:r>
      <w:r w:rsidR="00404FB7" w:rsidRPr="00AB1093">
        <w:t>Holm T, Singnomklao T, Rutqvist LE, Cedermark B.  Adjuvant preoperative radiotherapy in patients with rectal carcinoma. Adverse effects during long term follow-up of two randomized trials.  Cancer. 1996 Sep 1; 78(5): 968-76.</w:t>
      </w:r>
    </w:p>
    <w:p w14:paraId="11A81D9F" w14:textId="77777777" w:rsidR="00404FB7" w:rsidRPr="00AB1093" w:rsidRDefault="00D61181" w:rsidP="00D61181">
      <w:pPr>
        <w:spacing w:line="480" w:lineRule="auto"/>
      </w:pPr>
      <w:r>
        <w:t xml:space="preserve">[19] </w:t>
      </w:r>
      <w:r w:rsidR="00404FB7" w:rsidRPr="00AB1093">
        <w:t>Dahlberg M, Glimelius B, Graf W, Påhlman L.  Preoperative irradiation affects functional results after surgery for rectal cancer: results from a randomized study.  Dis Colon Rectum. 1998 May; 41(5): 543-9.</w:t>
      </w:r>
    </w:p>
    <w:p w14:paraId="79852584" w14:textId="77777777" w:rsidR="00404FB7" w:rsidRPr="00AB1093" w:rsidRDefault="00D61181" w:rsidP="00D61181">
      <w:pPr>
        <w:spacing w:line="480" w:lineRule="auto"/>
      </w:pPr>
      <w:r>
        <w:t xml:space="preserve">[20] </w:t>
      </w:r>
      <w:r w:rsidR="00404FB7" w:rsidRPr="00AB1093">
        <w:t>Bosset JF, Calais G, Daban A, Berger C, Radosevic-Jelic L, Maingon P, Bardet E, Pierart M, Briffaux A; EORTC Radiotherapy Group.  Preoperative chemoradiotherapy versus preoperative radiotherapy in rectal cancer patients: assessment of acute toxicity and treatment compliance. Report of the 22921 randomised trial conducted by the EORTC Radiotherapy Group.  Eur J Cancer. 2004 Jan; 40(2): 219-24.</w:t>
      </w:r>
    </w:p>
    <w:p w14:paraId="03FD211C" w14:textId="77777777" w:rsidR="00404FB7" w:rsidRPr="00AB1093" w:rsidRDefault="00D61181" w:rsidP="00D61181">
      <w:pPr>
        <w:spacing w:line="480" w:lineRule="auto"/>
      </w:pPr>
      <w:r>
        <w:t xml:space="preserve">[21] </w:t>
      </w:r>
      <w:r w:rsidR="00404FB7" w:rsidRPr="00AB1093">
        <w:t>Bujko K, Nowacki MP, Kepka L, Oledzki J, Bebenek M, Kryj M; Polish Colorectal Study Group.  Postoperative complications in patients irradiated pre-operatively for rectal cancer: report of a randomised trial comparing short-term radiotherapy vs chemoradiation.  Colorectal Dis. 2005 Jul; 7(4): 410-6.</w:t>
      </w:r>
    </w:p>
    <w:p w14:paraId="20EBCEDE" w14:textId="77777777" w:rsidR="00404FB7" w:rsidRPr="00AB1093" w:rsidRDefault="00D61181" w:rsidP="00D61181">
      <w:pPr>
        <w:spacing w:line="480" w:lineRule="auto"/>
      </w:pPr>
      <w:r>
        <w:t xml:space="preserve">[22] </w:t>
      </w:r>
      <w:r w:rsidR="00404FB7" w:rsidRPr="00AB1093">
        <w:t>Tiernan J, Cook A, Geh I, George B, Magill L, Northover J, Verjee A, Wheeler J, Fearnhead N.  Use of a modified Delphi approach to develop research priorities for the association of coloproctology of Great Britain and Ireland.  Colorectal Dis. 2014 Dec; 16(12): 965-70.</w:t>
      </w:r>
    </w:p>
    <w:p w14:paraId="116BEE1F" w14:textId="77777777" w:rsidR="00404FB7" w:rsidRPr="00AB1093" w:rsidRDefault="00D61181" w:rsidP="00D61181">
      <w:pPr>
        <w:spacing w:line="480" w:lineRule="auto"/>
      </w:pPr>
      <w:r>
        <w:lastRenderedPageBreak/>
        <w:t xml:space="preserve">[23] </w:t>
      </w:r>
      <w:r w:rsidR="00404FB7" w:rsidRPr="00AB1093">
        <w:t>Aebersold R, Cravatt BF.  Proteomics: Advances, applications and the challenges that remain.  Trends Biotechnol. 2002 Dec; 20(12): S1-2.</w:t>
      </w:r>
    </w:p>
    <w:p w14:paraId="749ADC12" w14:textId="77777777" w:rsidR="00404FB7" w:rsidRPr="00AB1093" w:rsidRDefault="00D61181" w:rsidP="00D61181">
      <w:pPr>
        <w:spacing w:line="480" w:lineRule="auto"/>
      </w:pPr>
      <w:r>
        <w:t xml:space="preserve">[24] </w:t>
      </w:r>
      <w:r w:rsidR="00404FB7" w:rsidRPr="00AB1093">
        <w:t>Harvey JM, Clark GM, Osborne CK, Allred DC.  Estrogen receptor status by immunohistochemistry is superior to the ligand-binding assay for predicting response to adjuvant endocrine therapy in breast cancer.  J Clin Oncol. 1999 May; 17(5): 1474-81.</w:t>
      </w:r>
    </w:p>
    <w:p w14:paraId="73F9A34F" w14:textId="787E1394" w:rsidR="00404FB7" w:rsidRDefault="00D61181" w:rsidP="00D61181">
      <w:pPr>
        <w:spacing w:line="480" w:lineRule="auto"/>
      </w:pPr>
      <w:r>
        <w:t xml:space="preserve">[25] </w:t>
      </w:r>
      <w:r w:rsidR="00404FB7" w:rsidRPr="00AB1093">
        <w:t>Ryan R, Gibbons D, Hyland JM, Treanor D, White A, Mulcahy HE, O'Donoghue DP, Moriarty M, Fennelly D, Sheahan K.  Pathological response following long-course neoadjuvant chemoradiotherapy for locally advanced rectal cancer.  Histopathology. 2005 Aug; 47(2): 141-6.</w:t>
      </w:r>
    </w:p>
    <w:p w14:paraId="4E5D89E5" w14:textId="5F8B900A" w:rsidR="004C69F5" w:rsidRPr="00AB1093" w:rsidRDefault="00A109FF" w:rsidP="00A109FF">
      <w:pPr>
        <w:spacing w:line="480" w:lineRule="auto"/>
      </w:pPr>
      <w:r>
        <w:t xml:space="preserve">[26] Vizcaíno JA, Csordas A, del-Toro N, Dianes JA, Griss J, Lavidas I, Mayer G, Perez-Riverol Y, Reisinger F, Ternent T, Xu QW, Wang R, Hermjakob H.  </w:t>
      </w:r>
      <w:r w:rsidRPr="00A109FF">
        <w:t>2016 update of the PRIDE database and its related tools.</w:t>
      </w:r>
      <w:r>
        <w:t xml:space="preserve">  Nucleic Acids Res. 2016 Jan;44(D1): D447-56.</w:t>
      </w:r>
    </w:p>
    <w:p w14:paraId="1B8DB176" w14:textId="15B4E94C" w:rsidR="00494719" w:rsidRPr="00AB1093" w:rsidRDefault="00D61181" w:rsidP="00D61181">
      <w:pPr>
        <w:spacing w:line="480" w:lineRule="auto"/>
      </w:pPr>
      <w:r>
        <w:t>[2</w:t>
      </w:r>
      <w:r w:rsidR="004C69F5">
        <w:t>7</w:t>
      </w:r>
      <w:r>
        <w:t xml:space="preserve">] </w:t>
      </w:r>
      <w:r w:rsidR="00494719" w:rsidRPr="00AB1093">
        <w:t>Kuremsky JG, Tepper JE, McLeod HL.  Biomarkers for response to neoadjuvant chemoradiation for rectal cancer.  Int J Radiat Oncol Biol Phys. 2009 Jul; 74(3): 673-88.</w:t>
      </w:r>
    </w:p>
    <w:p w14:paraId="25DDC18D" w14:textId="5866D20A" w:rsidR="00494719" w:rsidRPr="00AB1093" w:rsidRDefault="00D61181" w:rsidP="00D61181">
      <w:pPr>
        <w:spacing w:line="480" w:lineRule="auto"/>
      </w:pPr>
      <w:r>
        <w:t>[2</w:t>
      </w:r>
      <w:r w:rsidR="004C69F5">
        <w:t>8</w:t>
      </w:r>
      <w:r>
        <w:t xml:space="preserve">] </w:t>
      </w:r>
      <w:r w:rsidR="00494719" w:rsidRPr="00AB1093">
        <w:t>Tyers M, Mann M.  From genomics to proteomics.  Nature. 2003 Mar; 422(6926): 193-7.</w:t>
      </w:r>
    </w:p>
    <w:p w14:paraId="47571537" w14:textId="7B94A3C5" w:rsidR="00494719" w:rsidRDefault="00D61181" w:rsidP="00D61181">
      <w:pPr>
        <w:spacing w:line="480" w:lineRule="auto"/>
      </w:pPr>
      <w:r>
        <w:t>[</w:t>
      </w:r>
      <w:r w:rsidR="004C69F5">
        <w:t>29</w:t>
      </w:r>
      <w:r>
        <w:t xml:space="preserve">] </w:t>
      </w:r>
      <w:r w:rsidR="00494719" w:rsidRPr="00AB1093">
        <w:t>Werb Z, Lu P.  The role of stroma in tumor development.  Cancer J. 2015 Jul-Aug; 21(4): 250-3.</w:t>
      </w:r>
    </w:p>
    <w:p w14:paraId="72D5B465" w14:textId="105BAA1D" w:rsidR="00494719" w:rsidRPr="00AB1093" w:rsidRDefault="00D61181" w:rsidP="00D61181">
      <w:pPr>
        <w:spacing w:line="480" w:lineRule="auto"/>
      </w:pPr>
      <w:r>
        <w:t>[3</w:t>
      </w:r>
      <w:r w:rsidR="004C69F5">
        <w:t>0</w:t>
      </w:r>
      <w:r>
        <w:t xml:space="preserve">] </w:t>
      </w:r>
      <w:r w:rsidR="00494719" w:rsidRPr="00AB1093">
        <w:t>Kalluri R, Zeisberg M.  Fibroblasts in cancer.  Nat Rev Cancer. 2006 May; 6(5): 392-401.</w:t>
      </w:r>
    </w:p>
    <w:p w14:paraId="0B768998" w14:textId="2799E398" w:rsidR="00494719" w:rsidRDefault="00D61181" w:rsidP="00D61181">
      <w:pPr>
        <w:spacing w:line="480" w:lineRule="auto"/>
      </w:pPr>
      <w:r>
        <w:t>[3</w:t>
      </w:r>
      <w:r w:rsidR="004C69F5">
        <w:t>1</w:t>
      </w:r>
      <w:r>
        <w:t xml:space="preserve">] </w:t>
      </w:r>
      <w:r w:rsidR="00494719" w:rsidRPr="00AB1093">
        <w:t>Khan Z, Marshall JF.  The role of integrins in TGFβ activation in the tumour stroma.  Cell Tissue Res. 2016 Sep; 365(3): 657-73.</w:t>
      </w:r>
    </w:p>
    <w:p w14:paraId="4D045633" w14:textId="39A350A5" w:rsidR="00853C00" w:rsidRDefault="00853C00" w:rsidP="00853C00">
      <w:pPr>
        <w:spacing w:line="480" w:lineRule="auto"/>
      </w:pPr>
      <w:r>
        <w:t xml:space="preserve">[32] </w:t>
      </w:r>
      <w:r w:rsidRPr="00853C00">
        <w:t xml:space="preserve">Alderdice M, Dunne PD, Cole AJ, O'Reilly PG, McArt DG, Bingham V, Fuchs MA, McQuaid S, Loughrey MB, Murray GI, Samuel LM, Lawler M, Wilson RH, Salto-Tellez M, Coyle VM. </w:t>
      </w:r>
      <w:r>
        <w:t xml:space="preserve"> </w:t>
      </w:r>
      <w:r w:rsidRPr="00853C00">
        <w:t>Natural killer-like signature observed post therapy in locally advanced rectal cancer is a determinant of pathological response and improved survival.</w:t>
      </w:r>
      <w:r>
        <w:t xml:space="preserve">  Mod Pathol. 2017 Sep; 30(9): 1287-1298.</w:t>
      </w:r>
    </w:p>
    <w:p w14:paraId="5D894C48" w14:textId="55BCF584" w:rsidR="00494719" w:rsidRPr="00AB1093" w:rsidRDefault="00D61181" w:rsidP="00D61181">
      <w:pPr>
        <w:spacing w:line="480" w:lineRule="auto"/>
      </w:pPr>
      <w:r>
        <w:lastRenderedPageBreak/>
        <w:t>[3</w:t>
      </w:r>
      <w:r w:rsidR="00853C00">
        <w:t>3</w:t>
      </w:r>
      <w:r>
        <w:t xml:space="preserve">] </w:t>
      </w:r>
      <w:r w:rsidR="00494719" w:rsidRPr="00AB1093">
        <w:t>García-Barros M, Coant N, Truman JP, Snider AJ, Hannun YA.  Sphingolipids in colon cancer.  Biochim Biophys Acta. 2014 May; 1841(5): 773-82.</w:t>
      </w:r>
    </w:p>
    <w:p w14:paraId="77404B9B" w14:textId="4D23A4BD" w:rsidR="00494719" w:rsidRPr="00AB1093" w:rsidRDefault="00D61181" w:rsidP="00D61181">
      <w:pPr>
        <w:spacing w:line="480" w:lineRule="auto"/>
      </w:pPr>
      <w:r>
        <w:t>[3</w:t>
      </w:r>
      <w:r w:rsidR="00853C00">
        <w:t>4</w:t>
      </w:r>
      <w:r>
        <w:t xml:space="preserve">] </w:t>
      </w:r>
      <w:r w:rsidR="00494719" w:rsidRPr="00AB1093">
        <w:t>Tirodkar TS, Voelkel-Johnson C.  Sphingolipids in apoptosis.  Exp Oncol. 2012 Oct; 34(3): 231-42.</w:t>
      </w:r>
    </w:p>
    <w:p w14:paraId="78A17743" w14:textId="6B73D40E" w:rsidR="00494719" w:rsidRPr="00AB1093" w:rsidRDefault="00D61181" w:rsidP="00D61181">
      <w:pPr>
        <w:spacing w:line="480" w:lineRule="auto"/>
      </w:pPr>
      <w:r>
        <w:t>[3</w:t>
      </w:r>
      <w:r w:rsidR="00853C00">
        <w:t>5</w:t>
      </w:r>
      <w:r>
        <w:t xml:space="preserve">] </w:t>
      </w:r>
      <w:r w:rsidR="00494719" w:rsidRPr="00AB1093">
        <w:t>Kolesnick R, Fuks Z.  Radiation and ceramide-induced apoptosis.  Oncogene. 2003 Sep 1; 22(37): 5897-906.</w:t>
      </w:r>
    </w:p>
    <w:p w14:paraId="65692C37" w14:textId="559AFE6B" w:rsidR="00494719" w:rsidRPr="00AB1093" w:rsidRDefault="00D61181" w:rsidP="00D61181">
      <w:pPr>
        <w:spacing w:line="480" w:lineRule="auto"/>
      </w:pPr>
      <w:r>
        <w:t>[3</w:t>
      </w:r>
      <w:r w:rsidR="00853C00">
        <w:t>6</w:t>
      </w:r>
      <w:r>
        <w:t xml:space="preserve">] </w:t>
      </w:r>
      <w:r w:rsidR="00494719" w:rsidRPr="00AB1093">
        <w:t>Mahdy AE, Cheng JC, Li J, Elojeimy S, Meacham WD, Turner LS, Bai A, Gault CR, McPherson AS, Garcia N, Beckham TH, Saad A, Bielawska A, Bielawski J, Hannun YA, Keane TE, Taha MI, Hammouda HM, Norris JS, Liu X.  Acid ceramidase upregulation in prostate cancer cells confers resistance to radiation: AC inhibition, a potential radiosensitizer.  Mol Ther. 2009 Mar; 17(3): 430-8.</w:t>
      </w:r>
    </w:p>
    <w:p w14:paraId="0ED222F5" w14:textId="361F26EA" w:rsidR="00494719" w:rsidRDefault="00D61181" w:rsidP="00D61181">
      <w:pPr>
        <w:spacing w:line="480" w:lineRule="auto"/>
      </w:pPr>
      <w:r>
        <w:t>[3</w:t>
      </w:r>
      <w:r w:rsidR="00853C00">
        <w:t>7</w:t>
      </w:r>
      <w:r>
        <w:t xml:space="preserve">] </w:t>
      </w:r>
      <w:r w:rsidR="00494719" w:rsidRPr="00AB1093">
        <w:t>Realini N, Solorzano C, Pagliuca C, Pizzirani D, Armirotti A, Luciani R, Costi MP, Bandiera T, Piomelli D.  Discovery of highly potent acid ceramidase inhibitors with in vitro tumor chemosensitizing activity.  Sci Rep. 2013; 3: 1035.</w:t>
      </w:r>
    </w:p>
    <w:p w14:paraId="42AEED7A" w14:textId="6A88E794" w:rsidR="004C69F5" w:rsidRPr="00AB1093" w:rsidRDefault="004C69F5" w:rsidP="00D61181">
      <w:pPr>
        <w:spacing w:line="480" w:lineRule="auto"/>
      </w:pPr>
      <w:r>
        <w:t>[3</w:t>
      </w:r>
      <w:r w:rsidR="00853C00">
        <w:t>8</w:t>
      </w:r>
      <w:r>
        <w:t xml:space="preserve">] </w:t>
      </w:r>
      <w:r w:rsidRPr="00AB1093">
        <w:t>Kumar B, Brown NV, Swanson BJ, Schmitt AC, Old M, Ozer E, Agrawal A, Schuller DE, Teknos TN, Kumar P.  High expression of myoferlin is associated with poor outcome in oropharyngeal squamous cell carcinoma patients and is inversely associated with HPV-status.  Oncotarget. 2016 Apr 5; 7(14): 18665-77.</w:t>
      </w:r>
    </w:p>
    <w:p w14:paraId="2E93D6D7" w14:textId="6424A2E4" w:rsidR="00494719" w:rsidRPr="00AB1093" w:rsidRDefault="00D61181" w:rsidP="00D61181">
      <w:pPr>
        <w:spacing w:line="480" w:lineRule="auto"/>
      </w:pPr>
      <w:r>
        <w:t>[3</w:t>
      </w:r>
      <w:r w:rsidR="00853C00">
        <w:t>9</w:t>
      </w:r>
      <w:r>
        <w:t xml:space="preserve">] </w:t>
      </w:r>
      <w:r w:rsidR="00494719" w:rsidRPr="00AB1093">
        <w:t>Boland PM, Fakih M.  The emerging role of neoadjuvant chemotherapy for rectal cancer.  J Gastrointest Oncol. 2014 Oct; 5(5): 362-73.</w:t>
      </w:r>
    </w:p>
    <w:p w14:paraId="78A5B4AB" w14:textId="0371B24B" w:rsidR="00494719" w:rsidRPr="00AB1093" w:rsidRDefault="00D61181" w:rsidP="00D61181">
      <w:pPr>
        <w:spacing w:line="480" w:lineRule="auto"/>
      </w:pPr>
      <w:r>
        <w:t>[</w:t>
      </w:r>
      <w:r w:rsidR="00853C00">
        <w:t>40</w:t>
      </w:r>
      <w:r>
        <w:t xml:space="preserve">] </w:t>
      </w:r>
      <w:r w:rsidR="00494719" w:rsidRPr="00AB1093">
        <w:t>Chau I, Brown G, Cunningham D, Tait D, Wotherspoon A, Norman AR, Tebbutt N, Hill M, Ross PJ, Massey A, Oates J.  Neoadjuvant capecitabine and oxaliplatin followed by synchronous chemoradiation and total mesorectal excision in magnetic resonance imaging-defined poor-risk rectal cancer.  J Clin Oncol. 2006 Feb 1; 24(4): 668-74.</w:t>
      </w:r>
    </w:p>
    <w:p w14:paraId="0810F7AA" w14:textId="3BD1946E" w:rsidR="00494719" w:rsidRPr="00AB1093" w:rsidRDefault="00D61181" w:rsidP="00D61181">
      <w:pPr>
        <w:spacing w:line="480" w:lineRule="auto"/>
      </w:pPr>
      <w:r>
        <w:t>[</w:t>
      </w:r>
      <w:r w:rsidR="00A109FF">
        <w:t>4</w:t>
      </w:r>
      <w:r w:rsidR="00853C00">
        <w:t>1</w:t>
      </w:r>
      <w:r>
        <w:t xml:space="preserve">] </w:t>
      </w:r>
      <w:r w:rsidR="00494719" w:rsidRPr="00AB1093">
        <w:t xml:space="preserve">Fernández-Martos C, Pericay C, Aparicio J, Salud A, Safont M, Massuti B, Vera R, Escudero P, Maurel J, Marcuello E, Mengual JL, Saigi E, Estevan R, Mira M, Polo S, Hernandez A, Gallen M, Arias F, </w:t>
      </w:r>
      <w:r w:rsidR="00494719" w:rsidRPr="00AB1093">
        <w:lastRenderedPageBreak/>
        <w:t>Serra J, Alonso V.  Phase II, randomized study of concomitant chemoradiotherapy followed by surgery and adjuvant capecitabine plus oxaliplatin (CAPOX) compared with induction CAPOX followed by concomitant chemoradiotherapy and surgery in magnetic resonance imaging-defined, locally advanced rectal cancer: Grupo cancer de recto 3 study.  J Clin Oncol. 2010 Feb 10; 28(5): 859-65.</w:t>
      </w:r>
    </w:p>
    <w:p w14:paraId="0DF9EBD5" w14:textId="723807BD" w:rsidR="00494719" w:rsidRPr="00AB1093" w:rsidRDefault="00D61181" w:rsidP="00D61181">
      <w:pPr>
        <w:spacing w:line="480" w:lineRule="auto"/>
      </w:pPr>
      <w:r>
        <w:t>[4</w:t>
      </w:r>
      <w:r w:rsidR="00853C00">
        <w:t>2</w:t>
      </w:r>
      <w:r>
        <w:t xml:space="preserve">] </w:t>
      </w:r>
      <w:r w:rsidR="00494719" w:rsidRPr="00AB1093">
        <w:t>Perez K, Safran H, Sikov W, Vrees M, Klipfel A, Shah N, Schechter S, Oldenburg N, Pricolo V, Rosati K, Dipetrillo T.  Complete Neoadjuvant Treatment for Rectal Cancer: The Brown University Oncology Group CONTRE Study.  Am J Clin Oncol. 2017 Jun; 40(3): 283-287.</w:t>
      </w:r>
    </w:p>
    <w:p w14:paraId="47D91143" w14:textId="77777777" w:rsidR="00CC33EA" w:rsidRDefault="00CC33EA" w:rsidP="00CE625D">
      <w:pPr>
        <w:spacing w:line="480" w:lineRule="auto"/>
      </w:pPr>
    </w:p>
    <w:p w14:paraId="6D780ABC" w14:textId="77777777" w:rsidR="00CE625D" w:rsidRPr="00AB1093" w:rsidRDefault="00CE625D" w:rsidP="00CE625D">
      <w:pPr>
        <w:spacing w:line="480" w:lineRule="auto"/>
      </w:pPr>
    </w:p>
    <w:sectPr w:rsidR="00CE625D" w:rsidRPr="00AB1093" w:rsidSect="00EA227D">
      <w:foot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791A1" w16cid:durableId="1DE96076"/>
  <w16cid:commentId w16cid:paraId="77BA9F05" w16cid:durableId="1DE96077"/>
  <w16cid:commentId w16cid:paraId="5566F4D1" w16cid:durableId="1DE96078"/>
  <w16cid:commentId w16cid:paraId="7BE37D62" w16cid:durableId="1DE960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7B986" w14:textId="77777777" w:rsidR="00D86776" w:rsidRDefault="00D86776" w:rsidP="0060190C">
      <w:pPr>
        <w:spacing w:after="0" w:line="240" w:lineRule="auto"/>
      </w:pPr>
      <w:r>
        <w:separator/>
      </w:r>
    </w:p>
  </w:endnote>
  <w:endnote w:type="continuationSeparator" w:id="0">
    <w:p w14:paraId="7EDD5CF3" w14:textId="77777777" w:rsidR="00D86776" w:rsidRDefault="00D86776" w:rsidP="0060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421984"/>
      <w:docPartObj>
        <w:docPartGallery w:val="Page Numbers (Bottom of Page)"/>
        <w:docPartUnique/>
      </w:docPartObj>
    </w:sdtPr>
    <w:sdtEndPr>
      <w:rPr>
        <w:noProof/>
      </w:rPr>
    </w:sdtEndPr>
    <w:sdtContent>
      <w:p w14:paraId="5F31EBF1" w14:textId="364DE30D" w:rsidR="001F153D" w:rsidRDefault="001F153D">
        <w:pPr>
          <w:pStyle w:val="Footer"/>
          <w:jc w:val="center"/>
        </w:pPr>
        <w:r>
          <w:fldChar w:fldCharType="begin"/>
        </w:r>
        <w:r>
          <w:instrText xml:space="preserve"> PAGE   \* MERGEFORMAT </w:instrText>
        </w:r>
        <w:r>
          <w:fldChar w:fldCharType="separate"/>
        </w:r>
        <w:r w:rsidR="004E734E">
          <w:rPr>
            <w:noProof/>
          </w:rPr>
          <w:t>1</w:t>
        </w:r>
        <w:r>
          <w:rPr>
            <w:noProof/>
          </w:rPr>
          <w:fldChar w:fldCharType="end"/>
        </w:r>
      </w:p>
    </w:sdtContent>
  </w:sdt>
  <w:p w14:paraId="19356DEC" w14:textId="77777777" w:rsidR="001F153D" w:rsidRDefault="001F1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CA529" w14:textId="77777777" w:rsidR="00D86776" w:rsidRDefault="00D86776" w:rsidP="0060190C">
      <w:pPr>
        <w:spacing w:after="0" w:line="240" w:lineRule="auto"/>
      </w:pPr>
      <w:r>
        <w:separator/>
      </w:r>
    </w:p>
  </w:footnote>
  <w:footnote w:type="continuationSeparator" w:id="0">
    <w:p w14:paraId="7AA5F450" w14:textId="77777777" w:rsidR="00D86776" w:rsidRDefault="00D86776" w:rsidP="00601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A0156"/>
    <w:multiLevelType w:val="hybridMultilevel"/>
    <w:tmpl w:val="FF54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0157A"/>
    <w:multiLevelType w:val="hybridMultilevel"/>
    <w:tmpl w:val="0CF8DA4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51761A"/>
    <w:multiLevelType w:val="hybridMultilevel"/>
    <w:tmpl w:val="001EFF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C32F9E"/>
    <w:multiLevelType w:val="hybridMultilevel"/>
    <w:tmpl w:val="1922B5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96"/>
    <w:rsid w:val="0000083D"/>
    <w:rsid w:val="00011B0F"/>
    <w:rsid w:val="00021C64"/>
    <w:rsid w:val="00022A7E"/>
    <w:rsid w:val="000332B7"/>
    <w:rsid w:val="000401DC"/>
    <w:rsid w:val="000455DE"/>
    <w:rsid w:val="00047064"/>
    <w:rsid w:val="0005518C"/>
    <w:rsid w:val="0005779B"/>
    <w:rsid w:val="0006110F"/>
    <w:rsid w:val="00061CB9"/>
    <w:rsid w:val="0007540C"/>
    <w:rsid w:val="00090514"/>
    <w:rsid w:val="00090A4E"/>
    <w:rsid w:val="00091A8E"/>
    <w:rsid w:val="000A3B4C"/>
    <w:rsid w:val="000A5371"/>
    <w:rsid w:val="000B1A79"/>
    <w:rsid w:val="000B6912"/>
    <w:rsid w:val="000B71B1"/>
    <w:rsid w:val="000C10BF"/>
    <w:rsid w:val="000C239C"/>
    <w:rsid w:val="000C2528"/>
    <w:rsid w:val="000C4ADE"/>
    <w:rsid w:val="000D3073"/>
    <w:rsid w:val="000D6276"/>
    <w:rsid w:val="000D681D"/>
    <w:rsid w:val="000E0D69"/>
    <w:rsid w:val="000E7DEF"/>
    <w:rsid w:val="000F2567"/>
    <w:rsid w:val="000F3197"/>
    <w:rsid w:val="000F4088"/>
    <w:rsid w:val="000F51E2"/>
    <w:rsid w:val="000F6E3E"/>
    <w:rsid w:val="0010592A"/>
    <w:rsid w:val="00116E73"/>
    <w:rsid w:val="00117CFA"/>
    <w:rsid w:val="00121D21"/>
    <w:rsid w:val="00123FB1"/>
    <w:rsid w:val="00127A37"/>
    <w:rsid w:val="00131E5E"/>
    <w:rsid w:val="00132AF1"/>
    <w:rsid w:val="0014151C"/>
    <w:rsid w:val="00145E2E"/>
    <w:rsid w:val="001513F8"/>
    <w:rsid w:val="00160D39"/>
    <w:rsid w:val="001619E9"/>
    <w:rsid w:val="001675D6"/>
    <w:rsid w:val="0016773C"/>
    <w:rsid w:val="00173241"/>
    <w:rsid w:val="00173D75"/>
    <w:rsid w:val="00177932"/>
    <w:rsid w:val="001A11ED"/>
    <w:rsid w:val="001A3E11"/>
    <w:rsid w:val="001A55D1"/>
    <w:rsid w:val="001A69F2"/>
    <w:rsid w:val="001A7FBB"/>
    <w:rsid w:val="001E6BBB"/>
    <w:rsid w:val="001E770E"/>
    <w:rsid w:val="001F153D"/>
    <w:rsid w:val="001F2A72"/>
    <w:rsid w:val="0020033D"/>
    <w:rsid w:val="002005E5"/>
    <w:rsid w:val="00202CD8"/>
    <w:rsid w:val="0020532B"/>
    <w:rsid w:val="00210E25"/>
    <w:rsid w:val="00211AF0"/>
    <w:rsid w:val="002210EA"/>
    <w:rsid w:val="00224970"/>
    <w:rsid w:val="0023341F"/>
    <w:rsid w:val="0024215F"/>
    <w:rsid w:val="00247445"/>
    <w:rsid w:val="0025035D"/>
    <w:rsid w:val="0025261B"/>
    <w:rsid w:val="00257F3B"/>
    <w:rsid w:val="00265DB2"/>
    <w:rsid w:val="002A140B"/>
    <w:rsid w:val="002A5009"/>
    <w:rsid w:val="002A5AE8"/>
    <w:rsid w:val="002B23D9"/>
    <w:rsid w:val="002B7702"/>
    <w:rsid w:val="002C4853"/>
    <w:rsid w:val="002C4E34"/>
    <w:rsid w:val="002C4EDB"/>
    <w:rsid w:val="002E48FE"/>
    <w:rsid w:val="002E6AC0"/>
    <w:rsid w:val="002E70EB"/>
    <w:rsid w:val="002E7CD2"/>
    <w:rsid w:val="002F4A78"/>
    <w:rsid w:val="002F695D"/>
    <w:rsid w:val="00301A9D"/>
    <w:rsid w:val="00310E84"/>
    <w:rsid w:val="00314F28"/>
    <w:rsid w:val="003227EF"/>
    <w:rsid w:val="00324F55"/>
    <w:rsid w:val="00334C75"/>
    <w:rsid w:val="00335FA0"/>
    <w:rsid w:val="00337759"/>
    <w:rsid w:val="003566F8"/>
    <w:rsid w:val="003653E3"/>
    <w:rsid w:val="00367A5F"/>
    <w:rsid w:val="00370A55"/>
    <w:rsid w:val="00371BD4"/>
    <w:rsid w:val="00396B56"/>
    <w:rsid w:val="003A757C"/>
    <w:rsid w:val="003B070B"/>
    <w:rsid w:val="003B520F"/>
    <w:rsid w:val="003C30D0"/>
    <w:rsid w:val="003C5AE7"/>
    <w:rsid w:val="003D1C68"/>
    <w:rsid w:val="003D49EE"/>
    <w:rsid w:val="003E718D"/>
    <w:rsid w:val="003E7AB8"/>
    <w:rsid w:val="004014AC"/>
    <w:rsid w:val="00404FB7"/>
    <w:rsid w:val="00406404"/>
    <w:rsid w:val="0041004D"/>
    <w:rsid w:val="0041553D"/>
    <w:rsid w:val="00425BA4"/>
    <w:rsid w:val="004268ED"/>
    <w:rsid w:val="00435114"/>
    <w:rsid w:val="00440580"/>
    <w:rsid w:val="00451679"/>
    <w:rsid w:val="00471E53"/>
    <w:rsid w:val="00476B01"/>
    <w:rsid w:val="0047710F"/>
    <w:rsid w:val="00487CD2"/>
    <w:rsid w:val="00494000"/>
    <w:rsid w:val="00494719"/>
    <w:rsid w:val="00496B22"/>
    <w:rsid w:val="004B015A"/>
    <w:rsid w:val="004B178F"/>
    <w:rsid w:val="004B28BF"/>
    <w:rsid w:val="004C69F5"/>
    <w:rsid w:val="004C7C54"/>
    <w:rsid w:val="004D2344"/>
    <w:rsid w:val="004D238C"/>
    <w:rsid w:val="004E350A"/>
    <w:rsid w:val="004E51E4"/>
    <w:rsid w:val="004E734E"/>
    <w:rsid w:val="00501FC6"/>
    <w:rsid w:val="0054274D"/>
    <w:rsid w:val="00542A9D"/>
    <w:rsid w:val="00543F01"/>
    <w:rsid w:val="0054455C"/>
    <w:rsid w:val="0054559E"/>
    <w:rsid w:val="0055672B"/>
    <w:rsid w:val="005605FF"/>
    <w:rsid w:val="0056223A"/>
    <w:rsid w:val="005643F6"/>
    <w:rsid w:val="00573E8D"/>
    <w:rsid w:val="00574D06"/>
    <w:rsid w:val="00576D75"/>
    <w:rsid w:val="005818D7"/>
    <w:rsid w:val="0058718C"/>
    <w:rsid w:val="00590902"/>
    <w:rsid w:val="00591608"/>
    <w:rsid w:val="00591757"/>
    <w:rsid w:val="00591D41"/>
    <w:rsid w:val="00595B6C"/>
    <w:rsid w:val="005A45A9"/>
    <w:rsid w:val="005A54E5"/>
    <w:rsid w:val="005A66E0"/>
    <w:rsid w:val="005B2FEA"/>
    <w:rsid w:val="005B4612"/>
    <w:rsid w:val="005B7814"/>
    <w:rsid w:val="005C3668"/>
    <w:rsid w:val="005D0433"/>
    <w:rsid w:val="005D399D"/>
    <w:rsid w:val="005D594C"/>
    <w:rsid w:val="005E145B"/>
    <w:rsid w:val="005E7DD2"/>
    <w:rsid w:val="005F448B"/>
    <w:rsid w:val="005F52D4"/>
    <w:rsid w:val="0060190C"/>
    <w:rsid w:val="00603F2A"/>
    <w:rsid w:val="006122E8"/>
    <w:rsid w:val="0061672B"/>
    <w:rsid w:val="00617F80"/>
    <w:rsid w:val="00622A72"/>
    <w:rsid w:val="00624F3F"/>
    <w:rsid w:val="00631474"/>
    <w:rsid w:val="00631620"/>
    <w:rsid w:val="006333F3"/>
    <w:rsid w:val="0063523B"/>
    <w:rsid w:val="006443D4"/>
    <w:rsid w:val="0064706D"/>
    <w:rsid w:val="00647B56"/>
    <w:rsid w:val="00651DB5"/>
    <w:rsid w:val="00651FDA"/>
    <w:rsid w:val="00652B4F"/>
    <w:rsid w:val="00654893"/>
    <w:rsid w:val="00654958"/>
    <w:rsid w:val="00656F8D"/>
    <w:rsid w:val="00661123"/>
    <w:rsid w:val="00661A04"/>
    <w:rsid w:val="00663A3E"/>
    <w:rsid w:val="0066483F"/>
    <w:rsid w:val="00677386"/>
    <w:rsid w:val="00680818"/>
    <w:rsid w:val="00681048"/>
    <w:rsid w:val="00682D81"/>
    <w:rsid w:val="00683ABB"/>
    <w:rsid w:val="0068783C"/>
    <w:rsid w:val="00690E8A"/>
    <w:rsid w:val="006917A0"/>
    <w:rsid w:val="00695879"/>
    <w:rsid w:val="006A02BE"/>
    <w:rsid w:val="006A409B"/>
    <w:rsid w:val="006A4307"/>
    <w:rsid w:val="006A49F1"/>
    <w:rsid w:val="006B4671"/>
    <w:rsid w:val="006B4E41"/>
    <w:rsid w:val="006B6855"/>
    <w:rsid w:val="006C2C7A"/>
    <w:rsid w:val="006E0B68"/>
    <w:rsid w:val="006F1724"/>
    <w:rsid w:val="006F2D01"/>
    <w:rsid w:val="006F4639"/>
    <w:rsid w:val="0070083F"/>
    <w:rsid w:val="0070407A"/>
    <w:rsid w:val="007138AB"/>
    <w:rsid w:val="00717E13"/>
    <w:rsid w:val="00733E47"/>
    <w:rsid w:val="007468FA"/>
    <w:rsid w:val="00746DE9"/>
    <w:rsid w:val="00752D32"/>
    <w:rsid w:val="00756C90"/>
    <w:rsid w:val="007613F5"/>
    <w:rsid w:val="00761594"/>
    <w:rsid w:val="007716DC"/>
    <w:rsid w:val="00786FA3"/>
    <w:rsid w:val="007955A9"/>
    <w:rsid w:val="007B10C4"/>
    <w:rsid w:val="007B7EE6"/>
    <w:rsid w:val="007C3532"/>
    <w:rsid w:val="007E35AA"/>
    <w:rsid w:val="007F4E46"/>
    <w:rsid w:val="008027AE"/>
    <w:rsid w:val="0080290B"/>
    <w:rsid w:val="008029F4"/>
    <w:rsid w:val="00811F37"/>
    <w:rsid w:val="008171D9"/>
    <w:rsid w:val="008249B8"/>
    <w:rsid w:val="00832A66"/>
    <w:rsid w:val="008342EB"/>
    <w:rsid w:val="00835687"/>
    <w:rsid w:val="00836D9E"/>
    <w:rsid w:val="00846C14"/>
    <w:rsid w:val="00853C00"/>
    <w:rsid w:val="008672B8"/>
    <w:rsid w:val="00882AC3"/>
    <w:rsid w:val="00886B62"/>
    <w:rsid w:val="008972D4"/>
    <w:rsid w:val="008B1DBA"/>
    <w:rsid w:val="008F0946"/>
    <w:rsid w:val="008F1B86"/>
    <w:rsid w:val="00901E04"/>
    <w:rsid w:val="00921C48"/>
    <w:rsid w:val="0092617A"/>
    <w:rsid w:val="0092709E"/>
    <w:rsid w:val="009301A4"/>
    <w:rsid w:val="009319B1"/>
    <w:rsid w:val="00934864"/>
    <w:rsid w:val="00937C3A"/>
    <w:rsid w:val="00941836"/>
    <w:rsid w:val="00942D31"/>
    <w:rsid w:val="009470C7"/>
    <w:rsid w:val="00954137"/>
    <w:rsid w:val="00955410"/>
    <w:rsid w:val="0096302F"/>
    <w:rsid w:val="009653D8"/>
    <w:rsid w:val="00970DED"/>
    <w:rsid w:val="0097208C"/>
    <w:rsid w:val="00974C75"/>
    <w:rsid w:val="00981CAB"/>
    <w:rsid w:val="00985B68"/>
    <w:rsid w:val="00991150"/>
    <w:rsid w:val="00992B81"/>
    <w:rsid w:val="00993C00"/>
    <w:rsid w:val="00994DDE"/>
    <w:rsid w:val="009956BD"/>
    <w:rsid w:val="009A16A9"/>
    <w:rsid w:val="009A1DD2"/>
    <w:rsid w:val="009B6426"/>
    <w:rsid w:val="009B72DF"/>
    <w:rsid w:val="009C58C1"/>
    <w:rsid w:val="009C6DED"/>
    <w:rsid w:val="009C7DB0"/>
    <w:rsid w:val="009D5A76"/>
    <w:rsid w:val="009F1F83"/>
    <w:rsid w:val="00A07D80"/>
    <w:rsid w:val="00A1057A"/>
    <w:rsid w:val="00A109FF"/>
    <w:rsid w:val="00A131C6"/>
    <w:rsid w:val="00A13391"/>
    <w:rsid w:val="00A1420D"/>
    <w:rsid w:val="00A155EB"/>
    <w:rsid w:val="00A21BAB"/>
    <w:rsid w:val="00A2432C"/>
    <w:rsid w:val="00A26E7F"/>
    <w:rsid w:val="00A26FF6"/>
    <w:rsid w:val="00A27C19"/>
    <w:rsid w:val="00A308D6"/>
    <w:rsid w:val="00A32408"/>
    <w:rsid w:val="00A34C7C"/>
    <w:rsid w:val="00A355C4"/>
    <w:rsid w:val="00A46F0E"/>
    <w:rsid w:val="00A527B9"/>
    <w:rsid w:val="00A5562D"/>
    <w:rsid w:val="00A631BA"/>
    <w:rsid w:val="00A646D4"/>
    <w:rsid w:val="00A65C8D"/>
    <w:rsid w:val="00A914F2"/>
    <w:rsid w:val="00A9691E"/>
    <w:rsid w:val="00AA5FDB"/>
    <w:rsid w:val="00AB3980"/>
    <w:rsid w:val="00AB5832"/>
    <w:rsid w:val="00AC0FDC"/>
    <w:rsid w:val="00AC7394"/>
    <w:rsid w:val="00AE39B9"/>
    <w:rsid w:val="00AE48BD"/>
    <w:rsid w:val="00AE7B8C"/>
    <w:rsid w:val="00B03BC2"/>
    <w:rsid w:val="00B14C34"/>
    <w:rsid w:val="00B360A1"/>
    <w:rsid w:val="00B3646F"/>
    <w:rsid w:val="00B374B0"/>
    <w:rsid w:val="00B506B8"/>
    <w:rsid w:val="00B507CC"/>
    <w:rsid w:val="00B56D2B"/>
    <w:rsid w:val="00B628C7"/>
    <w:rsid w:val="00B770FF"/>
    <w:rsid w:val="00B92B69"/>
    <w:rsid w:val="00B93696"/>
    <w:rsid w:val="00BA171D"/>
    <w:rsid w:val="00BA4F1A"/>
    <w:rsid w:val="00BA7FCC"/>
    <w:rsid w:val="00BC1530"/>
    <w:rsid w:val="00BC212D"/>
    <w:rsid w:val="00BC34FF"/>
    <w:rsid w:val="00BD4548"/>
    <w:rsid w:val="00BD4553"/>
    <w:rsid w:val="00BD7AEC"/>
    <w:rsid w:val="00BE3817"/>
    <w:rsid w:val="00BE3A4D"/>
    <w:rsid w:val="00BE494F"/>
    <w:rsid w:val="00BF0470"/>
    <w:rsid w:val="00BF4082"/>
    <w:rsid w:val="00BF6202"/>
    <w:rsid w:val="00C046BE"/>
    <w:rsid w:val="00C06567"/>
    <w:rsid w:val="00C065C6"/>
    <w:rsid w:val="00C06A23"/>
    <w:rsid w:val="00C17E0C"/>
    <w:rsid w:val="00C215A2"/>
    <w:rsid w:val="00C43759"/>
    <w:rsid w:val="00C60CA8"/>
    <w:rsid w:val="00C66E41"/>
    <w:rsid w:val="00C67DE2"/>
    <w:rsid w:val="00C7087A"/>
    <w:rsid w:val="00C712BF"/>
    <w:rsid w:val="00C71F02"/>
    <w:rsid w:val="00C752F7"/>
    <w:rsid w:val="00C779FE"/>
    <w:rsid w:val="00C8237C"/>
    <w:rsid w:val="00C86C2D"/>
    <w:rsid w:val="00C92496"/>
    <w:rsid w:val="00C94A74"/>
    <w:rsid w:val="00CA07B9"/>
    <w:rsid w:val="00CA4907"/>
    <w:rsid w:val="00CA4CCB"/>
    <w:rsid w:val="00CC1B3C"/>
    <w:rsid w:val="00CC33EA"/>
    <w:rsid w:val="00CE0B72"/>
    <w:rsid w:val="00CE625D"/>
    <w:rsid w:val="00CF2A29"/>
    <w:rsid w:val="00D00648"/>
    <w:rsid w:val="00D0527A"/>
    <w:rsid w:val="00D1302F"/>
    <w:rsid w:val="00D3553B"/>
    <w:rsid w:val="00D37C1F"/>
    <w:rsid w:val="00D4032E"/>
    <w:rsid w:val="00D43BE5"/>
    <w:rsid w:val="00D440CF"/>
    <w:rsid w:val="00D44FCD"/>
    <w:rsid w:val="00D54CBF"/>
    <w:rsid w:val="00D60E81"/>
    <w:rsid w:val="00D61181"/>
    <w:rsid w:val="00D61FAF"/>
    <w:rsid w:val="00D63884"/>
    <w:rsid w:val="00D71A15"/>
    <w:rsid w:val="00D762BE"/>
    <w:rsid w:val="00D86776"/>
    <w:rsid w:val="00D965FA"/>
    <w:rsid w:val="00D96731"/>
    <w:rsid w:val="00DA0FCB"/>
    <w:rsid w:val="00DA2118"/>
    <w:rsid w:val="00DB2616"/>
    <w:rsid w:val="00DB3C70"/>
    <w:rsid w:val="00DB5BD5"/>
    <w:rsid w:val="00DC0090"/>
    <w:rsid w:val="00DF1B08"/>
    <w:rsid w:val="00E033A8"/>
    <w:rsid w:val="00E06DFF"/>
    <w:rsid w:val="00E10466"/>
    <w:rsid w:val="00E117AF"/>
    <w:rsid w:val="00E20B59"/>
    <w:rsid w:val="00E225FF"/>
    <w:rsid w:val="00E414D2"/>
    <w:rsid w:val="00E44614"/>
    <w:rsid w:val="00E50DBA"/>
    <w:rsid w:val="00E609B0"/>
    <w:rsid w:val="00E66B8A"/>
    <w:rsid w:val="00E75B1C"/>
    <w:rsid w:val="00E9207F"/>
    <w:rsid w:val="00EA227D"/>
    <w:rsid w:val="00EB2C6C"/>
    <w:rsid w:val="00EB3544"/>
    <w:rsid w:val="00EB5F59"/>
    <w:rsid w:val="00EC6954"/>
    <w:rsid w:val="00EE1A57"/>
    <w:rsid w:val="00EE47E0"/>
    <w:rsid w:val="00EE51D0"/>
    <w:rsid w:val="00EF5B28"/>
    <w:rsid w:val="00F02E55"/>
    <w:rsid w:val="00F033D0"/>
    <w:rsid w:val="00F05681"/>
    <w:rsid w:val="00F1267B"/>
    <w:rsid w:val="00F16348"/>
    <w:rsid w:val="00F22C69"/>
    <w:rsid w:val="00F24146"/>
    <w:rsid w:val="00F24C32"/>
    <w:rsid w:val="00F2753E"/>
    <w:rsid w:val="00F506C8"/>
    <w:rsid w:val="00F50C77"/>
    <w:rsid w:val="00F51280"/>
    <w:rsid w:val="00F54F5E"/>
    <w:rsid w:val="00F64E3E"/>
    <w:rsid w:val="00F70A37"/>
    <w:rsid w:val="00F75480"/>
    <w:rsid w:val="00F85491"/>
    <w:rsid w:val="00F91472"/>
    <w:rsid w:val="00F91B02"/>
    <w:rsid w:val="00F94A3B"/>
    <w:rsid w:val="00F95BDC"/>
    <w:rsid w:val="00FA515F"/>
    <w:rsid w:val="00FB1C8F"/>
    <w:rsid w:val="00FD5D90"/>
    <w:rsid w:val="00FE29D7"/>
    <w:rsid w:val="00FE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F61F"/>
  <w15:docId w15:val="{4A370C63-03E4-4BF5-92F2-285B9144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348"/>
    <w:pPr>
      <w:ind w:left="720"/>
      <w:contextualSpacing/>
    </w:pPr>
  </w:style>
  <w:style w:type="table" w:styleId="TableGrid">
    <w:name w:val="Table Grid"/>
    <w:basedOn w:val="TableNormal"/>
    <w:uiPriority w:val="39"/>
    <w:rsid w:val="0098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9319B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
    <w:name w:val="Grid Table 1 Light - Accent 61"/>
    <w:basedOn w:val="TableNormal"/>
    <w:uiPriority w:val="46"/>
    <w:rsid w:val="009319B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9319B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6Colorful-Accent61">
    <w:name w:val="List Table 6 Colorful - Accent 61"/>
    <w:basedOn w:val="TableNormal"/>
    <w:uiPriority w:val="51"/>
    <w:rsid w:val="00F2414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61">
    <w:name w:val="List Table 2 - Accent 61"/>
    <w:basedOn w:val="TableNormal"/>
    <w:uiPriority w:val="47"/>
    <w:rsid w:val="001619E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2A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09"/>
    <w:rPr>
      <w:rFonts w:ascii="Segoe UI" w:hAnsi="Segoe UI" w:cs="Segoe UI"/>
      <w:sz w:val="18"/>
      <w:szCs w:val="18"/>
    </w:rPr>
  </w:style>
  <w:style w:type="table" w:customStyle="1" w:styleId="TableGridLight1">
    <w:name w:val="Table Grid Light1"/>
    <w:basedOn w:val="TableNormal"/>
    <w:uiPriority w:val="40"/>
    <w:rsid w:val="00AC73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71F02"/>
    <w:rPr>
      <w:color w:val="0563C1" w:themeColor="hyperlink"/>
      <w:u w:val="single"/>
    </w:rPr>
  </w:style>
  <w:style w:type="paragraph" w:styleId="NormalWeb">
    <w:name w:val="Normal (Web)"/>
    <w:basedOn w:val="Normal"/>
    <w:uiPriority w:val="99"/>
    <w:semiHidden/>
    <w:unhideWhenUsed/>
    <w:rsid w:val="006F172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LineNumber">
    <w:name w:val="line number"/>
    <w:basedOn w:val="DefaultParagraphFont"/>
    <w:uiPriority w:val="99"/>
    <w:semiHidden/>
    <w:unhideWhenUsed/>
    <w:rsid w:val="00FD5D90"/>
  </w:style>
  <w:style w:type="character" w:customStyle="1" w:styleId="Mention1">
    <w:name w:val="Mention1"/>
    <w:basedOn w:val="DefaultParagraphFont"/>
    <w:uiPriority w:val="99"/>
    <w:semiHidden/>
    <w:unhideWhenUsed/>
    <w:rsid w:val="00A5562D"/>
    <w:rPr>
      <w:color w:val="2B579A"/>
      <w:shd w:val="clear" w:color="auto" w:fill="E6E6E6"/>
    </w:rPr>
  </w:style>
  <w:style w:type="paragraph" w:styleId="Header">
    <w:name w:val="header"/>
    <w:basedOn w:val="Normal"/>
    <w:link w:val="HeaderChar"/>
    <w:uiPriority w:val="99"/>
    <w:unhideWhenUsed/>
    <w:rsid w:val="00601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90C"/>
  </w:style>
  <w:style w:type="paragraph" w:styleId="Footer">
    <w:name w:val="footer"/>
    <w:basedOn w:val="Normal"/>
    <w:link w:val="FooterChar"/>
    <w:uiPriority w:val="99"/>
    <w:unhideWhenUsed/>
    <w:rsid w:val="00601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0C"/>
  </w:style>
  <w:style w:type="character" w:styleId="CommentReference">
    <w:name w:val="annotation reference"/>
    <w:basedOn w:val="DefaultParagraphFont"/>
    <w:uiPriority w:val="99"/>
    <w:semiHidden/>
    <w:unhideWhenUsed/>
    <w:rsid w:val="00733E47"/>
    <w:rPr>
      <w:sz w:val="16"/>
      <w:szCs w:val="16"/>
    </w:rPr>
  </w:style>
  <w:style w:type="paragraph" w:styleId="CommentText">
    <w:name w:val="annotation text"/>
    <w:basedOn w:val="Normal"/>
    <w:link w:val="CommentTextChar"/>
    <w:uiPriority w:val="99"/>
    <w:semiHidden/>
    <w:unhideWhenUsed/>
    <w:rsid w:val="00733E47"/>
    <w:pPr>
      <w:spacing w:line="240" w:lineRule="auto"/>
    </w:pPr>
    <w:rPr>
      <w:sz w:val="20"/>
      <w:szCs w:val="20"/>
    </w:rPr>
  </w:style>
  <w:style w:type="character" w:customStyle="1" w:styleId="CommentTextChar">
    <w:name w:val="Comment Text Char"/>
    <w:basedOn w:val="DefaultParagraphFont"/>
    <w:link w:val="CommentText"/>
    <w:uiPriority w:val="99"/>
    <w:semiHidden/>
    <w:rsid w:val="00733E47"/>
    <w:rPr>
      <w:sz w:val="20"/>
      <w:szCs w:val="20"/>
    </w:rPr>
  </w:style>
  <w:style w:type="paragraph" w:styleId="CommentSubject">
    <w:name w:val="annotation subject"/>
    <w:basedOn w:val="CommentText"/>
    <w:next w:val="CommentText"/>
    <w:link w:val="CommentSubjectChar"/>
    <w:uiPriority w:val="99"/>
    <w:semiHidden/>
    <w:unhideWhenUsed/>
    <w:rsid w:val="00733E47"/>
    <w:rPr>
      <w:b/>
      <w:bCs/>
    </w:rPr>
  </w:style>
  <w:style w:type="character" w:customStyle="1" w:styleId="CommentSubjectChar">
    <w:name w:val="Comment Subject Char"/>
    <w:basedOn w:val="CommentTextChar"/>
    <w:link w:val="CommentSubject"/>
    <w:uiPriority w:val="99"/>
    <w:semiHidden/>
    <w:rsid w:val="00733E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740604">
      <w:bodyDiv w:val="1"/>
      <w:marLeft w:val="0"/>
      <w:marRight w:val="0"/>
      <w:marTop w:val="0"/>
      <w:marBottom w:val="0"/>
      <w:divBdr>
        <w:top w:val="none" w:sz="0" w:space="0" w:color="auto"/>
        <w:left w:val="none" w:sz="0" w:space="0" w:color="auto"/>
        <w:bottom w:val="none" w:sz="0" w:space="0" w:color="auto"/>
        <w:right w:val="none" w:sz="0" w:space="0" w:color="auto"/>
      </w:divBdr>
      <w:divsChild>
        <w:div w:id="1608543835">
          <w:marLeft w:val="0"/>
          <w:marRight w:val="1"/>
          <w:marTop w:val="0"/>
          <w:marBottom w:val="0"/>
          <w:divBdr>
            <w:top w:val="none" w:sz="0" w:space="0" w:color="auto"/>
            <w:left w:val="none" w:sz="0" w:space="0" w:color="auto"/>
            <w:bottom w:val="none" w:sz="0" w:space="0" w:color="auto"/>
            <w:right w:val="none" w:sz="0" w:space="0" w:color="auto"/>
          </w:divBdr>
          <w:divsChild>
            <w:div w:id="721490260">
              <w:marLeft w:val="0"/>
              <w:marRight w:val="0"/>
              <w:marTop w:val="0"/>
              <w:marBottom w:val="0"/>
              <w:divBdr>
                <w:top w:val="none" w:sz="0" w:space="0" w:color="auto"/>
                <w:left w:val="none" w:sz="0" w:space="0" w:color="auto"/>
                <w:bottom w:val="none" w:sz="0" w:space="0" w:color="auto"/>
                <w:right w:val="none" w:sz="0" w:space="0" w:color="auto"/>
              </w:divBdr>
              <w:divsChild>
                <w:div w:id="498739781">
                  <w:marLeft w:val="0"/>
                  <w:marRight w:val="1"/>
                  <w:marTop w:val="0"/>
                  <w:marBottom w:val="0"/>
                  <w:divBdr>
                    <w:top w:val="none" w:sz="0" w:space="0" w:color="auto"/>
                    <w:left w:val="none" w:sz="0" w:space="0" w:color="auto"/>
                    <w:bottom w:val="none" w:sz="0" w:space="0" w:color="auto"/>
                    <w:right w:val="none" w:sz="0" w:space="0" w:color="auto"/>
                  </w:divBdr>
                  <w:divsChild>
                    <w:div w:id="1020011480">
                      <w:marLeft w:val="0"/>
                      <w:marRight w:val="0"/>
                      <w:marTop w:val="0"/>
                      <w:marBottom w:val="0"/>
                      <w:divBdr>
                        <w:top w:val="none" w:sz="0" w:space="0" w:color="auto"/>
                        <w:left w:val="none" w:sz="0" w:space="0" w:color="auto"/>
                        <w:bottom w:val="none" w:sz="0" w:space="0" w:color="auto"/>
                        <w:right w:val="none" w:sz="0" w:space="0" w:color="auto"/>
                      </w:divBdr>
                      <w:divsChild>
                        <w:div w:id="140393758">
                          <w:marLeft w:val="0"/>
                          <w:marRight w:val="0"/>
                          <w:marTop w:val="0"/>
                          <w:marBottom w:val="0"/>
                          <w:divBdr>
                            <w:top w:val="none" w:sz="0" w:space="0" w:color="auto"/>
                            <w:left w:val="none" w:sz="0" w:space="0" w:color="auto"/>
                            <w:bottom w:val="none" w:sz="0" w:space="0" w:color="auto"/>
                            <w:right w:val="none" w:sz="0" w:space="0" w:color="auto"/>
                          </w:divBdr>
                          <w:divsChild>
                            <w:div w:id="212886622">
                              <w:marLeft w:val="0"/>
                              <w:marRight w:val="0"/>
                              <w:marTop w:val="120"/>
                              <w:marBottom w:val="360"/>
                              <w:divBdr>
                                <w:top w:val="none" w:sz="0" w:space="0" w:color="auto"/>
                                <w:left w:val="none" w:sz="0" w:space="0" w:color="auto"/>
                                <w:bottom w:val="none" w:sz="0" w:space="0" w:color="auto"/>
                                <w:right w:val="none" w:sz="0" w:space="0" w:color="auto"/>
                              </w:divBdr>
                              <w:divsChild>
                                <w:div w:id="1063332420">
                                  <w:marLeft w:val="420"/>
                                  <w:marRight w:val="0"/>
                                  <w:marTop w:val="0"/>
                                  <w:marBottom w:val="0"/>
                                  <w:divBdr>
                                    <w:top w:val="none" w:sz="0" w:space="0" w:color="auto"/>
                                    <w:left w:val="none" w:sz="0" w:space="0" w:color="auto"/>
                                    <w:bottom w:val="none" w:sz="0" w:space="0" w:color="auto"/>
                                    <w:right w:val="none" w:sz="0" w:space="0" w:color="auto"/>
                                  </w:divBdr>
                                  <w:divsChild>
                                    <w:div w:id="14649291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758708">
      <w:bodyDiv w:val="1"/>
      <w:marLeft w:val="0"/>
      <w:marRight w:val="0"/>
      <w:marTop w:val="0"/>
      <w:marBottom w:val="0"/>
      <w:divBdr>
        <w:top w:val="none" w:sz="0" w:space="0" w:color="auto"/>
        <w:left w:val="none" w:sz="0" w:space="0" w:color="auto"/>
        <w:bottom w:val="none" w:sz="0" w:space="0" w:color="auto"/>
        <w:right w:val="none" w:sz="0" w:space="0" w:color="auto"/>
      </w:divBdr>
    </w:div>
    <w:div w:id="1514370608">
      <w:bodyDiv w:val="1"/>
      <w:marLeft w:val="0"/>
      <w:marRight w:val="0"/>
      <w:marTop w:val="0"/>
      <w:marBottom w:val="0"/>
      <w:divBdr>
        <w:top w:val="none" w:sz="0" w:space="0" w:color="auto"/>
        <w:left w:val="none" w:sz="0" w:space="0" w:color="auto"/>
        <w:bottom w:val="none" w:sz="0" w:space="0" w:color="auto"/>
        <w:right w:val="none" w:sz="0" w:space="0" w:color="auto"/>
      </w:divBdr>
      <w:divsChild>
        <w:div w:id="64762155">
          <w:marLeft w:val="0"/>
          <w:marRight w:val="0"/>
          <w:marTop w:val="0"/>
          <w:marBottom w:val="0"/>
          <w:divBdr>
            <w:top w:val="none" w:sz="0" w:space="0" w:color="auto"/>
            <w:left w:val="none" w:sz="0" w:space="0" w:color="auto"/>
            <w:bottom w:val="none" w:sz="0" w:space="0" w:color="auto"/>
            <w:right w:val="none" w:sz="0" w:space="0" w:color="auto"/>
          </w:divBdr>
          <w:divsChild>
            <w:div w:id="662469801">
              <w:marLeft w:val="0"/>
              <w:marRight w:val="0"/>
              <w:marTop w:val="0"/>
              <w:marBottom w:val="0"/>
              <w:divBdr>
                <w:top w:val="none" w:sz="0" w:space="0" w:color="auto"/>
                <w:left w:val="none" w:sz="0" w:space="0" w:color="auto"/>
                <w:bottom w:val="none" w:sz="0" w:space="0" w:color="auto"/>
                <w:right w:val="none" w:sz="0" w:space="0" w:color="auto"/>
              </w:divBdr>
              <w:divsChild>
                <w:div w:id="871965589">
                  <w:marLeft w:val="0"/>
                  <w:marRight w:val="0"/>
                  <w:marTop w:val="0"/>
                  <w:marBottom w:val="0"/>
                  <w:divBdr>
                    <w:top w:val="none" w:sz="0" w:space="0" w:color="auto"/>
                    <w:left w:val="none" w:sz="0" w:space="0" w:color="auto"/>
                    <w:bottom w:val="none" w:sz="0" w:space="0" w:color="auto"/>
                    <w:right w:val="none" w:sz="0" w:space="0" w:color="auto"/>
                  </w:divBdr>
                  <w:divsChild>
                    <w:div w:id="1155534153">
                      <w:marLeft w:val="0"/>
                      <w:marRight w:val="0"/>
                      <w:marTop w:val="0"/>
                      <w:marBottom w:val="0"/>
                      <w:divBdr>
                        <w:top w:val="none" w:sz="0" w:space="0" w:color="auto"/>
                        <w:left w:val="none" w:sz="0" w:space="0" w:color="auto"/>
                        <w:bottom w:val="none" w:sz="0" w:space="0" w:color="auto"/>
                        <w:right w:val="none" w:sz="0" w:space="0" w:color="auto"/>
                      </w:divBdr>
                      <w:divsChild>
                        <w:div w:id="1090812975">
                          <w:marLeft w:val="0"/>
                          <w:marRight w:val="0"/>
                          <w:marTop w:val="0"/>
                          <w:marBottom w:val="0"/>
                          <w:divBdr>
                            <w:top w:val="none" w:sz="0" w:space="0" w:color="auto"/>
                            <w:left w:val="none" w:sz="0" w:space="0" w:color="auto"/>
                            <w:bottom w:val="none" w:sz="0" w:space="0" w:color="auto"/>
                            <w:right w:val="none" w:sz="0" w:space="0" w:color="auto"/>
                          </w:divBdr>
                          <w:divsChild>
                            <w:div w:id="1813911488">
                              <w:marLeft w:val="0"/>
                              <w:marRight w:val="0"/>
                              <w:marTop w:val="0"/>
                              <w:marBottom w:val="0"/>
                              <w:divBdr>
                                <w:top w:val="none" w:sz="0" w:space="0" w:color="auto"/>
                                <w:left w:val="none" w:sz="0" w:space="0" w:color="auto"/>
                                <w:bottom w:val="none" w:sz="0" w:space="0" w:color="auto"/>
                                <w:right w:val="none" w:sz="0" w:space="0" w:color="auto"/>
                              </w:divBdr>
                              <w:divsChild>
                                <w:div w:id="652610440">
                                  <w:marLeft w:val="0"/>
                                  <w:marRight w:val="0"/>
                                  <w:marTop w:val="0"/>
                                  <w:marBottom w:val="0"/>
                                  <w:divBdr>
                                    <w:top w:val="none" w:sz="0" w:space="0" w:color="auto"/>
                                    <w:left w:val="none" w:sz="0" w:space="0" w:color="auto"/>
                                    <w:bottom w:val="none" w:sz="0" w:space="0" w:color="auto"/>
                                    <w:right w:val="none" w:sz="0" w:space="0" w:color="auto"/>
                                  </w:divBdr>
                                  <w:divsChild>
                                    <w:div w:id="1038817269">
                                      <w:marLeft w:val="0"/>
                                      <w:marRight w:val="0"/>
                                      <w:marTop w:val="0"/>
                                      <w:marBottom w:val="0"/>
                                      <w:divBdr>
                                        <w:top w:val="none" w:sz="0" w:space="0" w:color="auto"/>
                                        <w:left w:val="none" w:sz="0" w:space="0" w:color="auto"/>
                                        <w:bottom w:val="none" w:sz="0" w:space="0" w:color="auto"/>
                                        <w:right w:val="none" w:sz="0" w:space="0" w:color="auto"/>
                                      </w:divBdr>
                                      <w:divsChild>
                                        <w:div w:id="1507596224">
                                          <w:marLeft w:val="0"/>
                                          <w:marRight w:val="0"/>
                                          <w:marTop w:val="0"/>
                                          <w:marBottom w:val="0"/>
                                          <w:divBdr>
                                            <w:top w:val="none" w:sz="0" w:space="0" w:color="auto"/>
                                            <w:left w:val="none" w:sz="0" w:space="0" w:color="auto"/>
                                            <w:bottom w:val="none" w:sz="0" w:space="0" w:color="auto"/>
                                            <w:right w:val="none" w:sz="0" w:space="0" w:color="auto"/>
                                          </w:divBdr>
                                          <w:divsChild>
                                            <w:div w:id="1849174068">
                                              <w:marLeft w:val="0"/>
                                              <w:marRight w:val="0"/>
                                              <w:marTop w:val="0"/>
                                              <w:marBottom w:val="0"/>
                                              <w:divBdr>
                                                <w:top w:val="none" w:sz="0" w:space="0" w:color="auto"/>
                                                <w:left w:val="none" w:sz="0" w:space="0" w:color="auto"/>
                                                <w:bottom w:val="none" w:sz="0" w:space="0" w:color="auto"/>
                                                <w:right w:val="none" w:sz="0" w:space="0" w:color="auto"/>
                                              </w:divBdr>
                                              <w:divsChild>
                                                <w:div w:id="1198011849">
                                                  <w:marLeft w:val="0"/>
                                                  <w:marRight w:val="0"/>
                                                  <w:marTop w:val="0"/>
                                                  <w:marBottom w:val="0"/>
                                                  <w:divBdr>
                                                    <w:top w:val="single" w:sz="6" w:space="0" w:color="D2D5D7"/>
                                                    <w:left w:val="single" w:sz="6" w:space="0" w:color="D2D5D7"/>
                                                    <w:bottom w:val="none" w:sz="0" w:space="0" w:color="auto"/>
                                                    <w:right w:val="single" w:sz="6" w:space="0" w:color="D2D5D7"/>
                                                  </w:divBdr>
                                                  <w:divsChild>
                                                    <w:div w:id="228615153">
                                                      <w:marLeft w:val="0"/>
                                                      <w:marRight w:val="0"/>
                                                      <w:marTop w:val="0"/>
                                                      <w:marBottom w:val="0"/>
                                                      <w:divBdr>
                                                        <w:top w:val="none" w:sz="0" w:space="0" w:color="auto"/>
                                                        <w:left w:val="none" w:sz="0" w:space="0" w:color="auto"/>
                                                        <w:bottom w:val="none" w:sz="0" w:space="0" w:color="auto"/>
                                                        <w:right w:val="none" w:sz="0" w:space="0" w:color="auto"/>
                                                      </w:divBdr>
                                                      <w:divsChild>
                                                        <w:div w:id="1791820410">
                                                          <w:marLeft w:val="0"/>
                                                          <w:marRight w:val="0"/>
                                                          <w:marTop w:val="0"/>
                                                          <w:marBottom w:val="0"/>
                                                          <w:divBdr>
                                                            <w:top w:val="none" w:sz="0" w:space="0" w:color="auto"/>
                                                            <w:left w:val="none" w:sz="0" w:space="0" w:color="auto"/>
                                                            <w:bottom w:val="none" w:sz="0" w:space="0" w:color="auto"/>
                                                            <w:right w:val="none" w:sz="0" w:space="0" w:color="auto"/>
                                                          </w:divBdr>
                                                          <w:divsChild>
                                                            <w:div w:id="1187018086">
                                                              <w:marLeft w:val="0"/>
                                                              <w:marRight w:val="0"/>
                                                              <w:marTop w:val="0"/>
                                                              <w:marBottom w:val="0"/>
                                                              <w:divBdr>
                                                                <w:top w:val="none" w:sz="0" w:space="0" w:color="auto"/>
                                                                <w:left w:val="none" w:sz="0" w:space="0" w:color="auto"/>
                                                                <w:bottom w:val="none" w:sz="0" w:space="0" w:color="auto"/>
                                                                <w:right w:val="none" w:sz="0" w:space="0" w:color="auto"/>
                                                              </w:divBdr>
                                                              <w:divsChild>
                                                                <w:div w:id="1496339684">
                                                                  <w:marLeft w:val="0"/>
                                                                  <w:marRight w:val="0"/>
                                                                  <w:marTop w:val="0"/>
                                                                  <w:marBottom w:val="0"/>
                                                                  <w:divBdr>
                                                                    <w:top w:val="none" w:sz="0" w:space="0" w:color="auto"/>
                                                                    <w:left w:val="none" w:sz="0" w:space="0" w:color="auto"/>
                                                                    <w:bottom w:val="none" w:sz="0" w:space="0" w:color="auto"/>
                                                                    <w:right w:val="none" w:sz="0" w:space="0" w:color="auto"/>
                                                                  </w:divBdr>
                                                                  <w:divsChild>
                                                                    <w:div w:id="985670030">
                                                                      <w:marLeft w:val="0"/>
                                                                      <w:marRight w:val="0"/>
                                                                      <w:marTop w:val="0"/>
                                                                      <w:marBottom w:val="0"/>
                                                                      <w:divBdr>
                                                                        <w:top w:val="none" w:sz="0" w:space="0" w:color="auto"/>
                                                                        <w:left w:val="none" w:sz="0" w:space="0" w:color="auto"/>
                                                                        <w:bottom w:val="none" w:sz="0" w:space="0" w:color="auto"/>
                                                                        <w:right w:val="none" w:sz="0" w:space="0" w:color="auto"/>
                                                                      </w:divBdr>
                                                                      <w:divsChild>
                                                                        <w:div w:id="1497457359">
                                                                          <w:marLeft w:val="0"/>
                                                                          <w:marRight w:val="0"/>
                                                                          <w:marTop w:val="0"/>
                                                                          <w:marBottom w:val="0"/>
                                                                          <w:divBdr>
                                                                            <w:top w:val="none" w:sz="0" w:space="0" w:color="auto"/>
                                                                            <w:left w:val="none" w:sz="0" w:space="0" w:color="auto"/>
                                                                            <w:bottom w:val="none" w:sz="0" w:space="0" w:color="auto"/>
                                                                            <w:right w:val="none" w:sz="0" w:space="0" w:color="auto"/>
                                                                          </w:divBdr>
                                                                          <w:divsChild>
                                                                            <w:div w:id="1984842976">
                                                                              <w:marLeft w:val="0"/>
                                                                              <w:marRight w:val="0"/>
                                                                              <w:marTop w:val="0"/>
                                                                              <w:marBottom w:val="0"/>
                                                                              <w:divBdr>
                                                                                <w:top w:val="none" w:sz="0" w:space="0" w:color="auto"/>
                                                                                <w:left w:val="none" w:sz="0" w:space="0" w:color="auto"/>
                                                                                <w:bottom w:val="none" w:sz="0" w:space="0" w:color="auto"/>
                                                                                <w:right w:val="none" w:sz="0" w:space="0" w:color="auto"/>
                                                                              </w:divBdr>
                                                                            </w:div>
                                                                            <w:div w:id="992103024">
                                                                              <w:marLeft w:val="0"/>
                                                                              <w:marRight w:val="0"/>
                                                                              <w:marTop w:val="0"/>
                                                                              <w:marBottom w:val="0"/>
                                                                              <w:divBdr>
                                                                                <w:top w:val="none" w:sz="0" w:space="0" w:color="auto"/>
                                                                                <w:left w:val="none" w:sz="0" w:space="0" w:color="auto"/>
                                                                                <w:bottom w:val="none" w:sz="0" w:space="0" w:color="auto"/>
                                                                                <w:right w:val="none" w:sz="0" w:space="0" w:color="auto"/>
                                                                              </w:divBdr>
                                                                            </w:div>
                                                                            <w:div w:id="1410495193">
                                                                              <w:marLeft w:val="0"/>
                                                                              <w:marRight w:val="0"/>
                                                                              <w:marTop w:val="0"/>
                                                                              <w:marBottom w:val="0"/>
                                                                              <w:divBdr>
                                                                                <w:top w:val="none" w:sz="0" w:space="0" w:color="auto"/>
                                                                                <w:left w:val="none" w:sz="0" w:space="0" w:color="auto"/>
                                                                                <w:bottom w:val="none" w:sz="0" w:space="0" w:color="auto"/>
                                                                                <w:right w:val="none" w:sz="0" w:space="0" w:color="auto"/>
                                                                              </w:divBdr>
                                                                            </w:div>
                                                                            <w:div w:id="2879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1945</TotalTime>
  <Pages>30</Pages>
  <Words>6326</Words>
  <Characters>36059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Bowden</dc:creator>
  <cp:keywords/>
  <dc:description/>
  <cp:lastModifiedBy>Jenkins, Roz</cp:lastModifiedBy>
  <cp:revision>32</cp:revision>
  <cp:lastPrinted>2017-10-20T06:39:00Z</cp:lastPrinted>
  <dcterms:created xsi:type="dcterms:W3CDTF">2017-12-23T23:09:00Z</dcterms:created>
  <dcterms:modified xsi:type="dcterms:W3CDTF">2018-03-12T10:53:00Z</dcterms:modified>
</cp:coreProperties>
</file>