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3729E" w14:textId="190DE854" w:rsidR="006C3415" w:rsidRPr="004D687A" w:rsidRDefault="006C3415" w:rsidP="006C3415">
      <w:pPr>
        <w:jc w:val="center"/>
        <w:rPr>
          <w:rStyle w:val="TitleChar"/>
          <w:rFonts w:eastAsiaTheme="minorEastAsia"/>
          <w:sz w:val="40"/>
          <w:szCs w:val="40"/>
        </w:rPr>
      </w:pPr>
      <w:r w:rsidRPr="67FA5B61">
        <w:rPr>
          <w:rStyle w:val="TitleChar"/>
          <w:rFonts w:asciiTheme="minorEastAsia" w:eastAsiaTheme="minorEastAsia" w:hAnsiTheme="minorEastAsia" w:cstheme="minorEastAsia"/>
          <w:b/>
          <w:bCs/>
          <w:color w:val="44546A" w:themeColor="text2"/>
          <w:sz w:val="40"/>
          <w:szCs w:val="40"/>
        </w:rPr>
        <w:t>Genome</w:t>
      </w:r>
      <w:r w:rsidR="00A91B41" w:rsidRPr="67FA5B61">
        <w:rPr>
          <w:rStyle w:val="TitleChar"/>
          <w:rFonts w:asciiTheme="minorEastAsia" w:eastAsiaTheme="minorEastAsia" w:hAnsiTheme="minorEastAsia" w:cstheme="minorEastAsia"/>
          <w:b/>
          <w:bCs/>
          <w:color w:val="44546A" w:themeColor="text2"/>
          <w:sz w:val="40"/>
          <w:szCs w:val="40"/>
        </w:rPr>
        <w:t>-</w:t>
      </w:r>
      <w:r w:rsidRPr="67FA5B61">
        <w:rPr>
          <w:rStyle w:val="TitleChar"/>
          <w:rFonts w:asciiTheme="minorEastAsia" w:eastAsiaTheme="minorEastAsia" w:hAnsiTheme="minorEastAsia" w:cstheme="minorEastAsia"/>
          <w:b/>
          <w:bCs/>
          <w:color w:val="44546A" w:themeColor="text2"/>
          <w:sz w:val="40"/>
          <w:szCs w:val="40"/>
        </w:rPr>
        <w:t xml:space="preserve">wide association study of </w:t>
      </w:r>
      <w:r w:rsidR="00B66344" w:rsidRPr="67FA5B61">
        <w:rPr>
          <w:rStyle w:val="TitleChar"/>
          <w:rFonts w:asciiTheme="minorEastAsia" w:eastAsiaTheme="minorEastAsia" w:hAnsiTheme="minorEastAsia" w:cstheme="minorEastAsia"/>
          <w:b/>
          <w:bCs/>
          <w:color w:val="44546A" w:themeColor="text2"/>
          <w:sz w:val="40"/>
          <w:szCs w:val="40"/>
        </w:rPr>
        <w:t xml:space="preserve">susceptibility to </w:t>
      </w:r>
      <w:r w:rsidRPr="67FA5B61">
        <w:rPr>
          <w:rStyle w:val="TitleChar"/>
          <w:rFonts w:asciiTheme="minorEastAsia" w:eastAsiaTheme="minorEastAsia" w:hAnsiTheme="minorEastAsia" w:cstheme="minorEastAsia"/>
          <w:b/>
          <w:bCs/>
          <w:color w:val="44546A" w:themeColor="text2"/>
          <w:sz w:val="40"/>
          <w:szCs w:val="40"/>
        </w:rPr>
        <w:t>corticosteroid induced adrenal suppression</w:t>
      </w:r>
      <w:r w:rsidRPr="67FA5B61">
        <w:rPr>
          <w:rFonts w:ascii="Cambria,Times New Roman" w:eastAsia="Cambria,Times New Roman" w:hAnsi="Cambria,Times New Roman" w:cs="Cambria,Times New Roman"/>
          <w:color w:val="343434"/>
          <w:spacing w:val="5"/>
          <w:kern w:val="28"/>
          <w:sz w:val="40"/>
          <w:szCs w:val="40"/>
        </w:rPr>
        <w:t>.</w:t>
      </w:r>
    </w:p>
    <w:p w14:paraId="2930F5A9" w14:textId="77777777" w:rsidR="00860621" w:rsidRPr="00F03D35" w:rsidRDefault="67FA5B61" w:rsidP="00860621">
      <w:pPr>
        <w:spacing w:line="360" w:lineRule="auto"/>
        <w:jc w:val="center"/>
        <w:rPr>
          <w:rStyle w:val="TitleChar"/>
          <w:rFonts w:eastAsiaTheme="minorEastAsia"/>
          <w:b/>
          <w:color w:val="44546A" w:themeColor="text2"/>
          <w:sz w:val="40"/>
          <w:szCs w:val="40"/>
        </w:rPr>
      </w:pPr>
      <w:r w:rsidRPr="67FA5B61">
        <w:rPr>
          <w:rStyle w:val="TitleChar"/>
          <w:rFonts w:asciiTheme="minorEastAsia" w:eastAsiaTheme="minorEastAsia" w:hAnsiTheme="minorEastAsia" w:cstheme="minorEastAsia"/>
          <w:b/>
          <w:bCs/>
          <w:color w:val="44546A" w:themeColor="text2"/>
          <w:sz w:val="40"/>
          <w:szCs w:val="40"/>
        </w:rPr>
        <w:t>Supplementary Data Section</w:t>
      </w:r>
    </w:p>
    <w:p w14:paraId="459C89AB" w14:textId="07FBE18B" w:rsidR="00F91A31" w:rsidRPr="00F91A31" w:rsidRDefault="00F91A31" w:rsidP="00B66344">
      <w:pPr>
        <w:spacing w:after="0" w:line="480" w:lineRule="auto"/>
        <w:rPr>
          <w:rStyle w:val="TitleChar"/>
          <w:rFonts w:eastAsiaTheme="minorHAnsi"/>
          <w:i/>
          <w:iCs/>
          <w:sz w:val="24"/>
          <w:szCs w:val="24"/>
        </w:rPr>
      </w:pPr>
      <w:r w:rsidRPr="00F91A31">
        <w:rPr>
          <w:rStyle w:val="TitleChar"/>
          <w:rFonts w:eastAsiaTheme="minorHAnsi"/>
          <w:i/>
          <w:sz w:val="24"/>
          <w:szCs w:val="24"/>
        </w:rPr>
        <w:t>Daniel B. Hawcutt,</w:t>
      </w:r>
      <w:r w:rsidRPr="00F91A31">
        <w:rPr>
          <w:rStyle w:val="TitleChar"/>
          <w:rFonts w:eastAsiaTheme="minorHAnsi"/>
          <w:i/>
          <w:sz w:val="24"/>
          <w:szCs w:val="24"/>
          <w:vertAlign w:val="superscript"/>
        </w:rPr>
        <w:t xml:space="preserve">1,2 </w:t>
      </w:r>
      <w:r w:rsidRPr="00F91A31">
        <w:rPr>
          <w:rStyle w:val="TitleChar"/>
          <w:rFonts w:eastAsiaTheme="minorHAnsi"/>
          <w:i/>
          <w:sz w:val="24"/>
          <w:szCs w:val="24"/>
        </w:rPr>
        <w:t>MD, Ben Francis</w:t>
      </w:r>
      <w:r w:rsidRPr="00F91A31">
        <w:rPr>
          <w:rStyle w:val="TitleChar"/>
          <w:rFonts w:eastAsiaTheme="minorHAnsi"/>
          <w:i/>
          <w:sz w:val="24"/>
          <w:szCs w:val="24"/>
          <w:vertAlign w:val="superscript"/>
        </w:rPr>
        <w:t>3</w:t>
      </w:r>
      <w:r w:rsidRPr="00F91A31">
        <w:rPr>
          <w:rStyle w:val="TitleChar"/>
          <w:rFonts w:eastAsiaTheme="minorHAnsi"/>
          <w:i/>
          <w:sz w:val="24"/>
          <w:szCs w:val="24"/>
        </w:rPr>
        <w:t xml:space="preserve"> PhD, Daniel F. Carr</w:t>
      </w:r>
      <w:r>
        <w:rPr>
          <w:rStyle w:val="TitleChar"/>
          <w:rFonts w:eastAsiaTheme="minorHAnsi"/>
          <w:i/>
          <w:sz w:val="24"/>
          <w:szCs w:val="24"/>
        </w:rPr>
        <w:t xml:space="preserve"> </w:t>
      </w:r>
      <w:r w:rsidRPr="00F91A31">
        <w:rPr>
          <w:rStyle w:val="TitleChar"/>
          <w:rFonts w:eastAsiaTheme="minorHAnsi"/>
          <w:i/>
          <w:sz w:val="24"/>
          <w:szCs w:val="24"/>
          <w:vertAlign w:val="superscript"/>
        </w:rPr>
        <w:t>2</w:t>
      </w:r>
      <w:r w:rsidRPr="00F91A31">
        <w:rPr>
          <w:rStyle w:val="TitleChar"/>
          <w:rFonts w:eastAsiaTheme="minorHAnsi"/>
          <w:i/>
          <w:sz w:val="24"/>
          <w:szCs w:val="24"/>
        </w:rPr>
        <w:t xml:space="preserve"> PhD, Andrea L Jorgensen</w:t>
      </w:r>
      <w:r w:rsidRPr="00F91A31">
        <w:rPr>
          <w:rStyle w:val="TitleChar"/>
          <w:rFonts w:eastAsiaTheme="minorHAnsi"/>
          <w:i/>
          <w:sz w:val="24"/>
          <w:szCs w:val="24"/>
          <w:vertAlign w:val="superscript"/>
        </w:rPr>
        <w:t>3</w:t>
      </w:r>
      <w:r w:rsidRPr="00F91A31">
        <w:rPr>
          <w:rStyle w:val="TitleChar"/>
          <w:rFonts w:eastAsiaTheme="minorHAnsi"/>
          <w:i/>
          <w:sz w:val="24"/>
          <w:szCs w:val="24"/>
        </w:rPr>
        <w:t xml:space="preserve"> PhD, Peng Yin</w:t>
      </w:r>
      <w:r w:rsidRPr="00F91A31">
        <w:rPr>
          <w:rStyle w:val="TitleChar"/>
          <w:rFonts w:eastAsiaTheme="minorHAnsi"/>
          <w:i/>
          <w:sz w:val="24"/>
          <w:szCs w:val="24"/>
          <w:vertAlign w:val="superscript"/>
        </w:rPr>
        <w:t>3</w:t>
      </w:r>
      <w:r w:rsidRPr="00F91A31">
        <w:rPr>
          <w:rStyle w:val="TitleChar"/>
          <w:rFonts w:eastAsiaTheme="minorHAnsi"/>
          <w:i/>
          <w:sz w:val="24"/>
          <w:szCs w:val="24"/>
        </w:rPr>
        <w:t xml:space="preserve"> PhD,  Naomi </w:t>
      </w:r>
      <w:r w:rsidR="00520350">
        <w:rPr>
          <w:rStyle w:val="TitleChar"/>
          <w:rFonts w:eastAsiaTheme="minorHAnsi"/>
          <w:i/>
          <w:sz w:val="24"/>
          <w:szCs w:val="24"/>
        </w:rPr>
        <w:t>Rogers</w:t>
      </w:r>
      <w:r w:rsidR="00520350" w:rsidRPr="00F91A31">
        <w:rPr>
          <w:rStyle w:val="TitleChar"/>
          <w:rFonts w:eastAsiaTheme="minorHAnsi"/>
          <w:i/>
          <w:sz w:val="24"/>
          <w:szCs w:val="24"/>
          <w:vertAlign w:val="superscript"/>
        </w:rPr>
        <w:t>1</w:t>
      </w:r>
      <w:r w:rsidR="00520350" w:rsidRPr="00F91A31">
        <w:rPr>
          <w:rStyle w:val="TitleChar"/>
          <w:rFonts w:eastAsiaTheme="minorHAnsi"/>
          <w:i/>
          <w:sz w:val="24"/>
          <w:szCs w:val="24"/>
        </w:rPr>
        <w:t xml:space="preserve"> </w:t>
      </w:r>
      <w:r w:rsidRPr="00F91A31">
        <w:rPr>
          <w:rStyle w:val="TitleChar"/>
          <w:rFonts w:eastAsiaTheme="minorHAnsi"/>
          <w:i/>
          <w:sz w:val="24"/>
          <w:szCs w:val="24"/>
        </w:rPr>
        <w:t>B</w:t>
      </w:r>
      <w:r w:rsidR="00520350">
        <w:rPr>
          <w:rStyle w:val="TitleChar"/>
          <w:rFonts w:eastAsiaTheme="minorHAnsi"/>
          <w:i/>
          <w:sz w:val="24"/>
          <w:szCs w:val="24"/>
        </w:rPr>
        <w:t>Sc</w:t>
      </w:r>
      <w:r w:rsidRPr="00F91A31">
        <w:rPr>
          <w:rStyle w:val="TitleChar"/>
          <w:rFonts w:eastAsiaTheme="minorHAnsi"/>
          <w:i/>
          <w:sz w:val="24"/>
          <w:szCs w:val="24"/>
        </w:rPr>
        <w:t xml:space="preserve"> (Hons), Natalie O’Hara</w:t>
      </w:r>
      <w:r w:rsidRPr="00F91A31">
        <w:rPr>
          <w:rStyle w:val="TitleChar"/>
          <w:rFonts w:eastAsiaTheme="minorHAnsi"/>
          <w:i/>
          <w:sz w:val="24"/>
          <w:szCs w:val="24"/>
          <w:vertAlign w:val="superscript"/>
        </w:rPr>
        <w:t>2</w:t>
      </w:r>
      <w:r w:rsidRPr="00F91A31">
        <w:rPr>
          <w:rStyle w:val="TitleChar"/>
          <w:rFonts w:eastAsiaTheme="minorHAnsi"/>
          <w:i/>
          <w:sz w:val="24"/>
          <w:szCs w:val="24"/>
        </w:rPr>
        <w:t xml:space="preserve"> B.Sc (Hons), Eunice J. Zhang</w:t>
      </w:r>
      <w:r w:rsidRPr="00F91A31">
        <w:rPr>
          <w:rStyle w:val="TitleChar"/>
          <w:rFonts w:eastAsiaTheme="minorHAnsi"/>
          <w:i/>
          <w:sz w:val="24"/>
          <w:szCs w:val="24"/>
          <w:vertAlign w:val="superscript"/>
        </w:rPr>
        <w:t>2</w:t>
      </w:r>
      <w:r w:rsidRPr="00F91A31">
        <w:rPr>
          <w:rStyle w:val="TitleChar"/>
          <w:rFonts w:eastAsiaTheme="minorHAnsi"/>
          <w:i/>
          <w:sz w:val="24"/>
          <w:szCs w:val="24"/>
        </w:rPr>
        <w:t xml:space="preserve"> PhD, Katarzyna M. Bloch</w:t>
      </w:r>
      <w:r w:rsidRPr="00F91A31">
        <w:rPr>
          <w:rStyle w:val="TitleChar"/>
          <w:rFonts w:eastAsiaTheme="minorHAnsi"/>
          <w:i/>
          <w:sz w:val="24"/>
          <w:szCs w:val="24"/>
          <w:vertAlign w:val="superscript"/>
        </w:rPr>
        <w:t>2</w:t>
      </w:r>
      <w:r w:rsidRPr="00F91A31">
        <w:rPr>
          <w:rStyle w:val="TitleChar"/>
          <w:rFonts w:eastAsiaTheme="minorHAnsi"/>
          <w:i/>
          <w:sz w:val="24"/>
          <w:szCs w:val="24"/>
        </w:rPr>
        <w:t xml:space="preserve"> PhD, Amitava Ganguli</w:t>
      </w:r>
      <w:r w:rsidRPr="00F91A31">
        <w:rPr>
          <w:rStyle w:val="TitleChar"/>
          <w:rFonts w:eastAsiaTheme="minorHAnsi"/>
          <w:i/>
          <w:sz w:val="24"/>
          <w:szCs w:val="24"/>
          <w:vertAlign w:val="superscript"/>
        </w:rPr>
        <w:t>2</w:t>
      </w:r>
      <w:r w:rsidRPr="00F91A31">
        <w:rPr>
          <w:rStyle w:val="TitleChar"/>
          <w:rFonts w:eastAsiaTheme="minorHAnsi"/>
          <w:i/>
          <w:sz w:val="24"/>
          <w:szCs w:val="24"/>
        </w:rPr>
        <w:t xml:space="preserve"> MRCP, Ben Thompson</w:t>
      </w:r>
      <w:r w:rsidRPr="00F91A31">
        <w:rPr>
          <w:rStyle w:val="TitleChar"/>
          <w:rFonts w:eastAsiaTheme="minorHAnsi"/>
          <w:i/>
          <w:sz w:val="24"/>
          <w:szCs w:val="24"/>
          <w:vertAlign w:val="superscript"/>
        </w:rPr>
        <w:t>2</w:t>
      </w:r>
      <w:r w:rsidRPr="00F91A31">
        <w:rPr>
          <w:rStyle w:val="TitleChar"/>
          <w:rFonts w:eastAsiaTheme="minorHAnsi"/>
          <w:i/>
          <w:sz w:val="24"/>
          <w:szCs w:val="24"/>
        </w:rPr>
        <w:t xml:space="preserve"> MB ChB, Laurence McEvoy</w:t>
      </w:r>
      <w:r w:rsidRPr="00F91A31">
        <w:rPr>
          <w:rStyle w:val="TitleChar"/>
          <w:rFonts w:eastAsiaTheme="minorHAnsi"/>
          <w:i/>
          <w:sz w:val="24"/>
          <w:szCs w:val="24"/>
          <w:vertAlign w:val="superscript"/>
        </w:rPr>
        <w:t>2</w:t>
      </w:r>
      <w:r w:rsidRPr="00F91A31">
        <w:rPr>
          <w:rStyle w:val="TitleChar"/>
          <w:rFonts w:eastAsiaTheme="minorHAnsi"/>
          <w:i/>
          <w:sz w:val="24"/>
          <w:szCs w:val="24"/>
        </w:rPr>
        <w:t xml:space="preserve"> BSc (Hons) , Professor Matthew Peak</w:t>
      </w:r>
      <w:r w:rsidRPr="00F91A31">
        <w:rPr>
          <w:rStyle w:val="TitleChar"/>
          <w:rFonts w:eastAsiaTheme="minorHAnsi"/>
          <w:i/>
          <w:sz w:val="24"/>
          <w:szCs w:val="24"/>
          <w:vertAlign w:val="superscript"/>
        </w:rPr>
        <w:t>4</w:t>
      </w:r>
      <w:r w:rsidRPr="00F91A31">
        <w:rPr>
          <w:rStyle w:val="TitleChar"/>
          <w:rFonts w:eastAsiaTheme="minorHAnsi"/>
          <w:i/>
          <w:sz w:val="24"/>
          <w:szCs w:val="24"/>
        </w:rPr>
        <w:t xml:space="preserve"> PhD, Andrew A Crawford</w:t>
      </w:r>
      <w:r w:rsidRPr="00F91A31">
        <w:rPr>
          <w:rStyle w:val="TitleChar"/>
          <w:rFonts w:eastAsiaTheme="minorHAnsi"/>
          <w:i/>
          <w:sz w:val="24"/>
          <w:szCs w:val="24"/>
          <w:vertAlign w:val="superscript"/>
        </w:rPr>
        <w:t>5, 6</w:t>
      </w:r>
      <w:r w:rsidRPr="00F91A31">
        <w:rPr>
          <w:rStyle w:val="TitleChar"/>
          <w:rFonts w:eastAsiaTheme="minorHAnsi"/>
          <w:i/>
          <w:sz w:val="24"/>
          <w:szCs w:val="24"/>
        </w:rPr>
        <w:t xml:space="preserve"> PhD, Professor Brian R Walker</w:t>
      </w:r>
      <w:r w:rsidRPr="00F91A31">
        <w:rPr>
          <w:rStyle w:val="TitleChar"/>
          <w:rFonts w:eastAsiaTheme="minorHAnsi"/>
          <w:i/>
          <w:sz w:val="24"/>
          <w:szCs w:val="24"/>
          <w:vertAlign w:val="superscript"/>
        </w:rPr>
        <w:t>5,7</w:t>
      </w:r>
      <w:r w:rsidRPr="00F91A31">
        <w:rPr>
          <w:rStyle w:val="TitleChar"/>
          <w:rFonts w:eastAsiaTheme="minorHAnsi"/>
          <w:i/>
          <w:sz w:val="24"/>
          <w:szCs w:val="24"/>
        </w:rPr>
        <w:t xml:space="preserve"> MD, Joanne C Blair</w:t>
      </w:r>
      <w:r w:rsidRPr="00F91A31">
        <w:rPr>
          <w:rStyle w:val="TitleChar"/>
          <w:rFonts w:eastAsiaTheme="minorHAnsi"/>
          <w:i/>
          <w:sz w:val="24"/>
          <w:szCs w:val="24"/>
          <w:vertAlign w:val="superscript"/>
        </w:rPr>
        <w:t>8</w:t>
      </w:r>
      <w:r w:rsidRPr="00F91A31">
        <w:rPr>
          <w:rStyle w:val="TitleChar"/>
          <w:rFonts w:eastAsiaTheme="minorHAnsi"/>
          <w:i/>
          <w:sz w:val="24"/>
          <w:szCs w:val="24"/>
        </w:rPr>
        <w:t xml:space="preserve"> MD, Jonathan Couriel</w:t>
      </w:r>
      <w:r w:rsidRPr="00F91A31">
        <w:rPr>
          <w:rStyle w:val="TitleChar"/>
          <w:rFonts w:eastAsiaTheme="minorHAnsi"/>
          <w:i/>
          <w:sz w:val="24"/>
          <w:szCs w:val="24"/>
          <w:vertAlign w:val="superscript"/>
        </w:rPr>
        <w:t>9</w:t>
      </w:r>
      <w:r w:rsidRPr="00F91A31">
        <w:rPr>
          <w:rStyle w:val="TitleChar"/>
          <w:rFonts w:eastAsiaTheme="minorHAnsi"/>
          <w:i/>
          <w:sz w:val="24"/>
          <w:szCs w:val="24"/>
        </w:rPr>
        <w:t xml:space="preserve"> MA, Professor Rosalind Smyth</w:t>
      </w:r>
      <w:r w:rsidRPr="00F91A31">
        <w:rPr>
          <w:rStyle w:val="TitleChar"/>
          <w:rFonts w:eastAsiaTheme="minorHAnsi"/>
          <w:i/>
          <w:sz w:val="24"/>
          <w:szCs w:val="24"/>
          <w:vertAlign w:val="superscript"/>
        </w:rPr>
        <w:t>10</w:t>
      </w:r>
      <w:r w:rsidRPr="00F91A31">
        <w:rPr>
          <w:rStyle w:val="TitleChar"/>
          <w:rFonts w:eastAsiaTheme="minorHAnsi"/>
          <w:i/>
          <w:sz w:val="24"/>
          <w:szCs w:val="24"/>
        </w:rPr>
        <w:t xml:space="preserve"> FMedSci, Professor Munir Pirmohamed</w:t>
      </w:r>
      <w:r w:rsidRPr="00F91A31">
        <w:rPr>
          <w:rStyle w:val="TitleChar"/>
          <w:rFonts w:eastAsiaTheme="minorHAnsi"/>
          <w:i/>
          <w:sz w:val="24"/>
          <w:szCs w:val="24"/>
          <w:vertAlign w:val="superscript"/>
        </w:rPr>
        <w:t>2</w:t>
      </w:r>
      <w:r w:rsidRPr="00F91A31">
        <w:rPr>
          <w:rStyle w:val="TitleChar"/>
          <w:rFonts w:eastAsiaTheme="minorHAnsi"/>
          <w:i/>
          <w:sz w:val="24"/>
          <w:szCs w:val="24"/>
        </w:rPr>
        <w:t xml:space="preserve"> FMedSci </w:t>
      </w:r>
    </w:p>
    <w:p w14:paraId="4E5F1CCB" w14:textId="215A2CC1" w:rsidR="00B66344" w:rsidRDefault="67FA5B61" w:rsidP="00B66344">
      <w:pPr>
        <w:spacing w:after="0" w:line="480" w:lineRule="auto"/>
        <w:rPr>
          <w:b/>
          <w:sz w:val="28"/>
          <w:szCs w:val="28"/>
        </w:rPr>
      </w:pPr>
      <w:r>
        <w:t>1: Department of Women’s and Children’s Health, University of Liverpool, Liverpool, UK</w:t>
      </w:r>
    </w:p>
    <w:p w14:paraId="31E07C3A" w14:textId="77777777" w:rsidR="00B66344" w:rsidRDefault="67FA5B61" w:rsidP="00B66344">
      <w:pPr>
        <w:spacing w:after="0" w:line="480" w:lineRule="auto"/>
      </w:pPr>
      <w:r>
        <w:t>2: Wolfson</w:t>
      </w:r>
      <w:r w:rsidRPr="67FA5B61">
        <w:rPr>
          <w:vertAlign w:val="superscript"/>
        </w:rPr>
        <w:t xml:space="preserve"> </w:t>
      </w:r>
      <w:r>
        <w:t>Centre for Personalised Medicine, MRC Centre for Drug Safety Science, Department of Molecular and Clinical Pharmacology, University of Liverpool, Liverpool, UK</w:t>
      </w:r>
    </w:p>
    <w:p w14:paraId="0C0A86CE" w14:textId="77777777" w:rsidR="00B66344" w:rsidRDefault="67FA5B61" w:rsidP="00B66344">
      <w:pPr>
        <w:spacing w:after="0" w:line="480" w:lineRule="auto"/>
      </w:pPr>
      <w:r>
        <w:t>3: Department of Biostatistics, University of Liverpool, Liverpool, UK</w:t>
      </w:r>
    </w:p>
    <w:p w14:paraId="0AE23620" w14:textId="0E82AECE" w:rsidR="00B66344" w:rsidRDefault="67FA5B61" w:rsidP="00B66344">
      <w:pPr>
        <w:spacing w:after="0" w:line="480" w:lineRule="auto"/>
      </w:pPr>
      <w:r>
        <w:t xml:space="preserve">4: </w:t>
      </w:r>
      <w:r w:rsidR="00F91A31">
        <w:t>NIHR Alder Hey Clinical Research Facility</w:t>
      </w:r>
      <w:r>
        <w:t>, Alder Hey Children’s Hospital, Liverpool, UK</w:t>
      </w:r>
    </w:p>
    <w:p w14:paraId="23432053" w14:textId="77777777" w:rsidR="00B66344" w:rsidRDefault="67FA5B61" w:rsidP="00B66344">
      <w:pPr>
        <w:spacing w:after="0" w:line="480" w:lineRule="auto"/>
      </w:pPr>
      <w:r>
        <w:t>5: BHF Centre for Cardiovascular Science, University of Edinburgh, Edinburgh, UK</w:t>
      </w:r>
    </w:p>
    <w:p w14:paraId="613BDA8E" w14:textId="77777777" w:rsidR="00B66344" w:rsidRDefault="67FA5B61" w:rsidP="00B66344">
      <w:pPr>
        <w:spacing w:after="0" w:line="480" w:lineRule="auto"/>
      </w:pPr>
      <w:r>
        <w:t>6: MRC Integrated Epidemiology Unit as the University of Bristol, Bristol, UK</w:t>
      </w:r>
    </w:p>
    <w:p w14:paraId="503C6196" w14:textId="77777777" w:rsidR="00B66344" w:rsidRDefault="67FA5B61" w:rsidP="00B66344">
      <w:pPr>
        <w:spacing w:after="0" w:line="480" w:lineRule="auto"/>
      </w:pPr>
      <w:r>
        <w:t>7: Institute for Genetic Medicine, Newcastle University, Newcastle upon Tyne, UK</w:t>
      </w:r>
    </w:p>
    <w:p w14:paraId="377895D4" w14:textId="77777777" w:rsidR="00B66344" w:rsidRDefault="67FA5B61" w:rsidP="00B66344">
      <w:pPr>
        <w:spacing w:after="0" w:line="480" w:lineRule="auto"/>
      </w:pPr>
      <w:r>
        <w:t>8: Department of Endocrinology, Alder Hey Children’s Hospital, Liverpool, UK</w:t>
      </w:r>
    </w:p>
    <w:p w14:paraId="2818B3CB" w14:textId="77777777" w:rsidR="00B66344" w:rsidRDefault="67FA5B61" w:rsidP="00B66344">
      <w:pPr>
        <w:spacing w:after="0" w:line="480" w:lineRule="auto"/>
      </w:pPr>
      <w:r>
        <w:t>9: Department of Respiratory Medicine, Alder Hey Children’s Hospital, Liverpool, UK</w:t>
      </w:r>
    </w:p>
    <w:p w14:paraId="56B63B0D" w14:textId="77777777" w:rsidR="00B66344" w:rsidRDefault="67FA5B61" w:rsidP="00B66344">
      <w:pPr>
        <w:spacing w:after="0" w:line="480" w:lineRule="auto"/>
      </w:pPr>
      <w:r>
        <w:t>10: Great Ormond Street Institute of Child Health, University College London, UK</w:t>
      </w:r>
    </w:p>
    <w:p w14:paraId="0193C7B8" w14:textId="77777777" w:rsidR="00807F6B" w:rsidRDefault="00807F6B" w:rsidP="00B66344">
      <w:pPr>
        <w:spacing w:line="480" w:lineRule="auto"/>
      </w:pPr>
    </w:p>
    <w:p w14:paraId="2F96CE5E" w14:textId="77777777" w:rsidR="0081006A" w:rsidRDefault="0081006A" w:rsidP="00B66344">
      <w:pPr>
        <w:spacing w:line="480" w:lineRule="auto"/>
      </w:pPr>
    </w:p>
    <w:p w14:paraId="4777AB9D" w14:textId="77777777" w:rsidR="0081006A" w:rsidRDefault="0081006A" w:rsidP="00B66344">
      <w:pPr>
        <w:spacing w:line="480" w:lineRule="auto"/>
      </w:pPr>
    </w:p>
    <w:p w14:paraId="1D617EBD" w14:textId="77777777" w:rsidR="00807F6B" w:rsidRDefault="67FA5B61" w:rsidP="00F91A31">
      <w:pPr>
        <w:pStyle w:val="Heading1"/>
        <w:spacing w:line="360" w:lineRule="auto"/>
      </w:pPr>
      <w:r>
        <w:t>Methods</w:t>
      </w:r>
    </w:p>
    <w:p w14:paraId="67C29C21" w14:textId="39F89A4C" w:rsidR="00D8734E" w:rsidRDefault="00D8734E" w:rsidP="00F91A31">
      <w:pPr>
        <w:pStyle w:val="Heading2"/>
      </w:pPr>
      <w:r>
        <w:t>PASS Study</w:t>
      </w:r>
    </w:p>
    <w:p w14:paraId="37068BD6" w14:textId="112F5F7F" w:rsidR="004210B8" w:rsidRDefault="004210B8" w:rsidP="00F91A31">
      <w:pPr>
        <w:pStyle w:val="Heading3"/>
        <w:spacing w:line="360" w:lineRule="auto"/>
      </w:pPr>
      <w:r>
        <w:t>Recruitment</w:t>
      </w:r>
    </w:p>
    <w:p w14:paraId="616F3AF0" w14:textId="0FAD0441" w:rsidR="004210B8" w:rsidRPr="004210B8" w:rsidRDefault="004210B8">
      <w:pPr>
        <w:spacing w:line="360" w:lineRule="auto"/>
      </w:pPr>
      <w:r>
        <w:t xml:space="preserve">The PASS study recruited children in two stages, firstly for a discovery cohort, and subsequently for a </w:t>
      </w:r>
      <w:r w:rsidR="00245DD6">
        <w:t>validation</w:t>
      </w:r>
      <w:r>
        <w:t xml:space="preserve"> cohort. The </w:t>
      </w:r>
      <w:r w:rsidR="00245DD6">
        <w:t>validation</w:t>
      </w:r>
      <w:r>
        <w:t xml:space="preserve"> cohort was specifically recruited for this purpose. There were no differences in the protocol between the two phases of recruitment. </w:t>
      </w:r>
    </w:p>
    <w:p w14:paraId="28F1A028" w14:textId="74291975" w:rsidR="00D8734E" w:rsidRPr="00016570" w:rsidRDefault="00D8734E" w:rsidP="00F91A31">
      <w:pPr>
        <w:pStyle w:val="Heading3"/>
        <w:spacing w:line="360" w:lineRule="auto"/>
      </w:pPr>
      <w:r w:rsidRPr="00016570">
        <w:t>Consent process</w:t>
      </w:r>
    </w:p>
    <w:p w14:paraId="5899EF4B" w14:textId="1119B760" w:rsidR="00D8734E" w:rsidRPr="00016570" w:rsidRDefault="00D8734E">
      <w:pPr>
        <w:spacing w:after="0" w:line="360" w:lineRule="auto"/>
      </w:pPr>
      <w:r w:rsidRPr="00016570">
        <w:t xml:space="preserve">Participants </w:t>
      </w:r>
      <w:r>
        <w:t xml:space="preserve">and families </w:t>
      </w:r>
      <w:r w:rsidRPr="00016570">
        <w:t xml:space="preserve">were identified by </w:t>
      </w:r>
      <w:r>
        <w:t xml:space="preserve">hospital </w:t>
      </w:r>
      <w:r w:rsidRPr="00016570">
        <w:t>paediatricians.  Information was given to the family and consent obtained from the parent/guardian</w:t>
      </w:r>
      <w:r>
        <w:t xml:space="preserve"> (or participant if ≥16 years)</w:t>
      </w:r>
      <w:r w:rsidRPr="00016570">
        <w:t xml:space="preserve"> after at least 24 hours consideration.  Assent was also sought from older participants (</w:t>
      </w:r>
      <w:r>
        <w:t xml:space="preserve">age 12-15 years, </w:t>
      </w:r>
      <w:r w:rsidRPr="00016570">
        <w:t>judged on a case by case basis). Participants judged able to give assent, but who declined</w:t>
      </w:r>
      <w:r>
        <w:t>,</w:t>
      </w:r>
      <w:r w:rsidRPr="00016570">
        <w:t xml:space="preserve"> were excluded</w:t>
      </w:r>
      <w:r>
        <w:t>.</w:t>
      </w:r>
      <w:r w:rsidRPr="00016570">
        <w:t xml:space="preserve"> </w:t>
      </w:r>
    </w:p>
    <w:p w14:paraId="247DF9DC" w14:textId="77777777" w:rsidR="00D8734E" w:rsidRPr="008B41AA" w:rsidRDefault="00D8734E">
      <w:pPr>
        <w:spacing w:after="0" w:line="360" w:lineRule="auto"/>
      </w:pPr>
    </w:p>
    <w:p w14:paraId="0FE73468" w14:textId="77777777" w:rsidR="00D8734E" w:rsidRDefault="00D8734E">
      <w:pPr>
        <w:pStyle w:val="Heading3"/>
        <w:keepNext w:val="0"/>
        <w:keepLines w:val="0"/>
        <w:spacing w:before="0" w:line="360" w:lineRule="auto"/>
      </w:pPr>
      <w:r>
        <w:t>Design of the LDSST</w:t>
      </w:r>
    </w:p>
    <w:p w14:paraId="33D23833" w14:textId="4A39990C" w:rsidR="00D8734E" w:rsidRDefault="00D8734E">
      <w:pPr>
        <w:spacing w:after="0" w:line="360" w:lineRule="auto"/>
      </w:pPr>
      <w:r>
        <w:t xml:space="preserve">We based the sampling regimen for LDSST on that developed by Paton et al </w:t>
      </w:r>
      <w:r>
        <w:fldChar w:fldCharType="begin"/>
      </w:r>
      <w:r>
        <w:instrText xml:space="preserve"> ADDIN EN.CITE &lt;EndNote&gt;&lt;Cite&gt;&lt;Author&gt;Paton&lt;/Author&gt;&lt;Year&gt;2006&lt;/Year&gt;&lt;RecNum&gt;63&lt;/RecNum&gt;&lt;DisplayText&gt;&lt;style face="superscript"&gt;1&lt;/style&gt;&lt;/DisplayText&gt;&lt;record&gt;&lt;rec-number&gt;63&lt;/rec-number&gt;&lt;foreign-keys&gt;&lt;key app="EN" db-id="fwa92ez5sf5t07ef2r35w0fds9wxzzstfda2"&gt;63&lt;/key&gt;&lt;/foreign-keys&gt;&lt;ref-type name="Journal Article"&gt;17&lt;/ref-type&gt;&lt;contributors&gt;&lt;authors&gt;&lt;author&gt;Paton, J.&lt;/author&gt;&lt;author&gt;Jardine, E.&lt;/author&gt;&lt;author&gt;McNeill, E.&lt;/author&gt;&lt;author&gt;Beaton, S.&lt;/author&gt;&lt;author&gt;Galloway, P.&lt;/author&gt;&lt;author&gt;Young, D.&lt;/author&gt;&lt;author&gt;Donaldson, M.&lt;/author&gt;&lt;/authors&gt;&lt;/contributors&gt;&lt;titles&gt;&lt;title&gt;Adrenal responses to low dose synthetic ACTH (Synacthen) in children receiving high dose inhaled fluticasone&lt;/title&gt;&lt;secondary-title&gt;Archives of Disease in Childhood&lt;/secondary-title&gt;&lt;/titles&gt;&lt;periodical&gt;&lt;full-title&gt;Archives of Disease in Childhood&lt;/full-title&gt;&lt;/periodical&gt;&lt;pages&gt;808-813&lt;/pages&gt;&lt;volume&gt;91&lt;/volume&gt;&lt;number&gt;10&lt;/number&gt;&lt;dates&gt;&lt;year&gt;2006&lt;/year&gt;&lt;pub-dates&gt;&lt;date&gt;October 1, 2006&lt;/date&gt;&lt;/pub-dates&gt;&lt;/dates&gt;&lt;urls&gt;&lt;related-urls&gt;&lt;url&gt;http://adc.bmj.com/cgi/content/abstract/91/10/808 &lt;/url&gt;&lt;/related-urls&gt;&lt;/urls&gt;&lt;electronic-resource-num&gt;10.1136/adc.2005.087247&lt;/electronic-resource-num&gt;&lt;/record&gt;&lt;/Cite&gt;&lt;/EndNote&gt;</w:instrText>
      </w:r>
      <w:r>
        <w:fldChar w:fldCharType="separate"/>
      </w:r>
      <w:r w:rsidRPr="00D8734E">
        <w:rPr>
          <w:noProof/>
          <w:vertAlign w:val="superscript"/>
        </w:rPr>
        <w:t>1</w:t>
      </w:r>
      <w:r>
        <w:fldChar w:fldCharType="end"/>
      </w:r>
      <w:r>
        <w:t>.  In that study, LDSST consisted of a dose of 500ng/1.73m</w:t>
      </w:r>
      <w:r>
        <w:rPr>
          <w:vertAlign w:val="superscript"/>
        </w:rPr>
        <w:t>2</w:t>
      </w:r>
      <w:r>
        <w:t xml:space="preserve"> and sampling at 0, 15, 20, 25, 30 and 35 minutes.  Raw data from that audit </w:t>
      </w:r>
      <w:r>
        <w:fldChar w:fldCharType="begin"/>
      </w:r>
      <w:r>
        <w:instrText xml:space="preserve"> ADDIN EN.CITE &lt;EndNote&gt;&lt;Cite&gt;&lt;Author&gt;Paton&lt;/Author&gt;&lt;Year&gt;2006&lt;/Year&gt;&lt;RecNum&gt;63&lt;/RecNum&gt;&lt;DisplayText&gt;&lt;style face="superscript"&gt;1&lt;/style&gt;&lt;/DisplayText&gt;&lt;record&gt;&lt;rec-number&gt;63&lt;/rec-number&gt;&lt;foreign-keys&gt;&lt;key app="EN" db-id="fwa92ez5sf5t07ef2r35w0fds9wxzzstfda2"&gt;63&lt;/key&gt;&lt;/foreign-keys&gt;&lt;ref-type name="Journal Article"&gt;17&lt;/ref-type&gt;&lt;contributors&gt;&lt;authors&gt;&lt;author&gt;Paton, J.&lt;/author&gt;&lt;author&gt;Jardine, E.&lt;/author&gt;&lt;author&gt;McNeill, E.&lt;/author&gt;&lt;author&gt;Beaton, S.&lt;/author&gt;&lt;author&gt;Galloway, P.&lt;/author&gt;&lt;author&gt;Young, D.&lt;/author&gt;&lt;author&gt;Donaldson, M.&lt;/author&gt;&lt;/authors&gt;&lt;/contributors&gt;&lt;titles&gt;&lt;title&gt;Adrenal responses to low dose synthetic ACTH (Synacthen) in children receiving high dose inhaled fluticasone&lt;/title&gt;&lt;secondary-title&gt;Archives of Disease in Childhood&lt;/secondary-title&gt;&lt;/titles&gt;&lt;periodical&gt;&lt;full-title&gt;Archives of Disease in Childhood&lt;/full-title&gt;&lt;/periodical&gt;&lt;pages&gt;808-813&lt;/pages&gt;&lt;volume&gt;91&lt;/volume&gt;&lt;number&gt;10&lt;/number&gt;&lt;dates&gt;&lt;year&gt;2006&lt;/year&gt;&lt;pub-dates&gt;&lt;date&gt;October 1, 2006&lt;/date&gt;&lt;/pub-dates&gt;&lt;/dates&gt;&lt;urls&gt;&lt;related-urls&gt;&lt;url&gt;http://adc.bmj.com/cgi/content/abstract/91/10/808 &lt;/url&gt;&lt;/related-urls&gt;&lt;/urls&gt;&lt;electronic-resource-num&gt;10.1136/adc.2005.087247&lt;/electronic-resource-num&gt;&lt;/record&gt;&lt;/Cite&gt;&lt;/EndNote&gt;</w:instrText>
      </w:r>
      <w:r>
        <w:fldChar w:fldCharType="separate"/>
      </w:r>
      <w:r w:rsidRPr="00D8734E">
        <w:rPr>
          <w:noProof/>
          <w:vertAlign w:val="superscript"/>
        </w:rPr>
        <w:t>1</w:t>
      </w:r>
      <w:r>
        <w:fldChar w:fldCharType="end"/>
      </w:r>
      <w:r>
        <w:t xml:space="preserve"> were reviewed and measurements from four of the six time points (0, 15, 25, 35 minutes) were able to consistently distinguish between normal and abnormal responses (18).   A minority of patients included in PASS were recruited having already undergone a LDSST within the last 2 years using the local protocol at the recruiting institution.    </w:t>
      </w:r>
    </w:p>
    <w:p w14:paraId="22C2BBC5" w14:textId="77777777" w:rsidR="00D8734E" w:rsidRDefault="00D8734E">
      <w:pPr>
        <w:spacing w:after="0" w:line="360" w:lineRule="auto"/>
      </w:pPr>
    </w:p>
    <w:p w14:paraId="7815E0AA" w14:textId="1675F18E" w:rsidR="00D8734E" w:rsidRDefault="00D8734E" w:rsidP="00F91A31">
      <w:pPr>
        <w:pStyle w:val="Heading3"/>
        <w:spacing w:line="360" w:lineRule="auto"/>
      </w:pPr>
      <w:r>
        <w:t>Statistical analysis</w:t>
      </w:r>
    </w:p>
    <w:p w14:paraId="7A58D948" w14:textId="061C660D" w:rsidR="00D8734E" w:rsidRDefault="002360B8">
      <w:pPr>
        <w:spacing w:after="0" w:line="360" w:lineRule="auto"/>
      </w:pPr>
      <w:r>
        <w:t>For the preliminary study of demographic and clinical factors, analyses</w:t>
      </w:r>
      <w:r w:rsidR="00D8734E">
        <w:t xml:space="preserve"> were undertaken in SAS v.9.2 (Cary, NC, US)</w:t>
      </w:r>
      <w:r w:rsidR="00D8734E" w:rsidRPr="001E4C0F">
        <w:t>.</w:t>
      </w:r>
      <w:r w:rsidR="00D8734E">
        <w:t xml:space="preserve">  </w:t>
      </w:r>
      <w:r w:rsidR="00D8734E" w:rsidRPr="00974527">
        <w:t>For times when multiple comparisons were carried out, a Bonferroni correction was used and a significant p-value assumed to be &lt;0.005</w:t>
      </w:r>
      <w:r w:rsidR="00D8734E">
        <w:t>. Full details of the statistical methodology are included in the online supplementary data section</w:t>
      </w:r>
      <w:r>
        <w:t xml:space="preserve"> of the Hawcutt et al. (2015)</w:t>
      </w:r>
      <w:r>
        <w:fldChar w:fldCharType="begin"/>
      </w:r>
      <w:r w:rsidR="00F91A31">
        <w:instrText xml:space="preserve"> ADDIN EN.CITE &lt;EndNote&gt;&lt;Cite&gt;&lt;Author&gt;Hawcutt&lt;/Author&gt;&lt;Year&gt;2015&lt;/Year&gt;&lt;RecNum&gt;11&lt;/RecNum&gt;&lt;DisplayText&gt;&lt;style face="superscript"&gt;2&lt;/style&gt;&lt;/DisplayText&gt;&lt;record&gt;&lt;rec-number&gt;11&lt;/rec-number&gt;&lt;foreign-keys&gt;&lt;key app="EN" db-id="psszexae9xfxzweazvnvz9zhwd0srt5rv0at" timestamp="1479215586"&gt;11&lt;/key&gt;&lt;/foreign-keys&gt;&lt;ref-type name="Journal Article"&gt;17&lt;/ref-type&gt;&lt;contributors&gt;&lt;authors&gt;&lt;author&gt;Hawcutt, Daniel B&lt;/author&gt;&lt;author&gt;Jorgensen, Andrea L&lt;/author&gt;&lt;author&gt;Wallin, Naomi&lt;/author&gt;&lt;author&gt;Thompson, Ben&lt;/author&gt;&lt;author&gt;Peak, Matthew&lt;/author&gt;&lt;author&gt;Lacy, David&lt;/author&gt;&lt;author&gt;Newland, Paul&lt;/author&gt;&lt;author&gt;Didi, Mo&lt;/author&gt;&lt;author&gt;Couriel, Jon&lt;/author&gt;&lt;author&gt;Blair, Jo&lt;/author&gt;&lt;/authors&gt;&lt;/contributors&gt;&lt;titles&gt;&lt;title&gt;Adrenal responses to a low‐dose short synacthen test in children with asthma&lt;/title&gt;&lt;secondary-title&gt;Clinical endocrinology&lt;/secondary-title&gt;&lt;/titles&gt;&lt;periodical&gt;&lt;full-title&gt;Clinical endocrinology&lt;/full-title&gt;&lt;/periodical&gt;&lt;pages&gt;648-656&lt;/pages&gt;&lt;volume&gt;82&lt;/volume&gt;&lt;number&gt;5&lt;/number&gt;&lt;dates&gt;&lt;year&gt;2015&lt;/year&gt;&lt;/dates&gt;&lt;isbn&gt;1365-2265&lt;/isbn&gt;&lt;urls&gt;&lt;/urls&gt;&lt;/record&gt;&lt;/Cite&gt;&lt;/EndNote&gt;</w:instrText>
      </w:r>
      <w:r>
        <w:fldChar w:fldCharType="separate"/>
      </w:r>
      <w:r w:rsidR="00F91A31" w:rsidRPr="00F91A31">
        <w:rPr>
          <w:noProof/>
          <w:vertAlign w:val="superscript"/>
        </w:rPr>
        <w:t>2</w:t>
      </w:r>
      <w:r>
        <w:fldChar w:fldCharType="end"/>
      </w:r>
      <w:r>
        <w:t xml:space="preserve"> paper</w:t>
      </w:r>
      <w:r w:rsidR="00D8734E">
        <w:t xml:space="preserve">.  </w:t>
      </w:r>
      <w:r w:rsidR="00D8734E" w:rsidRPr="0075706B">
        <w:t xml:space="preserve">Analyses undertaken to investigate the growth observed in the population (height-for-age z score), and the </w:t>
      </w:r>
      <w:r w:rsidR="00D8734E" w:rsidRPr="0075706B">
        <w:lastRenderedPageBreak/>
        <w:t>relationship between cumulative corticosteroid dose and height-for-age z score</w:t>
      </w:r>
      <w:r w:rsidR="00D8734E">
        <w:t>, are all detailed in the supplementary data section</w:t>
      </w:r>
      <w:r>
        <w:t xml:space="preserve"> of the Hawcutt et al. (2015)</w:t>
      </w:r>
      <w:r>
        <w:fldChar w:fldCharType="begin"/>
      </w:r>
      <w:r w:rsidR="00F91A31">
        <w:instrText xml:space="preserve"> ADDIN EN.CITE &lt;EndNote&gt;&lt;Cite&gt;&lt;Author&gt;Hawcutt&lt;/Author&gt;&lt;Year&gt;2015&lt;/Year&gt;&lt;RecNum&gt;11&lt;/RecNum&gt;&lt;DisplayText&gt;&lt;style face="superscript"&gt;2&lt;/style&gt;&lt;/DisplayText&gt;&lt;record&gt;&lt;rec-number&gt;11&lt;/rec-number&gt;&lt;foreign-keys&gt;&lt;key app="EN" db-id="psszexae9xfxzweazvnvz9zhwd0srt5rv0at" timestamp="1479215586"&gt;11&lt;/key&gt;&lt;/foreign-keys&gt;&lt;ref-type name="Journal Article"&gt;17&lt;/ref-type&gt;&lt;contributors&gt;&lt;authors&gt;&lt;author&gt;Hawcutt, Daniel B&lt;/author&gt;&lt;author&gt;Jorgensen, Andrea L&lt;/author&gt;&lt;author&gt;Wallin, Naomi&lt;/author&gt;&lt;author&gt;Thompson, Ben&lt;/author&gt;&lt;author&gt;Peak, Matthew&lt;/author&gt;&lt;author&gt;Lacy, David&lt;/author&gt;&lt;author&gt;Newland, Paul&lt;/author&gt;&lt;author&gt;Didi, Mo&lt;/author&gt;&lt;author&gt;Couriel, Jon&lt;/author&gt;&lt;author&gt;Blair, Jo&lt;/author&gt;&lt;/authors&gt;&lt;/contributors&gt;&lt;titles&gt;&lt;title&gt;Adrenal responses to a low‐dose short synacthen test in children with asthma&lt;/title&gt;&lt;secondary-title&gt;Clinical endocrinology&lt;/secondary-title&gt;&lt;/titles&gt;&lt;periodical&gt;&lt;full-title&gt;Clinical endocrinology&lt;/full-title&gt;&lt;/periodical&gt;&lt;pages&gt;648-656&lt;/pages&gt;&lt;volume&gt;82&lt;/volume&gt;&lt;number&gt;5&lt;/number&gt;&lt;dates&gt;&lt;year&gt;2015&lt;/year&gt;&lt;/dates&gt;&lt;isbn&gt;1365-2265&lt;/isbn&gt;&lt;urls&gt;&lt;/urls&gt;&lt;/record&gt;&lt;/Cite&gt;&lt;/EndNote&gt;</w:instrText>
      </w:r>
      <w:r>
        <w:fldChar w:fldCharType="separate"/>
      </w:r>
      <w:r w:rsidR="00F91A31" w:rsidRPr="00F91A31">
        <w:rPr>
          <w:noProof/>
          <w:vertAlign w:val="superscript"/>
        </w:rPr>
        <w:t>2</w:t>
      </w:r>
      <w:r>
        <w:fldChar w:fldCharType="end"/>
      </w:r>
      <w:r>
        <w:t xml:space="preserve"> paper</w:t>
      </w:r>
      <w:r w:rsidR="00D8734E">
        <w:t>.</w:t>
      </w:r>
    </w:p>
    <w:p w14:paraId="3D94A55A" w14:textId="77777777" w:rsidR="00D8734E" w:rsidRDefault="00D8734E" w:rsidP="00F91A31">
      <w:pPr>
        <w:pStyle w:val="Heading3"/>
        <w:spacing w:line="360" w:lineRule="auto"/>
      </w:pPr>
    </w:p>
    <w:p w14:paraId="0A9853D3" w14:textId="77777777" w:rsidR="00D8734E" w:rsidRDefault="00D8734E" w:rsidP="00F91A31">
      <w:pPr>
        <w:pStyle w:val="Heading3"/>
        <w:spacing w:line="360" w:lineRule="auto"/>
      </w:pPr>
      <w:r>
        <w:t xml:space="preserve">Calculating </w:t>
      </w:r>
      <w:r w:rsidRPr="00106754">
        <w:t>corticosteroid</w:t>
      </w:r>
      <w:r>
        <w:t xml:space="preserve"> cumulative dose</w:t>
      </w:r>
    </w:p>
    <w:p w14:paraId="10D48F3C" w14:textId="56CA62FD" w:rsidR="00D8734E" w:rsidRPr="0075706B" w:rsidRDefault="00D8734E">
      <w:pPr>
        <w:keepNext/>
        <w:spacing w:after="0" w:line="360" w:lineRule="auto"/>
      </w:pPr>
      <w:r w:rsidRPr="0075706B">
        <w:t xml:space="preserve">Doses of corticosteroid taken by participants were expressed as micrograms/day of beclomethasone diproprionate equivalent </w:t>
      </w:r>
      <w:r w:rsidRPr="0075706B">
        <w:fldChar w:fldCharType="begin">
          <w:fldData xml:space="preserve">PEVuZE5vdGU+PENpdGU+PEF1dGhvcj5aaGFuZzwvQXV0aG9yPjxZZWFyPjIwMTE8L1llYXI+PFJl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</w:fldData>
        </w:fldChar>
      </w:r>
      <w:r w:rsidR="00F91A31">
        <w:instrText xml:space="preserve"> ADDIN EN.CITE </w:instrText>
      </w:r>
      <w:r w:rsidR="00F91A31">
        <w:fldChar w:fldCharType="begin">
          <w:fldData xml:space="preserve">PEVuZE5vdGU+PENpdGU+PEF1dGhvcj5aaGFuZzwvQXV0aG9yPjxZZWFyPjIwMTE8L1llYXI+PFJl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</w:fldData>
        </w:fldChar>
      </w:r>
      <w:r w:rsidR="00F91A31">
        <w:instrText xml:space="preserve"> ADDIN EN.CITE.DATA </w:instrText>
      </w:r>
      <w:r w:rsidR="00F91A31">
        <w:fldChar w:fldCharType="end"/>
      </w:r>
      <w:r w:rsidRPr="0075706B">
        <w:fldChar w:fldCharType="separate"/>
      </w:r>
      <w:r w:rsidR="00F91A31" w:rsidRPr="00F91A31">
        <w:rPr>
          <w:noProof/>
          <w:vertAlign w:val="superscript"/>
        </w:rPr>
        <w:t>3</w:t>
      </w:r>
      <w:r w:rsidRPr="0075706B">
        <w:fldChar w:fldCharType="end"/>
      </w:r>
      <w:r w:rsidRPr="0075706B">
        <w:t>.  Dose ratios of 1:1 (</w:t>
      </w:r>
      <w:r>
        <w:t xml:space="preserve">Beclomethasone Diproprionate CFC, </w:t>
      </w:r>
      <w:r w:rsidRPr="0075706B">
        <w:t xml:space="preserve">Clenil Modulite, Budesonide) </w:t>
      </w:r>
      <w:r w:rsidRPr="0075706B">
        <w:fldChar w:fldCharType="begin"/>
      </w:r>
      <w:r w:rsidR="00F91A31">
        <w:instrText xml:space="preserve"> ADDIN EN.CITE &lt;EndNote&gt;&lt;Cite&gt;&lt;Year&gt;2007&lt;/Year&gt;&lt;RecNum&gt;59&lt;/RecNum&gt;&lt;DisplayText&gt;&lt;style face="superscript"&gt;4&lt;/style&gt;&lt;/DisplayText&gt;&lt;record&gt;&lt;rec-number&gt;59&lt;/rec-number&gt;&lt;foreign-keys&gt;&lt;key app="EN" db-id="fwa92ez5sf5t07ef2r35w0fds9wxzzstfda2"&gt;59&lt;/key&gt;&lt;/foreign-keys&gt;&lt;ref-type name="Legal Rule or Regulation"&gt;50&lt;/ref-type&gt;&lt;contributors&gt;&lt;secondary-authors&gt;&lt;author&gt;British Thoracic Society (BTS)&lt;/author&gt;&lt;author&gt;Scottish Intercollegiate Guideline Network (SIGN)&lt;/author&gt;&lt;/secondary-authors&gt;&lt;/contributors&gt;&lt;titles&gt;&lt;title&gt;British Guideline on the Management of Asthma&lt;/title&gt;&lt;/titles&gt;&lt;pages&gt;103&lt;/pages&gt;&lt;dates&gt;&lt;year&gt;2007&lt;/year&gt;&lt;/dates&gt;&lt;work-type&gt;National Clinical guideline&lt;/work-type&gt;&lt;urls&gt;&lt;/urls&gt;&lt;/record&gt;&lt;/Cite&gt;&lt;/EndNote&gt;</w:instrText>
      </w:r>
      <w:r w:rsidRPr="0075706B">
        <w:fldChar w:fldCharType="separate"/>
      </w:r>
      <w:r w:rsidR="00F91A31" w:rsidRPr="00F91A31">
        <w:rPr>
          <w:noProof/>
          <w:vertAlign w:val="superscript"/>
        </w:rPr>
        <w:t>4</w:t>
      </w:r>
      <w:r w:rsidRPr="0075706B">
        <w:fldChar w:fldCharType="end"/>
      </w:r>
      <w:r w:rsidRPr="0075706B">
        <w:t xml:space="preserve">, 2:1 (Fluticasone, Mometasone, Qvar) </w:t>
      </w:r>
      <w:r w:rsidRPr="0075706B">
        <w:fldChar w:fldCharType="begin"/>
      </w:r>
      <w:r w:rsidR="00F91A31">
        <w:instrText xml:space="preserve"> ADDIN EN.CITE &lt;EndNote&gt;&lt;Cite&gt;&lt;Year&gt;2007&lt;/Year&gt;&lt;RecNum&gt;59&lt;/RecNum&gt;&lt;DisplayText&gt;&lt;style face="superscript"&gt;4&lt;/style&gt;&lt;/DisplayText&gt;&lt;record&gt;&lt;rec-number&gt;59&lt;/rec-number&gt;&lt;foreign-keys&gt;&lt;key app="EN" db-id="fwa92ez5sf5t07ef2r35w0fds9wxzzstfda2"&gt;59&lt;/key&gt;&lt;/foreign-keys&gt;&lt;ref-type name="Legal Rule or Regulation"&gt;50&lt;/ref-type&gt;&lt;contributors&gt;&lt;secondary-authors&gt;&lt;author&gt;British Thoracic Society (BTS)&lt;/author&gt;&lt;author&gt;Scottish Intercollegiate Guideline Network (SIGN)&lt;/author&gt;&lt;/secondary-authors&gt;&lt;/contributors&gt;&lt;titles&gt;&lt;title&gt;British Guideline on the Management of Asthma&lt;/title&gt;&lt;/titles&gt;&lt;pages&gt;103&lt;/pages&gt;&lt;dates&gt;&lt;year&gt;2007&lt;/year&gt;&lt;/dates&gt;&lt;work-type&gt;National Clinical guideline&lt;/work-type&gt;&lt;urls&gt;&lt;/urls&gt;&lt;/record&gt;&lt;/Cite&gt;&lt;/EndNote&gt;</w:instrText>
      </w:r>
      <w:r w:rsidRPr="0075706B">
        <w:fldChar w:fldCharType="separate"/>
      </w:r>
      <w:r w:rsidR="00F91A31" w:rsidRPr="00F91A31">
        <w:rPr>
          <w:noProof/>
          <w:vertAlign w:val="superscript"/>
        </w:rPr>
        <w:t>4</w:t>
      </w:r>
      <w:r w:rsidRPr="0075706B">
        <w:fldChar w:fldCharType="end"/>
      </w:r>
      <w:r w:rsidRPr="0075706B">
        <w:t xml:space="preserve"> and 1:3.9 (Prednisolone) were used</w:t>
      </w:r>
      <w:r w:rsidRPr="0075706B">
        <w:rPr>
          <w:noProof/>
        </w:rPr>
        <w:t xml:space="preserve"> </w:t>
      </w:r>
      <w:r w:rsidRPr="0075706B">
        <w:rPr>
          <w:noProof/>
        </w:rPr>
        <w:fldChar w:fldCharType="begin">
          <w:fldData xml:space="preserve">PEVuZE5vdGU+PENpdGU+PEF1dGhvcj5KZW5uaW5nczwvQXV0aG9yPjxZZWFyPjE5OTE8L1llYXI+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</w:fldData>
        </w:fldChar>
      </w:r>
      <w:r w:rsidR="00F91A31">
        <w:rPr>
          <w:noProof/>
        </w:rPr>
        <w:instrText xml:space="preserve"> ADDIN EN.CITE </w:instrText>
      </w:r>
      <w:r w:rsidR="00F91A31">
        <w:rPr>
          <w:noProof/>
        </w:rPr>
        <w:fldChar w:fldCharType="begin">
          <w:fldData xml:space="preserve">PEVuZE5vdGU+PENpdGU+PEF1dGhvcj5KZW5uaW5nczwvQXV0aG9yPjxZZWFyPjE5OTE8L1llYXI+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</w:fldData>
        </w:fldChar>
      </w:r>
      <w:r w:rsidR="00F91A31">
        <w:rPr>
          <w:noProof/>
        </w:rPr>
        <w:instrText xml:space="preserve"> ADDIN EN.CITE.DATA </w:instrText>
      </w:r>
      <w:r w:rsidR="00F91A31">
        <w:rPr>
          <w:noProof/>
        </w:rPr>
      </w:r>
      <w:r w:rsidR="00F91A31">
        <w:rPr>
          <w:noProof/>
        </w:rPr>
        <w:fldChar w:fldCharType="end"/>
      </w:r>
      <w:r w:rsidRPr="0075706B">
        <w:rPr>
          <w:noProof/>
        </w:rPr>
      </w:r>
      <w:r w:rsidRPr="0075706B">
        <w:rPr>
          <w:noProof/>
        </w:rPr>
        <w:fldChar w:fldCharType="separate"/>
      </w:r>
      <w:r w:rsidR="00F91A31" w:rsidRPr="00F91A31">
        <w:rPr>
          <w:noProof/>
          <w:vertAlign w:val="superscript"/>
        </w:rPr>
        <w:t>5</w:t>
      </w:r>
      <w:r w:rsidRPr="0075706B">
        <w:rPr>
          <w:noProof/>
        </w:rPr>
        <w:fldChar w:fldCharType="end"/>
      </w:r>
      <w:r w:rsidRPr="0075706B">
        <w:t xml:space="preserve">.  Patient’s corticosteroid </w:t>
      </w:r>
      <w:r>
        <w:t>cumulative dose</w:t>
      </w:r>
      <w:r w:rsidRPr="0075706B">
        <w:t xml:space="preserve"> over the previous six months was then calculated in three different ways:  </w:t>
      </w:r>
    </w:p>
    <w:p w14:paraId="4587B282" w14:textId="77777777" w:rsidR="00D8734E" w:rsidRPr="0075706B" w:rsidRDefault="00D8734E">
      <w:pPr>
        <w:pStyle w:val="ListParagraph"/>
        <w:numPr>
          <w:ilvl w:val="0"/>
          <w:numId w:val="2"/>
        </w:numPr>
        <w:spacing w:after="0" w:line="360" w:lineRule="auto"/>
        <w:ind w:left="709" w:hanging="709"/>
      </w:pPr>
      <w:r w:rsidRPr="0075706B">
        <w:t xml:space="preserve">Mean daily inhaled/intranasal corticosteroid </w:t>
      </w:r>
      <w:r>
        <w:t>cumulative dose</w:t>
      </w:r>
      <w:r w:rsidRPr="0075706B">
        <w:t xml:space="preserve"> in six months prior to LDSST (cumulative dose of inhaled and intranasal corticosteroid medications, regardless of rescue therapies and excluding those on regular oral corticosteroids, expressed as a mean daily dose of beclomethasone </w:t>
      </w:r>
      <w:r w:rsidRPr="00C34F8B">
        <w:t xml:space="preserve">diproprionate </w:t>
      </w:r>
      <w:r w:rsidRPr="0075706B">
        <w:t>equivalent)</w:t>
      </w:r>
      <w:r>
        <w:t>.</w:t>
      </w:r>
    </w:p>
    <w:p w14:paraId="01D80A89" w14:textId="77777777" w:rsidR="00D8734E" w:rsidRPr="0075706B" w:rsidRDefault="00D8734E">
      <w:pPr>
        <w:pStyle w:val="ListParagraph"/>
        <w:numPr>
          <w:ilvl w:val="0"/>
          <w:numId w:val="2"/>
        </w:numPr>
        <w:spacing w:after="0" w:line="360" w:lineRule="auto"/>
        <w:ind w:left="709" w:hanging="709"/>
      </w:pPr>
      <w:r w:rsidRPr="0075706B">
        <w:t>Number of courses of rescue oral corticosteroids required to treat exacerbations of asthma in the preceding 6 months before the LDSST</w:t>
      </w:r>
      <w:r>
        <w:t>.</w:t>
      </w:r>
    </w:p>
    <w:p w14:paraId="5818CD0F" w14:textId="77777777" w:rsidR="00D8734E" w:rsidRDefault="00D8734E">
      <w:pPr>
        <w:pStyle w:val="ListParagraph"/>
        <w:numPr>
          <w:ilvl w:val="0"/>
          <w:numId w:val="2"/>
        </w:numPr>
        <w:spacing w:after="0" w:line="360" w:lineRule="auto"/>
        <w:ind w:left="709" w:hanging="709"/>
      </w:pPr>
      <w:r w:rsidRPr="0075706B">
        <w:t xml:space="preserve">Mean daily total corticosteroid </w:t>
      </w:r>
      <w:r>
        <w:t>cumulative dose</w:t>
      </w:r>
      <w:r w:rsidRPr="0075706B">
        <w:t xml:space="preserve"> in six months prior to LDSST (cumulative dose of inhaled, intranasal and regular oral corticosteroid medications as well as rescue courses, assuming a course of rescue corticosteroids is a three day course of oral prednisolone, dosed at 2 mg/kg per day (to a maximum dose of 40 mg), expressed as a mean daily dose of beclomethasone </w:t>
      </w:r>
      <w:r w:rsidRPr="00C34F8B">
        <w:t xml:space="preserve">diproprionate </w:t>
      </w:r>
      <w:r w:rsidRPr="0075706B">
        <w:t xml:space="preserve">equivalent).  </w:t>
      </w:r>
    </w:p>
    <w:p w14:paraId="4A7FA77F" w14:textId="77777777" w:rsidR="00D8734E" w:rsidRPr="0075706B" w:rsidRDefault="00D8734E">
      <w:pPr>
        <w:pStyle w:val="ListParagraph"/>
        <w:spacing w:after="0" w:line="360" w:lineRule="auto"/>
        <w:ind w:left="709"/>
      </w:pPr>
    </w:p>
    <w:p w14:paraId="1E4984F6" w14:textId="77777777" w:rsidR="00D8734E" w:rsidRDefault="00D8734E">
      <w:pPr>
        <w:spacing w:after="0" w:line="360" w:lineRule="auto"/>
      </w:pPr>
      <w:r w:rsidRPr="0075706B">
        <w:t xml:space="preserve">All dose </w:t>
      </w:r>
      <w:r w:rsidRPr="003935A0">
        <w:t xml:space="preserve">calculations assume </w:t>
      </w:r>
      <w:r w:rsidRPr="0075706B">
        <w:t xml:space="preserve">100% concordance and bioavailability (regardless of route of administration).  Topical corticosteroid preparations applied to the skin were not included in the total corticosteroid dose calculations due to uncertainty about the dose received due to variations in both the surface area of the body affected and quantity of cream applied. </w:t>
      </w:r>
    </w:p>
    <w:p w14:paraId="057E9255" w14:textId="77777777" w:rsidR="00D8734E" w:rsidRDefault="00D8734E">
      <w:pPr>
        <w:spacing w:after="0" w:line="360" w:lineRule="auto"/>
      </w:pPr>
    </w:p>
    <w:p w14:paraId="63C08CDC" w14:textId="448828BB" w:rsidR="00D8734E" w:rsidRPr="002173B9" w:rsidRDefault="00D8734E">
      <w:pPr>
        <w:spacing w:after="0" w:line="360" w:lineRule="auto"/>
      </w:pPr>
      <w:r>
        <w:t xml:space="preserve">Adherence with corticosteroids in asthma has previously been assessed using prescription fill-refill data </w:t>
      </w:r>
      <w:r>
        <w:fldChar w:fldCharType="begin"/>
      </w:r>
      <w:r w:rsidR="00F91A31">
        <w:instrText xml:space="preserve"> ADDIN EN.CITE &lt;EndNote&gt;&lt;Cite&gt;&lt;Author&gt;Gamble&lt;/Author&gt;&lt;Year&gt;2009&lt;/Year&gt;&lt;RecNum&gt;20&lt;/RecNum&gt;&lt;DisplayText&gt;&lt;style face="superscript"&gt;6&lt;/style&gt;&lt;/DisplayText&gt;&lt;record&gt;&lt;rec-number&gt;20&lt;/rec-number&gt;&lt;foreign-keys&gt;&lt;key app="EN" db-id="pee209pevv2057etadqpdwsyfpzezpwrrsdw"&gt;20&lt;/key&gt;&lt;/foreign-keys&gt;&lt;ref-type name="Journal Article"&gt;17&lt;/ref-type&gt;&lt;contributors&gt;&lt;authors&gt;&lt;author&gt;Gamble, Jacqueline&lt;/author&gt;&lt;author&gt;Stevenson, Michael&lt;/author&gt;&lt;author&gt;McClean, Elizabeth&lt;/author&gt;&lt;author&gt;Heaney, Liam G&lt;/author&gt;&lt;/authors&gt;&lt;/contributors&gt;&lt;titles&gt;&lt;title&gt;The prevalence of nonadherence in difficult asthma&lt;/title&gt;&lt;secondary-title&gt;American journal of respiratory and critical care medicine&lt;/secondary-title&gt;&lt;/titles&gt;&lt;periodical&gt;&lt;full-title&gt;American journal of respiratory and critical care medicine&lt;/full-title&gt;&lt;/periodical&gt;&lt;pages&gt;817-822&lt;/pages&gt;&lt;volume&gt;180&lt;/volume&gt;&lt;number&gt;9&lt;/number&gt;&lt;dates&gt;&lt;year&gt;2009&lt;/year&gt;&lt;/dates&gt;&lt;isbn&gt;1073-449X&lt;/isbn&gt;&lt;urls&gt;&lt;/urls&gt;&lt;/record&gt;&lt;/Cite&gt;&lt;/EndNote&gt;</w:instrText>
      </w:r>
      <w:r>
        <w:fldChar w:fldCharType="separate"/>
      </w:r>
      <w:r w:rsidR="00F91A31" w:rsidRPr="00F91A31">
        <w:rPr>
          <w:noProof/>
          <w:vertAlign w:val="superscript"/>
        </w:rPr>
        <w:t>6</w:t>
      </w:r>
      <w:r>
        <w:fldChar w:fldCharType="end"/>
      </w:r>
      <w:r>
        <w:t>. R</w:t>
      </w:r>
      <w:r w:rsidRPr="002173B9">
        <w:t>epeat prescription data for the 6 months prior to the date of the LDSST were supplied by general practitioner</w:t>
      </w:r>
      <w:r>
        <w:t>s</w:t>
      </w:r>
      <w:r w:rsidRPr="002173B9">
        <w:t xml:space="preserve"> (GP)</w:t>
      </w:r>
      <w:r>
        <w:t xml:space="preserve"> of patients recruited from a single centre</w:t>
      </w:r>
      <w:r w:rsidRPr="002173B9">
        <w:t>.  Using the strength of inhaler prescribed, number of doses per inhaler (from manufacturers SPC) and prescribed dose, the minimum number of refills required by the patient in the 6 month period was calculated</w:t>
      </w:r>
      <w:r>
        <w:t xml:space="preserve"> and</w:t>
      </w:r>
      <w:r w:rsidRPr="002173B9">
        <w:t xml:space="preserve"> compared with the actual number of refills collected.</w:t>
      </w:r>
      <w:r w:rsidRPr="008F532D">
        <w:t xml:space="preserve"> </w:t>
      </w:r>
      <w:r>
        <w:t>For the statistically significant relationship(s), the effect of variation in the population adherence was calculated.</w:t>
      </w:r>
    </w:p>
    <w:p w14:paraId="4047E889" w14:textId="77777777" w:rsidR="00807F6B" w:rsidRDefault="00807F6B" w:rsidP="00F91A31">
      <w:pPr>
        <w:spacing w:line="360" w:lineRule="auto"/>
      </w:pPr>
    </w:p>
    <w:p w14:paraId="21B0A6E0" w14:textId="0C5342A5" w:rsidR="00807F6B" w:rsidRDefault="67FA5B61" w:rsidP="00F91A31">
      <w:pPr>
        <w:pStyle w:val="Heading2"/>
        <w:spacing w:line="360" w:lineRule="auto"/>
      </w:pPr>
      <w:r>
        <w:t xml:space="preserve">PASIC STUDY </w:t>
      </w:r>
    </w:p>
    <w:p w14:paraId="10FEAC1B" w14:textId="77777777" w:rsidR="00807F6B" w:rsidRPr="00807F6B" w:rsidRDefault="67FA5B61" w:rsidP="00F91A31">
      <w:pPr>
        <w:spacing w:line="360" w:lineRule="auto"/>
        <w:rPr>
          <w:b/>
        </w:rPr>
      </w:pPr>
      <w:r w:rsidRPr="67FA5B61">
        <w:rPr>
          <w:b/>
          <w:bCs/>
        </w:rPr>
        <w:t>Inclusion Criteria:</w:t>
      </w:r>
    </w:p>
    <w:p w14:paraId="151D3B4A" w14:textId="77777777" w:rsidR="00807F6B" w:rsidRDefault="67FA5B61" w:rsidP="00F91A31">
      <w:pPr>
        <w:spacing w:line="360" w:lineRule="auto"/>
      </w:pPr>
      <w:r>
        <w:t>Patient willing to take part</w:t>
      </w:r>
    </w:p>
    <w:p w14:paraId="1D783132" w14:textId="77777777" w:rsidR="00807F6B" w:rsidRDefault="67FA5B61" w:rsidP="00F91A31">
      <w:pPr>
        <w:spacing w:line="360" w:lineRule="auto"/>
      </w:pPr>
      <w:r>
        <w:t>COPD diagnosis by formal spirometry (spirometry result within the last 24 months)</w:t>
      </w:r>
    </w:p>
    <w:p w14:paraId="2703FE31" w14:textId="77777777" w:rsidR="00807F6B" w:rsidRDefault="67FA5B61" w:rsidP="00F91A31">
      <w:pPr>
        <w:spacing w:line="360" w:lineRule="auto"/>
      </w:pPr>
      <w:r>
        <w:t>Age over 18 to 80</w:t>
      </w:r>
    </w:p>
    <w:p w14:paraId="5F3B6C06" w14:textId="77777777" w:rsidR="00807F6B" w:rsidRDefault="67FA5B61" w:rsidP="00F91A31">
      <w:pPr>
        <w:spacing w:line="360" w:lineRule="auto"/>
      </w:pPr>
      <w:r>
        <w:t>Able to give Informed Consent</w:t>
      </w:r>
    </w:p>
    <w:p w14:paraId="05AC144D" w14:textId="77777777" w:rsidR="00807F6B" w:rsidRDefault="67FA5B61" w:rsidP="00F91A31">
      <w:pPr>
        <w:spacing w:line="360" w:lineRule="auto"/>
      </w:pPr>
      <w:r>
        <w:t>Regular Use of inhaled corticosteroids for over 12 months</w:t>
      </w:r>
    </w:p>
    <w:p w14:paraId="35937396" w14:textId="31A71E8F" w:rsidR="00B81B96" w:rsidRPr="00A51C0B" w:rsidRDefault="00807F6B" w:rsidP="00F91A31">
      <w:pPr>
        <w:spacing w:line="360" w:lineRule="auto"/>
      </w:pPr>
      <w:r>
        <w:t xml:space="preserve">High dose of inhaled corticosteroids as defined by &gt; 500mcg Fluticasone or its </w:t>
      </w:r>
      <w:r w:rsidRPr="00A51C0B">
        <w:t>equivalent</w:t>
      </w:r>
      <w:r w:rsidR="00A51C0B" w:rsidRPr="00A51C0B">
        <w:t xml:space="preserve"> dose of alternative ICS based on BTS guidelines</w:t>
      </w:r>
      <w:r w:rsidR="00A51C0B" w:rsidRPr="00A51C0B">
        <w:fldChar w:fldCharType="begin"/>
      </w:r>
      <w:r w:rsidR="00F91A31">
        <w:instrText xml:space="preserve"> ADDIN EN.CITE &lt;EndNote&gt;&lt;Cite&gt;&lt;Author&gt;Network&lt;/Author&gt;&lt;Year&gt;2014&lt;/Year&gt;&lt;RecNum&gt;94&lt;/RecNum&gt;&lt;DisplayText&gt;&lt;style face="superscript"&gt;7&lt;/style&gt;&lt;/DisplayText&gt;&lt;record&gt;&lt;rec-number&gt;94&lt;/rec-number&gt;&lt;foreign-keys&gt;&lt;key app="EN" db-id="psszexae9xfxzweazvnvz9zhwd0srt5rv0at" timestamp="1503047496"&gt;94&lt;/key&gt;&lt;/foreign-keys&gt;&lt;ref-type name="Journal Article"&gt;17&lt;/ref-type&gt;&lt;contributors&gt;&lt;authors&gt;&lt;author&gt;British Thoracic Society Scottish Intercollegiate Guidelines Network&lt;/author&gt;&lt;/authors&gt;&lt;/contributors&gt;&lt;titles&gt;&lt;title&gt;British guideline on the management of asthma&lt;/title&gt;&lt;secondary-title&gt;Thorax&lt;/secondary-title&gt;&lt;/titles&gt;&lt;periodical&gt;&lt;full-title&gt;Thorax&lt;/full-title&gt;&lt;abbr-1&gt;Thorax&lt;/abbr-1&gt;&lt;/periodical&gt;&lt;pages&gt;i1-i192&lt;/pages&gt;&lt;volume&gt;69&lt;/volume&gt;&lt;number&gt;Suppl 1&lt;/number&gt;&lt;dates&gt;&lt;year&gt;2014&lt;/year&gt;&lt;/dates&gt;&lt;isbn&gt;0040-6376&lt;/isbn&gt;&lt;urls&gt;&lt;/urls&gt;&lt;/record&gt;&lt;/Cite&gt;&lt;/EndNote&gt;</w:instrText>
      </w:r>
      <w:r w:rsidR="00A51C0B" w:rsidRPr="00A51C0B">
        <w:fldChar w:fldCharType="separate"/>
      </w:r>
      <w:r w:rsidR="00F91A31" w:rsidRPr="00F91A31">
        <w:rPr>
          <w:noProof/>
          <w:vertAlign w:val="superscript"/>
        </w:rPr>
        <w:t>7</w:t>
      </w:r>
      <w:r w:rsidR="00A51C0B" w:rsidRPr="00A51C0B">
        <w:fldChar w:fldCharType="end"/>
      </w:r>
      <w:r w:rsidR="00A51C0B" w:rsidRPr="00A51C0B">
        <w:t xml:space="preserve"> </w:t>
      </w:r>
      <w:r w:rsidRPr="00A51C0B">
        <w:t xml:space="preserve">. </w:t>
      </w:r>
    </w:p>
    <w:p w14:paraId="70219164" w14:textId="77777777" w:rsidR="00807F6B" w:rsidRPr="00807F6B" w:rsidRDefault="67FA5B61" w:rsidP="00F91A31">
      <w:pPr>
        <w:spacing w:line="360" w:lineRule="auto"/>
        <w:rPr>
          <w:b/>
        </w:rPr>
      </w:pPr>
      <w:r w:rsidRPr="67FA5B61">
        <w:rPr>
          <w:b/>
          <w:bCs/>
        </w:rPr>
        <w:t>Exclusion Criteria:</w:t>
      </w:r>
    </w:p>
    <w:p w14:paraId="52D3A555" w14:textId="77777777" w:rsidR="00807F6B" w:rsidRDefault="67FA5B61" w:rsidP="00F91A31">
      <w:pPr>
        <w:spacing w:line="360" w:lineRule="auto"/>
      </w:pPr>
      <w:r>
        <w:t>History of anaphylaxis to synacthen</w:t>
      </w:r>
    </w:p>
    <w:p w14:paraId="1C7A9F66" w14:textId="77777777" w:rsidR="00807F6B" w:rsidRDefault="67FA5B61" w:rsidP="00F91A31">
      <w:pPr>
        <w:spacing w:line="360" w:lineRule="auto"/>
      </w:pPr>
      <w:r>
        <w:t>History of adrenal disease</w:t>
      </w:r>
    </w:p>
    <w:p w14:paraId="2741C6A7" w14:textId="77777777" w:rsidR="00807F6B" w:rsidRDefault="67FA5B61" w:rsidP="00F91A31">
      <w:pPr>
        <w:spacing w:line="360" w:lineRule="auto"/>
      </w:pPr>
      <w:r>
        <w:t>On long term oral prednisolone or hydrocortisone or taken oral corticosteroid in the last 4 weeks</w:t>
      </w:r>
    </w:p>
    <w:p w14:paraId="216EA9CB" w14:textId="77777777" w:rsidR="00807F6B" w:rsidRDefault="67FA5B61" w:rsidP="00F91A31">
      <w:pPr>
        <w:spacing w:line="360" w:lineRule="auto"/>
      </w:pPr>
      <w:r>
        <w:t>Patients taking Nasal steroids</w:t>
      </w:r>
    </w:p>
    <w:p w14:paraId="2D74A245" w14:textId="77777777" w:rsidR="00807F6B" w:rsidRDefault="67FA5B61" w:rsidP="00F91A31">
      <w:pPr>
        <w:spacing w:line="360" w:lineRule="auto"/>
      </w:pPr>
      <w:r>
        <w:t>Participating in another study.</w:t>
      </w:r>
    </w:p>
    <w:p w14:paraId="6E81FC84" w14:textId="77777777" w:rsidR="00807F6B" w:rsidRDefault="67FA5B61" w:rsidP="00F91A31">
      <w:pPr>
        <w:spacing w:line="360" w:lineRule="auto"/>
      </w:pPr>
      <w:r>
        <w:t>Patients with a significant disease other than COPD; a significant disease is defined as a co-morbidity (respiratory and non-respiratory) which, in the opinion of the investigator, may</w:t>
      </w:r>
    </w:p>
    <w:p w14:paraId="0BC150CA" w14:textId="77777777" w:rsidR="00807F6B" w:rsidRDefault="67FA5B61" w:rsidP="00F91A31">
      <w:pPr>
        <w:pStyle w:val="ListParagraph"/>
        <w:numPr>
          <w:ilvl w:val="0"/>
          <w:numId w:val="1"/>
        </w:numPr>
        <w:spacing w:line="360" w:lineRule="auto"/>
      </w:pPr>
      <w:r>
        <w:t>Put the patient at risk because of participation in the study,</w:t>
      </w:r>
    </w:p>
    <w:p w14:paraId="1244FA2D" w14:textId="77777777" w:rsidR="00807F6B" w:rsidRDefault="67FA5B61" w:rsidP="00F91A31">
      <w:pPr>
        <w:pStyle w:val="ListParagraph"/>
        <w:numPr>
          <w:ilvl w:val="0"/>
          <w:numId w:val="1"/>
        </w:numPr>
        <w:spacing w:line="360" w:lineRule="auto"/>
      </w:pPr>
      <w:r>
        <w:t>Influence the results of the study, or</w:t>
      </w:r>
    </w:p>
    <w:p w14:paraId="7B3E4AF0" w14:textId="77777777" w:rsidR="00807F6B" w:rsidRDefault="67FA5B61" w:rsidP="00F91A31">
      <w:pPr>
        <w:pStyle w:val="ListParagraph"/>
        <w:numPr>
          <w:ilvl w:val="0"/>
          <w:numId w:val="1"/>
        </w:numPr>
        <w:spacing w:line="360" w:lineRule="auto"/>
      </w:pPr>
      <w:r>
        <w:t>Cause concern regarding the patient’s ability to participate in the study</w:t>
      </w:r>
    </w:p>
    <w:p w14:paraId="1FCDDB0A" w14:textId="77777777" w:rsidR="00807F6B" w:rsidRDefault="67FA5B61" w:rsidP="00F91A31">
      <w:pPr>
        <w:spacing w:line="360" w:lineRule="auto"/>
      </w:pPr>
      <w:r>
        <w:t>This would include patients with a significant diagnosis of pulmonary fibrosis or bronchiectasis.</w:t>
      </w:r>
    </w:p>
    <w:p w14:paraId="3758E03B" w14:textId="77777777" w:rsidR="00807F6B" w:rsidRDefault="67FA5B61" w:rsidP="00F91A31">
      <w:pPr>
        <w:spacing w:line="360" w:lineRule="auto"/>
      </w:pPr>
      <w:r>
        <w:lastRenderedPageBreak/>
        <w:t>Patients with a current diagnosis of asthma</w:t>
      </w:r>
    </w:p>
    <w:p w14:paraId="679F09DA" w14:textId="77777777" w:rsidR="00807F6B" w:rsidRDefault="67FA5B61" w:rsidP="00F91A31">
      <w:pPr>
        <w:spacing w:line="360" w:lineRule="auto"/>
      </w:pPr>
      <w:r>
        <w:t>Patients with active malignancy</w:t>
      </w:r>
    </w:p>
    <w:p w14:paraId="5B49E8E7" w14:textId="77777777" w:rsidR="00807F6B" w:rsidRDefault="67FA5B61" w:rsidP="00F91A31">
      <w:pPr>
        <w:spacing w:line="360" w:lineRule="auto"/>
      </w:pPr>
      <w:r>
        <w:t>Known active tuberculosis.</w:t>
      </w:r>
    </w:p>
    <w:p w14:paraId="3D78D7A9" w14:textId="77777777" w:rsidR="00807F6B" w:rsidRDefault="67FA5B61" w:rsidP="00F91A31">
      <w:pPr>
        <w:spacing w:line="360" w:lineRule="auto"/>
      </w:pPr>
      <w:r>
        <w:t>Patients who regularly use daytime oxygen therapy for more than one hour per day and in the investigator’s opinion will be unable to abstain from the use of oxygen therapy during clinic visits.</w:t>
      </w:r>
    </w:p>
    <w:p w14:paraId="5FF63DE4" w14:textId="77777777" w:rsidR="001A5083" w:rsidRDefault="67FA5B61" w:rsidP="00F91A31">
      <w:pPr>
        <w:spacing w:line="360" w:lineRule="auto"/>
      </w:pPr>
      <w:r>
        <w:t>Pregnancy</w:t>
      </w:r>
    </w:p>
    <w:p w14:paraId="6AFC9B3F" w14:textId="35C3708B" w:rsidR="003D6727" w:rsidRDefault="003D6727" w:rsidP="00F91A31">
      <w:pPr>
        <w:pStyle w:val="Heading1"/>
        <w:spacing w:line="360" w:lineRule="auto"/>
      </w:pPr>
      <w:r>
        <w:t>Recruitment sites and recruitment leads</w:t>
      </w:r>
    </w:p>
    <w:p w14:paraId="01EECD81" w14:textId="77777777" w:rsidR="003D6727" w:rsidRPr="003D6727" w:rsidRDefault="003D6727" w:rsidP="00F91A31">
      <w:pPr>
        <w:spacing w:line="360" w:lineRule="auto"/>
      </w:pPr>
      <w:r w:rsidRPr="003D6727">
        <w:t>The following UK recruiting centres and Principal Investigators were involved in the PASS study:</w:t>
      </w:r>
    </w:p>
    <w:p w14:paraId="414E7E91" w14:textId="77777777" w:rsidR="003D6727" w:rsidRPr="003D6727" w:rsidRDefault="003D6727" w:rsidP="00F91A31">
      <w:pPr>
        <w:spacing w:line="360" w:lineRule="auto"/>
      </w:pPr>
      <w:r w:rsidRPr="003D6727">
        <w:t>Alder Hey Children’s Hospital (Professor Rosalind Smyth), Arrowe Park Hospital (Dr David Lacy), Royal Manchester Children’s Hospital (Dr Clare Murray), Whiston Hospital (Dr Laweh Amegavie), East Sussex Hospital (Dr Kanumakala), Southport and Ormskirk Hospital (Dr Gardner), North Manchester Hospital (Dr Dasgupta), Blackburn Hospital (Dr Robertson), Macclesfield Hospital (Dr Ho), Countess of Chester Hospital (Dr Steven Bearey), West Sussex Hospital (Dr Matthews/Dr Linney), Wigan Hospital (Dr Velmurugan), Leeds General Infirmary (Dr Lee), Warrington Hospital (Dr Nick Wild), Preston Hospital (Dr Mahmood), Barrow in Furness Hospital (Dr Olabi), Bradford Hospital (Dr Moya), Oldham Hospital (Dr Prakash), North Tees Hospital (Dr Tuladhar), Leighton Hospital (Dr Ellison), Tameside Hospital (Dr Levy), Wolverhampton Hospital (Dr Raynor), Sheffield Children’s Hospital (Dr Wright), Doncaster Hospital (Dr Natarjan), Mid Yorkshire (Pinderfields) Hospital (Dr Jones), Huddersfield/Calderdale Hospital (Dr Garside), Queens Medical Centre Nottingham (Dr Bhatt), Stockport Hospital (Dr Cooper), Ayrshire Hospital (Dr Findlay/Dr Adams), Royal Cornwall Hospital (Dr Prendiville), Royal Hospital for Children, Glasgow (Dr Paton).</w:t>
      </w:r>
    </w:p>
    <w:p w14:paraId="7B5A5D10" w14:textId="77777777" w:rsidR="003D6727" w:rsidRPr="003D6727" w:rsidRDefault="003D6727" w:rsidP="00F91A31">
      <w:pPr>
        <w:spacing w:line="360" w:lineRule="auto"/>
      </w:pPr>
      <w:r w:rsidRPr="003D6727">
        <w:t xml:space="preserve"> The following UK recruiting centres and Principal Investigators were involved in the PASIC study:</w:t>
      </w:r>
    </w:p>
    <w:p w14:paraId="54B11E3B" w14:textId="77777777" w:rsidR="003D6727" w:rsidRPr="003D6727" w:rsidRDefault="003D6727" w:rsidP="00F91A31">
      <w:pPr>
        <w:spacing w:line="360" w:lineRule="auto"/>
      </w:pPr>
      <w:r w:rsidRPr="003D6727">
        <w:t xml:space="preserve">The Royal Liverpool &amp; Broadgreen University Hospital NHS Trust (Dr Amitav Ganguli), Manchester Evaluation  Unit: Wythenshawe Hospital, Manchester (Dr Dave Singh), The Royal Wolverhampton Hospitals NHS Trust: New Cross Hospital (Dr Lee Dowson), Medway NHS Foundation Trust: Medway Maritime Hospital (Dr Alisdair Stewart), The James Cook University Hospital (Dr Anur Guhan/ Dr Ramamurthy Sathyamurthy/ Dr Mustafa), Lancashire Teaching Hospitals NHS Foundation Trust (Dr P Marsden), North Tees and Hartlepool NHS Trust (Dr Richard Harrison), Freeman Hospital (Dr </w:t>
      </w:r>
      <w:r w:rsidRPr="003D6727">
        <w:lastRenderedPageBreak/>
        <w:t>Anthony de-Soyza), Countess of Chester Hospital (Dr Stephen Scott), Arrowe Park (Dr Nikki Stevenson), North Bristol NHS Trust (Prof Ann Millar), University Hospital North Durham (Dr Neil Munro), Princess Royal Hospital (Dr Moudgil), The York Hospital (Dr Rebecca Thomas), NHS Ayrshire and Arran (Dr Anur Guhan), University Hospitals of Morcambe Bay NHS Foundation Trust (Dr Tim Gatheral).</w:t>
      </w:r>
    </w:p>
    <w:p w14:paraId="7AD9DBC3" w14:textId="77777777" w:rsidR="00B66344" w:rsidRDefault="67FA5B61" w:rsidP="00F91A31">
      <w:pPr>
        <w:pStyle w:val="Heading2"/>
        <w:spacing w:line="360" w:lineRule="auto"/>
      </w:pPr>
      <w:r>
        <w:t>LDSST procedure and interpretation</w:t>
      </w:r>
    </w:p>
    <w:p w14:paraId="61953058" w14:textId="61CBE202" w:rsidR="00B66344" w:rsidRDefault="67FA5B61" w:rsidP="00F91A31">
      <w:pPr>
        <w:spacing w:line="360" w:lineRule="auto"/>
      </w:pPr>
      <w:r>
        <w:t xml:space="preserve">For all prospectively recruited patients (PASS and all PASIC patients), the LDSST procedure was undertaken as follows: all tests were commenced before 11:00am and as close to 7:00am as possible.  Participants were not fasted, but any corticosteroid medicine was withheld on the morning of the LDSST until test completion.  For patients in the PASS cohort treated with alternate day oral corticosteroid, the LDSST was performed on the day a dose was due to be given, withholding it until completion of the LDSST.  </w:t>
      </w:r>
    </w:p>
    <w:p w14:paraId="336C8E6A" w14:textId="67AD9D05" w:rsidR="00B66344" w:rsidRDefault="00B66344" w:rsidP="00F91A31">
      <w:pPr>
        <w:spacing w:line="360" w:lineRule="auto"/>
      </w:pPr>
      <w:r>
        <w:t>An indwelling venous catheter was sited following the application of local anaesthetic cream.  A blood sample was collected (time 0). One hundred and twenty five micrograms (0.5ml) Synacthen (Alliance, Chippenham, UK) 0.25mg/ml solution was added to 500ml 0.9%Nacl (final concentration of 250nanograms/ml) and agitated.  For PASS, five hundred nanograms/1.73m</w:t>
      </w:r>
      <w:r w:rsidRPr="006A57EA">
        <w:rPr>
          <w:vertAlign w:val="superscript"/>
        </w:rPr>
        <w:t xml:space="preserve">2 </w:t>
      </w:r>
      <w:r>
        <w:t>was administered as a bolus injection directly into the cannula and samples were collected 15, 25 and 35 minutes following Synacthen administration</w:t>
      </w:r>
      <w:r>
        <w:fldChar w:fldCharType="begin"/>
      </w:r>
      <w:r w:rsidR="00F91A31">
        <w:instrText xml:space="preserve"> ADDIN EN.CITE &lt;EndNote&gt;&lt;Cite&gt;&lt;Author&gt;Blair&lt;/Author&gt;&lt;Year&gt;2014&lt;/Year&gt;&lt;RecNum&gt;34&lt;/RecNum&gt;&lt;DisplayText&gt;&lt;style face="superscript"&gt;8&lt;/style&gt;&lt;/DisplayText&gt;&lt;record&gt;&lt;rec-number&gt;34&lt;/rec-number&gt;&lt;foreign-keys&gt;&lt;key app="EN" db-id="psszexae9xfxzweazvnvz9zhwd0srt5rv0at" timestamp="1484044314"&gt;34&lt;/key&gt;&lt;/foreign-keys&gt;&lt;ref-type name="Journal Article"&gt;17&lt;/ref-type&gt;&lt;contributors&gt;&lt;authors&gt;&lt;author&gt;Blair, Joanne&lt;/author&gt;&lt;author&gt;Lancaster, Gillian&lt;/author&gt;&lt;author&gt;Titman, Andrew&lt;/author&gt;&lt;author&gt;Peak, Matthew&lt;/author&gt;&lt;author&gt;Newlands, Paul&lt;/author&gt;&lt;author&gt;Collingwood, Catherine&lt;/author&gt;&lt;author&gt;Chesters, Christine&lt;/author&gt;&lt;author&gt;Moorcroft, Teresa&lt;/author&gt;&lt;author&gt;Wallin, Naomi&lt;/author&gt;&lt;author&gt;Hawcutt, Daniel&lt;/author&gt;&lt;/authors&gt;&lt;/contributors&gt;&lt;titles&gt;&lt;title&gt;Early morning salivary cortisol and cortisone, and adrenal responses to a simplified low‐dose short Synacthen test in children with asthma&lt;/title&gt;&lt;secondary-title&gt;Clinical endocrinology&lt;/secondary-title&gt;&lt;/titles&gt;&lt;periodical&gt;&lt;full-title&gt;Clinical endocrinology&lt;/full-title&gt;&lt;/periodical&gt;&lt;pages&gt;376-383&lt;/pages&gt;&lt;volume&gt;80&lt;/volume&gt;&lt;number&gt;3&lt;/number&gt;&lt;dates&gt;&lt;year&gt;2014&lt;/year&gt;&lt;/dates&gt;&lt;isbn&gt;1365-2265&lt;/isbn&gt;&lt;urls&gt;&lt;/urls&gt;&lt;/record&gt;&lt;/Cite&gt;&lt;/EndNote&gt;</w:instrText>
      </w:r>
      <w:r>
        <w:fldChar w:fldCharType="separate"/>
      </w:r>
      <w:r w:rsidR="00F91A31" w:rsidRPr="00F91A31">
        <w:rPr>
          <w:noProof/>
          <w:vertAlign w:val="superscript"/>
        </w:rPr>
        <w:t>8</w:t>
      </w:r>
      <w:r>
        <w:fldChar w:fldCharType="end"/>
      </w:r>
      <w:r>
        <w:t>.  A Synacthen dose calculator was used at all sites to ensure consistency of dosing at different study locations. For PASIC, 1 microgram of Synacthen was used</w:t>
      </w:r>
      <w:r>
        <w:fldChar w:fldCharType="begin"/>
      </w:r>
      <w:r w:rsidR="00F91A31">
        <w:instrText xml:space="preserve"> ADDIN EN.CITE &lt;EndNote&gt;&lt;Cite&gt;&lt;Author&gt;Magnotti&lt;/Author&gt;&lt;Year&gt;2008&lt;/Year&gt;&lt;RecNum&gt;430&lt;/RecNum&gt;&lt;DisplayText&gt;&lt;style face="superscript"&gt;9,10&lt;/style&gt;&lt;/DisplayText&gt;&lt;record&gt;&lt;rec-number&gt;430&lt;/rec-number&gt;&lt;foreign-keys&gt;&lt;key app="EN" db-id="pee209pevv2057etadqpdwsyfpzezpwrrsdw" timestamp="1474535565"&gt;430&lt;/key&gt;&lt;/foreign-keys&gt;&lt;ref-type name="Journal Article"&gt;17&lt;/ref-type&gt;&lt;contributors&gt;&lt;authors&gt;&lt;author&gt;Magnotti, Michael&lt;/author&gt;&lt;author&gt;Shimshi, Mona&lt;/author&gt;&lt;/authors&gt;&lt;/contributors&gt;&lt;titles&gt;&lt;title&gt;Diagnosing Adrenal Insufficiency: Which Test is Best—The 1-μg or the 250-μg Cosyntropin Stimulation Test?&lt;/title&gt;&lt;secondary-title&gt;Endocrine Practice&lt;/secondary-title&gt;&lt;/titles&gt;&lt;periodical&gt;&lt;full-title&gt;Endocrine Practice&lt;/full-title&gt;&lt;/periodical&gt;&lt;pages&gt;233-238&lt;/pages&gt;&lt;volume&gt;14&lt;/volume&gt;&lt;number&gt;2&lt;/number&gt;&lt;dates&gt;&lt;year&gt;2008&lt;/year&gt;&lt;/dates&gt;&lt;isbn&gt;1530-891X&lt;/isbn&gt;&lt;urls&gt;&lt;/urls&gt;&lt;/record&gt;&lt;/Cite&gt;&lt;Cite&gt;&lt;Author&gt;Lekkakou&lt;/Author&gt;&lt;Year&gt;2013&lt;/Year&gt;&lt;RecNum&gt;431&lt;/RecNum&gt;&lt;record&gt;&lt;rec-number&gt;431&lt;/rec-number&gt;&lt;foreign-keys&gt;&lt;key app="EN" db-id="pee209pevv2057etadqpdwsyfpzezpwrrsdw" timestamp="1474535746"&gt;431&lt;/key&gt;&lt;/foreign-keys&gt;&lt;ref-type name="Journal Article"&gt;17&lt;/ref-type&gt;&lt;contributors&gt;&lt;authors&gt;&lt;author&gt;Lekkakou, Leoni&lt;/author&gt;&lt;author&gt;Tzanela, Marinella&lt;/author&gt;&lt;author&gt;Lymberi, Maria&lt;/author&gt;&lt;author&gt;Consoulas, Christos&lt;/author&gt;&lt;author&gt;Tsagarakis, Stylianos&lt;/author&gt;&lt;author&gt;Koutsilieris, Michael&lt;/author&gt;&lt;/authors&gt;&lt;/contributors&gt;&lt;titles&gt;&lt;title&gt;Effects of gender and age on hypothalamic–pituitary–adrenal reactivity after pharmacological challenge with low‐dose 1‐μg ACTH test: a prospective study in healthy adults&lt;/title&gt;&lt;secondary-title&gt;Clinical endocrinology&lt;/secondary-title&gt;&lt;/titles&gt;&lt;periodical&gt;&lt;full-title&gt;Clinical endocrinology&lt;/full-title&gt;&lt;/periodical&gt;&lt;pages&gt;683-688&lt;/pages&gt;&lt;volume&gt;79&lt;/volume&gt;&lt;number&gt;5&lt;/number&gt;&lt;dates&gt;&lt;year&gt;2013&lt;/year&gt;&lt;/dates&gt;&lt;isbn&gt;1365-2265&lt;/isbn&gt;&lt;urls&gt;&lt;/urls&gt;&lt;/record&gt;&lt;/Cite&gt;&lt;/EndNote&gt;</w:instrText>
      </w:r>
      <w:r>
        <w:fldChar w:fldCharType="separate"/>
      </w:r>
      <w:r w:rsidR="00F91A31" w:rsidRPr="00F91A31">
        <w:rPr>
          <w:noProof/>
          <w:vertAlign w:val="superscript"/>
        </w:rPr>
        <w:t>9,10</w:t>
      </w:r>
      <w:r>
        <w:fldChar w:fldCharType="end"/>
      </w:r>
      <w:r>
        <w:t>, with samples collected at 0, 30 and 60 minutes after injection with low dose Synacthen. For PASS and PASIC, all participating hospitals were required to be experienced in undertaking a LDSST, and have guidelines for management of anaphylaxis.</w:t>
      </w:r>
    </w:p>
    <w:p w14:paraId="722DD1C9" w14:textId="77777777" w:rsidR="009958FA" w:rsidRDefault="67FA5B61" w:rsidP="00F91A31">
      <w:pPr>
        <w:spacing w:line="360" w:lineRule="auto"/>
      </w:pPr>
      <w:r>
        <w:t xml:space="preserve">For retrospectively recruited patients (subset of PASS patients only), the LDSST was undertaken using the clinical protocol from the recruiting hospital. The dose of Synacthen used, timing of the LDSST and timing of sample collection were all recorded.  </w:t>
      </w:r>
    </w:p>
    <w:p w14:paraId="62D6076D" w14:textId="101AC103" w:rsidR="009958FA" w:rsidRPr="0081006A" w:rsidRDefault="009958FA" w:rsidP="00F91A31">
      <w:pPr>
        <w:spacing w:line="360" w:lineRule="auto"/>
      </w:pPr>
      <w:r w:rsidRPr="0081006A">
        <w:t>Identification of the correct threshold for diagnosis of adrenal suppression in children is difficult, as there are limited normative data. For paediatric populations, a peak cortisol of 350nmol/L has been shown to be the most sensitive and specific at determining adrenal insufficiency</w:t>
      </w:r>
      <w:r w:rsidRPr="0081006A">
        <w:fldChar w:fldCharType="begin"/>
      </w:r>
      <w:r w:rsidR="00F91A31">
        <w:instrText xml:space="preserve"> ADDIN EN.CITE &lt;EndNote&gt;&lt;Cite&gt;&lt;Author&gt;Blair&lt;/Author&gt;&lt;Year&gt;2014&lt;/Year&gt;&lt;RecNum&gt;34&lt;/RecNum&gt;&lt;DisplayText&gt;&lt;style face="superscript"&gt;8&lt;/style&gt;&lt;/DisplayText&gt;&lt;record&gt;&lt;rec-number&gt;34&lt;/rec-number&gt;&lt;foreign-keys&gt;&lt;key app="EN" db-id="psszexae9xfxzweazvnvz9zhwd0srt5rv0at" timestamp="1484044314"&gt;34&lt;/key&gt;&lt;/foreign-keys&gt;&lt;ref-type name="Journal Article"&gt;17&lt;/ref-type&gt;&lt;contributors&gt;&lt;authors&gt;&lt;author&gt;Blair, Joanne&lt;/author&gt;&lt;author&gt;Lancaster, Gillian&lt;/author&gt;&lt;author&gt;Titman, Andrew&lt;/author&gt;&lt;author&gt;Peak, Matthew&lt;/author&gt;&lt;author&gt;Newlands, Paul&lt;/author&gt;&lt;author&gt;Collingwood, Catherine&lt;/author&gt;&lt;author&gt;Chesters, Christine&lt;/author&gt;&lt;author&gt;Moorcroft, Teresa&lt;/author&gt;&lt;author&gt;Wallin, Naomi&lt;/author&gt;&lt;author&gt;Hawcutt, Daniel&lt;/author&gt;&lt;/authors&gt;&lt;/contributors&gt;&lt;titles&gt;&lt;title&gt;Early morning salivary cortisol and cortisone, and adrenal responses to a simplified low‐dose short Synacthen test in children with asthma&lt;/title&gt;&lt;secondary-title&gt;Clinical endocrinology&lt;/secondary-title&gt;&lt;/titles&gt;&lt;periodical&gt;&lt;full-title&gt;Clinical endocrinology&lt;/full-title&gt;&lt;/periodical&gt;&lt;pages&gt;376-383&lt;/pages&gt;&lt;volume&gt;80&lt;/volume&gt;&lt;number&gt;3&lt;/number&gt;&lt;dates&gt;&lt;year&gt;2014&lt;/year&gt;&lt;/dates&gt;&lt;isbn&gt;1365-2265&lt;/isbn&gt;&lt;urls&gt;&lt;/urls&gt;&lt;/record&gt;&lt;/Cite&gt;&lt;/EndNote&gt;</w:instrText>
      </w:r>
      <w:r w:rsidRPr="0081006A">
        <w:fldChar w:fldCharType="separate"/>
      </w:r>
      <w:r w:rsidR="00F91A31" w:rsidRPr="00F91A31">
        <w:rPr>
          <w:noProof/>
          <w:vertAlign w:val="superscript"/>
        </w:rPr>
        <w:t>8</w:t>
      </w:r>
      <w:r w:rsidRPr="0081006A">
        <w:fldChar w:fldCharType="end"/>
      </w:r>
      <w:r w:rsidRPr="0081006A">
        <w:t>, although a threshold of 500nmol/L is still widely used clinically.  For adults, 500nmol/L is the accepted threshold. In a detailed review of symptomatic cases of adrenal insufficiency during ICS use in childhood asthma</w:t>
      </w:r>
      <w:r w:rsidRPr="0081006A">
        <w:fldChar w:fldCharType="begin"/>
      </w:r>
      <w:r w:rsidR="00F91A31">
        <w:instrText xml:space="preserve"> ADDIN EN.CITE &lt;EndNote&gt;&lt;Cite&gt;&lt;Author&gt;Blair&lt;/Author&gt;&lt;Year&gt;2014&lt;/Year&gt;&lt;RecNum&gt;34&lt;/RecNum&gt;&lt;DisplayText&gt;&lt;style face="superscript"&gt;8&lt;/style&gt;&lt;/DisplayText&gt;&lt;record&gt;&lt;rec-number&gt;34&lt;/rec-number&gt;&lt;foreign-keys&gt;&lt;key app="EN" db-id="psszexae9xfxzweazvnvz9zhwd0srt5rv0at" timestamp="1484044314"&gt;34&lt;/key&gt;&lt;/foreign-keys&gt;&lt;ref-type name="Journal Article"&gt;17&lt;/ref-type&gt;&lt;contributors&gt;&lt;authors&gt;&lt;author&gt;Blair, Joanne&lt;/author&gt;&lt;author&gt;Lancaster, Gillian&lt;/author&gt;&lt;author&gt;Titman, Andrew&lt;/author&gt;&lt;author&gt;Peak, Matthew&lt;/author&gt;&lt;author&gt;Newlands, Paul&lt;/author&gt;&lt;author&gt;Collingwood, Catherine&lt;/author&gt;&lt;author&gt;Chesters, Christine&lt;/author&gt;&lt;author&gt;Moorcroft, Teresa&lt;/author&gt;&lt;author&gt;Wallin, Naomi&lt;/author&gt;&lt;author&gt;Hawcutt, Daniel&lt;/author&gt;&lt;/authors&gt;&lt;/contributors&gt;&lt;titles&gt;&lt;title&gt;Early morning salivary cortisol and cortisone, and adrenal responses to a simplified low‐dose short Synacthen test in children with asthma&lt;/title&gt;&lt;secondary-title&gt;Clinical endocrinology&lt;/secondary-title&gt;&lt;/titles&gt;&lt;periodical&gt;&lt;full-title&gt;Clinical endocrinology&lt;/full-title&gt;&lt;/periodical&gt;&lt;pages&gt;376-383&lt;/pages&gt;&lt;volume&gt;80&lt;/volume&gt;&lt;number&gt;3&lt;/number&gt;&lt;dates&gt;&lt;year&gt;2014&lt;/year&gt;&lt;/dates&gt;&lt;isbn&gt;1365-2265&lt;/isbn&gt;&lt;urls&gt;&lt;/urls&gt;&lt;/record&gt;&lt;/Cite&gt;&lt;/EndNote&gt;</w:instrText>
      </w:r>
      <w:r w:rsidRPr="0081006A">
        <w:fldChar w:fldCharType="separate"/>
      </w:r>
      <w:r w:rsidR="00F91A31" w:rsidRPr="00F91A31">
        <w:rPr>
          <w:noProof/>
          <w:vertAlign w:val="superscript"/>
        </w:rPr>
        <w:t>8</w:t>
      </w:r>
      <w:r w:rsidRPr="0081006A">
        <w:fldChar w:fldCharType="end"/>
      </w:r>
      <w:r w:rsidRPr="0081006A">
        <w:t xml:space="preserve">, there were no published cases in patients with peak cortisol concentrations </w:t>
      </w:r>
      <w:r w:rsidRPr="0081006A">
        <w:lastRenderedPageBreak/>
        <w:t xml:space="preserve">&gt;350nmol/L in either standard dose or low dose tests. For this study, we have therefore used &lt;350nmol/L as our primary outcome for children within the PASS study populations, and &lt;500nmol/L for the adults in the PASIC study.  </w:t>
      </w:r>
    </w:p>
    <w:p w14:paraId="47E7C0BB" w14:textId="4273CFA3" w:rsidR="009958FA" w:rsidRDefault="67FA5B61" w:rsidP="00F91A31">
      <w:pPr>
        <w:spacing w:line="360" w:lineRule="auto"/>
      </w:pPr>
      <w:r>
        <w:t xml:space="preserve">All of the NHS trusts participating in this study analysed their own cortisol samples.  All NHS laboratories subscribe to an external quality assurance (EQA) scheme, through the UK National Quality Assurance Scheme (UKNEQAS), to ensure consistency and robust analytical quality. </w:t>
      </w:r>
    </w:p>
    <w:p w14:paraId="466A4A1B" w14:textId="77777777" w:rsidR="0081006A" w:rsidRDefault="67FA5B61" w:rsidP="00F91A31">
      <w:pPr>
        <w:pStyle w:val="Heading2"/>
        <w:spacing w:line="360" w:lineRule="auto"/>
      </w:pPr>
      <w:r>
        <w:t>Sample size calculation</w:t>
      </w:r>
    </w:p>
    <w:p w14:paraId="6BCCEC6C" w14:textId="48D2F881" w:rsidR="0081006A" w:rsidRDefault="0081006A" w:rsidP="00F91A31">
      <w:pPr>
        <w:spacing w:line="360" w:lineRule="auto"/>
      </w:pPr>
      <w:r w:rsidRPr="00C53256">
        <w:t xml:space="preserve">The target sample size for the primary analysis cohort was 500.  To arrive at this estimate we considered two possible scenarios: (a) an odds ratio (OR) of 3 for association between a rare variant (minor allele frequency=5%) and the primary outcome; (b) an OR of 2 for association between a common variant (minor allele frequency=20%) and the primary outcome.  A liberal type 1 error rate of 5% was assumed on the basis that </w:t>
      </w:r>
      <w:r w:rsidR="00245DD6">
        <w:t>validation</w:t>
      </w:r>
      <w:r w:rsidRPr="00C53256">
        <w:t xml:space="preserve"> cohorts would also be analysed to help eliminate false positives arising from the initial analyses. Assuming first of all prevalence of impaired adrenal response in children with asthma using inhaled steroid to be 17%  (based on a the lower end of the range of previously published rates of adrenal suppression</w:t>
      </w:r>
      <w:r w:rsidRPr="00C53256">
        <w:fldChar w:fldCharType="begin"/>
      </w:r>
      <w:r w:rsidR="00F91A31">
        <w:instrText xml:space="preserve"> ADDIN EN.CITE &lt;EndNote&gt;&lt;Cite&gt;&lt;Author&gt;Hawcutt&lt;/Author&gt;&lt;Year&gt;2015&lt;/Year&gt;&lt;RecNum&gt;11&lt;/RecNum&gt;&lt;DisplayText&gt;&lt;style face="superscript"&gt;2&lt;/style&gt;&lt;/DisplayText&gt;&lt;record&gt;&lt;rec-number&gt;11&lt;/rec-number&gt;&lt;foreign-keys&gt;&lt;key app="EN" db-id="psszexae9xfxzweazvnvz9zhwd0srt5rv0at" timestamp="1479215586"&gt;11&lt;/key&gt;&lt;/foreign-keys&gt;&lt;ref-type name="Journal Article"&gt;17&lt;/ref-type&gt;&lt;contributors&gt;&lt;authors&gt;&lt;author&gt;Hawcutt, Daniel B&lt;/author&gt;&lt;author&gt;Jorgensen, Andrea L&lt;/author&gt;&lt;author&gt;Wallin, Naomi&lt;/author&gt;&lt;author&gt;Thompson, Ben&lt;/author&gt;&lt;author&gt;Peak, Matthew&lt;/author&gt;&lt;author&gt;Lacy, David&lt;/author&gt;&lt;author&gt;Newland, Paul&lt;/author&gt;&lt;author&gt;Didi, Mo&lt;/author&gt;&lt;author&gt;Couriel, Jon&lt;/author&gt;&lt;author&gt;Blair, Jo&lt;/author&gt;&lt;/authors&gt;&lt;/contributors&gt;&lt;titles&gt;&lt;title&gt;Adrenal responses to a low‐dose short synacthen test in children with asthma&lt;/title&gt;&lt;secondary-title&gt;Clinical endocrinology&lt;/secondary-title&gt;&lt;/titles&gt;&lt;periodical&gt;&lt;full-title&gt;Clinical endocrinology&lt;/full-title&gt;&lt;/periodical&gt;&lt;pages&gt;648-656&lt;/pages&gt;&lt;volume&gt;82&lt;/volume&gt;&lt;number&gt;5&lt;/number&gt;&lt;dates&gt;&lt;year&gt;2015&lt;/year&gt;&lt;/dates&gt;&lt;isbn&gt;1365-2265&lt;/isbn&gt;&lt;urls&gt;&lt;/urls&gt;&lt;/record&gt;&lt;/Cite&gt;&lt;/EndNote&gt;</w:instrText>
      </w:r>
      <w:r w:rsidRPr="00C53256">
        <w:fldChar w:fldCharType="separate"/>
      </w:r>
      <w:r w:rsidR="00F91A31" w:rsidRPr="00F91A31">
        <w:rPr>
          <w:noProof/>
          <w:vertAlign w:val="superscript"/>
        </w:rPr>
        <w:t>2</w:t>
      </w:r>
      <w:r w:rsidRPr="00C53256">
        <w:fldChar w:fldCharType="end"/>
      </w:r>
      <w:r w:rsidRPr="00C53256">
        <w:t>) the power for scenario a) was calculated as 77% and the power for scenario b) was calculated as 75%. If the prevalence was 40% (the upper end of the range of published estimates</w:t>
      </w:r>
      <w:r w:rsidRPr="00C53256">
        <w:fldChar w:fldCharType="begin"/>
      </w:r>
      <w:r w:rsidR="00F91A31">
        <w:instrText xml:space="preserve"> ADDIN EN.CITE &lt;EndNote&gt;&lt;Cite&gt;&lt;Author&gt;Hawcutt&lt;/Author&gt;&lt;Year&gt;2015&lt;/Year&gt;&lt;RecNum&gt;11&lt;/RecNum&gt;&lt;DisplayText&gt;&lt;style face="superscript"&gt;2&lt;/style&gt;&lt;/DisplayText&gt;&lt;record&gt;&lt;rec-number&gt;11&lt;/rec-number&gt;&lt;foreign-keys&gt;&lt;key app="EN" db-id="psszexae9xfxzweazvnvz9zhwd0srt5rv0at" timestamp="1479215586"&gt;11&lt;/key&gt;&lt;/foreign-keys&gt;&lt;ref-type name="Journal Article"&gt;17&lt;/ref-type&gt;&lt;contributors&gt;&lt;authors&gt;&lt;author&gt;Hawcutt, Daniel B&lt;/author&gt;&lt;author&gt;Jorgensen, Andrea L&lt;/author&gt;&lt;author&gt;Wallin, Naomi&lt;/author&gt;&lt;author&gt;Thompson, Ben&lt;/author&gt;&lt;author&gt;Peak, Matthew&lt;/author&gt;&lt;author&gt;Lacy, David&lt;/author&gt;&lt;author&gt;Newland, Paul&lt;/author&gt;&lt;author&gt;Didi, Mo&lt;/author&gt;&lt;author&gt;Couriel, Jon&lt;/author&gt;&lt;author&gt;Blair, Jo&lt;/author&gt;&lt;/authors&gt;&lt;/contributors&gt;&lt;titles&gt;&lt;title&gt;Adrenal responses to a low‐dose short synacthen test in children with asthma&lt;/title&gt;&lt;secondary-title&gt;Clinical endocrinology&lt;/secondary-title&gt;&lt;/titles&gt;&lt;periodical&gt;&lt;full-title&gt;Clinical endocrinology&lt;/full-title&gt;&lt;/periodical&gt;&lt;pages&gt;648-656&lt;/pages&gt;&lt;volume&gt;82&lt;/volume&gt;&lt;number&gt;5&lt;/number&gt;&lt;dates&gt;&lt;year&gt;2015&lt;/year&gt;&lt;/dates&gt;&lt;isbn&gt;1365-2265&lt;/isbn&gt;&lt;urls&gt;&lt;/urls&gt;&lt;/record&gt;&lt;/Cite&gt;&lt;/EndNote&gt;</w:instrText>
      </w:r>
      <w:r w:rsidRPr="00C53256">
        <w:fldChar w:fldCharType="separate"/>
      </w:r>
      <w:r w:rsidR="00F91A31" w:rsidRPr="00F91A31">
        <w:rPr>
          <w:noProof/>
          <w:vertAlign w:val="superscript"/>
        </w:rPr>
        <w:t>2</w:t>
      </w:r>
      <w:r w:rsidRPr="00C53256">
        <w:fldChar w:fldCharType="end"/>
      </w:r>
      <w:r w:rsidRPr="00C53256">
        <w:t>), the power increased to 91% for both scenarios.  A prevalence of 20% would ensure power of at least 80% in both scenarios.</w:t>
      </w:r>
      <w:r w:rsidRPr="00B2721D">
        <w:t xml:space="preserve"> </w:t>
      </w:r>
      <w:r>
        <w:t xml:space="preserve">    </w:t>
      </w:r>
    </w:p>
    <w:p w14:paraId="7EF67E40" w14:textId="6BEBB9F6" w:rsidR="00AA2475" w:rsidRPr="00AA2475" w:rsidRDefault="00AA2475" w:rsidP="00F91A31">
      <w:pPr>
        <w:pStyle w:val="Heading2"/>
        <w:spacing w:line="360" w:lineRule="auto"/>
      </w:pPr>
      <w:r w:rsidRPr="00AA2475">
        <w:t>DNA Storage and Extraction</w:t>
      </w:r>
    </w:p>
    <w:p w14:paraId="44C4C639" w14:textId="0614D6D9" w:rsidR="00D33977" w:rsidRDefault="00AA2475" w:rsidP="00F91A31">
      <w:pPr>
        <w:spacing w:line="360" w:lineRule="auto"/>
      </w:pPr>
      <w:r w:rsidRPr="00F91A31">
        <w:t>For all cohorts, patient samples for DNA were collected as whole blood (EDTA) or salivary samples (2ml saliva). DNA collection and extraction for saliva samples has been described previously</w:t>
      </w:r>
      <w:r w:rsidRPr="00F91A31">
        <w:fldChar w:fldCharType="begin"/>
      </w:r>
      <w:r w:rsidRPr="00F91A31">
        <w:instrText xml:space="preserve"> ADDIN EN.CITE &lt;EndNote&gt;&lt;Cite&gt;&lt;Author&gt;Hawcutt&lt;/Author&gt;&lt;Year&gt;2014&lt;/Year&gt;&lt;RecNum&gt;8&lt;/RecNum&gt;&lt;DisplayText&gt;&lt;style face="superscript"&gt;11&lt;/style&gt;&lt;/DisplayText&gt;&lt;record&gt;&lt;rec-number&gt;8&lt;/rec-number&gt;&lt;foreign-keys&gt;&lt;key app="EN" db-id="pee209pevv2057etadqpdwsyfpzezpwrrsdw" timestamp="1405677902"&gt;8&lt;/key&gt;&lt;/foreign-keys&gt;&lt;ref-type name="Journal Article"&gt;17&lt;/ref-type&gt;&lt;contributors&gt;&lt;authors&gt;&lt;author&gt;Hawcutt, DB&lt;/author&gt;&lt;author&gt;Ghani, AA&lt;/author&gt;&lt;author&gt;Sutton, L&lt;/author&gt;&lt;author&gt;Jorgensen, A&lt;/author&gt;&lt;author&gt;Zhang, E&lt;/author&gt;&lt;author&gt;Murray, M&lt;/author&gt;&lt;author&gt;Michael, H&lt;/author&gt;&lt;author&gt;Peart, I&lt;/author&gt;&lt;author&gt;Smyth, RL&lt;/author&gt;&lt;author&gt;Pirmohamed, M&lt;/author&gt;&lt;/authors&gt;&lt;/contributors&gt;&lt;titles&gt;&lt;title&gt;Pharmacogenetics of warfarin in a paediatric population: time in therapeutic range, initial and stable dosing and adverse effects&lt;/title&gt;&lt;secondary-title&gt;The pharmacogenomics journal&lt;/secondary-title&gt;&lt;/titles&gt;&lt;periodical&gt;&lt;full-title&gt;The pharmacogenomics journal&lt;/full-title&gt;&lt;/periodical&gt;&lt;dates&gt;&lt;year&gt;2014&lt;/year&gt;&lt;/dates&gt;&lt;isbn&gt;1470-269X&lt;/isbn&gt;&lt;urls&gt;&lt;/urls&gt;&lt;electronic-resource-num&gt;10.1038/tpj.2014.31&lt;/electronic-resource-num&gt;&lt;/record&gt;&lt;/Cite&gt;&lt;/EndNote&gt;</w:instrText>
      </w:r>
      <w:r w:rsidRPr="00F91A31">
        <w:fldChar w:fldCharType="separate"/>
      </w:r>
      <w:r w:rsidRPr="00F91A31">
        <w:rPr>
          <w:noProof/>
          <w:vertAlign w:val="superscript"/>
        </w:rPr>
        <w:t>11</w:t>
      </w:r>
      <w:r w:rsidRPr="00F91A31">
        <w:fldChar w:fldCharType="end"/>
      </w:r>
      <w:r w:rsidRPr="00F91A31">
        <w:t xml:space="preserve">. EDTA blood samples were stored at -20°C and, following defrosting, genomic DNA was extracted using the Chemagen whole-blood DNA extraction kit on the Chemagic Magnetic Separation Module I according to the manufacturer's protocol (PerkinElmer chemagen Technologie GmbH, Baesweiler, Germany; www.chemagen.com). </w:t>
      </w:r>
    </w:p>
    <w:p w14:paraId="4C9FB70C" w14:textId="28D091C2" w:rsidR="00F91A31" w:rsidRDefault="00D33977" w:rsidP="00F91A31">
      <w:pPr>
        <w:rPr>
          <w:rStyle w:val="Heading2Char"/>
        </w:rPr>
      </w:pPr>
      <w:r w:rsidRPr="00F91A31">
        <w:rPr>
          <w:rStyle w:val="Heading2Char"/>
        </w:rPr>
        <w:t>Genotyping quality control (QC) and Imputati</w:t>
      </w:r>
      <w:r>
        <w:rPr>
          <w:rStyle w:val="Heading2Char"/>
        </w:rPr>
        <w:t>on</w:t>
      </w:r>
    </w:p>
    <w:p w14:paraId="422AC3A2" w14:textId="43F51F13" w:rsidR="00D33977" w:rsidRDefault="00D33977" w:rsidP="00F91A31">
      <w:pPr>
        <w:spacing w:line="360" w:lineRule="auto"/>
      </w:pPr>
      <w:r>
        <w:t>Patients within the primary analysis cohort were excluded from association analyses if any of the following criteria were met: a) gender as determined by the “Sex Check” function within PLINK</w:t>
      </w:r>
      <w:r w:rsidR="00F91A31">
        <w:t xml:space="preserve"> </w:t>
      </w:r>
      <w:r w:rsidR="00F91A31">
        <w:fldChar w:fldCharType="begin"/>
      </w:r>
      <w:r w:rsidR="00F91A31">
        <w:instrText xml:space="preserve"> ADDIN EN.CITE &lt;EndNote&gt;&lt;Cite&gt;&lt;Author&gt;Purcell&lt;/Author&gt;&lt;Year&gt;2007&lt;/Year&gt;&lt;RecNum&gt;317&lt;/RecNum&gt;&lt;DisplayText&gt;&lt;style face="superscript"&gt;12&lt;/style&gt;&lt;/DisplayText&gt;&lt;record&gt;&lt;rec-number&gt;317&lt;/rec-number&gt;&lt;foreign-keys&gt;&lt;key app="EN" db-id="psszexae9xfxzweazvnvz9zhwd0srt5rv0at" timestamp="1516026628"&gt;317&lt;/key&gt;&lt;/foreign-keys&gt;&lt;ref-type name="Journal Article"&gt;17&lt;/ref-type&gt;&lt;contributors&gt;&lt;authors&gt;&lt;author&gt;Purcell, Shaun&lt;/author&gt;&lt;author&gt;Neale, Benjamin&lt;/author&gt;&lt;author&gt;Todd-Brown, Kathe&lt;/author&gt;&lt;author&gt;Thomas, Lori&lt;/author&gt;&lt;author&gt;Ferreira, Manuel AR&lt;/author&gt;&lt;author&gt;Bender, David&lt;/author&gt;&lt;author&gt;Maller, Julian&lt;/author&gt;&lt;author&gt;Sklar, Pamela&lt;/author&gt;&lt;author&gt;De Bakker, Paul IW&lt;/author&gt;&lt;author&gt;Daly, Mark J&lt;/author&gt;&lt;/authors&gt;&lt;/contributors&gt;&lt;titles&gt;&lt;title&gt;PLINK: a tool set for whole-genome association and population-based linkage analyses&lt;/title&gt;&lt;secondary-title&gt;The American Journal of Human Genetics&lt;/secondary-title&gt;&lt;/titles&gt;&lt;periodical&gt;&lt;full-title&gt;The American Journal of Human Genetics&lt;/full-title&gt;&lt;/periodical&gt;&lt;pages&gt;559-575&lt;/pages&gt;&lt;volume&gt;81&lt;/volume&gt;&lt;number&gt;3&lt;/number&gt;&lt;dates&gt;&lt;year&gt;2007&lt;/year&gt;&lt;/dates&gt;&lt;isbn&gt;0002-9297&lt;/isbn&gt;&lt;urls&gt;&lt;/urls&gt;&lt;/record&gt;&lt;/Cite&gt;&lt;/EndNote&gt;</w:instrText>
      </w:r>
      <w:r w:rsidR="00F91A31">
        <w:fldChar w:fldCharType="separate"/>
      </w:r>
      <w:r w:rsidR="00F91A31" w:rsidRPr="00F91A31">
        <w:rPr>
          <w:noProof/>
          <w:vertAlign w:val="superscript"/>
        </w:rPr>
        <w:t>12</w:t>
      </w:r>
      <w:r w:rsidR="00F91A31">
        <w:fldChar w:fldCharType="end"/>
      </w:r>
      <w:r w:rsidR="00834CDA">
        <w:t xml:space="preserve"> </w:t>
      </w:r>
      <w:r>
        <w:t xml:space="preserve">differed from that reported in the clinical data, b) the genotype call-rate was &lt;90%, c) the pairwise identity by descent (IBD) statistic of relatedness was &gt;0.1875 (patient with lowest call rate of the </w:t>
      </w:r>
      <w:r>
        <w:lastRenderedPageBreak/>
        <w:t>pair excluded); d) the heterozygosity rate is more than three standard deviations from the mean heterozygosity rate; or e) Principle component analysis (PCA) (using SNPRelate</w:t>
      </w:r>
      <w:r w:rsidR="00834CDA">
        <w:t xml:space="preserve"> </w:t>
      </w:r>
      <w:r w:rsidR="00F91A31">
        <w:fldChar w:fldCharType="begin"/>
      </w:r>
      <w:r w:rsidR="00F91A31">
        <w:instrText xml:space="preserve"> ADDIN EN.CITE &lt;EndNote&gt;&lt;Cite&gt;&lt;Author&gt;Zheng&lt;/Author&gt;&lt;Year&gt;2012&lt;/Year&gt;&lt;RecNum&gt;318&lt;/RecNum&gt;&lt;DisplayText&gt;&lt;style face="superscript"&gt;13&lt;/style&gt;&lt;/DisplayText&gt;&lt;record&gt;&lt;rec-number&gt;318&lt;/rec-number&gt;&lt;foreign-keys&gt;&lt;key app="EN" db-id="psszexae9xfxzweazvnvz9zhwd0srt5rv0at" timestamp="1516026692"&gt;318&lt;/key&gt;&lt;/foreign-keys&gt;&lt;ref-type name="Journal Article"&gt;17&lt;/ref-type&gt;&lt;contributors&gt;&lt;authors&gt;&lt;author&gt;Zheng, Xiuwen&lt;/author&gt;&lt;author&gt;Levine, David&lt;/author&gt;&lt;author&gt;Shen, Jess&lt;/author&gt;&lt;author&gt;Gogarten, Stephanie M&lt;/author&gt;&lt;author&gt;Laurie, Cathy&lt;/author&gt;&lt;author&gt;Weir, Bruce S&lt;/author&gt;&lt;/authors&gt;&lt;/contributors&gt;&lt;titles&gt;&lt;title&gt;A high-performance computing toolset for relatedness and principal component analysis of SNP data&lt;/title&gt;&lt;secondary-title&gt;Bioinformatics&lt;/secondary-title&gt;&lt;/titles&gt;&lt;periodical&gt;&lt;full-title&gt;Bioinformatics&lt;/full-title&gt;&lt;/periodical&gt;&lt;pages&gt;3326-3328&lt;/pages&gt;&lt;volume&gt;28&lt;/volume&gt;&lt;number&gt;24&lt;/number&gt;&lt;dates&gt;&lt;year&gt;2012&lt;/year&gt;&lt;/dates&gt;&lt;isbn&gt;1460-2059&lt;/isbn&gt;&lt;urls&gt;&lt;/urls&gt;&lt;/record&gt;&lt;/Cite&gt;&lt;/EndNote&gt;</w:instrText>
      </w:r>
      <w:r w:rsidR="00F91A31">
        <w:fldChar w:fldCharType="separate"/>
      </w:r>
      <w:r w:rsidR="00F91A31" w:rsidRPr="00F91A31">
        <w:rPr>
          <w:noProof/>
          <w:vertAlign w:val="superscript"/>
        </w:rPr>
        <w:t>13</w:t>
      </w:r>
      <w:r w:rsidR="00F91A31">
        <w:fldChar w:fldCharType="end"/>
      </w:r>
      <w:r w:rsidR="00F91A31">
        <w:t xml:space="preserve"> </w:t>
      </w:r>
      <w:r>
        <w:t>in R v3.01) demonstrated that the individual’s ethnicity did not cluster with the HapMap CEU (Utah residents with European ancestry) population (this QC step was performed upon merging with the WTCCC dataset as explained below). SNPs genotyped in the primary analysis cohort were excluded if any of the following criteria were met: a) minor allele frequency (MAF) &lt;0.01, b) there was deviation from Hardy-Weinberg Equilibrium (HWE), taken as p&lt;0.0001 or c) genotyping success rate was &lt;95%.  All QC analysis was undertaken using PLINK v1.07</w:t>
      </w:r>
      <w:r w:rsidR="00834CDA">
        <w:t xml:space="preserve"> </w:t>
      </w:r>
      <w:r w:rsidR="00F91A31">
        <w:fldChar w:fldCharType="begin"/>
      </w:r>
      <w:r w:rsidR="00F91A31">
        <w:instrText xml:space="preserve"> ADDIN EN.CITE &lt;EndNote&gt;&lt;Cite&gt;&lt;Author&gt;Purcell&lt;/Author&gt;&lt;Year&gt;2007&lt;/Year&gt;&lt;RecNum&gt;317&lt;/RecNum&gt;&lt;DisplayText&gt;&lt;style face="superscript"&gt;12&lt;/style&gt;&lt;/DisplayText&gt;&lt;record&gt;&lt;rec-number&gt;317&lt;/rec-number&gt;&lt;foreign-keys&gt;&lt;key app="EN" db-id="psszexae9xfxzweazvnvz9zhwd0srt5rv0at" timestamp="1516026628"&gt;317&lt;/key&gt;&lt;/foreign-keys&gt;&lt;ref-type name="Journal Article"&gt;17&lt;/ref-type&gt;&lt;contributors&gt;&lt;authors&gt;&lt;author&gt;Purcell, Shaun&lt;/author&gt;&lt;author&gt;Neale, Benjamin&lt;/author&gt;&lt;author&gt;Todd-Brown, Kathe&lt;/author&gt;&lt;author&gt;Thomas, Lori&lt;/author&gt;&lt;author&gt;Ferreira, Manuel AR&lt;/author&gt;&lt;author&gt;Bender, David&lt;/author&gt;&lt;author&gt;Maller, Julian&lt;/author&gt;&lt;author&gt;Sklar, Pamela&lt;/author&gt;&lt;author&gt;De Bakker, Paul IW&lt;/author&gt;&lt;author&gt;Daly, Mark J&lt;/author&gt;&lt;/authors&gt;&lt;/contributors&gt;&lt;titles&gt;&lt;title&gt;PLINK: a tool set for whole-genome association and population-based linkage analyses&lt;/title&gt;&lt;secondary-title&gt;The American Journal of Human Genetics&lt;/secondary-title&gt;&lt;/titles&gt;&lt;periodical&gt;&lt;full-title&gt;The American Journal of Human Genetics&lt;/full-title&gt;&lt;/periodical&gt;&lt;pages&gt;559-575&lt;/pages&gt;&lt;volume&gt;81&lt;/volume&gt;&lt;number&gt;3&lt;/number&gt;&lt;dates&gt;&lt;year&gt;2007&lt;/year&gt;&lt;/dates&gt;&lt;isbn&gt;0002-9297&lt;/isbn&gt;&lt;urls&gt;&lt;/urls&gt;&lt;/record&gt;&lt;/Cite&gt;&lt;/EndNote&gt;</w:instrText>
      </w:r>
      <w:r w:rsidR="00F91A31">
        <w:fldChar w:fldCharType="separate"/>
      </w:r>
      <w:r w:rsidR="00F91A31" w:rsidRPr="00F91A31">
        <w:rPr>
          <w:noProof/>
          <w:vertAlign w:val="superscript"/>
        </w:rPr>
        <w:t>12</w:t>
      </w:r>
      <w:r w:rsidR="00F91A31">
        <w:fldChar w:fldCharType="end"/>
      </w:r>
      <w:r>
        <w:t xml:space="preserve"> unless otherwise stated. The same SNP quality control criteria were also applied to the WTCCC and both of the validation cohorts.</w:t>
      </w:r>
    </w:p>
    <w:p w14:paraId="48AC5471" w14:textId="0C4801DA" w:rsidR="00AA2475" w:rsidRPr="00F91A31" w:rsidRDefault="00D33977" w:rsidP="00F91A31">
      <w:pPr>
        <w:spacing w:line="360" w:lineRule="auto"/>
      </w:pPr>
      <w:r>
        <w:t>The overlapping SNPs in the primary analysis cohort genotypes with WTCCC dataset were merged. Before merging, any A/T and G/C SNPs were removed to avoid strand flip issues. The merged dataset was then subject to SNP phasing using SHAPEIT</w:t>
      </w:r>
      <w:r w:rsidR="00834CDA">
        <w:t xml:space="preserve"> </w:t>
      </w:r>
      <w:r w:rsidR="00080D88">
        <w:fldChar w:fldCharType="begin"/>
      </w:r>
      <w:r w:rsidR="00080D88">
        <w:instrText xml:space="preserve"> ADDIN EN.CITE &lt;EndNote&gt;&lt;Cite&gt;&lt;Author&gt;Delaneau&lt;/Author&gt;&lt;Year&gt;2012&lt;/Year&gt;&lt;RecNum&gt;319&lt;/RecNum&gt;&lt;DisplayText&gt;&lt;style face="superscript"&gt;14&lt;/style&gt;&lt;/DisplayText&gt;&lt;record&gt;&lt;rec-number&gt;319&lt;/rec-number&gt;&lt;foreign-keys&gt;&lt;key app="EN" db-id="psszexae9xfxzweazvnvz9zhwd0srt5rv0at" timestamp="1516028696"&gt;319&lt;/key&gt;&lt;/foreign-keys&gt;&lt;ref-type name="Journal Article"&gt;17&lt;/ref-type&gt;&lt;contributors&gt;&lt;authors&gt;&lt;author&gt;Delaneau, Olivier&lt;/author&gt;&lt;author&gt;Marchini, Jonathan&lt;/author&gt;&lt;author&gt;Zagury, Jean-François&lt;/author&gt;&lt;/authors&gt;&lt;/contributors&gt;&lt;titles&gt;&lt;title&gt;A linear complexity phasing method for thousands of genomes&lt;/title&gt;&lt;secondary-title&gt;Nature methods&lt;/secondary-title&gt;&lt;/titles&gt;&lt;periodical&gt;&lt;full-title&gt;Nature methods&lt;/full-title&gt;&lt;/periodical&gt;&lt;pages&gt;179-181&lt;/pages&gt;&lt;volume&gt;9&lt;/volume&gt;&lt;number&gt;2&lt;/number&gt;&lt;dates&gt;&lt;year&gt;2012&lt;/year&gt;&lt;/dates&gt;&lt;isbn&gt;1548-7091&lt;/isbn&gt;&lt;urls&gt;&lt;/urls&gt;&lt;/record&gt;&lt;/Cite&gt;&lt;/EndNote&gt;</w:instrText>
      </w:r>
      <w:r w:rsidR="00080D88">
        <w:fldChar w:fldCharType="separate"/>
      </w:r>
      <w:r w:rsidR="00080D88" w:rsidRPr="00080D88">
        <w:rPr>
          <w:noProof/>
          <w:vertAlign w:val="superscript"/>
        </w:rPr>
        <w:t>14</w:t>
      </w:r>
      <w:r w:rsidR="00080D88">
        <w:fldChar w:fldCharType="end"/>
      </w:r>
      <w:r>
        <w:t xml:space="preserve"> and imputation using IMPUTE2</w:t>
      </w:r>
      <w:r w:rsidR="00834CDA">
        <w:t xml:space="preserve"> </w:t>
      </w:r>
      <w:r w:rsidR="00080D88">
        <w:fldChar w:fldCharType="begin"/>
      </w:r>
      <w:r w:rsidR="00080D88">
        <w:instrText xml:space="preserve"> ADDIN EN.CITE &lt;EndNote&gt;&lt;Cite&gt;&lt;Author&gt;Howie&lt;/Author&gt;&lt;Year&gt;2011&lt;/Year&gt;&lt;RecNum&gt;320&lt;/RecNum&gt;&lt;DisplayText&gt;&lt;style face="superscript"&gt;15,16&lt;/style&gt;&lt;/DisplayText&gt;&lt;record&gt;&lt;rec-number&gt;320&lt;/rec-number&gt;&lt;foreign-keys&gt;&lt;key app="EN" db-id="psszexae9xfxzweazvnvz9zhwd0srt5rv0at" timestamp="1516028743"&gt;320&lt;/key&gt;&lt;/foreign-keys&gt;&lt;ref-type name="Journal Article"&gt;17&lt;/ref-type&gt;&lt;contributors&gt;&lt;authors&gt;&lt;author&gt;Howie, Bryan&lt;/author&gt;&lt;author&gt;Marchini, Jonathan&lt;/author&gt;&lt;author&gt;Stephens, Matthew&lt;/author&gt;&lt;/authors&gt;&lt;/contributors&gt;&lt;titles&gt;&lt;title&gt;Genotype imputation with thousands of genomes&lt;/title&gt;&lt;secondary-title&gt;G3: Genes, Genomes, Genetics&lt;/secondary-title&gt;&lt;/titles&gt;&lt;periodical&gt;&lt;full-title&gt;G3: Genes, Genomes, Genetics&lt;/full-title&gt;&lt;/periodical&gt;&lt;pages&gt;457-470&lt;/pages&gt;&lt;volume&gt;1&lt;/volume&gt;&lt;number&gt;6&lt;/number&gt;&lt;dates&gt;&lt;year&gt;2011&lt;/year&gt;&lt;/dates&gt;&lt;isbn&gt;2160-1836&lt;/isbn&gt;&lt;urls&gt;&lt;/urls&gt;&lt;/record&gt;&lt;/Cite&gt;&lt;Cite&gt;&lt;Author&gt;Howie&lt;/Author&gt;&lt;Year&gt;2009&lt;/Year&gt;&lt;RecNum&gt;321&lt;/RecNum&gt;&lt;record&gt;&lt;rec-number&gt;321&lt;/rec-number&gt;&lt;foreign-keys&gt;&lt;key app="EN" db-id="psszexae9xfxzweazvnvz9zhwd0srt5rv0at" timestamp="1516028781"&gt;321&lt;/key&gt;&lt;/foreign-keys&gt;&lt;ref-type name="Journal Article"&gt;17&lt;/ref-type&gt;&lt;contributors&gt;&lt;authors&gt;&lt;author&gt;Howie, Bryan N&lt;/author&gt;&lt;author&gt;Donnelly, Peter&lt;/author&gt;&lt;author&gt;Marchini, Jonathan&lt;/author&gt;&lt;/authors&gt;&lt;/contributors&gt;&lt;titles&gt;&lt;title&gt;A flexible and accurate genotype imputation method for the next generation of genome-wide association studies&lt;/title&gt;&lt;secondary-title&gt;PLoS genetics&lt;/secondary-title&gt;&lt;/titles&gt;&lt;periodical&gt;&lt;full-title&gt;PLoS genetics&lt;/full-title&gt;&lt;/periodical&gt;&lt;pages&gt;e1000529&lt;/pages&gt;&lt;volume&gt;5&lt;/volume&gt;&lt;number&gt;6&lt;/number&gt;&lt;dates&gt;&lt;year&gt;2009&lt;/year&gt;&lt;/dates&gt;&lt;isbn&gt;1553-7404&lt;/isbn&gt;&lt;urls&gt;&lt;/urls&gt;&lt;/record&gt;&lt;/Cite&gt;&lt;/EndNote&gt;</w:instrText>
      </w:r>
      <w:r w:rsidR="00080D88">
        <w:fldChar w:fldCharType="separate"/>
      </w:r>
      <w:r w:rsidR="00080D88" w:rsidRPr="00080D88">
        <w:rPr>
          <w:noProof/>
          <w:vertAlign w:val="superscript"/>
        </w:rPr>
        <w:t>15,16</w:t>
      </w:r>
      <w:r w:rsidR="00080D88">
        <w:fldChar w:fldCharType="end"/>
      </w:r>
      <w:r>
        <w:t xml:space="preserve"> being undertaken using the 1000 genome phase 3 reference panel (March 2012 release). After imputation, imputed SNPs with INFO score (which indicated imputation quality) &lt;0.5 and MAF &lt;0.01 were removed from the subsequent genome-wide analysis.</w:t>
      </w:r>
    </w:p>
    <w:p w14:paraId="1956D164" w14:textId="7D60745B" w:rsidR="006868E7" w:rsidRDefault="006868E7" w:rsidP="00080D88">
      <w:pPr>
        <w:pStyle w:val="Heading2"/>
        <w:spacing w:line="360" w:lineRule="auto"/>
      </w:pPr>
      <w:r>
        <w:t>Statistical Analysis</w:t>
      </w:r>
    </w:p>
    <w:p w14:paraId="785CCFBA" w14:textId="68B0576D" w:rsidR="006868E7" w:rsidRDefault="00834CDA">
      <w:pPr>
        <w:spacing w:line="360" w:lineRule="auto"/>
      </w:pPr>
      <w:r>
        <w:t>In</w:t>
      </w:r>
      <w:r w:rsidR="006868E7">
        <w:t xml:space="preserve"> the primary analysis cohort, </w:t>
      </w:r>
      <w:r>
        <w:t>t</w:t>
      </w:r>
      <w:r w:rsidR="006868E7">
        <w:t>o test for association</w:t>
      </w:r>
      <w:r>
        <w:t>,</w:t>
      </w:r>
      <w:r w:rsidR="006868E7">
        <w:t xml:space="preserve"> regression model</w:t>
      </w:r>
      <w:r>
        <w:t>s</w:t>
      </w:r>
      <w:r w:rsidR="006868E7">
        <w:t xml:space="preserve"> assuming an additive genetic</w:t>
      </w:r>
      <w:r w:rsidR="006868E7" w:rsidRPr="7E629D3E">
        <w:t xml:space="preserve"> </w:t>
      </w:r>
      <w:r w:rsidR="006868E7">
        <w:t>model w</w:t>
      </w:r>
      <w:r>
        <w:t>ere</w:t>
      </w:r>
      <w:r w:rsidR="006868E7">
        <w:t xml:space="preserve"> fitted in SNPtest</w:t>
      </w:r>
      <w:r>
        <w:t xml:space="preserve"> using each SNP as a covariate in an independent model</w:t>
      </w:r>
      <w:r w:rsidR="006868E7" w:rsidRPr="7E629D3E">
        <w:t>.</w:t>
      </w:r>
      <w:r w:rsidR="006868E7">
        <w:t xml:space="preserve"> To adjust for population substructure we included up to five principal components as covariates in this genome-wide analysis, subject to the principal components being significantly associated with the outcome univariately (p&lt;0.05). If no principal components were significantly associated with the outcome, the first two principal components were included as covariates in genome-wide analysis. Previously in Hawcutt et al. (2015)</w:t>
      </w:r>
      <w:r w:rsidR="006868E7">
        <w:fldChar w:fldCharType="begin"/>
      </w:r>
      <w:r w:rsidR="00F91A31">
        <w:instrText xml:space="preserve"> ADDIN EN.CITE &lt;EndNote&gt;&lt;Cite&gt;&lt;Author&gt;Hawcutt&lt;/Author&gt;&lt;Year&gt;2015&lt;/Year&gt;&lt;RecNum&gt;11&lt;/RecNum&gt;&lt;DisplayText&gt;&lt;style face="superscript"&gt;2&lt;/style&gt;&lt;/DisplayText&gt;&lt;record&gt;&lt;rec-number&gt;11&lt;/rec-number&gt;&lt;foreign-keys&gt;&lt;key app="EN" db-id="psszexae9xfxzweazvnvz9zhwd0srt5rv0at" timestamp="1479215586"&gt;11&lt;/key&gt;&lt;/foreign-keys&gt;&lt;ref-type name="Journal Article"&gt;17&lt;/ref-type&gt;&lt;contributors&gt;&lt;authors&gt;&lt;author&gt;Hawcutt, Daniel B&lt;/author&gt;&lt;author&gt;Jorgensen, Andrea L&lt;/author&gt;&lt;author&gt;Wallin, Naomi&lt;/author&gt;&lt;author&gt;Thompson, Ben&lt;/author&gt;&lt;author&gt;Peak, Matthew&lt;/author&gt;&lt;author&gt;Lacy, David&lt;/author&gt;&lt;author&gt;Newland, Paul&lt;/author&gt;&lt;author&gt;Didi, Mo&lt;/author&gt;&lt;author&gt;Couriel, Jon&lt;/author&gt;&lt;author&gt;Blair, Jo&lt;/author&gt;&lt;/authors&gt;&lt;/contributors&gt;&lt;titles&gt;&lt;title&gt;Adrenal responses to a low‐dose short synacthen test in children with asthma&lt;/title&gt;&lt;secondary-title&gt;Clinical endocrinology&lt;/secondary-title&gt;&lt;/titles&gt;&lt;periodical&gt;&lt;full-title&gt;Clinical endocrinology&lt;/full-title&gt;&lt;/periodical&gt;&lt;pages&gt;648-656&lt;/pages&gt;&lt;volume&gt;82&lt;/volume&gt;&lt;number&gt;5&lt;/number&gt;&lt;dates&gt;&lt;year&gt;2015&lt;/year&gt;&lt;/dates&gt;&lt;isbn&gt;1365-2265&lt;/isbn&gt;&lt;urls&gt;&lt;/urls&gt;&lt;/record&gt;&lt;/Cite&gt;&lt;/EndNote&gt;</w:instrText>
      </w:r>
      <w:r w:rsidR="006868E7">
        <w:fldChar w:fldCharType="separate"/>
      </w:r>
      <w:r w:rsidR="00F91A31" w:rsidRPr="00F91A31">
        <w:rPr>
          <w:noProof/>
          <w:vertAlign w:val="superscript"/>
        </w:rPr>
        <w:t>2</w:t>
      </w:r>
      <w:r w:rsidR="006868E7">
        <w:fldChar w:fldCharType="end"/>
      </w:r>
      <w:r w:rsidR="006868E7" w:rsidRPr="7E629D3E">
        <w:t xml:space="preserve">, </w:t>
      </w:r>
      <w:r w:rsidR="006868E7">
        <w:t xml:space="preserve">the </w:t>
      </w:r>
      <w:r w:rsidR="006868E7" w:rsidRPr="00DC3266">
        <w:t xml:space="preserve">cumulative dose </w:t>
      </w:r>
      <w:r w:rsidR="006868E7">
        <w:t xml:space="preserve">in the </w:t>
      </w:r>
      <w:r w:rsidR="006868E7" w:rsidRPr="00DC3266">
        <w:t>past 6</w:t>
      </w:r>
      <w:r w:rsidR="006868E7" w:rsidRPr="7E629D3E">
        <w:t xml:space="preserve"> </w:t>
      </w:r>
      <w:r w:rsidR="006868E7">
        <w:t>months was identified as significantly associated with impaired peak cortisol (see supplementary data section).  However, due to the inclusion of WTCCC in the control group</w:t>
      </w:r>
      <w:r w:rsidR="006868E7" w:rsidRPr="7E629D3E">
        <w:t xml:space="preserve">, </w:t>
      </w:r>
      <w:r w:rsidR="006868E7">
        <w:t>cumulative dose could not be adjusted for in the genome-wide analysis of binary outcomes.</w:t>
      </w:r>
      <w:r w:rsidR="006868E7" w:rsidRPr="7E629D3E">
        <w:t xml:space="preserve"> </w:t>
      </w:r>
    </w:p>
    <w:p w14:paraId="1B99F867" w14:textId="7D87390E" w:rsidR="006868E7" w:rsidRDefault="006868E7">
      <w:pPr>
        <w:spacing w:line="360" w:lineRule="auto"/>
      </w:pPr>
      <w:r>
        <w:t>Secondary analyses were also undertaken within the primary analysis cohort to test for association with peak cortisol levels and baseline cortisol levels, both as continuous phenotypes. Baseline cortisol level data were logarithmically transformed to achieve normality</w:t>
      </w:r>
      <w:r w:rsidRPr="7E629D3E">
        <w:t xml:space="preserve">. </w:t>
      </w:r>
      <w:r>
        <w:t>Tests for association between each SNP in turn and phenotype were</w:t>
      </w:r>
      <w:r w:rsidRPr="7E629D3E">
        <w:t xml:space="preserve"> </w:t>
      </w:r>
      <w:r w:rsidRPr="000A1EE3">
        <w:t xml:space="preserve">undertaken </w:t>
      </w:r>
      <w:r>
        <w:t xml:space="preserve">by fitting linear regression models in </w:t>
      </w:r>
      <w:r w:rsidRPr="000A1EE3">
        <w:t>SNP</w:t>
      </w:r>
      <w:r>
        <w:t>t</w:t>
      </w:r>
      <w:r w:rsidRPr="000A1EE3">
        <w:t>est</w:t>
      </w:r>
      <w:r w:rsidRPr="7E629D3E">
        <w:t xml:space="preserve">, </w:t>
      </w:r>
      <w:r>
        <w:t>again with two</w:t>
      </w:r>
      <w:r w:rsidRPr="000A1EE3">
        <w:t xml:space="preserve"> principle components </w:t>
      </w:r>
      <w:r>
        <w:t xml:space="preserve">included as </w:t>
      </w:r>
      <w:r w:rsidRPr="000A1EE3">
        <w:t>covariates</w:t>
      </w:r>
      <w:r>
        <w:t xml:space="preserve">. A covariate to adjust for total corticosteroid dose and age was also included in the regression models for peak and baseline </w:t>
      </w:r>
      <w:r>
        <w:lastRenderedPageBreak/>
        <w:t>phenotypes respectively</w:t>
      </w:r>
      <w:r w:rsidRPr="7E629D3E">
        <w:t>.</w:t>
      </w:r>
      <w:r>
        <w:t xml:space="preserve"> These covariates were chosen based on our previous findings</w:t>
      </w:r>
      <w:r>
        <w:fldChar w:fldCharType="begin"/>
      </w:r>
      <w:r w:rsidR="00F91A31">
        <w:instrText xml:space="preserve"> ADDIN EN.CITE &lt;EndNote&gt;&lt;Cite&gt;&lt;Author&gt;Hawcutt&lt;/Author&gt;&lt;Year&gt;2015&lt;/Year&gt;&lt;RecNum&gt;11&lt;/RecNum&gt;&lt;DisplayText&gt;&lt;style face="superscript"&gt;2&lt;/style&gt;&lt;/DisplayText&gt;&lt;record&gt;&lt;rec-number&gt;11&lt;/rec-number&gt;&lt;foreign-keys&gt;&lt;key app="EN" db-id="psszexae9xfxzweazvnvz9zhwd0srt5rv0at" timestamp="1479215586"&gt;11&lt;/key&gt;&lt;/foreign-keys&gt;&lt;ref-type name="Journal Article"&gt;17&lt;/ref-type&gt;&lt;contributors&gt;&lt;authors&gt;&lt;author&gt;Hawcutt, Daniel B&lt;/author&gt;&lt;author&gt;Jorgensen, Andrea L&lt;/author&gt;&lt;author&gt;Wallin, Naomi&lt;/author&gt;&lt;author&gt;Thompson, Ben&lt;/author&gt;&lt;author&gt;Peak, Matthew&lt;/author&gt;&lt;author&gt;Lacy, David&lt;/author&gt;&lt;author&gt;Newland, Paul&lt;/author&gt;&lt;author&gt;Didi, Mo&lt;/author&gt;&lt;author&gt;Couriel, Jon&lt;/author&gt;&lt;author&gt;Blair, Jo&lt;/author&gt;&lt;/authors&gt;&lt;/contributors&gt;&lt;titles&gt;&lt;title&gt;Adrenal responses to a low‐dose short synacthen test in children with asthma&lt;/title&gt;&lt;secondary-title&gt;Clinical endocrinology&lt;/secondary-title&gt;&lt;/titles&gt;&lt;periodical&gt;&lt;full-title&gt;Clinical endocrinology&lt;/full-title&gt;&lt;/periodical&gt;&lt;pages&gt;648-656&lt;/pages&gt;&lt;volume&gt;82&lt;/volume&gt;&lt;number&gt;5&lt;/number&gt;&lt;dates&gt;&lt;year&gt;2015&lt;/year&gt;&lt;/dates&gt;&lt;isbn&gt;1365-2265&lt;/isbn&gt;&lt;urls&gt;&lt;/urls&gt;&lt;/record&gt;&lt;/Cite&gt;&lt;/EndNote&gt;</w:instrText>
      </w:r>
      <w:r>
        <w:fldChar w:fldCharType="separate"/>
      </w:r>
      <w:r w:rsidR="00F91A31" w:rsidRPr="00F91A31">
        <w:rPr>
          <w:noProof/>
          <w:vertAlign w:val="superscript"/>
        </w:rPr>
        <w:t>2</w:t>
      </w:r>
      <w:r>
        <w:fldChar w:fldCharType="end"/>
      </w:r>
      <w:r w:rsidRPr="7E629D3E">
        <w:t xml:space="preserve">. </w:t>
      </w:r>
      <w:r>
        <w:t xml:space="preserve"> In all analyses, as an additive genetic model was assumed, all odds ratios reflect the comparison between heterozygotes versus wild-type homozygotes.</w:t>
      </w:r>
    </w:p>
    <w:p w14:paraId="779837EB" w14:textId="5016DB38" w:rsidR="003F495F" w:rsidRDefault="006868E7" w:rsidP="00080D88">
      <w:pPr>
        <w:pStyle w:val="Heading2"/>
        <w:spacing w:line="360" w:lineRule="auto"/>
      </w:pPr>
      <w:r>
        <w:t xml:space="preserve">Selection of genes for </w:t>
      </w:r>
      <w:r w:rsidR="00245DD6">
        <w:t>validation</w:t>
      </w:r>
    </w:p>
    <w:p w14:paraId="3E3D1623" w14:textId="17E4DF65" w:rsidR="006868E7" w:rsidRDefault="006868E7">
      <w:pPr>
        <w:spacing w:line="360" w:lineRule="auto"/>
      </w:pPr>
      <w:r>
        <w:t>Any SNPs located within genes (including all promoter and intronic regions) identified in the primary analysis cohort, with a p value &lt;1x10</w:t>
      </w:r>
      <w:r w:rsidRPr="7E629D3E">
        <w:rPr>
          <w:vertAlign w:val="superscript"/>
        </w:rPr>
        <w:t>-6</w:t>
      </w:r>
      <w:r>
        <w:t xml:space="preserve"> for association with any of the phenotypes were considered for </w:t>
      </w:r>
      <w:r w:rsidR="00245DD6">
        <w:t>validation</w:t>
      </w:r>
      <w:r>
        <w:t>. Commonly, the threshold of 1x10</w:t>
      </w:r>
      <w:r w:rsidRPr="7E629D3E">
        <w:rPr>
          <w:vertAlign w:val="superscript"/>
        </w:rPr>
        <w:t>-5</w:t>
      </w:r>
      <w:r>
        <w:t xml:space="preserve"> is used in genome-wide analysis as a threshold of “nominal significance”, but for this study we considered the lower threshold of 1x10</w:t>
      </w:r>
      <w:r w:rsidRPr="7E629D3E">
        <w:rPr>
          <w:vertAlign w:val="superscript"/>
        </w:rPr>
        <w:t>-6</w:t>
      </w:r>
      <w:r>
        <w:t xml:space="preserve"> to reduce the risk of identifying false positive results whilst taking into consideration the small size of the PASS cohort. </w:t>
      </w:r>
    </w:p>
    <w:p w14:paraId="48871283" w14:textId="31DCDD35" w:rsidR="006868E7" w:rsidRDefault="006868E7">
      <w:pPr>
        <w:spacing w:line="360" w:lineRule="auto"/>
      </w:pPr>
      <w:r>
        <w:t xml:space="preserve">If multiple SNPs achieved significance, then the decision on which to undertake </w:t>
      </w:r>
      <w:r w:rsidR="00245DD6">
        <w:t>validation</w:t>
      </w:r>
      <w:r>
        <w:t xml:space="preserve"> was based on the presence of </w:t>
      </w:r>
      <w:r w:rsidRPr="00B1774D">
        <w:t xml:space="preserve">genotyped SNPs, </w:t>
      </w:r>
      <w:r>
        <w:t xml:space="preserve">the </w:t>
      </w:r>
      <w:r w:rsidRPr="00B1774D">
        <w:t>credib</w:t>
      </w:r>
      <w:r>
        <w:t>ility of the</w:t>
      </w:r>
      <w:r w:rsidRPr="00B1774D">
        <w:t xml:space="preserve"> LocusZoom plot</w:t>
      </w:r>
      <w:r>
        <w:t xml:space="preserve"> </w:t>
      </w:r>
      <w:bookmarkStart w:id="0" w:name="_Hlk503178392"/>
      <w:r>
        <w:t>(</w:t>
      </w:r>
      <w:r w:rsidR="00245DD6">
        <w:t>i.e.</w:t>
      </w:r>
      <w:r>
        <w:t xml:space="preserve"> a reasonable LD structure of proportionality between ascending r</w:t>
      </w:r>
      <w:r w:rsidRPr="00B56CB2">
        <w:rPr>
          <w:vertAlign w:val="superscript"/>
        </w:rPr>
        <w:t>2</w:t>
      </w:r>
      <w:r>
        <w:t xml:space="preserve"> values and descending p-values)</w:t>
      </w:r>
      <w:bookmarkEnd w:id="0"/>
      <w:r w:rsidRPr="00B1774D">
        <w:t xml:space="preserve">, and </w:t>
      </w:r>
      <w:r>
        <w:t xml:space="preserve">supporting </w:t>
      </w:r>
      <w:r w:rsidRPr="00B1774D">
        <w:t>evidence of biological plausibility</w:t>
      </w:r>
      <w:r>
        <w:t xml:space="preserve">.  </w:t>
      </w:r>
    </w:p>
    <w:p w14:paraId="00DDF540" w14:textId="011F16CB" w:rsidR="006868E7" w:rsidRPr="004C1D60" w:rsidRDefault="006868E7">
      <w:pPr>
        <w:spacing w:line="360" w:lineRule="auto"/>
      </w:pPr>
      <w:r w:rsidRPr="00C557D5">
        <w:t>As the use of WTCCC controls can lead to false positive associations due to assuming a &gt;350nmol/L corticosteroid level or &gt;500nmol/L corticosteroid level response when exposed to the PASS study conditions, further analysis was conducted on SNPs</w:t>
      </w:r>
      <w:r>
        <w:t xml:space="preserve"> (and their regions)</w:t>
      </w:r>
      <w:r w:rsidRPr="00C557D5">
        <w:t xml:space="preserve"> recommended for </w:t>
      </w:r>
      <w:r w:rsidR="00245DD6">
        <w:t>validation</w:t>
      </w:r>
      <w:r w:rsidRPr="00C557D5">
        <w:t xml:space="preserve"> using only the PASS dataset without the WTCCC controls. In this further analysis, we adjusted for significant clinical covariates (cumulative dose) and any applicable interaction effects between clinical covariates and genetic loci (if significant at the 5% level).</w:t>
      </w:r>
      <w:r>
        <w:t xml:space="preserve"> </w:t>
      </w:r>
    </w:p>
    <w:p w14:paraId="005D4043" w14:textId="342E35A0" w:rsidR="00AA2475" w:rsidRPr="00AA2475" w:rsidRDefault="00AA2475">
      <w:pPr>
        <w:spacing w:line="360" w:lineRule="auto"/>
      </w:pPr>
      <w:r w:rsidRPr="00AA2475">
        <w:t xml:space="preserve">Genotyping of </w:t>
      </w:r>
      <w:r w:rsidR="00245DD6">
        <w:t>validation</w:t>
      </w:r>
      <w:r>
        <w:t xml:space="preserve"> </w:t>
      </w:r>
      <w:r w:rsidRPr="00AA2475">
        <w:t>samples was undertaken using Taqman allelic discrimination assay</w:t>
      </w:r>
      <w:r w:rsidR="00291E52">
        <w:t xml:space="preserve"> </w:t>
      </w:r>
      <w:r w:rsidR="00291E52" w:rsidRPr="004C1D60">
        <w:t>C___1951874_10</w:t>
      </w:r>
      <w:r w:rsidR="00291E52" w:rsidRPr="7E629D3E">
        <w:t xml:space="preserve"> (</w:t>
      </w:r>
      <w:r w:rsidR="00291E52" w:rsidRPr="004C1D60">
        <w:t>Thermo</w:t>
      </w:r>
      <w:r w:rsidR="00291E52" w:rsidRPr="7E629D3E">
        <w:t xml:space="preserve"> </w:t>
      </w:r>
      <w:r w:rsidR="00291E52" w:rsidRPr="004C1D60">
        <w:t xml:space="preserve">Fisher Scientific, Paisley, UK) according </w:t>
      </w:r>
      <w:r w:rsidR="00291E52">
        <w:t xml:space="preserve">to the </w:t>
      </w:r>
      <w:r w:rsidR="00291E52" w:rsidRPr="004C1D60">
        <w:t>manufacturer</w:t>
      </w:r>
      <w:r w:rsidR="00291E52" w:rsidRPr="7E629D3E">
        <w:t>’</w:t>
      </w:r>
      <w:r w:rsidR="00291E52" w:rsidRPr="004C1D60">
        <w:t>s protocol</w:t>
      </w:r>
      <w:r w:rsidR="00291E52" w:rsidRPr="7E629D3E">
        <w:t>.</w:t>
      </w:r>
      <w:r>
        <w:t xml:space="preserve">  </w:t>
      </w:r>
      <w:bookmarkStart w:id="1" w:name="_Hlk500681961"/>
      <w:r w:rsidRPr="00AA2475">
        <w:t xml:space="preserve">All individuals were genotyped in duplicate and an absolute requirement for concurrence between the 2 samples, as well as a genotyping call rate of &gt;95% and a Hardy Weinberg p-value of &gt;0.0001 were applied, for quality control. </w:t>
      </w:r>
      <w:bookmarkEnd w:id="1"/>
      <w:r w:rsidRPr="00AA2475">
        <w:t xml:space="preserve">Statistical analyses of SNPs selected for </w:t>
      </w:r>
      <w:r w:rsidR="00245DD6">
        <w:t>validation</w:t>
      </w:r>
      <w:r w:rsidRPr="00AA2475">
        <w:t xml:space="preserve"> were conducted in R</w:t>
      </w:r>
      <w:r w:rsidRPr="00AA2475">
        <w:fldChar w:fldCharType="begin"/>
      </w:r>
      <w:r w:rsidR="00080D88">
        <w:instrText xml:space="preserve"> ADDIN EN.CITE &lt;EndNote&gt;&lt;Cite ExcludeYear="1"&gt;&lt;Author&gt;foundation&lt;/Author&gt;&lt;RecNum&gt;41&lt;/RecNum&gt;&lt;DisplayText&gt;&lt;style face="superscript"&gt;17&lt;/style&gt;&lt;/DisplayText&gt;&lt;record&gt;&lt;rec-number&gt;41&lt;/rec-number&gt;&lt;foreign-keys&gt;&lt;key app="EN" db-id="psszexae9xfxzweazvnvz9zhwd0srt5rv0at" timestamp="1495193590"&gt;41&lt;/key&gt;&lt;/foreign-keys&gt;&lt;ref-type name="Web Page"&gt;12&lt;/ref-type&gt;&lt;contributors&gt;&lt;authors&gt;&lt;author&gt;The R foundation&lt;/author&gt;&lt;/authors&gt;&lt;/contributors&gt;&lt;titles&gt;&lt;title&gt;The R project for Statistical Computing&lt;/title&gt;&lt;/titles&gt;&lt;volume&gt;2017&lt;/volume&gt;&lt;number&gt;19th May&lt;/number&gt;&lt;dates&gt;&lt;/dates&gt;&lt;urls&gt;&lt;related-urls&gt;&lt;url&gt;https://www.r-project.org/&lt;/url&gt;&lt;/related-urls&gt;&lt;/urls&gt;&lt;/record&gt;&lt;/Cite&gt;&lt;/EndNote&gt;</w:instrText>
      </w:r>
      <w:r w:rsidRPr="00AA2475">
        <w:fldChar w:fldCharType="separate"/>
      </w:r>
      <w:r w:rsidR="00080D88" w:rsidRPr="00080D88">
        <w:rPr>
          <w:noProof/>
          <w:vertAlign w:val="superscript"/>
        </w:rPr>
        <w:t>17</w:t>
      </w:r>
      <w:r w:rsidRPr="00AA2475">
        <w:fldChar w:fldCharType="end"/>
      </w:r>
      <w:r w:rsidRPr="00AA2475">
        <w:t xml:space="preserve"> repeating the same methodology as that used for genome-wide analysis, i.e. logistic regression with binary phenotypes and linear regression with continuous phenotypes with adjustment for the same covariates as the genome-wide analysis. </w:t>
      </w:r>
    </w:p>
    <w:p w14:paraId="7524D929" w14:textId="77777777" w:rsidR="002E52B7" w:rsidRPr="0040713F" w:rsidRDefault="67FA5B61" w:rsidP="00080D88">
      <w:pPr>
        <w:pStyle w:val="Heading2"/>
        <w:spacing w:line="360" w:lineRule="auto"/>
      </w:pPr>
      <w:r>
        <w:lastRenderedPageBreak/>
        <w:t>Comparison with the CORNET consortium data</w:t>
      </w:r>
    </w:p>
    <w:p w14:paraId="21ABE6EB" w14:textId="1593F2F6" w:rsidR="002E52B7" w:rsidRDefault="002E52B7" w:rsidP="00080D88">
      <w:pPr>
        <w:spacing w:line="360" w:lineRule="auto"/>
      </w:pPr>
      <w:r w:rsidRPr="0040713F">
        <w:t>The association between rs591118 and morning plasma cortisol was investigated in 12 studies that participated in the discovery and replication stages of the CORtisol NETwork (CORNET) consortium genome-wide association meta-analysis</w:t>
      </w:r>
      <w:r>
        <w:fldChar w:fldCharType="begin"/>
      </w:r>
      <w:r w:rsidR="00080D88">
        <w:instrText xml:space="preserve"> ADDIN EN.CITE &lt;EndNote&gt;&lt;Cite&gt;&lt;Author&gt;Bolton&lt;/Author&gt;&lt;Year&gt;2014&lt;/Year&gt;&lt;RecNum&gt;60&lt;/RecNum&gt;&lt;DisplayText&gt;&lt;style face="superscript"&gt;18&lt;/style&gt;&lt;/DisplayText&gt;&lt;record&gt;&lt;rec-number&gt;60&lt;/rec-number&gt;&lt;foreign-keys&gt;&lt;key app="EN" db-id="psszexae9xfxzweazvnvz9zhwd0srt5rv0at" timestamp="1499849463"&gt;60&lt;/key&gt;&lt;/foreign-keys&gt;&lt;ref-type name="Journal Article"&gt;17&lt;/ref-type&gt;&lt;contributors&gt;&lt;authors&gt;&lt;author&gt;Bolton, Jennifer L&lt;/author&gt;&lt;author&gt;Hayward, Caroline&lt;/author&gt;&lt;author&gt;Direk, Nese&lt;/author&gt;&lt;author&gt;Lewis, John G&lt;/author&gt;&lt;author&gt;Hammond, Geoffrey L&lt;/author&gt;&lt;author&gt;Hill, Lesley A&lt;/author&gt;&lt;author&gt;Anderson, Anna&lt;/author&gt;&lt;author&gt;Huffman, Jennifer&lt;/author&gt;&lt;author&gt;Wilson, James F&lt;/author&gt;&lt;author&gt;Campbell, Harry&lt;/author&gt;&lt;/authors&gt;&lt;/contributors&gt;&lt;titles&gt;&lt;title&gt;Genome wide association identifies common variants at the SERPINA6/SERPINA1 locus influencing plasma cortisol and corticosteroid binding globulin&lt;/title&gt;&lt;secondary-title&gt;PLoS genetics&lt;/secondary-title&gt;&lt;/titles&gt;&lt;periodical&gt;&lt;full-title&gt;PLoS genetics&lt;/full-title&gt;&lt;/periodical&gt;&lt;pages&gt;e1004474&lt;/pages&gt;&lt;volume&gt;10&lt;/volume&gt;&lt;number&gt;7&lt;/number&gt;&lt;dates&gt;&lt;year&gt;2014&lt;/year&gt;&lt;/dates&gt;&lt;isbn&gt;1553-7404&lt;/isbn&gt;&lt;urls&gt;&lt;/urls&gt;&lt;/record&gt;&lt;/Cite&gt;&lt;/EndNote&gt;</w:instrText>
      </w:r>
      <w:r>
        <w:fldChar w:fldCharType="separate"/>
      </w:r>
      <w:r w:rsidR="00080D88" w:rsidRPr="00080D88">
        <w:rPr>
          <w:noProof/>
          <w:vertAlign w:val="superscript"/>
        </w:rPr>
        <w:t>18</w:t>
      </w:r>
      <w:r>
        <w:fldChar w:fldCharType="end"/>
      </w:r>
      <w:r w:rsidRPr="0040713F">
        <w:t xml:space="preserve"> and in four additional studies that have recently joined the CORNET consortium.</w:t>
      </w:r>
      <w:r>
        <w:t xml:space="preserve"> </w:t>
      </w:r>
      <w:r w:rsidRPr="0040713F">
        <w:t>The total dataset included data from 16 studies and a total of 24,467 individuals of European ancestry: Orkney Complex Disease Study (ORCADES), Croatian Biobank (Korcula, Split, Vis), Rotterdam Study (RS), Helsinki Birth Cohort 1934-44 (HBCS), North Finnish Birth Cohort 1966 (NFBC1966), Avon Longitudinal Study of Parents and Children (ALSPAC), Prospective Investigation of the Vasculature in Uppsala Seniors (PIVUS), Prevention of Renal and Vascular End-stage Disease (PREVEND), Western Australia Pregnancy Cohort (Raine), Osteoporotic Fractures in Men – Sweden (MrOS), TwinsUK, Cooperative Health Research in the Augsburg Region (KORA), Viking Health Study – Shetlands (VHSS) and Study of Health in Pomerania (SHIP). The meta-analysis was conducted using METAL software</w:t>
      </w:r>
      <w:r>
        <w:fldChar w:fldCharType="begin"/>
      </w:r>
      <w:r w:rsidR="00080D88">
        <w:instrText xml:space="preserve"> ADDIN EN.CITE &lt;EndNote&gt;&lt;Cite&gt;&lt;Author&gt;Willer&lt;/Author&gt;&lt;Year&gt;2010&lt;/Year&gt;&lt;RecNum&gt;25&lt;/RecNum&gt;&lt;DisplayText&gt;&lt;style face="superscript"&gt;19&lt;/style&gt;&lt;/DisplayText&gt;&lt;record&gt;&lt;rec-number&gt;25&lt;/rec-number&gt;&lt;foreign-keys&gt;&lt;key app="EN" db-id="psszexae9xfxzweazvnvz9zhwd0srt5rv0at" timestamp="1483526728"&gt;25&lt;/key&gt;&lt;/foreign-keys&gt;&lt;ref-type name="Journal Article"&gt;17&lt;/ref-type&gt;&lt;contributors&gt;&lt;authors&gt;&lt;author&gt;Willer, Cristen J&lt;/author&gt;&lt;author&gt;Li, Yun&lt;/author&gt;&lt;author&gt;Abecasis, Gonçalo R&lt;/author&gt;&lt;/authors&gt;&lt;/contributors&gt;&lt;titles&gt;&lt;title&gt;METAL: fast and efficient meta-analysis of genomewide association scans&lt;/title&gt;&lt;secondary-title&gt;Bioinformatics&lt;/secondary-title&gt;&lt;/titles&gt;&lt;periodical&gt;&lt;full-title&gt;Bioinformatics&lt;/full-title&gt;&lt;/periodical&gt;&lt;pages&gt;2190-2191&lt;/pages&gt;&lt;volume&gt;26&lt;/volume&gt;&lt;number&gt;17&lt;/number&gt;&lt;dates&gt;&lt;year&gt;2010&lt;/year&gt;&lt;/dates&gt;&lt;isbn&gt;1367-4803&lt;/isbn&gt;&lt;urls&gt;&lt;/urls&gt;&lt;/record&gt;&lt;/Cite&gt;&lt;/EndNote&gt;</w:instrText>
      </w:r>
      <w:r>
        <w:fldChar w:fldCharType="separate"/>
      </w:r>
      <w:r w:rsidR="00080D88" w:rsidRPr="00080D88">
        <w:rPr>
          <w:noProof/>
          <w:vertAlign w:val="superscript"/>
        </w:rPr>
        <w:t>19</w:t>
      </w:r>
      <w:r>
        <w:fldChar w:fldCharType="end"/>
      </w:r>
      <w:r w:rsidRPr="0040713F">
        <w:t>.</w:t>
      </w:r>
    </w:p>
    <w:p w14:paraId="2142F023" w14:textId="77777777" w:rsidR="00B66344" w:rsidRDefault="67FA5B61" w:rsidP="00080D88">
      <w:pPr>
        <w:pStyle w:val="Heading2"/>
        <w:spacing w:line="360" w:lineRule="auto"/>
      </w:pPr>
      <w:r>
        <w:t>Pathway Analysis</w:t>
      </w:r>
    </w:p>
    <w:p w14:paraId="2003257D" w14:textId="27F9BEA7" w:rsidR="00B66344" w:rsidRPr="00EA1C24" w:rsidRDefault="00B66344" w:rsidP="00080D88">
      <w:pPr>
        <w:spacing w:line="360" w:lineRule="auto"/>
      </w:pPr>
      <w:r w:rsidRPr="00EA1C24">
        <w:t>We used MAGENTA</w:t>
      </w:r>
      <w:r w:rsidRPr="00EA1C24">
        <w:fldChar w:fldCharType="begin"/>
      </w:r>
      <w:r w:rsidR="00080D88">
        <w:instrText xml:space="preserve"> ADDIN EN.CITE &lt;EndNote&gt;&lt;Cite&gt;&lt;Author&gt;Wang&lt;/Author&gt;&lt;Year&gt;2010&lt;/Year&gt;&lt;RecNum&gt;14&lt;/RecNum&gt;&lt;DisplayText&gt;&lt;style face="superscript"&gt;20&lt;/style&gt;&lt;/DisplayText&gt;&lt;record&gt;&lt;rec-number&gt;14&lt;/rec-number&gt;&lt;foreign-keys&gt;&lt;key app="EN" db-id="ea2rave2od0ewae995x5vsvod2rfve9d0atr" timestamp="1485781666"&gt;14&lt;/key&gt;&lt;/foreign-keys&gt;&lt;ref-type name="Journal Article"&gt;17&lt;/ref-type&gt;&lt;contributors&gt;&lt;authors&gt;&lt;author&gt;Wang, K.&lt;/author&gt;&lt;author&gt;Li, M.&lt;/author&gt;&lt;author&gt;Hakonarson, H.&lt;/author&gt;&lt;/authors&gt;&lt;/contributors&gt;&lt;auth-address&gt;Center for Applied Genomics, The Childrens Hospital of Philadelphia, Pennsylvania 19104, USA.&lt;/auth-address&gt;&lt;titles&gt;&lt;title&gt;Analysing biological pathways in genome-wide association studies&lt;/title&gt;&lt;secondary-title&gt;Nat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Genetics&lt;/abbr-1&gt;&lt;/alt-periodical&gt;&lt;pages&gt;843-54&lt;/pages&gt;&lt;volume&gt;11&lt;/volume&gt;&lt;number&gt;12&lt;/number&gt;&lt;edition&gt;2010/11/19&lt;/edition&gt;&lt;keywords&gt;&lt;keyword&gt;Animals&lt;/keyword&gt;&lt;keyword&gt;Crohn Disease/genetics/metabolism&lt;/keyword&gt;&lt;keyword&gt;Genetic Predisposition to Disease&lt;/keyword&gt;&lt;keyword&gt;*Genome-Wide Association Study&lt;/keyword&gt;&lt;keyword&gt;Humans&lt;/keyword&gt;&lt;keyword&gt;Interleukin-12/genetics/immunology&lt;/keyword&gt;&lt;keyword&gt;Interleukin-23/genetics/immunology&lt;/keyword&gt;&lt;keyword&gt;Polymorphism, Single Nucleotide&lt;/keyword&gt;&lt;keyword&gt;*Signal Transduction&lt;/keyword&gt;&lt;/keywords&gt;&lt;dates&gt;&lt;year&gt;2010&lt;/year&gt;&lt;pub-dates&gt;&lt;date&gt;Dec&lt;/date&gt;&lt;/pub-dates&gt;&lt;/dates&gt;&lt;isbn&gt;1471-0056&lt;/isbn&gt;&lt;accession-num&gt;21085203&lt;/accession-num&gt;&lt;urls&gt;&lt;/urls&gt;&lt;electronic-resource-num&gt;10.1038/nrg2884&lt;/electronic-resource-num&gt;&lt;remote-database-provider&gt;NLM&lt;/remote-database-provider&gt;&lt;language&gt;eng&lt;/language&gt;&lt;/record&gt;&lt;/Cite&gt;&lt;/EndNote&gt;</w:instrText>
      </w:r>
      <w:r w:rsidRPr="00EA1C24">
        <w:fldChar w:fldCharType="separate"/>
      </w:r>
      <w:r w:rsidR="00080D88" w:rsidRPr="00080D88">
        <w:rPr>
          <w:noProof/>
          <w:vertAlign w:val="superscript"/>
        </w:rPr>
        <w:t>20</w:t>
      </w:r>
      <w:r w:rsidRPr="00EA1C24">
        <w:fldChar w:fldCharType="end"/>
      </w:r>
      <w:r w:rsidRPr="00EA1C24">
        <w:t xml:space="preserve"> to scrutinise the results from all phenotypes to identify any enrichment of functional and biological pathways.</w:t>
      </w:r>
      <w:r>
        <w:t xml:space="preserve"> </w:t>
      </w:r>
      <w:r w:rsidRPr="00EA1C24">
        <w:t>SNPs were annotated to genes if they fell within a 5kb boundary surrounding a gene</w:t>
      </w:r>
      <w:r>
        <w:t xml:space="preserve"> </w:t>
      </w:r>
      <w:r w:rsidRPr="00A86204">
        <w:t xml:space="preserve">(including all promotor and intronic regions) </w:t>
      </w:r>
      <w:r w:rsidRPr="00EA1C24">
        <w:fldChar w:fldCharType="begin"/>
      </w:r>
      <w:r w:rsidR="00080D88">
        <w:instrText xml:space="preserve"> ADDIN EN.CITE &lt;EndNote&gt;&lt;Cite&gt;&lt;Author&gt;Aslibekyan&lt;/Author&gt;&lt;Year&gt;2014&lt;/Year&gt;&lt;RecNum&gt;81&lt;/RecNum&gt;&lt;DisplayText&gt;&lt;style face="superscript"&gt;21&lt;/style&gt;&lt;/DisplayText&gt;&lt;record&gt;&lt;rec-number&gt;81&lt;/rec-number&gt;&lt;foreign-keys&gt;&lt;key app="EN" db-id="p52fxpfr5arez8err05vtrrxfad2a9ptpvv9" timestamp="1497989098"&gt;81&lt;/key&gt;&lt;/foreign-keys&gt;&lt;ref-type name="Journal Article"&gt;17&lt;/ref-type&gt;&lt;contributors&gt;&lt;authors&gt;&lt;author&gt;Aslibekyan, Stella&lt;/author&gt;&lt;author&gt;Almeida, Marcio&lt;/author&gt;&lt;author&gt;Tintle, Nathan&lt;/author&gt;&lt;/authors&gt;&lt;/contributors&gt;&lt;titles&gt;&lt;title&gt;Pathway analysis approaches for rare and common variants: Insights from GAW18&lt;/title&gt;&lt;secondary-title&gt;Genetic epidemiology&lt;/secondary-title&gt;&lt;/titles&gt;&lt;periodical&gt;&lt;full-title&gt;Genetic epidemiology&lt;/full-title&gt;&lt;/periodical&gt;&lt;pages&gt;S86-S91&lt;/pages&gt;&lt;volume&gt;38&lt;/volume&gt;&lt;number&gt;0 1&lt;/number&gt;&lt;dates&gt;&lt;year&gt;2014&lt;/year&gt;&lt;/dates&gt;&lt;isbn&gt;0741-0395&amp;#xD;1098-2272&lt;/isbn&gt;&lt;accession-num&gt;PMC4221731&lt;/accession-num&gt;&lt;urls&gt;&lt;related-urls&gt;&lt;url&gt;http://www.ncbi.nlm.nih.gov/pmc/articles/PMC4221731/&lt;/url&gt;&lt;/related-urls&gt;&lt;/urls&gt;&lt;electronic-resource-num&gt;10.1002/gepi.21831&lt;/electronic-resource-num&gt;&lt;remote-database-name&gt;PMC&lt;/remote-database-name&gt;&lt;/record&gt;&lt;/Cite&gt;&lt;/EndNote&gt;</w:instrText>
      </w:r>
      <w:r w:rsidRPr="00EA1C24">
        <w:fldChar w:fldCharType="separate"/>
      </w:r>
      <w:r w:rsidR="00080D88" w:rsidRPr="00080D88">
        <w:rPr>
          <w:noProof/>
          <w:vertAlign w:val="superscript"/>
        </w:rPr>
        <w:t>21</w:t>
      </w:r>
      <w:r w:rsidRPr="00EA1C24">
        <w:fldChar w:fldCharType="end"/>
      </w:r>
      <w:r w:rsidRPr="00EA1C24">
        <w:t>. The pathways and ontology terms used in MAGENTA</w:t>
      </w:r>
      <w:r w:rsidR="00834CDA">
        <w:t xml:space="preserve"> </w:t>
      </w:r>
      <w:r w:rsidRPr="00EA1C24">
        <w:t xml:space="preserve">are from Biocarta, KEGG, Ingenuity, Panther, Reactome and Gene Ontology (GO) </w:t>
      </w:r>
      <w:r w:rsidRPr="0081006A">
        <w:t xml:space="preserve">databases. We refined the databases down to the pathway and ontology terms that included the genes that had been identified through annotation of the SNPs selected for </w:t>
      </w:r>
      <w:r w:rsidR="00245DD6">
        <w:t>validation</w:t>
      </w:r>
      <w:r w:rsidRPr="0081006A">
        <w:t>.</w:t>
      </w:r>
    </w:p>
    <w:p w14:paraId="33C1FDC9" w14:textId="77777777" w:rsidR="00B66344" w:rsidRPr="0081006A" w:rsidRDefault="67FA5B61" w:rsidP="00080D88">
      <w:pPr>
        <w:spacing w:line="360" w:lineRule="auto"/>
      </w:pPr>
      <w:r>
        <w:t>Pathways were not limited to gene set size. A nominal p-value for Gene Set Enrichment Analysis (GSEA) was calculated through permutation via random resampling of 10,000 gene sets of identical size. Both MAGENTA thresholds for gene-level association signals were utilised (75</w:t>
      </w:r>
      <w:r w:rsidRPr="67FA5B61">
        <w:rPr>
          <w:vertAlign w:val="superscript"/>
        </w:rPr>
        <w:t>th</w:t>
      </w:r>
      <w:r>
        <w:t xml:space="preserve"> and 95</w:t>
      </w:r>
      <w:r w:rsidRPr="67FA5B61">
        <w:rPr>
          <w:vertAlign w:val="superscript"/>
        </w:rPr>
        <w:t>th</w:t>
      </w:r>
      <w:r>
        <w:t xml:space="preserve"> percentile), to ensure that weaker gene-level association signals could still be investigated. The FDR threshold of 5% was chosen across all pathway analyses to indicate a significant pathway.</w:t>
      </w:r>
    </w:p>
    <w:p w14:paraId="3431C589" w14:textId="77777777" w:rsidR="00B66344" w:rsidRPr="00C7653E" w:rsidRDefault="67FA5B61" w:rsidP="00080D88">
      <w:pPr>
        <w:spacing w:line="360" w:lineRule="auto"/>
        <w:rPr>
          <w:rFonts w:eastAsia="Times New Roman" w:cstheme="minorHAnsi"/>
          <w:b/>
          <w:bCs/>
        </w:rPr>
      </w:pPr>
      <w:r w:rsidRPr="00C7653E">
        <w:rPr>
          <w:rFonts w:eastAsia="Times New Roman" w:cstheme="minorHAnsi"/>
        </w:rPr>
        <w:t xml:space="preserve">The Ingenuity® Pathway Analysis software (IPA®, QIAGEN Redwood City), which is powered by manually curated literature within the Ingenuity Knowledge Base, was utilised to explore the known gene networks and regulatory cascades that lead to or from our identified gene. </w:t>
      </w:r>
    </w:p>
    <w:p w14:paraId="20567B13" w14:textId="77777777" w:rsidR="002A0814" w:rsidRDefault="67FA5B61" w:rsidP="00080D88">
      <w:pPr>
        <w:pStyle w:val="Heading1"/>
        <w:spacing w:line="360" w:lineRule="auto"/>
      </w:pPr>
      <w:r>
        <w:lastRenderedPageBreak/>
        <w:t>Results</w:t>
      </w:r>
    </w:p>
    <w:p w14:paraId="076CC19F" w14:textId="156902DF" w:rsidR="00502DEB" w:rsidRDefault="67FA5B61" w:rsidP="00080D88">
      <w:pPr>
        <w:pStyle w:val="Heading2"/>
        <w:spacing w:line="360" w:lineRule="auto"/>
        <w:rPr>
          <w:rStyle w:val="Heading2Char"/>
        </w:rPr>
      </w:pPr>
      <w:r w:rsidRPr="67FA5B61">
        <w:rPr>
          <w:rStyle w:val="Heading2Char"/>
        </w:rPr>
        <w:t>Review of Publications looking for biological plausibility</w:t>
      </w:r>
    </w:p>
    <w:p w14:paraId="270A678B" w14:textId="28855BFB" w:rsidR="00502DEB" w:rsidRPr="00785CEB" w:rsidRDefault="00502DEB" w:rsidP="00080D88">
      <w:pPr>
        <w:spacing w:line="360" w:lineRule="auto"/>
        <w:rPr>
          <w:rFonts w:ascii="Calibri" w:eastAsia="Times New Roman" w:hAnsi="Calibri" w:cs="Times New Roman"/>
        </w:rPr>
      </w:pPr>
      <w:r w:rsidRPr="67FA5B61">
        <w:rPr>
          <w:rFonts w:ascii="Calibri,Times New Roman" w:eastAsia="Calibri,Times New Roman" w:hAnsi="Calibri,Times New Roman" w:cs="Calibri,Times New Roman"/>
        </w:rPr>
        <w:t xml:space="preserve">Publications for </w:t>
      </w:r>
      <w:r w:rsidRPr="00C7653E">
        <w:rPr>
          <w:rFonts w:ascii="Calibri,Times New Roman" w:eastAsia="Calibri,Times New Roman" w:hAnsi="Calibri,Times New Roman" w:cs="Calibri,Times New Roman"/>
          <w:i/>
        </w:rPr>
        <w:t>PDGFD</w:t>
      </w:r>
      <w:r w:rsidRPr="67FA5B61">
        <w:rPr>
          <w:rFonts w:ascii="Calibri,Times New Roman" w:eastAsia="Calibri,Times New Roman" w:hAnsi="Calibri,Times New Roman" w:cs="Calibri,Times New Roman"/>
        </w:rPr>
        <w:t xml:space="preserve"> and </w:t>
      </w:r>
      <w:r w:rsidRPr="00C7653E">
        <w:rPr>
          <w:rFonts w:ascii="Calibri,Times New Roman" w:eastAsia="Calibri,Times New Roman" w:hAnsi="Calibri,Times New Roman" w:cs="Calibri,Times New Roman"/>
          <w:i/>
        </w:rPr>
        <w:t>TRPA1</w:t>
      </w:r>
      <w:r w:rsidRPr="67FA5B61">
        <w:rPr>
          <w:rFonts w:ascii="Calibri,Times New Roman" w:eastAsia="Calibri,Times New Roman" w:hAnsi="Calibri,Times New Roman" w:cs="Calibri,Times New Roman"/>
        </w:rPr>
        <w:t xml:space="preserve"> were reviewed to examine possible biological plausibility. There were no relevant publications noted for six of the eight genes.  </w:t>
      </w:r>
      <w:r w:rsidRPr="67FA5B61">
        <w:rPr>
          <w:rFonts w:ascii="Calibri,Times New Roman" w:eastAsia="Calibri,Times New Roman" w:hAnsi="Calibri,Times New Roman" w:cs="Calibri,Times New Roman"/>
          <w:i/>
          <w:iCs/>
        </w:rPr>
        <w:t>TRPA1</w:t>
      </w:r>
      <w:r w:rsidRPr="67FA5B61">
        <w:rPr>
          <w:rFonts w:ascii="Calibri,Times New Roman" w:eastAsia="Calibri,Times New Roman" w:hAnsi="Calibri,Times New Roman" w:cs="Calibri,Times New Roman"/>
        </w:rPr>
        <w:t xml:space="preserve"> has been associated with Familial Episodic Pain Syndrome</w:t>
      </w:r>
      <w:r w:rsidRPr="67FA5B61">
        <w:fldChar w:fldCharType="begin">
          <w:fldData xml:space="preserve">PEVuZE5vdGU+PENpdGU+PEF1dGhvcj5LcmVtZXllcjwvQXV0aG9yPjxZZWFyPjIwMTA8L1llYXI+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</w:fldData>
        </w:fldChar>
      </w:r>
      <w:r w:rsidR="00080D88">
        <w:instrText xml:space="preserve"> ADDIN EN.CITE </w:instrText>
      </w:r>
      <w:r w:rsidR="00080D88">
        <w:fldChar w:fldCharType="begin">
          <w:fldData xml:space="preserve">PEVuZE5vdGU+PENpdGU+PEF1dGhvcj5LcmVtZXllcjwvQXV0aG9yPjxZZWFyPjIwMTA8L1llYXI+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</w:fldData>
        </w:fldChar>
      </w:r>
      <w:r w:rsidR="00080D88">
        <w:instrText xml:space="preserve"> ADDIN EN.CITE.DATA </w:instrText>
      </w:r>
      <w:r w:rsidR="00080D88">
        <w:fldChar w:fldCharType="end"/>
      </w:r>
      <w:r w:rsidRPr="67FA5B61">
        <w:rPr>
          <w:rFonts w:ascii="Calibri" w:eastAsia="Times New Roman" w:hAnsi="Calibri" w:cs="Times New Roman"/>
        </w:rPr>
      </w:r>
      <w:r w:rsidRPr="67FA5B61">
        <w:rPr>
          <w:rFonts w:ascii="Calibri" w:eastAsia="Times New Roman" w:hAnsi="Calibri" w:cs="Times New Roman"/>
        </w:rPr>
        <w:fldChar w:fldCharType="separate"/>
      </w:r>
      <w:r w:rsidR="00080D88" w:rsidRPr="00080D88">
        <w:rPr>
          <w:noProof/>
          <w:vertAlign w:val="superscript"/>
        </w:rPr>
        <w:t>22</w:t>
      </w:r>
      <w:r w:rsidRPr="67FA5B61">
        <w:fldChar w:fldCharType="end"/>
      </w:r>
      <w:r w:rsidRPr="67FA5B61">
        <w:rPr>
          <w:rFonts w:ascii="Calibri,Times New Roman" w:eastAsia="Calibri,Times New Roman" w:hAnsi="Calibri,Times New Roman" w:cs="Calibri,Times New Roman"/>
        </w:rPr>
        <w:t xml:space="preserve">, and </w:t>
      </w:r>
      <w:r w:rsidRPr="67FA5B61">
        <w:rPr>
          <w:rFonts w:ascii="Calibri,Times New Roman" w:eastAsia="Calibri,Times New Roman" w:hAnsi="Calibri,Times New Roman" w:cs="Calibri,Times New Roman"/>
          <w:i/>
          <w:iCs/>
        </w:rPr>
        <w:t xml:space="preserve">TRPA1 </w:t>
      </w:r>
      <w:r w:rsidRPr="67FA5B61">
        <w:rPr>
          <w:rFonts w:ascii="Calibri,Times New Roman" w:eastAsia="Calibri,Times New Roman" w:hAnsi="Calibri,Times New Roman" w:cs="Calibri,Times New Roman"/>
        </w:rPr>
        <w:t>expression (after painful stimuli) has been linked to increased HPA axis responses in mice</w:t>
      </w:r>
      <w:r w:rsidRPr="67FA5B61">
        <w:fldChar w:fldCharType="begin">
          <w:fldData xml:space="preserve">PEVuZE5vdGU+PENpdGU+PEF1dGhvcj5QaWVyY2U8L0F1dGhvcj48WWVhcj4yMDE1PC9ZZWFyPjxS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</w:fldData>
        </w:fldChar>
      </w:r>
      <w:r w:rsidR="00080D88">
        <w:instrText xml:space="preserve"> ADDIN EN.CITE </w:instrText>
      </w:r>
      <w:r w:rsidR="00080D88">
        <w:fldChar w:fldCharType="begin">
          <w:fldData xml:space="preserve">PEVuZE5vdGU+PENpdGU+PEF1dGhvcj5QaWVyY2U8L0F1dGhvcj48WWVhcj4yMDE1PC9ZZWFyPjxS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</w:fldData>
        </w:fldChar>
      </w:r>
      <w:r w:rsidR="00080D88">
        <w:instrText xml:space="preserve"> ADDIN EN.CITE.DATA </w:instrText>
      </w:r>
      <w:r w:rsidR="00080D88">
        <w:fldChar w:fldCharType="end"/>
      </w:r>
      <w:r w:rsidRPr="67FA5B61">
        <w:rPr>
          <w:rFonts w:ascii="Calibri" w:eastAsia="Times New Roman" w:hAnsi="Calibri" w:cs="Times New Roman"/>
        </w:rPr>
      </w:r>
      <w:r w:rsidRPr="67FA5B61">
        <w:rPr>
          <w:rFonts w:ascii="Calibri" w:eastAsia="Times New Roman" w:hAnsi="Calibri" w:cs="Times New Roman"/>
        </w:rPr>
        <w:fldChar w:fldCharType="separate"/>
      </w:r>
      <w:r w:rsidR="00080D88" w:rsidRPr="00080D88">
        <w:rPr>
          <w:noProof/>
          <w:vertAlign w:val="superscript"/>
        </w:rPr>
        <w:t>23</w:t>
      </w:r>
      <w:r w:rsidRPr="67FA5B61">
        <w:fldChar w:fldCharType="end"/>
      </w:r>
      <w:r w:rsidRPr="67FA5B61">
        <w:rPr>
          <w:rFonts w:ascii="Calibri,Times New Roman" w:eastAsia="Calibri,Times New Roman" w:hAnsi="Calibri,Times New Roman" w:cs="Calibri,Times New Roman"/>
        </w:rPr>
        <w:t xml:space="preserve">. Pain is well recognised as a stimulus to the HPA axis, as part of its normal function. In relation to </w:t>
      </w:r>
      <w:r w:rsidRPr="67FA5B61">
        <w:rPr>
          <w:rFonts w:ascii="Calibri,Times New Roman" w:eastAsia="Calibri,Times New Roman" w:hAnsi="Calibri,Times New Roman" w:cs="Calibri,Times New Roman"/>
          <w:i/>
          <w:iCs/>
        </w:rPr>
        <w:t xml:space="preserve">PDGFD, </w:t>
      </w:r>
      <w:r w:rsidRPr="006111C7">
        <w:t xml:space="preserve">PDGF </w:t>
      </w:r>
      <w:r w:rsidRPr="005C199E">
        <w:t>receptors are required in the development of steroid-producing cells in multiple organs, including the testis, ovary, and adrenal cortex</w:t>
      </w:r>
      <w:r w:rsidRPr="005C199E">
        <w:fldChar w:fldCharType="begin"/>
      </w:r>
      <w:r w:rsidR="00080D88">
        <w:instrText xml:space="preserve"> ADDIN EN.CITE &lt;EndNote&gt;&lt;Cite&gt;&lt;Author&gt;Schmahl&lt;/Author&gt;&lt;Year&gt;2008&lt;/Year&gt;&lt;RecNum&gt;26&lt;/RecNum&gt;&lt;DisplayText&gt;&lt;style face="superscript"&gt;24&lt;/style&gt;&lt;/DisplayText&gt;&lt;record&gt;&lt;rec-number&gt;26&lt;/rec-number&gt;&lt;foreign-keys&gt;&lt;key app="EN" db-id="pee209pevv2057etadqpdwsyfpzezpwrrsdw" timestamp="1407334690"&gt;26&lt;/key&gt;&lt;/foreign-keys&gt;&lt;ref-type name="Journal Article"&gt;17&lt;/ref-type&gt;&lt;contributors&gt;&lt;authors&gt;&lt;author&gt;Schmahl, Jennifer&lt;/author&gt;&lt;author&gt;Rizzolo, Kamran&lt;/author&gt;&lt;author&gt;Soriano, Philippe&lt;/author&gt;&lt;/authors&gt;&lt;/contributors&gt;&lt;titles&gt;&lt;title&gt;The PDGF signaling pathway controls multiple steroid-producing lineages&lt;/title&gt;&lt;secondary-title&gt;Genes &amp;amp; development&lt;/secondary-title&gt;&lt;/titles&gt;&lt;periodical&gt;&lt;full-title&gt;Genes &amp;amp; development&lt;/full-title&gt;&lt;/periodical&gt;&lt;pages&gt;3255-3267&lt;/pages&gt;&lt;volume&gt;22&lt;/volume&gt;&lt;number&gt;23&lt;/number&gt;&lt;dates&gt;&lt;year&gt;2008&lt;/year&gt;&lt;/dates&gt;&lt;isbn&gt;0890-9369&lt;/isbn&gt;&lt;urls&gt;&lt;/urls&gt;&lt;/record&gt;&lt;/Cite&gt;&lt;/EndNote&gt;</w:instrText>
      </w:r>
      <w:r w:rsidRPr="005C199E">
        <w:fldChar w:fldCharType="separate"/>
      </w:r>
      <w:r w:rsidR="00080D88" w:rsidRPr="00080D88">
        <w:rPr>
          <w:noProof/>
          <w:vertAlign w:val="superscript"/>
        </w:rPr>
        <w:t>24</w:t>
      </w:r>
      <w:r w:rsidRPr="005C199E">
        <w:fldChar w:fldCharType="end"/>
      </w:r>
      <w:r w:rsidRPr="005C199E">
        <w:t xml:space="preserve">. In addition, expression of </w:t>
      </w:r>
      <w:r w:rsidRPr="67FA5B61">
        <w:rPr>
          <w:i/>
          <w:iCs/>
        </w:rPr>
        <w:t>PDGFD</w:t>
      </w:r>
      <w:r w:rsidRPr="005C199E">
        <w:t xml:space="preserve"> </w:t>
      </w:r>
      <w:r>
        <w:t>has been</w:t>
      </w:r>
      <w:r w:rsidRPr="005C199E">
        <w:t xml:space="preserve"> negatively correlated with cortisol secretion in adrenocortical adenomas</w:t>
      </w:r>
      <w:r w:rsidRPr="005C199E">
        <w:fldChar w:fldCharType="begin"/>
      </w:r>
      <w:r w:rsidR="00080D88">
        <w:instrText xml:space="preserve"> ADDIN EN.CITE &lt;EndNote&gt;&lt;Cite&gt;&lt;Author&gt;Wilmot Roussel&lt;/Author&gt;&lt;Year&gt;2013&lt;/Year&gt;&lt;RecNum&gt;27&lt;/RecNum&gt;&lt;DisplayText&gt;&lt;style face="superscript"&gt;25&lt;/style&gt;&lt;/DisplayText&gt;&lt;record&gt;&lt;rec-number&gt;27&lt;/rec-number&gt;&lt;foreign-keys&gt;&lt;key app="EN" db-id="pee209pevv2057etadqpdwsyfpzezpwrrsdw" timestamp="1407335061"&gt;27&lt;/key&gt;&lt;/foreign-keys&gt;&lt;ref-type name="Journal Article"&gt;17&lt;/ref-type&gt;&lt;contributors&gt;&lt;authors&gt;&lt;author&gt;Wilmot Roussel, Hortense&lt;/author&gt;&lt;author&gt;Vezzosi, Delphine&lt;/author&gt;&lt;author&gt;Rizk-Rabin, Marthe&lt;/author&gt;&lt;author&gt;Barreau, Olivia&lt;/author&gt;&lt;author&gt;Ragazzon, Bruno&lt;/author&gt;&lt;author&gt;René-Corail, Fernande&lt;/author&gt;&lt;author&gt;de Reynies, Aurélien&lt;/author&gt;&lt;author&gt;Bertherat, Jérôme&lt;/author&gt;&lt;author&gt;Assié, Guillaume&lt;/author&gt;&lt;/authors&gt;&lt;/contributors&gt;&lt;titles&gt;&lt;title&gt;Identification of gene expression profiles associated with cortisol secretion in adrenocortical adenomas&lt;/title&gt;&lt;secondary-title&gt;The Journal of Clinical Endocrinology &amp;amp; Metabolism&lt;/secondary-title&gt;&lt;/titles&gt;&lt;periodical&gt;&lt;full-title&gt;The Journal of Clinical Endocrinology &amp;amp; Metabolism&lt;/full-title&gt;&lt;/periodical&gt;&lt;pages&gt;E1109-E1121&lt;/pages&gt;&lt;volume&gt;98&lt;/volume&gt;&lt;number&gt;6&lt;/number&gt;&lt;dates&gt;&lt;year&gt;2013&lt;/year&gt;&lt;/dates&gt;&lt;isbn&gt;0021-972X&lt;/isbn&gt;&lt;urls&gt;&lt;/urls&gt;&lt;/record&gt;&lt;/Cite&gt;&lt;/EndNote&gt;</w:instrText>
      </w:r>
      <w:r w:rsidRPr="005C199E">
        <w:fldChar w:fldCharType="separate"/>
      </w:r>
      <w:r w:rsidR="00080D88" w:rsidRPr="00080D88">
        <w:rPr>
          <w:noProof/>
          <w:vertAlign w:val="superscript"/>
        </w:rPr>
        <w:t>25</w:t>
      </w:r>
      <w:r w:rsidRPr="005C199E">
        <w:fldChar w:fldCharType="end"/>
      </w:r>
      <w:r>
        <w:t xml:space="preserve">. This was the only publication from any of the genes related to </w:t>
      </w:r>
      <w:r w:rsidRPr="00502DEB">
        <w:t>altered</w:t>
      </w:r>
      <w:r>
        <w:t xml:space="preserve"> cortisol secretion. </w:t>
      </w:r>
    </w:p>
    <w:p w14:paraId="22319D68" w14:textId="386F3A78" w:rsidR="002743D2" w:rsidRDefault="002743D2" w:rsidP="00080D88">
      <w:pPr>
        <w:pStyle w:val="Heading2"/>
        <w:spacing w:line="360" w:lineRule="auto"/>
      </w:pPr>
      <w:r>
        <w:t>Pathway Analysis</w:t>
      </w:r>
    </w:p>
    <w:p w14:paraId="015A15AE" w14:textId="190E0047" w:rsidR="002743D2" w:rsidRDefault="002743D2">
      <w:pPr>
        <w:spacing w:line="360" w:lineRule="auto"/>
        <w:rPr>
          <w:rFonts w:eastAsia="Times New Roman"/>
        </w:rPr>
      </w:pPr>
      <w:r w:rsidRPr="002743D2">
        <w:t xml:space="preserve">Sixteen pathways were included in a pathway analysis that contained the </w:t>
      </w:r>
      <w:r w:rsidRPr="00350EFF">
        <w:rPr>
          <w:i/>
        </w:rPr>
        <w:t>PDGFD</w:t>
      </w:r>
      <w:r w:rsidRPr="002743D2">
        <w:t xml:space="preserve"> gene. There were two pathways identified that were associated with a FDR corrected p value &lt;0.05 (see supplementary data</w:t>
      </w:r>
      <w:r>
        <w:t>). T</w:t>
      </w:r>
      <w:r>
        <w:rPr>
          <w:rFonts w:eastAsia="Times New Roman" w:cs="Times New Roman"/>
        </w:rPr>
        <w:t xml:space="preserve">hese were Focal Adhesion and Regulation of Actin Cytoskeleton, both from the KEGG database. We also used IPA® to evaluate the biological interactions and pathways known to encompass </w:t>
      </w:r>
      <w:r w:rsidRPr="00350EFF">
        <w:rPr>
          <w:rFonts w:eastAsia="Times New Roman" w:cs="Times New Roman"/>
          <w:i/>
        </w:rPr>
        <w:t>PDGFD</w:t>
      </w:r>
      <w:r>
        <w:rPr>
          <w:rFonts w:eastAsia="Times New Roman" w:cs="Times New Roman"/>
        </w:rPr>
        <w:t xml:space="preserve">. Within the canonical PDGF signalling pathway involving </w:t>
      </w:r>
      <w:r w:rsidRPr="00350EFF">
        <w:rPr>
          <w:rFonts w:eastAsia="Times New Roman" w:cs="Times New Roman"/>
          <w:i/>
        </w:rPr>
        <w:t>PDGFD</w:t>
      </w:r>
      <w:r>
        <w:rPr>
          <w:rFonts w:eastAsia="Times New Roman" w:cs="Times New Roman"/>
        </w:rPr>
        <w:t xml:space="preserve">, several cytoplasmic signalling proteins are recruited, leading to the activation of a number of key signalling cascades including the </w:t>
      </w:r>
      <w:r>
        <w:t xml:space="preserve">mobilization of cytosolic calcium and </w:t>
      </w:r>
      <w:r>
        <w:rPr>
          <w:rFonts w:eastAsia="MinionPro-Regular" w:cs="MinionPro-Regular"/>
        </w:rPr>
        <w:t>mitogen activated protein kinase (MAPK) pathway.</w:t>
      </w:r>
    </w:p>
    <w:p w14:paraId="6390FCCE" w14:textId="20E8AB70" w:rsidR="002743D2" w:rsidRDefault="002743D2" w:rsidP="002743D2"/>
    <w:p w14:paraId="213A8421" w14:textId="77777777" w:rsidR="00E63C19" w:rsidRDefault="00E63C19" w:rsidP="00E63C19">
      <w:pPr>
        <w:pStyle w:val="Heading2"/>
        <w:spacing w:line="360" w:lineRule="auto"/>
      </w:pPr>
      <w:r w:rsidRPr="67FA5B61">
        <w:rPr>
          <w:rStyle w:val="Heading2Char"/>
        </w:rPr>
        <w:t>N</w:t>
      </w:r>
      <w:r>
        <w:t>umber needed to test full methodology</w:t>
      </w:r>
    </w:p>
    <w:p w14:paraId="4D1EE639" w14:textId="1971A838" w:rsidR="00A6650A" w:rsidRDefault="00E63C19" w:rsidP="00A6650A">
      <w:pPr>
        <w:spacing w:line="360" w:lineRule="auto"/>
      </w:pPr>
      <w:r>
        <w:t xml:space="preserve">For children with asthma </w:t>
      </w:r>
      <w:r w:rsidR="00512D6F">
        <w:t>prescribed</w:t>
      </w:r>
      <w:r>
        <w:t xml:space="preserve"> ICS</w:t>
      </w:r>
      <w:r w:rsidR="00512D6F">
        <w:t>, we first calculate the Number Needed to Test (NNT) in the PASS replication</w:t>
      </w:r>
      <w:r>
        <w:t xml:space="preserve"> </w:t>
      </w:r>
      <w:r w:rsidR="00512D6F">
        <w:t xml:space="preserve">cohort, as the effect size can be considered unbiased. </w:t>
      </w:r>
      <w:r w:rsidR="00A6650A">
        <w:t xml:space="preserve">Considering the rs591118 genotype within the PASS validation cohort, using the &lt;350nmol/L definition of adrenal suppression, the frequency of adrenal suppression in the wild-type homozygous (GG) group is 0.029 (2.9 per 100); heterozygous (AG) group is 0.097 (9.7 per 100); mutant-type homozygous group (AA) is 0.3 (30 per 100). The frequency of the heterozygous genotype is 0.41, and that of the homozygous mutant-type genotype is 0.13.  Assuming that we would use non-steroid treatment in heterozygotes and mutant homozygotes, we avoid 9.7 events per 100 paediatric patients in the heterozygous group and 30 events per 100 patients in the mutant-type homozygous group. This translates to needing to stop </w:t>
      </w:r>
      <w:r w:rsidR="00A6650A">
        <w:lastRenderedPageBreak/>
        <w:t>treating 11 ([1/9.7]*100) patients from the heterozygous group and 4 ([1/30]*100) patients from the mutant-type group to stop one event. The NNT to identify a sufficient number of children at increased risk of adrenal suppression and avoid one event of adrenal suppression would therefore be 27 (11/0.41) for heterozygous patients (95% CI 5-Inf) and 31 (4/0.13) for mutant-type homozygous patients (95% CI 16-485). Taking the lowest of these values, we need to test 27 (95% CI: 5-Inf) patients.</w:t>
      </w:r>
    </w:p>
    <w:p w14:paraId="5CEBBC74" w14:textId="135C2CBC" w:rsidR="00E63C19" w:rsidRDefault="00512D6F" w:rsidP="00E63C19">
      <w:pPr>
        <w:spacing w:line="360" w:lineRule="auto"/>
      </w:pPr>
      <w:r>
        <w:t xml:space="preserve">Collating all the data from paediatric cohorts provides a more precise estimate of NNT but may be subject to a potentially inflated effect size derived the derivation cohort. </w:t>
      </w:r>
      <w:r w:rsidR="00E63C19">
        <w:t>Considering the rs591118 genotype within the PASS discovery and validation cohorts combined</w:t>
      </w:r>
      <w:r>
        <w:t>.</w:t>
      </w:r>
      <w:r w:rsidR="00E63C19">
        <w:t xml:space="preserve"> </w:t>
      </w:r>
      <w:r>
        <w:t>U</w:t>
      </w:r>
      <w:r w:rsidR="00E63C19">
        <w:t xml:space="preserve">sing the &lt;350nmol/L definition of adrenal suppression, the frequency of adrenal suppression in the wild-type homozygous (GG) group is 0.017 (1.7 per 100); heterozygous (AG) group is 0.023 (2.3 per 100); mutant-type homozygous group (AA) is 0.182 (18.2 per 100). The frequency of the heterozygous genotype in the two cohorts combined is 0.45, and that of the homozygous mutant-type genotype is 0.16.  Assuming that we would use non-steroid treatment in heterozygotes and mutant homozygotes, we avoid 2.3 events per 100 paediatric patients in the heterozygous group and 18.2 events per 100 patients in the mutant-type homozygous group. This translates to needing to stop treating 44 ([1/2.3]*100) patients from the heterozygous group and 6 ([1/18.2]*100) patients from the mutant-type group to stop one event. The NNT to identify a sufficient number of children at increased risk of adrenal suppression and avoid one event of adrenal suppression would therefore be 98 (44/0.45) for heterozygous patients (95% CI 54-740) and 38 (6/0.16) for mutant-type homozygous patients (95% CI 24-61). Taking the lowest of these values, we need to test </w:t>
      </w:r>
      <w:bookmarkStart w:id="2" w:name="_GoBack"/>
      <w:r w:rsidR="00E63C19">
        <w:t>38</w:t>
      </w:r>
      <w:bookmarkEnd w:id="2"/>
      <w:r w:rsidR="00E63C19">
        <w:t xml:space="preserve"> (95% CI: 24-61) patients.</w:t>
      </w:r>
    </w:p>
    <w:p w14:paraId="5AA99F81" w14:textId="1CA34DF7" w:rsidR="00E63C19" w:rsidRDefault="00E63C19" w:rsidP="00E63C19">
      <w:pPr>
        <w:spacing w:line="360" w:lineRule="auto"/>
      </w:pPr>
      <w:r>
        <w:t xml:space="preserve">For adults with COPD: For the rs59118 genotype within the PASIC validation cohort, using the &lt;500nmol/L definition of adrenal suppression, the frequency of adrenal suppression in the wild-type homozygous group is 0.11 (11 per 100); heterozygous group is 0.21 (21 per 100); mutant-type homozygous group is 0.41 (41 per 100). The frequency of the heterozygous genotype in the cohort is 0.44, and that of the homozygous mutant-type genotype is 0.22.  Assuming that we would use non-steroid treatment in heterozygotes and mutant homozygotes, we avoid 21 events per 100 paediatric patients in the heterozygous group and 41 events per 100 patients in the mutant-type homozygous group. This translates to needing to stop treating 5 ([1/21]*100) patients from the heterozygous group and 3 ([1/41]*100) patients from the mutant-type group to stop one event. The NNT to identify a sufficient number of children at increased risk of adrenal suppression and avoid one event of adrenal suppression would therefore be 12 (5/0.44) for heterozygous patients (95% CI 7-23) and </w:t>
      </w:r>
      <w:r>
        <w:lastRenderedPageBreak/>
        <w:t>14 (3/0.22) for mutant-type homozygous patients (95% CI 9-23). Taking the lowest of these values, we need to test 12 (95% CI: 7-23) patients.</w:t>
      </w:r>
    </w:p>
    <w:p w14:paraId="19059FA9" w14:textId="77777777" w:rsidR="00E63C19" w:rsidRPr="002743D2" w:rsidRDefault="00E63C19" w:rsidP="002743D2">
      <w:pPr>
        <w:sectPr w:rsidR="00E63C19" w:rsidRPr="002743D2" w:rsidSect="00C7653E">
          <w:headerReference w:type="default" r:id="rId8"/>
          <w:footerReference w:type="default" r:id="rId9"/>
          <w:pgSz w:w="11906" w:h="16838"/>
          <w:pgMar w:top="1440" w:right="1440" w:bottom="1440" w:left="1440" w:header="709" w:footer="709" w:gutter="0"/>
          <w:cols w:space="708"/>
          <w:docGrid w:linePitch="360"/>
        </w:sectPr>
      </w:pPr>
    </w:p>
    <w:tbl>
      <w:tblPr>
        <w:tblpPr w:leftFromText="180" w:rightFromText="180" w:vertAnchor="page" w:horzAnchor="margin" w:tblpY="1880"/>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1564"/>
        <w:gridCol w:w="1564"/>
        <w:gridCol w:w="1564"/>
        <w:gridCol w:w="1564"/>
        <w:gridCol w:w="1564"/>
        <w:gridCol w:w="1561"/>
      </w:tblGrid>
      <w:tr w:rsidR="001A5083" w:rsidRPr="00891606" w14:paraId="4F8A8DDF" w14:textId="77777777" w:rsidTr="001A5083">
        <w:trPr>
          <w:trHeight w:val="324"/>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302EFC35" w14:textId="77777777" w:rsidR="001A5083" w:rsidRPr="00106754" w:rsidRDefault="001A5083" w:rsidP="00350EFF">
            <w:pPr>
              <w:spacing w:after="0" w:line="240" w:lineRule="auto"/>
              <w:jc w:val="center"/>
              <w:rPr>
                <w:rFonts w:eastAsia="Times New Roman"/>
                <w:b/>
                <w:sz w:val="20"/>
                <w:szCs w:val="20"/>
              </w:rPr>
            </w:pPr>
            <w:r w:rsidRPr="00106754">
              <w:rPr>
                <w:rFonts w:eastAsia="Times New Roman"/>
                <w:b/>
                <w:sz w:val="20"/>
                <w:szCs w:val="20"/>
              </w:rPr>
              <w:lastRenderedPageBreak/>
              <w:t>Peak cortisol</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E5C91" w14:textId="77777777" w:rsidR="001A5083" w:rsidRPr="00106754" w:rsidRDefault="001A5083" w:rsidP="00350EFF">
            <w:pPr>
              <w:spacing w:after="0" w:line="240" w:lineRule="auto"/>
              <w:jc w:val="center"/>
              <w:rPr>
                <w:rFonts w:eastAsia="Times New Roman"/>
                <w:b/>
                <w:sz w:val="20"/>
                <w:szCs w:val="20"/>
              </w:rPr>
            </w:pPr>
            <w:r>
              <w:rPr>
                <w:rFonts w:eastAsia="Times New Roman"/>
                <w:b/>
                <w:sz w:val="20"/>
                <w:szCs w:val="20"/>
              </w:rPr>
              <w:t xml:space="preserve">PASS &amp; </w:t>
            </w:r>
            <w:r w:rsidRPr="00106754">
              <w:rPr>
                <w:rFonts w:eastAsia="Times New Roman"/>
                <w:b/>
                <w:sz w:val="20"/>
                <w:szCs w:val="20"/>
              </w:rPr>
              <w:t>EMSC patients</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1DBF4" w14:textId="0FAE9E97" w:rsidR="001A5083" w:rsidRPr="00106754" w:rsidRDefault="001A5083" w:rsidP="00350EFF">
            <w:pPr>
              <w:spacing w:after="0" w:line="240" w:lineRule="auto"/>
              <w:jc w:val="center"/>
              <w:rPr>
                <w:rFonts w:eastAsia="Times New Roman"/>
                <w:b/>
                <w:sz w:val="20"/>
                <w:szCs w:val="20"/>
              </w:rPr>
            </w:pPr>
            <w:r>
              <w:rPr>
                <w:rFonts w:eastAsia="Times New Roman"/>
                <w:b/>
                <w:sz w:val="20"/>
                <w:szCs w:val="20"/>
              </w:rPr>
              <w:t xml:space="preserve">PASS </w:t>
            </w:r>
            <w:r w:rsidRPr="00106754">
              <w:rPr>
                <w:rFonts w:eastAsia="Times New Roman"/>
                <w:b/>
                <w:sz w:val="20"/>
                <w:szCs w:val="20"/>
              </w:rPr>
              <w:t>patients</w:t>
            </w:r>
          </w:p>
        </w:tc>
        <w:tc>
          <w:tcPr>
            <w:tcW w:w="1181" w:type="pct"/>
            <w:gridSpan w:val="2"/>
            <w:shd w:val="clear" w:color="auto" w:fill="auto"/>
            <w:vAlign w:val="center"/>
          </w:tcPr>
          <w:p w14:paraId="3DDFD8BD" w14:textId="77777777" w:rsidR="001A5083" w:rsidRPr="00106754" w:rsidRDefault="001A5083" w:rsidP="00350EFF">
            <w:pPr>
              <w:spacing w:after="0" w:line="240" w:lineRule="auto"/>
              <w:jc w:val="center"/>
              <w:rPr>
                <w:rFonts w:eastAsia="Times New Roman"/>
                <w:b/>
                <w:sz w:val="20"/>
                <w:szCs w:val="20"/>
              </w:rPr>
            </w:pPr>
            <w:r w:rsidRPr="00106754">
              <w:rPr>
                <w:rFonts w:eastAsia="Times New Roman"/>
                <w:b/>
                <w:sz w:val="20"/>
                <w:szCs w:val="20"/>
              </w:rPr>
              <w:t>All</w:t>
            </w:r>
          </w:p>
        </w:tc>
      </w:tr>
      <w:tr w:rsidR="001A5083" w:rsidRPr="00891606" w14:paraId="61F121FA" w14:textId="77777777" w:rsidTr="001A5083">
        <w:trPr>
          <w:trHeight w:val="427"/>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11717B3B" w14:textId="77777777" w:rsidR="001A5083" w:rsidRPr="00106754" w:rsidRDefault="001A5083" w:rsidP="00350EFF">
            <w:pPr>
              <w:spacing w:after="0" w:line="240" w:lineRule="auto"/>
              <w:jc w:val="center"/>
              <w:rPr>
                <w:rFonts w:eastAsia="Times New Roman"/>
                <w:b/>
                <w:sz w:val="20"/>
                <w:szCs w:val="20"/>
              </w:rPr>
            </w:pPr>
            <w:r w:rsidRPr="00106754">
              <w:rPr>
                <w:rFonts w:eastAsia="Times New Roman"/>
                <w:b/>
                <w:sz w:val="20"/>
                <w:szCs w:val="20"/>
              </w:rPr>
              <w:t>Independent Variable</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49914A65" w14:textId="77777777" w:rsidR="001A5083" w:rsidRPr="00106754" w:rsidRDefault="001A5083" w:rsidP="00350EFF">
            <w:pPr>
              <w:spacing w:after="0" w:line="240" w:lineRule="auto"/>
              <w:jc w:val="center"/>
              <w:rPr>
                <w:rFonts w:eastAsia="Times New Roman"/>
                <w:b/>
                <w:sz w:val="20"/>
                <w:szCs w:val="20"/>
              </w:rPr>
            </w:pPr>
            <w:r w:rsidRPr="00106754">
              <w:rPr>
                <w:rFonts w:eastAsia="Times New Roman"/>
                <w:b/>
                <w:sz w:val="20"/>
                <w:szCs w:val="20"/>
              </w:rPr>
              <w:t>n</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65DFD4DD" w14:textId="77777777" w:rsidR="001A5083" w:rsidRPr="00106754" w:rsidRDefault="001A5083" w:rsidP="00350EFF">
            <w:pPr>
              <w:spacing w:after="0" w:line="240" w:lineRule="auto"/>
              <w:jc w:val="center"/>
              <w:rPr>
                <w:rFonts w:eastAsia="Times New Roman"/>
                <w:b/>
                <w:sz w:val="20"/>
                <w:szCs w:val="20"/>
              </w:rPr>
            </w:pPr>
            <w:r w:rsidRPr="00106754">
              <w:rPr>
                <w:rFonts w:eastAsia="Times New Roman"/>
                <w:b/>
                <w:sz w:val="20"/>
                <w:szCs w:val="20"/>
              </w:rPr>
              <w:t>p-value</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56F609C3" w14:textId="77777777" w:rsidR="001A5083" w:rsidRPr="00106754" w:rsidRDefault="001A5083" w:rsidP="00350EFF">
            <w:pPr>
              <w:spacing w:after="0" w:line="240" w:lineRule="auto"/>
              <w:jc w:val="center"/>
              <w:rPr>
                <w:rFonts w:eastAsia="Times New Roman"/>
                <w:b/>
                <w:sz w:val="20"/>
                <w:szCs w:val="20"/>
              </w:rPr>
            </w:pPr>
            <w:r w:rsidRPr="00106754">
              <w:rPr>
                <w:rFonts w:eastAsia="Times New Roman"/>
                <w:b/>
                <w:sz w:val="20"/>
                <w:szCs w:val="20"/>
              </w:rPr>
              <w:t>n</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37E151C3" w14:textId="77777777" w:rsidR="001A5083" w:rsidRPr="00106754" w:rsidRDefault="001A5083" w:rsidP="00350EFF">
            <w:pPr>
              <w:spacing w:after="0" w:line="240" w:lineRule="auto"/>
              <w:jc w:val="center"/>
              <w:rPr>
                <w:b/>
                <w:sz w:val="20"/>
                <w:szCs w:val="20"/>
              </w:rPr>
            </w:pPr>
            <w:r w:rsidRPr="00106754">
              <w:rPr>
                <w:rFonts w:eastAsia="Times New Roman"/>
                <w:b/>
                <w:sz w:val="20"/>
                <w:szCs w:val="20"/>
              </w:rPr>
              <w:t>p-value</w:t>
            </w:r>
          </w:p>
        </w:tc>
        <w:tc>
          <w:tcPr>
            <w:tcW w:w="591" w:type="pct"/>
            <w:shd w:val="clear" w:color="auto" w:fill="auto"/>
            <w:vAlign w:val="center"/>
          </w:tcPr>
          <w:p w14:paraId="5A0A6A19" w14:textId="77777777" w:rsidR="001A5083" w:rsidRPr="00106754" w:rsidRDefault="001A5083" w:rsidP="00350EFF">
            <w:pPr>
              <w:spacing w:after="0" w:line="240" w:lineRule="auto"/>
              <w:jc w:val="center"/>
              <w:rPr>
                <w:b/>
                <w:sz w:val="20"/>
                <w:szCs w:val="20"/>
              </w:rPr>
            </w:pPr>
            <w:r w:rsidRPr="00106754">
              <w:rPr>
                <w:rFonts w:eastAsia="Times New Roman"/>
                <w:b/>
                <w:sz w:val="20"/>
                <w:szCs w:val="20"/>
              </w:rPr>
              <w:t>n</w:t>
            </w:r>
          </w:p>
        </w:tc>
        <w:tc>
          <w:tcPr>
            <w:tcW w:w="590" w:type="pct"/>
            <w:shd w:val="clear" w:color="auto" w:fill="auto"/>
            <w:vAlign w:val="center"/>
          </w:tcPr>
          <w:p w14:paraId="5C952D21" w14:textId="77777777" w:rsidR="001A5083" w:rsidRPr="00106754" w:rsidRDefault="001A5083" w:rsidP="00350EFF">
            <w:pPr>
              <w:spacing w:after="0" w:line="240" w:lineRule="auto"/>
              <w:jc w:val="center"/>
              <w:rPr>
                <w:rFonts w:eastAsia="Times New Roman"/>
                <w:b/>
                <w:sz w:val="20"/>
                <w:szCs w:val="20"/>
              </w:rPr>
            </w:pPr>
            <w:r w:rsidRPr="00106754">
              <w:rPr>
                <w:rFonts w:eastAsia="Times New Roman"/>
                <w:b/>
                <w:sz w:val="20"/>
                <w:szCs w:val="20"/>
              </w:rPr>
              <w:t>p-value</w:t>
            </w:r>
          </w:p>
        </w:tc>
      </w:tr>
      <w:tr w:rsidR="001A5083" w:rsidRPr="00891606" w14:paraId="28AE94D3" w14:textId="77777777" w:rsidTr="001A5083">
        <w:trPr>
          <w:trHeight w:val="288"/>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7AB16F99" w14:textId="77777777" w:rsidR="001A5083" w:rsidRPr="00CF30FD" w:rsidRDefault="001A5083" w:rsidP="00350EFF">
            <w:pPr>
              <w:spacing w:after="0" w:line="240" w:lineRule="auto"/>
              <w:jc w:val="center"/>
              <w:rPr>
                <w:rFonts w:eastAsia="Times New Roman"/>
                <w:sz w:val="20"/>
                <w:szCs w:val="20"/>
              </w:rPr>
            </w:pPr>
            <w:r w:rsidRPr="00F77873">
              <w:rPr>
                <w:rFonts w:eastAsia="Times New Roman"/>
                <w:sz w:val="20"/>
                <w:szCs w:val="20"/>
              </w:rPr>
              <w:t>Age</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0413437C"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279</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7210AC1C"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0.84</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04A793A1"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152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2BD738DE"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0.70</w:t>
            </w:r>
          </w:p>
        </w:tc>
        <w:tc>
          <w:tcPr>
            <w:tcW w:w="591" w:type="pct"/>
            <w:shd w:val="clear" w:color="auto" w:fill="auto"/>
            <w:vAlign w:val="center"/>
          </w:tcPr>
          <w:p w14:paraId="7AAD6B05" w14:textId="77777777" w:rsidR="001A5083" w:rsidRPr="00106754" w:rsidRDefault="001A5083" w:rsidP="00A84C42">
            <w:pPr>
              <w:spacing w:after="0" w:line="240" w:lineRule="auto"/>
              <w:jc w:val="center"/>
              <w:rPr>
                <w:rFonts w:eastAsia="Times New Roman"/>
                <w:sz w:val="20"/>
                <w:szCs w:val="20"/>
              </w:rPr>
            </w:pPr>
            <w:r w:rsidRPr="00106754">
              <w:rPr>
                <w:rFonts w:eastAsia="Times New Roman"/>
                <w:sz w:val="20"/>
                <w:szCs w:val="20"/>
              </w:rPr>
              <w:t>432</w:t>
            </w:r>
          </w:p>
        </w:tc>
        <w:tc>
          <w:tcPr>
            <w:tcW w:w="590" w:type="pct"/>
            <w:shd w:val="clear" w:color="auto" w:fill="auto"/>
            <w:vAlign w:val="center"/>
          </w:tcPr>
          <w:p w14:paraId="69EF9EDE" w14:textId="77777777" w:rsidR="001A5083" w:rsidRPr="00106754" w:rsidRDefault="001A5083" w:rsidP="00F91A31">
            <w:pPr>
              <w:spacing w:after="0" w:line="240" w:lineRule="auto"/>
              <w:jc w:val="center"/>
              <w:rPr>
                <w:rFonts w:eastAsia="Times New Roman"/>
                <w:sz w:val="20"/>
                <w:szCs w:val="20"/>
              </w:rPr>
            </w:pPr>
            <w:r w:rsidRPr="00106754">
              <w:rPr>
                <w:rFonts w:eastAsia="Times New Roman"/>
                <w:sz w:val="20"/>
                <w:szCs w:val="20"/>
              </w:rPr>
              <w:t>0.44</w:t>
            </w:r>
          </w:p>
        </w:tc>
      </w:tr>
      <w:tr w:rsidR="001A5083" w:rsidRPr="00891606" w14:paraId="35263EF7" w14:textId="77777777" w:rsidTr="001A5083">
        <w:trPr>
          <w:trHeight w:val="351"/>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4C9024E3" w14:textId="77777777" w:rsidR="001A5083" w:rsidRPr="00CF30FD" w:rsidRDefault="001A5083" w:rsidP="00350EFF">
            <w:pPr>
              <w:spacing w:after="0" w:line="240" w:lineRule="auto"/>
              <w:jc w:val="center"/>
              <w:rPr>
                <w:rFonts w:eastAsia="Times New Roman"/>
                <w:sz w:val="20"/>
                <w:szCs w:val="20"/>
              </w:rPr>
            </w:pPr>
            <w:r w:rsidRPr="00F77873">
              <w:rPr>
                <w:rFonts w:eastAsia="Times New Roman"/>
                <w:sz w:val="20"/>
                <w:szCs w:val="20"/>
              </w:rPr>
              <w:t>Gender</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50E4082F"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279</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571AC63E"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0.008</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39342A31"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151</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21436255"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0.93</w:t>
            </w:r>
          </w:p>
        </w:tc>
        <w:tc>
          <w:tcPr>
            <w:tcW w:w="591" w:type="pct"/>
            <w:shd w:val="clear" w:color="auto" w:fill="auto"/>
            <w:vAlign w:val="center"/>
          </w:tcPr>
          <w:p w14:paraId="31202A20" w14:textId="77777777" w:rsidR="001A5083" w:rsidRPr="00106754" w:rsidRDefault="001A5083" w:rsidP="00A84C42">
            <w:pPr>
              <w:spacing w:after="0" w:line="240" w:lineRule="auto"/>
              <w:jc w:val="center"/>
              <w:rPr>
                <w:rFonts w:eastAsia="Times New Roman"/>
                <w:sz w:val="20"/>
                <w:szCs w:val="20"/>
              </w:rPr>
            </w:pPr>
            <w:r w:rsidRPr="00106754">
              <w:rPr>
                <w:rFonts w:eastAsia="Times New Roman"/>
                <w:sz w:val="20"/>
                <w:szCs w:val="20"/>
              </w:rPr>
              <w:t>434</w:t>
            </w:r>
          </w:p>
        </w:tc>
        <w:tc>
          <w:tcPr>
            <w:tcW w:w="590" w:type="pct"/>
            <w:shd w:val="clear" w:color="auto" w:fill="auto"/>
            <w:vAlign w:val="center"/>
          </w:tcPr>
          <w:p w14:paraId="39FCDFE6" w14:textId="77777777" w:rsidR="001A5083" w:rsidRPr="00106754" w:rsidRDefault="001A5083" w:rsidP="00F91A31">
            <w:pPr>
              <w:spacing w:after="0" w:line="240" w:lineRule="auto"/>
              <w:jc w:val="center"/>
              <w:rPr>
                <w:rFonts w:eastAsia="Times New Roman"/>
                <w:sz w:val="20"/>
                <w:szCs w:val="20"/>
              </w:rPr>
            </w:pPr>
            <w:r w:rsidRPr="00106754">
              <w:rPr>
                <w:rFonts w:eastAsia="Times New Roman"/>
                <w:sz w:val="20"/>
                <w:szCs w:val="20"/>
              </w:rPr>
              <w:t>0.09</w:t>
            </w:r>
          </w:p>
        </w:tc>
      </w:tr>
      <w:tr w:rsidR="001A5083" w:rsidRPr="00891606" w14:paraId="0FFBA5F9" w14:textId="77777777" w:rsidTr="001A5083">
        <w:trPr>
          <w:trHeight w:val="287"/>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174A5D5A" w14:textId="77777777" w:rsidR="001A5083" w:rsidRPr="00CF30FD" w:rsidRDefault="001A5083" w:rsidP="00350EFF">
            <w:pPr>
              <w:spacing w:after="0" w:line="240" w:lineRule="auto"/>
              <w:jc w:val="center"/>
              <w:rPr>
                <w:rFonts w:eastAsia="Times New Roman"/>
                <w:sz w:val="20"/>
                <w:szCs w:val="20"/>
              </w:rPr>
            </w:pPr>
            <w:r w:rsidRPr="00F77873">
              <w:rPr>
                <w:rFonts w:eastAsia="Times New Roman"/>
                <w:sz w:val="20"/>
                <w:szCs w:val="20"/>
              </w:rPr>
              <w:t>Gender (age ≥12 years)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1AEC1473"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111</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6DD92F94" w14:textId="77777777" w:rsidR="001A5083" w:rsidRPr="00BC66D4" w:rsidRDefault="001A5083" w:rsidP="00350EFF">
            <w:pPr>
              <w:spacing w:after="0" w:line="240" w:lineRule="auto"/>
              <w:jc w:val="center"/>
              <w:rPr>
                <w:rFonts w:eastAsia="Times New Roman"/>
                <w:b/>
                <w:sz w:val="20"/>
                <w:szCs w:val="20"/>
              </w:rPr>
            </w:pPr>
            <w:r w:rsidRPr="00BC66D4">
              <w:rPr>
                <w:rFonts w:eastAsia="Times New Roman"/>
                <w:b/>
                <w:sz w:val="20"/>
                <w:szCs w:val="20"/>
              </w:rPr>
              <w:t>0.002*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40033C9F"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87</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57398357"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0.68</w:t>
            </w:r>
          </w:p>
        </w:tc>
        <w:tc>
          <w:tcPr>
            <w:tcW w:w="591" w:type="pct"/>
            <w:shd w:val="clear" w:color="auto" w:fill="auto"/>
            <w:vAlign w:val="center"/>
          </w:tcPr>
          <w:p w14:paraId="547089CE" w14:textId="77777777" w:rsidR="001A5083" w:rsidRPr="00106754" w:rsidRDefault="001A5083" w:rsidP="00A84C42">
            <w:pPr>
              <w:spacing w:after="0" w:line="240" w:lineRule="auto"/>
              <w:jc w:val="center"/>
              <w:rPr>
                <w:rFonts w:eastAsia="Times New Roman"/>
                <w:sz w:val="20"/>
                <w:szCs w:val="20"/>
              </w:rPr>
            </w:pPr>
            <w:r w:rsidRPr="00106754">
              <w:rPr>
                <w:rFonts w:eastAsia="Times New Roman"/>
                <w:sz w:val="20"/>
                <w:szCs w:val="20"/>
              </w:rPr>
              <w:t>202</w:t>
            </w:r>
          </w:p>
        </w:tc>
        <w:tc>
          <w:tcPr>
            <w:tcW w:w="590" w:type="pct"/>
            <w:shd w:val="clear" w:color="auto" w:fill="auto"/>
            <w:vAlign w:val="center"/>
          </w:tcPr>
          <w:p w14:paraId="7C637E92" w14:textId="77777777" w:rsidR="001A5083" w:rsidRPr="00106754" w:rsidRDefault="001A5083" w:rsidP="00F91A31">
            <w:pPr>
              <w:spacing w:after="0" w:line="240" w:lineRule="auto"/>
              <w:jc w:val="center"/>
              <w:rPr>
                <w:rFonts w:eastAsia="Times New Roman"/>
                <w:sz w:val="20"/>
                <w:szCs w:val="20"/>
              </w:rPr>
            </w:pPr>
            <w:r w:rsidRPr="00106754">
              <w:rPr>
                <w:rFonts w:eastAsia="Times New Roman"/>
                <w:sz w:val="20"/>
                <w:szCs w:val="20"/>
              </w:rPr>
              <w:t>0.027</w:t>
            </w:r>
          </w:p>
        </w:tc>
      </w:tr>
      <w:tr w:rsidR="001A5083" w:rsidRPr="00891606" w14:paraId="6EED59B2" w14:textId="77777777" w:rsidTr="001A5083">
        <w:trPr>
          <w:trHeight w:val="506"/>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441AE98B" w14:textId="77777777" w:rsidR="001A5083" w:rsidRPr="00CF30FD" w:rsidRDefault="001A5083" w:rsidP="00350EFF">
            <w:pPr>
              <w:spacing w:after="0" w:line="240" w:lineRule="auto"/>
              <w:jc w:val="center"/>
              <w:rPr>
                <w:rFonts w:eastAsia="Times New Roman"/>
                <w:sz w:val="20"/>
                <w:szCs w:val="20"/>
              </w:rPr>
            </w:pPr>
            <w:r w:rsidRPr="00F77873">
              <w:rPr>
                <w:rFonts w:eastAsia="Times New Roman"/>
                <w:sz w:val="20"/>
                <w:szCs w:val="20"/>
              </w:rPr>
              <w:t>Inhaled/intranasal dose– no adjustment for oral/rescue</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577E5A27"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278</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25557026"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0.98</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59BC1D72"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146</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20C28EBC"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0.026</w:t>
            </w:r>
          </w:p>
        </w:tc>
        <w:tc>
          <w:tcPr>
            <w:tcW w:w="591" w:type="pct"/>
            <w:shd w:val="clear" w:color="auto" w:fill="auto"/>
            <w:vAlign w:val="center"/>
          </w:tcPr>
          <w:p w14:paraId="62EA807C" w14:textId="77777777" w:rsidR="001A5083" w:rsidRPr="00106754" w:rsidRDefault="001A5083" w:rsidP="00A84C42">
            <w:pPr>
              <w:spacing w:after="0" w:line="240" w:lineRule="auto"/>
              <w:jc w:val="center"/>
              <w:rPr>
                <w:rFonts w:eastAsia="Times New Roman"/>
                <w:sz w:val="20"/>
                <w:szCs w:val="20"/>
              </w:rPr>
            </w:pPr>
            <w:r w:rsidRPr="00106754">
              <w:rPr>
                <w:rFonts w:eastAsia="Times New Roman"/>
                <w:sz w:val="20"/>
                <w:szCs w:val="20"/>
              </w:rPr>
              <w:t>429</w:t>
            </w:r>
          </w:p>
        </w:tc>
        <w:tc>
          <w:tcPr>
            <w:tcW w:w="590" w:type="pct"/>
            <w:shd w:val="clear" w:color="auto" w:fill="auto"/>
            <w:vAlign w:val="center"/>
          </w:tcPr>
          <w:p w14:paraId="59500C1B" w14:textId="77777777" w:rsidR="001A5083" w:rsidRPr="00106754" w:rsidRDefault="001A5083" w:rsidP="00F91A31">
            <w:pPr>
              <w:spacing w:after="0" w:line="240" w:lineRule="auto"/>
              <w:jc w:val="center"/>
              <w:rPr>
                <w:rFonts w:eastAsia="Times New Roman"/>
                <w:b/>
                <w:sz w:val="20"/>
                <w:szCs w:val="20"/>
              </w:rPr>
            </w:pPr>
            <w:r w:rsidRPr="00106754">
              <w:rPr>
                <w:rFonts w:eastAsia="Times New Roman"/>
                <w:sz w:val="20"/>
                <w:szCs w:val="20"/>
              </w:rPr>
              <w:t>0.06</w:t>
            </w:r>
          </w:p>
        </w:tc>
      </w:tr>
      <w:tr w:rsidR="001A5083" w:rsidRPr="00891606" w14:paraId="54EC0314" w14:textId="77777777" w:rsidTr="001A5083">
        <w:trPr>
          <w:trHeight w:val="700"/>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22970577" w14:textId="77777777" w:rsidR="001A5083" w:rsidRPr="00CF30FD" w:rsidRDefault="001A5083" w:rsidP="00350EFF">
            <w:pPr>
              <w:spacing w:after="0" w:line="240" w:lineRule="auto"/>
              <w:jc w:val="center"/>
              <w:rPr>
                <w:rFonts w:eastAsia="Times New Roman"/>
                <w:sz w:val="20"/>
                <w:szCs w:val="20"/>
              </w:rPr>
            </w:pPr>
            <w:r w:rsidRPr="00F77873">
              <w:rPr>
                <w:rFonts w:eastAsia="Times New Roman"/>
                <w:sz w:val="20"/>
                <w:szCs w:val="20"/>
              </w:rPr>
              <w:t>Inhaled/intranasal steroid cumulative dose – adjusted fororal/rescue</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16B96D31"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269</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629EA4CD"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0.63</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7B25288E"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138</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5B91D8DA"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0.14</w:t>
            </w:r>
          </w:p>
        </w:tc>
        <w:tc>
          <w:tcPr>
            <w:tcW w:w="591" w:type="pct"/>
            <w:shd w:val="clear" w:color="auto" w:fill="auto"/>
            <w:vAlign w:val="center"/>
          </w:tcPr>
          <w:p w14:paraId="05391A69" w14:textId="77777777" w:rsidR="001A5083" w:rsidRPr="00106754" w:rsidRDefault="001A5083" w:rsidP="00A84C42">
            <w:pPr>
              <w:spacing w:after="0" w:line="240" w:lineRule="auto"/>
              <w:jc w:val="center"/>
              <w:rPr>
                <w:rFonts w:eastAsia="Times New Roman"/>
                <w:sz w:val="20"/>
                <w:szCs w:val="20"/>
              </w:rPr>
            </w:pPr>
            <w:r w:rsidRPr="00106754">
              <w:rPr>
                <w:rFonts w:eastAsia="Times New Roman"/>
                <w:sz w:val="20"/>
                <w:szCs w:val="20"/>
              </w:rPr>
              <w:t>409</w:t>
            </w:r>
          </w:p>
        </w:tc>
        <w:tc>
          <w:tcPr>
            <w:tcW w:w="590" w:type="pct"/>
            <w:shd w:val="clear" w:color="auto" w:fill="auto"/>
            <w:vAlign w:val="center"/>
          </w:tcPr>
          <w:p w14:paraId="7AB6E13E" w14:textId="77777777" w:rsidR="001A5083" w:rsidRPr="00106754" w:rsidRDefault="001A5083" w:rsidP="00F91A31">
            <w:pPr>
              <w:spacing w:after="0" w:line="240" w:lineRule="auto"/>
              <w:jc w:val="center"/>
              <w:rPr>
                <w:rFonts w:eastAsia="Times New Roman"/>
                <w:sz w:val="20"/>
                <w:szCs w:val="20"/>
              </w:rPr>
            </w:pPr>
            <w:r w:rsidRPr="00106754">
              <w:rPr>
                <w:rFonts w:eastAsia="Times New Roman"/>
                <w:sz w:val="20"/>
                <w:szCs w:val="20"/>
              </w:rPr>
              <w:t>0.56</w:t>
            </w:r>
          </w:p>
        </w:tc>
      </w:tr>
      <w:tr w:rsidR="001A5083" w:rsidRPr="00891606" w14:paraId="1DDB6D3B" w14:textId="77777777" w:rsidTr="001A5083">
        <w:trPr>
          <w:trHeight w:val="994"/>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7D3F0455" w14:textId="77777777" w:rsidR="001A5083" w:rsidRPr="00CF30FD" w:rsidRDefault="001A5083" w:rsidP="00350EFF">
            <w:pPr>
              <w:spacing w:after="0" w:line="240" w:lineRule="auto"/>
              <w:jc w:val="center"/>
              <w:rPr>
                <w:rFonts w:eastAsia="Times New Roman"/>
                <w:sz w:val="20"/>
                <w:szCs w:val="20"/>
              </w:rPr>
            </w:pPr>
            <w:r w:rsidRPr="00F77873">
              <w:rPr>
                <w:rFonts w:eastAsia="Times New Roman"/>
                <w:sz w:val="20"/>
                <w:szCs w:val="20"/>
              </w:rPr>
              <w:t>Number of courses of rescue steroids(excluding those on oral steroids; no adjustment for inhaled/intranasal)</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75962A8F"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248</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1CEBAF8E"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0.77</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18BA9AF4"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124</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49D7373D"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0.16</w:t>
            </w:r>
          </w:p>
        </w:tc>
        <w:tc>
          <w:tcPr>
            <w:tcW w:w="591" w:type="pct"/>
            <w:shd w:val="clear" w:color="auto" w:fill="auto"/>
            <w:vAlign w:val="center"/>
          </w:tcPr>
          <w:p w14:paraId="606F0CA1" w14:textId="77777777" w:rsidR="001A5083" w:rsidRPr="00106754" w:rsidRDefault="001A5083" w:rsidP="00A84C42">
            <w:pPr>
              <w:spacing w:after="0" w:line="240" w:lineRule="auto"/>
              <w:jc w:val="center"/>
              <w:rPr>
                <w:rFonts w:eastAsia="Times New Roman"/>
                <w:sz w:val="20"/>
                <w:szCs w:val="20"/>
              </w:rPr>
            </w:pPr>
            <w:r w:rsidRPr="00106754">
              <w:rPr>
                <w:rFonts w:eastAsia="Times New Roman"/>
                <w:sz w:val="20"/>
                <w:szCs w:val="20"/>
              </w:rPr>
              <w:t>373</w:t>
            </w:r>
          </w:p>
        </w:tc>
        <w:tc>
          <w:tcPr>
            <w:tcW w:w="590" w:type="pct"/>
            <w:shd w:val="clear" w:color="auto" w:fill="auto"/>
            <w:vAlign w:val="center"/>
          </w:tcPr>
          <w:p w14:paraId="1F4464CA" w14:textId="77777777" w:rsidR="001A5083" w:rsidRPr="00106754" w:rsidRDefault="001A5083" w:rsidP="00F91A31">
            <w:pPr>
              <w:spacing w:after="0" w:line="240" w:lineRule="auto"/>
              <w:jc w:val="center"/>
              <w:rPr>
                <w:rFonts w:eastAsia="Times New Roman"/>
                <w:sz w:val="20"/>
                <w:szCs w:val="20"/>
              </w:rPr>
            </w:pPr>
            <w:r w:rsidRPr="00106754">
              <w:rPr>
                <w:rFonts w:eastAsia="Times New Roman"/>
                <w:sz w:val="20"/>
                <w:szCs w:val="20"/>
              </w:rPr>
              <w:t>0.21</w:t>
            </w:r>
          </w:p>
        </w:tc>
      </w:tr>
      <w:tr w:rsidR="001A5083" w:rsidRPr="00891606" w14:paraId="3A5BD3A6" w14:textId="77777777" w:rsidTr="001A5083">
        <w:trPr>
          <w:trHeight w:val="1010"/>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05FA2DBB" w14:textId="77777777" w:rsidR="001A5083" w:rsidRPr="00CF30FD" w:rsidRDefault="001A5083" w:rsidP="00350EFF">
            <w:pPr>
              <w:spacing w:after="0" w:line="240" w:lineRule="auto"/>
              <w:jc w:val="center"/>
              <w:rPr>
                <w:rFonts w:eastAsia="Times New Roman"/>
                <w:sz w:val="20"/>
                <w:szCs w:val="20"/>
              </w:rPr>
            </w:pPr>
            <w:r w:rsidRPr="00F77873">
              <w:rPr>
                <w:rFonts w:eastAsia="Times New Roman"/>
                <w:sz w:val="20"/>
                <w:szCs w:val="20"/>
              </w:rPr>
              <w:t>Number of courses of rescue steroids (excluding those on regular oral steroids; adjustment for inhaled/intranasal)</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69B9025F"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247</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799CF37D"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0.75</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153601B7"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121</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53EC9455"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0.32</w:t>
            </w:r>
          </w:p>
        </w:tc>
        <w:tc>
          <w:tcPr>
            <w:tcW w:w="591" w:type="pct"/>
            <w:shd w:val="clear" w:color="auto" w:fill="auto"/>
            <w:vAlign w:val="center"/>
          </w:tcPr>
          <w:p w14:paraId="36036C54" w14:textId="77777777" w:rsidR="001A5083" w:rsidRPr="00106754" w:rsidRDefault="001A5083" w:rsidP="00A84C42">
            <w:pPr>
              <w:spacing w:after="0" w:line="240" w:lineRule="auto"/>
              <w:jc w:val="center"/>
              <w:rPr>
                <w:rFonts w:eastAsia="Times New Roman"/>
                <w:sz w:val="20"/>
                <w:szCs w:val="20"/>
              </w:rPr>
            </w:pPr>
            <w:r w:rsidRPr="00106754">
              <w:rPr>
                <w:rFonts w:eastAsia="Times New Roman"/>
                <w:sz w:val="20"/>
                <w:szCs w:val="20"/>
              </w:rPr>
              <w:t>369</w:t>
            </w:r>
          </w:p>
        </w:tc>
        <w:tc>
          <w:tcPr>
            <w:tcW w:w="590" w:type="pct"/>
            <w:shd w:val="clear" w:color="auto" w:fill="auto"/>
            <w:vAlign w:val="center"/>
          </w:tcPr>
          <w:p w14:paraId="3C5F9820" w14:textId="77777777" w:rsidR="001A5083" w:rsidRPr="00106754" w:rsidRDefault="001A5083" w:rsidP="00F91A31">
            <w:pPr>
              <w:spacing w:after="0" w:line="240" w:lineRule="auto"/>
              <w:jc w:val="center"/>
              <w:rPr>
                <w:rFonts w:eastAsia="Times New Roman"/>
                <w:sz w:val="20"/>
                <w:szCs w:val="20"/>
              </w:rPr>
            </w:pPr>
            <w:r w:rsidRPr="00106754">
              <w:rPr>
                <w:rFonts w:eastAsia="Times New Roman"/>
                <w:sz w:val="20"/>
                <w:szCs w:val="20"/>
              </w:rPr>
              <w:t>0.31</w:t>
            </w:r>
          </w:p>
        </w:tc>
      </w:tr>
      <w:tr w:rsidR="001A5083" w:rsidRPr="00891606" w14:paraId="254F62A3" w14:textId="77777777" w:rsidTr="001A5083">
        <w:trPr>
          <w:trHeight w:val="898"/>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6FD360D7" w14:textId="77777777" w:rsidR="001A5083" w:rsidRPr="00CF30FD" w:rsidRDefault="001A5083" w:rsidP="00350EFF">
            <w:pPr>
              <w:spacing w:after="0" w:line="240" w:lineRule="auto"/>
              <w:jc w:val="center"/>
              <w:rPr>
                <w:rFonts w:eastAsia="Times New Roman"/>
                <w:sz w:val="20"/>
                <w:szCs w:val="20"/>
              </w:rPr>
            </w:pPr>
            <w:r w:rsidRPr="00F77873">
              <w:rPr>
                <w:rFonts w:eastAsia="Times New Roman"/>
                <w:sz w:val="20"/>
                <w:szCs w:val="20"/>
              </w:rPr>
              <w:t>Number of courses of rescue steroids (including those on regular oral steroids; no adjustment for inhaled/intranasal and oral)</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1B371AA2"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270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2C057C83"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0.35</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69868840"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142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6925F735"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0.25</w:t>
            </w:r>
          </w:p>
        </w:tc>
        <w:tc>
          <w:tcPr>
            <w:tcW w:w="591" w:type="pct"/>
            <w:shd w:val="clear" w:color="auto" w:fill="auto"/>
            <w:vAlign w:val="center"/>
          </w:tcPr>
          <w:p w14:paraId="7089A509" w14:textId="77777777" w:rsidR="001A5083" w:rsidRPr="00106754" w:rsidRDefault="001A5083" w:rsidP="00A84C42">
            <w:pPr>
              <w:spacing w:after="0" w:line="240" w:lineRule="auto"/>
              <w:jc w:val="center"/>
              <w:rPr>
                <w:rFonts w:eastAsia="Times New Roman"/>
                <w:sz w:val="20"/>
                <w:szCs w:val="20"/>
              </w:rPr>
            </w:pPr>
            <w:r w:rsidRPr="00106754">
              <w:rPr>
                <w:rFonts w:eastAsia="Times New Roman"/>
                <w:sz w:val="20"/>
                <w:szCs w:val="20"/>
              </w:rPr>
              <w:t>416</w:t>
            </w:r>
          </w:p>
        </w:tc>
        <w:tc>
          <w:tcPr>
            <w:tcW w:w="590" w:type="pct"/>
            <w:shd w:val="clear" w:color="auto" w:fill="auto"/>
            <w:vAlign w:val="center"/>
          </w:tcPr>
          <w:p w14:paraId="6B8D42FA" w14:textId="77777777" w:rsidR="001A5083" w:rsidRPr="00106754" w:rsidRDefault="001A5083" w:rsidP="00F91A31">
            <w:pPr>
              <w:spacing w:after="0" w:line="240" w:lineRule="auto"/>
              <w:jc w:val="center"/>
              <w:rPr>
                <w:rFonts w:eastAsia="Times New Roman"/>
                <w:sz w:val="20"/>
                <w:szCs w:val="20"/>
              </w:rPr>
            </w:pPr>
            <w:r w:rsidRPr="00106754">
              <w:rPr>
                <w:rFonts w:eastAsia="Times New Roman"/>
                <w:sz w:val="20"/>
                <w:szCs w:val="20"/>
              </w:rPr>
              <w:t>0.11</w:t>
            </w:r>
          </w:p>
        </w:tc>
      </w:tr>
      <w:tr w:rsidR="001A5083" w:rsidRPr="00891606" w14:paraId="07A3C2C1" w14:textId="77777777" w:rsidTr="001A5083">
        <w:trPr>
          <w:trHeight w:val="914"/>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7187DDC1" w14:textId="77777777" w:rsidR="001A5083" w:rsidRPr="00CF30FD" w:rsidRDefault="001A5083" w:rsidP="00350EFF">
            <w:pPr>
              <w:spacing w:after="0" w:line="240" w:lineRule="auto"/>
              <w:jc w:val="center"/>
              <w:rPr>
                <w:rFonts w:eastAsia="Times New Roman"/>
                <w:sz w:val="20"/>
                <w:szCs w:val="20"/>
              </w:rPr>
            </w:pPr>
            <w:r w:rsidRPr="00F77873">
              <w:rPr>
                <w:rFonts w:eastAsia="Times New Roman"/>
                <w:sz w:val="20"/>
                <w:szCs w:val="20"/>
              </w:rPr>
              <w:t>Number of courses of rescue steroids (including those on regular oral steroids; adjustment for inhaled/intranasal and oral)</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04532D74"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269</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060363D5"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0.54</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4B1987B1"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138</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2D777CAD"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0.38</w:t>
            </w:r>
          </w:p>
        </w:tc>
        <w:tc>
          <w:tcPr>
            <w:tcW w:w="591" w:type="pct"/>
            <w:shd w:val="clear" w:color="auto" w:fill="auto"/>
            <w:vAlign w:val="center"/>
          </w:tcPr>
          <w:p w14:paraId="5BF6B77D" w14:textId="77777777" w:rsidR="001A5083" w:rsidRPr="00106754" w:rsidRDefault="001A5083" w:rsidP="00A84C42">
            <w:pPr>
              <w:spacing w:after="0" w:line="240" w:lineRule="auto"/>
              <w:jc w:val="center"/>
              <w:rPr>
                <w:rFonts w:eastAsia="Times New Roman"/>
                <w:sz w:val="20"/>
                <w:szCs w:val="20"/>
              </w:rPr>
            </w:pPr>
            <w:r w:rsidRPr="00106754">
              <w:rPr>
                <w:rFonts w:eastAsia="Times New Roman"/>
                <w:sz w:val="20"/>
                <w:szCs w:val="20"/>
              </w:rPr>
              <w:t>411</w:t>
            </w:r>
          </w:p>
        </w:tc>
        <w:tc>
          <w:tcPr>
            <w:tcW w:w="590" w:type="pct"/>
            <w:shd w:val="clear" w:color="auto" w:fill="auto"/>
            <w:vAlign w:val="center"/>
          </w:tcPr>
          <w:p w14:paraId="22EA0A8F" w14:textId="77777777" w:rsidR="001A5083" w:rsidRPr="00106754" w:rsidRDefault="001A5083" w:rsidP="00F91A31">
            <w:pPr>
              <w:spacing w:after="0" w:line="240" w:lineRule="auto"/>
              <w:jc w:val="center"/>
              <w:rPr>
                <w:rFonts w:eastAsia="Times New Roman"/>
                <w:sz w:val="20"/>
                <w:szCs w:val="20"/>
              </w:rPr>
            </w:pPr>
            <w:r w:rsidRPr="00106754">
              <w:rPr>
                <w:rFonts w:eastAsia="Times New Roman"/>
                <w:sz w:val="20"/>
                <w:szCs w:val="20"/>
              </w:rPr>
              <w:t>0.44</w:t>
            </w:r>
          </w:p>
        </w:tc>
      </w:tr>
      <w:tr w:rsidR="001A5083" w:rsidRPr="00BC66D4" w14:paraId="38263033" w14:textId="77777777" w:rsidTr="001A5083">
        <w:trPr>
          <w:trHeight w:val="488"/>
        </w:trPr>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30731F6F" w14:textId="77777777" w:rsidR="001A5083" w:rsidRPr="00CF30FD" w:rsidRDefault="001A5083" w:rsidP="00350EFF">
            <w:pPr>
              <w:spacing w:after="0" w:line="240" w:lineRule="auto"/>
              <w:jc w:val="center"/>
              <w:rPr>
                <w:rFonts w:eastAsia="Times New Roman"/>
                <w:sz w:val="20"/>
                <w:szCs w:val="20"/>
              </w:rPr>
            </w:pPr>
            <w:r w:rsidRPr="00F77873">
              <w:rPr>
                <w:rFonts w:eastAsia="Times New Roman"/>
                <w:sz w:val="20"/>
                <w:szCs w:val="20"/>
              </w:rPr>
              <w:t>Total steroid cumulative dose</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4B89BD71"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278</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7E3562E7"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0.04</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6120235D" w14:textId="77777777" w:rsidR="001A5083" w:rsidRPr="00106754" w:rsidRDefault="001A5083" w:rsidP="00350EFF">
            <w:pPr>
              <w:spacing w:after="0" w:line="240" w:lineRule="auto"/>
              <w:jc w:val="center"/>
              <w:rPr>
                <w:rFonts w:eastAsia="Times New Roman"/>
                <w:sz w:val="20"/>
                <w:szCs w:val="20"/>
              </w:rPr>
            </w:pPr>
            <w:r w:rsidRPr="00106754">
              <w:rPr>
                <w:rFonts w:eastAsia="Times New Roman"/>
                <w:sz w:val="20"/>
                <w:szCs w:val="20"/>
              </w:rPr>
              <w:t>146</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28F992E9" w14:textId="77777777" w:rsidR="001A5083" w:rsidRPr="00BC66D4" w:rsidRDefault="001A5083" w:rsidP="00350EFF">
            <w:pPr>
              <w:spacing w:after="0" w:line="240" w:lineRule="auto"/>
              <w:jc w:val="center"/>
              <w:rPr>
                <w:rFonts w:eastAsia="Times New Roman"/>
                <w:b/>
                <w:sz w:val="20"/>
                <w:szCs w:val="20"/>
              </w:rPr>
            </w:pPr>
            <w:r w:rsidRPr="00BC66D4">
              <w:rPr>
                <w:rFonts w:eastAsia="Times New Roman"/>
                <w:b/>
                <w:sz w:val="20"/>
                <w:szCs w:val="20"/>
              </w:rPr>
              <w:t>0.001*</w:t>
            </w:r>
          </w:p>
        </w:tc>
        <w:tc>
          <w:tcPr>
            <w:tcW w:w="591" w:type="pct"/>
            <w:shd w:val="clear" w:color="auto" w:fill="auto"/>
            <w:vAlign w:val="center"/>
          </w:tcPr>
          <w:p w14:paraId="0985AC3F" w14:textId="77777777" w:rsidR="001A5083" w:rsidRPr="00106754" w:rsidRDefault="001A5083" w:rsidP="00A84C42">
            <w:pPr>
              <w:spacing w:after="0" w:line="240" w:lineRule="auto"/>
              <w:jc w:val="center"/>
              <w:rPr>
                <w:rFonts w:eastAsia="Times New Roman"/>
                <w:sz w:val="20"/>
                <w:szCs w:val="20"/>
              </w:rPr>
            </w:pPr>
            <w:r w:rsidRPr="00106754">
              <w:rPr>
                <w:rFonts w:eastAsia="Times New Roman"/>
                <w:sz w:val="20"/>
                <w:szCs w:val="20"/>
              </w:rPr>
              <w:t>429</w:t>
            </w:r>
          </w:p>
        </w:tc>
        <w:tc>
          <w:tcPr>
            <w:tcW w:w="590" w:type="pct"/>
            <w:shd w:val="clear" w:color="auto" w:fill="auto"/>
            <w:vAlign w:val="center"/>
          </w:tcPr>
          <w:p w14:paraId="682D97D2" w14:textId="77777777" w:rsidR="001A5083" w:rsidRPr="00BC66D4" w:rsidRDefault="001A5083" w:rsidP="00F91A31">
            <w:pPr>
              <w:spacing w:after="0" w:line="240" w:lineRule="auto"/>
              <w:jc w:val="center"/>
              <w:rPr>
                <w:rFonts w:eastAsia="Times New Roman"/>
                <w:b/>
                <w:sz w:val="20"/>
                <w:szCs w:val="20"/>
              </w:rPr>
            </w:pPr>
            <w:r w:rsidRPr="00BC66D4">
              <w:rPr>
                <w:rFonts w:eastAsia="Times New Roman"/>
                <w:b/>
                <w:sz w:val="20"/>
                <w:szCs w:val="20"/>
              </w:rPr>
              <w:t>&lt;0.001*</w:t>
            </w:r>
          </w:p>
        </w:tc>
      </w:tr>
    </w:tbl>
    <w:p w14:paraId="2C13F75C" w14:textId="21E3DD30" w:rsidR="001A5083" w:rsidRDefault="001A5083" w:rsidP="001A5083">
      <w:pPr>
        <w:pStyle w:val="Heading1"/>
      </w:pPr>
      <w:r>
        <w:t>Supplementary Table 1</w:t>
      </w:r>
    </w:p>
    <w:p w14:paraId="3DA94D9C" w14:textId="77777777" w:rsidR="001A5083" w:rsidRPr="001A5083" w:rsidRDefault="001A5083" w:rsidP="001A5083"/>
    <w:p w14:paraId="15054E4E" w14:textId="77777777" w:rsidR="001A5083" w:rsidRDefault="001A5083" w:rsidP="001A5083">
      <w:pPr>
        <w:rPr>
          <w:b/>
        </w:rPr>
      </w:pPr>
    </w:p>
    <w:p w14:paraId="0799BD90" w14:textId="77777777" w:rsidR="001A5083" w:rsidRDefault="001A5083" w:rsidP="001A5083">
      <w:pPr>
        <w:rPr>
          <w:b/>
        </w:rPr>
      </w:pPr>
    </w:p>
    <w:p w14:paraId="3009EBC5" w14:textId="77777777" w:rsidR="001A5083" w:rsidRDefault="001A5083" w:rsidP="001A5083">
      <w:pPr>
        <w:rPr>
          <w:b/>
        </w:rPr>
      </w:pPr>
    </w:p>
    <w:p w14:paraId="07A6AFB9" w14:textId="77777777" w:rsidR="001A5083" w:rsidRDefault="001A5083" w:rsidP="001A5083">
      <w:pPr>
        <w:rPr>
          <w:b/>
        </w:rPr>
      </w:pPr>
    </w:p>
    <w:p w14:paraId="20B006CE" w14:textId="77777777" w:rsidR="001A5083" w:rsidRDefault="001A5083" w:rsidP="001A5083">
      <w:pPr>
        <w:rPr>
          <w:b/>
        </w:rPr>
      </w:pPr>
    </w:p>
    <w:p w14:paraId="1C01C1F6" w14:textId="77777777" w:rsidR="001A5083" w:rsidRDefault="001A5083" w:rsidP="001A5083">
      <w:pPr>
        <w:rPr>
          <w:b/>
        </w:rPr>
      </w:pPr>
    </w:p>
    <w:p w14:paraId="0A7ACBE5" w14:textId="77777777" w:rsidR="001A5083" w:rsidRDefault="001A5083" w:rsidP="001A5083">
      <w:pPr>
        <w:rPr>
          <w:b/>
        </w:rPr>
      </w:pPr>
    </w:p>
    <w:p w14:paraId="23ECB548" w14:textId="77777777" w:rsidR="001A5083" w:rsidRDefault="001A5083" w:rsidP="001A5083">
      <w:pPr>
        <w:rPr>
          <w:b/>
        </w:rPr>
      </w:pPr>
    </w:p>
    <w:p w14:paraId="4AF361A0" w14:textId="77777777" w:rsidR="001A5083" w:rsidRDefault="001A5083" w:rsidP="001A5083">
      <w:pPr>
        <w:rPr>
          <w:b/>
        </w:rPr>
      </w:pPr>
    </w:p>
    <w:p w14:paraId="75F50220" w14:textId="77777777" w:rsidR="001A5083" w:rsidRDefault="001A5083" w:rsidP="001A5083">
      <w:pPr>
        <w:rPr>
          <w:b/>
        </w:rPr>
      </w:pPr>
    </w:p>
    <w:p w14:paraId="535F7F02" w14:textId="77777777" w:rsidR="001A5083" w:rsidRDefault="001A5083" w:rsidP="001A5083">
      <w:pPr>
        <w:rPr>
          <w:b/>
        </w:rPr>
      </w:pPr>
    </w:p>
    <w:p w14:paraId="11985376" w14:textId="77777777" w:rsidR="001A5083" w:rsidRDefault="001A5083" w:rsidP="001A5083">
      <w:pPr>
        <w:rPr>
          <w:b/>
        </w:rPr>
      </w:pPr>
    </w:p>
    <w:p w14:paraId="497C4E32" w14:textId="32E77A95" w:rsidR="001A5083" w:rsidRPr="001A5083" w:rsidRDefault="001A5083" w:rsidP="001A5083">
      <w:pPr>
        <w:rPr>
          <w:color w:val="FF0000"/>
        </w:rPr>
      </w:pPr>
      <w:r>
        <w:rPr>
          <w:b/>
        </w:rPr>
        <w:t>Supplementary table 1</w:t>
      </w:r>
      <w:r w:rsidR="00BC66D4">
        <w:rPr>
          <w:b/>
        </w:rPr>
        <w:t xml:space="preserve"> (adapted from Hawcutt et al </w:t>
      </w:r>
      <w:r w:rsidR="00BC66D4">
        <w:rPr>
          <w:b/>
        </w:rPr>
        <w:fldChar w:fldCharType="begin"/>
      </w:r>
      <w:r w:rsidR="00F91A31">
        <w:rPr>
          <w:b/>
        </w:rPr>
        <w:instrText xml:space="preserve"> ADDIN EN.CITE &lt;EndNote&gt;&lt;Cite&gt;&lt;Author&gt;Hawcutt&lt;/Author&gt;&lt;Year&gt;2015&lt;/Year&gt;&lt;RecNum&gt;11&lt;/RecNum&gt;&lt;DisplayText&gt;&lt;style face="superscript"&gt;2&lt;/style&gt;&lt;/DisplayText&gt;&lt;record&gt;&lt;rec-number&gt;11&lt;/rec-number&gt;&lt;foreign-keys&gt;&lt;key app="EN" db-id="psszexae9xfxzweazvnvz9zhwd0srt5rv0at" timestamp="1479215586"&gt;11&lt;/key&gt;&lt;/foreign-keys&gt;&lt;ref-type name="Journal Article"&gt;17&lt;/ref-type&gt;&lt;contributors&gt;&lt;authors&gt;&lt;author&gt;Hawcutt, Daniel B&lt;/author&gt;&lt;author&gt;Jorgensen, Andrea L&lt;/author&gt;&lt;author&gt;Wallin, Naomi&lt;/author&gt;&lt;author&gt;Thompson, Ben&lt;/author&gt;&lt;author&gt;Peak, Matthew&lt;/author&gt;&lt;author&gt;Lacy, David&lt;/author&gt;&lt;author&gt;Newland, Paul&lt;/author&gt;&lt;author&gt;Didi, Mo&lt;/author&gt;&lt;author&gt;Couriel, Jon&lt;/author&gt;&lt;author&gt;Blair, Jo&lt;/author&gt;&lt;/authors&gt;&lt;/contributors&gt;&lt;titles&gt;&lt;title&gt;Adrenal responses to a low‐dose short synacthen test in children with asthma&lt;/title&gt;&lt;secondary-title&gt;Clinical endocrinology&lt;/secondary-title&gt;&lt;/titles&gt;&lt;periodical&gt;&lt;full-title&gt;Clinical endocrinology&lt;/full-title&gt;&lt;/periodical&gt;&lt;pages&gt;648-656&lt;/pages&gt;&lt;volume&gt;82&lt;/volume&gt;&lt;number&gt;5&lt;/number&gt;&lt;dates&gt;&lt;year&gt;2015&lt;/year&gt;&lt;/dates&gt;&lt;isbn&gt;1365-2265&lt;/isbn&gt;&lt;urls&gt;&lt;/urls&gt;&lt;/record&gt;&lt;/Cite&gt;&lt;/EndNote&gt;</w:instrText>
      </w:r>
      <w:r w:rsidR="00BC66D4">
        <w:rPr>
          <w:b/>
        </w:rPr>
        <w:fldChar w:fldCharType="separate"/>
      </w:r>
      <w:r w:rsidR="00F91A31" w:rsidRPr="00F91A31">
        <w:rPr>
          <w:b/>
          <w:noProof/>
          <w:vertAlign w:val="superscript"/>
        </w:rPr>
        <w:t>2</w:t>
      </w:r>
      <w:r w:rsidR="00BC66D4">
        <w:rPr>
          <w:b/>
        </w:rPr>
        <w:fldChar w:fldCharType="end"/>
      </w:r>
      <w:r>
        <w:rPr>
          <w:b/>
        </w:rPr>
        <w:t xml:space="preserve">: </w:t>
      </w:r>
      <w:r w:rsidRPr="001A5083">
        <w:t>*Significant following Bonferonni correction</w:t>
      </w:r>
      <w:r w:rsidRPr="001A5083">
        <w:rPr>
          <w:color w:val="FF0000"/>
        </w:rPr>
        <w:t xml:space="preserve"> </w:t>
      </w:r>
      <w:r w:rsidRPr="001A5083">
        <w:t>(p&lt;0.005)</w:t>
      </w:r>
      <w:r w:rsidR="00BC66D4">
        <w:t>.</w:t>
      </w:r>
      <w:r w:rsidR="00BC66D4" w:rsidRPr="00BC66D4">
        <w:t xml:space="preserve"> </w:t>
      </w:r>
      <w:r w:rsidR="00BC66D4">
        <w:t xml:space="preserve">Pharmacogenetics of adrenal suppression study (PASS), Early Morning Salivary Cortisol Study (EMSC). </w:t>
      </w:r>
      <w:r w:rsidR="00BC66D4" w:rsidRPr="001A5083">
        <w:t>Associations with peak cortisol.</w:t>
      </w:r>
    </w:p>
    <w:p w14:paraId="12FC6215" w14:textId="77777777" w:rsidR="00581370" w:rsidRDefault="005F022E" w:rsidP="005F022E">
      <w:pPr>
        <w:pStyle w:val="Heading1"/>
      </w:pPr>
      <w:r>
        <w:lastRenderedPageBreak/>
        <w:t xml:space="preserve">Supplementary Table </w:t>
      </w:r>
      <w:r w:rsidR="001A5083">
        <w:t>2</w:t>
      </w:r>
    </w:p>
    <w:tbl>
      <w:tblPr>
        <w:tblStyle w:val="GridTable2-Accent5"/>
        <w:tblpPr w:leftFromText="180" w:rightFromText="180" w:vertAnchor="text" w:tblpY="1"/>
        <w:tblOverlap w:val="never"/>
        <w:tblW w:w="14954" w:type="dxa"/>
        <w:tblLayout w:type="fixed"/>
        <w:tblLook w:val="04A0" w:firstRow="1" w:lastRow="0" w:firstColumn="1" w:lastColumn="0" w:noHBand="0" w:noVBand="1"/>
      </w:tblPr>
      <w:tblGrid>
        <w:gridCol w:w="1195"/>
        <w:gridCol w:w="1418"/>
        <w:gridCol w:w="851"/>
        <w:gridCol w:w="614"/>
        <w:gridCol w:w="614"/>
        <w:gridCol w:w="567"/>
        <w:gridCol w:w="142"/>
        <w:gridCol w:w="662"/>
        <w:gridCol w:w="670"/>
        <w:gridCol w:w="992"/>
        <w:gridCol w:w="567"/>
        <w:gridCol w:w="567"/>
        <w:gridCol w:w="851"/>
        <w:gridCol w:w="850"/>
        <w:gridCol w:w="567"/>
        <w:gridCol w:w="851"/>
        <w:gridCol w:w="850"/>
        <w:gridCol w:w="851"/>
        <w:gridCol w:w="1275"/>
      </w:tblGrid>
      <w:tr w:rsidR="00A50055" w:rsidRPr="005C0077" w14:paraId="1EA82C93" w14:textId="77777777" w:rsidTr="00DF3A8E">
        <w:trPr>
          <w:gridAfter w:val="6"/>
          <w:cnfStyle w:val="100000000000" w:firstRow="1" w:lastRow="0" w:firstColumn="0" w:lastColumn="0" w:oddVBand="0" w:evenVBand="0" w:oddHBand="0" w:evenHBand="0" w:firstRowFirstColumn="0" w:firstRowLastColumn="0" w:lastRowFirstColumn="0" w:lastRowLastColumn="0"/>
          <w:wAfter w:w="5244" w:type="dxa"/>
          <w:trHeight w:val="227"/>
        </w:trPr>
        <w:tc>
          <w:tcPr>
            <w:cnfStyle w:val="001000000000" w:firstRow="0" w:lastRow="0" w:firstColumn="1" w:lastColumn="0" w:oddVBand="0" w:evenVBand="0" w:oddHBand="0" w:evenHBand="0" w:firstRowFirstColumn="0" w:firstRowLastColumn="0" w:lastRowFirstColumn="0" w:lastRowLastColumn="0"/>
            <w:tcW w:w="1195" w:type="dxa"/>
            <w:noWrap/>
          </w:tcPr>
          <w:p w14:paraId="42D8C28E" w14:textId="77777777" w:rsidR="00A50055" w:rsidRPr="005C0077" w:rsidRDefault="00A50055">
            <w:pPr>
              <w:spacing w:before="0" w:after="0"/>
              <w:rPr>
                <w:rFonts w:ascii="Calibri" w:eastAsia="Times New Roman" w:hAnsi="Calibri" w:cs="Times New Roman"/>
                <w:color w:val="000000"/>
                <w:sz w:val="16"/>
                <w:szCs w:val="16"/>
                <w:lang w:eastAsia="en-GB" w:bidi="ar-SA"/>
              </w:rPr>
            </w:pPr>
          </w:p>
        </w:tc>
        <w:tc>
          <w:tcPr>
            <w:tcW w:w="1418" w:type="dxa"/>
            <w:noWrap/>
          </w:tcPr>
          <w:p w14:paraId="10AC87B9" w14:textId="77777777" w:rsidR="00A50055" w:rsidRPr="005C0077" w:rsidRDefault="00A50055">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p>
        </w:tc>
        <w:tc>
          <w:tcPr>
            <w:tcW w:w="851" w:type="dxa"/>
            <w:noWrap/>
          </w:tcPr>
          <w:p w14:paraId="45DF7848" w14:textId="77777777" w:rsidR="00A50055" w:rsidRPr="005C0077" w:rsidRDefault="00A50055">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p>
        </w:tc>
        <w:tc>
          <w:tcPr>
            <w:tcW w:w="614" w:type="dxa"/>
          </w:tcPr>
          <w:p w14:paraId="699A3912" w14:textId="77777777" w:rsidR="00A50055" w:rsidRPr="005C0077" w:rsidRDefault="00A50055" w:rsidP="009F0519">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p>
        </w:tc>
        <w:tc>
          <w:tcPr>
            <w:tcW w:w="614" w:type="dxa"/>
            <w:noWrap/>
          </w:tcPr>
          <w:p w14:paraId="566A0767" w14:textId="5EE3F0D0" w:rsidR="00A50055" w:rsidRPr="005C0077" w:rsidRDefault="00A50055">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p>
        </w:tc>
        <w:tc>
          <w:tcPr>
            <w:tcW w:w="709" w:type="dxa"/>
            <w:gridSpan w:val="2"/>
            <w:noWrap/>
          </w:tcPr>
          <w:p w14:paraId="3CAACBA4" w14:textId="77777777" w:rsidR="00A50055" w:rsidRPr="005C0077" w:rsidRDefault="00A50055">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p>
        </w:tc>
        <w:tc>
          <w:tcPr>
            <w:tcW w:w="662" w:type="dxa"/>
            <w:noWrap/>
          </w:tcPr>
          <w:p w14:paraId="7F532884" w14:textId="77777777" w:rsidR="00A50055" w:rsidRPr="005C0077" w:rsidRDefault="00A50055">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p>
        </w:tc>
        <w:tc>
          <w:tcPr>
            <w:tcW w:w="670" w:type="dxa"/>
            <w:noWrap/>
          </w:tcPr>
          <w:p w14:paraId="34465D45" w14:textId="77777777" w:rsidR="00A50055" w:rsidRPr="005C0077" w:rsidRDefault="00A50055">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p>
        </w:tc>
        <w:tc>
          <w:tcPr>
            <w:tcW w:w="992" w:type="dxa"/>
            <w:noWrap/>
          </w:tcPr>
          <w:p w14:paraId="0A74E9B9" w14:textId="77777777" w:rsidR="00A50055" w:rsidRPr="005C0077" w:rsidRDefault="00A50055">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p>
        </w:tc>
        <w:tc>
          <w:tcPr>
            <w:tcW w:w="567" w:type="dxa"/>
            <w:noWrap/>
          </w:tcPr>
          <w:p w14:paraId="423726E3" w14:textId="77777777" w:rsidR="00A50055" w:rsidRPr="005C0077" w:rsidRDefault="00A50055">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p>
        </w:tc>
        <w:tc>
          <w:tcPr>
            <w:tcW w:w="1418" w:type="dxa"/>
            <w:gridSpan w:val="2"/>
            <w:noWrap/>
          </w:tcPr>
          <w:p w14:paraId="55C26BA3" w14:textId="77777777" w:rsidR="00A50055" w:rsidRPr="005C0077" w:rsidRDefault="00A50055">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p>
        </w:tc>
      </w:tr>
      <w:tr w:rsidR="00A50055" w:rsidRPr="005C0077" w14:paraId="1D909B12" w14:textId="77777777" w:rsidTr="00CE7B7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95" w:type="dxa"/>
            <w:tcBorders>
              <w:top w:val="single" w:sz="12" w:space="0" w:color="8EAADB" w:themeColor="accent5" w:themeTint="99"/>
              <w:bottom w:val="nil"/>
            </w:tcBorders>
            <w:shd w:val="clear" w:color="auto" w:fill="auto"/>
            <w:noWrap/>
          </w:tcPr>
          <w:p w14:paraId="33F3514C" w14:textId="5A02CA2B" w:rsidR="00A50055" w:rsidRPr="00DF3A8E" w:rsidRDefault="00A50055">
            <w:pPr>
              <w:spacing w:before="0" w:after="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RS_Number</w:t>
            </w:r>
          </w:p>
        </w:tc>
        <w:tc>
          <w:tcPr>
            <w:tcW w:w="1418" w:type="dxa"/>
            <w:tcBorders>
              <w:top w:val="single" w:sz="12" w:space="0" w:color="8EAADB" w:themeColor="accent5" w:themeTint="99"/>
              <w:bottom w:val="nil"/>
            </w:tcBorders>
            <w:shd w:val="clear" w:color="auto" w:fill="auto"/>
            <w:noWrap/>
          </w:tcPr>
          <w:p w14:paraId="18828D4E" w14:textId="3812C60A"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Coord</w:t>
            </w:r>
          </w:p>
        </w:tc>
        <w:tc>
          <w:tcPr>
            <w:tcW w:w="851" w:type="dxa"/>
            <w:vMerge w:val="restart"/>
            <w:tcBorders>
              <w:top w:val="single" w:sz="12" w:space="0" w:color="8EAADB" w:themeColor="accent5" w:themeTint="99"/>
              <w:right w:val="single" w:sz="4" w:space="0" w:color="B4C6E7" w:themeColor="accent5" w:themeTint="66"/>
            </w:tcBorders>
            <w:shd w:val="clear" w:color="auto" w:fill="auto"/>
            <w:noWrap/>
            <w:textDirection w:val="tbRl"/>
          </w:tcPr>
          <w:p w14:paraId="43442F1F" w14:textId="77777777" w:rsidR="00A50055" w:rsidRPr="00DF3A8E" w:rsidRDefault="00A50055" w:rsidP="00DF3A8E">
            <w:pPr>
              <w:spacing w:before="0" w:after="0"/>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lang w:eastAsia="en-GB" w:bidi="ar-SA"/>
              </w:rPr>
            </w:pPr>
            <w:r w:rsidRPr="00DF3A8E">
              <w:rPr>
                <w:rFonts w:ascii="Calibri" w:eastAsia="Times New Roman" w:hAnsi="Calibri" w:cs="Times New Roman"/>
                <w:color w:val="000000"/>
                <w:sz w:val="18"/>
                <w:szCs w:val="18"/>
                <w:lang w:eastAsia="en-GB" w:bidi="ar-SA"/>
              </w:rPr>
              <w:t xml:space="preserve">Alleles </w:t>
            </w:r>
          </w:p>
          <w:p w14:paraId="6373A1C1" w14:textId="32A52593" w:rsidR="00A50055" w:rsidRPr="00DF3A8E" w:rsidRDefault="00A50055" w:rsidP="00DF3A8E">
            <w:pPr>
              <w:spacing w:before="0" w:after="0"/>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(Min</w:t>
            </w:r>
            <w:r>
              <w:rPr>
                <w:rFonts w:ascii="Calibri" w:eastAsia="Times New Roman" w:hAnsi="Calibri" w:cs="Times New Roman"/>
                <w:color w:val="000000"/>
                <w:sz w:val="18"/>
                <w:szCs w:val="18"/>
                <w:lang w:eastAsia="en-GB" w:bidi="ar-SA"/>
              </w:rPr>
              <w:t>or</w:t>
            </w:r>
            <w:r w:rsidRPr="00DF3A8E">
              <w:rPr>
                <w:rFonts w:ascii="Calibri" w:eastAsia="Times New Roman" w:hAnsi="Calibri" w:cs="Times New Roman"/>
                <w:color w:val="000000"/>
                <w:sz w:val="18"/>
                <w:szCs w:val="18"/>
                <w:lang w:eastAsia="en-GB" w:bidi="ar-SA"/>
              </w:rPr>
              <w:t>/Al</w:t>
            </w:r>
            <w:r>
              <w:rPr>
                <w:rFonts w:ascii="Calibri" w:eastAsia="Times New Roman" w:hAnsi="Calibri" w:cs="Times New Roman"/>
                <w:color w:val="000000"/>
                <w:sz w:val="18"/>
                <w:szCs w:val="18"/>
                <w:lang w:eastAsia="en-GB" w:bidi="ar-SA"/>
              </w:rPr>
              <w:t>ternative</w:t>
            </w:r>
            <w:r w:rsidRPr="00DF3A8E">
              <w:rPr>
                <w:rFonts w:ascii="Calibri" w:eastAsia="Times New Roman" w:hAnsi="Calibri" w:cs="Times New Roman"/>
                <w:color w:val="000000"/>
                <w:sz w:val="18"/>
                <w:szCs w:val="18"/>
                <w:lang w:eastAsia="en-GB" w:bidi="ar-SA"/>
              </w:rPr>
              <w:t>)</w:t>
            </w:r>
          </w:p>
        </w:tc>
        <w:tc>
          <w:tcPr>
            <w:tcW w:w="2599" w:type="dxa"/>
            <w:gridSpan w:val="5"/>
            <w:tcBorders>
              <w:top w:val="single" w:sz="12" w:space="0" w:color="8EAADB" w:themeColor="accent5" w:themeTint="99"/>
              <w:left w:val="single" w:sz="4" w:space="0" w:color="B4C6E7" w:themeColor="accent5" w:themeTint="66"/>
            </w:tcBorders>
            <w:shd w:val="clear" w:color="auto" w:fill="auto"/>
          </w:tcPr>
          <w:p w14:paraId="0D468ADE" w14:textId="3F7E5F8E"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bidi="ar-SA"/>
              </w:rPr>
            </w:pPr>
            <w:r>
              <w:rPr>
                <w:rFonts w:ascii="Calibri" w:eastAsia="Times New Roman" w:hAnsi="Calibri" w:cs="Times New Roman"/>
                <w:color w:val="000000"/>
                <w:sz w:val="18"/>
                <w:szCs w:val="18"/>
                <w:lang w:eastAsia="en-GB" w:bidi="ar-SA"/>
              </w:rPr>
              <w:t>MAF</w:t>
            </w:r>
          </w:p>
        </w:tc>
        <w:tc>
          <w:tcPr>
            <w:tcW w:w="670" w:type="dxa"/>
            <w:tcBorders>
              <w:top w:val="single" w:sz="12" w:space="0" w:color="8EAADB" w:themeColor="accent5" w:themeTint="99"/>
              <w:bottom w:val="nil"/>
            </w:tcBorders>
            <w:shd w:val="clear" w:color="auto" w:fill="auto"/>
            <w:noWrap/>
          </w:tcPr>
          <w:p w14:paraId="664A2177" w14:textId="080816BB"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INFO</w:t>
            </w:r>
          </w:p>
        </w:tc>
        <w:tc>
          <w:tcPr>
            <w:tcW w:w="992" w:type="dxa"/>
            <w:tcBorders>
              <w:top w:val="single" w:sz="12" w:space="0" w:color="8EAADB" w:themeColor="accent5" w:themeTint="99"/>
              <w:bottom w:val="nil"/>
            </w:tcBorders>
            <w:shd w:val="clear" w:color="auto" w:fill="auto"/>
            <w:noWrap/>
          </w:tcPr>
          <w:p w14:paraId="44F2C29F" w14:textId="395CB935"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R2</w:t>
            </w:r>
          </w:p>
        </w:tc>
        <w:tc>
          <w:tcPr>
            <w:tcW w:w="567" w:type="dxa"/>
            <w:vMerge w:val="restart"/>
            <w:tcBorders>
              <w:top w:val="single" w:sz="12" w:space="0" w:color="8EAADB" w:themeColor="accent5" w:themeTint="99"/>
            </w:tcBorders>
            <w:shd w:val="clear" w:color="auto" w:fill="auto"/>
            <w:noWrap/>
            <w:textDirection w:val="tbRl"/>
          </w:tcPr>
          <w:p w14:paraId="30213949" w14:textId="353A05B7" w:rsidR="00A50055" w:rsidRPr="00DF3A8E" w:rsidRDefault="00A50055" w:rsidP="00DF3A8E">
            <w:pPr>
              <w:spacing w:before="0" w:after="0"/>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RegulomeDB</w:t>
            </w:r>
          </w:p>
        </w:tc>
        <w:tc>
          <w:tcPr>
            <w:tcW w:w="2268" w:type="dxa"/>
            <w:gridSpan w:val="3"/>
            <w:shd w:val="clear" w:color="auto" w:fill="auto"/>
            <w:noWrap/>
          </w:tcPr>
          <w:p w14:paraId="140B4177" w14:textId="70928EE1"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Peak350_PASSWTCCC</w:t>
            </w:r>
          </w:p>
        </w:tc>
        <w:tc>
          <w:tcPr>
            <w:tcW w:w="2268" w:type="dxa"/>
            <w:gridSpan w:val="3"/>
            <w:shd w:val="clear" w:color="auto" w:fill="auto"/>
            <w:noWrap/>
          </w:tcPr>
          <w:p w14:paraId="6C5613E6" w14:textId="79E72D90" w:rsidR="00A50055" w:rsidRPr="00DF3A8E" w:rsidRDefault="00A50055" w:rsidP="009F0519">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lang w:eastAsia="en-GB" w:bidi="ar-SA"/>
              </w:rPr>
            </w:pPr>
            <w:r w:rsidRPr="00DF3A8E">
              <w:rPr>
                <w:rFonts w:ascii="Calibri" w:eastAsia="Times New Roman" w:hAnsi="Calibri" w:cs="Times New Roman"/>
                <w:color w:val="000000"/>
                <w:sz w:val="18"/>
                <w:szCs w:val="18"/>
                <w:lang w:eastAsia="en-GB" w:bidi="ar-SA"/>
              </w:rPr>
              <w:t>Peak350_PASS*</w:t>
            </w:r>
          </w:p>
          <w:p w14:paraId="11602ABD" w14:textId="2C0B6865"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bidi="ar-SA"/>
              </w:rPr>
            </w:pPr>
          </w:p>
        </w:tc>
        <w:tc>
          <w:tcPr>
            <w:tcW w:w="851" w:type="dxa"/>
            <w:shd w:val="clear" w:color="auto" w:fill="auto"/>
            <w:noWrap/>
          </w:tcPr>
          <w:p w14:paraId="31545CE4" w14:textId="63391E95"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Peak350_PASS</w:t>
            </w:r>
            <w:r w:rsidRPr="00DF3A8E">
              <w:rPr>
                <w:rFonts w:ascii="Calibri" w:eastAsia="Times New Roman" w:hAnsi="Calibri" w:cs="Times New Roman"/>
                <w:color w:val="000000"/>
                <w:sz w:val="18"/>
                <w:szCs w:val="18"/>
                <w:vertAlign w:val="superscript"/>
                <w:lang w:eastAsia="en-GB" w:bidi="ar-SA"/>
              </w:rPr>
              <w:t>$</w:t>
            </w:r>
          </w:p>
        </w:tc>
        <w:tc>
          <w:tcPr>
            <w:tcW w:w="1275" w:type="dxa"/>
            <w:shd w:val="clear" w:color="auto" w:fill="auto"/>
            <w:noWrap/>
          </w:tcPr>
          <w:p w14:paraId="0C7C7491" w14:textId="7B9B9476"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PASSvsWTCCC</w:t>
            </w:r>
          </w:p>
        </w:tc>
      </w:tr>
      <w:tr w:rsidR="00A50055" w:rsidRPr="005C0077" w14:paraId="13D8B03F" w14:textId="77777777" w:rsidTr="00CE7B73">
        <w:trPr>
          <w:cantSplit/>
          <w:trHeight w:val="1134"/>
        </w:trPr>
        <w:tc>
          <w:tcPr>
            <w:cnfStyle w:val="001000000000" w:firstRow="0" w:lastRow="0" w:firstColumn="1" w:lastColumn="0" w:oddVBand="0" w:evenVBand="0" w:oddHBand="0" w:evenHBand="0" w:firstRowFirstColumn="0" w:firstRowLastColumn="0" w:lastRowFirstColumn="0" w:lastRowLastColumn="0"/>
            <w:tcW w:w="1195" w:type="dxa"/>
            <w:tcBorders>
              <w:top w:val="nil"/>
            </w:tcBorders>
            <w:noWrap/>
          </w:tcPr>
          <w:p w14:paraId="794765B2" w14:textId="7E7987FA" w:rsidR="00A50055" w:rsidRPr="00DF3A8E" w:rsidRDefault="00A50055" w:rsidP="009F0519">
            <w:pPr>
              <w:spacing w:before="0" w:after="0"/>
              <w:rPr>
                <w:rFonts w:ascii="Calibri" w:eastAsia="Times New Roman" w:hAnsi="Calibri" w:cs="Times New Roman"/>
                <w:color w:val="000000"/>
                <w:sz w:val="18"/>
                <w:szCs w:val="18"/>
                <w:lang w:eastAsia="en-GB" w:bidi="ar-SA"/>
              </w:rPr>
            </w:pPr>
          </w:p>
        </w:tc>
        <w:tc>
          <w:tcPr>
            <w:tcW w:w="1418" w:type="dxa"/>
            <w:tcBorders>
              <w:top w:val="nil"/>
            </w:tcBorders>
            <w:noWrap/>
          </w:tcPr>
          <w:p w14:paraId="4315576C" w14:textId="4C79FA06" w:rsidR="00A50055" w:rsidRPr="00DF3A8E" w:rsidRDefault="00A50055" w:rsidP="009F051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p>
        </w:tc>
        <w:tc>
          <w:tcPr>
            <w:tcW w:w="851" w:type="dxa"/>
            <w:vMerge/>
            <w:tcBorders>
              <w:right w:val="single" w:sz="4" w:space="0" w:color="B4C6E7" w:themeColor="accent5" w:themeTint="66"/>
            </w:tcBorders>
            <w:noWrap/>
          </w:tcPr>
          <w:p w14:paraId="24C7AA85" w14:textId="196ED8A5" w:rsidR="00A50055" w:rsidRPr="00DF3A8E" w:rsidRDefault="00A50055" w:rsidP="009F051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p>
        </w:tc>
        <w:tc>
          <w:tcPr>
            <w:tcW w:w="614" w:type="dxa"/>
            <w:tcBorders>
              <w:left w:val="single" w:sz="4" w:space="0" w:color="B4C6E7" w:themeColor="accent5" w:themeTint="66"/>
            </w:tcBorders>
          </w:tcPr>
          <w:p w14:paraId="23C88E30" w14:textId="77777777" w:rsidR="00A50055" w:rsidRPr="007D2E8B" w:rsidRDefault="00A50055" w:rsidP="00DF3A8E">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eastAsia="en-GB" w:bidi="ar-SA"/>
              </w:rPr>
            </w:pPr>
            <w:r w:rsidRPr="007D2E8B">
              <w:rPr>
                <w:rFonts w:ascii="Calibri" w:eastAsia="Times New Roman" w:hAnsi="Calibri" w:cs="Times New Roman"/>
                <w:color w:val="000000"/>
                <w:sz w:val="18"/>
                <w:szCs w:val="18"/>
                <w:lang w:eastAsia="en-GB" w:bidi="ar-SA"/>
              </w:rPr>
              <w:t>GBR_REFERENCE</w:t>
            </w:r>
          </w:p>
          <w:p w14:paraId="2FDF91DF" w14:textId="77777777" w:rsidR="00A50055" w:rsidRPr="007D2E8B" w:rsidRDefault="00A50055" w:rsidP="00DF3A8E">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p>
        </w:tc>
        <w:tc>
          <w:tcPr>
            <w:tcW w:w="614" w:type="dxa"/>
            <w:tcBorders>
              <w:top w:val="single" w:sz="4" w:space="0" w:color="B4C6E7" w:themeColor="accent5" w:themeTint="66"/>
            </w:tcBorders>
            <w:noWrap/>
          </w:tcPr>
          <w:p w14:paraId="6F8AF963" w14:textId="5969188C" w:rsidR="00A50055" w:rsidRPr="00DF3A8E" w:rsidRDefault="00A50055" w:rsidP="009F051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r w:rsidRPr="007D2E8B">
              <w:rPr>
                <w:rFonts w:ascii="Calibri" w:eastAsia="Times New Roman" w:hAnsi="Calibri" w:cs="Times New Roman"/>
                <w:color w:val="000000"/>
                <w:sz w:val="18"/>
                <w:szCs w:val="18"/>
                <w:lang w:eastAsia="en-GB" w:bidi="ar-SA"/>
              </w:rPr>
              <w:t>PASS_CASES</w:t>
            </w:r>
          </w:p>
        </w:tc>
        <w:tc>
          <w:tcPr>
            <w:tcW w:w="567" w:type="dxa"/>
            <w:tcBorders>
              <w:top w:val="single" w:sz="4" w:space="0" w:color="B4C6E7" w:themeColor="accent5" w:themeTint="66"/>
            </w:tcBorders>
            <w:noWrap/>
          </w:tcPr>
          <w:p w14:paraId="418E3969" w14:textId="11C6AA7E" w:rsidR="00A50055" w:rsidRPr="00DF3A8E" w:rsidRDefault="00A50055" w:rsidP="009F051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r w:rsidRPr="007D2E8B">
              <w:rPr>
                <w:rFonts w:ascii="Calibri" w:eastAsia="Times New Roman" w:hAnsi="Calibri" w:cs="Times New Roman"/>
                <w:color w:val="000000"/>
                <w:sz w:val="18"/>
                <w:szCs w:val="18"/>
                <w:lang w:eastAsia="en-GB" w:bidi="ar-SA"/>
              </w:rPr>
              <w:t>PASS_CONS</w:t>
            </w:r>
          </w:p>
        </w:tc>
        <w:tc>
          <w:tcPr>
            <w:tcW w:w="804" w:type="dxa"/>
            <w:gridSpan w:val="2"/>
            <w:tcBorders>
              <w:top w:val="single" w:sz="4" w:space="0" w:color="B4C6E7" w:themeColor="accent5" w:themeTint="66"/>
            </w:tcBorders>
            <w:noWrap/>
          </w:tcPr>
          <w:p w14:paraId="083D4119" w14:textId="3F9A6B26" w:rsidR="00A50055" w:rsidRPr="00DF3A8E" w:rsidRDefault="00A50055" w:rsidP="009F051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r w:rsidRPr="007D2E8B">
              <w:rPr>
                <w:rFonts w:ascii="Calibri" w:eastAsia="Times New Roman" w:hAnsi="Calibri" w:cs="Times New Roman"/>
                <w:color w:val="000000"/>
                <w:sz w:val="18"/>
                <w:szCs w:val="18"/>
                <w:lang w:eastAsia="en-GB" w:bidi="ar-SA"/>
              </w:rPr>
              <w:t>WTCCC</w:t>
            </w:r>
          </w:p>
        </w:tc>
        <w:tc>
          <w:tcPr>
            <w:tcW w:w="670" w:type="dxa"/>
            <w:tcBorders>
              <w:top w:val="nil"/>
            </w:tcBorders>
            <w:noWrap/>
          </w:tcPr>
          <w:p w14:paraId="30F7084A" w14:textId="2A7B7D1C" w:rsidR="00A50055" w:rsidRPr="00DF3A8E" w:rsidRDefault="00A50055" w:rsidP="009F051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p>
        </w:tc>
        <w:tc>
          <w:tcPr>
            <w:tcW w:w="992" w:type="dxa"/>
            <w:tcBorders>
              <w:top w:val="nil"/>
            </w:tcBorders>
            <w:noWrap/>
          </w:tcPr>
          <w:p w14:paraId="1005DF2B" w14:textId="70F60DC7" w:rsidR="00A50055" w:rsidRPr="00DF3A8E" w:rsidRDefault="00A50055" w:rsidP="009F051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p>
        </w:tc>
        <w:tc>
          <w:tcPr>
            <w:tcW w:w="567" w:type="dxa"/>
            <w:vMerge/>
            <w:noWrap/>
          </w:tcPr>
          <w:p w14:paraId="4C4F37C2" w14:textId="6D3DA529" w:rsidR="00A50055" w:rsidRPr="00DF3A8E" w:rsidRDefault="00A50055" w:rsidP="009F051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p>
        </w:tc>
        <w:tc>
          <w:tcPr>
            <w:tcW w:w="567" w:type="dxa"/>
            <w:noWrap/>
          </w:tcPr>
          <w:p w14:paraId="161ADDBA" w14:textId="7E4E9D25" w:rsidR="00A50055" w:rsidRPr="00DF3A8E" w:rsidRDefault="00A50055" w:rsidP="009F051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Beta</w:t>
            </w:r>
          </w:p>
        </w:tc>
        <w:tc>
          <w:tcPr>
            <w:tcW w:w="851" w:type="dxa"/>
            <w:noWrap/>
          </w:tcPr>
          <w:p w14:paraId="1FB8F0A7" w14:textId="28EF8D27" w:rsidR="00A50055" w:rsidRPr="00DF3A8E" w:rsidRDefault="00A50055" w:rsidP="009F051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Standard Error</w:t>
            </w:r>
          </w:p>
        </w:tc>
        <w:tc>
          <w:tcPr>
            <w:tcW w:w="850" w:type="dxa"/>
            <w:noWrap/>
          </w:tcPr>
          <w:p w14:paraId="14F50678" w14:textId="0906DCA0" w:rsidR="00A50055" w:rsidRPr="00DF3A8E" w:rsidRDefault="00A50055" w:rsidP="009F051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P-value</w:t>
            </w:r>
          </w:p>
        </w:tc>
        <w:tc>
          <w:tcPr>
            <w:tcW w:w="567" w:type="dxa"/>
            <w:noWrap/>
          </w:tcPr>
          <w:p w14:paraId="1705EE3B" w14:textId="674A963A" w:rsidR="00A50055" w:rsidRPr="00DF3A8E" w:rsidRDefault="00A50055" w:rsidP="009F051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Beta</w:t>
            </w:r>
          </w:p>
        </w:tc>
        <w:tc>
          <w:tcPr>
            <w:tcW w:w="851" w:type="dxa"/>
            <w:noWrap/>
          </w:tcPr>
          <w:p w14:paraId="59910F98" w14:textId="33722070" w:rsidR="00A50055" w:rsidRPr="00DF3A8E" w:rsidRDefault="00A50055" w:rsidP="009F051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Standard Error</w:t>
            </w:r>
          </w:p>
        </w:tc>
        <w:tc>
          <w:tcPr>
            <w:tcW w:w="850" w:type="dxa"/>
            <w:noWrap/>
          </w:tcPr>
          <w:p w14:paraId="2D1022F8" w14:textId="3C533BB5" w:rsidR="00A50055" w:rsidRPr="00DF3A8E" w:rsidRDefault="00A50055" w:rsidP="009F051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P-value*</w:t>
            </w:r>
          </w:p>
        </w:tc>
        <w:tc>
          <w:tcPr>
            <w:tcW w:w="851" w:type="dxa"/>
            <w:noWrap/>
          </w:tcPr>
          <w:p w14:paraId="5F1A5B62" w14:textId="10673626" w:rsidR="00A50055" w:rsidRPr="00DF3A8E" w:rsidRDefault="00A50055" w:rsidP="009F051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P-value</w:t>
            </w:r>
          </w:p>
        </w:tc>
        <w:tc>
          <w:tcPr>
            <w:tcW w:w="1275" w:type="dxa"/>
            <w:noWrap/>
          </w:tcPr>
          <w:p w14:paraId="1130AFE5" w14:textId="28D42DA4" w:rsidR="00A50055" w:rsidRPr="00DF3A8E" w:rsidRDefault="00A50055" w:rsidP="009F051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bidi="ar-SA"/>
              </w:rPr>
            </w:pPr>
            <w:r w:rsidRPr="00DF3A8E">
              <w:rPr>
                <w:rFonts w:ascii="Calibri" w:eastAsia="Times New Roman" w:hAnsi="Calibri" w:cs="Times New Roman"/>
                <w:color w:val="000000"/>
                <w:sz w:val="18"/>
                <w:szCs w:val="18"/>
                <w:lang w:eastAsia="en-GB" w:bidi="ar-SA"/>
              </w:rPr>
              <w:t>P-value</w:t>
            </w:r>
          </w:p>
        </w:tc>
      </w:tr>
      <w:tr w:rsidR="00DF3A8E" w:rsidRPr="005C0077" w14:paraId="62D975EC" w14:textId="77777777" w:rsidTr="00A50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4F99C473"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rs591118</w:t>
            </w:r>
          </w:p>
        </w:tc>
        <w:tc>
          <w:tcPr>
            <w:tcW w:w="1418" w:type="dxa"/>
            <w:noWrap/>
            <w:hideMark/>
          </w:tcPr>
          <w:p w14:paraId="5912517C"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chr11:103966721</w:t>
            </w:r>
          </w:p>
        </w:tc>
        <w:tc>
          <w:tcPr>
            <w:tcW w:w="851" w:type="dxa"/>
            <w:noWrap/>
            <w:hideMark/>
          </w:tcPr>
          <w:p w14:paraId="2ECCD67E"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(A/G)</w:t>
            </w:r>
          </w:p>
        </w:tc>
        <w:tc>
          <w:tcPr>
            <w:tcW w:w="614" w:type="dxa"/>
          </w:tcPr>
          <w:p w14:paraId="28C1B6E0" w14:textId="2CE9FD76" w:rsidR="00A50055" w:rsidRPr="005C0077" w:rsidRDefault="00A50055" w:rsidP="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0.40</w:t>
            </w:r>
          </w:p>
        </w:tc>
        <w:tc>
          <w:tcPr>
            <w:tcW w:w="614" w:type="dxa"/>
            <w:noWrap/>
            <w:hideMark/>
          </w:tcPr>
          <w:p w14:paraId="4C9300FA" w14:textId="2EEBD7C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0.81</w:t>
            </w:r>
          </w:p>
        </w:tc>
        <w:tc>
          <w:tcPr>
            <w:tcW w:w="567" w:type="dxa"/>
            <w:noWrap/>
            <w:hideMark/>
          </w:tcPr>
          <w:p w14:paraId="3E995070"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0.36</w:t>
            </w:r>
          </w:p>
        </w:tc>
        <w:tc>
          <w:tcPr>
            <w:tcW w:w="804" w:type="dxa"/>
            <w:gridSpan w:val="2"/>
            <w:noWrap/>
            <w:hideMark/>
          </w:tcPr>
          <w:p w14:paraId="1AAFAC76"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0.36</w:t>
            </w:r>
          </w:p>
        </w:tc>
        <w:tc>
          <w:tcPr>
            <w:tcW w:w="670" w:type="dxa"/>
            <w:noWrap/>
            <w:hideMark/>
          </w:tcPr>
          <w:p w14:paraId="6077E130"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0.99</w:t>
            </w:r>
          </w:p>
        </w:tc>
        <w:tc>
          <w:tcPr>
            <w:tcW w:w="992" w:type="dxa"/>
            <w:noWrap/>
            <w:hideMark/>
          </w:tcPr>
          <w:p w14:paraId="7206E2B9"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1.00</w:t>
            </w:r>
          </w:p>
        </w:tc>
        <w:tc>
          <w:tcPr>
            <w:tcW w:w="567" w:type="dxa"/>
            <w:noWrap/>
            <w:hideMark/>
          </w:tcPr>
          <w:p w14:paraId="0D34CFD1"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3a</w:t>
            </w:r>
          </w:p>
        </w:tc>
        <w:tc>
          <w:tcPr>
            <w:tcW w:w="567" w:type="dxa"/>
            <w:noWrap/>
            <w:hideMark/>
          </w:tcPr>
          <w:p w14:paraId="3E153B19"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-1.99</w:t>
            </w:r>
          </w:p>
        </w:tc>
        <w:tc>
          <w:tcPr>
            <w:tcW w:w="851" w:type="dxa"/>
            <w:noWrap/>
            <w:hideMark/>
          </w:tcPr>
          <w:p w14:paraId="4F89146F"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0.42</w:t>
            </w:r>
          </w:p>
        </w:tc>
        <w:tc>
          <w:tcPr>
            <w:tcW w:w="850" w:type="dxa"/>
            <w:noWrap/>
            <w:hideMark/>
          </w:tcPr>
          <w:p w14:paraId="58E1C4CF"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5.84E-08</w:t>
            </w:r>
          </w:p>
        </w:tc>
        <w:tc>
          <w:tcPr>
            <w:tcW w:w="567" w:type="dxa"/>
            <w:noWrap/>
            <w:hideMark/>
          </w:tcPr>
          <w:p w14:paraId="684814E9"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-2.17</w:t>
            </w:r>
          </w:p>
        </w:tc>
        <w:tc>
          <w:tcPr>
            <w:tcW w:w="851" w:type="dxa"/>
            <w:noWrap/>
            <w:hideMark/>
          </w:tcPr>
          <w:p w14:paraId="30571513"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0.49</w:t>
            </w:r>
          </w:p>
        </w:tc>
        <w:tc>
          <w:tcPr>
            <w:tcW w:w="850" w:type="dxa"/>
            <w:noWrap/>
            <w:hideMark/>
          </w:tcPr>
          <w:p w14:paraId="17D038FF"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9.08E-08</w:t>
            </w:r>
          </w:p>
        </w:tc>
        <w:tc>
          <w:tcPr>
            <w:tcW w:w="851" w:type="dxa"/>
            <w:noWrap/>
            <w:hideMark/>
          </w:tcPr>
          <w:p w14:paraId="2A273FDE"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1.07E-07</w:t>
            </w:r>
          </w:p>
        </w:tc>
        <w:tc>
          <w:tcPr>
            <w:tcW w:w="1275" w:type="dxa"/>
            <w:noWrap/>
            <w:hideMark/>
          </w:tcPr>
          <w:p w14:paraId="3EC9E816"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0.28</w:t>
            </w:r>
          </w:p>
        </w:tc>
      </w:tr>
      <w:tr w:rsidR="00A50055" w:rsidRPr="005C0077" w14:paraId="28D3CCB8" w14:textId="77777777" w:rsidTr="00DF3A8E">
        <w:trPr>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4B8DC815"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rs361283</w:t>
            </w:r>
          </w:p>
        </w:tc>
        <w:tc>
          <w:tcPr>
            <w:tcW w:w="1418" w:type="dxa"/>
            <w:noWrap/>
            <w:hideMark/>
          </w:tcPr>
          <w:p w14:paraId="1941B64E" w14:textId="77777777"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chr11:103960620</w:t>
            </w:r>
          </w:p>
        </w:tc>
        <w:tc>
          <w:tcPr>
            <w:tcW w:w="851" w:type="dxa"/>
            <w:noWrap/>
            <w:hideMark/>
          </w:tcPr>
          <w:p w14:paraId="08FB9EAA" w14:textId="77777777"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(T/C)</w:t>
            </w:r>
          </w:p>
        </w:tc>
        <w:tc>
          <w:tcPr>
            <w:tcW w:w="614" w:type="dxa"/>
          </w:tcPr>
          <w:p w14:paraId="28AC3E4C" w14:textId="27AD5649" w:rsidR="00A50055" w:rsidRPr="005C0077" w:rsidRDefault="00A50055" w:rsidP="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0.41</w:t>
            </w:r>
          </w:p>
        </w:tc>
        <w:tc>
          <w:tcPr>
            <w:tcW w:w="614" w:type="dxa"/>
            <w:noWrap/>
            <w:hideMark/>
          </w:tcPr>
          <w:p w14:paraId="54394917" w14:textId="2A91711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0.81</w:t>
            </w:r>
          </w:p>
        </w:tc>
        <w:tc>
          <w:tcPr>
            <w:tcW w:w="567" w:type="dxa"/>
            <w:noWrap/>
            <w:hideMark/>
          </w:tcPr>
          <w:p w14:paraId="34B5E2BB"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0.37</w:t>
            </w:r>
          </w:p>
        </w:tc>
        <w:tc>
          <w:tcPr>
            <w:tcW w:w="804" w:type="dxa"/>
            <w:gridSpan w:val="2"/>
            <w:noWrap/>
            <w:hideMark/>
          </w:tcPr>
          <w:p w14:paraId="40C7DE93"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0.38</w:t>
            </w:r>
          </w:p>
        </w:tc>
        <w:tc>
          <w:tcPr>
            <w:tcW w:w="670" w:type="dxa"/>
            <w:noWrap/>
            <w:hideMark/>
          </w:tcPr>
          <w:p w14:paraId="4EB2818C"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0.99</w:t>
            </w:r>
          </w:p>
        </w:tc>
        <w:tc>
          <w:tcPr>
            <w:tcW w:w="992" w:type="dxa"/>
            <w:noWrap/>
            <w:hideMark/>
          </w:tcPr>
          <w:p w14:paraId="3120B106"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0.98</w:t>
            </w:r>
          </w:p>
        </w:tc>
        <w:tc>
          <w:tcPr>
            <w:tcW w:w="567" w:type="dxa"/>
            <w:noWrap/>
            <w:hideMark/>
          </w:tcPr>
          <w:p w14:paraId="4E3412DD"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7</w:t>
            </w:r>
          </w:p>
        </w:tc>
        <w:tc>
          <w:tcPr>
            <w:tcW w:w="567" w:type="dxa"/>
            <w:noWrap/>
            <w:hideMark/>
          </w:tcPr>
          <w:p w14:paraId="3EC48067"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-1.94</w:t>
            </w:r>
          </w:p>
        </w:tc>
        <w:tc>
          <w:tcPr>
            <w:tcW w:w="851" w:type="dxa"/>
            <w:noWrap/>
            <w:hideMark/>
          </w:tcPr>
          <w:p w14:paraId="137EBA46"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0.42</w:t>
            </w:r>
          </w:p>
        </w:tc>
        <w:tc>
          <w:tcPr>
            <w:tcW w:w="850" w:type="dxa"/>
            <w:noWrap/>
            <w:hideMark/>
          </w:tcPr>
          <w:p w14:paraId="7FBCD483"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1.32E-07</w:t>
            </w:r>
          </w:p>
        </w:tc>
        <w:tc>
          <w:tcPr>
            <w:tcW w:w="567" w:type="dxa"/>
            <w:noWrap/>
            <w:hideMark/>
          </w:tcPr>
          <w:p w14:paraId="0A319191"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-2.13</w:t>
            </w:r>
          </w:p>
        </w:tc>
        <w:tc>
          <w:tcPr>
            <w:tcW w:w="851" w:type="dxa"/>
            <w:noWrap/>
            <w:hideMark/>
          </w:tcPr>
          <w:p w14:paraId="2AAA116A"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0.49</w:t>
            </w:r>
          </w:p>
        </w:tc>
        <w:tc>
          <w:tcPr>
            <w:tcW w:w="850" w:type="dxa"/>
            <w:noWrap/>
            <w:hideMark/>
          </w:tcPr>
          <w:p w14:paraId="596AC9A7"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1.86E-07</w:t>
            </w:r>
          </w:p>
        </w:tc>
        <w:tc>
          <w:tcPr>
            <w:tcW w:w="851" w:type="dxa"/>
            <w:noWrap/>
            <w:hideMark/>
          </w:tcPr>
          <w:p w14:paraId="70C6E3B5"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2.53E-07</w:t>
            </w:r>
          </w:p>
        </w:tc>
        <w:tc>
          <w:tcPr>
            <w:tcW w:w="1275" w:type="dxa"/>
            <w:noWrap/>
            <w:hideMark/>
          </w:tcPr>
          <w:p w14:paraId="191A8101"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0.25</w:t>
            </w:r>
          </w:p>
        </w:tc>
      </w:tr>
      <w:tr w:rsidR="00DF3A8E" w:rsidRPr="005C0077" w14:paraId="209B1327" w14:textId="77777777" w:rsidTr="00A50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60618203"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rs603781</w:t>
            </w:r>
          </w:p>
        </w:tc>
        <w:tc>
          <w:tcPr>
            <w:tcW w:w="1418" w:type="dxa"/>
            <w:noWrap/>
            <w:hideMark/>
          </w:tcPr>
          <w:p w14:paraId="17C59EC2"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chr11:103965133</w:t>
            </w:r>
          </w:p>
        </w:tc>
        <w:tc>
          <w:tcPr>
            <w:tcW w:w="851" w:type="dxa"/>
            <w:noWrap/>
            <w:hideMark/>
          </w:tcPr>
          <w:p w14:paraId="13684103"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(T/C)</w:t>
            </w:r>
          </w:p>
        </w:tc>
        <w:tc>
          <w:tcPr>
            <w:tcW w:w="614" w:type="dxa"/>
          </w:tcPr>
          <w:p w14:paraId="64900062" w14:textId="3FD3EDC2" w:rsidR="00A50055" w:rsidRPr="005C0077" w:rsidRDefault="00A50055" w:rsidP="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0.41</w:t>
            </w:r>
          </w:p>
        </w:tc>
        <w:tc>
          <w:tcPr>
            <w:tcW w:w="614" w:type="dxa"/>
            <w:noWrap/>
            <w:hideMark/>
          </w:tcPr>
          <w:p w14:paraId="15686EBB" w14:textId="72DEB343"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0.81</w:t>
            </w:r>
          </w:p>
        </w:tc>
        <w:tc>
          <w:tcPr>
            <w:tcW w:w="567" w:type="dxa"/>
            <w:noWrap/>
            <w:hideMark/>
          </w:tcPr>
          <w:p w14:paraId="626CC057"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0.37</w:t>
            </w:r>
          </w:p>
        </w:tc>
        <w:tc>
          <w:tcPr>
            <w:tcW w:w="804" w:type="dxa"/>
            <w:gridSpan w:val="2"/>
            <w:noWrap/>
            <w:hideMark/>
          </w:tcPr>
          <w:p w14:paraId="011BC398"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0.38</w:t>
            </w:r>
          </w:p>
        </w:tc>
        <w:tc>
          <w:tcPr>
            <w:tcW w:w="670" w:type="dxa"/>
            <w:noWrap/>
            <w:hideMark/>
          </w:tcPr>
          <w:p w14:paraId="212B469B"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1.00</w:t>
            </w:r>
          </w:p>
        </w:tc>
        <w:tc>
          <w:tcPr>
            <w:tcW w:w="992" w:type="dxa"/>
            <w:noWrap/>
            <w:hideMark/>
          </w:tcPr>
          <w:p w14:paraId="14407E7B"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0.98</w:t>
            </w:r>
          </w:p>
        </w:tc>
        <w:tc>
          <w:tcPr>
            <w:tcW w:w="567" w:type="dxa"/>
            <w:noWrap/>
            <w:hideMark/>
          </w:tcPr>
          <w:p w14:paraId="0940EF52"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7</w:t>
            </w:r>
          </w:p>
        </w:tc>
        <w:tc>
          <w:tcPr>
            <w:tcW w:w="567" w:type="dxa"/>
            <w:noWrap/>
            <w:hideMark/>
          </w:tcPr>
          <w:p w14:paraId="1B29C238"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-1.92</w:t>
            </w:r>
          </w:p>
        </w:tc>
        <w:tc>
          <w:tcPr>
            <w:tcW w:w="851" w:type="dxa"/>
            <w:noWrap/>
            <w:hideMark/>
          </w:tcPr>
          <w:p w14:paraId="2C0C9AA0"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0.42</w:t>
            </w:r>
          </w:p>
        </w:tc>
        <w:tc>
          <w:tcPr>
            <w:tcW w:w="850" w:type="dxa"/>
            <w:noWrap/>
            <w:hideMark/>
          </w:tcPr>
          <w:p w14:paraId="7A94B7C3"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1.75E-07</w:t>
            </w:r>
          </w:p>
        </w:tc>
        <w:tc>
          <w:tcPr>
            <w:tcW w:w="567" w:type="dxa"/>
            <w:noWrap/>
            <w:hideMark/>
          </w:tcPr>
          <w:p w14:paraId="365AAEE9"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-2.09</w:t>
            </w:r>
          </w:p>
        </w:tc>
        <w:tc>
          <w:tcPr>
            <w:tcW w:w="851" w:type="dxa"/>
            <w:noWrap/>
            <w:hideMark/>
          </w:tcPr>
          <w:p w14:paraId="4FF4F4A3"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0.48</w:t>
            </w:r>
          </w:p>
        </w:tc>
        <w:tc>
          <w:tcPr>
            <w:tcW w:w="850" w:type="dxa"/>
            <w:noWrap/>
            <w:hideMark/>
          </w:tcPr>
          <w:p w14:paraId="035A02CF"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2.46E-07</w:t>
            </w:r>
          </w:p>
        </w:tc>
        <w:tc>
          <w:tcPr>
            <w:tcW w:w="851" w:type="dxa"/>
            <w:noWrap/>
            <w:hideMark/>
          </w:tcPr>
          <w:p w14:paraId="2F2A80C3"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3.48E-07</w:t>
            </w:r>
          </w:p>
        </w:tc>
        <w:tc>
          <w:tcPr>
            <w:tcW w:w="1275" w:type="dxa"/>
            <w:noWrap/>
            <w:hideMark/>
          </w:tcPr>
          <w:p w14:paraId="0C9A9036"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0.32</w:t>
            </w:r>
          </w:p>
        </w:tc>
      </w:tr>
      <w:tr w:rsidR="00A50055" w:rsidRPr="005C0077" w14:paraId="31F265AC" w14:textId="77777777" w:rsidTr="00DF3A8E">
        <w:trPr>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783A8719"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rs623031</w:t>
            </w:r>
          </w:p>
        </w:tc>
        <w:tc>
          <w:tcPr>
            <w:tcW w:w="1418" w:type="dxa"/>
            <w:noWrap/>
            <w:hideMark/>
          </w:tcPr>
          <w:p w14:paraId="785DB24E" w14:textId="77777777"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chr11:103969890</w:t>
            </w:r>
          </w:p>
        </w:tc>
        <w:tc>
          <w:tcPr>
            <w:tcW w:w="851" w:type="dxa"/>
            <w:noWrap/>
            <w:hideMark/>
          </w:tcPr>
          <w:p w14:paraId="3D8E4DA7" w14:textId="77777777"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(C/G)</w:t>
            </w:r>
          </w:p>
        </w:tc>
        <w:tc>
          <w:tcPr>
            <w:tcW w:w="614" w:type="dxa"/>
          </w:tcPr>
          <w:p w14:paraId="50A3F8CA" w14:textId="40551101" w:rsidR="00A50055" w:rsidRPr="005C0077" w:rsidRDefault="00A50055" w:rsidP="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0.31</w:t>
            </w:r>
          </w:p>
        </w:tc>
        <w:tc>
          <w:tcPr>
            <w:tcW w:w="614" w:type="dxa"/>
            <w:noWrap/>
            <w:hideMark/>
          </w:tcPr>
          <w:p w14:paraId="6B1B3FE6" w14:textId="036B90F0"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0.69</w:t>
            </w:r>
          </w:p>
        </w:tc>
        <w:tc>
          <w:tcPr>
            <w:tcW w:w="567" w:type="dxa"/>
            <w:noWrap/>
            <w:hideMark/>
          </w:tcPr>
          <w:p w14:paraId="0F6F5750"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0.29</w:t>
            </w:r>
          </w:p>
        </w:tc>
        <w:tc>
          <w:tcPr>
            <w:tcW w:w="804" w:type="dxa"/>
            <w:gridSpan w:val="2"/>
            <w:noWrap/>
            <w:hideMark/>
          </w:tcPr>
          <w:p w14:paraId="3D755C2C"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0.30</w:t>
            </w:r>
          </w:p>
        </w:tc>
        <w:tc>
          <w:tcPr>
            <w:tcW w:w="670" w:type="dxa"/>
            <w:noWrap/>
            <w:hideMark/>
          </w:tcPr>
          <w:p w14:paraId="5A5DE218"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0.99</w:t>
            </w:r>
          </w:p>
        </w:tc>
        <w:tc>
          <w:tcPr>
            <w:tcW w:w="992" w:type="dxa"/>
            <w:noWrap/>
            <w:hideMark/>
          </w:tcPr>
          <w:p w14:paraId="5EB791F3"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0.68</w:t>
            </w:r>
          </w:p>
        </w:tc>
        <w:tc>
          <w:tcPr>
            <w:tcW w:w="567" w:type="dxa"/>
            <w:noWrap/>
            <w:hideMark/>
          </w:tcPr>
          <w:p w14:paraId="4367124F"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6</w:t>
            </w:r>
          </w:p>
        </w:tc>
        <w:tc>
          <w:tcPr>
            <w:tcW w:w="567" w:type="dxa"/>
            <w:noWrap/>
            <w:hideMark/>
          </w:tcPr>
          <w:p w14:paraId="64364447"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-1.72</w:t>
            </w:r>
          </w:p>
        </w:tc>
        <w:tc>
          <w:tcPr>
            <w:tcW w:w="851" w:type="dxa"/>
            <w:noWrap/>
            <w:hideMark/>
          </w:tcPr>
          <w:p w14:paraId="10E640FF"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0.37</w:t>
            </w:r>
          </w:p>
        </w:tc>
        <w:tc>
          <w:tcPr>
            <w:tcW w:w="850" w:type="dxa"/>
            <w:noWrap/>
            <w:hideMark/>
          </w:tcPr>
          <w:p w14:paraId="6C582B02"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7.67E-07</w:t>
            </w:r>
          </w:p>
        </w:tc>
        <w:tc>
          <w:tcPr>
            <w:tcW w:w="567" w:type="dxa"/>
            <w:noWrap/>
            <w:hideMark/>
          </w:tcPr>
          <w:p w14:paraId="0D76EAA9"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-1.86</w:t>
            </w:r>
          </w:p>
        </w:tc>
        <w:tc>
          <w:tcPr>
            <w:tcW w:w="851" w:type="dxa"/>
            <w:noWrap/>
            <w:hideMark/>
          </w:tcPr>
          <w:p w14:paraId="2614FD7C"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0.42</w:t>
            </w:r>
          </w:p>
        </w:tc>
        <w:tc>
          <w:tcPr>
            <w:tcW w:w="850" w:type="dxa"/>
            <w:noWrap/>
            <w:hideMark/>
          </w:tcPr>
          <w:p w14:paraId="0E4D3858"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1.07E-06</w:t>
            </w:r>
          </w:p>
        </w:tc>
        <w:tc>
          <w:tcPr>
            <w:tcW w:w="851" w:type="dxa"/>
            <w:noWrap/>
            <w:hideMark/>
          </w:tcPr>
          <w:p w14:paraId="43774795"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1.31E-06</w:t>
            </w:r>
          </w:p>
        </w:tc>
        <w:tc>
          <w:tcPr>
            <w:tcW w:w="1275" w:type="dxa"/>
            <w:noWrap/>
            <w:hideMark/>
          </w:tcPr>
          <w:p w14:paraId="52020122"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0.46</w:t>
            </w:r>
          </w:p>
        </w:tc>
      </w:tr>
      <w:tr w:rsidR="00DF3A8E" w:rsidRPr="005C0077" w14:paraId="362E4A4A" w14:textId="77777777" w:rsidTr="00A50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3B3335AD"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rs618648</w:t>
            </w:r>
          </w:p>
        </w:tc>
        <w:tc>
          <w:tcPr>
            <w:tcW w:w="1418" w:type="dxa"/>
            <w:noWrap/>
            <w:hideMark/>
          </w:tcPr>
          <w:p w14:paraId="369EFE8C"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chr11:103969657</w:t>
            </w:r>
          </w:p>
        </w:tc>
        <w:tc>
          <w:tcPr>
            <w:tcW w:w="851" w:type="dxa"/>
            <w:noWrap/>
            <w:hideMark/>
          </w:tcPr>
          <w:p w14:paraId="0C980C64"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(C/A)</w:t>
            </w:r>
          </w:p>
        </w:tc>
        <w:tc>
          <w:tcPr>
            <w:tcW w:w="614" w:type="dxa"/>
          </w:tcPr>
          <w:p w14:paraId="48998715" w14:textId="1A7A31ED" w:rsidR="00A50055" w:rsidRPr="005C0077" w:rsidRDefault="00A50055" w:rsidP="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0.31</w:t>
            </w:r>
          </w:p>
        </w:tc>
        <w:tc>
          <w:tcPr>
            <w:tcW w:w="614" w:type="dxa"/>
            <w:noWrap/>
            <w:hideMark/>
          </w:tcPr>
          <w:p w14:paraId="28FBA94D" w14:textId="3D8C40AA"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0.69</w:t>
            </w:r>
          </w:p>
        </w:tc>
        <w:tc>
          <w:tcPr>
            <w:tcW w:w="567" w:type="dxa"/>
            <w:noWrap/>
            <w:hideMark/>
          </w:tcPr>
          <w:p w14:paraId="599AC25E"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0.29</w:t>
            </w:r>
          </w:p>
        </w:tc>
        <w:tc>
          <w:tcPr>
            <w:tcW w:w="804" w:type="dxa"/>
            <w:gridSpan w:val="2"/>
            <w:noWrap/>
            <w:hideMark/>
          </w:tcPr>
          <w:p w14:paraId="211F705C"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0.30</w:t>
            </w:r>
          </w:p>
        </w:tc>
        <w:tc>
          <w:tcPr>
            <w:tcW w:w="670" w:type="dxa"/>
            <w:noWrap/>
            <w:hideMark/>
          </w:tcPr>
          <w:p w14:paraId="4E263597"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0.99</w:t>
            </w:r>
          </w:p>
        </w:tc>
        <w:tc>
          <w:tcPr>
            <w:tcW w:w="992" w:type="dxa"/>
            <w:noWrap/>
            <w:hideMark/>
          </w:tcPr>
          <w:p w14:paraId="2AE2B63A"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0.68</w:t>
            </w:r>
          </w:p>
        </w:tc>
        <w:tc>
          <w:tcPr>
            <w:tcW w:w="567" w:type="dxa"/>
            <w:noWrap/>
            <w:hideMark/>
          </w:tcPr>
          <w:p w14:paraId="567596C7"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7</w:t>
            </w:r>
          </w:p>
        </w:tc>
        <w:tc>
          <w:tcPr>
            <w:tcW w:w="567" w:type="dxa"/>
            <w:noWrap/>
            <w:hideMark/>
          </w:tcPr>
          <w:p w14:paraId="7826239C"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-1.72</w:t>
            </w:r>
          </w:p>
        </w:tc>
        <w:tc>
          <w:tcPr>
            <w:tcW w:w="851" w:type="dxa"/>
            <w:noWrap/>
            <w:hideMark/>
          </w:tcPr>
          <w:p w14:paraId="6A311746"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0.37</w:t>
            </w:r>
          </w:p>
        </w:tc>
        <w:tc>
          <w:tcPr>
            <w:tcW w:w="850" w:type="dxa"/>
            <w:noWrap/>
            <w:hideMark/>
          </w:tcPr>
          <w:p w14:paraId="7856BF27"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7.76E-07</w:t>
            </w:r>
          </w:p>
        </w:tc>
        <w:tc>
          <w:tcPr>
            <w:tcW w:w="567" w:type="dxa"/>
            <w:noWrap/>
            <w:hideMark/>
          </w:tcPr>
          <w:p w14:paraId="32F03C7F"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-1.85</w:t>
            </w:r>
          </w:p>
        </w:tc>
        <w:tc>
          <w:tcPr>
            <w:tcW w:w="851" w:type="dxa"/>
            <w:noWrap/>
            <w:hideMark/>
          </w:tcPr>
          <w:p w14:paraId="454D9B65"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0.42</w:t>
            </w:r>
          </w:p>
        </w:tc>
        <w:tc>
          <w:tcPr>
            <w:tcW w:w="850" w:type="dxa"/>
            <w:noWrap/>
            <w:hideMark/>
          </w:tcPr>
          <w:p w14:paraId="4D4F4191"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1.08E-06</w:t>
            </w:r>
          </w:p>
        </w:tc>
        <w:tc>
          <w:tcPr>
            <w:tcW w:w="851" w:type="dxa"/>
            <w:noWrap/>
            <w:hideMark/>
          </w:tcPr>
          <w:p w14:paraId="74932347"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1.32E-06</w:t>
            </w:r>
          </w:p>
        </w:tc>
        <w:tc>
          <w:tcPr>
            <w:tcW w:w="1275" w:type="dxa"/>
            <w:noWrap/>
            <w:hideMark/>
          </w:tcPr>
          <w:p w14:paraId="4BBD3F32"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0.47</w:t>
            </w:r>
          </w:p>
        </w:tc>
      </w:tr>
      <w:tr w:rsidR="00A50055" w:rsidRPr="005C0077" w14:paraId="13944F72" w14:textId="77777777" w:rsidTr="00DF3A8E">
        <w:trPr>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28E4CCA8"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rs5794293</w:t>
            </w:r>
          </w:p>
        </w:tc>
        <w:tc>
          <w:tcPr>
            <w:tcW w:w="1418" w:type="dxa"/>
            <w:noWrap/>
            <w:hideMark/>
          </w:tcPr>
          <w:p w14:paraId="6C8BFF5A" w14:textId="77777777"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chr11:103969702</w:t>
            </w:r>
          </w:p>
        </w:tc>
        <w:tc>
          <w:tcPr>
            <w:tcW w:w="851" w:type="dxa"/>
            <w:noWrap/>
            <w:hideMark/>
          </w:tcPr>
          <w:p w14:paraId="51D013FC" w14:textId="77777777"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(CTTT/-)</w:t>
            </w:r>
          </w:p>
        </w:tc>
        <w:tc>
          <w:tcPr>
            <w:tcW w:w="614" w:type="dxa"/>
          </w:tcPr>
          <w:p w14:paraId="64995143" w14:textId="5CDA0D6A" w:rsidR="00A50055" w:rsidRPr="005C0077" w:rsidRDefault="00A50055" w:rsidP="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0.31</w:t>
            </w:r>
          </w:p>
        </w:tc>
        <w:tc>
          <w:tcPr>
            <w:tcW w:w="614" w:type="dxa"/>
            <w:noWrap/>
            <w:hideMark/>
          </w:tcPr>
          <w:p w14:paraId="06A8A1D9" w14:textId="44E01BDA"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0.69</w:t>
            </w:r>
          </w:p>
        </w:tc>
        <w:tc>
          <w:tcPr>
            <w:tcW w:w="567" w:type="dxa"/>
            <w:noWrap/>
            <w:hideMark/>
          </w:tcPr>
          <w:p w14:paraId="0E55BADB"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0.29</w:t>
            </w:r>
          </w:p>
        </w:tc>
        <w:tc>
          <w:tcPr>
            <w:tcW w:w="804" w:type="dxa"/>
            <w:gridSpan w:val="2"/>
            <w:noWrap/>
            <w:hideMark/>
          </w:tcPr>
          <w:p w14:paraId="09EE1FCE"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0.30</w:t>
            </w:r>
          </w:p>
        </w:tc>
        <w:tc>
          <w:tcPr>
            <w:tcW w:w="670" w:type="dxa"/>
            <w:noWrap/>
            <w:hideMark/>
          </w:tcPr>
          <w:p w14:paraId="0F46D6D0"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0.99</w:t>
            </w:r>
          </w:p>
        </w:tc>
        <w:tc>
          <w:tcPr>
            <w:tcW w:w="992" w:type="dxa"/>
            <w:noWrap/>
            <w:hideMark/>
          </w:tcPr>
          <w:p w14:paraId="2BABAD26"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0.68</w:t>
            </w:r>
          </w:p>
        </w:tc>
        <w:tc>
          <w:tcPr>
            <w:tcW w:w="567" w:type="dxa"/>
            <w:noWrap/>
            <w:hideMark/>
          </w:tcPr>
          <w:p w14:paraId="741E5E7F" w14:textId="3C63BB6C"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Pr>
                <w:rFonts w:ascii="Calibri" w:eastAsia="Times New Roman" w:hAnsi="Calibri" w:cs="Times New Roman"/>
                <w:color w:val="000000"/>
                <w:sz w:val="16"/>
                <w:szCs w:val="16"/>
                <w:lang w:eastAsia="en-GB" w:bidi="ar-SA"/>
              </w:rPr>
              <w:t>NA</w:t>
            </w:r>
          </w:p>
        </w:tc>
        <w:tc>
          <w:tcPr>
            <w:tcW w:w="567" w:type="dxa"/>
            <w:noWrap/>
            <w:hideMark/>
          </w:tcPr>
          <w:p w14:paraId="4C1C2A38"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-1.72</w:t>
            </w:r>
          </w:p>
        </w:tc>
        <w:tc>
          <w:tcPr>
            <w:tcW w:w="851" w:type="dxa"/>
            <w:noWrap/>
            <w:hideMark/>
          </w:tcPr>
          <w:p w14:paraId="6F8C7863"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0.37</w:t>
            </w:r>
          </w:p>
        </w:tc>
        <w:tc>
          <w:tcPr>
            <w:tcW w:w="850" w:type="dxa"/>
            <w:noWrap/>
            <w:hideMark/>
          </w:tcPr>
          <w:p w14:paraId="7AF36A31"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7.77E-07</w:t>
            </w:r>
          </w:p>
        </w:tc>
        <w:tc>
          <w:tcPr>
            <w:tcW w:w="567" w:type="dxa"/>
            <w:noWrap/>
            <w:hideMark/>
          </w:tcPr>
          <w:p w14:paraId="673DE04C"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-1.85</w:t>
            </w:r>
          </w:p>
        </w:tc>
        <w:tc>
          <w:tcPr>
            <w:tcW w:w="851" w:type="dxa"/>
            <w:noWrap/>
            <w:hideMark/>
          </w:tcPr>
          <w:p w14:paraId="4BD29F3F"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0.42</w:t>
            </w:r>
          </w:p>
        </w:tc>
        <w:tc>
          <w:tcPr>
            <w:tcW w:w="850" w:type="dxa"/>
            <w:noWrap/>
            <w:hideMark/>
          </w:tcPr>
          <w:p w14:paraId="6A341358"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1.08E-06</w:t>
            </w:r>
          </w:p>
        </w:tc>
        <w:tc>
          <w:tcPr>
            <w:tcW w:w="851" w:type="dxa"/>
            <w:noWrap/>
            <w:hideMark/>
          </w:tcPr>
          <w:p w14:paraId="6AD7008A"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1.32E-06</w:t>
            </w:r>
          </w:p>
        </w:tc>
        <w:tc>
          <w:tcPr>
            <w:tcW w:w="1275" w:type="dxa"/>
            <w:noWrap/>
            <w:hideMark/>
          </w:tcPr>
          <w:p w14:paraId="553CABB6"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0.47</w:t>
            </w:r>
          </w:p>
        </w:tc>
      </w:tr>
      <w:tr w:rsidR="00DF3A8E" w:rsidRPr="005C0077" w14:paraId="5A674767" w14:textId="77777777" w:rsidTr="00A50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3BB8723A"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rs619114</w:t>
            </w:r>
          </w:p>
        </w:tc>
        <w:tc>
          <w:tcPr>
            <w:tcW w:w="1418" w:type="dxa"/>
            <w:noWrap/>
            <w:hideMark/>
          </w:tcPr>
          <w:p w14:paraId="2E02DC2F"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chr11:103969553</w:t>
            </w:r>
          </w:p>
        </w:tc>
        <w:tc>
          <w:tcPr>
            <w:tcW w:w="851" w:type="dxa"/>
            <w:noWrap/>
            <w:hideMark/>
          </w:tcPr>
          <w:p w14:paraId="3EC5CAFF"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(C/T)</w:t>
            </w:r>
          </w:p>
        </w:tc>
        <w:tc>
          <w:tcPr>
            <w:tcW w:w="614" w:type="dxa"/>
          </w:tcPr>
          <w:p w14:paraId="74CBDEFC" w14:textId="34417DD1" w:rsidR="00A50055" w:rsidRPr="005C0077" w:rsidRDefault="00A50055" w:rsidP="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0.31</w:t>
            </w:r>
          </w:p>
        </w:tc>
        <w:tc>
          <w:tcPr>
            <w:tcW w:w="614" w:type="dxa"/>
            <w:noWrap/>
            <w:hideMark/>
          </w:tcPr>
          <w:p w14:paraId="133DA93E" w14:textId="68CF53B9"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0.69</w:t>
            </w:r>
          </w:p>
        </w:tc>
        <w:tc>
          <w:tcPr>
            <w:tcW w:w="567" w:type="dxa"/>
            <w:noWrap/>
            <w:hideMark/>
          </w:tcPr>
          <w:p w14:paraId="3F926027"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0.29</w:t>
            </w:r>
          </w:p>
        </w:tc>
        <w:tc>
          <w:tcPr>
            <w:tcW w:w="804" w:type="dxa"/>
            <w:gridSpan w:val="2"/>
            <w:noWrap/>
            <w:hideMark/>
          </w:tcPr>
          <w:p w14:paraId="6D7F8D95"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0.30</w:t>
            </w:r>
          </w:p>
        </w:tc>
        <w:tc>
          <w:tcPr>
            <w:tcW w:w="670" w:type="dxa"/>
            <w:noWrap/>
            <w:hideMark/>
          </w:tcPr>
          <w:p w14:paraId="51679007"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0.99</w:t>
            </w:r>
          </w:p>
        </w:tc>
        <w:tc>
          <w:tcPr>
            <w:tcW w:w="992" w:type="dxa"/>
            <w:noWrap/>
            <w:hideMark/>
          </w:tcPr>
          <w:p w14:paraId="0D0D42F9"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0.68</w:t>
            </w:r>
          </w:p>
        </w:tc>
        <w:tc>
          <w:tcPr>
            <w:tcW w:w="567" w:type="dxa"/>
            <w:noWrap/>
            <w:hideMark/>
          </w:tcPr>
          <w:p w14:paraId="50CF098C"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4</w:t>
            </w:r>
          </w:p>
        </w:tc>
        <w:tc>
          <w:tcPr>
            <w:tcW w:w="567" w:type="dxa"/>
            <w:noWrap/>
            <w:hideMark/>
          </w:tcPr>
          <w:p w14:paraId="31AE1774"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-1.72</w:t>
            </w:r>
          </w:p>
        </w:tc>
        <w:tc>
          <w:tcPr>
            <w:tcW w:w="851" w:type="dxa"/>
            <w:noWrap/>
            <w:hideMark/>
          </w:tcPr>
          <w:p w14:paraId="7EC67D93"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0.37</w:t>
            </w:r>
          </w:p>
        </w:tc>
        <w:tc>
          <w:tcPr>
            <w:tcW w:w="850" w:type="dxa"/>
            <w:noWrap/>
            <w:hideMark/>
          </w:tcPr>
          <w:p w14:paraId="1FCC78B3"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7.81E-07</w:t>
            </w:r>
          </w:p>
        </w:tc>
        <w:tc>
          <w:tcPr>
            <w:tcW w:w="567" w:type="dxa"/>
            <w:noWrap/>
            <w:hideMark/>
          </w:tcPr>
          <w:p w14:paraId="023F2E18"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-1.85</w:t>
            </w:r>
          </w:p>
        </w:tc>
        <w:tc>
          <w:tcPr>
            <w:tcW w:w="851" w:type="dxa"/>
            <w:noWrap/>
            <w:hideMark/>
          </w:tcPr>
          <w:p w14:paraId="4CD7F1A3"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0.42</w:t>
            </w:r>
          </w:p>
        </w:tc>
        <w:tc>
          <w:tcPr>
            <w:tcW w:w="850" w:type="dxa"/>
            <w:noWrap/>
            <w:hideMark/>
          </w:tcPr>
          <w:p w14:paraId="135DC66C"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1.08E-06</w:t>
            </w:r>
          </w:p>
        </w:tc>
        <w:tc>
          <w:tcPr>
            <w:tcW w:w="851" w:type="dxa"/>
            <w:noWrap/>
            <w:hideMark/>
          </w:tcPr>
          <w:p w14:paraId="0F91DD4D"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1.33E-06</w:t>
            </w:r>
          </w:p>
        </w:tc>
        <w:tc>
          <w:tcPr>
            <w:tcW w:w="1275" w:type="dxa"/>
            <w:noWrap/>
            <w:hideMark/>
          </w:tcPr>
          <w:p w14:paraId="69E3920F"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0.47</w:t>
            </w:r>
          </w:p>
        </w:tc>
      </w:tr>
      <w:tr w:rsidR="00A50055" w:rsidRPr="005C0077" w14:paraId="51D6B72E" w14:textId="77777777" w:rsidTr="00DF3A8E">
        <w:trPr>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472B2138"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rs574494</w:t>
            </w:r>
          </w:p>
        </w:tc>
        <w:tc>
          <w:tcPr>
            <w:tcW w:w="1418" w:type="dxa"/>
            <w:noWrap/>
            <w:hideMark/>
          </w:tcPr>
          <w:p w14:paraId="5CA64346" w14:textId="77777777"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chr11:103969440</w:t>
            </w:r>
          </w:p>
        </w:tc>
        <w:tc>
          <w:tcPr>
            <w:tcW w:w="851" w:type="dxa"/>
            <w:noWrap/>
            <w:hideMark/>
          </w:tcPr>
          <w:p w14:paraId="716FBDC7" w14:textId="77777777"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(A/G)</w:t>
            </w:r>
          </w:p>
        </w:tc>
        <w:tc>
          <w:tcPr>
            <w:tcW w:w="614" w:type="dxa"/>
          </w:tcPr>
          <w:p w14:paraId="5AB26877" w14:textId="4F847A64" w:rsidR="00A50055" w:rsidRPr="005C0077" w:rsidRDefault="00A50055" w:rsidP="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0.31</w:t>
            </w:r>
          </w:p>
        </w:tc>
        <w:tc>
          <w:tcPr>
            <w:tcW w:w="614" w:type="dxa"/>
            <w:noWrap/>
            <w:hideMark/>
          </w:tcPr>
          <w:p w14:paraId="6397F17D" w14:textId="4C365046"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0.69</w:t>
            </w:r>
          </w:p>
        </w:tc>
        <w:tc>
          <w:tcPr>
            <w:tcW w:w="567" w:type="dxa"/>
            <w:noWrap/>
            <w:hideMark/>
          </w:tcPr>
          <w:p w14:paraId="571844CA"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0.29</w:t>
            </w:r>
          </w:p>
        </w:tc>
        <w:tc>
          <w:tcPr>
            <w:tcW w:w="804" w:type="dxa"/>
            <w:gridSpan w:val="2"/>
            <w:noWrap/>
            <w:hideMark/>
          </w:tcPr>
          <w:p w14:paraId="5913E74D"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0.30</w:t>
            </w:r>
          </w:p>
        </w:tc>
        <w:tc>
          <w:tcPr>
            <w:tcW w:w="670" w:type="dxa"/>
            <w:noWrap/>
            <w:hideMark/>
          </w:tcPr>
          <w:p w14:paraId="6B9D60B8"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0.99</w:t>
            </w:r>
          </w:p>
        </w:tc>
        <w:tc>
          <w:tcPr>
            <w:tcW w:w="992" w:type="dxa"/>
            <w:noWrap/>
            <w:hideMark/>
          </w:tcPr>
          <w:p w14:paraId="0F945454"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0.68</w:t>
            </w:r>
          </w:p>
        </w:tc>
        <w:tc>
          <w:tcPr>
            <w:tcW w:w="567" w:type="dxa"/>
            <w:noWrap/>
            <w:hideMark/>
          </w:tcPr>
          <w:p w14:paraId="4873DA21"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4</w:t>
            </w:r>
          </w:p>
        </w:tc>
        <w:tc>
          <w:tcPr>
            <w:tcW w:w="567" w:type="dxa"/>
            <w:noWrap/>
            <w:hideMark/>
          </w:tcPr>
          <w:p w14:paraId="1F8405FF"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-1.72</w:t>
            </w:r>
          </w:p>
        </w:tc>
        <w:tc>
          <w:tcPr>
            <w:tcW w:w="851" w:type="dxa"/>
            <w:noWrap/>
            <w:hideMark/>
          </w:tcPr>
          <w:p w14:paraId="26E6D198"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0.37</w:t>
            </w:r>
          </w:p>
        </w:tc>
        <w:tc>
          <w:tcPr>
            <w:tcW w:w="850" w:type="dxa"/>
            <w:noWrap/>
            <w:hideMark/>
          </w:tcPr>
          <w:p w14:paraId="0003726A"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7.85E-07</w:t>
            </w:r>
          </w:p>
        </w:tc>
        <w:tc>
          <w:tcPr>
            <w:tcW w:w="567" w:type="dxa"/>
            <w:noWrap/>
            <w:hideMark/>
          </w:tcPr>
          <w:p w14:paraId="1F48F6D8"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-1.85</w:t>
            </w:r>
          </w:p>
        </w:tc>
        <w:tc>
          <w:tcPr>
            <w:tcW w:w="851" w:type="dxa"/>
            <w:noWrap/>
            <w:hideMark/>
          </w:tcPr>
          <w:p w14:paraId="4D3287FF"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0.42</w:t>
            </w:r>
          </w:p>
        </w:tc>
        <w:tc>
          <w:tcPr>
            <w:tcW w:w="850" w:type="dxa"/>
            <w:noWrap/>
            <w:hideMark/>
          </w:tcPr>
          <w:p w14:paraId="26982CE6"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1.08E-06</w:t>
            </w:r>
          </w:p>
        </w:tc>
        <w:tc>
          <w:tcPr>
            <w:tcW w:w="851" w:type="dxa"/>
            <w:noWrap/>
            <w:hideMark/>
          </w:tcPr>
          <w:p w14:paraId="36FF3AE3"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1.33E-06</w:t>
            </w:r>
          </w:p>
        </w:tc>
        <w:tc>
          <w:tcPr>
            <w:tcW w:w="1275" w:type="dxa"/>
            <w:noWrap/>
            <w:hideMark/>
          </w:tcPr>
          <w:p w14:paraId="7882ED4E"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0.48</w:t>
            </w:r>
          </w:p>
        </w:tc>
      </w:tr>
      <w:tr w:rsidR="00DF3A8E" w:rsidRPr="005C0077" w14:paraId="6DB1846B" w14:textId="77777777" w:rsidTr="00A50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353E44A4"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rs619954</w:t>
            </w:r>
          </w:p>
        </w:tc>
        <w:tc>
          <w:tcPr>
            <w:tcW w:w="1418" w:type="dxa"/>
            <w:noWrap/>
            <w:hideMark/>
          </w:tcPr>
          <w:p w14:paraId="30DC14C1"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chr11:103969434</w:t>
            </w:r>
          </w:p>
        </w:tc>
        <w:tc>
          <w:tcPr>
            <w:tcW w:w="851" w:type="dxa"/>
            <w:noWrap/>
            <w:hideMark/>
          </w:tcPr>
          <w:p w14:paraId="06150D67"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(G/A)</w:t>
            </w:r>
          </w:p>
        </w:tc>
        <w:tc>
          <w:tcPr>
            <w:tcW w:w="614" w:type="dxa"/>
          </w:tcPr>
          <w:p w14:paraId="0C07314E" w14:textId="28582266" w:rsidR="00A50055" w:rsidRPr="005C0077" w:rsidRDefault="00A50055" w:rsidP="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0.31</w:t>
            </w:r>
          </w:p>
        </w:tc>
        <w:tc>
          <w:tcPr>
            <w:tcW w:w="614" w:type="dxa"/>
            <w:noWrap/>
            <w:hideMark/>
          </w:tcPr>
          <w:p w14:paraId="2665886D" w14:textId="095E91AC"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0.69</w:t>
            </w:r>
          </w:p>
        </w:tc>
        <w:tc>
          <w:tcPr>
            <w:tcW w:w="567" w:type="dxa"/>
            <w:noWrap/>
            <w:hideMark/>
          </w:tcPr>
          <w:p w14:paraId="202F76C5"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0.29</w:t>
            </w:r>
          </w:p>
        </w:tc>
        <w:tc>
          <w:tcPr>
            <w:tcW w:w="804" w:type="dxa"/>
            <w:gridSpan w:val="2"/>
            <w:noWrap/>
            <w:hideMark/>
          </w:tcPr>
          <w:p w14:paraId="57EC2DBF"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0.30</w:t>
            </w:r>
          </w:p>
        </w:tc>
        <w:tc>
          <w:tcPr>
            <w:tcW w:w="670" w:type="dxa"/>
            <w:noWrap/>
            <w:hideMark/>
          </w:tcPr>
          <w:p w14:paraId="1AA3CB7C"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0.99</w:t>
            </w:r>
          </w:p>
        </w:tc>
        <w:tc>
          <w:tcPr>
            <w:tcW w:w="992" w:type="dxa"/>
            <w:noWrap/>
            <w:hideMark/>
          </w:tcPr>
          <w:p w14:paraId="18C21862"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0.68</w:t>
            </w:r>
          </w:p>
        </w:tc>
        <w:tc>
          <w:tcPr>
            <w:tcW w:w="567" w:type="dxa"/>
            <w:noWrap/>
            <w:hideMark/>
          </w:tcPr>
          <w:p w14:paraId="692E3440"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4</w:t>
            </w:r>
          </w:p>
        </w:tc>
        <w:tc>
          <w:tcPr>
            <w:tcW w:w="567" w:type="dxa"/>
            <w:noWrap/>
            <w:hideMark/>
          </w:tcPr>
          <w:p w14:paraId="2C97747C"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-1.71</w:t>
            </w:r>
          </w:p>
        </w:tc>
        <w:tc>
          <w:tcPr>
            <w:tcW w:w="851" w:type="dxa"/>
            <w:noWrap/>
            <w:hideMark/>
          </w:tcPr>
          <w:p w14:paraId="495C8ED7"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0.37</w:t>
            </w:r>
          </w:p>
        </w:tc>
        <w:tc>
          <w:tcPr>
            <w:tcW w:w="850" w:type="dxa"/>
            <w:noWrap/>
            <w:hideMark/>
          </w:tcPr>
          <w:p w14:paraId="7EE0A71E"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7.85E-07</w:t>
            </w:r>
          </w:p>
        </w:tc>
        <w:tc>
          <w:tcPr>
            <w:tcW w:w="567" w:type="dxa"/>
            <w:noWrap/>
            <w:hideMark/>
          </w:tcPr>
          <w:p w14:paraId="0B782203"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-1.85</w:t>
            </w:r>
          </w:p>
        </w:tc>
        <w:tc>
          <w:tcPr>
            <w:tcW w:w="851" w:type="dxa"/>
            <w:noWrap/>
            <w:hideMark/>
          </w:tcPr>
          <w:p w14:paraId="1ABD8729"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0.42</w:t>
            </w:r>
          </w:p>
        </w:tc>
        <w:tc>
          <w:tcPr>
            <w:tcW w:w="850" w:type="dxa"/>
            <w:noWrap/>
            <w:hideMark/>
          </w:tcPr>
          <w:p w14:paraId="73F700F7"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1.09E-06</w:t>
            </w:r>
          </w:p>
        </w:tc>
        <w:tc>
          <w:tcPr>
            <w:tcW w:w="851" w:type="dxa"/>
            <w:noWrap/>
            <w:hideMark/>
          </w:tcPr>
          <w:p w14:paraId="65ECF219"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1.33E-06</w:t>
            </w:r>
          </w:p>
        </w:tc>
        <w:tc>
          <w:tcPr>
            <w:tcW w:w="1275" w:type="dxa"/>
            <w:noWrap/>
            <w:hideMark/>
          </w:tcPr>
          <w:p w14:paraId="4E10985A"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0.48</w:t>
            </w:r>
          </w:p>
        </w:tc>
      </w:tr>
      <w:tr w:rsidR="00A50055" w:rsidRPr="005C0077" w14:paraId="25ACC05E" w14:textId="77777777" w:rsidTr="00DF3A8E">
        <w:trPr>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4E31E0E6"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rs620426</w:t>
            </w:r>
          </w:p>
        </w:tc>
        <w:tc>
          <w:tcPr>
            <w:tcW w:w="1418" w:type="dxa"/>
            <w:noWrap/>
            <w:hideMark/>
          </w:tcPr>
          <w:p w14:paraId="6A8DC446" w14:textId="77777777"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chr11:103969332</w:t>
            </w:r>
          </w:p>
        </w:tc>
        <w:tc>
          <w:tcPr>
            <w:tcW w:w="851" w:type="dxa"/>
            <w:noWrap/>
            <w:hideMark/>
          </w:tcPr>
          <w:p w14:paraId="5BAFA0C6" w14:textId="77777777"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(C/G)</w:t>
            </w:r>
          </w:p>
        </w:tc>
        <w:tc>
          <w:tcPr>
            <w:tcW w:w="614" w:type="dxa"/>
          </w:tcPr>
          <w:p w14:paraId="60B4D6EF" w14:textId="582C7540" w:rsidR="00A50055" w:rsidRPr="005C0077" w:rsidRDefault="00A50055" w:rsidP="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0.31</w:t>
            </w:r>
          </w:p>
        </w:tc>
        <w:tc>
          <w:tcPr>
            <w:tcW w:w="614" w:type="dxa"/>
            <w:noWrap/>
            <w:hideMark/>
          </w:tcPr>
          <w:p w14:paraId="4EE68DAB" w14:textId="0AFB2B32"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0.69</w:t>
            </w:r>
          </w:p>
        </w:tc>
        <w:tc>
          <w:tcPr>
            <w:tcW w:w="567" w:type="dxa"/>
            <w:noWrap/>
            <w:hideMark/>
          </w:tcPr>
          <w:p w14:paraId="7DD5C623"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0.29</w:t>
            </w:r>
          </w:p>
        </w:tc>
        <w:tc>
          <w:tcPr>
            <w:tcW w:w="804" w:type="dxa"/>
            <w:gridSpan w:val="2"/>
            <w:noWrap/>
            <w:hideMark/>
          </w:tcPr>
          <w:p w14:paraId="0D1F37EF"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0.30</w:t>
            </w:r>
          </w:p>
        </w:tc>
        <w:tc>
          <w:tcPr>
            <w:tcW w:w="670" w:type="dxa"/>
            <w:noWrap/>
            <w:hideMark/>
          </w:tcPr>
          <w:p w14:paraId="01B19230"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0.99</w:t>
            </w:r>
          </w:p>
        </w:tc>
        <w:tc>
          <w:tcPr>
            <w:tcW w:w="992" w:type="dxa"/>
            <w:noWrap/>
            <w:hideMark/>
          </w:tcPr>
          <w:p w14:paraId="1441DE0F"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0.68</w:t>
            </w:r>
          </w:p>
        </w:tc>
        <w:tc>
          <w:tcPr>
            <w:tcW w:w="567" w:type="dxa"/>
            <w:noWrap/>
            <w:hideMark/>
          </w:tcPr>
          <w:p w14:paraId="3DF095C8"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6</w:t>
            </w:r>
          </w:p>
        </w:tc>
        <w:tc>
          <w:tcPr>
            <w:tcW w:w="567" w:type="dxa"/>
            <w:noWrap/>
            <w:hideMark/>
          </w:tcPr>
          <w:p w14:paraId="51AEEA34"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-1.71</w:t>
            </w:r>
          </w:p>
        </w:tc>
        <w:tc>
          <w:tcPr>
            <w:tcW w:w="851" w:type="dxa"/>
            <w:noWrap/>
            <w:hideMark/>
          </w:tcPr>
          <w:p w14:paraId="3E5BB0D8"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0.37</w:t>
            </w:r>
          </w:p>
        </w:tc>
        <w:tc>
          <w:tcPr>
            <w:tcW w:w="850" w:type="dxa"/>
            <w:noWrap/>
            <w:hideMark/>
          </w:tcPr>
          <w:p w14:paraId="5E9C3425"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7.90E-07</w:t>
            </w:r>
          </w:p>
        </w:tc>
        <w:tc>
          <w:tcPr>
            <w:tcW w:w="567" w:type="dxa"/>
            <w:noWrap/>
            <w:hideMark/>
          </w:tcPr>
          <w:p w14:paraId="29895BF0"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-1.85</w:t>
            </w:r>
          </w:p>
        </w:tc>
        <w:tc>
          <w:tcPr>
            <w:tcW w:w="851" w:type="dxa"/>
            <w:noWrap/>
            <w:hideMark/>
          </w:tcPr>
          <w:p w14:paraId="1598E0A1"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0.42</w:t>
            </w:r>
          </w:p>
        </w:tc>
        <w:tc>
          <w:tcPr>
            <w:tcW w:w="850" w:type="dxa"/>
            <w:noWrap/>
            <w:hideMark/>
          </w:tcPr>
          <w:p w14:paraId="24EE3D2F"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1.09E-06</w:t>
            </w:r>
          </w:p>
        </w:tc>
        <w:tc>
          <w:tcPr>
            <w:tcW w:w="851" w:type="dxa"/>
            <w:noWrap/>
            <w:hideMark/>
          </w:tcPr>
          <w:p w14:paraId="62ADEC7E"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1.34E-06</w:t>
            </w:r>
          </w:p>
        </w:tc>
        <w:tc>
          <w:tcPr>
            <w:tcW w:w="1275" w:type="dxa"/>
            <w:noWrap/>
            <w:hideMark/>
          </w:tcPr>
          <w:p w14:paraId="4556955C"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0.48</w:t>
            </w:r>
          </w:p>
        </w:tc>
      </w:tr>
      <w:tr w:rsidR="00DF3A8E" w:rsidRPr="005C0077" w14:paraId="62DA8B2E" w14:textId="77777777" w:rsidTr="00A50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6F5C96BC"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rs2515083</w:t>
            </w:r>
          </w:p>
        </w:tc>
        <w:tc>
          <w:tcPr>
            <w:tcW w:w="1418" w:type="dxa"/>
            <w:noWrap/>
            <w:hideMark/>
          </w:tcPr>
          <w:p w14:paraId="4E0F9A2A"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chr11:103968747</w:t>
            </w:r>
          </w:p>
        </w:tc>
        <w:tc>
          <w:tcPr>
            <w:tcW w:w="851" w:type="dxa"/>
            <w:noWrap/>
            <w:hideMark/>
          </w:tcPr>
          <w:p w14:paraId="479A1E71"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(A/C)</w:t>
            </w:r>
          </w:p>
        </w:tc>
        <w:tc>
          <w:tcPr>
            <w:tcW w:w="614" w:type="dxa"/>
          </w:tcPr>
          <w:p w14:paraId="4F4C3074" w14:textId="3C9AFC0E" w:rsidR="00A50055" w:rsidRPr="005C0077" w:rsidRDefault="00A50055" w:rsidP="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0.31</w:t>
            </w:r>
          </w:p>
        </w:tc>
        <w:tc>
          <w:tcPr>
            <w:tcW w:w="614" w:type="dxa"/>
            <w:noWrap/>
            <w:hideMark/>
          </w:tcPr>
          <w:p w14:paraId="4079ADCA" w14:textId="14A66A64"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0.69</w:t>
            </w:r>
          </w:p>
        </w:tc>
        <w:tc>
          <w:tcPr>
            <w:tcW w:w="567" w:type="dxa"/>
            <w:noWrap/>
            <w:hideMark/>
          </w:tcPr>
          <w:p w14:paraId="170CEB0A"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0.29</w:t>
            </w:r>
          </w:p>
        </w:tc>
        <w:tc>
          <w:tcPr>
            <w:tcW w:w="804" w:type="dxa"/>
            <w:gridSpan w:val="2"/>
            <w:noWrap/>
            <w:hideMark/>
          </w:tcPr>
          <w:p w14:paraId="65A18B23"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0.30</w:t>
            </w:r>
          </w:p>
        </w:tc>
        <w:tc>
          <w:tcPr>
            <w:tcW w:w="670" w:type="dxa"/>
            <w:noWrap/>
            <w:hideMark/>
          </w:tcPr>
          <w:p w14:paraId="0163B9E0"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1.00</w:t>
            </w:r>
          </w:p>
        </w:tc>
        <w:tc>
          <w:tcPr>
            <w:tcW w:w="992" w:type="dxa"/>
            <w:noWrap/>
            <w:hideMark/>
          </w:tcPr>
          <w:p w14:paraId="69DE7906"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0.68</w:t>
            </w:r>
          </w:p>
        </w:tc>
        <w:tc>
          <w:tcPr>
            <w:tcW w:w="567" w:type="dxa"/>
            <w:noWrap/>
            <w:hideMark/>
          </w:tcPr>
          <w:p w14:paraId="16D5D34B"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6</w:t>
            </w:r>
          </w:p>
        </w:tc>
        <w:tc>
          <w:tcPr>
            <w:tcW w:w="567" w:type="dxa"/>
            <w:noWrap/>
            <w:hideMark/>
          </w:tcPr>
          <w:p w14:paraId="2417A9B5"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-1.71</w:t>
            </w:r>
          </w:p>
        </w:tc>
        <w:tc>
          <w:tcPr>
            <w:tcW w:w="851" w:type="dxa"/>
            <w:noWrap/>
            <w:hideMark/>
          </w:tcPr>
          <w:p w14:paraId="3AD646D7"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0.37</w:t>
            </w:r>
          </w:p>
        </w:tc>
        <w:tc>
          <w:tcPr>
            <w:tcW w:w="850" w:type="dxa"/>
            <w:noWrap/>
            <w:hideMark/>
          </w:tcPr>
          <w:p w14:paraId="496887E3"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8.15E-07</w:t>
            </w:r>
          </w:p>
        </w:tc>
        <w:tc>
          <w:tcPr>
            <w:tcW w:w="567" w:type="dxa"/>
            <w:noWrap/>
            <w:hideMark/>
          </w:tcPr>
          <w:p w14:paraId="4A31EAE1"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-1.84</w:t>
            </w:r>
          </w:p>
        </w:tc>
        <w:tc>
          <w:tcPr>
            <w:tcW w:w="851" w:type="dxa"/>
            <w:noWrap/>
            <w:hideMark/>
          </w:tcPr>
          <w:p w14:paraId="780C844A"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0.42</w:t>
            </w:r>
          </w:p>
        </w:tc>
        <w:tc>
          <w:tcPr>
            <w:tcW w:w="850" w:type="dxa"/>
            <w:noWrap/>
            <w:hideMark/>
          </w:tcPr>
          <w:p w14:paraId="133C00D3"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1.11E-06</w:t>
            </w:r>
          </w:p>
        </w:tc>
        <w:tc>
          <w:tcPr>
            <w:tcW w:w="851" w:type="dxa"/>
            <w:noWrap/>
            <w:hideMark/>
          </w:tcPr>
          <w:p w14:paraId="7FF84E87"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1.37E-06</w:t>
            </w:r>
          </w:p>
        </w:tc>
        <w:tc>
          <w:tcPr>
            <w:tcW w:w="1275" w:type="dxa"/>
            <w:noWrap/>
            <w:hideMark/>
          </w:tcPr>
          <w:p w14:paraId="73E993DD"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0.49</w:t>
            </w:r>
          </w:p>
        </w:tc>
      </w:tr>
      <w:tr w:rsidR="00A50055" w:rsidRPr="005C0077" w14:paraId="51E4052C" w14:textId="77777777" w:rsidTr="00DF3A8E">
        <w:trPr>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751A5453"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rs517401</w:t>
            </w:r>
          </w:p>
        </w:tc>
        <w:tc>
          <w:tcPr>
            <w:tcW w:w="1418" w:type="dxa"/>
            <w:noWrap/>
            <w:hideMark/>
          </w:tcPr>
          <w:p w14:paraId="0E21F495" w14:textId="77777777"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chr11:103967778</w:t>
            </w:r>
          </w:p>
        </w:tc>
        <w:tc>
          <w:tcPr>
            <w:tcW w:w="851" w:type="dxa"/>
            <w:noWrap/>
            <w:hideMark/>
          </w:tcPr>
          <w:p w14:paraId="47B0B87E" w14:textId="77777777"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(T/C)</w:t>
            </w:r>
          </w:p>
        </w:tc>
        <w:tc>
          <w:tcPr>
            <w:tcW w:w="614" w:type="dxa"/>
          </w:tcPr>
          <w:p w14:paraId="472B4B95" w14:textId="20C47CD4" w:rsidR="00A50055" w:rsidRPr="005C0077" w:rsidRDefault="00A50055" w:rsidP="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0.31</w:t>
            </w:r>
          </w:p>
        </w:tc>
        <w:tc>
          <w:tcPr>
            <w:tcW w:w="614" w:type="dxa"/>
            <w:noWrap/>
            <w:hideMark/>
          </w:tcPr>
          <w:p w14:paraId="3530DDC5" w14:textId="38EBBFD6"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0.69</w:t>
            </w:r>
          </w:p>
        </w:tc>
        <w:tc>
          <w:tcPr>
            <w:tcW w:w="567" w:type="dxa"/>
            <w:noWrap/>
            <w:hideMark/>
          </w:tcPr>
          <w:p w14:paraId="2EB89081"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0.29</w:t>
            </w:r>
          </w:p>
        </w:tc>
        <w:tc>
          <w:tcPr>
            <w:tcW w:w="804" w:type="dxa"/>
            <w:gridSpan w:val="2"/>
            <w:noWrap/>
            <w:hideMark/>
          </w:tcPr>
          <w:p w14:paraId="798C78B4"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0.30</w:t>
            </w:r>
          </w:p>
        </w:tc>
        <w:tc>
          <w:tcPr>
            <w:tcW w:w="670" w:type="dxa"/>
            <w:noWrap/>
            <w:hideMark/>
          </w:tcPr>
          <w:p w14:paraId="1CFF9B69"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1.00</w:t>
            </w:r>
          </w:p>
        </w:tc>
        <w:tc>
          <w:tcPr>
            <w:tcW w:w="992" w:type="dxa"/>
            <w:noWrap/>
            <w:hideMark/>
          </w:tcPr>
          <w:p w14:paraId="14F9D51A"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0.68</w:t>
            </w:r>
          </w:p>
        </w:tc>
        <w:tc>
          <w:tcPr>
            <w:tcW w:w="567" w:type="dxa"/>
            <w:noWrap/>
            <w:hideMark/>
          </w:tcPr>
          <w:p w14:paraId="4F7104A3"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5</w:t>
            </w:r>
          </w:p>
        </w:tc>
        <w:tc>
          <w:tcPr>
            <w:tcW w:w="567" w:type="dxa"/>
            <w:noWrap/>
            <w:hideMark/>
          </w:tcPr>
          <w:p w14:paraId="3DCBB1EA"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-1.70</w:t>
            </w:r>
          </w:p>
        </w:tc>
        <w:tc>
          <w:tcPr>
            <w:tcW w:w="851" w:type="dxa"/>
            <w:noWrap/>
            <w:hideMark/>
          </w:tcPr>
          <w:p w14:paraId="4A752989"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0.37</w:t>
            </w:r>
          </w:p>
        </w:tc>
        <w:tc>
          <w:tcPr>
            <w:tcW w:w="850" w:type="dxa"/>
            <w:noWrap/>
            <w:hideMark/>
          </w:tcPr>
          <w:p w14:paraId="0BC74A35"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8.30E-07</w:t>
            </w:r>
          </w:p>
        </w:tc>
        <w:tc>
          <w:tcPr>
            <w:tcW w:w="567" w:type="dxa"/>
            <w:noWrap/>
            <w:hideMark/>
          </w:tcPr>
          <w:p w14:paraId="77769A22"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-1.84</w:t>
            </w:r>
          </w:p>
        </w:tc>
        <w:tc>
          <w:tcPr>
            <w:tcW w:w="851" w:type="dxa"/>
            <w:noWrap/>
            <w:hideMark/>
          </w:tcPr>
          <w:p w14:paraId="1C04041D"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0.42</w:t>
            </w:r>
          </w:p>
        </w:tc>
        <w:tc>
          <w:tcPr>
            <w:tcW w:w="850" w:type="dxa"/>
            <w:noWrap/>
            <w:hideMark/>
          </w:tcPr>
          <w:p w14:paraId="611E8674"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1.12E-06</w:t>
            </w:r>
          </w:p>
        </w:tc>
        <w:tc>
          <w:tcPr>
            <w:tcW w:w="851" w:type="dxa"/>
            <w:noWrap/>
            <w:hideMark/>
          </w:tcPr>
          <w:p w14:paraId="6B18F9A3"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1.38E-06</w:t>
            </w:r>
          </w:p>
        </w:tc>
        <w:tc>
          <w:tcPr>
            <w:tcW w:w="1275" w:type="dxa"/>
            <w:noWrap/>
            <w:hideMark/>
          </w:tcPr>
          <w:p w14:paraId="382DD8D4"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0.50</w:t>
            </w:r>
          </w:p>
        </w:tc>
      </w:tr>
      <w:tr w:rsidR="00DF3A8E" w:rsidRPr="005C0077" w14:paraId="590BD9CA" w14:textId="77777777" w:rsidTr="00A50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33A73FC1"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rs2515080</w:t>
            </w:r>
          </w:p>
        </w:tc>
        <w:tc>
          <w:tcPr>
            <w:tcW w:w="1418" w:type="dxa"/>
            <w:noWrap/>
            <w:hideMark/>
          </w:tcPr>
          <w:p w14:paraId="32458FA1"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chr11:103967565</w:t>
            </w:r>
          </w:p>
        </w:tc>
        <w:tc>
          <w:tcPr>
            <w:tcW w:w="851" w:type="dxa"/>
            <w:noWrap/>
            <w:hideMark/>
          </w:tcPr>
          <w:p w14:paraId="31A3D607"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(T/C)</w:t>
            </w:r>
          </w:p>
        </w:tc>
        <w:tc>
          <w:tcPr>
            <w:tcW w:w="614" w:type="dxa"/>
          </w:tcPr>
          <w:p w14:paraId="7F03B53B" w14:textId="2CF59F64" w:rsidR="00A50055" w:rsidRPr="005C0077" w:rsidRDefault="00A50055" w:rsidP="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0.31</w:t>
            </w:r>
          </w:p>
        </w:tc>
        <w:tc>
          <w:tcPr>
            <w:tcW w:w="614" w:type="dxa"/>
            <w:noWrap/>
            <w:hideMark/>
          </w:tcPr>
          <w:p w14:paraId="13E243D5" w14:textId="62FF80F9"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0.69</w:t>
            </w:r>
          </w:p>
        </w:tc>
        <w:tc>
          <w:tcPr>
            <w:tcW w:w="567" w:type="dxa"/>
            <w:noWrap/>
            <w:hideMark/>
          </w:tcPr>
          <w:p w14:paraId="6A510F54"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0.29</w:t>
            </w:r>
          </w:p>
        </w:tc>
        <w:tc>
          <w:tcPr>
            <w:tcW w:w="804" w:type="dxa"/>
            <w:gridSpan w:val="2"/>
            <w:noWrap/>
            <w:hideMark/>
          </w:tcPr>
          <w:p w14:paraId="42C5F843"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0.30</w:t>
            </w:r>
          </w:p>
        </w:tc>
        <w:tc>
          <w:tcPr>
            <w:tcW w:w="670" w:type="dxa"/>
            <w:noWrap/>
            <w:hideMark/>
          </w:tcPr>
          <w:p w14:paraId="3FD1E7A6"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1.00</w:t>
            </w:r>
          </w:p>
        </w:tc>
        <w:tc>
          <w:tcPr>
            <w:tcW w:w="992" w:type="dxa"/>
            <w:noWrap/>
            <w:hideMark/>
          </w:tcPr>
          <w:p w14:paraId="72B0A5D1"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0.68</w:t>
            </w:r>
          </w:p>
        </w:tc>
        <w:tc>
          <w:tcPr>
            <w:tcW w:w="567" w:type="dxa"/>
            <w:noWrap/>
            <w:hideMark/>
          </w:tcPr>
          <w:p w14:paraId="7DD62CF2"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6</w:t>
            </w:r>
          </w:p>
        </w:tc>
        <w:tc>
          <w:tcPr>
            <w:tcW w:w="567" w:type="dxa"/>
            <w:noWrap/>
            <w:hideMark/>
          </w:tcPr>
          <w:p w14:paraId="1C874105"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-1.70</w:t>
            </w:r>
          </w:p>
        </w:tc>
        <w:tc>
          <w:tcPr>
            <w:tcW w:w="851" w:type="dxa"/>
            <w:noWrap/>
            <w:hideMark/>
          </w:tcPr>
          <w:p w14:paraId="0BD60F19"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0.37</w:t>
            </w:r>
          </w:p>
        </w:tc>
        <w:tc>
          <w:tcPr>
            <w:tcW w:w="850" w:type="dxa"/>
            <w:noWrap/>
            <w:hideMark/>
          </w:tcPr>
          <w:p w14:paraId="2E0DE0FD"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8.30E-07</w:t>
            </w:r>
          </w:p>
        </w:tc>
        <w:tc>
          <w:tcPr>
            <w:tcW w:w="567" w:type="dxa"/>
            <w:noWrap/>
            <w:hideMark/>
          </w:tcPr>
          <w:p w14:paraId="657D1882"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-1.84</w:t>
            </w:r>
          </w:p>
        </w:tc>
        <w:tc>
          <w:tcPr>
            <w:tcW w:w="851" w:type="dxa"/>
            <w:noWrap/>
            <w:hideMark/>
          </w:tcPr>
          <w:p w14:paraId="0B2221D3"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0.42</w:t>
            </w:r>
          </w:p>
        </w:tc>
        <w:tc>
          <w:tcPr>
            <w:tcW w:w="850" w:type="dxa"/>
            <w:noWrap/>
            <w:hideMark/>
          </w:tcPr>
          <w:p w14:paraId="37785306"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1.12E-06</w:t>
            </w:r>
          </w:p>
        </w:tc>
        <w:tc>
          <w:tcPr>
            <w:tcW w:w="851" w:type="dxa"/>
            <w:noWrap/>
            <w:hideMark/>
          </w:tcPr>
          <w:p w14:paraId="1E15EFF0"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1.38E-06</w:t>
            </w:r>
          </w:p>
        </w:tc>
        <w:tc>
          <w:tcPr>
            <w:tcW w:w="1275" w:type="dxa"/>
            <w:noWrap/>
            <w:hideMark/>
          </w:tcPr>
          <w:p w14:paraId="4AA28D19"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0.50</w:t>
            </w:r>
          </w:p>
        </w:tc>
      </w:tr>
      <w:tr w:rsidR="00A50055" w:rsidRPr="005C0077" w14:paraId="7FB40772" w14:textId="77777777" w:rsidTr="00DF3A8E">
        <w:trPr>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36AEEED4"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rs589796</w:t>
            </w:r>
          </w:p>
        </w:tc>
        <w:tc>
          <w:tcPr>
            <w:tcW w:w="1418" w:type="dxa"/>
            <w:noWrap/>
            <w:hideMark/>
          </w:tcPr>
          <w:p w14:paraId="700D09B0" w14:textId="77777777"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chr11:103967023</w:t>
            </w:r>
          </w:p>
        </w:tc>
        <w:tc>
          <w:tcPr>
            <w:tcW w:w="851" w:type="dxa"/>
            <w:noWrap/>
            <w:hideMark/>
          </w:tcPr>
          <w:p w14:paraId="3F399A80" w14:textId="77777777"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(T/C)</w:t>
            </w:r>
          </w:p>
        </w:tc>
        <w:tc>
          <w:tcPr>
            <w:tcW w:w="614" w:type="dxa"/>
          </w:tcPr>
          <w:p w14:paraId="334BC295" w14:textId="65F09904" w:rsidR="00A50055" w:rsidRPr="005C0077" w:rsidRDefault="00A50055" w:rsidP="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0.31</w:t>
            </w:r>
          </w:p>
        </w:tc>
        <w:tc>
          <w:tcPr>
            <w:tcW w:w="614" w:type="dxa"/>
            <w:noWrap/>
            <w:hideMark/>
          </w:tcPr>
          <w:p w14:paraId="47D2ED89" w14:textId="4C4CA466"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0.69</w:t>
            </w:r>
          </w:p>
        </w:tc>
        <w:tc>
          <w:tcPr>
            <w:tcW w:w="567" w:type="dxa"/>
            <w:noWrap/>
            <w:hideMark/>
          </w:tcPr>
          <w:p w14:paraId="01EF8268"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0.29</w:t>
            </w:r>
          </w:p>
        </w:tc>
        <w:tc>
          <w:tcPr>
            <w:tcW w:w="804" w:type="dxa"/>
            <w:gridSpan w:val="2"/>
            <w:noWrap/>
            <w:hideMark/>
          </w:tcPr>
          <w:p w14:paraId="5C6A76E4"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0.30</w:t>
            </w:r>
          </w:p>
        </w:tc>
        <w:tc>
          <w:tcPr>
            <w:tcW w:w="670" w:type="dxa"/>
            <w:noWrap/>
            <w:hideMark/>
          </w:tcPr>
          <w:p w14:paraId="7B6001FC"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1.00</w:t>
            </w:r>
          </w:p>
        </w:tc>
        <w:tc>
          <w:tcPr>
            <w:tcW w:w="992" w:type="dxa"/>
            <w:noWrap/>
            <w:hideMark/>
          </w:tcPr>
          <w:p w14:paraId="2D392CBD"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0.68</w:t>
            </w:r>
          </w:p>
        </w:tc>
        <w:tc>
          <w:tcPr>
            <w:tcW w:w="567" w:type="dxa"/>
            <w:noWrap/>
            <w:hideMark/>
          </w:tcPr>
          <w:p w14:paraId="057622CF"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5</w:t>
            </w:r>
          </w:p>
        </w:tc>
        <w:tc>
          <w:tcPr>
            <w:tcW w:w="567" w:type="dxa"/>
            <w:noWrap/>
            <w:hideMark/>
          </w:tcPr>
          <w:p w14:paraId="20221201"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-1.70</w:t>
            </w:r>
          </w:p>
        </w:tc>
        <w:tc>
          <w:tcPr>
            <w:tcW w:w="851" w:type="dxa"/>
            <w:noWrap/>
            <w:hideMark/>
          </w:tcPr>
          <w:p w14:paraId="561969AF"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0.37</w:t>
            </w:r>
          </w:p>
        </w:tc>
        <w:tc>
          <w:tcPr>
            <w:tcW w:w="850" w:type="dxa"/>
            <w:noWrap/>
            <w:hideMark/>
          </w:tcPr>
          <w:p w14:paraId="27F836B1"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8.30E-07</w:t>
            </w:r>
          </w:p>
        </w:tc>
        <w:tc>
          <w:tcPr>
            <w:tcW w:w="567" w:type="dxa"/>
            <w:noWrap/>
            <w:hideMark/>
          </w:tcPr>
          <w:p w14:paraId="7856EF27"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-1.84</w:t>
            </w:r>
          </w:p>
        </w:tc>
        <w:tc>
          <w:tcPr>
            <w:tcW w:w="851" w:type="dxa"/>
            <w:noWrap/>
            <w:hideMark/>
          </w:tcPr>
          <w:p w14:paraId="3A21969E"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0.42</w:t>
            </w:r>
          </w:p>
        </w:tc>
        <w:tc>
          <w:tcPr>
            <w:tcW w:w="850" w:type="dxa"/>
            <w:noWrap/>
            <w:hideMark/>
          </w:tcPr>
          <w:p w14:paraId="359BF128"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1.12E-06</w:t>
            </w:r>
          </w:p>
        </w:tc>
        <w:tc>
          <w:tcPr>
            <w:tcW w:w="851" w:type="dxa"/>
            <w:noWrap/>
            <w:hideMark/>
          </w:tcPr>
          <w:p w14:paraId="3A7F697E"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1.38E-06</w:t>
            </w:r>
          </w:p>
        </w:tc>
        <w:tc>
          <w:tcPr>
            <w:tcW w:w="1275" w:type="dxa"/>
            <w:noWrap/>
            <w:hideMark/>
          </w:tcPr>
          <w:p w14:paraId="44FED812"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0.50</w:t>
            </w:r>
          </w:p>
        </w:tc>
      </w:tr>
      <w:tr w:rsidR="00DF3A8E" w:rsidRPr="005C0077" w14:paraId="161F02ED" w14:textId="77777777" w:rsidTr="00A50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388EA99C"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rs671851</w:t>
            </w:r>
          </w:p>
        </w:tc>
        <w:tc>
          <w:tcPr>
            <w:tcW w:w="1418" w:type="dxa"/>
            <w:noWrap/>
            <w:hideMark/>
          </w:tcPr>
          <w:p w14:paraId="540D8FA0"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chr11:103968170</w:t>
            </w:r>
          </w:p>
        </w:tc>
        <w:tc>
          <w:tcPr>
            <w:tcW w:w="851" w:type="dxa"/>
            <w:noWrap/>
            <w:hideMark/>
          </w:tcPr>
          <w:p w14:paraId="274BD1AE"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(A/G)</w:t>
            </w:r>
          </w:p>
        </w:tc>
        <w:tc>
          <w:tcPr>
            <w:tcW w:w="614" w:type="dxa"/>
          </w:tcPr>
          <w:p w14:paraId="2311BE9F" w14:textId="5A2B188D" w:rsidR="00A50055" w:rsidRPr="005C0077" w:rsidRDefault="00A50055" w:rsidP="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0.31</w:t>
            </w:r>
          </w:p>
        </w:tc>
        <w:tc>
          <w:tcPr>
            <w:tcW w:w="614" w:type="dxa"/>
            <w:noWrap/>
            <w:hideMark/>
          </w:tcPr>
          <w:p w14:paraId="00D6462D" w14:textId="7C74ACAF"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0.69</w:t>
            </w:r>
          </w:p>
        </w:tc>
        <w:tc>
          <w:tcPr>
            <w:tcW w:w="567" w:type="dxa"/>
            <w:noWrap/>
            <w:hideMark/>
          </w:tcPr>
          <w:p w14:paraId="374EE36C"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0.29</w:t>
            </w:r>
          </w:p>
        </w:tc>
        <w:tc>
          <w:tcPr>
            <w:tcW w:w="804" w:type="dxa"/>
            <w:gridSpan w:val="2"/>
            <w:noWrap/>
            <w:hideMark/>
          </w:tcPr>
          <w:p w14:paraId="68776D1E"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0.30</w:t>
            </w:r>
          </w:p>
        </w:tc>
        <w:tc>
          <w:tcPr>
            <w:tcW w:w="670" w:type="dxa"/>
            <w:noWrap/>
            <w:hideMark/>
          </w:tcPr>
          <w:p w14:paraId="48A1F6C2"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1.00</w:t>
            </w:r>
          </w:p>
        </w:tc>
        <w:tc>
          <w:tcPr>
            <w:tcW w:w="992" w:type="dxa"/>
            <w:noWrap/>
            <w:hideMark/>
          </w:tcPr>
          <w:p w14:paraId="088448AC"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0.68</w:t>
            </w:r>
          </w:p>
        </w:tc>
        <w:tc>
          <w:tcPr>
            <w:tcW w:w="567" w:type="dxa"/>
            <w:noWrap/>
            <w:hideMark/>
          </w:tcPr>
          <w:p w14:paraId="55E499F1"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6</w:t>
            </w:r>
          </w:p>
        </w:tc>
        <w:tc>
          <w:tcPr>
            <w:tcW w:w="567" w:type="dxa"/>
            <w:noWrap/>
            <w:hideMark/>
          </w:tcPr>
          <w:p w14:paraId="3DF299E1"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-1.70</w:t>
            </w:r>
          </w:p>
        </w:tc>
        <w:tc>
          <w:tcPr>
            <w:tcW w:w="851" w:type="dxa"/>
            <w:noWrap/>
            <w:hideMark/>
          </w:tcPr>
          <w:p w14:paraId="1F0612B9"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0.37</w:t>
            </w:r>
          </w:p>
        </w:tc>
        <w:tc>
          <w:tcPr>
            <w:tcW w:w="850" w:type="dxa"/>
            <w:noWrap/>
            <w:hideMark/>
          </w:tcPr>
          <w:p w14:paraId="47090FB5"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8.31E-07</w:t>
            </w:r>
          </w:p>
        </w:tc>
        <w:tc>
          <w:tcPr>
            <w:tcW w:w="567" w:type="dxa"/>
            <w:noWrap/>
            <w:hideMark/>
          </w:tcPr>
          <w:p w14:paraId="41AC7E0D"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-1.83</w:t>
            </w:r>
          </w:p>
        </w:tc>
        <w:tc>
          <w:tcPr>
            <w:tcW w:w="851" w:type="dxa"/>
            <w:noWrap/>
            <w:hideMark/>
          </w:tcPr>
          <w:p w14:paraId="116C96C3"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0.42</w:t>
            </w:r>
          </w:p>
        </w:tc>
        <w:tc>
          <w:tcPr>
            <w:tcW w:w="850" w:type="dxa"/>
            <w:noWrap/>
            <w:hideMark/>
          </w:tcPr>
          <w:p w14:paraId="0DE068BF"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1.12E-06</w:t>
            </w:r>
          </w:p>
        </w:tc>
        <w:tc>
          <w:tcPr>
            <w:tcW w:w="851" w:type="dxa"/>
            <w:noWrap/>
            <w:hideMark/>
          </w:tcPr>
          <w:p w14:paraId="751F19D0"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1.38E-06</w:t>
            </w:r>
          </w:p>
        </w:tc>
        <w:tc>
          <w:tcPr>
            <w:tcW w:w="1275" w:type="dxa"/>
            <w:noWrap/>
            <w:hideMark/>
          </w:tcPr>
          <w:p w14:paraId="452E23C4"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0.50</w:t>
            </w:r>
          </w:p>
        </w:tc>
      </w:tr>
      <w:tr w:rsidR="00A50055" w:rsidRPr="005C0077" w14:paraId="2889E6D6" w14:textId="77777777" w:rsidTr="00DF3A8E">
        <w:trPr>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3EC00714"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rs590216</w:t>
            </w:r>
          </w:p>
        </w:tc>
        <w:tc>
          <w:tcPr>
            <w:tcW w:w="1418" w:type="dxa"/>
            <w:noWrap/>
            <w:hideMark/>
          </w:tcPr>
          <w:p w14:paraId="67DC60F5" w14:textId="77777777"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chr11:103964427</w:t>
            </w:r>
          </w:p>
        </w:tc>
        <w:tc>
          <w:tcPr>
            <w:tcW w:w="851" w:type="dxa"/>
            <w:noWrap/>
            <w:hideMark/>
          </w:tcPr>
          <w:p w14:paraId="0C8076EA" w14:textId="77777777" w:rsidR="00A50055" w:rsidRPr="00DF3A8E" w:rsidRDefault="00A50055">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(A/C)</w:t>
            </w:r>
          </w:p>
        </w:tc>
        <w:tc>
          <w:tcPr>
            <w:tcW w:w="614" w:type="dxa"/>
          </w:tcPr>
          <w:p w14:paraId="48E0E017" w14:textId="4259BADB" w:rsidR="00A50055" w:rsidRPr="005C0077" w:rsidRDefault="00A50055" w:rsidP="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0.31</w:t>
            </w:r>
          </w:p>
        </w:tc>
        <w:tc>
          <w:tcPr>
            <w:tcW w:w="614" w:type="dxa"/>
            <w:noWrap/>
            <w:hideMark/>
          </w:tcPr>
          <w:p w14:paraId="476C1F9C" w14:textId="7ACA95C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0.69</w:t>
            </w:r>
          </w:p>
        </w:tc>
        <w:tc>
          <w:tcPr>
            <w:tcW w:w="567" w:type="dxa"/>
            <w:noWrap/>
            <w:hideMark/>
          </w:tcPr>
          <w:p w14:paraId="1A05903F"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0.29</w:t>
            </w:r>
          </w:p>
        </w:tc>
        <w:tc>
          <w:tcPr>
            <w:tcW w:w="804" w:type="dxa"/>
            <w:gridSpan w:val="2"/>
            <w:noWrap/>
            <w:hideMark/>
          </w:tcPr>
          <w:p w14:paraId="627B7BEE"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0.30</w:t>
            </w:r>
          </w:p>
        </w:tc>
        <w:tc>
          <w:tcPr>
            <w:tcW w:w="670" w:type="dxa"/>
            <w:noWrap/>
            <w:hideMark/>
          </w:tcPr>
          <w:p w14:paraId="364E3865"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1.00</w:t>
            </w:r>
          </w:p>
        </w:tc>
        <w:tc>
          <w:tcPr>
            <w:tcW w:w="992" w:type="dxa"/>
            <w:noWrap/>
            <w:hideMark/>
          </w:tcPr>
          <w:p w14:paraId="71D659D9"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0.68</w:t>
            </w:r>
          </w:p>
        </w:tc>
        <w:tc>
          <w:tcPr>
            <w:tcW w:w="567" w:type="dxa"/>
            <w:noWrap/>
            <w:hideMark/>
          </w:tcPr>
          <w:p w14:paraId="4741CDE5"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5</w:t>
            </w:r>
          </w:p>
        </w:tc>
        <w:tc>
          <w:tcPr>
            <w:tcW w:w="567" w:type="dxa"/>
            <w:noWrap/>
            <w:hideMark/>
          </w:tcPr>
          <w:p w14:paraId="4284B1F8"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-1.66</w:t>
            </w:r>
          </w:p>
        </w:tc>
        <w:tc>
          <w:tcPr>
            <w:tcW w:w="851" w:type="dxa"/>
            <w:noWrap/>
            <w:hideMark/>
          </w:tcPr>
          <w:p w14:paraId="77AC4085"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0.36</w:t>
            </w:r>
          </w:p>
        </w:tc>
        <w:tc>
          <w:tcPr>
            <w:tcW w:w="850" w:type="dxa"/>
            <w:noWrap/>
            <w:hideMark/>
          </w:tcPr>
          <w:p w14:paraId="26342ED2"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8.35E-07</w:t>
            </w:r>
          </w:p>
        </w:tc>
        <w:tc>
          <w:tcPr>
            <w:tcW w:w="567" w:type="dxa"/>
            <w:noWrap/>
            <w:hideMark/>
          </w:tcPr>
          <w:p w14:paraId="3AF4F58C"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-1.83</w:t>
            </w:r>
          </w:p>
        </w:tc>
        <w:tc>
          <w:tcPr>
            <w:tcW w:w="851" w:type="dxa"/>
            <w:noWrap/>
            <w:hideMark/>
          </w:tcPr>
          <w:p w14:paraId="627CCBBB"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0.42</w:t>
            </w:r>
          </w:p>
        </w:tc>
        <w:tc>
          <w:tcPr>
            <w:tcW w:w="850" w:type="dxa"/>
            <w:noWrap/>
            <w:hideMark/>
          </w:tcPr>
          <w:p w14:paraId="68A0B6E6"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1.12E-06</w:t>
            </w:r>
          </w:p>
        </w:tc>
        <w:tc>
          <w:tcPr>
            <w:tcW w:w="851" w:type="dxa"/>
            <w:noWrap/>
            <w:hideMark/>
          </w:tcPr>
          <w:p w14:paraId="789579F5"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1.38E-06</w:t>
            </w:r>
          </w:p>
        </w:tc>
        <w:tc>
          <w:tcPr>
            <w:tcW w:w="1275" w:type="dxa"/>
            <w:noWrap/>
            <w:hideMark/>
          </w:tcPr>
          <w:p w14:paraId="19749522" w14:textId="77777777" w:rsidR="00A50055" w:rsidRPr="00DF3A8E" w:rsidRDefault="00A50055">
            <w:pPr>
              <w:spacing w:before="0"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0.51</w:t>
            </w:r>
          </w:p>
        </w:tc>
      </w:tr>
      <w:tr w:rsidR="00DF3A8E" w:rsidRPr="005C0077" w14:paraId="7F6A795F" w14:textId="77777777" w:rsidTr="00A50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5" w:type="dxa"/>
            <w:noWrap/>
            <w:hideMark/>
          </w:tcPr>
          <w:p w14:paraId="4D695D08" w14:textId="77777777" w:rsidR="00A50055" w:rsidRPr="00DF3A8E" w:rsidRDefault="00A50055">
            <w:pPr>
              <w:spacing w:before="0" w:after="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rs361284</w:t>
            </w:r>
          </w:p>
        </w:tc>
        <w:tc>
          <w:tcPr>
            <w:tcW w:w="1418" w:type="dxa"/>
            <w:noWrap/>
            <w:hideMark/>
          </w:tcPr>
          <w:p w14:paraId="5E22EC13"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chr11:103961062</w:t>
            </w:r>
          </w:p>
        </w:tc>
        <w:tc>
          <w:tcPr>
            <w:tcW w:w="851" w:type="dxa"/>
            <w:noWrap/>
            <w:hideMark/>
          </w:tcPr>
          <w:p w14:paraId="7CC76B84" w14:textId="77777777" w:rsidR="00A50055" w:rsidRPr="00DF3A8E" w:rsidRDefault="00A50055">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(G/A)</w:t>
            </w:r>
          </w:p>
        </w:tc>
        <w:tc>
          <w:tcPr>
            <w:tcW w:w="614" w:type="dxa"/>
          </w:tcPr>
          <w:p w14:paraId="37BC5CE8" w14:textId="0762310A" w:rsidR="00A50055" w:rsidRPr="005C0077" w:rsidRDefault="00A50055" w:rsidP="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7D2E8B">
              <w:rPr>
                <w:rFonts w:ascii="Calibri" w:eastAsia="Times New Roman" w:hAnsi="Calibri" w:cs="Times New Roman"/>
                <w:color w:val="000000"/>
                <w:sz w:val="16"/>
                <w:szCs w:val="16"/>
                <w:lang w:eastAsia="en-GB" w:bidi="ar-SA"/>
              </w:rPr>
              <w:t>0.31</w:t>
            </w:r>
          </w:p>
        </w:tc>
        <w:tc>
          <w:tcPr>
            <w:tcW w:w="614" w:type="dxa"/>
            <w:noWrap/>
            <w:hideMark/>
          </w:tcPr>
          <w:p w14:paraId="5B1AFCD4" w14:textId="7601A24D"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0.69</w:t>
            </w:r>
          </w:p>
        </w:tc>
        <w:tc>
          <w:tcPr>
            <w:tcW w:w="567" w:type="dxa"/>
            <w:noWrap/>
            <w:hideMark/>
          </w:tcPr>
          <w:p w14:paraId="35623C77"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0.29</w:t>
            </w:r>
          </w:p>
        </w:tc>
        <w:tc>
          <w:tcPr>
            <w:tcW w:w="804" w:type="dxa"/>
            <w:gridSpan w:val="2"/>
            <w:noWrap/>
            <w:hideMark/>
          </w:tcPr>
          <w:p w14:paraId="14B666D8"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0.30</w:t>
            </w:r>
          </w:p>
        </w:tc>
        <w:tc>
          <w:tcPr>
            <w:tcW w:w="670" w:type="dxa"/>
            <w:noWrap/>
            <w:hideMark/>
          </w:tcPr>
          <w:p w14:paraId="34941621"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0.99</w:t>
            </w:r>
          </w:p>
        </w:tc>
        <w:tc>
          <w:tcPr>
            <w:tcW w:w="992" w:type="dxa"/>
            <w:noWrap/>
            <w:hideMark/>
          </w:tcPr>
          <w:p w14:paraId="3021C987"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0.68</w:t>
            </w:r>
          </w:p>
        </w:tc>
        <w:tc>
          <w:tcPr>
            <w:tcW w:w="567" w:type="dxa"/>
            <w:noWrap/>
            <w:hideMark/>
          </w:tcPr>
          <w:p w14:paraId="1B3D1C35"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7</w:t>
            </w:r>
          </w:p>
        </w:tc>
        <w:tc>
          <w:tcPr>
            <w:tcW w:w="567" w:type="dxa"/>
            <w:noWrap/>
            <w:hideMark/>
          </w:tcPr>
          <w:p w14:paraId="126FE0C4"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-1.63</w:t>
            </w:r>
          </w:p>
        </w:tc>
        <w:tc>
          <w:tcPr>
            <w:tcW w:w="851" w:type="dxa"/>
            <w:noWrap/>
            <w:hideMark/>
          </w:tcPr>
          <w:p w14:paraId="690E8BED"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0.36</w:t>
            </w:r>
          </w:p>
        </w:tc>
        <w:tc>
          <w:tcPr>
            <w:tcW w:w="850" w:type="dxa"/>
            <w:noWrap/>
            <w:hideMark/>
          </w:tcPr>
          <w:p w14:paraId="6E1B034C"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8.57E-07</w:t>
            </w:r>
          </w:p>
        </w:tc>
        <w:tc>
          <w:tcPr>
            <w:tcW w:w="567" w:type="dxa"/>
            <w:noWrap/>
            <w:hideMark/>
          </w:tcPr>
          <w:p w14:paraId="1D5A72A6"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-1.75</w:t>
            </w:r>
          </w:p>
        </w:tc>
        <w:tc>
          <w:tcPr>
            <w:tcW w:w="851" w:type="dxa"/>
            <w:noWrap/>
            <w:hideMark/>
          </w:tcPr>
          <w:p w14:paraId="31ECFD7B"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0.41</w:t>
            </w:r>
          </w:p>
        </w:tc>
        <w:tc>
          <w:tcPr>
            <w:tcW w:w="850" w:type="dxa"/>
            <w:noWrap/>
            <w:hideMark/>
          </w:tcPr>
          <w:p w14:paraId="6BC533D8"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1.27E-06</w:t>
            </w:r>
          </w:p>
        </w:tc>
        <w:tc>
          <w:tcPr>
            <w:tcW w:w="851" w:type="dxa"/>
            <w:noWrap/>
            <w:hideMark/>
          </w:tcPr>
          <w:p w14:paraId="0762CF59"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1.27E-06</w:t>
            </w:r>
          </w:p>
        </w:tc>
        <w:tc>
          <w:tcPr>
            <w:tcW w:w="1275" w:type="dxa"/>
            <w:noWrap/>
            <w:hideMark/>
          </w:tcPr>
          <w:p w14:paraId="74B92FC4" w14:textId="77777777" w:rsidR="00A50055" w:rsidRPr="00DF3A8E" w:rsidRDefault="00A50055">
            <w:pPr>
              <w:spacing w:before="0"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bidi="ar-SA"/>
              </w:rPr>
            </w:pPr>
            <w:r w:rsidRPr="00DF3A8E">
              <w:rPr>
                <w:rFonts w:ascii="Calibri" w:eastAsia="Times New Roman" w:hAnsi="Calibri" w:cs="Times New Roman"/>
                <w:color w:val="000000"/>
                <w:sz w:val="16"/>
                <w:szCs w:val="16"/>
                <w:lang w:eastAsia="en-GB" w:bidi="ar-SA"/>
              </w:rPr>
              <w:t>0.39</w:t>
            </w:r>
          </w:p>
        </w:tc>
      </w:tr>
    </w:tbl>
    <w:p w14:paraId="1E5C1327" w14:textId="3FF2CB8E" w:rsidR="005F022E" w:rsidRDefault="005F022E" w:rsidP="005F022E">
      <w:pPr>
        <w:pStyle w:val="Heading1"/>
      </w:pPr>
    </w:p>
    <w:p w14:paraId="3D0076C2" w14:textId="05BF7829" w:rsidR="00963E32" w:rsidRDefault="005F022E">
      <w:r w:rsidRPr="00A37210">
        <w:rPr>
          <w:b/>
        </w:rPr>
        <w:t xml:space="preserve">Supplementary Table </w:t>
      </w:r>
      <w:r w:rsidR="008C4E54">
        <w:rPr>
          <w:b/>
        </w:rPr>
        <w:t>2</w:t>
      </w:r>
      <w:r>
        <w:t>: D</w:t>
      </w:r>
      <w:r w:rsidRPr="005F022E">
        <w:t>eep analysis of the 20 SNPs with a p-value of less than 1x10^-6 in the PASS+WTCCC analysis.</w:t>
      </w:r>
      <w:r w:rsidR="00834CDA">
        <w:t xml:space="preserve"> </w:t>
      </w:r>
      <w:r w:rsidR="00963E32">
        <w:t>*Adjusted for the 1</w:t>
      </w:r>
      <w:r w:rsidR="00963E32" w:rsidRPr="00963E32">
        <w:rPr>
          <w:vertAlign w:val="superscript"/>
        </w:rPr>
        <w:t>st</w:t>
      </w:r>
      <w:r w:rsidR="00963E32">
        <w:t xml:space="preserve"> two principal components and significant clinical factor: total corticosteroid dose.</w:t>
      </w:r>
      <w:r w:rsidR="00834CDA">
        <w:rPr>
          <w:vertAlign w:val="superscript"/>
        </w:rPr>
        <w:t xml:space="preserve"> </w:t>
      </w:r>
      <w:r w:rsidR="00963E32" w:rsidRPr="00963E32">
        <w:rPr>
          <w:vertAlign w:val="superscript"/>
        </w:rPr>
        <w:t>$</w:t>
      </w:r>
      <w:r w:rsidR="00963E32">
        <w:t>Adjusted for the 1</w:t>
      </w:r>
      <w:r w:rsidR="00963E32" w:rsidRPr="00963E32">
        <w:rPr>
          <w:vertAlign w:val="superscript"/>
        </w:rPr>
        <w:t>st</w:t>
      </w:r>
      <w:r w:rsidR="00963E32">
        <w:t xml:space="preserve"> two principal components</w:t>
      </w:r>
    </w:p>
    <w:p w14:paraId="6ABFB999" w14:textId="77777777" w:rsidR="00834CDA" w:rsidRDefault="00834CDA" w:rsidP="00834CDA">
      <w:pPr>
        <w:pStyle w:val="Heading1"/>
        <w:sectPr w:rsidR="00834CDA" w:rsidSect="00834CDA">
          <w:pgSz w:w="16838" w:h="11906" w:orient="landscape"/>
          <w:pgMar w:top="1440" w:right="1440" w:bottom="1440" w:left="1440" w:header="708" w:footer="708" w:gutter="0"/>
          <w:cols w:space="708"/>
          <w:docGrid w:linePitch="360"/>
        </w:sectPr>
      </w:pPr>
    </w:p>
    <w:p w14:paraId="6FC40742" w14:textId="1D717C10" w:rsidR="00A37210" w:rsidRDefault="00A37210" w:rsidP="00597504">
      <w:pPr>
        <w:pStyle w:val="Heading1"/>
      </w:pPr>
      <w:r>
        <w:lastRenderedPageBreak/>
        <w:t xml:space="preserve">Supplementary Table </w:t>
      </w:r>
      <w:r w:rsidR="001A5083">
        <w:t>3</w:t>
      </w:r>
      <w:r>
        <w:tab/>
      </w:r>
    </w:p>
    <w:tbl>
      <w:tblPr>
        <w:tblStyle w:val="TableGrid"/>
        <w:tblpPr w:leftFromText="180" w:rightFromText="180" w:vertAnchor="page" w:horzAnchor="margin" w:tblpY="2355"/>
        <w:tblW w:w="9634" w:type="dxa"/>
        <w:tblLayout w:type="fixed"/>
        <w:tblLook w:val="04A0" w:firstRow="1" w:lastRow="0" w:firstColumn="1" w:lastColumn="0" w:noHBand="0" w:noVBand="1"/>
      </w:tblPr>
      <w:tblGrid>
        <w:gridCol w:w="704"/>
        <w:gridCol w:w="1843"/>
        <w:gridCol w:w="2268"/>
        <w:gridCol w:w="1417"/>
        <w:gridCol w:w="1843"/>
        <w:gridCol w:w="1559"/>
      </w:tblGrid>
      <w:tr w:rsidR="00A37210" w14:paraId="7AD04F09" w14:textId="77777777" w:rsidTr="001A5083">
        <w:tc>
          <w:tcPr>
            <w:tcW w:w="704" w:type="dxa"/>
            <w:vAlign w:val="center"/>
          </w:tcPr>
          <w:p w14:paraId="4E575434" w14:textId="77777777" w:rsidR="00A37210" w:rsidRDefault="00A37210" w:rsidP="001A5083">
            <w:pPr>
              <w:spacing w:after="0" w:line="240" w:lineRule="auto"/>
              <w:jc w:val="center"/>
              <w:rPr>
                <w:b/>
              </w:rPr>
            </w:pPr>
          </w:p>
        </w:tc>
        <w:tc>
          <w:tcPr>
            <w:tcW w:w="1843" w:type="dxa"/>
            <w:vAlign w:val="center"/>
          </w:tcPr>
          <w:p w14:paraId="07463805" w14:textId="77777777" w:rsidR="00A37210" w:rsidRPr="00E47455" w:rsidRDefault="00A37210" w:rsidP="001A5083">
            <w:pPr>
              <w:spacing w:after="0" w:line="240" w:lineRule="auto"/>
              <w:jc w:val="center"/>
              <w:rPr>
                <w:b/>
              </w:rPr>
            </w:pPr>
            <w:r w:rsidRPr="67FA5B61">
              <w:rPr>
                <w:b/>
                <w:bCs/>
              </w:rPr>
              <w:t>Database</w:t>
            </w:r>
          </w:p>
        </w:tc>
        <w:tc>
          <w:tcPr>
            <w:tcW w:w="2268" w:type="dxa"/>
            <w:vAlign w:val="center"/>
          </w:tcPr>
          <w:p w14:paraId="2BDFC539" w14:textId="77777777" w:rsidR="00A37210" w:rsidRDefault="00A37210" w:rsidP="001A5083">
            <w:pPr>
              <w:spacing w:after="0" w:line="240" w:lineRule="auto"/>
              <w:jc w:val="center"/>
              <w:rPr>
                <w:b/>
              </w:rPr>
            </w:pPr>
            <w:r w:rsidRPr="67FA5B61">
              <w:rPr>
                <w:b/>
                <w:bCs/>
              </w:rPr>
              <w:t>Gene Set</w:t>
            </w:r>
          </w:p>
        </w:tc>
        <w:tc>
          <w:tcPr>
            <w:tcW w:w="1417" w:type="dxa"/>
            <w:vAlign w:val="center"/>
          </w:tcPr>
          <w:p w14:paraId="429DF865" w14:textId="77777777" w:rsidR="00A37210" w:rsidRPr="00E47455" w:rsidRDefault="00A37210" w:rsidP="001A5083">
            <w:pPr>
              <w:spacing w:after="0" w:line="240" w:lineRule="auto"/>
              <w:jc w:val="center"/>
              <w:rPr>
                <w:b/>
              </w:rPr>
            </w:pPr>
            <w:r w:rsidRPr="67FA5B61">
              <w:rPr>
                <w:b/>
                <w:bCs/>
              </w:rPr>
              <w:t>#Gene</w:t>
            </w:r>
          </w:p>
        </w:tc>
        <w:tc>
          <w:tcPr>
            <w:tcW w:w="1843" w:type="dxa"/>
            <w:vAlign w:val="center"/>
          </w:tcPr>
          <w:p w14:paraId="414F089E" w14:textId="77777777" w:rsidR="00A37210" w:rsidRPr="00E47455" w:rsidRDefault="00A37210" w:rsidP="001A5083">
            <w:pPr>
              <w:spacing w:after="0" w:line="240" w:lineRule="auto"/>
              <w:jc w:val="center"/>
              <w:rPr>
                <w:b/>
              </w:rPr>
            </w:pPr>
            <w:r w:rsidRPr="67FA5B61">
              <w:rPr>
                <w:b/>
                <w:bCs/>
              </w:rPr>
              <w:t>GSEA p-value</w:t>
            </w:r>
          </w:p>
        </w:tc>
        <w:tc>
          <w:tcPr>
            <w:tcW w:w="1559" w:type="dxa"/>
            <w:vAlign w:val="center"/>
          </w:tcPr>
          <w:p w14:paraId="100A6BA5" w14:textId="77777777" w:rsidR="00A37210" w:rsidRPr="00E47455" w:rsidRDefault="00A37210" w:rsidP="001A5083">
            <w:pPr>
              <w:spacing w:after="0" w:line="240" w:lineRule="auto"/>
              <w:jc w:val="center"/>
              <w:rPr>
                <w:b/>
              </w:rPr>
            </w:pPr>
            <w:r w:rsidRPr="67FA5B61">
              <w:rPr>
                <w:b/>
                <w:bCs/>
              </w:rPr>
              <w:t>FDR Corrected (Percentile Cut-off)</w:t>
            </w:r>
          </w:p>
        </w:tc>
      </w:tr>
      <w:tr w:rsidR="00A37210" w14:paraId="06ECC84B" w14:textId="77777777" w:rsidTr="001A5083">
        <w:trPr>
          <w:cantSplit/>
          <w:trHeight w:val="425"/>
        </w:trPr>
        <w:tc>
          <w:tcPr>
            <w:tcW w:w="704" w:type="dxa"/>
            <w:vMerge w:val="restart"/>
            <w:textDirection w:val="btLr"/>
            <w:vAlign w:val="center"/>
          </w:tcPr>
          <w:p w14:paraId="24751205" w14:textId="77777777" w:rsidR="00A37210" w:rsidRDefault="00A37210" w:rsidP="001A5083">
            <w:pPr>
              <w:spacing w:after="0" w:line="240" w:lineRule="auto"/>
              <w:ind w:left="113" w:right="113"/>
              <w:jc w:val="center"/>
            </w:pPr>
            <w:r>
              <w:t>Peak 350</w:t>
            </w:r>
          </w:p>
        </w:tc>
        <w:tc>
          <w:tcPr>
            <w:tcW w:w="1843" w:type="dxa"/>
            <w:vAlign w:val="center"/>
          </w:tcPr>
          <w:p w14:paraId="3A410622" w14:textId="77777777" w:rsidR="00A37210" w:rsidRDefault="00A37210" w:rsidP="001A5083">
            <w:pPr>
              <w:spacing w:after="0" w:line="240" w:lineRule="auto"/>
              <w:jc w:val="center"/>
            </w:pPr>
            <w:r>
              <w:t>GOTERM</w:t>
            </w:r>
          </w:p>
        </w:tc>
        <w:tc>
          <w:tcPr>
            <w:tcW w:w="2268" w:type="dxa"/>
            <w:vAlign w:val="center"/>
          </w:tcPr>
          <w:p w14:paraId="6B9528A8" w14:textId="77777777" w:rsidR="00A37210" w:rsidRPr="00C671CB" w:rsidRDefault="00A37210" w:rsidP="001A5083">
            <w:pPr>
              <w:spacing w:after="0" w:line="240" w:lineRule="auto"/>
              <w:jc w:val="center"/>
              <w:rPr>
                <w:rFonts w:cstheme="minorHAnsi"/>
                <w:color w:val="000000"/>
              </w:rPr>
            </w:pPr>
            <w:r w:rsidRPr="67FA5B61">
              <w:t>Golgi membrane</w:t>
            </w:r>
          </w:p>
        </w:tc>
        <w:tc>
          <w:tcPr>
            <w:tcW w:w="1417" w:type="dxa"/>
            <w:vAlign w:val="center"/>
          </w:tcPr>
          <w:p w14:paraId="54459ADC" w14:textId="77777777" w:rsidR="00A37210" w:rsidRPr="00C671CB" w:rsidRDefault="00A37210" w:rsidP="001A5083">
            <w:pPr>
              <w:spacing w:after="0" w:line="240" w:lineRule="auto"/>
              <w:jc w:val="center"/>
              <w:rPr>
                <w:rFonts w:cstheme="minorHAnsi"/>
                <w:color w:val="000000"/>
              </w:rPr>
            </w:pPr>
            <w:r w:rsidRPr="67FA5B61">
              <w:t>350</w:t>
            </w:r>
          </w:p>
        </w:tc>
        <w:tc>
          <w:tcPr>
            <w:tcW w:w="1843" w:type="dxa"/>
            <w:vAlign w:val="center"/>
          </w:tcPr>
          <w:p w14:paraId="0D52BE12" w14:textId="77777777" w:rsidR="00A37210" w:rsidRDefault="00A37210" w:rsidP="001A5083">
            <w:pPr>
              <w:spacing w:after="0" w:line="240" w:lineRule="auto"/>
              <w:jc w:val="center"/>
            </w:pPr>
            <w:r>
              <w:t>0.12</w:t>
            </w:r>
          </w:p>
        </w:tc>
        <w:tc>
          <w:tcPr>
            <w:tcW w:w="1559" w:type="dxa"/>
            <w:vAlign w:val="center"/>
          </w:tcPr>
          <w:p w14:paraId="3A526B57" w14:textId="77777777" w:rsidR="00A37210" w:rsidRDefault="00A37210" w:rsidP="001A5083">
            <w:pPr>
              <w:spacing w:after="0" w:line="240" w:lineRule="auto"/>
              <w:jc w:val="center"/>
            </w:pPr>
            <w:r>
              <w:t>0.23 (75)</w:t>
            </w:r>
          </w:p>
        </w:tc>
      </w:tr>
      <w:tr w:rsidR="00A37210" w14:paraId="5BBC9F2A" w14:textId="77777777" w:rsidTr="001A5083">
        <w:trPr>
          <w:cantSplit/>
          <w:trHeight w:val="425"/>
        </w:trPr>
        <w:tc>
          <w:tcPr>
            <w:tcW w:w="704" w:type="dxa"/>
            <w:vMerge/>
            <w:textDirection w:val="btLr"/>
          </w:tcPr>
          <w:p w14:paraId="44CC9700" w14:textId="77777777" w:rsidR="00A37210" w:rsidRDefault="00A37210" w:rsidP="001A5083">
            <w:pPr>
              <w:spacing w:after="0" w:line="240" w:lineRule="auto"/>
              <w:ind w:left="113" w:right="113"/>
              <w:jc w:val="center"/>
            </w:pPr>
          </w:p>
        </w:tc>
        <w:tc>
          <w:tcPr>
            <w:tcW w:w="1843" w:type="dxa"/>
            <w:vAlign w:val="center"/>
          </w:tcPr>
          <w:p w14:paraId="77C9A5DA" w14:textId="77777777" w:rsidR="00A37210" w:rsidRDefault="00A37210" w:rsidP="001A5083">
            <w:pPr>
              <w:spacing w:after="0" w:line="240" w:lineRule="auto"/>
              <w:jc w:val="center"/>
            </w:pPr>
            <w:r>
              <w:t>GOTERM</w:t>
            </w:r>
          </w:p>
        </w:tc>
        <w:tc>
          <w:tcPr>
            <w:tcW w:w="2268" w:type="dxa"/>
            <w:vAlign w:val="center"/>
          </w:tcPr>
          <w:p w14:paraId="0DEC87A5" w14:textId="77777777" w:rsidR="00A37210" w:rsidRPr="00C671CB" w:rsidRDefault="00A37210" w:rsidP="001A5083">
            <w:pPr>
              <w:spacing w:after="0" w:line="240" w:lineRule="auto"/>
              <w:jc w:val="center"/>
              <w:rPr>
                <w:rFonts w:cstheme="minorHAnsi"/>
                <w:color w:val="000000"/>
              </w:rPr>
            </w:pPr>
            <w:r w:rsidRPr="67FA5B61">
              <w:t>Extracellular Region</w:t>
            </w:r>
          </w:p>
        </w:tc>
        <w:tc>
          <w:tcPr>
            <w:tcW w:w="1417" w:type="dxa"/>
            <w:vAlign w:val="center"/>
          </w:tcPr>
          <w:p w14:paraId="461C8AB3" w14:textId="77777777" w:rsidR="00A37210" w:rsidRPr="00C671CB" w:rsidRDefault="00A37210" w:rsidP="001A5083">
            <w:pPr>
              <w:spacing w:after="0" w:line="240" w:lineRule="auto"/>
              <w:jc w:val="center"/>
              <w:rPr>
                <w:rFonts w:cstheme="minorHAnsi"/>
                <w:color w:val="000000"/>
              </w:rPr>
            </w:pPr>
            <w:r w:rsidRPr="67FA5B61">
              <w:t>1863</w:t>
            </w:r>
          </w:p>
        </w:tc>
        <w:tc>
          <w:tcPr>
            <w:tcW w:w="1843" w:type="dxa"/>
            <w:vAlign w:val="center"/>
          </w:tcPr>
          <w:p w14:paraId="5001D2FD" w14:textId="77777777" w:rsidR="00A37210" w:rsidRDefault="00A37210" w:rsidP="001A5083">
            <w:pPr>
              <w:spacing w:after="0" w:line="240" w:lineRule="auto"/>
              <w:jc w:val="center"/>
            </w:pPr>
            <w:r>
              <w:t>0.06</w:t>
            </w:r>
          </w:p>
        </w:tc>
        <w:tc>
          <w:tcPr>
            <w:tcW w:w="1559" w:type="dxa"/>
            <w:vAlign w:val="center"/>
          </w:tcPr>
          <w:p w14:paraId="71080534" w14:textId="77777777" w:rsidR="00A37210" w:rsidRDefault="00A37210" w:rsidP="001A5083">
            <w:pPr>
              <w:spacing w:after="0" w:line="240" w:lineRule="auto"/>
              <w:jc w:val="center"/>
            </w:pPr>
            <w:r>
              <w:t>0.32 (75)</w:t>
            </w:r>
          </w:p>
        </w:tc>
      </w:tr>
      <w:tr w:rsidR="00A37210" w14:paraId="0B58C3F7" w14:textId="77777777" w:rsidTr="001A5083">
        <w:trPr>
          <w:cantSplit/>
          <w:trHeight w:val="425"/>
        </w:trPr>
        <w:tc>
          <w:tcPr>
            <w:tcW w:w="704" w:type="dxa"/>
            <w:vMerge/>
            <w:textDirection w:val="btLr"/>
          </w:tcPr>
          <w:p w14:paraId="6E32F116" w14:textId="77777777" w:rsidR="00A37210" w:rsidRDefault="00A37210" w:rsidP="001A5083">
            <w:pPr>
              <w:spacing w:after="0" w:line="240" w:lineRule="auto"/>
              <w:ind w:left="113" w:right="113"/>
              <w:jc w:val="center"/>
            </w:pPr>
          </w:p>
        </w:tc>
        <w:tc>
          <w:tcPr>
            <w:tcW w:w="1843" w:type="dxa"/>
            <w:vAlign w:val="center"/>
          </w:tcPr>
          <w:p w14:paraId="3357C93C" w14:textId="77777777" w:rsidR="00A37210" w:rsidRDefault="00A37210" w:rsidP="001A5083">
            <w:pPr>
              <w:spacing w:after="0" w:line="240" w:lineRule="auto"/>
              <w:jc w:val="center"/>
            </w:pPr>
            <w:r>
              <w:t>GOTERM</w:t>
            </w:r>
          </w:p>
        </w:tc>
        <w:tc>
          <w:tcPr>
            <w:tcW w:w="2268" w:type="dxa"/>
            <w:vAlign w:val="center"/>
          </w:tcPr>
          <w:p w14:paraId="49CFE088" w14:textId="77777777" w:rsidR="00A37210" w:rsidRPr="00C671CB" w:rsidRDefault="00A37210" w:rsidP="001A5083">
            <w:pPr>
              <w:spacing w:after="0" w:line="240" w:lineRule="auto"/>
              <w:jc w:val="center"/>
              <w:rPr>
                <w:rFonts w:cstheme="minorHAnsi"/>
                <w:color w:val="000000"/>
              </w:rPr>
            </w:pPr>
            <w:r w:rsidRPr="67FA5B61">
              <w:t>Growth Factor Activity</w:t>
            </w:r>
          </w:p>
        </w:tc>
        <w:tc>
          <w:tcPr>
            <w:tcW w:w="1417" w:type="dxa"/>
            <w:vAlign w:val="center"/>
          </w:tcPr>
          <w:p w14:paraId="46E5A429" w14:textId="77777777" w:rsidR="00A37210" w:rsidRPr="00C671CB" w:rsidRDefault="00A37210" w:rsidP="001A5083">
            <w:pPr>
              <w:spacing w:after="0" w:line="240" w:lineRule="auto"/>
              <w:jc w:val="center"/>
              <w:rPr>
                <w:rFonts w:cstheme="minorHAnsi"/>
                <w:color w:val="000000"/>
              </w:rPr>
            </w:pPr>
            <w:r w:rsidRPr="67FA5B61">
              <w:t>161</w:t>
            </w:r>
          </w:p>
        </w:tc>
        <w:tc>
          <w:tcPr>
            <w:tcW w:w="1843" w:type="dxa"/>
            <w:vAlign w:val="center"/>
          </w:tcPr>
          <w:p w14:paraId="72D7A22A" w14:textId="77777777" w:rsidR="00A37210" w:rsidRDefault="00A37210" w:rsidP="001A5083">
            <w:pPr>
              <w:spacing w:after="0" w:line="240" w:lineRule="auto"/>
              <w:jc w:val="center"/>
            </w:pPr>
            <w:r>
              <w:t>0.30</w:t>
            </w:r>
          </w:p>
        </w:tc>
        <w:tc>
          <w:tcPr>
            <w:tcW w:w="1559" w:type="dxa"/>
            <w:vAlign w:val="center"/>
          </w:tcPr>
          <w:p w14:paraId="55752D54" w14:textId="77777777" w:rsidR="00A37210" w:rsidRDefault="00A37210" w:rsidP="001A5083">
            <w:pPr>
              <w:spacing w:after="0" w:line="240" w:lineRule="auto"/>
              <w:jc w:val="center"/>
            </w:pPr>
            <w:r>
              <w:t>0.35 (75)</w:t>
            </w:r>
          </w:p>
        </w:tc>
      </w:tr>
      <w:tr w:rsidR="00A37210" w14:paraId="52732468" w14:textId="77777777" w:rsidTr="001A5083">
        <w:trPr>
          <w:cantSplit/>
          <w:trHeight w:val="425"/>
        </w:trPr>
        <w:tc>
          <w:tcPr>
            <w:tcW w:w="704" w:type="dxa"/>
            <w:vMerge/>
            <w:textDirection w:val="btLr"/>
          </w:tcPr>
          <w:p w14:paraId="6762830A" w14:textId="77777777" w:rsidR="00A37210" w:rsidRDefault="00A37210" w:rsidP="001A5083">
            <w:pPr>
              <w:spacing w:after="0" w:line="240" w:lineRule="auto"/>
              <w:ind w:left="113" w:right="113"/>
              <w:jc w:val="center"/>
            </w:pPr>
          </w:p>
        </w:tc>
        <w:tc>
          <w:tcPr>
            <w:tcW w:w="1843" w:type="dxa"/>
            <w:vAlign w:val="center"/>
          </w:tcPr>
          <w:p w14:paraId="494A0C32" w14:textId="77777777" w:rsidR="00A37210" w:rsidRDefault="00A37210" w:rsidP="001A5083">
            <w:pPr>
              <w:spacing w:after="0" w:line="240" w:lineRule="auto"/>
              <w:jc w:val="center"/>
            </w:pPr>
            <w:r>
              <w:t>GOTERM</w:t>
            </w:r>
          </w:p>
        </w:tc>
        <w:tc>
          <w:tcPr>
            <w:tcW w:w="2268" w:type="dxa"/>
            <w:vAlign w:val="center"/>
          </w:tcPr>
          <w:p w14:paraId="38C2B3C7" w14:textId="77777777" w:rsidR="00A37210" w:rsidRPr="00C671CB" w:rsidRDefault="00A37210" w:rsidP="001A5083">
            <w:pPr>
              <w:spacing w:after="0" w:line="240" w:lineRule="auto"/>
              <w:jc w:val="center"/>
              <w:rPr>
                <w:rFonts w:cstheme="minorHAnsi"/>
                <w:color w:val="000000"/>
              </w:rPr>
            </w:pPr>
            <w:r w:rsidRPr="67FA5B61">
              <w:t>Regulation of Peptidyl-tyrosine Phosphorylation</w:t>
            </w:r>
          </w:p>
        </w:tc>
        <w:tc>
          <w:tcPr>
            <w:tcW w:w="1417" w:type="dxa"/>
            <w:vAlign w:val="center"/>
          </w:tcPr>
          <w:p w14:paraId="2077BC6D" w14:textId="77777777" w:rsidR="00A37210" w:rsidRPr="00C671CB" w:rsidRDefault="00A37210" w:rsidP="001A5083">
            <w:pPr>
              <w:spacing w:after="0" w:line="240" w:lineRule="auto"/>
              <w:jc w:val="center"/>
              <w:rPr>
                <w:rFonts w:cstheme="minorHAnsi"/>
                <w:color w:val="000000"/>
              </w:rPr>
            </w:pPr>
            <w:r w:rsidRPr="67FA5B61">
              <w:t>10</w:t>
            </w:r>
          </w:p>
        </w:tc>
        <w:tc>
          <w:tcPr>
            <w:tcW w:w="1843" w:type="dxa"/>
            <w:vAlign w:val="center"/>
          </w:tcPr>
          <w:p w14:paraId="2C8460FD" w14:textId="77777777" w:rsidR="00A37210" w:rsidRDefault="00A37210" w:rsidP="001A5083">
            <w:pPr>
              <w:spacing w:after="0" w:line="240" w:lineRule="auto"/>
              <w:jc w:val="center"/>
            </w:pPr>
            <w:r>
              <w:t>0.36</w:t>
            </w:r>
          </w:p>
        </w:tc>
        <w:tc>
          <w:tcPr>
            <w:tcW w:w="1559" w:type="dxa"/>
            <w:vAlign w:val="center"/>
          </w:tcPr>
          <w:p w14:paraId="6D899702" w14:textId="77777777" w:rsidR="00A37210" w:rsidRDefault="00A37210" w:rsidP="001A5083">
            <w:pPr>
              <w:spacing w:after="0" w:line="240" w:lineRule="auto"/>
              <w:jc w:val="center"/>
            </w:pPr>
            <w:r>
              <w:t>0.38 (75)</w:t>
            </w:r>
          </w:p>
        </w:tc>
      </w:tr>
      <w:tr w:rsidR="00A37210" w14:paraId="73D4268A" w14:textId="77777777" w:rsidTr="001A5083">
        <w:trPr>
          <w:cantSplit/>
          <w:trHeight w:val="425"/>
        </w:trPr>
        <w:tc>
          <w:tcPr>
            <w:tcW w:w="704" w:type="dxa"/>
            <w:vMerge/>
            <w:textDirection w:val="btLr"/>
          </w:tcPr>
          <w:p w14:paraId="26488D37" w14:textId="77777777" w:rsidR="00A37210" w:rsidRDefault="00A37210" w:rsidP="001A5083">
            <w:pPr>
              <w:spacing w:after="0" w:line="240" w:lineRule="auto"/>
              <w:ind w:left="113" w:right="113"/>
              <w:jc w:val="center"/>
            </w:pPr>
          </w:p>
        </w:tc>
        <w:tc>
          <w:tcPr>
            <w:tcW w:w="1843" w:type="dxa"/>
            <w:vAlign w:val="center"/>
          </w:tcPr>
          <w:p w14:paraId="485E2BE1" w14:textId="77777777" w:rsidR="00A37210" w:rsidRDefault="00A37210" w:rsidP="001A5083">
            <w:pPr>
              <w:spacing w:after="0" w:line="240" w:lineRule="auto"/>
              <w:jc w:val="center"/>
            </w:pPr>
            <w:r>
              <w:t>GOTERM</w:t>
            </w:r>
          </w:p>
        </w:tc>
        <w:tc>
          <w:tcPr>
            <w:tcW w:w="2268" w:type="dxa"/>
            <w:vAlign w:val="center"/>
          </w:tcPr>
          <w:p w14:paraId="5FC639B8" w14:textId="77777777" w:rsidR="00A37210" w:rsidRPr="00C671CB" w:rsidRDefault="00A37210" w:rsidP="001A5083">
            <w:pPr>
              <w:spacing w:after="0" w:line="240" w:lineRule="auto"/>
              <w:jc w:val="center"/>
              <w:rPr>
                <w:rFonts w:cstheme="minorHAnsi"/>
                <w:color w:val="000000"/>
              </w:rPr>
            </w:pPr>
            <w:r w:rsidRPr="67FA5B61">
              <w:t>Positive Regulation of Cell Division</w:t>
            </w:r>
          </w:p>
        </w:tc>
        <w:tc>
          <w:tcPr>
            <w:tcW w:w="1417" w:type="dxa"/>
            <w:vAlign w:val="center"/>
          </w:tcPr>
          <w:p w14:paraId="52A11FA9" w14:textId="77777777" w:rsidR="00A37210" w:rsidRPr="00C671CB" w:rsidRDefault="00A37210" w:rsidP="001A5083">
            <w:pPr>
              <w:spacing w:after="0" w:line="240" w:lineRule="auto"/>
              <w:jc w:val="center"/>
              <w:rPr>
                <w:rFonts w:cstheme="minorHAnsi"/>
                <w:color w:val="000000"/>
              </w:rPr>
            </w:pPr>
            <w:r w:rsidRPr="67FA5B61">
              <w:t>37</w:t>
            </w:r>
          </w:p>
        </w:tc>
        <w:tc>
          <w:tcPr>
            <w:tcW w:w="1843" w:type="dxa"/>
            <w:vAlign w:val="center"/>
          </w:tcPr>
          <w:p w14:paraId="0A486BBE" w14:textId="77777777" w:rsidR="00A37210" w:rsidRDefault="00A37210" w:rsidP="001A5083">
            <w:pPr>
              <w:spacing w:after="0" w:line="240" w:lineRule="auto"/>
              <w:jc w:val="center"/>
            </w:pPr>
            <w:r>
              <w:t>0.75</w:t>
            </w:r>
          </w:p>
        </w:tc>
        <w:tc>
          <w:tcPr>
            <w:tcW w:w="1559" w:type="dxa"/>
            <w:vAlign w:val="center"/>
          </w:tcPr>
          <w:p w14:paraId="175A073B" w14:textId="77777777" w:rsidR="00A37210" w:rsidRDefault="00A37210" w:rsidP="001A5083">
            <w:pPr>
              <w:spacing w:after="0" w:line="240" w:lineRule="auto"/>
              <w:jc w:val="center"/>
            </w:pPr>
            <w:r>
              <w:t>0.67 (75)</w:t>
            </w:r>
          </w:p>
        </w:tc>
      </w:tr>
      <w:tr w:rsidR="00A37210" w14:paraId="2A30D573" w14:textId="77777777" w:rsidTr="001A5083">
        <w:trPr>
          <w:cantSplit/>
          <w:trHeight w:val="425"/>
        </w:trPr>
        <w:tc>
          <w:tcPr>
            <w:tcW w:w="704" w:type="dxa"/>
            <w:vMerge/>
            <w:textDirection w:val="btLr"/>
          </w:tcPr>
          <w:p w14:paraId="2CD7809C" w14:textId="77777777" w:rsidR="00A37210" w:rsidRDefault="00A37210" w:rsidP="001A5083">
            <w:pPr>
              <w:spacing w:after="0" w:line="240" w:lineRule="auto"/>
              <w:ind w:left="113" w:right="113"/>
              <w:jc w:val="center"/>
            </w:pPr>
          </w:p>
        </w:tc>
        <w:tc>
          <w:tcPr>
            <w:tcW w:w="1843" w:type="dxa"/>
            <w:vAlign w:val="center"/>
          </w:tcPr>
          <w:p w14:paraId="626D998A" w14:textId="77777777" w:rsidR="00A37210" w:rsidRDefault="00A37210" w:rsidP="001A5083">
            <w:pPr>
              <w:spacing w:after="0" w:line="240" w:lineRule="auto"/>
              <w:jc w:val="center"/>
            </w:pPr>
            <w:r>
              <w:t>Panther Biological Process</w:t>
            </w:r>
          </w:p>
        </w:tc>
        <w:tc>
          <w:tcPr>
            <w:tcW w:w="2268" w:type="dxa"/>
            <w:vAlign w:val="center"/>
          </w:tcPr>
          <w:p w14:paraId="21A83E2B" w14:textId="77777777" w:rsidR="00A37210" w:rsidRPr="00C671CB" w:rsidRDefault="00A37210" w:rsidP="001A5083">
            <w:pPr>
              <w:spacing w:after="0" w:line="240" w:lineRule="auto"/>
              <w:jc w:val="center"/>
              <w:rPr>
                <w:rFonts w:cstheme="minorHAnsi"/>
                <w:color w:val="000000"/>
              </w:rPr>
            </w:pPr>
            <w:r w:rsidRPr="67FA5B61">
              <w:t>Cell Proliferation and Differentiation</w:t>
            </w:r>
          </w:p>
        </w:tc>
        <w:tc>
          <w:tcPr>
            <w:tcW w:w="1417" w:type="dxa"/>
            <w:vAlign w:val="center"/>
          </w:tcPr>
          <w:p w14:paraId="4E65B4D6" w14:textId="77777777" w:rsidR="00A37210" w:rsidRPr="00C671CB" w:rsidRDefault="00A37210" w:rsidP="001A5083">
            <w:pPr>
              <w:spacing w:after="0" w:line="240" w:lineRule="auto"/>
              <w:jc w:val="center"/>
              <w:rPr>
                <w:rFonts w:cstheme="minorHAnsi"/>
                <w:color w:val="000000"/>
              </w:rPr>
            </w:pPr>
            <w:r w:rsidRPr="67FA5B61">
              <w:t>1028</w:t>
            </w:r>
          </w:p>
        </w:tc>
        <w:tc>
          <w:tcPr>
            <w:tcW w:w="1843" w:type="dxa"/>
            <w:vAlign w:val="center"/>
          </w:tcPr>
          <w:p w14:paraId="2ED75EF1" w14:textId="77777777" w:rsidR="00A37210" w:rsidRDefault="00A37210" w:rsidP="001A5083">
            <w:pPr>
              <w:spacing w:after="0" w:line="240" w:lineRule="auto"/>
              <w:jc w:val="center"/>
            </w:pPr>
            <w:r>
              <w:t>0.24</w:t>
            </w:r>
          </w:p>
        </w:tc>
        <w:tc>
          <w:tcPr>
            <w:tcW w:w="1559" w:type="dxa"/>
            <w:vAlign w:val="center"/>
          </w:tcPr>
          <w:p w14:paraId="17621E4B" w14:textId="77777777" w:rsidR="00A37210" w:rsidRDefault="00A37210" w:rsidP="001A5083">
            <w:pPr>
              <w:spacing w:after="0" w:line="240" w:lineRule="auto"/>
              <w:jc w:val="center"/>
            </w:pPr>
            <w:r>
              <w:t>0.70 (95)</w:t>
            </w:r>
          </w:p>
        </w:tc>
      </w:tr>
      <w:tr w:rsidR="00A37210" w14:paraId="221B6253" w14:textId="77777777" w:rsidTr="001A5083">
        <w:trPr>
          <w:cantSplit/>
          <w:trHeight w:val="425"/>
        </w:trPr>
        <w:tc>
          <w:tcPr>
            <w:tcW w:w="704" w:type="dxa"/>
            <w:vMerge/>
            <w:textDirection w:val="btLr"/>
          </w:tcPr>
          <w:p w14:paraId="2E796B14" w14:textId="77777777" w:rsidR="00A37210" w:rsidRDefault="00A37210" w:rsidP="001A5083">
            <w:pPr>
              <w:spacing w:after="0" w:line="240" w:lineRule="auto"/>
              <w:ind w:left="113" w:right="113"/>
              <w:jc w:val="center"/>
            </w:pPr>
          </w:p>
        </w:tc>
        <w:tc>
          <w:tcPr>
            <w:tcW w:w="1843" w:type="dxa"/>
            <w:vAlign w:val="center"/>
          </w:tcPr>
          <w:p w14:paraId="030DB0FE" w14:textId="77777777" w:rsidR="00A37210" w:rsidRDefault="00A37210" w:rsidP="001A5083">
            <w:pPr>
              <w:spacing w:after="0" w:line="240" w:lineRule="auto"/>
              <w:jc w:val="center"/>
            </w:pPr>
            <w:r>
              <w:t>Panther Biological Process</w:t>
            </w:r>
          </w:p>
        </w:tc>
        <w:tc>
          <w:tcPr>
            <w:tcW w:w="2268" w:type="dxa"/>
            <w:vAlign w:val="center"/>
          </w:tcPr>
          <w:p w14:paraId="3F4BA1C4" w14:textId="77777777" w:rsidR="00A37210" w:rsidRPr="00C671CB" w:rsidRDefault="00A37210" w:rsidP="001A5083">
            <w:pPr>
              <w:spacing w:after="0" w:line="240" w:lineRule="auto"/>
              <w:jc w:val="center"/>
              <w:rPr>
                <w:rFonts w:cstheme="minorHAnsi"/>
                <w:color w:val="000000"/>
              </w:rPr>
            </w:pPr>
            <w:r w:rsidRPr="67FA5B61">
              <w:t>Other Developmental Process</w:t>
            </w:r>
          </w:p>
        </w:tc>
        <w:tc>
          <w:tcPr>
            <w:tcW w:w="1417" w:type="dxa"/>
            <w:vAlign w:val="center"/>
          </w:tcPr>
          <w:p w14:paraId="5389BD76" w14:textId="77777777" w:rsidR="00A37210" w:rsidRPr="00C671CB" w:rsidRDefault="00A37210" w:rsidP="001A5083">
            <w:pPr>
              <w:spacing w:after="0" w:line="240" w:lineRule="auto"/>
              <w:jc w:val="center"/>
              <w:rPr>
                <w:rFonts w:cstheme="minorHAnsi"/>
                <w:color w:val="000000"/>
              </w:rPr>
            </w:pPr>
            <w:r w:rsidRPr="67FA5B61">
              <w:t>104</w:t>
            </w:r>
          </w:p>
        </w:tc>
        <w:tc>
          <w:tcPr>
            <w:tcW w:w="1843" w:type="dxa"/>
            <w:vAlign w:val="center"/>
          </w:tcPr>
          <w:p w14:paraId="66363FDE" w14:textId="77777777" w:rsidR="00A37210" w:rsidRDefault="00A37210" w:rsidP="001A5083">
            <w:pPr>
              <w:spacing w:after="0" w:line="240" w:lineRule="auto"/>
              <w:jc w:val="center"/>
            </w:pPr>
            <w:r>
              <w:t>0.39</w:t>
            </w:r>
          </w:p>
        </w:tc>
        <w:tc>
          <w:tcPr>
            <w:tcW w:w="1559" w:type="dxa"/>
            <w:vAlign w:val="center"/>
          </w:tcPr>
          <w:p w14:paraId="4A3D05FC" w14:textId="77777777" w:rsidR="00A37210" w:rsidRDefault="00A37210" w:rsidP="001A5083">
            <w:pPr>
              <w:spacing w:after="0" w:line="240" w:lineRule="auto"/>
              <w:jc w:val="center"/>
            </w:pPr>
            <w:r>
              <w:t>0.55 (95)</w:t>
            </w:r>
          </w:p>
        </w:tc>
      </w:tr>
      <w:tr w:rsidR="00A37210" w14:paraId="5171DBB0" w14:textId="77777777" w:rsidTr="001A5083">
        <w:trPr>
          <w:cantSplit/>
          <w:trHeight w:val="425"/>
        </w:trPr>
        <w:tc>
          <w:tcPr>
            <w:tcW w:w="704" w:type="dxa"/>
            <w:vMerge/>
            <w:textDirection w:val="btLr"/>
          </w:tcPr>
          <w:p w14:paraId="0F97D276" w14:textId="77777777" w:rsidR="00A37210" w:rsidRDefault="00A37210" w:rsidP="001A5083">
            <w:pPr>
              <w:spacing w:after="0" w:line="240" w:lineRule="auto"/>
              <w:ind w:left="113" w:right="113"/>
              <w:jc w:val="center"/>
            </w:pPr>
          </w:p>
        </w:tc>
        <w:tc>
          <w:tcPr>
            <w:tcW w:w="1843" w:type="dxa"/>
            <w:vAlign w:val="center"/>
          </w:tcPr>
          <w:p w14:paraId="4E71B735" w14:textId="77777777" w:rsidR="00A37210" w:rsidRDefault="00A37210" w:rsidP="001A5083">
            <w:pPr>
              <w:spacing w:after="0" w:line="240" w:lineRule="auto"/>
              <w:jc w:val="center"/>
            </w:pPr>
            <w:r>
              <w:t>Panther Biological Process</w:t>
            </w:r>
          </w:p>
        </w:tc>
        <w:tc>
          <w:tcPr>
            <w:tcW w:w="2268" w:type="dxa"/>
            <w:vAlign w:val="center"/>
          </w:tcPr>
          <w:p w14:paraId="7B8E4AE3" w14:textId="77777777" w:rsidR="00A37210" w:rsidRPr="00C671CB" w:rsidRDefault="00A37210" w:rsidP="001A5083">
            <w:pPr>
              <w:spacing w:after="0" w:line="240" w:lineRule="auto"/>
              <w:jc w:val="center"/>
              <w:rPr>
                <w:rFonts w:cstheme="minorHAnsi"/>
                <w:color w:val="000000"/>
              </w:rPr>
            </w:pPr>
            <w:r w:rsidRPr="67FA5B61">
              <w:t>Ligand-mediated Signaling</w:t>
            </w:r>
          </w:p>
        </w:tc>
        <w:tc>
          <w:tcPr>
            <w:tcW w:w="1417" w:type="dxa"/>
            <w:vAlign w:val="center"/>
          </w:tcPr>
          <w:p w14:paraId="1CDBD01E" w14:textId="77777777" w:rsidR="00A37210" w:rsidRPr="00C671CB" w:rsidRDefault="00A37210" w:rsidP="001A5083">
            <w:pPr>
              <w:spacing w:after="0" w:line="240" w:lineRule="auto"/>
              <w:jc w:val="center"/>
              <w:rPr>
                <w:rFonts w:cstheme="minorHAnsi"/>
                <w:color w:val="000000"/>
              </w:rPr>
            </w:pPr>
            <w:r w:rsidRPr="67FA5B61">
              <w:t>421</w:t>
            </w:r>
          </w:p>
        </w:tc>
        <w:tc>
          <w:tcPr>
            <w:tcW w:w="1843" w:type="dxa"/>
            <w:vAlign w:val="center"/>
          </w:tcPr>
          <w:p w14:paraId="37CBC6DF" w14:textId="77777777" w:rsidR="00A37210" w:rsidRDefault="00A37210" w:rsidP="001A5083">
            <w:pPr>
              <w:spacing w:after="0" w:line="240" w:lineRule="auto"/>
              <w:jc w:val="center"/>
            </w:pPr>
            <w:r>
              <w:t>0.90</w:t>
            </w:r>
          </w:p>
        </w:tc>
        <w:tc>
          <w:tcPr>
            <w:tcW w:w="1559" w:type="dxa"/>
            <w:vAlign w:val="center"/>
          </w:tcPr>
          <w:p w14:paraId="1F9926CA" w14:textId="77777777" w:rsidR="00A37210" w:rsidRPr="007C7462" w:rsidRDefault="00A37210" w:rsidP="001A5083">
            <w:pPr>
              <w:spacing w:after="0" w:line="240" w:lineRule="auto"/>
              <w:jc w:val="center"/>
            </w:pPr>
            <w:r>
              <w:t>0.90 (95)</w:t>
            </w:r>
          </w:p>
        </w:tc>
      </w:tr>
      <w:tr w:rsidR="00A37210" w14:paraId="51A935B0" w14:textId="77777777" w:rsidTr="001A5083">
        <w:trPr>
          <w:cantSplit/>
          <w:trHeight w:val="425"/>
        </w:trPr>
        <w:tc>
          <w:tcPr>
            <w:tcW w:w="704" w:type="dxa"/>
            <w:vMerge/>
            <w:textDirection w:val="btLr"/>
          </w:tcPr>
          <w:p w14:paraId="1805D3A5" w14:textId="77777777" w:rsidR="00A37210" w:rsidRDefault="00A37210" w:rsidP="001A5083">
            <w:pPr>
              <w:spacing w:after="0" w:line="240" w:lineRule="auto"/>
              <w:ind w:left="113" w:right="113"/>
              <w:jc w:val="center"/>
            </w:pPr>
          </w:p>
        </w:tc>
        <w:tc>
          <w:tcPr>
            <w:tcW w:w="1843" w:type="dxa"/>
            <w:vAlign w:val="center"/>
          </w:tcPr>
          <w:p w14:paraId="32951937" w14:textId="77777777" w:rsidR="00A37210" w:rsidRDefault="00A37210" w:rsidP="001A5083">
            <w:pPr>
              <w:spacing w:after="0" w:line="240" w:lineRule="auto"/>
              <w:jc w:val="center"/>
            </w:pPr>
            <w:r>
              <w:t>Panther Molecular Function</w:t>
            </w:r>
          </w:p>
        </w:tc>
        <w:tc>
          <w:tcPr>
            <w:tcW w:w="2268" w:type="dxa"/>
            <w:vAlign w:val="center"/>
          </w:tcPr>
          <w:p w14:paraId="1CF51645" w14:textId="77777777" w:rsidR="00A37210" w:rsidRPr="00C671CB" w:rsidRDefault="00A37210" w:rsidP="001A5083">
            <w:pPr>
              <w:spacing w:after="0" w:line="240" w:lineRule="auto"/>
              <w:jc w:val="center"/>
              <w:rPr>
                <w:rFonts w:cstheme="minorHAnsi"/>
                <w:color w:val="000000"/>
              </w:rPr>
            </w:pPr>
            <w:r w:rsidRPr="67FA5B61">
              <w:t>Growth Factor</w:t>
            </w:r>
          </w:p>
        </w:tc>
        <w:tc>
          <w:tcPr>
            <w:tcW w:w="1417" w:type="dxa"/>
            <w:vAlign w:val="center"/>
          </w:tcPr>
          <w:p w14:paraId="01640CE4" w14:textId="77777777" w:rsidR="00A37210" w:rsidRPr="00C671CB" w:rsidRDefault="00A37210" w:rsidP="001A5083">
            <w:pPr>
              <w:spacing w:after="0" w:line="240" w:lineRule="auto"/>
              <w:jc w:val="center"/>
              <w:rPr>
                <w:rFonts w:cstheme="minorHAnsi"/>
                <w:color w:val="000000"/>
              </w:rPr>
            </w:pPr>
            <w:r w:rsidRPr="67FA5B61">
              <w:t>118</w:t>
            </w:r>
          </w:p>
        </w:tc>
        <w:tc>
          <w:tcPr>
            <w:tcW w:w="1843" w:type="dxa"/>
            <w:vAlign w:val="center"/>
          </w:tcPr>
          <w:p w14:paraId="764F46AA" w14:textId="77777777" w:rsidR="00A37210" w:rsidRDefault="00A37210" w:rsidP="001A5083">
            <w:pPr>
              <w:spacing w:after="0" w:line="240" w:lineRule="auto"/>
              <w:jc w:val="center"/>
            </w:pPr>
            <w:r>
              <w:t>0.53</w:t>
            </w:r>
          </w:p>
        </w:tc>
        <w:tc>
          <w:tcPr>
            <w:tcW w:w="1559" w:type="dxa"/>
            <w:vAlign w:val="center"/>
          </w:tcPr>
          <w:p w14:paraId="5A56DEAB" w14:textId="77777777" w:rsidR="00A37210" w:rsidRDefault="00A37210" w:rsidP="001A5083">
            <w:pPr>
              <w:spacing w:after="0" w:line="240" w:lineRule="auto"/>
              <w:jc w:val="center"/>
            </w:pPr>
            <w:r>
              <w:t>0.53 (75)</w:t>
            </w:r>
          </w:p>
        </w:tc>
      </w:tr>
      <w:tr w:rsidR="00A37210" w14:paraId="266E9A4A" w14:textId="77777777" w:rsidTr="001A5083">
        <w:trPr>
          <w:cantSplit/>
          <w:trHeight w:val="425"/>
        </w:trPr>
        <w:tc>
          <w:tcPr>
            <w:tcW w:w="704" w:type="dxa"/>
            <w:vMerge/>
            <w:textDirection w:val="btLr"/>
          </w:tcPr>
          <w:p w14:paraId="637D8C88" w14:textId="77777777" w:rsidR="00A37210" w:rsidRDefault="00A37210" w:rsidP="001A5083">
            <w:pPr>
              <w:spacing w:after="0" w:line="240" w:lineRule="auto"/>
              <w:ind w:left="113" w:right="113"/>
              <w:jc w:val="center"/>
            </w:pPr>
          </w:p>
        </w:tc>
        <w:tc>
          <w:tcPr>
            <w:tcW w:w="1843" w:type="dxa"/>
            <w:vAlign w:val="center"/>
          </w:tcPr>
          <w:p w14:paraId="62853750" w14:textId="77777777" w:rsidR="00A37210" w:rsidRDefault="00A37210" w:rsidP="001A5083">
            <w:pPr>
              <w:spacing w:after="0" w:line="240" w:lineRule="auto"/>
              <w:jc w:val="center"/>
            </w:pPr>
            <w:r>
              <w:t>Panther</w:t>
            </w:r>
          </w:p>
        </w:tc>
        <w:tc>
          <w:tcPr>
            <w:tcW w:w="2268" w:type="dxa"/>
            <w:vAlign w:val="center"/>
          </w:tcPr>
          <w:p w14:paraId="2BA7E635" w14:textId="77777777" w:rsidR="00A37210" w:rsidRPr="00C671CB" w:rsidRDefault="00A37210" w:rsidP="001A5083">
            <w:pPr>
              <w:spacing w:after="0" w:line="240" w:lineRule="auto"/>
              <w:jc w:val="center"/>
              <w:rPr>
                <w:rFonts w:cstheme="minorHAnsi"/>
                <w:color w:val="000000"/>
              </w:rPr>
            </w:pPr>
            <w:r w:rsidRPr="67FA5B61">
              <w:t>Angiogenesis</w:t>
            </w:r>
          </w:p>
        </w:tc>
        <w:tc>
          <w:tcPr>
            <w:tcW w:w="1417" w:type="dxa"/>
            <w:vAlign w:val="center"/>
          </w:tcPr>
          <w:p w14:paraId="6337598A" w14:textId="77777777" w:rsidR="00A37210" w:rsidRPr="00C671CB" w:rsidRDefault="00A37210" w:rsidP="001A5083">
            <w:pPr>
              <w:spacing w:after="0" w:line="240" w:lineRule="auto"/>
              <w:jc w:val="center"/>
              <w:rPr>
                <w:rFonts w:cstheme="minorHAnsi"/>
                <w:color w:val="000000"/>
              </w:rPr>
            </w:pPr>
            <w:r w:rsidRPr="67FA5B61">
              <w:t>80</w:t>
            </w:r>
          </w:p>
        </w:tc>
        <w:tc>
          <w:tcPr>
            <w:tcW w:w="1843" w:type="dxa"/>
            <w:vAlign w:val="center"/>
          </w:tcPr>
          <w:p w14:paraId="5D72FE9D" w14:textId="77777777" w:rsidR="00A37210" w:rsidRDefault="00A37210" w:rsidP="001A5083">
            <w:pPr>
              <w:spacing w:after="0" w:line="240" w:lineRule="auto"/>
              <w:jc w:val="center"/>
            </w:pPr>
            <w:r>
              <w:t>0.08</w:t>
            </w:r>
          </w:p>
        </w:tc>
        <w:tc>
          <w:tcPr>
            <w:tcW w:w="1559" w:type="dxa"/>
            <w:vAlign w:val="center"/>
          </w:tcPr>
          <w:p w14:paraId="1F9EB410" w14:textId="77777777" w:rsidR="00A37210" w:rsidRDefault="00A37210" w:rsidP="001A5083">
            <w:pPr>
              <w:spacing w:after="0" w:line="240" w:lineRule="auto"/>
              <w:jc w:val="center"/>
            </w:pPr>
            <w:r>
              <w:t>0.08 (95)</w:t>
            </w:r>
          </w:p>
        </w:tc>
      </w:tr>
      <w:tr w:rsidR="00A37210" w14:paraId="115CB3B8" w14:textId="77777777" w:rsidTr="001A5083">
        <w:trPr>
          <w:cantSplit/>
          <w:trHeight w:val="425"/>
        </w:trPr>
        <w:tc>
          <w:tcPr>
            <w:tcW w:w="704" w:type="dxa"/>
            <w:vMerge/>
            <w:textDirection w:val="btLr"/>
          </w:tcPr>
          <w:p w14:paraId="7C21BF81" w14:textId="77777777" w:rsidR="00A37210" w:rsidRDefault="00A37210" w:rsidP="001A5083">
            <w:pPr>
              <w:spacing w:after="0" w:line="240" w:lineRule="auto"/>
              <w:ind w:left="113" w:right="113"/>
              <w:jc w:val="center"/>
            </w:pPr>
          </w:p>
        </w:tc>
        <w:tc>
          <w:tcPr>
            <w:tcW w:w="1843" w:type="dxa"/>
            <w:vAlign w:val="center"/>
          </w:tcPr>
          <w:p w14:paraId="35BCA1AA" w14:textId="77777777" w:rsidR="00A37210" w:rsidRDefault="00A37210" w:rsidP="001A5083">
            <w:pPr>
              <w:spacing w:after="0" w:line="240" w:lineRule="auto"/>
              <w:jc w:val="center"/>
            </w:pPr>
            <w:r>
              <w:t>Ingenuity</w:t>
            </w:r>
          </w:p>
        </w:tc>
        <w:tc>
          <w:tcPr>
            <w:tcW w:w="2268" w:type="dxa"/>
            <w:vAlign w:val="center"/>
          </w:tcPr>
          <w:p w14:paraId="2092BC85" w14:textId="77777777" w:rsidR="00A37210" w:rsidRPr="00C671CB" w:rsidRDefault="00A37210" w:rsidP="001A5083">
            <w:pPr>
              <w:spacing w:after="0" w:line="240" w:lineRule="auto"/>
              <w:jc w:val="center"/>
              <w:rPr>
                <w:rFonts w:cstheme="minorHAnsi"/>
                <w:color w:val="000000"/>
              </w:rPr>
            </w:pPr>
            <w:r w:rsidRPr="67FA5B61">
              <w:t>PDGF Signaling</w:t>
            </w:r>
          </w:p>
        </w:tc>
        <w:tc>
          <w:tcPr>
            <w:tcW w:w="1417" w:type="dxa"/>
            <w:vAlign w:val="center"/>
          </w:tcPr>
          <w:p w14:paraId="3856F1EA" w14:textId="77777777" w:rsidR="00A37210" w:rsidRPr="00C671CB" w:rsidRDefault="00A37210" w:rsidP="001A5083">
            <w:pPr>
              <w:spacing w:after="0" w:line="240" w:lineRule="auto"/>
              <w:jc w:val="center"/>
              <w:rPr>
                <w:rFonts w:cstheme="minorHAnsi"/>
                <w:color w:val="000000"/>
              </w:rPr>
            </w:pPr>
            <w:r w:rsidRPr="67FA5B61">
              <w:t>23</w:t>
            </w:r>
          </w:p>
        </w:tc>
        <w:tc>
          <w:tcPr>
            <w:tcW w:w="1843" w:type="dxa"/>
            <w:vAlign w:val="center"/>
          </w:tcPr>
          <w:p w14:paraId="7A8B6F4D" w14:textId="77777777" w:rsidR="00A37210" w:rsidRDefault="00A37210" w:rsidP="001A5083">
            <w:pPr>
              <w:spacing w:after="0" w:line="240" w:lineRule="auto"/>
              <w:jc w:val="center"/>
            </w:pPr>
            <w:r>
              <w:t>0.27</w:t>
            </w:r>
          </w:p>
        </w:tc>
        <w:tc>
          <w:tcPr>
            <w:tcW w:w="1559" w:type="dxa"/>
            <w:vAlign w:val="center"/>
          </w:tcPr>
          <w:p w14:paraId="5239E03F" w14:textId="77777777" w:rsidR="00A37210" w:rsidRDefault="00A37210" w:rsidP="001A5083">
            <w:pPr>
              <w:spacing w:after="0" w:line="240" w:lineRule="auto"/>
              <w:jc w:val="center"/>
            </w:pPr>
            <w:r>
              <w:t>0.27 (75)</w:t>
            </w:r>
          </w:p>
        </w:tc>
      </w:tr>
      <w:tr w:rsidR="00A37210" w14:paraId="3592A370" w14:textId="77777777" w:rsidTr="001A5083">
        <w:trPr>
          <w:cantSplit/>
          <w:trHeight w:val="425"/>
        </w:trPr>
        <w:tc>
          <w:tcPr>
            <w:tcW w:w="704" w:type="dxa"/>
            <w:vMerge/>
            <w:textDirection w:val="btLr"/>
          </w:tcPr>
          <w:p w14:paraId="2C6763B9" w14:textId="77777777" w:rsidR="00A37210" w:rsidRDefault="00A37210" w:rsidP="001A5083">
            <w:pPr>
              <w:spacing w:after="0" w:line="240" w:lineRule="auto"/>
              <w:ind w:left="113" w:right="113"/>
              <w:jc w:val="center"/>
            </w:pPr>
          </w:p>
        </w:tc>
        <w:tc>
          <w:tcPr>
            <w:tcW w:w="1843" w:type="dxa"/>
            <w:vAlign w:val="center"/>
          </w:tcPr>
          <w:p w14:paraId="15698DCC" w14:textId="77777777" w:rsidR="00A37210" w:rsidRDefault="00A37210" w:rsidP="001A5083">
            <w:pPr>
              <w:spacing w:after="0" w:line="240" w:lineRule="auto"/>
              <w:jc w:val="center"/>
            </w:pPr>
            <w:r>
              <w:t>KEGG</w:t>
            </w:r>
          </w:p>
        </w:tc>
        <w:tc>
          <w:tcPr>
            <w:tcW w:w="2268" w:type="dxa"/>
            <w:vAlign w:val="center"/>
          </w:tcPr>
          <w:p w14:paraId="0D717991" w14:textId="77777777" w:rsidR="00A37210" w:rsidRPr="00C671CB" w:rsidRDefault="00A37210" w:rsidP="001A5083">
            <w:pPr>
              <w:spacing w:after="0" w:line="240" w:lineRule="auto"/>
              <w:jc w:val="center"/>
              <w:rPr>
                <w:rFonts w:cstheme="minorHAnsi"/>
                <w:color w:val="000000"/>
              </w:rPr>
            </w:pPr>
            <w:r w:rsidRPr="67FA5B61">
              <w:t>KEGG Focal Adhesion</w:t>
            </w:r>
          </w:p>
        </w:tc>
        <w:tc>
          <w:tcPr>
            <w:tcW w:w="1417" w:type="dxa"/>
            <w:vAlign w:val="center"/>
          </w:tcPr>
          <w:p w14:paraId="55517AD4" w14:textId="77777777" w:rsidR="00A37210" w:rsidRPr="00C671CB" w:rsidRDefault="00A37210" w:rsidP="001A5083">
            <w:pPr>
              <w:spacing w:after="0" w:line="240" w:lineRule="auto"/>
              <w:jc w:val="center"/>
              <w:rPr>
                <w:rFonts w:cstheme="minorHAnsi"/>
                <w:color w:val="000000"/>
              </w:rPr>
            </w:pPr>
            <w:r w:rsidRPr="67FA5B61">
              <w:t>201</w:t>
            </w:r>
          </w:p>
        </w:tc>
        <w:tc>
          <w:tcPr>
            <w:tcW w:w="1843" w:type="dxa"/>
            <w:vAlign w:val="center"/>
          </w:tcPr>
          <w:p w14:paraId="31E1F7F9" w14:textId="77777777" w:rsidR="00A37210" w:rsidRDefault="00A37210" w:rsidP="001A5083">
            <w:pPr>
              <w:spacing w:after="0" w:line="240" w:lineRule="auto"/>
              <w:jc w:val="center"/>
            </w:pPr>
            <w:r>
              <w:t>2.4x10</w:t>
            </w:r>
            <w:r w:rsidRPr="67FA5B61">
              <w:rPr>
                <w:vertAlign w:val="superscript"/>
              </w:rPr>
              <w:t>-4</w:t>
            </w:r>
          </w:p>
        </w:tc>
        <w:tc>
          <w:tcPr>
            <w:tcW w:w="1559" w:type="dxa"/>
            <w:vAlign w:val="center"/>
          </w:tcPr>
          <w:p w14:paraId="44F2E6F2" w14:textId="77777777" w:rsidR="00A37210" w:rsidRDefault="00A37210" w:rsidP="001A5083">
            <w:pPr>
              <w:spacing w:after="0" w:line="240" w:lineRule="auto"/>
              <w:jc w:val="center"/>
            </w:pPr>
            <w:r>
              <w:t>6.0x10</w:t>
            </w:r>
            <w:r w:rsidRPr="67FA5B61">
              <w:rPr>
                <w:vertAlign w:val="superscript"/>
              </w:rPr>
              <w:t xml:space="preserve">-4 </w:t>
            </w:r>
            <w:r>
              <w:t>(95)*</w:t>
            </w:r>
          </w:p>
        </w:tc>
      </w:tr>
      <w:tr w:rsidR="00A37210" w14:paraId="3FAFB8A5" w14:textId="77777777" w:rsidTr="001A5083">
        <w:trPr>
          <w:cantSplit/>
          <w:trHeight w:val="425"/>
        </w:trPr>
        <w:tc>
          <w:tcPr>
            <w:tcW w:w="704" w:type="dxa"/>
            <w:vMerge/>
            <w:textDirection w:val="btLr"/>
          </w:tcPr>
          <w:p w14:paraId="5594CB24" w14:textId="77777777" w:rsidR="00A37210" w:rsidRDefault="00A37210" w:rsidP="001A5083">
            <w:pPr>
              <w:spacing w:after="0" w:line="240" w:lineRule="auto"/>
              <w:ind w:left="113" w:right="113"/>
              <w:jc w:val="center"/>
            </w:pPr>
          </w:p>
        </w:tc>
        <w:tc>
          <w:tcPr>
            <w:tcW w:w="1843" w:type="dxa"/>
            <w:vAlign w:val="center"/>
          </w:tcPr>
          <w:p w14:paraId="4841FA8C" w14:textId="77777777" w:rsidR="00A37210" w:rsidRDefault="00A37210" w:rsidP="001A5083">
            <w:pPr>
              <w:spacing w:after="0" w:line="240" w:lineRule="auto"/>
              <w:jc w:val="center"/>
            </w:pPr>
            <w:r>
              <w:t>KEGG</w:t>
            </w:r>
          </w:p>
        </w:tc>
        <w:tc>
          <w:tcPr>
            <w:tcW w:w="2268" w:type="dxa"/>
            <w:vAlign w:val="center"/>
          </w:tcPr>
          <w:p w14:paraId="263597DD" w14:textId="77777777" w:rsidR="00A37210" w:rsidRPr="00C671CB" w:rsidRDefault="00A37210" w:rsidP="001A5083">
            <w:pPr>
              <w:spacing w:after="0" w:line="240" w:lineRule="auto"/>
              <w:jc w:val="center"/>
              <w:rPr>
                <w:rFonts w:cstheme="minorHAnsi"/>
                <w:color w:val="000000"/>
              </w:rPr>
            </w:pPr>
            <w:r w:rsidRPr="67FA5B61">
              <w:t>KEGG Gap Junction</w:t>
            </w:r>
          </w:p>
        </w:tc>
        <w:tc>
          <w:tcPr>
            <w:tcW w:w="1417" w:type="dxa"/>
            <w:vAlign w:val="center"/>
          </w:tcPr>
          <w:p w14:paraId="710FCC4E" w14:textId="77777777" w:rsidR="00A37210" w:rsidRPr="00C671CB" w:rsidRDefault="00A37210" w:rsidP="001A5083">
            <w:pPr>
              <w:spacing w:after="0" w:line="240" w:lineRule="auto"/>
              <w:jc w:val="center"/>
              <w:rPr>
                <w:rFonts w:cstheme="minorHAnsi"/>
                <w:color w:val="000000"/>
              </w:rPr>
            </w:pPr>
            <w:r w:rsidRPr="67FA5B61">
              <w:t>90</w:t>
            </w:r>
          </w:p>
        </w:tc>
        <w:tc>
          <w:tcPr>
            <w:tcW w:w="1843" w:type="dxa"/>
            <w:vAlign w:val="center"/>
          </w:tcPr>
          <w:p w14:paraId="061DB012" w14:textId="77777777" w:rsidR="00A37210" w:rsidRDefault="00A37210" w:rsidP="001A5083">
            <w:pPr>
              <w:spacing w:after="0" w:line="240" w:lineRule="auto"/>
              <w:jc w:val="center"/>
            </w:pPr>
            <w:r>
              <w:t>0.07</w:t>
            </w:r>
          </w:p>
        </w:tc>
        <w:tc>
          <w:tcPr>
            <w:tcW w:w="1559" w:type="dxa"/>
            <w:vAlign w:val="center"/>
          </w:tcPr>
          <w:p w14:paraId="3BF84D06" w14:textId="77777777" w:rsidR="00A37210" w:rsidRDefault="00A37210" w:rsidP="001A5083">
            <w:pPr>
              <w:spacing w:after="0" w:line="240" w:lineRule="auto"/>
              <w:jc w:val="center"/>
            </w:pPr>
            <w:r>
              <w:t>0.09 (95)</w:t>
            </w:r>
          </w:p>
        </w:tc>
      </w:tr>
      <w:tr w:rsidR="00A37210" w14:paraId="25A48534" w14:textId="77777777" w:rsidTr="001A5083">
        <w:trPr>
          <w:cantSplit/>
          <w:trHeight w:val="425"/>
        </w:trPr>
        <w:tc>
          <w:tcPr>
            <w:tcW w:w="704" w:type="dxa"/>
            <w:vMerge/>
            <w:textDirection w:val="btLr"/>
          </w:tcPr>
          <w:p w14:paraId="534B6722" w14:textId="77777777" w:rsidR="00A37210" w:rsidRDefault="00A37210" w:rsidP="001A5083">
            <w:pPr>
              <w:spacing w:after="0" w:line="240" w:lineRule="auto"/>
              <w:ind w:left="113" w:right="113"/>
              <w:jc w:val="center"/>
            </w:pPr>
          </w:p>
        </w:tc>
        <w:tc>
          <w:tcPr>
            <w:tcW w:w="1843" w:type="dxa"/>
            <w:vAlign w:val="center"/>
          </w:tcPr>
          <w:p w14:paraId="0EC0715A" w14:textId="77777777" w:rsidR="00A37210" w:rsidRDefault="00A37210" w:rsidP="001A5083">
            <w:pPr>
              <w:spacing w:after="0" w:line="240" w:lineRule="auto"/>
              <w:jc w:val="center"/>
            </w:pPr>
            <w:r>
              <w:t>KEGG</w:t>
            </w:r>
          </w:p>
        </w:tc>
        <w:tc>
          <w:tcPr>
            <w:tcW w:w="2268" w:type="dxa"/>
            <w:vAlign w:val="center"/>
          </w:tcPr>
          <w:p w14:paraId="07C92FB0" w14:textId="77777777" w:rsidR="00A37210" w:rsidRPr="00C671CB" w:rsidRDefault="00A37210" w:rsidP="001A5083">
            <w:pPr>
              <w:spacing w:after="0" w:line="240" w:lineRule="auto"/>
              <w:jc w:val="center"/>
              <w:rPr>
                <w:rFonts w:cstheme="minorHAnsi"/>
                <w:color w:val="000000"/>
              </w:rPr>
            </w:pPr>
            <w:r w:rsidRPr="67FA5B61">
              <w:t>KEGG Regulation of Actin Cytoskeleton</w:t>
            </w:r>
          </w:p>
        </w:tc>
        <w:tc>
          <w:tcPr>
            <w:tcW w:w="1417" w:type="dxa"/>
            <w:vAlign w:val="center"/>
          </w:tcPr>
          <w:p w14:paraId="4C3729EF" w14:textId="77777777" w:rsidR="00A37210" w:rsidRPr="00C671CB" w:rsidRDefault="00A37210" w:rsidP="001A5083">
            <w:pPr>
              <w:spacing w:after="0" w:line="240" w:lineRule="auto"/>
              <w:jc w:val="center"/>
              <w:rPr>
                <w:rFonts w:cstheme="minorHAnsi"/>
                <w:color w:val="000000"/>
              </w:rPr>
            </w:pPr>
            <w:r w:rsidRPr="67FA5B61">
              <w:t>216</w:t>
            </w:r>
          </w:p>
        </w:tc>
        <w:tc>
          <w:tcPr>
            <w:tcW w:w="1843" w:type="dxa"/>
            <w:vAlign w:val="center"/>
          </w:tcPr>
          <w:p w14:paraId="7B509C19" w14:textId="77777777" w:rsidR="00A37210" w:rsidRDefault="00A37210" w:rsidP="001A5083">
            <w:pPr>
              <w:spacing w:after="0" w:line="240" w:lineRule="auto"/>
              <w:jc w:val="center"/>
            </w:pPr>
            <w:r>
              <w:t>0.01</w:t>
            </w:r>
          </w:p>
        </w:tc>
        <w:tc>
          <w:tcPr>
            <w:tcW w:w="1559" w:type="dxa"/>
            <w:vAlign w:val="center"/>
          </w:tcPr>
          <w:p w14:paraId="5E8168F6" w14:textId="77777777" w:rsidR="00A37210" w:rsidRDefault="00A37210" w:rsidP="001A5083">
            <w:pPr>
              <w:spacing w:after="0" w:line="240" w:lineRule="auto"/>
              <w:jc w:val="center"/>
            </w:pPr>
            <w:r>
              <w:t>0.01 (95)*</w:t>
            </w:r>
          </w:p>
        </w:tc>
      </w:tr>
      <w:tr w:rsidR="00A37210" w14:paraId="2E5C6B7E" w14:textId="77777777" w:rsidTr="001A5083">
        <w:trPr>
          <w:cantSplit/>
          <w:trHeight w:val="425"/>
        </w:trPr>
        <w:tc>
          <w:tcPr>
            <w:tcW w:w="704" w:type="dxa"/>
            <w:vMerge/>
            <w:textDirection w:val="btLr"/>
          </w:tcPr>
          <w:p w14:paraId="3396DB95" w14:textId="77777777" w:rsidR="00A37210" w:rsidRDefault="00A37210" w:rsidP="001A5083">
            <w:pPr>
              <w:spacing w:after="0" w:line="240" w:lineRule="auto"/>
              <w:ind w:left="113" w:right="113"/>
              <w:jc w:val="center"/>
            </w:pPr>
          </w:p>
        </w:tc>
        <w:tc>
          <w:tcPr>
            <w:tcW w:w="1843" w:type="dxa"/>
            <w:vAlign w:val="center"/>
          </w:tcPr>
          <w:p w14:paraId="3D72A5BE" w14:textId="77777777" w:rsidR="00A37210" w:rsidRDefault="00A37210" w:rsidP="001A5083">
            <w:pPr>
              <w:spacing w:after="0" w:line="240" w:lineRule="auto"/>
              <w:jc w:val="center"/>
            </w:pPr>
            <w:r>
              <w:t>KEGG</w:t>
            </w:r>
          </w:p>
        </w:tc>
        <w:tc>
          <w:tcPr>
            <w:tcW w:w="2268" w:type="dxa"/>
            <w:vAlign w:val="center"/>
          </w:tcPr>
          <w:p w14:paraId="724D2FDB" w14:textId="77777777" w:rsidR="00A37210" w:rsidRPr="00C671CB" w:rsidRDefault="00A37210" w:rsidP="001A5083">
            <w:pPr>
              <w:spacing w:after="0" w:line="240" w:lineRule="auto"/>
              <w:jc w:val="center"/>
              <w:rPr>
                <w:rFonts w:cstheme="minorHAnsi"/>
                <w:color w:val="000000"/>
              </w:rPr>
            </w:pPr>
            <w:r w:rsidRPr="67FA5B61">
              <w:t>KEGG Prostate Cancer</w:t>
            </w:r>
          </w:p>
        </w:tc>
        <w:tc>
          <w:tcPr>
            <w:tcW w:w="1417" w:type="dxa"/>
            <w:vAlign w:val="center"/>
          </w:tcPr>
          <w:p w14:paraId="1631C97D" w14:textId="77777777" w:rsidR="00A37210" w:rsidRPr="00C671CB" w:rsidRDefault="00A37210" w:rsidP="001A5083">
            <w:pPr>
              <w:spacing w:after="0" w:line="240" w:lineRule="auto"/>
              <w:jc w:val="center"/>
              <w:rPr>
                <w:rFonts w:cstheme="minorHAnsi"/>
                <w:color w:val="000000"/>
              </w:rPr>
            </w:pPr>
            <w:r w:rsidRPr="67FA5B61">
              <w:t>89</w:t>
            </w:r>
          </w:p>
        </w:tc>
        <w:tc>
          <w:tcPr>
            <w:tcW w:w="1843" w:type="dxa"/>
            <w:vAlign w:val="center"/>
          </w:tcPr>
          <w:p w14:paraId="0F0B8DAA" w14:textId="77777777" w:rsidR="00A37210" w:rsidRDefault="00A37210" w:rsidP="001A5083">
            <w:pPr>
              <w:spacing w:after="0" w:line="240" w:lineRule="auto"/>
              <w:jc w:val="center"/>
            </w:pPr>
            <w:r>
              <w:t>0.10</w:t>
            </w:r>
          </w:p>
        </w:tc>
        <w:tc>
          <w:tcPr>
            <w:tcW w:w="1559" w:type="dxa"/>
            <w:vAlign w:val="center"/>
          </w:tcPr>
          <w:p w14:paraId="494670A6" w14:textId="77777777" w:rsidR="00A37210" w:rsidRDefault="00A37210" w:rsidP="001A5083">
            <w:pPr>
              <w:spacing w:after="0" w:line="240" w:lineRule="auto"/>
              <w:jc w:val="center"/>
            </w:pPr>
            <w:r>
              <w:t>0.27 (95)</w:t>
            </w:r>
          </w:p>
        </w:tc>
      </w:tr>
      <w:tr w:rsidR="00A37210" w14:paraId="72E0760E" w14:textId="77777777" w:rsidTr="001A5083">
        <w:trPr>
          <w:cantSplit/>
          <w:trHeight w:val="425"/>
        </w:trPr>
        <w:tc>
          <w:tcPr>
            <w:tcW w:w="704" w:type="dxa"/>
            <w:vMerge/>
            <w:textDirection w:val="btLr"/>
          </w:tcPr>
          <w:p w14:paraId="2A949CC9" w14:textId="77777777" w:rsidR="00A37210" w:rsidRDefault="00A37210" w:rsidP="001A5083">
            <w:pPr>
              <w:spacing w:after="0" w:line="240" w:lineRule="auto"/>
              <w:ind w:left="113" w:right="113"/>
              <w:jc w:val="center"/>
            </w:pPr>
          </w:p>
        </w:tc>
        <w:tc>
          <w:tcPr>
            <w:tcW w:w="1843" w:type="dxa"/>
            <w:vAlign w:val="center"/>
          </w:tcPr>
          <w:p w14:paraId="224FA6F5" w14:textId="77777777" w:rsidR="00A37210" w:rsidRDefault="00A37210" w:rsidP="001A5083">
            <w:pPr>
              <w:spacing w:after="0" w:line="240" w:lineRule="auto"/>
              <w:jc w:val="center"/>
            </w:pPr>
            <w:r>
              <w:t xml:space="preserve">KEGG </w:t>
            </w:r>
          </w:p>
        </w:tc>
        <w:tc>
          <w:tcPr>
            <w:tcW w:w="2268" w:type="dxa"/>
            <w:vAlign w:val="center"/>
          </w:tcPr>
          <w:p w14:paraId="64C4D9F8" w14:textId="77777777" w:rsidR="00A37210" w:rsidRPr="00C671CB" w:rsidRDefault="00A37210" w:rsidP="001A5083">
            <w:pPr>
              <w:spacing w:after="0" w:line="240" w:lineRule="auto"/>
              <w:jc w:val="center"/>
              <w:rPr>
                <w:rFonts w:cstheme="minorHAnsi"/>
                <w:color w:val="000000"/>
              </w:rPr>
            </w:pPr>
            <w:r w:rsidRPr="67FA5B61">
              <w:t>KEGG Melanoma</w:t>
            </w:r>
          </w:p>
        </w:tc>
        <w:tc>
          <w:tcPr>
            <w:tcW w:w="1417" w:type="dxa"/>
            <w:vAlign w:val="center"/>
          </w:tcPr>
          <w:p w14:paraId="6EEAFE8B" w14:textId="77777777" w:rsidR="00A37210" w:rsidRPr="00C671CB" w:rsidRDefault="00A37210" w:rsidP="001A5083">
            <w:pPr>
              <w:spacing w:after="0" w:line="240" w:lineRule="auto"/>
              <w:jc w:val="center"/>
              <w:rPr>
                <w:rFonts w:cstheme="minorHAnsi"/>
                <w:color w:val="000000"/>
              </w:rPr>
            </w:pPr>
            <w:r w:rsidRPr="67FA5B61">
              <w:t>71</w:t>
            </w:r>
          </w:p>
        </w:tc>
        <w:tc>
          <w:tcPr>
            <w:tcW w:w="1843" w:type="dxa"/>
            <w:vAlign w:val="center"/>
          </w:tcPr>
          <w:p w14:paraId="48341993" w14:textId="77777777" w:rsidR="00A37210" w:rsidRDefault="00A37210" w:rsidP="001A5083">
            <w:pPr>
              <w:spacing w:after="0" w:line="240" w:lineRule="auto"/>
              <w:jc w:val="center"/>
            </w:pPr>
            <w:r>
              <w:t>0.49</w:t>
            </w:r>
          </w:p>
        </w:tc>
        <w:tc>
          <w:tcPr>
            <w:tcW w:w="1559" w:type="dxa"/>
            <w:vAlign w:val="center"/>
          </w:tcPr>
          <w:p w14:paraId="11C5F8A4" w14:textId="77777777" w:rsidR="00A37210" w:rsidRDefault="00A37210" w:rsidP="001A5083">
            <w:pPr>
              <w:spacing w:after="0" w:line="240" w:lineRule="auto"/>
              <w:jc w:val="center"/>
            </w:pPr>
            <w:r>
              <w:t>0.43 (95)</w:t>
            </w:r>
          </w:p>
        </w:tc>
      </w:tr>
    </w:tbl>
    <w:p w14:paraId="281DE60E" w14:textId="77777777" w:rsidR="00A37210" w:rsidRDefault="00A37210" w:rsidP="00A37210">
      <w:pPr>
        <w:rPr>
          <w:b/>
        </w:rPr>
      </w:pPr>
    </w:p>
    <w:p w14:paraId="1E0F8160" w14:textId="14DFEDEE" w:rsidR="00A37210" w:rsidRDefault="00A37210" w:rsidP="00A37210">
      <w:r w:rsidRPr="67FA5B61">
        <w:rPr>
          <w:b/>
          <w:bCs/>
        </w:rPr>
        <w:t xml:space="preserve">Supplementary Table </w:t>
      </w:r>
      <w:r>
        <w:rPr>
          <w:b/>
          <w:bCs/>
        </w:rPr>
        <w:t>2</w:t>
      </w:r>
      <w:r>
        <w:t>: Pathways associated with the phenotypes of the PASS cohort. *Pathways with FDR corrected p-value &lt; 0.05.</w:t>
      </w:r>
    </w:p>
    <w:p w14:paraId="53E314FE" w14:textId="77777777" w:rsidR="00A37210" w:rsidRDefault="00A37210" w:rsidP="00A37210"/>
    <w:p w14:paraId="1068F526" w14:textId="259169A7" w:rsidR="00A37210" w:rsidRDefault="00A37210" w:rsidP="002A0814">
      <w:pPr>
        <w:sectPr w:rsidR="00A37210" w:rsidSect="00834CDA">
          <w:pgSz w:w="11906" w:h="16838"/>
          <w:pgMar w:top="1440" w:right="1440" w:bottom="1440" w:left="1440" w:header="708" w:footer="708" w:gutter="0"/>
          <w:cols w:space="708"/>
          <w:docGrid w:linePitch="360"/>
        </w:sectPr>
      </w:pPr>
    </w:p>
    <w:p w14:paraId="1DCF837C" w14:textId="0A2077AD" w:rsidR="00BE483D" w:rsidRDefault="00BE483D" w:rsidP="00BE483D">
      <w:pPr>
        <w:pStyle w:val="Heading1"/>
      </w:pPr>
      <w:r>
        <w:lastRenderedPageBreak/>
        <w:t xml:space="preserve">Supplementary Figure 1 </w:t>
      </w:r>
    </w:p>
    <w:p w14:paraId="7F72731F" w14:textId="77777777" w:rsidR="00BE483D" w:rsidRDefault="00BE483D" w:rsidP="00BE483D">
      <w:r>
        <w:t>Principal Component Analysis of the PASS cohort with reference datasets (Han Chinese in Beijing (CHB), Japanese in Tokyo (JPT), Yorubans in Ibadan, Nigeria (YRI) and Utah residents with Northern and Western European Ancestry (CEU)</w:t>
      </w:r>
    </w:p>
    <w:p w14:paraId="1FE9D7D0" w14:textId="10F23D4F" w:rsidR="00BE483D" w:rsidRDefault="00BE483D" w:rsidP="00BE483D">
      <w:pPr>
        <w:pStyle w:val="Heading1"/>
      </w:pPr>
      <w:r>
        <w:t xml:space="preserve">Supplementary Figure 2 </w:t>
      </w:r>
    </w:p>
    <w:p w14:paraId="69090281" w14:textId="1CCE9A96" w:rsidR="00BE483D" w:rsidRPr="007D2E8B" w:rsidRDefault="001C2E95" w:rsidP="00BE483D">
      <w:r>
        <w:t xml:space="preserve">Locus Zoom of the </w:t>
      </w:r>
      <w:r w:rsidRPr="008E172D">
        <w:rPr>
          <w:i/>
        </w:rPr>
        <w:t>PDGFD</w:t>
      </w:r>
      <w:r>
        <w:t xml:space="preserve"> region in chromosome 11 with lead SNP rs591118 (A: Peak Cortisol 500nmol/l, B: Peak Cortisol 350nmol/l)</w:t>
      </w:r>
    </w:p>
    <w:p w14:paraId="7DC11A89" w14:textId="73B525C0" w:rsidR="00BE483D" w:rsidRDefault="00BE483D" w:rsidP="00BE483D">
      <w:pPr>
        <w:pStyle w:val="Heading1"/>
      </w:pPr>
      <w:r>
        <w:t xml:space="preserve">Supplementary Figure 3 </w:t>
      </w:r>
    </w:p>
    <w:p w14:paraId="7423E3F1" w14:textId="77777777" w:rsidR="00BE483D" w:rsidRPr="007D2E8B" w:rsidRDefault="00BE483D" w:rsidP="00BE483D">
      <w:r w:rsidRPr="007D2E8B">
        <w:t>Box Whisker plot of peak cortisol against rs591118 genotype for each cohort</w:t>
      </w:r>
    </w:p>
    <w:p w14:paraId="206F2615" w14:textId="77777777" w:rsidR="00B81B96" w:rsidRDefault="00B81B96" w:rsidP="00B81B96"/>
    <w:p w14:paraId="5E36CE4C" w14:textId="63654E33" w:rsidR="00520350" w:rsidRDefault="00520350">
      <w:pPr>
        <w:spacing w:before="0" w:after="160"/>
      </w:pPr>
      <w:r>
        <w:br w:type="page"/>
      </w:r>
    </w:p>
    <w:p w14:paraId="6E7C6BD0" w14:textId="77777777" w:rsidR="00502DEB" w:rsidRDefault="00502DEB" w:rsidP="00B81B96">
      <w:pPr>
        <w:sectPr w:rsidR="00502DEB" w:rsidSect="00B81B96">
          <w:pgSz w:w="16838" w:h="11906" w:orient="landscape"/>
          <w:pgMar w:top="1440" w:right="1440" w:bottom="1440" w:left="1440" w:header="708" w:footer="708" w:gutter="0"/>
          <w:cols w:space="708"/>
          <w:docGrid w:linePitch="360"/>
        </w:sectPr>
      </w:pPr>
    </w:p>
    <w:p w14:paraId="588F66C1" w14:textId="53AAF531" w:rsidR="00520350" w:rsidRDefault="00520350" w:rsidP="00520350">
      <w:pPr>
        <w:pStyle w:val="Heading1"/>
      </w:pPr>
      <w:r>
        <w:lastRenderedPageBreak/>
        <w:t>Supplementary Figure 1</w:t>
      </w:r>
    </w:p>
    <w:p w14:paraId="0D909A2E" w14:textId="77777777" w:rsidR="00520350" w:rsidRDefault="00520350" w:rsidP="00520350">
      <w:pPr>
        <w:pStyle w:val="Heading1"/>
      </w:pPr>
    </w:p>
    <w:p w14:paraId="2C5F7FFD" w14:textId="77777777" w:rsidR="00520350" w:rsidRDefault="00520350" w:rsidP="00520350">
      <w:r w:rsidRPr="00520350">
        <w:rPr>
          <w:noProof/>
          <w:lang w:eastAsia="en-GB" w:bidi="ar-SA"/>
        </w:rPr>
        <w:drawing>
          <wp:inline distT="0" distB="0" distL="0" distR="0" wp14:anchorId="6B8FEF2A" wp14:editId="3C234CC4">
            <wp:extent cx="5731510" cy="573791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737914"/>
                    </a:xfrm>
                    <a:prstGeom prst="rect">
                      <a:avLst/>
                    </a:prstGeom>
                    <a:noFill/>
                    <a:ln>
                      <a:noFill/>
                    </a:ln>
                  </pic:spPr>
                </pic:pic>
              </a:graphicData>
            </a:graphic>
          </wp:inline>
        </w:drawing>
      </w:r>
    </w:p>
    <w:p w14:paraId="4F6E06E4" w14:textId="77777777" w:rsidR="00520350" w:rsidRDefault="00520350" w:rsidP="00520350">
      <w:pPr>
        <w:sectPr w:rsidR="00520350" w:rsidSect="00502DEB">
          <w:pgSz w:w="11906" w:h="16838"/>
          <w:pgMar w:top="1440" w:right="1440" w:bottom="1440" w:left="1440" w:header="708" w:footer="708" w:gutter="0"/>
          <w:cols w:space="708"/>
          <w:docGrid w:linePitch="360"/>
        </w:sectPr>
      </w:pPr>
    </w:p>
    <w:p w14:paraId="0D359BE6" w14:textId="33C73AD6" w:rsidR="00520350" w:rsidRDefault="00520350" w:rsidP="00520350">
      <w:pPr>
        <w:pStyle w:val="Heading1"/>
      </w:pPr>
      <w:r>
        <w:lastRenderedPageBreak/>
        <w:t>Supplementary Figure 2A</w:t>
      </w:r>
    </w:p>
    <w:p w14:paraId="7D28FBA1" w14:textId="33030E4F" w:rsidR="00520350" w:rsidRDefault="00520350" w:rsidP="00520350">
      <w:r w:rsidRPr="00520350">
        <w:rPr>
          <w:noProof/>
          <w:lang w:eastAsia="en-GB" w:bidi="ar-SA"/>
        </w:rPr>
        <w:drawing>
          <wp:inline distT="0" distB="0" distL="0" distR="0" wp14:anchorId="61D299FE" wp14:editId="2D742D55">
            <wp:extent cx="7596412" cy="52768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4789" cy="5282669"/>
                    </a:xfrm>
                    <a:prstGeom prst="rect">
                      <a:avLst/>
                    </a:prstGeom>
                    <a:noFill/>
                    <a:ln>
                      <a:noFill/>
                    </a:ln>
                  </pic:spPr>
                </pic:pic>
              </a:graphicData>
            </a:graphic>
          </wp:inline>
        </w:drawing>
      </w:r>
    </w:p>
    <w:p w14:paraId="1748CDF5" w14:textId="2CB1175C" w:rsidR="00520350" w:rsidRDefault="00520350" w:rsidP="00520350">
      <w:pPr>
        <w:pStyle w:val="Heading1"/>
      </w:pPr>
      <w:r>
        <w:lastRenderedPageBreak/>
        <w:t>Supplementary Figure 2B</w:t>
      </w:r>
    </w:p>
    <w:p w14:paraId="20D9E384" w14:textId="4BD21D80" w:rsidR="00520350" w:rsidRPr="00520350" w:rsidRDefault="00520350" w:rsidP="00520350">
      <w:r w:rsidRPr="00520350">
        <w:rPr>
          <w:noProof/>
          <w:lang w:eastAsia="en-GB" w:bidi="ar-SA"/>
        </w:rPr>
        <w:drawing>
          <wp:inline distT="0" distB="0" distL="0" distR="0" wp14:anchorId="4A3A44E5" wp14:editId="34C92493">
            <wp:extent cx="7510145" cy="5246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18014" cy="5252057"/>
                    </a:xfrm>
                    <a:prstGeom prst="rect">
                      <a:avLst/>
                    </a:prstGeom>
                    <a:noFill/>
                    <a:ln>
                      <a:noFill/>
                    </a:ln>
                  </pic:spPr>
                </pic:pic>
              </a:graphicData>
            </a:graphic>
          </wp:inline>
        </w:drawing>
      </w:r>
    </w:p>
    <w:p w14:paraId="6BC43AD3" w14:textId="77777777" w:rsidR="00520350" w:rsidRDefault="00520350" w:rsidP="00520350">
      <w:pPr>
        <w:pStyle w:val="Heading1"/>
      </w:pPr>
      <w:r>
        <w:lastRenderedPageBreak/>
        <w:t>Supplementary Figure 3</w:t>
      </w:r>
    </w:p>
    <w:p w14:paraId="6B9FC4CF" w14:textId="77777777" w:rsidR="00520350" w:rsidRDefault="00520350" w:rsidP="00520350">
      <w:r>
        <w:rPr>
          <w:noProof/>
          <w:lang w:eastAsia="en-GB" w:bidi="ar-SA"/>
        </w:rPr>
        <w:drawing>
          <wp:inline distT="0" distB="0" distL="0" distR="0" wp14:anchorId="640B79D1" wp14:editId="7AF41CB3">
            <wp:extent cx="8863330" cy="36931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63330" cy="3693160"/>
                    </a:xfrm>
                    <a:prstGeom prst="rect">
                      <a:avLst/>
                    </a:prstGeom>
                  </pic:spPr>
                </pic:pic>
              </a:graphicData>
            </a:graphic>
          </wp:inline>
        </w:drawing>
      </w:r>
    </w:p>
    <w:p w14:paraId="5301FCE3" w14:textId="77777777" w:rsidR="00520350" w:rsidRDefault="00520350" w:rsidP="00520350"/>
    <w:p w14:paraId="26AFE569" w14:textId="77777777" w:rsidR="00520350" w:rsidRDefault="00520350" w:rsidP="00520350">
      <w:pPr>
        <w:sectPr w:rsidR="00520350" w:rsidSect="00520350">
          <w:pgSz w:w="16838" w:h="11906" w:orient="landscape"/>
          <w:pgMar w:top="1440" w:right="1440" w:bottom="1440" w:left="1440" w:header="708" w:footer="708" w:gutter="0"/>
          <w:cols w:space="708"/>
          <w:docGrid w:linePitch="360"/>
        </w:sectPr>
      </w:pPr>
    </w:p>
    <w:p w14:paraId="19DE899F" w14:textId="4A346D87" w:rsidR="00B66344" w:rsidRDefault="67FA5B61" w:rsidP="00502DEB">
      <w:pPr>
        <w:pStyle w:val="Heading1"/>
      </w:pPr>
      <w:r>
        <w:lastRenderedPageBreak/>
        <w:t>References</w:t>
      </w:r>
    </w:p>
    <w:p w14:paraId="0D77A0FD" w14:textId="4B892904" w:rsidR="00080D88" w:rsidRPr="00080D88" w:rsidRDefault="00B66344" w:rsidP="00080D88">
      <w:pPr>
        <w:pStyle w:val="EndNoteBibliographyTitle"/>
      </w:pPr>
      <w:r>
        <w:fldChar w:fldCharType="begin"/>
      </w:r>
      <w:r w:rsidRPr="0081006A">
        <w:instrText xml:space="preserve"> ADDIN EN.REFLIST </w:instrText>
      </w:r>
      <w:r>
        <w:fldChar w:fldCharType="separate"/>
      </w:r>
    </w:p>
    <w:p w14:paraId="68888063" w14:textId="77777777" w:rsidR="00080D88" w:rsidRPr="00080D88" w:rsidRDefault="00080D88" w:rsidP="00080D88">
      <w:pPr>
        <w:pStyle w:val="EndNoteBibliography"/>
        <w:spacing w:after="0"/>
      </w:pPr>
      <w:r w:rsidRPr="00080D88">
        <w:t>1.</w:t>
      </w:r>
      <w:r w:rsidRPr="00080D88">
        <w:tab/>
        <w:t xml:space="preserve">Paton J, Jardine E, McNeill E, et al. Adrenal responses to low dose synthetic ACTH (Synacthen) in children receiving high dose inhaled fluticasone. </w:t>
      </w:r>
      <w:r w:rsidRPr="00080D88">
        <w:rPr>
          <w:i/>
        </w:rPr>
        <w:t>Archives of Disease in Childhood</w:t>
      </w:r>
      <w:r w:rsidRPr="00080D88">
        <w:t xml:space="preserve"> 2006; </w:t>
      </w:r>
      <w:r w:rsidRPr="00080D88">
        <w:rPr>
          <w:b/>
        </w:rPr>
        <w:t>91</w:t>
      </w:r>
      <w:r w:rsidRPr="00080D88">
        <w:t>(10): 808-13.</w:t>
      </w:r>
    </w:p>
    <w:p w14:paraId="4CCF8C24" w14:textId="77777777" w:rsidR="00080D88" w:rsidRPr="00080D88" w:rsidRDefault="00080D88" w:rsidP="00080D88">
      <w:pPr>
        <w:pStyle w:val="EndNoteBibliography"/>
        <w:spacing w:after="0"/>
      </w:pPr>
      <w:r w:rsidRPr="00080D88">
        <w:t>2.</w:t>
      </w:r>
      <w:r w:rsidRPr="00080D88">
        <w:tab/>
        <w:t xml:space="preserve">Hawcutt DB, Jorgensen AL, Wallin N, et al. Adrenal responses to a low‐dose short synacthen test in children with asthma. </w:t>
      </w:r>
      <w:r w:rsidRPr="00080D88">
        <w:rPr>
          <w:i/>
        </w:rPr>
        <w:t>Clinical endocrinology</w:t>
      </w:r>
      <w:r w:rsidRPr="00080D88">
        <w:t xml:space="preserve"> 2015; </w:t>
      </w:r>
      <w:r w:rsidRPr="00080D88">
        <w:rPr>
          <w:b/>
        </w:rPr>
        <w:t>82</w:t>
      </w:r>
      <w:r w:rsidRPr="00080D88">
        <w:t>(5): 648-56.</w:t>
      </w:r>
    </w:p>
    <w:p w14:paraId="761137B2" w14:textId="77777777" w:rsidR="00080D88" w:rsidRPr="00080D88" w:rsidRDefault="00080D88" w:rsidP="00080D88">
      <w:pPr>
        <w:pStyle w:val="EndNoteBibliography"/>
        <w:spacing w:after="0"/>
      </w:pPr>
      <w:r w:rsidRPr="00080D88">
        <w:t>3.</w:t>
      </w:r>
      <w:r w:rsidRPr="00080D88">
        <w:tab/>
        <w:t xml:space="preserve">Zhang LJ, Axelsson I, Chung M, Lau J. Dose Response of Inhaled Corticosteroids in Children With Persistent Asthma: A Systematic Review. </w:t>
      </w:r>
      <w:r w:rsidRPr="00080D88">
        <w:rPr>
          <w:i/>
        </w:rPr>
        <w:t>Pediatrics</w:t>
      </w:r>
      <w:r w:rsidRPr="00080D88">
        <w:t xml:space="preserve"> 2011; </w:t>
      </w:r>
      <w:r w:rsidRPr="00080D88">
        <w:rPr>
          <w:b/>
        </w:rPr>
        <w:t>127</w:t>
      </w:r>
      <w:r w:rsidRPr="00080D88">
        <w:t>(1): 129-38.</w:t>
      </w:r>
    </w:p>
    <w:p w14:paraId="4BD4BD20" w14:textId="77777777" w:rsidR="00080D88" w:rsidRPr="00080D88" w:rsidRDefault="00080D88" w:rsidP="00080D88">
      <w:pPr>
        <w:pStyle w:val="EndNoteBibliography"/>
        <w:spacing w:after="0"/>
      </w:pPr>
      <w:r w:rsidRPr="00080D88">
        <w:t>4.</w:t>
      </w:r>
      <w:r w:rsidRPr="00080D88">
        <w:tab/>
        <w:t>British Guideline on the Management of Asthma. In: (BTS) BTS, (SIGN) SIGN, editors.; 2007. p. 103.</w:t>
      </w:r>
    </w:p>
    <w:p w14:paraId="6044CC9B" w14:textId="60B62DA8" w:rsidR="00080D88" w:rsidRPr="00080D88" w:rsidRDefault="00080D88" w:rsidP="00080D88">
      <w:pPr>
        <w:pStyle w:val="EndNoteBibliography"/>
        <w:spacing w:after="0"/>
      </w:pPr>
      <w:r w:rsidRPr="00080D88">
        <w:t>5.</w:t>
      </w:r>
      <w:r w:rsidRPr="00080D88">
        <w:tab/>
        <w:t xml:space="preserve">Jennings BH, Andersson KE, Johansson SA. </w:t>
      </w:r>
      <w:r w:rsidR="007C69AD" w:rsidRPr="00080D88">
        <w:t>Assessment of systemic effects of inhaled glucocorticosteroids - comparison of the effects of inhaled budesonide and oral prednisolone on adrenal-function and markers of bone turnover</w:t>
      </w:r>
      <w:r w:rsidRPr="00080D88">
        <w:t xml:space="preserve">. </w:t>
      </w:r>
      <w:r w:rsidRPr="00080D88">
        <w:rPr>
          <w:i/>
        </w:rPr>
        <w:t>European Journal of Clinical Pharmacology</w:t>
      </w:r>
      <w:r w:rsidRPr="00080D88">
        <w:t xml:space="preserve"> 1991; </w:t>
      </w:r>
      <w:r w:rsidRPr="00080D88">
        <w:rPr>
          <w:b/>
        </w:rPr>
        <w:t>40</w:t>
      </w:r>
      <w:r w:rsidRPr="00080D88">
        <w:t>(1): 77-82.</w:t>
      </w:r>
    </w:p>
    <w:p w14:paraId="2B9B3A27" w14:textId="77777777" w:rsidR="00080D88" w:rsidRPr="00080D88" w:rsidRDefault="00080D88" w:rsidP="00080D88">
      <w:pPr>
        <w:pStyle w:val="EndNoteBibliography"/>
        <w:spacing w:after="0"/>
      </w:pPr>
      <w:r w:rsidRPr="00080D88">
        <w:t>6.</w:t>
      </w:r>
      <w:r w:rsidRPr="00080D88">
        <w:tab/>
        <w:t xml:space="preserve">Gamble J, Stevenson M, McClean E, Heaney LG. The prevalence of nonadherence in difficult asthma. </w:t>
      </w:r>
      <w:r w:rsidRPr="00080D88">
        <w:rPr>
          <w:i/>
        </w:rPr>
        <w:t>American journal of respiratory and critical care medicine</w:t>
      </w:r>
      <w:r w:rsidRPr="00080D88">
        <w:t xml:space="preserve"> 2009; </w:t>
      </w:r>
      <w:r w:rsidRPr="00080D88">
        <w:rPr>
          <w:b/>
        </w:rPr>
        <w:t>180</w:t>
      </w:r>
      <w:r w:rsidRPr="00080D88">
        <w:t>(9): 817-22.</w:t>
      </w:r>
    </w:p>
    <w:p w14:paraId="4FD761DC" w14:textId="77777777" w:rsidR="00080D88" w:rsidRPr="00080D88" w:rsidRDefault="00080D88" w:rsidP="00080D88">
      <w:pPr>
        <w:pStyle w:val="EndNoteBibliography"/>
        <w:spacing w:after="0"/>
      </w:pPr>
      <w:r w:rsidRPr="00080D88">
        <w:t>7.</w:t>
      </w:r>
      <w:r w:rsidRPr="00080D88">
        <w:tab/>
        <w:t xml:space="preserve">Network BTSSIG. British guideline on the management of asthma. </w:t>
      </w:r>
      <w:r w:rsidRPr="00080D88">
        <w:rPr>
          <w:i/>
        </w:rPr>
        <w:t>Thorax</w:t>
      </w:r>
      <w:r w:rsidRPr="00080D88">
        <w:t xml:space="preserve"> 2014; </w:t>
      </w:r>
      <w:r w:rsidRPr="00080D88">
        <w:rPr>
          <w:b/>
        </w:rPr>
        <w:t>69</w:t>
      </w:r>
      <w:r w:rsidRPr="00080D88">
        <w:t>(Suppl 1): i1-i192.</w:t>
      </w:r>
    </w:p>
    <w:p w14:paraId="6874CBCC" w14:textId="77777777" w:rsidR="00080D88" w:rsidRPr="00080D88" w:rsidRDefault="00080D88" w:rsidP="00080D88">
      <w:pPr>
        <w:pStyle w:val="EndNoteBibliography"/>
        <w:spacing w:after="0"/>
      </w:pPr>
      <w:r w:rsidRPr="00080D88">
        <w:t>8.</w:t>
      </w:r>
      <w:r w:rsidRPr="00080D88">
        <w:tab/>
        <w:t xml:space="preserve">Blair J, Lancaster G, Titman A, et al. Early morning salivary cortisol and cortisone, and adrenal responses to a simplified low‐dose short Synacthen test in children with asthma. </w:t>
      </w:r>
      <w:r w:rsidRPr="00080D88">
        <w:rPr>
          <w:i/>
        </w:rPr>
        <w:t>Clinical endocrinology</w:t>
      </w:r>
      <w:r w:rsidRPr="00080D88">
        <w:t xml:space="preserve"> 2014; </w:t>
      </w:r>
      <w:r w:rsidRPr="00080D88">
        <w:rPr>
          <w:b/>
        </w:rPr>
        <w:t>80</w:t>
      </w:r>
      <w:r w:rsidRPr="00080D88">
        <w:t>(3): 376-83.</w:t>
      </w:r>
    </w:p>
    <w:p w14:paraId="66E43BB2" w14:textId="77777777" w:rsidR="00080D88" w:rsidRPr="00080D88" w:rsidRDefault="00080D88" w:rsidP="00080D88">
      <w:pPr>
        <w:pStyle w:val="EndNoteBibliography"/>
        <w:spacing w:after="0"/>
      </w:pPr>
      <w:r w:rsidRPr="00080D88">
        <w:t>9.</w:t>
      </w:r>
      <w:r w:rsidRPr="00080D88">
        <w:tab/>
        <w:t xml:space="preserve">Magnotti M, Shimshi M. Diagnosing Adrenal Insufficiency: Which Test is Best—The 1-μg or the 250-μg Cosyntropin Stimulation Test? </w:t>
      </w:r>
      <w:r w:rsidRPr="00080D88">
        <w:rPr>
          <w:i/>
        </w:rPr>
        <w:t>Endocrine Practice</w:t>
      </w:r>
      <w:r w:rsidRPr="00080D88">
        <w:t xml:space="preserve"> 2008; </w:t>
      </w:r>
      <w:r w:rsidRPr="00080D88">
        <w:rPr>
          <w:b/>
        </w:rPr>
        <w:t>14</w:t>
      </w:r>
      <w:r w:rsidRPr="00080D88">
        <w:t>(2): 233-8.</w:t>
      </w:r>
    </w:p>
    <w:p w14:paraId="2E53E234" w14:textId="77777777" w:rsidR="00080D88" w:rsidRPr="00080D88" w:rsidRDefault="00080D88" w:rsidP="00080D88">
      <w:pPr>
        <w:pStyle w:val="EndNoteBibliography"/>
        <w:spacing w:after="0"/>
      </w:pPr>
      <w:r w:rsidRPr="00080D88">
        <w:t>10.</w:t>
      </w:r>
      <w:r w:rsidRPr="00080D88">
        <w:tab/>
        <w:t xml:space="preserve">Lekkakou L, Tzanela M, Lymberi M, Consoulas C, Tsagarakis S, Koutsilieris M. Effects of gender and age on hypothalamic–pituitary–adrenal reactivity after pharmacological challenge with low‐dose 1‐μg ACTH test: a prospective study in healthy adults. </w:t>
      </w:r>
      <w:r w:rsidRPr="00080D88">
        <w:rPr>
          <w:i/>
        </w:rPr>
        <w:t>Clinical endocrinology</w:t>
      </w:r>
      <w:r w:rsidRPr="00080D88">
        <w:t xml:space="preserve"> 2013; </w:t>
      </w:r>
      <w:r w:rsidRPr="00080D88">
        <w:rPr>
          <w:b/>
        </w:rPr>
        <w:t>79</w:t>
      </w:r>
      <w:r w:rsidRPr="00080D88">
        <w:t>(5): 683-8.</w:t>
      </w:r>
    </w:p>
    <w:p w14:paraId="551595CB" w14:textId="6E930BBA" w:rsidR="00080D88" w:rsidRPr="00080D88" w:rsidRDefault="00080D88" w:rsidP="00080D88">
      <w:pPr>
        <w:pStyle w:val="EndNoteBibliography"/>
        <w:spacing w:after="0"/>
      </w:pPr>
      <w:r w:rsidRPr="00080D88">
        <w:t>11.</w:t>
      </w:r>
      <w:r w:rsidRPr="00080D88">
        <w:tab/>
        <w:t xml:space="preserve">Hawcutt D, Ghani A, Sutton L, et al. Pharmacogenetics of warfarin in a paediatric population: time in therapeutic range, initial and stable dosing and adverse effects. </w:t>
      </w:r>
      <w:r w:rsidRPr="00080D88">
        <w:rPr>
          <w:i/>
        </w:rPr>
        <w:t>The pharmacogenomics journal</w:t>
      </w:r>
      <w:r w:rsidRPr="00080D88">
        <w:t xml:space="preserve"> 2014</w:t>
      </w:r>
      <w:r w:rsidR="007C69AD">
        <w:t>;</w:t>
      </w:r>
      <w:r w:rsidR="007C69AD" w:rsidRPr="007C69AD">
        <w:t xml:space="preserve"> </w:t>
      </w:r>
      <w:r w:rsidR="007C69AD" w:rsidRPr="007C69AD">
        <w:rPr>
          <w:b/>
        </w:rPr>
        <w:t>14</w:t>
      </w:r>
      <w:r w:rsidR="007C69AD" w:rsidRPr="007C69AD">
        <w:t xml:space="preserve"> (6), 542-548</w:t>
      </w:r>
    </w:p>
    <w:p w14:paraId="5A22F728" w14:textId="77777777" w:rsidR="00080D88" w:rsidRPr="00080D88" w:rsidRDefault="00080D88" w:rsidP="00080D88">
      <w:pPr>
        <w:pStyle w:val="EndNoteBibliography"/>
        <w:spacing w:after="0"/>
      </w:pPr>
      <w:r w:rsidRPr="00080D88">
        <w:t>12.</w:t>
      </w:r>
      <w:r w:rsidRPr="00080D88">
        <w:tab/>
        <w:t xml:space="preserve">Purcell S, Neale B, Todd-Brown K, et al. PLINK: a tool set for whole-genome association and population-based linkage analyses. </w:t>
      </w:r>
      <w:r w:rsidRPr="00080D88">
        <w:rPr>
          <w:i/>
        </w:rPr>
        <w:t>The American Journal of Human Genetics</w:t>
      </w:r>
      <w:r w:rsidRPr="00080D88">
        <w:t xml:space="preserve"> 2007; </w:t>
      </w:r>
      <w:r w:rsidRPr="00080D88">
        <w:rPr>
          <w:b/>
        </w:rPr>
        <w:t>81</w:t>
      </w:r>
      <w:r w:rsidRPr="00080D88">
        <w:t>(3): 559-75.</w:t>
      </w:r>
    </w:p>
    <w:p w14:paraId="1EC0B36F" w14:textId="77777777" w:rsidR="00080D88" w:rsidRPr="00080D88" w:rsidRDefault="00080D88" w:rsidP="00080D88">
      <w:pPr>
        <w:pStyle w:val="EndNoteBibliography"/>
        <w:spacing w:after="0"/>
      </w:pPr>
      <w:r w:rsidRPr="00080D88">
        <w:t>13.</w:t>
      </w:r>
      <w:r w:rsidRPr="00080D88">
        <w:tab/>
        <w:t xml:space="preserve">Zheng X, Levine D, Shen J, Gogarten SM, Laurie C, Weir BS. A high-performance computing toolset for relatedness and principal component analysis of SNP data. </w:t>
      </w:r>
      <w:r w:rsidRPr="00080D88">
        <w:rPr>
          <w:i/>
        </w:rPr>
        <w:t>Bioinformatics</w:t>
      </w:r>
      <w:r w:rsidRPr="00080D88">
        <w:t xml:space="preserve"> 2012; </w:t>
      </w:r>
      <w:r w:rsidRPr="00080D88">
        <w:rPr>
          <w:b/>
        </w:rPr>
        <w:t>28</w:t>
      </w:r>
      <w:r w:rsidRPr="00080D88">
        <w:t>(24): 3326-8.</w:t>
      </w:r>
    </w:p>
    <w:p w14:paraId="36E36B91" w14:textId="77777777" w:rsidR="00080D88" w:rsidRPr="00080D88" w:rsidRDefault="00080D88" w:rsidP="00080D88">
      <w:pPr>
        <w:pStyle w:val="EndNoteBibliography"/>
        <w:spacing w:after="0"/>
      </w:pPr>
      <w:r w:rsidRPr="00080D88">
        <w:t>14.</w:t>
      </w:r>
      <w:r w:rsidRPr="00080D88">
        <w:tab/>
        <w:t xml:space="preserve">Delaneau O, Marchini J, Zagury J-F. A linear complexity phasing method for thousands of genomes. </w:t>
      </w:r>
      <w:r w:rsidRPr="00080D88">
        <w:rPr>
          <w:i/>
        </w:rPr>
        <w:t>Nature methods</w:t>
      </w:r>
      <w:r w:rsidRPr="00080D88">
        <w:t xml:space="preserve"> 2012; </w:t>
      </w:r>
      <w:r w:rsidRPr="00080D88">
        <w:rPr>
          <w:b/>
        </w:rPr>
        <w:t>9</w:t>
      </w:r>
      <w:r w:rsidRPr="00080D88">
        <w:t>(2): 179-81.</w:t>
      </w:r>
    </w:p>
    <w:p w14:paraId="691184D6" w14:textId="77777777" w:rsidR="00080D88" w:rsidRPr="00080D88" w:rsidRDefault="00080D88" w:rsidP="00080D88">
      <w:pPr>
        <w:pStyle w:val="EndNoteBibliography"/>
        <w:spacing w:after="0"/>
      </w:pPr>
      <w:r w:rsidRPr="00080D88">
        <w:t>15.</w:t>
      </w:r>
      <w:r w:rsidRPr="00080D88">
        <w:tab/>
        <w:t xml:space="preserve">Howie B, Marchini J, Stephens M. Genotype imputation with thousands of genomes. </w:t>
      </w:r>
      <w:r w:rsidRPr="00080D88">
        <w:rPr>
          <w:i/>
        </w:rPr>
        <w:t>G3: Genes, Genomes, Genetics</w:t>
      </w:r>
      <w:r w:rsidRPr="00080D88">
        <w:t xml:space="preserve"> 2011; </w:t>
      </w:r>
      <w:r w:rsidRPr="00080D88">
        <w:rPr>
          <w:b/>
        </w:rPr>
        <w:t>1</w:t>
      </w:r>
      <w:r w:rsidRPr="00080D88">
        <w:t>(6): 457-70.</w:t>
      </w:r>
    </w:p>
    <w:p w14:paraId="31032A25" w14:textId="77777777" w:rsidR="00080D88" w:rsidRPr="00080D88" w:rsidRDefault="00080D88" w:rsidP="00080D88">
      <w:pPr>
        <w:pStyle w:val="EndNoteBibliography"/>
        <w:spacing w:after="0"/>
      </w:pPr>
      <w:r w:rsidRPr="00080D88">
        <w:t>16.</w:t>
      </w:r>
      <w:r w:rsidRPr="00080D88">
        <w:tab/>
        <w:t xml:space="preserve">Howie BN, Donnelly P, Marchini J. A flexible and accurate genotype imputation method for the next generation of genome-wide association studies. </w:t>
      </w:r>
      <w:r w:rsidRPr="00080D88">
        <w:rPr>
          <w:i/>
        </w:rPr>
        <w:t>PLoS genetics</w:t>
      </w:r>
      <w:r w:rsidRPr="00080D88">
        <w:t xml:space="preserve"> 2009; </w:t>
      </w:r>
      <w:r w:rsidRPr="00080D88">
        <w:rPr>
          <w:b/>
        </w:rPr>
        <w:t>5</w:t>
      </w:r>
      <w:r w:rsidRPr="00080D88">
        <w:t>(6): e1000529.</w:t>
      </w:r>
    </w:p>
    <w:p w14:paraId="26C440C4" w14:textId="052BD32C" w:rsidR="00080D88" w:rsidRPr="00080D88" w:rsidRDefault="00080D88" w:rsidP="00080D88">
      <w:pPr>
        <w:pStyle w:val="EndNoteBibliography"/>
        <w:spacing w:after="0"/>
      </w:pPr>
      <w:r w:rsidRPr="00080D88">
        <w:lastRenderedPageBreak/>
        <w:t>17.</w:t>
      </w:r>
      <w:r w:rsidRPr="00080D88">
        <w:tab/>
        <w:t xml:space="preserve">foundation TR. The R project for Statistical Computing. </w:t>
      </w:r>
      <w:hyperlink r:id="rId14" w:history="1">
        <w:r w:rsidRPr="00080D88">
          <w:rPr>
            <w:rStyle w:val="Hyperlink"/>
          </w:rPr>
          <w:t>https://www.r-project.org/</w:t>
        </w:r>
      </w:hyperlink>
      <w:r w:rsidRPr="00080D88">
        <w:t xml:space="preserve"> (accessed 19th May 2017).</w:t>
      </w:r>
    </w:p>
    <w:p w14:paraId="504B7703" w14:textId="77777777" w:rsidR="00080D88" w:rsidRPr="00080D88" w:rsidRDefault="00080D88" w:rsidP="00080D88">
      <w:pPr>
        <w:pStyle w:val="EndNoteBibliography"/>
        <w:spacing w:after="0"/>
      </w:pPr>
      <w:r w:rsidRPr="00080D88">
        <w:t>18.</w:t>
      </w:r>
      <w:r w:rsidRPr="00080D88">
        <w:tab/>
        <w:t xml:space="preserve">Bolton JL, Hayward C, Direk N, et al. Genome wide association identifies common variants at the SERPINA6/SERPINA1 locus influencing plasma cortisol and corticosteroid binding globulin. </w:t>
      </w:r>
      <w:r w:rsidRPr="00080D88">
        <w:rPr>
          <w:i/>
        </w:rPr>
        <w:t>PLoS genetics</w:t>
      </w:r>
      <w:r w:rsidRPr="00080D88">
        <w:t xml:space="preserve"> 2014; </w:t>
      </w:r>
      <w:r w:rsidRPr="00080D88">
        <w:rPr>
          <w:b/>
        </w:rPr>
        <w:t>10</w:t>
      </w:r>
      <w:r w:rsidRPr="00080D88">
        <w:t>(7): e1004474.</w:t>
      </w:r>
    </w:p>
    <w:p w14:paraId="6A0C4028" w14:textId="77777777" w:rsidR="00080D88" w:rsidRPr="00080D88" w:rsidRDefault="00080D88" w:rsidP="00080D88">
      <w:pPr>
        <w:pStyle w:val="EndNoteBibliography"/>
        <w:spacing w:after="0"/>
      </w:pPr>
      <w:r w:rsidRPr="00080D88">
        <w:t>19.</w:t>
      </w:r>
      <w:r w:rsidRPr="00080D88">
        <w:tab/>
        <w:t xml:space="preserve">Willer CJ, Li Y, Abecasis GR. METAL: fast and efficient meta-analysis of genomewide association scans. </w:t>
      </w:r>
      <w:r w:rsidRPr="00080D88">
        <w:rPr>
          <w:i/>
        </w:rPr>
        <w:t>Bioinformatics</w:t>
      </w:r>
      <w:r w:rsidRPr="00080D88">
        <w:t xml:space="preserve"> 2010; </w:t>
      </w:r>
      <w:r w:rsidRPr="00080D88">
        <w:rPr>
          <w:b/>
        </w:rPr>
        <w:t>26</w:t>
      </w:r>
      <w:r w:rsidRPr="00080D88">
        <w:t>(17): 2190-1.</w:t>
      </w:r>
    </w:p>
    <w:p w14:paraId="154DE081" w14:textId="77777777" w:rsidR="00080D88" w:rsidRPr="00080D88" w:rsidRDefault="00080D88" w:rsidP="00080D88">
      <w:pPr>
        <w:pStyle w:val="EndNoteBibliography"/>
        <w:spacing w:after="0"/>
      </w:pPr>
      <w:r w:rsidRPr="00080D88">
        <w:t>20.</w:t>
      </w:r>
      <w:r w:rsidRPr="00080D88">
        <w:tab/>
        <w:t xml:space="preserve">Wang K, Li M, Hakonarson H. Analysing biological pathways in genome-wide association studies. </w:t>
      </w:r>
      <w:r w:rsidRPr="00080D88">
        <w:rPr>
          <w:i/>
        </w:rPr>
        <w:t>Nature reviews Genetics</w:t>
      </w:r>
      <w:r w:rsidRPr="00080D88">
        <w:t xml:space="preserve"> 2010; </w:t>
      </w:r>
      <w:r w:rsidRPr="00080D88">
        <w:rPr>
          <w:b/>
        </w:rPr>
        <w:t>11</w:t>
      </w:r>
      <w:r w:rsidRPr="00080D88">
        <w:t>(12): 843-54.</w:t>
      </w:r>
    </w:p>
    <w:p w14:paraId="100FBC2B" w14:textId="77777777" w:rsidR="00080D88" w:rsidRPr="00080D88" w:rsidRDefault="00080D88" w:rsidP="00080D88">
      <w:pPr>
        <w:pStyle w:val="EndNoteBibliography"/>
        <w:spacing w:after="0"/>
      </w:pPr>
      <w:r w:rsidRPr="00080D88">
        <w:t>21.</w:t>
      </w:r>
      <w:r w:rsidRPr="00080D88">
        <w:tab/>
        <w:t xml:space="preserve">Aslibekyan S, Almeida M, Tintle N. Pathway analysis approaches for rare and common variants: Insights from GAW18. </w:t>
      </w:r>
      <w:r w:rsidRPr="00080D88">
        <w:rPr>
          <w:i/>
        </w:rPr>
        <w:t>Genetic epidemiology</w:t>
      </w:r>
      <w:r w:rsidRPr="00080D88">
        <w:t xml:space="preserve"> 2014; </w:t>
      </w:r>
      <w:r w:rsidRPr="00080D88">
        <w:rPr>
          <w:b/>
        </w:rPr>
        <w:t>38</w:t>
      </w:r>
      <w:r w:rsidRPr="00080D88">
        <w:t>(0 1): S86-S91.</w:t>
      </w:r>
    </w:p>
    <w:p w14:paraId="1D5CC406" w14:textId="77777777" w:rsidR="00080D88" w:rsidRPr="00080D88" w:rsidRDefault="00080D88" w:rsidP="00080D88">
      <w:pPr>
        <w:pStyle w:val="EndNoteBibliography"/>
        <w:spacing w:after="0"/>
      </w:pPr>
      <w:r w:rsidRPr="00080D88">
        <w:t>22.</w:t>
      </w:r>
      <w:r w:rsidRPr="00080D88">
        <w:tab/>
        <w:t xml:space="preserve">Kremeyer B, Lopera F, Cox JJ, et al. A Gain-of-Function Mutation in TRPA1 Causes Familial Episodic Pain Syndrome. </w:t>
      </w:r>
      <w:r w:rsidRPr="00080D88">
        <w:rPr>
          <w:i/>
        </w:rPr>
        <w:t>Neuron</w:t>
      </w:r>
      <w:r w:rsidRPr="00080D88">
        <w:t xml:space="preserve"> 2010; </w:t>
      </w:r>
      <w:r w:rsidRPr="00080D88">
        <w:rPr>
          <w:b/>
        </w:rPr>
        <w:t>66</w:t>
      </w:r>
      <w:r w:rsidRPr="00080D88">
        <w:t>(5): 671-80.</w:t>
      </w:r>
    </w:p>
    <w:p w14:paraId="2BFBBC51" w14:textId="77777777" w:rsidR="00080D88" w:rsidRPr="00080D88" w:rsidRDefault="00080D88" w:rsidP="00080D88">
      <w:pPr>
        <w:pStyle w:val="EndNoteBibliography"/>
        <w:spacing w:after="0"/>
      </w:pPr>
      <w:r w:rsidRPr="00080D88">
        <w:t>23.</w:t>
      </w:r>
      <w:r w:rsidRPr="00080D88">
        <w:tab/>
        <w:t xml:space="preserve">Pierce AN, Zhang Z, Fuentes IM, Wang RP, Ryals JM, Christianson JA. Neonatal vaginal irritation results in long-term visceral and somatic hypersensitivity and increased hypothalamic-pituitary-adrenal axis output in female mice. </w:t>
      </w:r>
      <w:r w:rsidRPr="00080D88">
        <w:rPr>
          <w:i/>
        </w:rPr>
        <w:t>Pain</w:t>
      </w:r>
      <w:r w:rsidRPr="00080D88">
        <w:t xml:space="preserve"> 2015; </w:t>
      </w:r>
      <w:r w:rsidRPr="00080D88">
        <w:rPr>
          <w:b/>
        </w:rPr>
        <w:t>156</w:t>
      </w:r>
      <w:r w:rsidRPr="00080D88">
        <w:t>(10): 2021-31.</w:t>
      </w:r>
    </w:p>
    <w:p w14:paraId="4A7CDD4E" w14:textId="77777777" w:rsidR="00080D88" w:rsidRPr="00080D88" w:rsidRDefault="00080D88" w:rsidP="00080D88">
      <w:pPr>
        <w:pStyle w:val="EndNoteBibliography"/>
        <w:spacing w:after="0"/>
      </w:pPr>
      <w:r w:rsidRPr="00080D88">
        <w:t>24.</w:t>
      </w:r>
      <w:r w:rsidRPr="00080D88">
        <w:tab/>
        <w:t xml:space="preserve">Schmahl J, Rizzolo K, Soriano P. The PDGF signaling pathway controls multiple steroid-producing lineages. </w:t>
      </w:r>
      <w:r w:rsidRPr="00080D88">
        <w:rPr>
          <w:i/>
        </w:rPr>
        <w:t>Genes &amp; development</w:t>
      </w:r>
      <w:r w:rsidRPr="00080D88">
        <w:t xml:space="preserve"> 2008; </w:t>
      </w:r>
      <w:r w:rsidRPr="00080D88">
        <w:rPr>
          <w:b/>
        </w:rPr>
        <w:t>22</w:t>
      </w:r>
      <w:r w:rsidRPr="00080D88">
        <w:t>(23): 3255-67.</w:t>
      </w:r>
    </w:p>
    <w:p w14:paraId="7886143B" w14:textId="77777777" w:rsidR="00080D88" w:rsidRPr="00080D88" w:rsidRDefault="00080D88" w:rsidP="00080D88">
      <w:pPr>
        <w:pStyle w:val="EndNoteBibliography"/>
      </w:pPr>
      <w:r w:rsidRPr="00080D88">
        <w:t>25.</w:t>
      </w:r>
      <w:r w:rsidRPr="00080D88">
        <w:tab/>
        <w:t xml:space="preserve">Wilmot Roussel H, Vezzosi D, Rizk-Rabin M, et al. Identification of gene expression profiles associated with cortisol secretion in adrenocortical adenomas. </w:t>
      </w:r>
      <w:r w:rsidRPr="00080D88">
        <w:rPr>
          <w:i/>
        </w:rPr>
        <w:t>The Journal of Clinical Endocrinology &amp; Metabolism</w:t>
      </w:r>
      <w:r w:rsidRPr="00080D88">
        <w:t xml:space="preserve"> 2013; </w:t>
      </w:r>
      <w:r w:rsidRPr="00080D88">
        <w:rPr>
          <w:b/>
        </w:rPr>
        <w:t>98</w:t>
      </w:r>
      <w:r w:rsidRPr="00080D88">
        <w:t>(6): E1109-E21.</w:t>
      </w:r>
    </w:p>
    <w:p w14:paraId="2C49F23D" w14:textId="3DF9D5CF" w:rsidR="00C102F8" w:rsidRPr="00B81B96" w:rsidRDefault="00B66344" w:rsidP="00B81B96">
      <w:r>
        <w:fldChar w:fldCharType="end"/>
      </w:r>
    </w:p>
    <w:sectPr w:rsidR="00C102F8" w:rsidRPr="00B81B96" w:rsidSect="005203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8B0A0" w14:textId="77777777" w:rsidR="00597404" w:rsidRDefault="00597404" w:rsidP="004D4F91">
      <w:pPr>
        <w:spacing w:after="0" w:line="240" w:lineRule="auto"/>
      </w:pPr>
      <w:r>
        <w:separator/>
      </w:r>
    </w:p>
  </w:endnote>
  <w:endnote w:type="continuationSeparator" w:id="0">
    <w:p w14:paraId="122ECB63" w14:textId="77777777" w:rsidR="00597404" w:rsidRDefault="00597404" w:rsidP="004D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Times New Roman">
    <w:altName w:val="Times New Roman"/>
    <w:panose1 w:val="00000000000000000000"/>
    <w:charset w:val="00"/>
    <w:family w:val="roman"/>
    <w:notTrueType/>
    <w:pitch w:val="default"/>
  </w:font>
  <w:font w:name="Calibri,Times New Roman">
    <w:altName w:val="Calibri"/>
    <w:panose1 w:val="00000000000000000000"/>
    <w:charset w:val="00"/>
    <w:family w:val="roman"/>
    <w:notTrueType/>
    <w:pitch w:val="default"/>
  </w:font>
  <w:font w:name="MinionPro-Regular">
    <w:altName w:val="Times New Roman"/>
    <w:panose1 w:val="00000000000000000000"/>
    <w:charset w:val="A1"/>
    <w:family w:val="roman"/>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208175"/>
      <w:docPartObj>
        <w:docPartGallery w:val="Page Numbers (Bottom of Page)"/>
        <w:docPartUnique/>
      </w:docPartObj>
    </w:sdtPr>
    <w:sdtEndPr/>
    <w:sdtContent>
      <w:p w14:paraId="734BCCA8" w14:textId="208B14CD" w:rsidR="00CE7B73" w:rsidRDefault="00CE7B73">
        <w:pPr>
          <w:pStyle w:val="Footer"/>
        </w:pPr>
        <w:r>
          <w:rPr>
            <w:noProof/>
            <w:lang w:eastAsia="en-GB" w:bidi="ar-SA"/>
          </w:rPr>
          <mc:AlternateContent>
            <mc:Choice Requires="wps">
              <w:drawing>
                <wp:anchor distT="0" distB="0" distL="114300" distR="114300" simplePos="0" relativeHeight="251660288" behindDoc="0" locked="0" layoutInCell="1" allowOverlap="1" wp14:anchorId="175D824B" wp14:editId="365ADEBB">
                  <wp:simplePos x="0" y="0"/>
                  <wp:positionH relativeFrom="margin">
                    <wp:posOffset>2581275</wp:posOffset>
                  </wp:positionH>
                  <wp:positionV relativeFrom="bottomMargin">
                    <wp:posOffset>337819</wp:posOffset>
                  </wp:positionV>
                  <wp:extent cx="551815" cy="333375"/>
                  <wp:effectExtent l="19050" t="19050" r="17145" b="2857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333375"/>
                          </a:xfrm>
                          <a:prstGeom prst="bracketPair">
                            <a:avLst>
                              <a:gd name="adj" fmla="val 16667"/>
                            </a:avLst>
                          </a:prstGeom>
                          <a:solidFill>
                            <a:srgbClr val="FFFFFF"/>
                          </a:solidFill>
                          <a:ln w="28575">
                            <a:solidFill>
                              <a:srgbClr val="808080"/>
                            </a:solidFill>
                            <a:round/>
                            <a:headEnd/>
                            <a:tailEnd/>
                          </a:ln>
                        </wps:spPr>
                        <wps:txbx>
                          <w:txbxContent>
                            <w:p w14:paraId="61E81578" w14:textId="4E668846" w:rsidR="00CE7B73" w:rsidRDefault="00CE7B73">
                              <w:pPr>
                                <w:jc w:val="center"/>
                              </w:pPr>
                              <w:r>
                                <w:fldChar w:fldCharType="begin"/>
                              </w:r>
                              <w:r w:rsidRPr="00C7653E">
                                <w:instrText xml:space="preserve"> PAGE    \* MERGEFORMAT </w:instrText>
                              </w:r>
                              <w:r>
                                <w:fldChar w:fldCharType="separate"/>
                              </w:r>
                              <w:r w:rsidR="00A16B62">
                                <w:rPr>
                                  <w:noProof/>
                                </w:rPr>
                                <w:t>13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75D82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margin-left:203.25pt;margin-top:26.6pt;width:43.45pt;height:26.25pt;z-index:251660288;visibility:visible;mso-wrap-style:square;mso-width-percent:100;mso-height-percent:0;mso-wrap-distance-left:9pt;mso-wrap-distance-top:0;mso-wrap-distance-right:9pt;mso-wrap-distance-bottom:0;mso-position-horizontal:absolute;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" filled="t" strokecolor="gray" strokeweight="2.25pt">
                  <v:textbox inset=",0,,0">
                    <w:txbxContent>
                      <w:p w14:paraId="61E81578" w14:textId="4E668846" w:rsidR="00CE7B73" w:rsidRDefault="00CE7B73">
                        <w:pPr>
                          <w:jc w:val="center"/>
                        </w:pPr>
                        <w:r>
                          <w:fldChar w:fldCharType="begin"/>
                        </w:r>
                        <w:r w:rsidRPr="00C7653E">
                          <w:instrText xml:space="preserve"> PAGE    \* MERGEFORMAT </w:instrText>
                        </w:r>
                        <w:r>
                          <w:fldChar w:fldCharType="separate"/>
                        </w:r>
                        <w:r w:rsidR="00A16B62">
                          <w:rPr>
                            <w:noProof/>
                          </w:rPr>
                          <w:t>13</w:t>
                        </w:r>
                        <w:r>
                          <w:rPr>
                            <w:noProof/>
                          </w:rPr>
                          <w:fldChar w:fldCharType="end"/>
                        </w:r>
                      </w:p>
                    </w:txbxContent>
                  </v:textbox>
                  <w10:wrap anchorx="margin" anchory="margin"/>
                </v:shape>
              </w:pict>
            </mc:Fallback>
          </mc:AlternateContent>
        </w:r>
        <w:r>
          <w:rPr>
            <w:noProof/>
            <w:lang w:eastAsia="en-GB" w:bidi="ar-SA"/>
          </w:rPr>
          <mc:AlternateContent>
            <mc:Choice Requires="wps">
              <w:drawing>
                <wp:anchor distT="0" distB="0" distL="114300" distR="114300" simplePos="0" relativeHeight="251659264" behindDoc="0" locked="0" layoutInCell="1" allowOverlap="1" wp14:anchorId="795C3848" wp14:editId="12F61796">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w16se="http://schemas.microsoft.com/office/word/2015/wordml/symex" xmlns:cx2="http://schemas.microsoft.com/office/drawing/2015/10/21/chartex" xmlns:cx1="http://schemas.microsoft.com/office/drawing/2015/9/8/chartex" xmlns:cx="http://schemas.microsoft.com/office/drawing/2014/chartex">
              <w:pict>
                <v:shapetype w14:anchorId="58261541"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I0aZp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6D589" w14:textId="77777777" w:rsidR="00597404" w:rsidRDefault="00597404" w:rsidP="004D4F91">
      <w:pPr>
        <w:spacing w:after="0" w:line="240" w:lineRule="auto"/>
      </w:pPr>
      <w:r>
        <w:separator/>
      </w:r>
    </w:p>
  </w:footnote>
  <w:footnote w:type="continuationSeparator" w:id="0">
    <w:p w14:paraId="2BFE706A" w14:textId="77777777" w:rsidR="00597404" w:rsidRDefault="00597404" w:rsidP="004D4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3C266" w14:textId="4E342556" w:rsidR="00CE7B73" w:rsidRDefault="00CE7B73">
    <w:pPr>
      <w:pStyle w:val="Header"/>
    </w:pPr>
    <w:r>
      <w:t>Version 17</w:t>
    </w:r>
    <w:r>
      <w:tab/>
    </w:r>
    <w:r>
      <w:tab/>
      <w:t>9</w:t>
    </w:r>
    <w:r w:rsidRPr="00D0383C">
      <w:rPr>
        <w:vertAlign w:val="superscript"/>
      </w:rPr>
      <w:t>th</w:t>
    </w:r>
    <w:r>
      <w:t xml:space="preserve">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77413"/>
    <w:multiLevelType w:val="hybridMultilevel"/>
    <w:tmpl w:val="95DA36C6"/>
    <w:lvl w:ilvl="0" w:tplc="5FCCB3A6">
      <w:start w:val="1"/>
      <w:numFmt w:val="decimal"/>
      <w:lvlText w:val="%1)"/>
      <w:lvlJc w:val="left"/>
      <w:pPr>
        <w:ind w:left="2643" w:hanging="93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11D2CE3"/>
    <w:multiLevelType w:val="hybridMultilevel"/>
    <w:tmpl w:val="EC90FD3E"/>
    <w:lvl w:ilvl="0" w:tplc="E70659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C2B06"/>
    <w:multiLevelType w:val="hybridMultilevel"/>
    <w:tmpl w:val="A978F13E"/>
    <w:lvl w:ilvl="0" w:tplc="781423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Bibli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szexae9xfxzweazvnvz9zhwd0srt5rv0at&quot;&gt;My EndNote Library&lt;record-ids&gt;&lt;item&gt;11&lt;/item&gt;&lt;item&gt;25&lt;/item&gt;&lt;item&gt;31&lt;/item&gt;&lt;item&gt;32&lt;/item&gt;&lt;item&gt;34&lt;/item&gt;&lt;item&gt;41&lt;/item&gt;&lt;item&gt;60&lt;/item&gt;&lt;item&gt;94&lt;/item&gt;&lt;item&gt;317&lt;/item&gt;&lt;item&gt;318&lt;/item&gt;&lt;item&gt;319&lt;/item&gt;&lt;item&gt;320&lt;/item&gt;&lt;item&gt;321&lt;/item&gt;&lt;/record-ids&gt;&lt;/item&gt;&lt;/Libraries&gt;"/>
  </w:docVars>
  <w:rsids>
    <w:rsidRoot w:val="00807F6B"/>
    <w:rsid w:val="00031656"/>
    <w:rsid w:val="000447E4"/>
    <w:rsid w:val="00045B26"/>
    <w:rsid w:val="0005744F"/>
    <w:rsid w:val="00070B43"/>
    <w:rsid w:val="00080D88"/>
    <w:rsid w:val="00095AE9"/>
    <w:rsid w:val="00096793"/>
    <w:rsid w:val="000A2E20"/>
    <w:rsid w:val="000B32E7"/>
    <w:rsid w:val="000C677C"/>
    <w:rsid w:val="00120842"/>
    <w:rsid w:val="00143014"/>
    <w:rsid w:val="0015463C"/>
    <w:rsid w:val="001A5083"/>
    <w:rsid w:val="001B549C"/>
    <w:rsid w:val="001C2E95"/>
    <w:rsid w:val="002360B8"/>
    <w:rsid w:val="00245DD6"/>
    <w:rsid w:val="002743D2"/>
    <w:rsid w:val="00291E52"/>
    <w:rsid w:val="002A0814"/>
    <w:rsid w:val="002A2156"/>
    <w:rsid w:val="002C6A52"/>
    <w:rsid w:val="002E52B7"/>
    <w:rsid w:val="002F1C87"/>
    <w:rsid w:val="002F472C"/>
    <w:rsid w:val="00350EFF"/>
    <w:rsid w:val="00386053"/>
    <w:rsid w:val="003935A0"/>
    <w:rsid w:val="003D6727"/>
    <w:rsid w:val="003F495F"/>
    <w:rsid w:val="00402449"/>
    <w:rsid w:val="004210B8"/>
    <w:rsid w:val="004734CC"/>
    <w:rsid w:val="00476F7E"/>
    <w:rsid w:val="00495A6E"/>
    <w:rsid w:val="004B0137"/>
    <w:rsid w:val="004B7E6A"/>
    <w:rsid w:val="004D4F91"/>
    <w:rsid w:val="00502DEB"/>
    <w:rsid w:val="00512D6F"/>
    <w:rsid w:val="00520350"/>
    <w:rsid w:val="00562C39"/>
    <w:rsid w:val="00581370"/>
    <w:rsid w:val="00597404"/>
    <w:rsid w:val="00597504"/>
    <w:rsid w:val="005A0E50"/>
    <w:rsid w:val="005A2407"/>
    <w:rsid w:val="005C0077"/>
    <w:rsid w:val="005C09B1"/>
    <w:rsid w:val="005F022E"/>
    <w:rsid w:val="00615742"/>
    <w:rsid w:val="00635E3D"/>
    <w:rsid w:val="00645B11"/>
    <w:rsid w:val="00646E90"/>
    <w:rsid w:val="0065498A"/>
    <w:rsid w:val="0066326C"/>
    <w:rsid w:val="006808B9"/>
    <w:rsid w:val="006868E7"/>
    <w:rsid w:val="006B2258"/>
    <w:rsid w:val="006B5206"/>
    <w:rsid w:val="006C3415"/>
    <w:rsid w:val="006D55E1"/>
    <w:rsid w:val="006D5C3C"/>
    <w:rsid w:val="00772FCD"/>
    <w:rsid w:val="00781895"/>
    <w:rsid w:val="007A7ADE"/>
    <w:rsid w:val="007C69AD"/>
    <w:rsid w:val="00807F6B"/>
    <w:rsid w:val="0081006A"/>
    <w:rsid w:val="00823501"/>
    <w:rsid w:val="00834CDA"/>
    <w:rsid w:val="00847B71"/>
    <w:rsid w:val="00860621"/>
    <w:rsid w:val="008B5BCE"/>
    <w:rsid w:val="008C4E54"/>
    <w:rsid w:val="008E7EAC"/>
    <w:rsid w:val="00904872"/>
    <w:rsid w:val="00926775"/>
    <w:rsid w:val="00945E99"/>
    <w:rsid w:val="00963E32"/>
    <w:rsid w:val="009958FA"/>
    <w:rsid w:val="009F0519"/>
    <w:rsid w:val="00A16B62"/>
    <w:rsid w:val="00A25662"/>
    <w:rsid w:val="00A37210"/>
    <w:rsid w:val="00A50055"/>
    <w:rsid w:val="00A51C0B"/>
    <w:rsid w:val="00A5395A"/>
    <w:rsid w:val="00A6650A"/>
    <w:rsid w:val="00A84C42"/>
    <w:rsid w:val="00A9075C"/>
    <w:rsid w:val="00A91B41"/>
    <w:rsid w:val="00AA2475"/>
    <w:rsid w:val="00B11423"/>
    <w:rsid w:val="00B35A90"/>
    <w:rsid w:val="00B425B0"/>
    <w:rsid w:val="00B66344"/>
    <w:rsid w:val="00B81B96"/>
    <w:rsid w:val="00BC66D4"/>
    <w:rsid w:val="00BE14A4"/>
    <w:rsid w:val="00BE483D"/>
    <w:rsid w:val="00BF346F"/>
    <w:rsid w:val="00C05907"/>
    <w:rsid w:val="00C102F8"/>
    <w:rsid w:val="00C15E66"/>
    <w:rsid w:val="00C7653E"/>
    <w:rsid w:val="00CD7FCD"/>
    <w:rsid w:val="00CE7B73"/>
    <w:rsid w:val="00D022B2"/>
    <w:rsid w:val="00D0383C"/>
    <w:rsid w:val="00D20BFE"/>
    <w:rsid w:val="00D31C14"/>
    <w:rsid w:val="00D33977"/>
    <w:rsid w:val="00D7618D"/>
    <w:rsid w:val="00D8734E"/>
    <w:rsid w:val="00DA3FE6"/>
    <w:rsid w:val="00DE4670"/>
    <w:rsid w:val="00DF3A8E"/>
    <w:rsid w:val="00E221B3"/>
    <w:rsid w:val="00E3525D"/>
    <w:rsid w:val="00E63C19"/>
    <w:rsid w:val="00E73CA0"/>
    <w:rsid w:val="00E8187C"/>
    <w:rsid w:val="00EE72FC"/>
    <w:rsid w:val="00EF340D"/>
    <w:rsid w:val="00F03D35"/>
    <w:rsid w:val="00F4310C"/>
    <w:rsid w:val="00F50AE3"/>
    <w:rsid w:val="00F91A31"/>
    <w:rsid w:val="00F9325B"/>
    <w:rsid w:val="67FA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672A1"/>
  <w15:docId w15:val="{6F648844-F3A8-4A32-8A48-99484F87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77"/>
    <w:pPr>
      <w:spacing w:before="120" w:after="280"/>
    </w:pPr>
    <w:rPr>
      <w:lang w:val="en-GB"/>
    </w:rPr>
  </w:style>
  <w:style w:type="paragraph" w:styleId="Heading1">
    <w:name w:val="heading 1"/>
    <w:basedOn w:val="Normal"/>
    <w:next w:val="Normal"/>
    <w:link w:val="Heading1Char"/>
    <w:uiPriority w:val="9"/>
    <w:qFormat/>
    <w:rsid w:val="002A08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7F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7F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7F6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807F6B"/>
    <w:rPr>
      <w:rFonts w:asciiTheme="majorHAnsi" w:eastAsiaTheme="majorEastAsia" w:hAnsiTheme="majorHAnsi" w:cstheme="majorBidi"/>
      <w:color w:val="1F4D78" w:themeColor="accent1" w:themeShade="7F"/>
      <w:sz w:val="24"/>
      <w:szCs w:val="24"/>
      <w:lang w:val="en-GB"/>
    </w:rPr>
  </w:style>
  <w:style w:type="paragraph" w:styleId="ListParagraph">
    <w:name w:val="List Paragraph"/>
    <w:basedOn w:val="Normal"/>
    <w:uiPriority w:val="34"/>
    <w:qFormat/>
    <w:rsid w:val="00807F6B"/>
    <w:pPr>
      <w:ind w:left="720"/>
      <w:contextualSpacing/>
    </w:pPr>
  </w:style>
  <w:style w:type="paragraph" w:styleId="Header">
    <w:name w:val="header"/>
    <w:basedOn w:val="Normal"/>
    <w:link w:val="HeaderChar"/>
    <w:uiPriority w:val="99"/>
    <w:unhideWhenUsed/>
    <w:rsid w:val="004D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F91"/>
    <w:rPr>
      <w:lang w:val="en-GB"/>
    </w:rPr>
  </w:style>
  <w:style w:type="paragraph" w:styleId="Footer">
    <w:name w:val="footer"/>
    <w:basedOn w:val="Normal"/>
    <w:link w:val="FooterChar"/>
    <w:uiPriority w:val="99"/>
    <w:unhideWhenUsed/>
    <w:rsid w:val="004D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F91"/>
    <w:rPr>
      <w:lang w:val="en-GB"/>
    </w:rPr>
  </w:style>
  <w:style w:type="character" w:customStyle="1" w:styleId="Heading1Char">
    <w:name w:val="Heading 1 Char"/>
    <w:basedOn w:val="DefaultParagraphFont"/>
    <w:link w:val="Heading1"/>
    <w:uiPriority w:val="9"/>
    <w:rsid w:val="002A0814"/>
    <w:rPr>
      <w:rFonts w:asciiTheme="majorHAnsi" w:eastAsiaTheme="majorEastAsia" w:hAnsiTheme="majorHAnsi" w:cstheme="majorBidi"/>
      <w:color w:val="2E74B5" w:themeColor="accent1" w:themeShade="BF"/>
      <w:sz w:val="32"/>
      <w:szCs w:val="32"/>
      <w:lang w:val="en-GB"/>
    </w:rPr>
  </w:style>
  <w:style w:type="paragraph" w:styleId="Title">
    <w:name w:val="Title"/>
    <w:basedOn w:val="Normal"/>
    <w:next w:val="Normal"/>
    <w:link w:val="TitleChar"/>
    <w:uiPriority w:val="10"/>
    <w:qFormat/>
    <w:rsid w:val="0086062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en-GB" w:bidi="ar-SA"/>
    </w:rPr>
  </w:style>
  <w:style w:type="character" w:customStyle="1" w:styleId="TitleChar">
    <w:name w:val="Title Char"/>
    <w:basedOn w:val="DefaultParagraphFont"/>
    <w:link w:val="Title"/>
    <w:uiPriority w:val="10"/>
    <w:rsid w:val="00860621"/>
    <w:rPr>
      <w:rFonts w:ascii="Cambria" w:eastAsia="Times New Roman" w:hAnsi="Cambria" w:cs="Times New Roman"/>
      <w:color w:val="343434"/>
      <w:spacing w:val="5"/>
      <w:kern w:val="28"/>
      <w:sz w:val="52"/>
      <w:szCs w:val="52"/>
      <w:lang w:val="en-GB" w:eastAsia="en-GB" w:bidi="ar-SA"/>
    </w:rPr>
  </w:style>
  <w:style w:type="paragraph" w:styleId="Subtitle">
    <w:name w:val="Subtitle"/>
    <w:basedOn w:val="Normal"/>
    <w:next w:val="Normal"/>
    <w:link w:val="SubtitleChar"/>
    <w:uiPriority w:val="11"/>
    <w:qFormat/>
    <w:rsid w:val="00860621"/>
    <w:pPr>
      <w:numPr>
        <w:ilvl w:val="1"/>
      </w:numPr>
      <w:spacing w:after="200" w:line="276" w:lineRule="auto"/>
    </w:pPr>
    <w:rPr>
      <w:rFonts w:ascii="Cambria" w:eastAsia="Times New Roman" w:hAnsi="Cambria" w:cs="Times New Roman"/>
      <w:i/>
      <w:iCs/>
      <w:color w:val="2DA2BF"/>
      <w:spacing w:val="15"/>
      <w:sz w:val="24"/>
      <w:szCs w:val="24"/>
      <w:lang w:eastAsia="en-GB" w:bidi="ar-SA"/>
    </w:rPr>
  </w:style>
  <w:style w:type="character" w:customStyle="1" w:styleId="SubtitleChar">
    <w:name w:val="Subtitle Char"/>
    <w:basedOn w:val="DefaultParagraphFont"/>
    <w:link w:val="Subtitle"/>
    <w:uiPriority w:val="11"/>
    <w:rsid w:val="00860621"/>
    <w:rPr>
      <w:rFonts w:ascii="Cambria" w:eastAsia="Times New Roman" w:hAnsi="Cambria" w:cs="Times New Roman"/>
      <w:i/>
      <w:iCs/>
      <w:color w:val="2DA2BF"/>
      <w:spacing w:val="15"/>
      <w:sz w:val="24"/>
      <w:szCs w:val="24"/>
      <w:lang w:val="en-GB" w:eastAsia="en-GB" w:bidi="ar-SA"/>
    </w:rPr>
  </w:style>
  <w:style w:type="character" w:styleId="CommentReference">
    <w:name w:val="annotation reference"/>
    <w:basedOn w:val="DefaultParagraphFont"/>
    <w:unhideWhenUsed/>
    <w:rsid w:val="00F03D35"/>
    <w:rPr>
      <w:sz w:val="16"/>
      <w:szCs w:val="16"/>
    </w:rPr>
  </w:style>
  <w:style w:type="paragraph" w:styleId="CommentText">
    <w:name w:val="annotation text"/>
    <w:basedOn w:val="Normal"/>
    <w:link w:val="CommentTextChar"/>
    <w:unhideWhenUsed/>
    <w:rsid w:val="00F03D35"/>
    <w:pPr>
      <w:spacing w:line="240" w:lineRule="auto"/>
    </w:pPr>
    <w:rPr>
      <w:sz w:val="20"/>
      <w:szCs w:val="20"/>
    </w:rPr>
  </w:style>
  <w:style w:type="character" w:customStyle="1" w:styleId="CommentTextChar">
    <w:name w:val="Comment Text Char"/>
    <w:basedOn w:val="DefaultParagraphFont"/>
    <w:link w:val="CommentText"/>
    <w:rsid w:val="00F03D35"/>
    <w:rPr>
      <w:sz w:val="20"/>
      <w:szCs w:val="20"/>
      <w:lang w:val="en-GB"/>
    </w:rPr>
  </w:style>
  <w:style w:type="paragraph" w:styleId="CommentSubject">
    <w:name w:val="annotation subject"/>
    <w:basedOn w:val="CommentText"/>
    <w:next w:val="CommentText"/>
    <w:link w:val="CommentSubjectChar"/>
    <w:uiPriority w:val="99"/>
    <w:semiHidden/>
    <w:unhideWhenUsed/>
    <w:rsid w:val="00F03D35"/>
    <w:rPr>
      <w:b/>
      <w:bCs/>
    </w:rPr>
  </w:style>
  <w:style w:type="character" w:customStyle="1" w:styleId="CommentSubjectChar">
    <w:name w:val="Comment Subject Char"/>
    <w:basedOn w:val="CommentTextChar"/>
    <w:link w:val="CommentSubject"/>
    <w:uiPriority w:val="99"/>
    <w:semiHidden/>
    <w:rsid w:val="00F03D35"/>
    <w:rPr>
      <w:b/>
      <w:bCs/>
      <w:sz w:val="20"/>
      <w:szCs w:val="20"/>
      <w:lang w:val="en-GB"/>
    </w:rPr>
  </w:style>
  <w:style w:type="paragraph" w:styleId="BalloonText">
    <w:name w:val="Balloon Text"/>
    <w:basedOn w:val="Normal"/>
    <w:link w:val="BalloonTextChar"/>
    <w:uiPriority w:val="99"/>
    <w:semiHidden/>
    <w:unhideWhenUsed/>
    <w:rsid w:val="00F03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35"/>
    <w:rPr>
      <w:rFonts w:ascii="Tahoma" w:hAnsi="Tahoma" w:cs="Tahoma"/>
      <w:sz w:val="16"/>
      <w:szCs w:val="16"/>
      <w:lang w:val="en-GB"/>
    </w:rPr>
  </w:style>
  <w:style w:type="table" w:styleId="TableGrid">
    <w:name w:val="Table Grid"/>
    <w:basedOn w:val="TableNormal"/>
    <w:uiPriority w:val="39"/>
    <w:rsid w:val="00945E99"/>
    <w:pPr>
      <w:spacing w:after="200" w:line="276" w:lineRule="auto"/>
    </w:pPr>
    <w:rPr>
      <w:rFonts w:eastAsiaTheme="minorEastAsia"/>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6634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66344"/>
    <w:rPr>
      <w:rFonts w:ascii="Calibri" w:hAnsi="Calibri" w:cs="Calibri"/>
      <w:noProof/>
    </w:rPr>
  </w:style>
  <w:style w:type="paragraph" w:customStyle="1" w:styleId="EndNoteBibliography">
    <w:name w:val="EndNote Bibliography"/>
    <w:basedOn w:val="Normal"/>
    <w:link w:val="EndNoteBibliographyChar"/>
    <w:rsid w:val="00B6634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66344"/>
    <w:rPr>
      <w:rFonts w:ascii="Calibri" w:hAnsi="Calibri" w:cs="Calibri"/>
      <w:noProof/>
    </w:rPr>
  </w:style>
  <w:style w:type="character" w:styleId="Hyperlink">
    <w:name w:val="Hyperlink"/>
    <w:basedOn w:val="DefaultParagraphFont"/>
    <w:uiPriority w:val="99"/>
    <w:unhideWhenUsed/>
    <w:rsid w:val="003F495F"/>
    <w:rPr>
      <w:color w:val="0563C1" w:themeColor="hyperlink"/>
      <w:u w:val="single"/>
    </w:rPr>
  </w:style>
  <w:style w:type="character" w:customStyle="1" w:styleId="UnresolvedMention1">
    <w:name w:val="Unresolved Mention1"/>
    <w:basedOn w:val="DefaultParagraphFont"/>
    <w:uiPriority w:val="99"/>
    <w:semiHidden/>
    <w:unhideWhenUsed/>
    <w:rsid w:val="00AA2475"/>
    <w:rPr>
      <w:color w:val="808080"/>
      <w:shd w:val="clear" w:color="auto" w:fill="E6E6E6"/>
    </w:rPr>
  </w:style>
  <w:style w:type="paragraph" w:styleId="NoSpacing">
    <w:name w:val="No Spacing"/>
    <w:uiPriority w:val="1"/>
    <w:qFormat/>
    <w:rsid w:val="00D33977"/>
    <w:pPr>
      <w:spacing w:after="0" w:line="240" w:lineRule="auto"/>
    </w:pPr>
    <w:rPr>
      <w:lang w:val="en-GB"/>
    </w:rPr>
  </w:style>
  <w:style w:type="table" w:styleId="GridTable2-Accent5">
    <w:name w:val="Grid Table 2 Accent 5"/>
    <w:basedOn w:val="TableNormal"/>
    <w:uiPriority w:val="47"/>
    <w:rsid w:val="005C007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8627">
      <w:bodyDiv w:val="1"/>
      <w:marLeft w:val="0"/>
      <w:marRight w:val="0"/>
      <w:marTop w:val="0"/>
      <w:marBottom w:val="0"/>
      <w:divBdr>
        <w:top w:val="none" w:sz="0" w:space="0" w:color="auto"/>
        <w:left w:val="none" w:sz="0" w:space="0" w:color="auto"/>
        <w:bottom w:val="none" w:sz="0" w:space="0" w:color="auto"/>
        <w:right w:val="none" w:sz="0" w:space="0" w:color="auto"/>
      </w:divBdr>
    </w:div>
    <w:div w:id="91704186">
      <w:bodyDiv w:val="1"/>
      <w:marLeft w:val="0"/>
      <w:marRight w:val="0"/>
      <w:marTop w:val="0"/>
      <w:marBottom w:val="0"/>
      <w:divBdr>
        <w:top w:val="none" w:sz="0" w:space="0" w:color="auto"/>
        <w:left w:val="none" w:sz="0" w:space="0" w:color="auto"/>
        <w:bottom w:val="none" w:sz="0" w:space="0" w:color="auto"/>
        <w:right w:val="none" w:sz="0" w:space="0" w:color="auto"/>
      </w:divBdr>
    </w:div>
    <w:div w:id="104430258">
      <w:bodyDiv w:val="1"/>
      <w:marLeft w:val="0"/>
      <w:marRight w:val="0"/>
      <w:marTop w:val="0"/>
      <w:marBottom w:val="0"/>
      <w:divBdr>
        <w:top w:val="none" w:sz="0" w:space="0" w:color="auto"/>
        <w:left w:val="none" w:sz="0" w:space="0" w:color="auto"/>
        <w:bottom w:val="none" w:sz="0" w:space="0" w:color="auto"/>
        <w:right w:val="none" w:sz="0" w:space="0" w:color="auto"/>
      </w:divBdr>
    </w:div>
    <w:div w:id="399786578">
      <w:bodyDiv w:val="1"/>
      <w:marLeft w:val="0"/>
      <w:marRight w:val="0"/>
      <w:marTop w:val="0"/>
      <w:marBottom w:val="0"/>
      <w:divBdr>
        <w:top w:val="none" w:sz="0" w:space="0" w:color="auto"/>
        <w:left w:val="none" w:sz="0" w:space="0" w:color="auto"/>
        <w:bottom w:val="none" w:sz="0" w:space="0" w:color="auto"/>
        <w:right w:val="none" w:sz="0" w:space="0" w:color="auto"/>
      </w:divBdr>
    </w:div>
    <w:div w:id="510727920">
      <w:bodyDiv w:val="1"/>
      <w:marLeft w:val="0"/>
      <w:marRight w:val="0"/>
      <w:marTop w:val="0"/>
      <w:marBottom w:val="0"/>
      <w:divBdr>
        <w:top w:val="none" w:sz="0" w:space="0" w:color="auto"/>
        <w:left w:val="none" w:sz="0" w:space="0" w:color="auto"/>
        <w:bottom w:val="none" w:sz="0" w:space="0" w:color="auto"/>
        <w:right w:val="none" w:sz="0" w:space="0" w:color="auto"/>
      </w:divBdr>
    </w:div>
    <w:div w:id="856968784">
      <w:bodyDiv w:val="1"/>
      <w:marLeft w:val="0"/>
      <w:marRight w:val="0"/>
      <w:marTop w:val="0"/>
      <w:marBottom w:val="0"/>
      <w:divBdr>
        <w:top w:val="none" w:sz="0" w:space="0" w:color="auto"/>
        <w:left w:val="none" w:sz="0" w:space="0" w:color="auto"/>
        <w:bottom w:val="none" w:sz="0" w:space="0" w:color="auto"/>
        <w:right w:val="none" w:sz="0" w:space="0" w:color="auto"/>
      </w:divBdr>
    </w:div>
    <w:div w:id="1315797385">
      <w:bodyDiv w:val="1"/>
      <w:marLeft w:val="0"/>
      <w:marRight w:val="0"/>
      <w:marTop w:val="0"/>
      <w:marBottom w:val="0"/>
      <w:divBdr>
        <w:top w:val="none" w:sz="0" w:space="0" w:color="auto"/>
        <w:left w:val="none" w:sz="0" w:space="0" w:color="auto"/>
        <w:bottom w:val="none" w:sz="0" w:space="0" w:color="auto"/>
        <w:right w:val="none" w:sz="0" w:space="0" w:color="auto"/>
      </w:divBdr>
    </w:div>
    <w:div w:id="21297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3E923-E3D5-435E-947D-8B6D645D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23</Pages>
  <Words>10722</Words>
  <Characters>61117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Hawcutt</dc:creator>
  <cp:lastModifiedBy>Hawcutt, Daniel</cp:lastModifiedBy>
  <cp:revision>12</cp:revision>
  <dcterms:created xsi:type="dcterms:W3CDTF">2018-01-22T15:27:00Z</dcterms:created>
  <dcterms:modified xsi:type="dcterms:W3CDTF">2018-02-05T10:49:00Z</dcterms:modified>
</cp:coreProperties>
</file>