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EC01" w14:textId="77777777" w:rsidR="00EC37B0" w:rsidRPr="00EC37B0" w:rsidRDefault="00EC37B0" w:rsidP="00EC37B0">
      <w:pPr>
        <w:pStyle w:val="NoSpacing"/>
        <w:rPr>
          <w:rFonts w:ascii="Arial" w:hAnsi="Arial" w:cs="Arial"/>
          <w:b/>
          <w:sz w:val="20"/>
          <w:szCs w:val="20"/>
        </w:rPr>
      </w:pPr>
      <w:r w:rsidRPr="00EC37B0">
        <w:rPr>
          <w:rFonts w:ascii="Arial" w:hAnsi="Arial" w:cs="Arial"/>
          <w:b/>
          <w:sz w:val="20"/>
          <w:szCs w:val="20"/>
        </w:rPr>
        <w:t>STATIN USE IN BRAZIL: FINDINGS AND IMPLICATIONS</w:t>
      </w:r>
    </w:p>
    <w:p w14:paraId="42B1C7F7" w14:textId="77777777" w:rsidR="00EC37B0" w:rsidRPr="00EC37B0" w:rsidRDefault="00EC37B0" w:rsidP="00EC37B0">
      <w:pPr>
        <w:pStyle w:val="NoSpacing"/>
        <w:rPr>
          <w:rFonts w:ascii="Arial" w:hAnsi="Arial" w:cs="Arial"/>
          <w:bCs/>
          <w:color w:val="000000"/>
          <w:sz w:val="20"/>
          <w:szCs w:val="20"/>
        </w:rPr>
      </w:pPr>
    </w:p>
    <w:p w14:paraId="39513442" w14:textId="21673088" w:rsidR="00EC37B0" w:rsidRPr="00EC37B0" w:rsidRDefault="00EC37B0" w:rsidP="00EC37B0">
      <w:pPr>
        <w:pStyle w:val="NoSpacing"/>
        <w:rPr>
          <w:rFonts w:ascii="Arial" w:hAnsi="Arial" w:cs="Arial"/>
          <w:bCs/>
          <w:color w:val="000000"/>
          <w:sz w:val="20"/>
          <w:szCs w:val="20"/>
        </w:rPr>
      </w:pPr>
      <w:r w:rsidRPr="00EC37B0">
        <w:rPr>
          <w:rFonts w:ascii="Arial" w:hAnsi="Arial" w:cs="Arial"/>
          <w:bCs/>
          <w:color w:val="000000"/>
          <w:sz w:val="20"/>
          <w:szCs w:val="20"/>
        </w:rPr>
        <w:t>do Nascimento RCRM</w:t>
      </w:r>
      <w:r w:rsidRPr="00EC37B0">
        <w:rPr>
          <w:rFonts w:ascii="Arial" w:hAnsi="Arial" w:cs="Arial"/>
          <w:bCs/>
          <w:color w:val="000000"/>
          <w:sz w:val="20"/>
          <w:szCs w:val="20"/>
          <w:vertAlign w:val="superscript"/>
        </w:rPr>
        <w:t>1,2</w:t>
      </w:r>
      <w:r w:rsidRPr="00EC37B0">
        <w:rPr>
          <w:rFonts w:ascii="Arial" w:hAnsi="Arial" w:cs="Arial"/>
          <w:bCs/>
          <w:color w:val="000000"/>
          <w:sz w:val="20"/>
          <w:szCs w:val="20"/>
        </w:rPr>
        <w:t>, Guerra Jnr AA</w:t>
      </w:r>
      <w:r w:rsidRPr="00EC37B0">
        <w:rPr>
          <w:rFonts w:ascii="Arial" w:hAnsi="Arial" w:cs="Arial"/>
          <w:bCs/>
          <w:color w:val="000000"/>
          <w:sz w:val="20"/>
          <w:szCs w:val="20"/>
          <w:vertAlign w:val="superscript"/>
        </w:rPr>
        <w:t>2,3</w:t>
      </w:r>
      <w:r w:rsidRPr="00EC37B0">
        <w:rPr>
          <w:rFonts w:ascii="Arial" w:hAnsi="Arial" w:cs="Arial"/>
          <w:bCs/>
          <w:color w:val="000000"/>
          <w:sz w:val="20"/>
          <w:szCs w:val="20"/>
        </w:rPr>
        <w:t>, Alvares J</w:t>
      </w:r>
      <w:r w:rsidRPr="00EC37B0">
        <w:rPr>
          <w:rFonts w:ascii="Arial" w:hAnsi="Arial" w:cs="Arial"/>
          <w:bCs/>
          <w:color w:val="000000"/>
          <w:sz w:val="20"/>
          <w:szCs w:val="20"/>
          <w:vertAlign w:val="superscript"/>
        </w:rPr>
        <w:t>2,3</w:t>
      </w:r>
      <w:r w:rsidRPr="00EC37B0">
        <w:rPr>
          <w:rFonts w:ascii="Arial" w:hAnsi="Arial" w:cs="Arial"/>
          <w:bCs/>
          <w:color w:val="000000"/>
          <w:sz w:val="20"/>
          <w:szCs w:val="20"/>
        </w:rPr>
        <w:t>, Gomes IC</w:t>
      </w:r>
      <w:r w:rsidRPr="00EC37B0">
        <w:rPr>
          <w:rFonts w:ascii="Arial" w:hAnsi="Arial" w:cs="Arial"/>
          <w:bCs/>
          <w:color w:val="000000"/>
          <w:sz w:val="20"/>
          <w:szCs w:val="20"/>
          <w:vertAlign w:val="superscript"/>
        </w:rPr>
        <w:t>4</w:t>
      </w:r>
      <w:r w:rsidRPr="00EC37B0">
        <w:rPr>
          <w:rFonts w:ascii="Arial" w:hAnsi="Arial" w:cs="Arial"/>
          <w:bCs/>
          <w:color w:val="000000"/>
          <w:sz w:val="20"/>
          <w:szCs w:val="20"/>
        </w:rPr>
        <w:t xml:space="preserve">, </w:t>
      </w:r>
      <w:r w:rsidR="00F1052A">
        <w:rPr>
          <w:rFonts w:ascii="Arial" w:hAnsi="Arial" w:cs="Arial"/>
          <w:bCs/>
          <w:color w:val="000000"/>
          <w:sz w:val="20"/>
          <w:szCs w:val="20"/>
        </w:rPr>
        <w:t>*</w:t>
      </w:r>
      <w:r w:rsidRPr="00EC37B0">
        <w:rPr>
          <w:rFonts w:ascii="Arial" w:hAnsi="Arial" w:cs="Arial"/>
          <w:bCs/>
          <w:color w:val="000000"/>
          <w:sz w:val="20"/>
          <w:szCs w:val="20"/>
        </w:rPr>
        <w:t>Godman B</w:t>
      </w:r>
      <w:r w:rsidRPr="00EC37B0">
        <w:rPr>
          <w:rFonts w:ascii="Arial" w:hAnsi="Arial" w:cs="Arial"/>
          <w:bCs/>
          <w:color w:val="000000"/>
          <w:sz w:val="20"/>
          <w:szCs w:val="20"/>
          <w:vertAlign w:val="superscript"/>
        </w:rPr>
        <w:t>5,6,7</w:t>
      </w:r>
      <w:r w:rsidRPr="00EC37B0">
        <w:rPr>
          <w:rFonts w:ascii="Arial" w:hAnsi="Arial" w:cs="Arial"/>
          <w:bCs/>
          <w:color w:val="000000"/>
          <w:sz w:val="20"/>
          <w:szCs w:val="20"/>
        </w:rPr>
        <w:t>, Bennie M</w:t>
      </w:r>
      <w:r w:rsidRPr="00EC37B0">
        <w:rPr>
          <w:rFonts w:ascii="Arial" w:hAnsi="Arial" w:cs="Arial"/>
          <w:bCs/>
          <w:color w:val="000000"/>
          <w:sz w:val="20"/>
          <w:szCs w:val="20"/>
          <w:vertAlign w:val="superscript"/>
        </w:rPr>
        <w:t>5</w:t>
      </w:r>
      <w:r w:rsidRPr="00EC37B0">
        <w:rPr>
          <w:rFonts w:ascii="Arial" w:hAnsi="Arial" w:cs="Arial"/>
          <w:bCs/>
          <w:color w:val="000000"/>
          <w:sz w:val="20"/>
          <w:szCs w:val="20"/>
        </w:rPr>
        <w:t>, Kurdi AB</w:t>
      </w:r>
      <w:r w:rsidRPr="00EC37B0">
        <w:rPr>
          <w:rFonts w:ascii="Arial" w:hAnsi="Arial" w:cs="Arial"/>
          <w:bCs/>
          <w:color w:val="000000"/>
          <w:sz w:val="20"/>
          <w:szCs w:val="20"/>
          <w:vertAlign w:val="superscript"/>
        </w:rPr>
        <w:t>5</w:t>
      </w:r>
      <w:r w:rsidRPr="00EC37B0">
        <w:rPr>
          <w:rFonts w:ascii="Arial" w:hAnsi="Arial" w:cs="Arial"/>
          <w:bCs/>
          <w:color w:val="000000"/>
          <w:sz w:val="20"/>
          <w:szCs w:val="20"/>
        </w:rPr>
        <w:t>, Acurcio F de A</w:t>
      </w:r>
      <w:r w:rsidRPr="00EC37B0">
        <w:rPr>
          <w:rFonts w:ascii="Arial" w:hAnsi="Arial" w:cs="Arial"/>
          <w:bCs/>
          <w:color w:val="000000"/>
          <w:sz w:val="20"/>
          <w:szCs w:val="20"/>
          <w:vertAlign w:val="superscript"/>
        </w:rPr>
        <w:t>2,3</w:t>
      </w:r>
    </w:p>
    <w:p w14:paraId="7B4EA688" w14:textId="77777777" w:rsidR="00EC37B0" w:rsidRPr="00EC37B0" w:rsidRDefault="00EC37B0" w:rsidP="00EC37B0">
      <w:pPr>
        <w:pStyle w:val="NoSpacing"/>
        <w:rPr>
          <w:rFonts w:ascii="Arial" w:hAnsi="Arial" w:cs="Arial"/>
          <w:sz w:val="20"/>
          <w:szCs w:val="20"/>
        </w:rPr>
      </w:pPr>
    </w:p>
    <w:p w14:paraId="1357B874" w14:textId="77777777" w:rsidR="00EC37B0" w:rsidRPr="00EC37B0" w:rsidRDefault="00EC37B0" w:rsidP="00EC37B0">
      <w:pPr>
        <w:pStyle w:val="NoSpacing"/>
        <w:rPr>
          <w:rFonts w:ascii="Arial" w:hAnsi="Arial" w:cs="Arial"/>
          <w:color w:val="000000"/>
          <w:sz w:val="20"/>
          <w:szCs w:val="20"/>
        </w:rPr>
      </w:pPr>
      <w:r w:rsidRPr="00EC37B0">
        <w:rPr>
          <w:rFonts w:ascii="Arial" w:hAnsi="Arial" w:cs="Arial"/>
          <w:color w:val="000000"/>
          <w:sz w:val="20"/>
          <w:szCs w:val="20"/>
          <w:vertAlign w:val="superscript"/>
        </w:rPr>
        <w:t>1</w:t>
      </w:r>
      <w:r w:rsidRPr="00EC37B0">
        <w:rPr>
          <w:rFonts w:ascii="Arial" w:hAnsi="Arial" w:cs="Arial"/>
          <w:color w:val="000000"/>
          <w:sz w:val="20"/>
          <w:szCs w:val="20"/>
        </w:rPr>
        <w:t>Post-graduated program of Medicines and Pharmaceutical Assistance, School of Pharmacy. Federal University of Minas Gerais (UFMG). Belo Horizonte, Minas Gerais, Brazil</w:t>
      </w:r>
    </w:p>
    <w:p w14:paraId="274BF629" w14:textId="77777777" w:rsidR="00EC37B0" w:rsidRPr="00EC37B0" w:rsidRDefault="00EC37B0" w:rsidP="00EC37B0">
      <w:pPr>
        <w:pStyle w:val="NoSpacing"/>
        <w:rPr>
          <w:rFonts w:ascii="Arial" w:hAnsi="Arial" w:cs="Arial"/>
          <w:color w:val="000000"/>
          <w:sz w:val="20"/>
          <w:szCs w:val="20"/>
        </w:rPr>
      </w:pPr>
      <w:r w:rsidRPr="00EC37B0">
        <w:rPr>
          <w:rFonts w:ascii="Arial" w:hAnsi="Arial" w:cs="Arial"/>
          <w:color w:val="000000"/>
          <w:sz w:val="20"/>
          <w:szCs w:val="20"/>
          <w:vertAlign w:val="superscript"/>
        </w:rPr>
        <w:t>2</w:t>
      </w:r>
      <w:r w:rsidRPr="00EC37B0">
        <w:rPr>
          <w:rFonts w:ascii="Arial" w:hAnsi="Arial" w:cs="Arial"/>
          <w:color w:val="000000"/>
          <w:sz w:val="20"/>
          <w:szCs w:val="20"/>
        </w:rPr>
        <w:t>SUS Collaborating Centre for Technology Assessment and Excellence in Health (CCATES), School of Pharmacy, Federal University of Minas Gerais, Brazil.</w:t>
      </w:r>
      <w:r w:rsidRPr="00EC37B0">
        <w:rPr>
          <w:rFonts w:ascii="Arial" w:hAnsi="Arial" w:cs="Arial"/>
          <w:sz w:val="20"/>
          <w:szCs w:val="20"/>
        </w:rPr>
        <w:t xml:space="preserve"> </w:t>
      </w:r>
      <w:r w:rsidRPr="00EC37B0">
        <w:rPr>
          <w:rFonts w:ascii="Arial" w:hAnsi="Arial" w:cs="Arial"/>
          <w:color w:val="000000"/>
          <w:sz w:val="20"/>
          <w:szCs w:val="20"/>
        </w:rPr>
        <w:t xml:space="preserve">Email: </w:t>
      </w:r>
      <w:hyperlink r:id="rId8" w:history="1">
        <w:r w:rsidRPr="00EC37B0">
          <w:rPr>
            <w:rStyle w:val="Hyperlink"/>
            <w:rFonts w:ascii="Arial" w:hAnsi="Arial" w:cs="Arial"/>
            <w:sz w:val="20"/>
            <w:szCs w:val="20"/>
          </w:rPr>
          <w:t>recmacedo@gmail.com</w:t>
        </w:r>
      </w:hyperlink>
      <w:r w:rsidRPr="00EC37B0">
        <w:rPr>
          <w:rFonts w:ascii="Arial" w:hAnsi="Arial" w:cs="Arial"/>
          <w:color w:val="000000"/>
          <w:sz w:val="20"/>
          <w:szCs w:val="20"/>
        </w:rPr>
        <w:t xml:space="preserve">; </w:t>
      </w:r>
      <w:hyperlink r:id="rId9" w:history="1">
        <w:r w:rsidRPr="00EC37B0">
          <w:rPr>
            <w:rStyle w:val="Hyperlink"/>
            <w:rFonts w:ascii="Arial" w:hAnsi="Arial" w:cs="Arial"/>
            <w:sz w:val="20"/>
            <w:szCs w:val="20"/>
          </w:rPr>
          <w:t>augustoguerramg@gmail.com</w:t>
        </w:r>
      </w:hyperlink>
      <w:r w:rsidRPr="00EC37B0">
        <w:rPr>
          <w:rFonts w:ascii="Arial" w:hAnsi="Arial" w:cs="Arial"/>
          <w:color w:val="000000"/>
          <w:sz w:val="20"/>
          <w:szCs w:val="20"/>
        </w:rPr>
        <w:t xml:space="preserve">; </w:t>
      </w:r>
      <w:hyperlink r:id="rId10" w:history="1">
        <w:r w:rsidRPr="00EC37B0">
          <w:rPr>
            <w:rStyle w:val="Hyperlink"/>
            <w:rFonts w:ascii="Arial" w:hAnsi="Arial" w:cs="Arial"/>
            <w:sz w:val="20"/>
            <w:szCs w:val="20"/>
          </w:rPr>
          <w:t>jualvares@gmail.com</w:t>
        </w:r>
      </w:hyperlink>
      <w:r w:rsidRPr="00EC37B0">
        <w:rPr>
          <w:rFonts w:ascii="Arial" w:hAnsi="Arial" w:cs="Arial"/>
          <w:color w:val="000000"/>
          <w:sz w:val="20"/>
          <w:szCs w:val="20"/>
        </w:rPr>
        <w:t>; fracurcio@gmail.com</w:t>
      </w:r>
    </w:p>
    <w:p w14:paraId="282F4954" w14:textId="77777777" w:rsidR="00EC37B0" w:rsidRPr="00EC37B0" w:rsidRDefault="00EC37B0" w:rsidP="00EC37B0">
      <w:pPr>
        <w:pStyle w:val="NoSpacing"/>
        <w:rPr>
          <w:rFonts w:ascii="Arial" w:hAnsi="Arial" w:cs="Arial"/>
          <w:color w:val="000000"/>
          <w:sz w:val="20"/>
          <w:szCs w:val="20"/>
        </w:rPr>
      </w:pPr>
      <w:r w:rsidRPr="00EC37B0">
        <w:rPr>
          <w:rFonts w:ascii="Arial" w:hAnsi="Arial" w:cs="Arial"/>
          <w:color w:val="000000"/>
          <w:sz w:val="20"/>
          <w:szCs w:val="20"/>
          <w:vertAlign w:val="superscript"/>
        </w:rPr>
        <w:t>3</w:t>
      </w:r>
      <w:r w:rsidRPr="00EC37B0">
        <w:rPr>
          <w:rFonts w:ascii="Arial" w:hAnsi="Arial" w:cs="Arial"/>
          <w:color w:val="000000"/>
          <w:sz w:val="20"/>
          <w:szCs w:val="20"/>
        </w:rPr>
        <w:t>Department of Social Pharmacy. School of Pharmacy. Federal University of Minas Gerais (UFMG). Belo Horizonte, Minas Gerais, Brazil</w:t>
      </w:r>
    </w:p>
    <w:p w14:paraId="391CEB77" w14:textId="77777777" w:rsidR="00EC37B0" w:rsidRPr="00EC37B0" w:rsidRDefault="00EC37B0" w:rsidP="00EC37B0">
      <w:pPr>
        <w:pStyle w:val="NoSpacing"/>
        <w:rPr>
          <w:rFonts w:ascii="Arial" w:hAnsi="Arial" w:cs="Arial"/>
          <w:color w:val="000000"/>
          <w:sz w:val="20"/>
          <w:szCs w:val="20"/>
        </w:rPr>
      </w:pPr>
      <w:r w:rsidRPr="00EC37B0">
        <w:rPr>
          <w:rFonts w:ascii="Arial" w:hAnsi="Arial" w:cs="Arial"/>
          <w:color w:val="000000"/>
          <w:sz w:val="20"/>
          <w:szCs w:val="20"/>
          <w:vertAlign w:val="superscript"/>
        </w:rPr>
        <w:t>4</w:t>
      </w:r>
      <w:r w:rsidRPr="00EC37B0">
        <w:rPr>
          <w:rFonts w:ascii="Arial" w:hAnsi="Arial" w:cs="Arial"/>
          <w:color w:val="000000"/>
          <w:sz w:val="20"/>
          <w:szCs w:val="20"/>
        </w:rPr>
        <w:t>Faculdade de Ciências Médicas. Belo Horizonte, Minas Gerais, Brazil.</w:t>
      </w:r>
      <w:r w:rsidRPr="00EC37B0">
        <w:rPr>
          <w:rFonts w:ascii="Arial" w:hAnsi="Arial" w:cs="Arial"/>
          <w:color w:val="535353"/>
          <w:sz w:val="20"/>
          <w:szCs w:val="20"/>
          <w:lang w:val="en-US"/>
        </w:rPr>
        <w:t> </w:t>
      </w:r>
      <w:r w:rsidRPr="00EC37B0">
        <w:rPr>
          <w:rFonts w:ascii="Arial" w:hAnsi="Arial" w:cs="Arial"/>
          <w:color w:val="000000"/>
          <w:sz w:val="20"/>
          <w:szCs w:val="20"/>
        </w:rPr>
        <w:t xml:space="preserve">Email: </w:t>
      </w:r>
      <w:hyperlink r:id="rId11" w:history="1">
        <w:r w:rsidRPr="00EC37B0">
          <w:rPr>
            <w:rFonts w:ascii="Arial" w:hAnsi="Arial" w:cs="Arial"/>
            <w:color w:val="000000"/>
            <w:sz w:val="20"/>
            <w:szCs w:val="20"/>
          </w:rPr>
          <w:t>icgomes04@yahoo.com.br</w:t>
        </w:r>
      </w:hyperlink>
    </w:p>
    <w:p w14:paraId="258206CE" w14:textId="77777777" w:rsidR="00EC37B0" w:rsidRPr="00EC37B0" w:rsidRDefault="00EC37B0" w:rsidP="00EC37B0">
      <w:pPr>
        <w:pStyle w:val="NoSpacing"/>
        <w:rPr>
          <w:rFonts w:ascii="Arial" w:hAnsi="Arial" w:cs="Arial"/>
          <w:color w:val="000000"/>
          <w:sz w:val="20"/>
          <w:szCs w:val="20"/>
        </w:rPr>
      </w:pPr>
      <w:r w:rsidRPr="00EC37B0">
        <w:rPr>
          <w:rFonts w:ascii="Arial" w:hAnsi="Arial" w:cs="Arial"/>
          <w:color w:val="000000"/>
          <w:sz w:val="20"/>
          <w:szCs w:val="20"/>
          <w:vertAlign w:val="superscript"/>
        </w:rPr>
        <w:t>5</w:t>
      </w:r>
      <w:r w:rsidRPr="00EC37B0">
        <w:rPr>
          <w:rFonts w:ascii="Arial" w:hAnsi="Arial" w:cs="Arial"/>
          <w:color w:val="000000"/>
          <w:sz w:val="20"/>
          <w:szCs w:val="20"/>
        </w:rPr>
        <w:t xml:space="preserve">Strathclyde Institute of Pharmacy and Biomedical Sciences, University of Strathclyde, Glasgow, UK. Email: </w:t>
      </w:r>
      <w:hyperlink r:id="rId12" w:history="1">
        <w:r w:rsidRPr="00EC37B0">
          <w:rPr>
            <w:rStyle w:val="Hyperlink"/>
            <w:rFonts w:ascii="Arial" w:hAnsi="Arial" w:cs="Arial"/>
            <w:sz w:val="20"/>
            <w:szCs w:val="20"/>
          </w:rPr>
          <w:t>Brian.Godman@strath.ac.uk</w:t>
        </w:r>
      </w:hyperlink>
      <w:r w:rsidRPr="00EC37B0">
        <w:rPr>
          <w:rFonts w:ascii="Arial" w:hAnsi="Arial" w:cs="Arial"/>
          <w:color w:val="000000"/>
          <w:sz w:val="20"/>
          <w:szCs w:val="20"/>
        </w:rPr>
        <w:t xml:space="preserve">; </w:t>
      </w:r>
      <w:hyperlink r:id="rId13" w:history="1">
        <w:r w:rsidRPr="00EC37B0">
          <w:rPr>
            <w:rStyle w:val="Hyperlink"/>
            <w:rFonts w:ascii="Arial" w:hAnsi="Arial" w:cs="Arial"/>
            <w:sz w:val="20"/>
            <w:szCs w:val="20"/>
          </w:rPr>
          <w:t>marion.bennie@strath.ac.uk</w:t>
        </w:r>
      </w:hyperlink>
      <w:r w:rsidRPr="00EC37B0">
        <w:rPr>
          <w:rFonts w:ascii="Arial" w:hAnsi="Arial" w:cs="Arial"/>
          <w:color w:val="000000"/>
          <w:sz w:val="20"/>
          <w:szCs w:val="20"/>
        </w:rPr>
        <w:t xml:space="preserve">; </w:t>
      </w:r>
      <w:hyperlink r:id="rId14" w:history="1">
        <w:r w:rsidRPr="00EC37B0">
          <w:rPr>
            <w:rStyle w:val="Hyperlink"/>
            <w:rFonts w:ascii="Arial" w:hAnsi="Arial" w:cs="Arial"/>
            <w:sz w:val="20"/>
            <w:szCs w:val="20"/>
          </w:rPr>
          <w:t>amanj.baker@strath.ac.uk</w:t>
        </w:r>
      </w:hyperlink>
    </w:p>
    <w:p w14:paraId="084BC6C2" w14:textId="77777777" w:rsidR="00EC37B0" w:rsidRPr="00EC37B0" w:rsidRDefault="00EC37B0" w:rsidP="00EC37B0">
      <w:pPr>
        <w:pStyle w:val="NoSpacing"/>
        <w:rPr>
          <w:rFonts w:ascii="Arial" w:hAnsi="Arial" w:cs="Arial"/>
          <w:color w:val="000000"/>
          <w:sz w:val="20"/>
          <w:szCs w:val="20"/>
        </w:rPr>
      </w:pPr>
      <w:r w:rsidRPr="00EC37B0">
        <w:rPr>
          <w:rFonts w:ascii="Arial" w:hAnsi="Arial" w:cs="Arial"/>
          <w:color w:val="000000"/>
          <w:sz w:val="20"/>
          <w:szCs w:val="20"/>
        </w:rPr>
        <w:t xml:space="preserve">Division of Clinical Pharmacology, Karolinska Institutet, Stockholm, Sweden. Email: </w:t>
      </w:r>
      <w:r w:rsidR="00F1052A">
        <w:fldChar w:fldCharType="begin"/>
      </w:r>
      <w:r w:rsidR="00F1052A">
        <w:instrText xml:space="preserve"> HYPERLINK "mailto:Brian.Godman@ki.se" </w:instrText>
      </w:r>
      <w:r w:rsidR="00F1052A">
        <w:fldChar w:fldCharType="separate"/>
      </w:r>
      <w:r w:rsidRPr="00EC37B0">
        <w:rPr>
          <w:rStyle w:val="Hyperlink"/>
          <w:rFonts w:ascii="Arial" w:hAnsi="Arial" w:cs="Arial"/>
          <w:sz w:val="20"/>
          <w:szCs w:val="20"/>
        </w:rPr>
        <w:t>Brian.Godman@ki.se</w:t>
      </w:r>
      <w:r w:rsidR="00F1052A">
        <w:rPr>
          <w:rStyle w:val="Hyperlink"/>
          <w:rFonts w:ascii="Arial" w:hAnsi="Arial" w:cs="Arial"/>
          <w:sz w:val="20"/>
          <w:szCs w:val="20"/>
        </w:rPr>
        <w:fldChar w:fldCharType="end"/>
      </w:r>
    </w:p>
    <w:p w14:paraId="5E14C39C" w14:textId="77777777" w:rsidR="00EC37B0" w:rsidRPr="00EC37B0" w:rsidRDefault="00EC37B0" w:rsidP="00EC37B0">
      <w:pPr>
        <w:pStyle w:val="NoSpacing"/>
        <w:rPr>
          <w:rFonts w:ascii="Arial" w:hAnsi="Arial" w:cs="Arial"/>
          <w:color w:val="000000"/>
          <w:sz w:val="20"/>
          <w:szCs w:val="20"/>
        </w:rPr>
      </w:pPr>
      <w:r w:rsidRPr="00EC37B0">
        <w:rPr>
          <w:rFonts w:ascii="Arial" w:hAnsi="Arial" w:cs="Arial"/>
          <w:color w:val="000000"/>
          <w:sz w:val="20"/>
          <w:szCs w:val="20"/>
          <w:vertAlign w:val="superscript"/>
        </w:rPr>
        <w:t>7</w:t>
      </w:r>
      <w:r w:rsidRPr="00EC37B0">
        <w:rPr>
          <w:rFonts w:ascii="Arial" w:hAnsi="Arial" w:cs="Arial"/>
          <w:color w:val="000000"/>
          <w:sz w:val="20"/>
          <w:szCs w:val="20"/>
        </w:rPr>
        <w:t>Health Economics Centre, Liverpool University Management School, Liverpool, UK. Email: Brian.Godman@liverpool.ac.uk</w:t>
      </w:r>
    </w:p>
    <w:p w14:paraId="6178E022" w14:textId="1E141345" w:rsidR="00EC37B0" w:rsidRDefault="00EC37B0" w:rsidP="00EC37B0">
      <w:pPr>
        <w:pStyle w:val="NoSpacing"/>
        <w:rPr>
          <w:rFonts w:ascii="Arial" w:hAnsi="Arial" w:cs="Arial"/>
          <w:bCs/>
          <w:color w:val="000000"/>
          <w:sz w:val="20"/>
          <w:szCs w:val="20"/>
        </w:rPr>
      </w:pPr>
    </w:p>
    <w:p w14:paraId="0114A4BC" w14:textId="77777777" w:rsidR="00EC37B0" w:rsidRPr="00E92B89" w:rsidRDefault="00EC37B0" w:rsidP="00EC37B0">
      <w:pPr>
        <w:pStyle w:val="NoSpacing"/>
        <w:rPr>
          <w:rFonts w:ascii="Arial" w:hAnsi="Arial" w:cs="Arial"/>
          <w:sz w:val="20"/>
          <w:szCs w:val="20"/>
        </w:rPr>
      </w:pPr>
      <w:r w:rsidRPr="00E92B89">
        <w:rPr>
          <w:rFonts w:ascii="Arial" w:hAnsi="Arial" w:cs="Arial"/>
          <w:sz w:val="20"/>
          <w:szCs w:val="20"/>
        </w:rPr>
        <w:t>*</w:t>
      </w:r>
      <w:r w:rsidRPr="00E92B89">
        <w:rPr>
          <w:rFonts w:ascii="Arial" w:hAnsi="Arial" w:cs="Arial"/>
          <w:b/>
          <w:sz w:val="20"/>
          <w:szCs w:val="20"/>
        </w:rPr>
        <w:t>Author for correspondence</w:t>
      </w:r>
      <w:r w:rsidRPr="00E92B89">
        <w:rPr>
          <w:rFonts w:ascii="Arial" w:hAnsi="Arial" w:cs="Arial"/>
          <w:sz w:val="20"/>
          <w:szCs w:val="20"/>
        </w:rPr>
        <w:t xml:space="preserve">: Brian Godman, Strathclyde Institute of Pharmacy and Biomedical Sciences, University of Strathclyde, Glasgow G4 0RE, United Kingdom. Email:  </w:t>
      </w:r>
      <w:r>
        <w:fldChar w:fldCharType="begin"/>
      </w:r>
      <w:r>
        <w:instrText xml:space="preserve"> HYPERLINK "mailto:Brian.godman@strath.ac.uk" </w:instrText>
      </w:r>
      <w:r>
        <w:fldChar w:fldCharType="separate"/>
      </w:r>
      <w:r w:rsidRPr="00E92B89">
        <w:rPr>
          <w:rStyle w:val="Hyperlink"/>
          <w:rFonts w:ascii="Arial" w:hAnsi="Arial" w:cs="Arial"/>
          <w:sz w:val="20"/>
          <w:szCs w:val="20"/>
        </w:rPr>
        <w:t>brian.godman@strath.ac.uk</w:t>
      </w:r>
      <w:r>
        <w:rPr>
          <w:rStyle w:val="Hyperlink"/>
          <w:rFonts w:ascii="Arial" w:hAnsi="Arial" w:cs="Arial"/>
          <w:sz w:val="20"/>
          <w:szCs w:val="20"/>
        </w:rPr>
        <w:fldChar w:fldCharType="end"/>
      </w:r>
      <w:r w:rsidRPr="00E92B89">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7AEAD5AC" w14:textId="03340FF8" w:rsidR="00EC37B0" w:rsidRDefault="00EC37B0" w:rsidP="00EC37B0">
      <w:pPr>
        <w:pStyle w:val="NoSpacing"/>
        <w:rPr>
          <w:rFonts w:ascii="Arial" w:hAnsi="Arial" w:cs="Arial"/>
          <w:bCs/>
          <w:color w:val="000000"/>
          <w:sz w:val="20"/>
          <w:szCs w:val="20"/>
        </w:rPr>
      </w:pPr>
    </w:p>
    <w:p w14:paraId="7F553EA8" w14:textId="4BF55341" w:rsidR="00EC37B0" w:rsidRDefault="00EC37B0" w:rsidP="00EC37B0">
      <w:pPr>
        <w:pStyle w:val="NoSpacing"/>
        <w:rPr>
          <w:rFonts w:ascii="Arial" w:hAnsi="Arial" w:cs="Arial"/>
          <w:bCs/>
          <w:color w:val="000000"/>
          <w:sz w:val="20"/>
          <w:szCs w:val="20"/>
        </w:rPr>
      </w:pPr>
      <w:r>
        <w:rPr>
          <w:rFonts w:ascii="Arial" w:hAnsi="Arial" w:cs="Arial"/>
          <w:bCs/>
          <w:color w:val="000000"/>
          <w:sz w:val="20"/>
          <w:szCs w:val="20"/>
        </w:rPr>
        <w:t>(Accepted for publication Current Medical Research and Opinion – please keep CONFIDENTIAL)</w:t>
      </w:r>
      <w:r>
        <w:rPr>
          <w:rFonts w:ascii="Arial" w:hAnsi="Arial" w:cs="Arial"/>
          <w:bCs/>
          <w:color w:val="000000"/>
          <w:sz w:val="20"/>
          <w:szCs w:val="20"/>
        </w:rPr>
        <w:br/>
      </w:r>
    </w:p>
    <w:p w14:paraId="2BDC4C36" w14:textId="100069E3" w:rsidR="00265FB4" w:rsidRPr="00EC37B0" w:rsidRDefault="00265FB4" w:rsidP="00EC37B0">
      <w:pPr>
        <w:pStyle w:val="NoSpacing"/>
        <w:rPr>
          <w:rFonts w:ascii="Arial" w:hAnsi="Arial" w:cs="Arial"/>
          <w:b/>
          <w:sz w:val="20"/>
          <w:szCs w:val="20"/>
        </w:rPr>
      </w:pPr>
      <w:r w:rsidRPr="00EC37B0">
        <w:rPr>
          <w:rFonts w:ascii="Arial" w:hAnsi="Arial" w:cs="Arial"/>
          <w:b/>
          <w:bCs/>
          <w:color w:val="000000"/>
          <w:sz w:val="20"/>
          <w:szCs w:val="20"/>
        </w:rPr>
        <w:t>ABSTRACT</w:t>
      </w:r>
    </w:p>
    <w:p w14:paraId="2D700418" w14:textId="44E5445A" w:rsidR="00DD0D6B" w:rsidRPr="00EC37B0" w:rsidRDefault="00DD0D6B" w:rsidP="00EC37B0">
      <w:pPr>
        <w:pStyle w:val="NoSpacing"/>
        <w:rPr>
          <w:rFonts w:ascii="Arial" w:hAnsi="Arial" w:cs="Arial"/>
          <w:color w:val="000000"/>
          <w:sz w:val="20"/>
          <w:szCs w:val="20"/>
        </w:rPr>
      </w:pPr>
      <w:bookmarkStart w:id="0" w:name="_Hlk500339267"/>
      <w:r w:rsidRPr="00EC37B0">
        <w:rPr>
          <w:rFonts w:ascii="Arial" w:hAnsi="Arial" w:cs="Arial"/>
          <w:bCs/>
          <w:color w:val="000000"/>
          <w:sz w:val="20"/>
          <w:szCs w:val="20"/>
        </w:rPr>
        <w:t>Introduction and objectives</w:t>
      </w:r>
      <w:r w:rsidRPr="00EC37B0">
        <w:rPr>
          <w:rFonts w:ascii="Arial" w:hAnsi="Arial" w:cs="Arial"/>
          <w:color w:val="000000"/>
          <w:sz w:val="20"/>
          <w:szCs w:val="20"/>
        </w:rPr>
        <w:t>: Stains have become an integral part of treatment to reduce cardiac events in patients with cardiovascular disease. However, their use within the public healthcare system in Brazil is unknown. Consequently, we sought to determine and characterize statin use in primary healthcare delivered by the public health system (SUS) in Brazil and evaluate associated patient factors to improve future use.</w:t>
      </w:r>
      <w:r w:rsidRPr="00EC37B0">
        <w:rPr>
          <w:rFonts w:ascii="Arial" w:hAnsi="Arial" w:cs="Arial"/>
          <w:sz w:val="20"/>
          <w:szCs w:val="20"/>
        </w:rPr>
        <w:t xml:space="preserve"> </w:t>
      </w:r>
      <w:r w:rsidRPr="00EC37B0">
        <w:rPr>
          <w:rFonts w:ascii="Arial" w:hAnsi="Arial" w:cs="Arial"/>
          <w:bCs/>
          <w:color w:val="000000"/>
          <w:sz w:val="20"/>
          <w:szCs w:val="20"/>
        </w:rPr>
        <w:t>Methods</w:t>
      </w:r>
      <w:r w:rsidRPr="00EC37B0">
        <w:rPr>
          <w:rFonts w:ascii="Arial" w:hAnsi="Arial" w:cs="Arial"/>
          <w:color w:val="000000"/>
          <w:sz w:val="20"/>
          <w:szCs w:val="20"/>
        </w:rPr>
        <w:t>: Cross-sectional study with a national representative sample from five Brazilian regions, derived from the National Survey on Access, Use and Promotion of Rational Use of Medicines using a multi-stage complex sampling plan. Patients over 18 years old were interviewed from July/2014 to May/2015. Prevalence of statin use and statins’ self-reported adherence were determined amongst medicine users. The association between statin use and sociodemographic/health condition variables were assessed using logistic regression.</w:t>
      </w:r>
      <w:r w:rsidRPr="00EC37B0">
        <w:rPr>
          <w:rFonts w:ascii="Arial" w:hAnsi="Arial" w:cs="Arial"/>
          <w:sz w:val="20"/>
          <w:szCs w:val="20"/>
        </w:rPr>
        <w:t xml:space="preserve"> </w:t>
      </w:r>
      <w:r w:rsidRPr="00EC37B0">
        <w:rPr>
          <w:rFonts w:ascii="Arial" w:hAnsi="Arial" w:cs="Arial"/>
          <w:bCs/>
          <w:color w:val="000000"/>
          <w:sz w:val="20"/>
          <w:szCs w:val="20"/>
        </w:rPr>
        <w:t>Results</w:t>
      </w:r>
      <w:r w:rsidRPr="00EC37B0">
        <w:rPr>
          <w:rFonts w:ascii="Arial" w:hAnsi="Arial" w:cs="Arial"/>
          <w:color w:val="000000"/>
          <w:sz w:val="20"/>
          <w:szCs w:val="20"/>
        </w:rPr>
        <w:t>: 8,803 patients were interviewed; of which, 6,511 were medicines users. The prevalence of statins use was 9.4% with simvastatin (90.3%), atorvastatin (4.7%) and rosuvastatin (1.9%) the most used statins. Poor adherence was described by 6.5% of patients. Statins use was significantly associated with age ≥65 years old, higher educational level, residence in the South, metabolic and heart diseases, alcohol consumption and polypharmacy.</w:t>
      </w:r>
      <w:r w:rsidRPr="00EC37B0">
        <w:rPr>
          <w:rFonts w:ascii="Arial" w:hAnsi="Arial" w:cs="Arial"/>
          <w:sz w:val="20"/>
          <w:szCs w:val="20"/>
        </w:rPr>
        <w:t xml:space="preserve"> </w:t>
      </w:r>
      <w:r w:rsidRPr="00EC37B0">
        <w:rPr>
          <w:rFonts w:ascii="Arial" w:hAnsi="Arial" w:cs="Arial"/>
          <w:bCs/>
          <w:color w:val="000000"/>
          <w:sz w:val="20"/>
          <w:szCs w:val="20"/>
        </w:rPr>
        <w:t>Conclusions</w:t>
      </w:r>
      <w:r w:rsidRPr="00EC37B0">
        <w:rPr>
          <w:rFonts w:ascii="Arial" w:hAnsi="Arial" w:cs="Arial"/>
          <w:color w:val="000000"/>
          <w:sz w:val="20"/>
          <w:szCs w:val="20"/>
        </w:rPr>
        <w:t>: This is the first population based study in Brazil to assess statin use in SUS primary healthcare patients. Addressing inequalities in access and use of medicines including statins is an important step in achieving the full benefit of statins in Brazil, with the findings guiding future research and policies</w:t>
      </w:r>
      <w:bookmarkEnd w:id="0"/>
      <w:r w:rsidRPr="00EC37B0">
        <w:rPr>
          <w:rFonts w:ascii="Arial" w:hAnsi="Arial" w:cs="Arial"/>
          <w:color w:val="000000"/>
          <w:sz w:val="20"/>
          <w:szCs w:val="20"/>
        </w:rPr>
        <w:t>.</w:t>
      </w:r>
    </w:p>
    <w:p w14:paraId="58B77A0D" w14:textId="77777777" w:rsidR="00DD0D6B" w:rsidRPr="00EC37B0" w:rsidRDefault="00DD0D6B" w:rsidP="00EC37B0">
      <w:pPr>
        <w:pStyle w:val="NoSpacing"/>
        <w:rPr>
          <w:rFonts w:ascii="Arial" w:hAnsi="Arial" w:cs="Arial"/>
          <w:bCs/>
          <w:color w:val="000000"/>
          <w:sz w:val="20"/>
          <w:szCs w:val="20"/>
        </w:rPr>
      </w:pPr>
    </w:p>
    <w:p w14:paraId="69231C8A" w14:textId="384C0DBA" w:rsidR="00265FB4" w:rsidRPr="00EC37B0" w:rsidRDefault="00265FB4" w:rsidP="00EC37B0">
      <w:pPr>
        <w:pStyle w:val="NoSpacing"/>
        <w:rPr>
          <w:rFonts w:ascii="Arial" w:hAnsi="Arial" w:cs="Arial"/>
          <w:sz w:val="20"/>
          <w:szCs w:val="20"/>
        </w:rPr>
      </w:pPr>
      <w:r w:rsidRPr="00EC37B0">
        <w:rPr>
          <w:rFonts w:ascii="Arial" w:hAnsi="Arial" w:cs="Arial"/>
          <w:bCs/>
          <w:color w:val="000000"/>
          <w:sz w:val="20"/>
          <w:szCs w:val="20"/>
        </w:rPr>
        <w:t>KEYWORDS</w:t>
      </w:r>
      <w:r w:rsidRPr="00EC37B0">
        <w:rPr>
          <w:rFonts w:ascii="Arial" w:hAnsi="Arial" w:cs="Arial"/>
          <w:color w:val="000000"/>
          <w:sz w:val="20"/>
          <w:szCs w:val="20"/>
        </w:rPr>
        <w:t>: Cardiovascular Diseases; Hypercholesterolemia; Statins; Pharmaceutical Services; Primary Health Care; Drug Utilization</w:t>
      </w:r>
      <w:r w:rsidR="001522C2" w:rsidRPr="00EC37B0">
        <w:rPr>
          <w:rFonts w:ascii="Arial" w:hAnsi="Arial" w:cs="Arial"/>
          <w:color w:val="000000"/>
          <w:sz w:val="20"/>
          <w:szCs w:val="20"/>
        </w:rPr>
        <w:t>, Brazil</w:t>
      </w:r>
    </w:p>
    <w:p w14:paraId="030AD133" w14:textId="77777777" w:rsidR="00265FB4" w:rsidRPr="00EC37B0" w:rsidRDefault="00265FB4" w:rsidP="00EC37B0">
      <w:pPr>
        <w:pStyle w:val="NoSpacing"/>
        <w:rPr>
          <w:rFonts w:ascii="Arial" w:hAnsi="Arial" w:cs="Arial"/>
          <w:sz w:val="20"/>
          <w:szCs w:val="20"/>
        </w:rPr>
      </w:pPr>
      <w:r w:rsidRPr="00EC37B0">
        <w:rPr>
          <w:rFonts w:ascii="Arial" w:hAnsi="Arial" w:cs="Arial"/>
          <w:bCs/>
          <w:color w:val="000000"/>
          <w:sz w:val="20"/>
          <w:szCs w:val="20"/>
        </w:rPr>
        <w:t>          </w:t>
      </w:r>
      <w:r w:rsidRPr="00EC37B0">
        <w:rPr>
          <w:rFonts w:ascii="Arial" w:hAnsi="Arial" w:cs="Arial"/>
          <w:bCs/>
          <w:color w:val="000000"/>
          <w:sz w:val="20"/>
          <w:szCs w:val="20"/>
        </w:rPr>
        <w:tab/>
      </w:r>
    </w:p>
    <w:p w14:paraId="0D557CDE" w14:textId="77777777" w:rsidR="00EC37B0" w:rsidRDefault="00EC37B0">
      <w:pPr>
        <w:spacing w:line="240" w:lineRule="auto"/>
        <w:rPr>
          <w:rFonts w:ascii="Arial" w:eastAsia="Lucida Sans Unicode" w:hAnsi="Arial" w:cs="Arial"/>
          <w:bCs/>
          <w:color w:val="000000"/>
          <w:kern w:val="1"/>
          <w:sz w:val="20"/>
          <w:szCs w:val="20"/>
          <w:lang w:val="pt-BR" w:eastAsia="ar-SA"/>
        </w:rPr>
      </w:pPr>
      <w:r>
        <w:rPr>
          <w:rFonts w:ascii="Arial" w:hAnsi="Arial" w:cs="Arial"/>
          <w:bCs/>
          <w:color w:val="000000"/>
          <w:sz w:val="20"/>
          <w:szCs w:val="20"/>
        </w:rPr>
        <w:br w:type="page"/>
      </w:r>
    </w:p>
    <w:p w14:paraId="1E483C06" w14:textId="56BF8B72" w:rsidR="00EE62B6" w:rsidRPr="00F1052A" w:rsidRDefault="00570793" w:rsidP="00EC37B0">
      <w:pPr>
        <w:pStyle w:val="NoSpacing"/>
        <w:rPr>
          <w:rFonts w:ascii="Arial" w:hAnsi="Arial" w:cs="Arial"/>
          <w:b/>
          <w:bCs/>
          <w:color w:val="000000"/>
          <w:sz w:val="20"/>
          <w:szCs w:val="20"/>
        </w:rPr>
      </w:pPr>
      <w:r w:rsidRPr="00F1052A">
        <w:rPr>
          <w:rFonts w:ascii="Arial" w:hAnsi="Arial" w:cs="Arial"/>
          <w:b/>
          <w:bCs/>
          <w:color w:val="000000"/>
          <w:sz w:val="20"/>
          <w:szCs w:val="20"/>
        </w:rPr>
        <w:lastRenderedPageBreak/>
        <w:t>Introduction</w:t>
      </w:r>
    </w:p>
    <w:p w14:paraId="41ADAE56" w14:textId="77777777" w:rsidR="00570793" w:rsidRPr="00EC37B0" w:rsidRDefault="00570793" w:rsidP="00EC37B0">
      <w:pPr>
        <w:pStyle w:val="NoSpacing"/>
        <w:rPr>
          <w:rFonts w:ascii="Arial" w:hAnsi="Arial" w:cs="Arial"/>
          <w:sz w:val="20"/>
          <w:szCs w:val="20"/>
        </w:rPr>
      </w:pPr>
    </w:p>
    <w:p w14:paraId="5433789D" w14:textId="00FAF6C2" w:rsidR="00EE62B6" w:rsidRPr="00EC37B0" w:rsidRDefault="00EE62B6" w:rsidP="00EC37B0">
      <w:pPr>
        <w:pStyle w:val="NoSpacing"/>
        <w:rPr>
          <w:rFonts w:ascii="Arial" w:hAnsi="Arial" w:cs="Arial"/>
          <w:sz w:val="20"/>
          <w:szCs w:val="20"/>
        </w:rPr>
      </w:pPr>
      <w:r w:rsidRPr="00EC37B0">
        <w:rPr>
          <w:rFonts w:ascii="Arial" w:hAnsi="Arial" w:cs="Arial"/>
          <w:color w:val="000000"/>
          <w:sz w:val="20"/>
          <w:szCs w:val="20"/>
        </w:rPr>
        <w:t xml:space="preserve">Chronic, non-communicable diseases (NCDs) are one of the major health and development challenges of the 21st century with appreciable burden across countries </w:t>
      </w:r>
      <w:hyperlink r:id="rId15" w:history="1">
        <w:r w:rsidRPr="00EC37B0">
          <w:rPr>
            <w:rFonts w:ascii="Arial" w:hAnsi="Arial" w:cs="Arial"/>
            <w:color w:val="000000"/>
            <w:sz w:val="20"/>
            <w:szCs w:val="20"/>
          </w:rPr>
          <w:t>[1,2]</w:t>
        </w:r>
      </w:hyperlink>
      <w:r w:rsidRPr="00EC37B0">
        <w:rPr>
          <w:rFonts w:ascii="Arial" w:hAnsi="Arial" w:cs="Arial"/>
          <w:color w:val="000000"/>
          <w:sz w:val="20"/>
          <w:szCs w:val="20"/>
        </w:rPr>
        <w:t xml:space="preserve">. The burden of NCDs is predicted to increase with the ageing populations, urbanisation, and globalisation of risk factors </w:t>
      </w:r>
      <w:hyperlink r:id="rId16" w:history="1">
        <w:r w:rsidRPr="00EC37B0">
          <w:rPr>
            <w:rFonts w:ascii="Arial" w:hAnsi="Arial" w:cs="Arial"/>
            <w:color w:val="000000"/>
            <w:sz w:val="20"/>
            <w:szCs w:val="20"/>
          </w:rPr>
          <w:t>[3–5]</w:t>
        </w:r>
      </w:hyperlink>
      <w:r w:rsidRPr="00EC37B0">
        <w:rPr>
          <w:rFonts w:ascii="Arial" w:hAnsi="Arial" w:cs="Arial"/>
          <w:color w:val="000000"/>
          <w:sz w:val="20"/>
          <w:szCs w:val="20"/>
        </w:rPr>
        <w:t>. Cardiovascular diseases (CVD) are the leading cause of NCD deaths worldwide</w:t>
      </w:r>
      <w:r w:rsidR="00BE07D5" w:rsidRPr="00EC37B0">
        <w:rPr>
          <w:rFonts w:ascii="Arial" w:hAnsi="Arial" w:cs="Arial"/>
          <w:color w:val="000000"/>
          <w:sz w:val="20"/>
          <w:szCs w:val="20"/>
        </w:rPr>
        <w:t>,</w:t>
      </w:r>
      <w:r w:rsidRPr="00EC37B0">
        <w:rPr>
          <w:rFonts w:ascii="Arial" w:hAnsi="Arial" w:cs="Arial"/>
          <w:color w:val="000000"/>
          <w:sz w:val="20"/>
          <w:szCs w:val="20"/>
        </w:rPr>
        <w:t xml:space="preserve"> </w:t>
      </w:r>
      <w:r w:rsidR="0054545C" w:rsidRPr="00EC37B0">
        <w:rPr>
          <w:rFonts w:ascii="Arial" w:hAnsi="Arial" w:cs="Arial"/>
          <w:color w:val="000000"/>
          <w:sz w:val="20"/>
          <w:szCs w:val="20"/>
        </w:rPr>
        <w:t>with</w:t>
      </w:r>
      <w:r w:rsidRPr="00EC37B0">
        <w:rPr>
          <w:rFonts w:ascii="Arial" w:hAnsi="Arial" w:cs="Arial"/>
          <w:color w:val="000000"/>
          <w:sz w:val="20"/>
          <w:szCs w:val="20"/>
        </w:rPr>
        <w:t xml:space="preserve"> the total annual number of NCD deaths projected to increase to 52 million by 2030 </w:t>
      </w:r>
      <w:hyperlink r:id="rId17" w:history="1">
        <w:r w:rsidRPr="00EC37B0">
          <w:rPr>
            <w:rFonts w:ascii="Arial" w:hAnsi="Arial" w:cs="Arial"/>
            <w:color w:val="000000"/>
            <w:sz w:val="20"/>
            <w:szCs w:val="20"/>
          </w:rPr>
          <w:t>[5]</w:t>
        </w:r>
      </w:hyperlink>
      <w:r w:rsidRPr="00EC37B0">
        <w:rPr>
          <w:rFonts w:ascii="Arial" w:hAnsi="Arial" w:cs="Arial"/>
          <w:color w:val="000000"/>
          <w:sz w:val="20"/>
          <w:szCs w:val="20"/>
        </w:rPr>
        <w:t xml:space="preserve">. </w:t>
      </w:r>
    </w:p>
    <w:p w14:paraId="245A8860" w14:textId="77777777" w:rsidR="00BE07D5"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ab/>
      </w:r>
    </w:p>
    <w:p w14:paraId="6C3B3949" w14:textId="2F4B277D" w:rsidR="00BE07D5" w:rsidRPr="00EC37B0" w:rsidRDefault="00EE62B6" w:rsidP="00EC37B0">
      <w:pPr>
        <w:pStyle w:val="NoSpacing"/>
        <w:rPr>
          <w:rFonts w:ascii="Arial" w:hAnsi="Arial" w:cs="Arial"/>
          <w:sz w:val="20"/>
          <w:szCs w:val="20"/>
        </w:rPr>
      </w:pPr>
      <w:r w:rsidRPr="00EC37B0">
        <w:rPr>
          <w:rFonts w:ascii="Arial" w:hAnsi="Arial" w:cs="Arial"/>
          <w:color w:val="000000"/>
          <w:sz w:val="20"/>
          <w:szCs w:val="20"/>
        </w:rPr>
        <w:t xml:space="preserve">In </w:t>
      </w:r>
      <w:r w:rsidR="0054545C" w:rsidRPr="00EC37B0">
        <w:rPr>
          <w:rFonts w:ascii="Arial" w:hAnsi="Arial" w:cs="Arial"/>
          <w:color w:val="000000"/>
          <w:sz w:val="20"/>
          <w:szCs w:val="20"/>
        </w:rPr>
        <w:t xml:space="preserve">view of the rising prevalence of NCDs, and their impact on morbidity and mortality, </w:t>
      </w:r>
      <w:r w:rsidRPr="00EC37B0">
        <w:rPr>
          <w:rFonts w:ascii="Arial" w:hAnsi="Arial" w:cs="Arial"/>
          <w:color w:val="000000"/>
          <w:sz w:val="20"/>
          <w:szCs w:val="20"/>
        </w:rPr>
        <w:t>the Pan American Health Organization (PAHO) drew up a Plan of Action for 2013 to 2019</w:t>
      </w:r>
      <w:r w:rsidR="0054545C" w:rsidRPr="00EC37B0">
        <w:rPr>
          <w:rFonts w:ascii="Arial" w:hAnsi="Arial" w:cs="Arial"/>
          <w:color w:val="000000"/>
          <w:sz w:val="20"/>
          <w:szCs w:val="20"/>
        </w:rPr>
        <w:t>. The objective is</w:t>
      </w:r>
      <w:r w:rsidRPr="00EC37B0">
        <w:rPr>
          <w:rFonts w:ascii="Arial" w:hAnsi="Arial" w:cs="Arial"/>
          <w:color w:val="000000"/>
          <w:sz w:val="20"/>
          <w:szCs w:val="20"/>
        </w:rPr>
        <w:t xml:space="preserve"> to prevent and control NCDs in view of their growing burden </w:t>
      </w:r>
      <w:hyperlink r:id="rId18" w:history="1">
        <w:r w:rsidRPr="00EC37B0">
          <w:rPr>
            <w:rFonts w:ascii="Arial" w:hAnsi="Arial" w:cs="Arial"/>
            <w:color w:val="000000"/>
            <w:sz w:val="20"/>
            <w:szCs w:val="20"/>
          </w:rPr>
          <w:t>[</w:t>
        </w:r>
        <w:r w:rsidR="0054545C" w:rsidRPr="00EC37B0">
          <w:rPr>
            <w:rFonts w:ascii="Arial" w:hAnsi="Arial" w:cs="Arial"/>
            <w:color w:val="000000"/>
            <w:sz w:val="20"/>
            <w:szCs w:val="20"/>
          </w:rPr>
          <w:t>6</w:t>
        </w:r>
        <w:r w:rsidRPr="00EC37B0">
          <w:rPr>
            <w:rFonts w:ascii="Arial" w:hAnsi="Arial" w:cs="Arial"/>
            <w:color w:val="000000"/>
            <w:sz w:val="20"/>
            <w:szCs w:val="20"/>
          </w:rPr>
          <w:t>]</w:t>
        </w:r>
      </w:hyperlink>
      <w:r w:rsidR="0054545C" w:rsidRPr="00EC37B0">
        <w:rPr>
          <w:rFonts w:ascii="Arial" w:hAnsi="Arial" w:cs="Arial"/>
          <w:color w:val="000000"/>
          <w:sz w:val="20"/>
          <w:szCs w:val="20"/>
        </w:rPr>
        <w:t>, which is in line with the Sustainable Development Goal for NCDs proposed by the World Health Organisation (WHO) [5,7]</w:t>
      </w:r>
      <w:r w:rsidRPr="00EC37B0">
        <w:rPr>
          <w:rFonts w:ascii="Arial" w:hAnsi="Arial" w:cs="Arial"/>
          <w:color w:val="000000"/>
          <w:sz w:val="20"/>
          <w:szCs w:val="20"/>
        </w:rPr>
        <w:t xml:space="preserve"> Universal health coverage, including access to essential medicines, people-centred primary health care and social protection mechanisms are important tools to support prevention and control of NCDs </w:t>
      </w:r>
      <w:hyperlink r:id="rId19" w:history="1">
        <w:r w:rsidRPr="00EC37B0">
          <w:rPr>
            <w:rFonts w:ascii="Arial" w:hAnsi="Arial" w:cs="Arial"/>
            <w:color w:val="000000"/>
            <w:sz w:val="20"/>
            <w:szCs w:val="20"/>
          </w:rPr>
          <w:t>[</w:t>
        </w:r>
        <w:r w:rsidR="004769A6" w:rsidRPr="00EC37B0">
          <w:rPr>
            <w:rFonts w:ascii="Arial" w:hAnsi="Arial" w:cs="Arial"/>
            <w:color w:val="000000"/>
            <w:sz w:val="20"/>
            <w:szCs w:val="20"/>
          </w:rPr>
          <w:t>8</w:t>
        </w:r>
        <w:r w:rsidRPr="00EC37B0">
          <w:rPr>
            <w:rFonts w:ascii="Arial" w:hAnsi="Arial" w:cs="Arial"/>
            <w:color w:val="000000"/>
            <w:sz w:val="20"/>
            <w:szCs w:val="20"/>
          </w:rPr>
          <w:t>,9]</w:t>
        </w:r>
      </w:hyperlink>
      <w:r w:rsidRPr="00EC37B0">
        <w:rPr>
          <w:rFonts w:ascii="Arial" w:hAnsi="Arial" w:cs="Arial"/>
          <w:color w:val="000000"/>
          <w:sz w:val="20"/>
          <w:szCs w:val="20"/>
        </w:rPr>
        <w:t xml:space="preserve">. </w:t>
      </w:r>
      <w:r w:rsidR="004769A6" w:rsidRPr="00EC37B0">
        <w:rPr>
          <w:rFonts w:ascii="Arial" w:hAnsi="Arial" w:cs="Arial"/>
          <w:color w:val="000000"/>
          <w:sz w:val="20"/>
          <w:szCs w:val="20"/>
        </w:rPr>
        <w:t>P</w:t>
      </w:r>
      <w:r w:rsidRPr="00EC37B0">
        <w:rPr>
          <w:rFonts w:ascii="Arial" w:hAnsi="Arial" w:cs="Arial"/>
          <w:color w:val="000000"/>
          <w:sz w:val="20"/>
          <w:szCs w:val="20"/>
        </w:rPr>
        <w:t>atient co-payment is a particular issue affecting adherence to medicines</w:t>
      </w:r>
      <w:r w:rsidR="006F03EA" w:rsidRPr="00EC37B0">
        <w:rPr>
          <w:rFonts w:ascii="Arial" w:hAnsi="Arial" w:cs="Arial"/>
          <w:color w:val="000000"/>
          <w:sz w:val="20"/>
          <w:szCs w:val="20"/>
        </w:rPr>
        <w:t xml:space="preserve"> </w:t>
      </w:r>
      <w:r w:rsidRPr="00EC37B0">
        <w:rPr>
          <w:rFonts w:ascii="Arial" w:hAnsi="Arial" w:cs="Arial"/>
          <w:color w:val="000000"/>
          <w:sz w:val="20"/>
          <w:szCs w:val="20"/>
        </w:rPr>
        <w:t xml:space="preserve">negatively impacting on morbidity and mortality </w:t>
      </w:r>
      <w:hyperlink r:id="rId20" w:history="1">
        <w:r w:rsidRPr="00EC37B0">
          <w:rPr>
            <w:rFonts w:ascii="Arial" w:hAnsi="Arial" w:cs="Arial"/>
            <w:color w:val="000000"/>
            <w:sz w:val="20"/>
            <w:szCs w:val="20"/>
          </w:rPr>
          <w:t>[10–12]</w:t>
        </w:r>
      </w:hyperlink>
      <w:r w:rsidR="00BE07D5" w:rsidRPr="00EC37B0">
        <w:rPr>
          <w:rFonts w:ascii="Arial" w:hAnsi="Arial" w:cs="Arial"/>
          <w:color w:val="000000"/>
          <w:sz w:val="20"/>
          <w:szCs w:val="20"/>
        </w:rPr>
        <w:t>.</w:t>
      </w:r>
    </w:p>
    <w:p w14:paraId="420BC79D" w14:textId="77777777" w:rsidR="006F03EA" w:rsidRPr="00EC37B0" w:rsidRDefault="006F03EA" w:rsidP="00EC37B0">
      <w:pPr>
        <w:pStyle w:val="NoSpacing"/>
        <w:rPr>
          <w:rFonts w:ascii="Arial" w:hAnsi="Arial" w:cs="Arial"/>
          <w:color w:val="000000"/>
          <w:sz w:val="20"/>
          <w:szCs w:val="20"/>
        </w:rPr>
      </w:pPr>
    </w:p>
    <w:p w14:paraId="2E5FC004" w14:textId="739F98AB" w:rsidR="0041708E" w:rsidRPr="00EC37B0" w:rsidRDefault="00EE62B6" w:rsidP="00EC37B0">
      <w:pPr>
        <w:pStyle w:val="NoSpacing"/>
        <w:rPr>
          <w:rFonts w:ascii="Arial" w:hAnsi="Arial" w:cs="Arial"/>
          <w:color w:val="000000"/>
          <w:sz w:val="20"/>
          <w:szCs w:val="20"/>
        </w:rPr>
      </w:pPr>
      <w:r w:rsidRPr="00EC37B0">
        <w:rPr>
          <w:rFonts w:ascii="Arial" w:hAnsi="Arial" w:cs="Arial"/>
          <w:color w:val="000000"/>
          <w:sz w:val="20"/>
          <w:szCs w:val="20"/>
        </w:rPr>
        <w:t xml:space="preserve">The constitutional right to health is guaranteed in Brazil and the implementation of the </w:t>
      </w:r>
      <w:r w:rsidRPr="00EC37B0">
        <w:rPr>
          <w:rFonts w:ascii="Arial" w:hAnsi="Arial" w:cs="Arial"/>
          <w:i/>
          <w:iCs/>
          <w:color w:val="000000"/>
          <w:sz w:val="20"/>
          <w:szCs w:val="20"/>
        </w:rPr>
        <w:t>Sistema Único de Saúde</w:t>
      </w:r>
      <w:r w:rsidRPr="00EC37B0">
        <w:rPr>
          <w:rFonts w:ascii="Arial" w:hAnsi="Arial" w:cs="Arial"/>
          <w:color w:val="000000"/>
          <w:sz w:val="20"/>
          <w:szCs w:val="20"/>
        </w:rPr>
        <w:t xml:space="preserve"> (SUS), a</w:t>
      </w:r>
      <w:r w:rsidR="00A77409" w:rsidRPr="00EC37B0">
        <w:rPr>
          <w:rFonts w:ascii="Arial" w:hAnsi="Arial" w:cs="Arial"/>
          <w:color w:val="000000"/>
          <w:sz w:val="20"/>
          <w:szCs w:val="20"/>
        </w:rPr>
        <w:t>nd</w:t>
      </w:r>
      <w:r w:rsidRPr="00EC37B0">
        <w:rPr>
          <w:rFonts w:ascii="Arial" w:hAnsi="Arial" w:cs="Arial"/>
          <w:color w:val="000000"/>
          <w:sz w:val="20"/>
          <w:szCs w:val="20"/>
        </w:rPr>
        <w:t xml:space="preserve"> universal coverage health system, has enabled greater access to health care </w:t>
      </w:r>
      <w:hyperlink r:id="rId21" w:history="1">
        <w:r w:rsidRPr="00EC37B0">
          <w:rPr>
            <w:rFonts w:ascii="Arial" w:hAnsi="Arial" w:cs="Arial"/>
            <w:color w:val="000000"/>
            <w:sz w:val="20"/>
            <w:szCs w:val="20"/>
          </w:rPr>
          <w:t>[13]</w:t>
        </w:r>
      </w:hyperlink>
      <w:r w:rsidRPr="00EC37B0">
        <w:rPr>
          <w:rFonts w:ascii="Arial" w:hAnsi="Arial" w:cs="Arial"/>
          <w:color w:val="000000"/>
          <w:sz w:val="20"/>
          <w:szCs w:val="20"/>
        </w:rPr>
        <w:t xml:space="preserve">. CVD </w:t>
      </w:r>
      <w:r w:rsidR="00A77409" w:rsidRPr="00EC37B0">
        <w:rPr>
          <w:rFonts w:ascii="Arial" w:hAnsi="Arial" w:cs="Arial"/>
          <w:color w:val="000000"/>
          <w:sz w:val="20"/>
          <w:szCs w:val="20"/>
        </w:rPr>
        <w:t>is</w:t>
      </w:r>
      <w:r w:rsidRPr="00EC37B0">
        <w:rPr>
          <w:rFonts w:ascii="Arial" w:hAnsi="Arial" w:cs="Arial"/>
          <w:color w:val="000000"/>
          <w:sz w:val="20"/>
          <w:szCs w:val="20"/>
        </w:rPr>
        <w:t xml:space="preserve"> the main cause of hospital admissions and death in Brazil </w:t>
      </w:r>
      <w:hyperlink r:id="rId22" w:history="1">
        <w:r w:rsidRPr="00EC37B0">
          <w:rPr>
            <w:rFonts w:ascii="Arial" w:hAnsi="Arial" w:cs="Arial"/>
            <w:color w:val="000000"/>
            <w:sz w:val="20"/>
            <w:szCs w:val="20"/>
          </w:rPr>
          <w:t>[14–16]</w:t>
        </w:r>
      </w:hyperlink>
      <w:r w:rsidRPr="00EC37B0">
        <w:rPr>
          <w:rFonts w:ascii="Arial" w:hAnsi="Arial" w:cs="Arial"/>
          <w:color w:val="000000"/>
          <w:sz w:val="20"/>
          <w:szCs w:val="20"/>
        </w:rPr>
        <w:t xml:space="preserve">, </w:t>
      </w:r>
      <w:r w:rsidR="00A77409" w:rsidRPr="00EC37B0">
        <w:rPr>
          <w:rFonts w:ascii="Arial" w:hAnsi="Arial" w:cs="Arial"/>
          <w:color w:val="000000"/>
          <w:sz w:val="20"/>
          <w:szCs w:val="20"/>
        </w:rPr>
        <w:t xml:space="preserve">Medicines, including statins, are the cornerstone of CVD prevention and treatment [6, 17-20]. </w:t>
      </w:r>
      <w:r w:rsidR="0041708E" w:rsidRPr="00EC37B0">
        <w:rPr>
          <w:rFonts w:ascii="Arial" w:hAnsi="Arial" w:cs="Arial"/>
          <w:color w:val="000000"/>
          <w:sz w:val="20"/>
          <w:szCs w:val="20"/>
        </w:rPr>
        <w:t>Special attention is paid to</w:t>
      </w:r>
      <w:r w:rsidRPr="00EC37B0">
        <w:rPr>
          <w:rFonts w:ascii="Arial" w:hAnsi="Arial" w:cs="Arial"/>
          <w:color w:val="000000"/>
          <w:sz w:val="20"/>
          <w:szCs w:val="20"/>
        </w:rPr>
        <w:t xml:space="preserve"> atherosclero</w:t>
      </w:r>
      <w:r w:rsidR="0041708E" w:rsidRPr="00EC37B0">
        <w:rPr>
          <w:rFonts w:ascii="Arial" w:hAnsi="Arial" w:cs="Arial"/>
          <w:color w:val="000000"/>
          <w:sz w:val="20"/>
          <w:szCs w:val="20"/>
        </w:rPr>
        <w:t>tic</w:t>
      </w:r>
      <w:r w:rsidRPr="00EC37B0">
        <w:rPr>
          <w:rFonts w:ascii="Arial" w:hAnsi="Arial" w:cs="Arial"/>
          <w:color w:val="000000"/>
          <w:sz w:val="20"/>
          <w:szCs w:val="20"/>
        </w:rPr>
        <w:t xml:space="preserve"> the Brazilian Guidelines for the prevention of </w:t>
      </w:r>
      <w:r w:rsidR="0041708E" w:rsidRPr="00EC37B0">
        <w:rPr>
          <w:rFonts w:ascii="Arial" w:hAnsi="Arial" w:cs="Arial"/>
          <w:color w:val="000000"/>
          <w:sz w:val="20"/>
          <w:szCs w:val="20"/>
        </w:rPr>
        <w:t>CV</w:t>
      </w:r>
      <w:r w:rsidRPr="00EC37B0">
        <w:rPr>
          <w:rFonts w:ascii="Arial" w:hAnsi="Arial" w:cs="Arial"/>
          <w:color w:val="000000"/>
          <w:sz w:val="20"/>
          <w:szCs w:val="20"/>
        </w:rPr>
        <w:t xml:space="preserve"> events, </w:t>
      </w:r>
      <w:r w:rsidR="0041708E" w:rsidRPr="00EC37B0">
        <w:rPr>
          <w:rFonts w:ascii="Arial" w:hAnsi="Arial" w:cs="Arial"/>
          <w:color w:val="000000"/>
          <w:sz w:val="20"/>
          <w:szCs w:val="20"/>
        </w:rPr>
        <w:t xml:space="preserve">with </w:t>
      </w:r>
      <w:r w:rsidRPr="00EC37B0">
        <w:rPr>
          <w:rFonts w:ascii="Arial" w:hAnsi="Arial" w:cs="Arial"/>
          <w:color w:val="000000"/>
          <w:sz w:val="20"/>
          <w:szCs w:val="20"/>
        </w:rPr>
        <w:t xml:space="preserve">the treatment of dyslipidemia comprises two major approaches: non-pharmacological and pharmacological therapy </w:t>
      </w:r>
      <w:r w:rsidR="00F1052A">
        <w:fldChar w:fldCharType="begin"/>
      </w:r>
      <w:r w:rsidR="00F1052A">
        <w:instrText xml:space="preserve"> HYPERLINK "https://paperpile.com/c/1wdYXm/qMp9R+QOFl2" </w:instrText>
      </w:r>
      <w:r w:rsidR="00F1052A">
        <w:fldChar w:fldCharType="separate"/>
      </w:r>
      <w:r w:rsidRPr="00EC37B0">
        <w:rPr>
          <w:rFonts w:ascii="Arial" w:hAnsi="Arial" w:cs="Arial"/>
          <w:color w:val="000000"/>
          <w:sz w:val="20"/>
          <w:szCs w:val="20"/>
        </w:rPr>
        <w:t>[21,22]</w:t>
      </w:r>
      <w:r w:rsidR="00F1052A">
        <w:rPr>
          <w:rFonts w:ascii="Arial" w:hAnsi="Arial" w:cs="Arial"/>
          <w:color w:val="000000"/>
          <w:sz w:val="20"/>
          <w:szCs w:val="20"/>
        </w:rPr>
        <w:fldChar w:fldCharType="end"/>
      </w:r>
      <w:r w:rsidRPr="00EC37B0">
        <w:rPr>
          <w:rFonts w:ascii="Arial" w:hAnsi="Arial" w:cs="Arial"/>
          <w:color w:val="000000"/>
          <w:sz w:val="20"/>
          <w:szCs w:val="20"/>
        </w:rPr>
        <w:t xml:space="preserve">. </w:t>
      </w:r>
      <w:r w:rsidR="0041708E" w:rsidRPr="00EC37B0">
        <w:rPr>
          <w:rFonts w:ascii="Arial" w:hAnsi="Arial" w:cs="Arial"/>
          <w:color w:val="000000"/>
          <w:sz w:val="20"/>
          <w:szCs w:val="20"/>
        </w:rPr>
        <w:t xml:space="preserve">Overall </w:t>
      </w:r>
      <w:r w:rsidRPr="00EC37B0">
        <w:rPr>
          <w:rFonts w:ascii="Arial" w:hAnsi="Arial" w:cs="Arial"/>
          <w:color w:val="000000"/>
          <w:sz w:val="20"/>
          <w:szCs w:val="20"/>
        </w:rPr>
        <w:t>CVD prevention</w:t>
      </w:r>
      <w:r w:rsidR="0041708E" w:rsidRPr="00EC37B0">
        <w:rPr>
          <w:rFonts w:ascii="Arial" w:hAnsi="Arial" w:cs="Arial"/>
          <w:color w:val="000000"/>
          <w:sz w:val="20"/>
          <w:szCs w:val="20"/>
        </w:rPr>
        <w:t xml:space="preserve"> </w:t>
      </w:r>
      <w:r w:rsidRPr="00EC37B0">
        <w:rPr>
          <w:rFonts w:ascii="Arial" w:hAnsi="Arial" w:cs="Arial"/>
          <w:color w:val="000000"/>
          <w:sz w:val="20"/>
          <w:szCs w:val="20"/>
        </w:rPr>
        <w:t xml:space="preserve">is </w:t>
      </w:r>
      <w:r w:rsidR="0041708E" w:rsidRPr="00EC37B0">
        <w:rPr>
          <w:rFonts w:ascii="Arial" w:hAnsi="Arial" w:cs="Arial"/>
          <w:color w:val="000000"/>
          <w:sz w:val="20"/>
          <w:szCs w:val="20"/>
        </w:rPr>
        <w:t xml:space="preserve">a </w:t>
      </w:r>
      <w:r w:rsidRPr="00EC37B0">
        <w:rPr>
          <w:rFonts w:ascii="Arial" w:hAnsi="Arial" w:cs="Arial"/>
          <w:color w:val="000000"/>
          <w:sz w:val="20"/>
          <w:szCs w:val="20"/>
        </w:rPr>
        <w:t xml:space="preserve">cost effective </w:t>
      </w:r>
      <w:r w:rsidR="0041708E" w:rsidRPr="00EC37B0">
        <w:rPr>
          <w:rFonts w:ascii="Arial" w:hAnsi="Arial" w:cs="Arial"/>
          <w:color w:val="000000"/>
          <w:sz w:val="20"/>
          <w:szCs w:val="20"/>
        </w:rPr>
        <w:t xml:space="preserve">strategy </w:t>
      </w:r>
      <w:r w:rsidRPr="00EC37B0">
        <w:rPr>
          <w:rFonts w:ascii="Arial" w:hAnsi="Arial" w:cs="Arial"/>
          <w:color w:val="000000"/>
          <w:sz w:val="20"/>
          <w:szCs w:val="20"/>
        </w:rPr>
        <w:t xml:space="preserve">in many scenarios, including population-based approaches and actions directed at high-risk individuals </w:t>
      </w:r>
      <w:hyperlink r:id="rId23" w:history="1">
        <w:r w:rsidRPr="00EC37B0">
          <w:rPr>
            <w:rFonts w:ascii="Arial" w:hAnsi="Arial" w:cs="Arial"/>
            <w:color w:val="000000"/>
            <w:sz w:val="20"/>
            <w:szCs w:val="20"/>
          </w:rPr>
          <w:t>[19,21]</w:t>
        </w:r>
      </w:hyperlink>
      <w:r w:rsidRPr="00EC37B0">
        <w:rPr>
          <w:rFonts w:ascii="Arial" w:hAnsi="Arial" w:cs="Arial"/>
          <w:color w:val="000000"/>
          <w:sz w:val="20"/>
          <w:szCs w:val="20"/>
        </w:rPr>
        <w:t xml:space="preserve">. </w:t>
      </w:r>
      <w:r w:rsidR="0041708E" w:rsidRPr="00EC37B0">
        <w:rPr>
          <w:rFonts w:ascii="Arial" w:hAnsi="Arial" w:cs="Arial"/>
          <w:color w:val="000000"/>
          <w:sz w:val="20"/>
          <w:szCs w:val="20"/>
        </w:rPr>
        <w:t xml:space="preserve">Socioeconomic status is an additional factor contributing to CVD risk </w:t>
      </w:r>
      <w:hyperlink r:id="rId24" w:history="1">
        <w:r w:rsidR="0041708E" w:rsidRPr="00EC37B0">
          <w:rPr>
            <w:rFonts w:ascii="Arial" w:hAnsi="Arial" w:cs="Arial"/>
            <w:color w:val="000000"/>
            <w:sz w:val="20"/>
            <w:szCs w:val="20"/>
          </w:rPr>
          <w:t>[19]</w:t>
        </w:r>
      </w:hyperlink>
      <w:r w:rsidR="0041708E" w:rsidRPr="00EC37B0">
        <w:rPr>
          <w:rFonts w:ascii="Arial" w:hAnsi="Arial" w:cs="Arial"/>
          <w:color w:val="000000"/>
          <w:sz w:val="20"/>
          <w:szCs w:val="20"/>
        </w:rPr>
        <w:t xml:space="preserve">. Half of the CVD deaths, before the age of 65, can be attributed to poverty, social inequalities and educational level </w:t>
      </w:r>
      <w:hyperlink r:id="rId25" w:history="1">
        <w:r w:rsidR="0041708E" w:rsidRPr="00EC37B0">
          <w:rPr>
            <w:rFonts w:ascii="Arial" w:hAnsi="Arial" w:cs="Arial"/>
            <w:color w:val="000000"/>
            <w:sz w:val="20"/>
            <w:szCs w:val="20"/>
          </w:rPr>
          <w:t>[14]</w:t>
        </w:r>
      </w:hyperlink>
      <w:r w:rsidR="0041708E" w:rsidRPr="00EC37B0">
        <w:rPr>
          <w:rFonts w:ascii="Arial" w:hAnsi="Arial" w:cs="Arial"/>
          <w:color w:val="000000"/>
          <w:sz w:val="20"/>
          <w:szCs w:val="20"/>
        </w:rPr>
        <w:t xml:space="preserve">. Inadequate diet, low physical activity, alcohol consumption and smoking are also more prevalent in the poorer social classes of the population </w:t>
      </w:r>
      <w:hyperlink r:id="rId26" w:history="1">
        <w:r w:rsidR="0041708E" w:rsidRPr="00EC37B0">
          <w:rPr>
            <w:rFonts w:ascii="Arial" w:hAnsi="Arial" w:cs="Arial"/>
            <w:color w:val="000000"/>
            <w:sz w:val="20"/>
            <w:szCs w:val="20"/>
          </w:rPr>
          <w:t>[2</w:t>
        </w:r>
        <w:r w:rsidR="001F166A" w:rsidRPr="00EC37B0">
          <w:rPr>
            <w:rFonts w:ascii="Arial" w:hAnsi="Arial" w:cs="Arial"/>
            <w:color w:val="000000"/>
            <w:sz w:val="20"/>
            <w:szCs w:val="20"/>
          </w:rPr>
          <w:t>3</w:t>
        </w:r>
        <w:r w:rsidR="0041708E" w:rsidRPr="00EC37B0">
          <w:rPr>
            <w:rFonts w:ascii="Arial" w:hAnsi="Arial" w:cs="Arial"/>
            <w:color w:val="000000"/>
            <w:sz w:val="20"/>
            <w:szCs w:val="20"/>
          </w:rPr>
          <w:t>,2</w:t>
        </w:r>
        <w:r w:rsidR="001F166A" w:rsidRPr="00EC37B0">
          <w:rPr>
            <w:rFonts w:ascii="Arial" w:hAnsi="Arial" w:cs="Arial"/>
            <w:color w:val="000000"/>
            <w:sz w:val="20"/>
            <w:szCs w:val="20"/>
          </w:rPr>
          <w:t>4</w:t>
        </w:r>
        <w:r w:rsidR="0041708E" w:rsidRPr="00EC37B0">
          <w:rPr>
            <w:rFonts w:ascii="Arial" w:hAnsi="Arial" w:cs="Arial"/>
            <w:color w:val="000000"/>
            <w:sz w:val="20"/>
            <w:szCs w:val="20"/>
          </w:rPr>
          <w:t>]</w:t>
        </w:r>
      </w:hyperlink>
      <w:r w:rsidR="0041708E" w:rsidRPr="00EC37B0">
        <w:rPr>
          <w:rFonts w:ascii="Arial" w:hAnsi="Arial" w:cs="Arial"/>
          <w:color w:val="000000"/>
          <w:sz w:val="20"/>
          <w:szCs w:val="20"/>
        </w:rPr>
        <w:t>.</w:t>
      </w:r>
    </w:p>
    <w:p w14:paraId="04DC0074" w14:textId="77777777" w:rsidR="00BE07D5" w:rsidRPr="00EC37B0" w:rsidRDefault="00BE07D5" w:rsidP="00EC37B0">
      <w:pPr>
        <w:pStyle w:val="NoSpacing"/>
        <w:rPr>
          <w:rFonts w:ascii="Arial" w:hAnsi="Arial" w:cs="Arial"/>
          <w:sz w:val="20"/>
          <w:szCs w:val="20"/>
        </w:rPr>
      </w:pPr>
    </w:p>
    <w:p w14:paraId="6225BD36" w14:textId="76FF0008" w:rsidR="00EE62B6" w:rsidRDefault="00EE62B6" w:rsidP="00EC37B0">
      <w:pPr>
        <w:pStyle w:val="NoSpacing"/>
        <w:rPr>
          <w:rFonts w:ascii="Arial" w:hAnsi="Arial" w:cs="Arial"/>
          <w:color w:val="000000"/>
          <w:sz w:val="20"/>
          <w:szCs w:val="20"/>
        </w:rPr>
      </w:pPr>
      <w:r w:rsidRPr="00EC37B0">
        <w:rPr>
          <w:rFonts w:ascii="Arial" w:hAnsi="Arial" w:cs="Arial"/>
          <w:color w:val="000000"/>
          <w:sz w:val="20"/>
          <w:szCs w:val="20"/>
        </w:rPr>
        <w:t xml:space="preserve">Statins are the most commonly used lipid lowering medicines in clinical practice today due to the scientific evidence regarding their efficacy and relative safety </w:t>
      </w:r>
      <w:hyperlink r:id="rId27" w:history="1">
        <w:r w:rsidRPr="00EC37B0">
          <w:rPr>
            <w:rFonts w:ascii="Arial" w:hAnsi="Arial" w:cs="Arial"/>
            <w:color w:val="000000"/>
            <w:sz w:val="20"/>
            <w:szCs w:val="20"/>
          </w:rPr>
          <w:t>[</w:t>
        </w:r>
        <w:r w:rsidR="003D2177" w:rsidRPr="00EC37B0">
          <w:rPr>
            <w:rFonts w:ascii="Arial" w:hAnsi="Arial" w:cs="Arial"/>
            <w:color w:val="000000"/>
            <w:sz w:val="20"/>
            <w:szCs w:val="20"/>
          </w:rPr>
          <w:t xml:space="preserve">17, </w:t>
        </w:r>
        <w:r w:rsidRPr="00EC37B0">
          <w:rPr>
            <w:rFonts w:ascii="Arial" w:hAnsi="Arial" w:cs="Arial"/>
            <w:color w:val="000000"/>
            <w:sz w:val="20"/>
            <w:szCs w:val="20"/>
          </w:rPr>
          <w:t>19–21,25]</w:t>
        </w:r>
      </w:hyperlink>
      <w:r w:rsidRPr="00EC37B0">
        <w:rPr>
          <w:rFonts w:ascii="Arial" w:hAnsi="Arial" w:cs="Arial"/>
          <w:color w:val="000000"/>
          <w:sz w:val="20"/>
          <w:szCs w:val="20"/>
        </w:rPr>
        <w:t xml:space="preserve">. </w:t>
      </w:r>
      <w:r w:rsidR="000C5DE5" w:rsidRPr="00EC37B0">
        <w:rPr>
          <w:rFonts w:ascii="Arial" w:hAnsi="Arial" w:cs="Arial"/>
          <w:color w:val="000000"/>
          <w:sz w:val="20"/>
          <w:szCs w:val="20"/>
        </w:rPr>
        <w:t xml:space="preserve">Whilst there may be differences between the statins, </w:t>
      </w:r>
      <w:r w:rsidR="00320A85" w:rsidRPr="00EC37B0">
        <w:rPr>
          <w:rFonts w:ascii="Arial" w:hAnsi="Arial" w:cs="Arial"/>
          <w:color w:val="000000"/>
          <w:sz w:val="20"/>
          <w:szCs w:val="20"/>
        </w:rPr>
        <w:t>i</w:t>
      </w:r>
      <w:r w:rsidRPr="00EC37B0">
        <w:rPr>
          <w:rFonts w:ascii="Arial" w:hAnsi="Arial" w:cs="Arial"/>
          <w:color w:val="000000"/>
          <w:sz w:val="20"/>
          <w:szCs w:val="20"/>
        </w:rPr>
        <w:t xml:space="preserve">t is unclear whether these differences impact </w:t>
      </w:r>
      <w:r w:rsidR="00320A85" w:rsidRPr="00EC37B0">
        <w:rPr>
          <w:rFonts w:ascii="Arial" w:hAnsi="Arial" w:cs="Arial"/>
          <w:color w:val="000000"/>
          <w:sz w:val="20"/>
          <w:szCs w:val="20"/>
        </w:rPr>
        <w:t>on</w:t>
      </w:r>
      <w:r w:rsidRPr="00EC37B0">
        <w:rPr>
          <w:rFonts w:ascii="Arial" w:hAnsi="Arial" w:cs="Arial"/>
          <w:color w:val="000000"/>
          <w:sz w:val="20"/>
          <w:szCs w:val="20"/>
        </w:rPr>
        <w:t xml:space="preserve"> clinical outcomes in routine clinical practice and whether one statin should be preferred over another </w:t>
      </w:r>
      <w:hyperlink r:id="rId28" w:history="1">
        <w:r w:rsidRPr="00EC37B0">
          <w:rPr>
            <w:rFonts w:ascii="Arial" w:hAnsi="Arial" w:cs="Arial"/>
            <w:color w:val="000000"/>
            <w:sz w:val="20"/>
            <w:szCs w:val="20"/>
          </w:rPr>
          <w:t>[25,2</w:t>
        </w:r>
        <w:r w:rsidR="001F166A" w:rsidRPr="00EC37B0">
          <w:rPr>
            <w:rFonts w:ascii="Arial" w:hAnsi="Arial" w:cs="Arial"/>
            <w:color w:val="000000"/>
            <w:sz w:val="20"/>
            <w:szCs w:val="20"/>
          </w:rPr>
          <w:t>6</w:t>
        </w:r>
        <w:r w:rsidRPr="00EC37B0">
          <w:rPr>
            <w:rFonts w:ascii="Arial" w:hAnsi="Arial" w:cs="Arial"/>
            <w:color w:val="000000"/>
            <w:sz w:val="20"/>
            <w:szCs w:val="20"/>
          </w:rPr>
          <w:t>]</w:t>
        </w:r>
      </w:hyperlink>
      <w:r w:rsidR="00320A85" w:rsidRPr="00EC37B0">
        <w:rPr>
          <w:rFonts w:ascii="Arial" w:hAnsi="Arial" w:cs="Arial"/>
          <w:color w:val="000000"/>
          <w:sz w:val="20"/>
          <w:szCs w:val="20"/>
        </w:rPr>
        <w:t>. This changes when</w:t>
      </w:r>
      <w:r w:rsidRPr="00EC37B0">
        <w:rPr>
          <w:rFonts w:ascii="Arial" w:hAnsi="Arial" w:cs="Arial"/>
          <w:color w:val="000000"/>
          <w:sz w:val="20"/>
          <w:szCs w:val="20"/>
        </w:rPr>
        <w:t xml:space="preserve"> there are appreciable cost differences as seen when generic simvastatin became available </w:t>
      </w:r>
      <w:hyperlink r:id="rId29" w:history="1">
        <w:r w:rsidRPr="00EC37B0">
          <w:rPr>
            <w:rFonts w:ascii="Arial" w:hAnsi="Arial" w:cs="Arial"/>
            <w:color w:val="000000"/>
            <w:sz w:val="20"/>
            <w:szCs w:val="20"/>
          </w:rPr>
          <w:t>[2</w:t>
        </w:r>
        <w:r w:rsidR="001F166A" w:rsidRPr="00EC37B0">
          <w:rPr>
            <w:rFonts w:ascii="Arial" w:hAnsi="Arial" w:cs="Arial"/>
            <w:color w:val="000000"/>
            <w:sz w:val="20"/>
            <w:szCs w:val="20"/>
          </w:rPr>
          <w:t>7</w:t>
        </w:r>
        <w:r w:rsidR="00320A85" w:rsidRPr="00EC37B0">
          <w:rPr>
            <w:rFonts w:ascii="Arial" w:hAnsi="Arial" w:cs="Arial"/>
            <w:color w:val="000000"/>
            <w:sz w:val="20"/>
            <w:szCs w:val="20"/>
          </w:rPr>
          <w:t>-</w:t>
        </w:r>
        <w:r w:rsidR="001F166A" w:rsidRPr="00EC37B0">
          <w:rPr>
            <w:rFonts w:ascii="Arial" w:hAnsi="Arial" w:cs="Arial"/>
            <w:color w:val="000000"/>
            <w:sz w:val="20"/>
            <w:szCs w:val="20"/>
          </w:rPr>
          <w:t>30</w:t>
        </w:r>
        <w:r w:rsidRPr="00EC37B0">
          <w:rPr>
            <w:rFonts w:ascii="Arial" w:hAnsi="Arial" w:cs="Arial"/>
            <w:color w:val="000000"/>
            <w:sz w:val="20"/>
            <w:szCs w:val="20"/>
          </w:rPr>
          <w:t>]</w:t>
        </w:r>
      </w:hyperlink>
      <w:r w:rsidRPr="00EC37B0">
        <w:rPr>
          <w:rFonts w:ascii="Arial" w:hAnsi="Arial" w:cs="Arial"/>
          <w:color w:val="000000"/>
          <w:sz w:val="20"/>
          <w:szCs w:val="20"/>
        </w:rPr>
        <w:t>.</w:t>
      </w:r>
      <w:r w:rsidR="00320A85" w:rsidRPr="00EC37B0">
        <w:rPr>
          <w:rFonts w:ascii="Arial" w:hAnsi="Arial" w:cs="Arial"/>
          <w:color w:val="000000"/>
          <w:sz w:val="20"/>
          <w:szCs w:val="20"/>
        </w:rPr>
        <w:t xml:space="preserve"> Within the Brazilian healthcare system, statins became available in 2002, and currently there are five statins provided by SUS: atorvastatin, fluvastatin, lovastatin, pravastatin and simvastatin (Figure 1).</w:t>
      </w:r>
    </w:p>
    <w:p w14:paraId="2FB13642" w14:textId="3C7B457D" w:rsidR="00F1052A" w:rsidRDefault="00F1052A" w:rsidP="00EC37B0">
      <w:pPr>
        <w:pStyle w:val="NoSpacing"/>
        <w:rPr>
          <w:rFonts w:ascii="Arial" w:hAnsi="Arial" w:cs="Arial"/>
          <w:color w:val="000000"/>
          <w:sz w:val="20"/>
          <w:szCs w:val="20"/>
        </w:rPr>
      </w:pPr>
    </w:p>
    <w:p w14:paraId="6B9D5B1C" w14:textId="77777777" w:rsidR="00F1052A" w:rsidRDefault="00F1052A">
      <w:pPr>
        <w:spacing w:line="240" w:lineRule="auto"/>
        <w:rPr>
          <w:rFonts w:ascii="Arial" w:hAnsi="Arial" w:cs="Arial"/>
          <w:b/>
          <w:bCs/>
          <w:color w:val="000074"/>
          <w:sz w:val="20"/>
        </w:rPr>
      </w:pPr>
      <w:r>
        <w:rPr>
          <w:rFonts w:ascii="Arial" w:hAnsi="Arial" w:cs="Arial"/>
          <w:b/>
          <w:bCs/>
          <w:color w:val="000074"/>
          <w:sz w:val="20"/>
        </w:rPr>
        <w:br w:type="page"/>
      </w:r>
    </w:p>
    <w:p w14:paraId="1D70AD8E" w14:textId="62A4E977" w:rsidR="00F1052A" w:rsidRPr="00F1052A" w:rsidRDefault="00F1052A" w:rsidP="00F1052A">
      <w:pPr>
        <w:spacing w:line="240" w:lineRule="auto"/>
        <w:jc w:val="both"/>
        <w:rPr>
          <w:rFonts w:ascii="Arial" w:hAnsi="Arial" w:cs="Arial"/>
          <w:b/>
          <w:bCs/>
          <w:sz w:val="20"/>
        </w:rPr>
      </w:pPr>
      <w:r w:rsidRPr="00F1052A">
        <w:rPr>
          <w:rFonts w:ascii="Arial" w:hAnsi="Arial" w:cs="Arial"/>
          <w:b/>
          <w:bCs/>
          <w:sz w:val="20"/>
        </w:rPr>
        <w:lastRenderedPageBreak/>
        <w:t>Figure 1. Use of statins for the prevention of cardiovascular events according to the Brazilian Guideline (Adapted from Brazil, 2013)</w:t>
      </w:r>
    </w:p>
    <w:p w14:paraId="60259923" w14:textId="77777777" w:rsidR="00F1052A" w:rsidRPr="00EC37B0" w:rsidRDefault="00F1052A" w:rsidP="00EC37B0">
      <w:pPr>
        <w:pStyle w:val="NoSpacing"/>
        <w:rPr>
          <w:rFonts w:ascii="Arial" w:hAnsi="Arial" w:cs="Arial"/>
          <w:color w:val="000000"/>
          <w:sz w:val="20"/>
          <w:szCs w:val="20"/>
        </w:rPr>
      </w:pPr>
    </w:p>
    <w:p w14:paraId="28F2AC85" w14:textId="055B6C2F" w:rsidR="00BE07D5" w:rsidRPr="00EC37B0" w:rsidRDefault="00BE07D5" w:rsidP="00EC37B0">
      <w:pPr>
        <w:pStyle w:val="NoSpacing"/>
        <w:rPr>
          <w:rFonts w:ascii="Arial" w:hAnsi="Arial" w:cs="Arial"/>
          <w:sz w:val="20"/>
          <w:szCs w:val="20"/>
        </w:rPr>
      </w:pPr>
    </w:p>
    <w:p w14:paraId="38BD1FF5" w14:textId="77777777" w:rsidR="00F1052A" w:rsidRDefault="00F1052A" w:rsidP="00F1052A">
      <w:pPr>
        <w:spacing w:line="240" w:lineRule="auto"/>
        <w:jc w:val="both"/>
        <w:rPr>
          <w:rFonts w:ascii="Calibri" w:hAnsi="Calibri"/>
          <w:noProof/>
          <w:color w:val="000000"/>
        </w:rPr>
      </w:pPr>
      <w:r w:rsidRPr="009B4F9E">
        <w:rPr>
          <w:rFonts w:ascii="Calibri" w:hAnsi="Calibri"/>
          <w:noProof/>
          <w:color w:val="000000"/>
          <w:lang w:val="en-US"/>
        </w:rPr>
        <w:drawing>
          <wp:inline distT="0" distB="0" distL="0" distR="0" wp14:anchorId="4A7FD44B" wp14:editId="2500165E">
            <wp:extent cx="5676265" cy="3096895"/>
            <wp:effectExtent l="0" t="0" r="635" b="8255"/>
            <wp:docPr id="2" name="Picture 2" descr="https://lh3.googleusercontent.com/ESZfWpG-r5oRVLxoqQc1V9wCQ9gr_BbFJnLFXFhHg_qM--Swcn7jQRe4jW-V1GtQs-OKI3trsv2eSfow_Oa_4kaJ4cCL4hKu9qgVQf2IKmnIfGpFfnHscV_wLB8tCssA9qbRc5yv3XvtueJY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SZfWpG-r5oRVLxoqQc1V9wCQ9gr_BbFJnLFXFhHg_qM--Swcn7jQRe4jW-V1GtQs-OKI3trsv2eSfow_Oa_4kaJ4cCL4hKu9qgVQf2IKmnIfGpFfnHscV_wLB8tCssA9qbRc5yv3XvtueJY6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76265" cy="3096895"/>
                    </a:xfrm>
                    <a:prstGeom prst="rect">
                      <a:avLst/>
                    </a:prstGeom>
                    <a:noFill/>
                    <a:ln>
                      <a:noFill/>
                    </a:ln>
                  </pic:spPr>
                </pic:pic>
              </a:graphicData>
            </a:graphic>
          </wp:inline>
        </w:drawing>
      </w:r>
    </w:p>
    <w:p w14:paraId="050FA35E" w14:textId="77777777" w:rsidR="004973A0" w:rsidRPr="00EC37B0" w:rsidRDefault="004973A0" w:rsidP="00EC37B0">
      <w:pPr>
        <w:pStyle w:val="NoSpacing"/>
        <w:rPr>
          <w:rFonts w:ascii="Arial" w:hAnsi="Arial" w:cs="Arial"/>
          <w:sz w:val="20"/>
          <w:szCs w:val="20"/>
        </w:rPr>
      </w:pPr>
    </w:p>
    <w:p w14:paraId="18736990" w14:textId="031F6596" w:rsidR="00320A85" w:rsidRPr="00EC37B0" w:rsidRDefault="00604DC8" w:rsidP="00EC37B0">
      <w:pPr>
        <w:pStyle w:val="NoSpacing"/>
        <w:rPr>
          <w:rFonts w:ascii="Arial" w:hAnsi="Arial" w:cs="Arial"/>
          <w:color w:val="000000"/>
          <w:sz w:val="20"/>
          <w:szCs w:val="20"/>
        </w:rPr>
      </w:pPr>
      <w:r w:rsidRPr="00EC37B0">
        <w:rPr>
          <w:rFonts w:ascii="Arial" w:hAnsi="Arial" w:cs="Arial"/>
          <w:color w:val="000000"/>
          <w:sz w:val="20"/>
          <w:szCs w:val="20"/>
        </w:rPr>
        <w:t>S</w:t>
      </w:r>
      <w:r w:rsidR="00320A85" w:rsidRPr="00EC37B0">
        <w:rPr>
          <w:rFonts w:ascii="Arial" w:hAnsi="Arial" w:cs="Arial"/>
          <w:color w:val="000000"/>
          <w:sz w:val="20"/>
          <w:szCs w:val="20"/>
        </w:rPr>
        <w:t xml:space="preserve">imvastatin is the only statin included in the Basic Component of Pharmaceutical </w:t>
      </w:r>
      <w:r w:rsidRPr="00EC37B0">
        <w:rPr>
          <w:rFonts w:ascii="Arial" w:hAnsi="Arial" w:cs="Arial"/>
          <w:color w:val="000000"/>
          <w:sz w:val="20"/>
          <w:szCs w:val="20"/>
        </w:rPr>
        <w:t>Services</w:t>
      </w:r>
      <w:r w:rsidR="00320A85" w:rsidRPr="00EC37B0">
        <w:rPr>
          <w:rFonts w:ascii="Arial" w:hAnsi="Arial" w:cs="Arial"/>
          <w:color w:val="000000"/>
          <w:sz w:val="20"/>
          <w:szCs w:val="20"/>
        </w:rPr>
        <w:t xml:space="preserve"> provided via primary health care services. To access simvastatin the patient needs to present a GP's or a specialist's prescription at SUS pharmacies, primary health care services or in private pharmacies accredited by the Popular Pharmacy Program</w:t>
      </w:r>
      <w:r w:rsidR="00320A85" w:rsidRPr="00EC37B0">
        <w:rPr>
          <w:rStyle w:val="FootnoteReference"/>
          <w:rFonts w:ascii="Arial" w:hAnsi="Arial" w:cs="Arial"/>
          <w:color w:val="000000"/>
          <w:sz w:val="20"/>
          <w:szCs w:val="20"/>
        </w:rPr>
        <w:footnoteReference w:id="1"/>
      </w:r>
      <w:r w:rsidR="00320A85" w:rsidRPr="00EC37B0">
        <w:rPr>
          <w:rFonts w:ascii="Arial" w:hAnsi="Arial" w:cs="Arial"/>
          <w:color w:val="000000"/>
          <w:sz w:val="20"/>
          <w:szCs w:val="20"/>
        </w:rPr>
        <w:t xml:space="preserve"> (co-payment) </w:t>
      </w:r>
      <w:hyperlink r:id="rId31" w:history="1">
        <w:r w:rsidR="00320A85" w:rsidRPr="00EC37B0">
          <w:rPr>
            <w:rFonts w:ascii="Arial" w:hAnsi="Arial" w:cs="Arial"/>
            <w:color w:val="000000"/>
            <w:sz w:val="20"/>
            <w:szCs w:val="20"/>
          </w:rPr>
          <w:t>[3</w:t>
        </w:r>
        <w:r w:rsidR="001F166A" w:rsidRPr="00EC37B0">
          <w:rPr>
            <w:rFonts w:ascii="Arial" w:hAnsi="Arial" w:cs="Arial"/>
            <w:color w:val="000000"/>
            <w:sz w:val="20"/>
            <w:szCs w:val="20"/>
          </w:rPr>
          <w:t>1</w:t>
        </w:r>
        <w:r w:rsidR="00320A85" w:rsidRPr="00EC37B0">
          <w:rPr>
            <w:rFonts w:ascii="Arial" w:hAnsi="Arial" w:cs="Arial"/>
            <w:color w:val="000000"/>
            <w:sz w:val="20"/>
            <w:szCs w:val="20"/>
          </w:rPr>
          <w:t>]</w:t>
        </w:r>
      </w:hyperlink>
      <w:r w:rsidR="00320A85" w:rsidRPr="00EC37B0">
        <w:rPr>
          <w:rFonts w:ascii="Arial" w:hAnsi="Arial" w:cs="Arial"/>
          <w:color w:val="000000"/>
          <w:sz w:val="20"/>
          <w:szCs w:val="20"/>
        </w:rPr>
        <w:t xml:space="preserve">. The other statins (atorvastatin, fluvastatin, lovastatin and pravastatin) are provided through the Specialized Component of Pharmaceutical Assistance, funded by the federal and state governments </w:t>
      </w:r>
      <w:r w:rsidR="00F1052A">
        <w:fldChar w:fldCharType="begin"/>
      </w:r>
      <w:r w:rsidR="00F1052A">
        <w:instrText xml:space="preserve"> HYPERLINK "https://paperpile.com/c/1wdYXm/QOFl2" </w:instrText>
      </w:r>
      <w:r w:rsidR="00F1052A">
        <w:fldChar w:fldCharType="separate"/>
      </w:r>
      <w:r w:rsidR="00320A85" w:rsidRPr="00EC37B0">
        <w:rPr>
          <w:rFonts w:ascii="Arial" w:hAnsi="Arial" w:cs="Arial"/>
          <w:color w:val="000000"/>
          <w:sz w:val="20"/>
          <w:szCs w:val="20"/>
        </w:rPr>
        <w:t>[22]</w:t>
      </w:r>
      <w:r w:rsidR="00F1052A">
        <w:rPr>
          <w:rFonts w:ascii="Arial" w:hAnsi="Arial" w:cs="Arial"/>
          <w:color w:val="000000"/>
          <w:sz w:val="20"/>
          <w:szCs w:val="20"/>
        </w:rPr>
        <w:fldChar w:fldCharType="end"/>
      </w:r>
      <w:r w:rsidR="00320A85" w:rsidRPr="00EC37B0">
        <w:rPr>
          <w:rFonts w:ascii="Arial" w:hAnsi="Arial" w:cs="Arial"/>
          <w:color w:val="000000"/>
          <w:sz w:val="20"/>
          <w:szCs w:val="20"/>
        </w:rPr>
        <w:t xml:space="preserve">. </w:t>
      </w:r>
      <w:r w:rsidRPr="00EC37B0">
        <w:rPr>
          <w:rFonts w:ascii="Arial" w:hAnsi="Arial" w:cs="Arial"/>
          <w:color w:val="000000"/>
          <w:sz w:val="20"/>
          <w:szCs w:val="20"/>
        </w:rPr>
        <w:t>However t</w:t>
      </w:r>
      <w:r w:rsidR="00320A85" w:rsidRPr="00EC37B0">
        <w:rPr>
          <w:rFonts w:ascii="Arial" w:hAnsi="Arial" w:cs="Arial"/>
          <w:color w:val="000000"/>
          <w:sz w:val="20"/>
          <w:szCs w:val="20"/>
        </w:rPr>
        <w:t>o access these</w:t>
      </w:r>
      <w:r w:rsidRPr="00EC37B0">
        <w:rPr>
          <w:rFonts w:ascii="Arial" w:hAnsi="Arial" w:cs="Arial"/>
          <w:color w:val="000000"/>
          <w:sz w:val="20"/>
          <w:szCs w:val="20"/>
        </w:rPr>
        <w:t xml:space="preserve"> statins without co-payment</w:t>
      </w:r>
      <w:r w:rsidR="00320A85" w:rsidRPr="00EC37B0">
        <w:rPr>
          <w:rFonts w:ascii="Arial" w:hAnsi="Arial" w:cs="Arial"/>
          <w:color w:val="000000"/>
          <w:sz w:val="20"/>
          <w:szCs w:val="20"/>
        </w:rPr>
        <w:t>, pre-assessment is</w:t>
      </w:r>
      <w:r w:rsidRPr="00EC37B0">
        <w:rPr>
          <w:rFonts w:ascii="Arial" w:hAnsi="Arial" w:cs="Arial"/>
          <w:color w:val="000000"/>
          <w:sz w:val="20"/>
          <w:szCs w:val="20"/>
        </w:rPr>
        <w:t xml:space="preserve"> </w:t>
      </w:r>
      <w:r w:rsidR="00320A85" w:rsidRPr="00EC37B0">
        <w:rPr>
          <w:rFonts w:ascii="Arial" w:hAnsi="Arial" w:cs="Arial"/>
          <w:color w:val="000000"/>
          <w:sz w:val="20"/>
          <w:szCs w:val="20"/>
        </w:rPr>
        <w:t>mandatory and patients need to present all the documents, examinations and forms established by the Brazilian guideline</w:t>
      </w:r>
      <w:r w:rsidRPr="00EC37B0">
        <w:rPr>
          <w:rFonts w:ascii="Arial" w:hAnsi="Arial" w:cs="Arial"/>
          <w:color w:val="000000"/>
          <w:sz w:val="20"/>
          <w:szCs w:val="20"/>
        </w:rPr>
        <w:t xml:space="preserve"> </w:t>
      </w:r>
      <w:hyperlink r:id="rId32" w:history="1">
        <w:r w:rsidR="00320A85" w:rsidRPr="00EC37B0">
          <w:rPr>
            <w:rFonts w:ascii="Arial" w:hAnsi="Arial" w:cs="Arial"/>
            <w:color w:val="000000"/>
            <w:sz w:val="20"/>
            <w:szCs w:val="20"/>
          </w:rPr>
          <w:t>[22]</w:t>
        </w:r>
      </w:hyperlink>
      <w:r w:rsidR="00320A85" w:rsidRPr="00EC37B0">
        <w:rPr>
          <w:rFonts w:ascii="Arial" w:hAnsi="Arial" w:cs="Arial"/>
          <w:color w:val="000000"/>
          <w:sz w:val="20"/>
          <w:szCs w:val="20"/>
        </w:rPr>
        <w:t xml:space="preserve">.  Whilst access to statins has been progressively facilitated with </w:t>
      </w:r>
      <w:r w:rsidRPr="00EC37B0">
        <w:rPr>
          <w:rFonts w:ascii="Arial" w:hAnsi="Arial" w:cs="Arial"/>
          <w:color w:val="000000"/>
          <w:sz w:val="20"/>
          <w:szCs w:val="20"/>
        </w:rPr>
        <w:t xml:space="preserve">the </w:t>
      </w:r>
      <w:r w:rsidR="00320A85" w:rsidRPr="00EC37B0">
        <w:rPr>
          <w:rFonts w:ascii="Arial" w:hAnsi="Arial" w:cs="Arial"/>
          <w:color w:val="000000"/>
          <w:sz w:val="20"/>
          <w:szCs w:val="20"/>
        </w:rPr>
        <w:t xml:space="preserve">inclusion of simvastatin through primary health care services and SUS pharmacies, </w:t>
      </w:r>
      <w:r w:rsidRPr="00EC37B0">
        <w:rPr>
          <w:rFonts w:ascii="Arial" w:hAnsi="Arial" w:cs="Arial"/>
          <w:color w:val="000000"/>
          <w:sz w:val="20"/>
          <w:szCs w:val="20"/>
        </w:rPr>
        <w:t xml:space="preserve">there are concerns with </w:t>
      </w:r>
      <w:r w:rsidR="00320A85" w:rsidRPr="00EC37B0">
        <w:rPr>
          <w:rFonts w:ascii="Arial" w:hAnsi="Arial" w:cs="Arial"/>
          <w:color w:val="000000"/>
          <w:sz w:val="20"/>
          <w:szCs w:val="20"/>
        </w:rPr>
        <w:t xml:space="preserve">their availability </w:t>
      </w:r>
      <w:r w:rsidRPr="00EC37B0">
        <w:rPr>
          <w:rFonts w:ascii="Arial" w:hAnsi="Arial" w:cs="Arial"/>
          <w:color w:val="000000"/>
          <w:sz w:val="20"/>
          <w:szCs w:val="20"/>
        </w:rPr>
        <w:t>and</w:t>
      </w:r>
      <w:r w:rsidR="004973A0" w:rsidRPr="00EC37B0">
        <w:rPr>
          <w:rFonts w:ascii="Arial" w:hAnsi="Arial" w:cs="Arial"/>
          <w:color w:val="000000"/>
          <w:sz w:val="20"/>
          <w:szCs w:val="20"/>
        </w:rPr>
        <w:t xml:space="preserve"> usage</w:t>
      </w:r>
      <w:r w:rsidR="00320A85" w:rsidRPr="00EC37B0">
        <w:rPr>
          <w:rFonts w:ascii="Arial" w:hAnsi="Arial" w:cs="Arial"/>
          <w:color w:val="000000"/>
          <w:sz w:val="20"/>
          <w:szCs w:val="20"/>
        </w:rPr>
        <w:t xml:space="preserve"> </w:t>
      </w:r>
      <w:hyperlink r:id="rId33" w:history="1">
        <w:r w:rsidR="00320A85" w:rsidRPr="00EC37B0">
          <w:rPr>
            <w:rFonts w:ascii="Arial" w:hAnsi="Arial" w:cs="Arial"/>
            <w:color w:val="000000"/>
            <w:sz w:val="20"/>
            <w:szCs w:val="20"/>
          </w:rPr>
          <w:t>[3</w:t>
        </w:r>
        <w:r w:rsidR="001F166A" w:rsidRPr="00EC37B0">
          <w:rPr>
            <w:rFonts w:ascii="Arial" w:hAnsi="Arial" w:cs="Arial"/>
            <w:color w:val="000000"/>
            <w:sz w:val="20"/>
            <w:szCs w:val="20"/>
          </w:rPr>
          <w:t>2</w:t>
        </w:r>
        <w:r w:rsidR="00320A85" w:rsidRPr="00EC37B0">
          <w:rPr>
            <w:rFonts w:ascii="Arial" w:hAnsi="Arial" w:cs="Arial"/>
            <w:color w:val="000000"/>
            <w:sz w:val="20"/>
            <w:szCs w:val="20"/>
          </w:rPr>
          <w:t>]</w:t>
        </w:r>
      </w:hyperlink>
      <w:r w:rsidR="00320A85" w:rsidRPr="00EC37B0">
        <w:rPr>
          <w:rFonts w:ascii="Arial" w:hAnsi="Arial" w:cs="Arial"/>
          <w:color w:val="000000"/>
          <w:sz w:val="20"/>
          <w:szCs w:val="20"/>
        </w:rPr>
        <w:t>.</w:t>
      </w:r>
    </w:p>
    <w:p w14:paraId="40544425" w14:textId="77777777" w:rsidR="00320A85" w:rsidRPr="00EC37B0" w:rsidRDefault="00320A85" w:rsidP="00EC37B0">
      <w:pPr>
        <w:pStyle w:val="NoSpacing"/>
        <w:rPr>
          <w:rFonts w:ascii="Arial" w:hAnsi="Arial" w:cs="Arial"/>
          <w:color w:val="000000"/>
          <w:sz w:val="20"/>
          <w:szCs w:val="20"/>
        </w:rPr>
      </w:pPr>
    </w:p>
    <w:p w14:paraId="7D618BF2" w14:textId="6F8BE6BC" w:rsidR="00EE62B6" w:rsidRPr="00EC37B0" w:rsidRDefault="00EE62B6" w:rsidP="00EC37B0">
      <w:pPr>
        <w:pStyle w:val="NoSpacing"/>
        <w:rPr>
          <w:rFonts w:ascii="Arial" w:hAnsi="Arial" w:cs="Arial"/>
          <w:sz w:val="20"/>
          <w:szCs w:val="20"/>
        </w:rPr>
      </w:pPr>
      <w:r w:rsidRPr="00EC37B0">
        <w:rPr>
          <w:rFonts w:ascii="Arial" w:hAnsi="Arial" w:cs="Arial"/>
          <w:color w:val="000000"/>
          <w:sz w:val="20"/>
          <w:szCs w:val="20"/>
        </w:rPr>
        <w:t>Long-term adherence to statin</w:t>
      </w:r>
      <w:r w:rsidR="004973A0" w:rsidRPr="00EC37B0">
        <w:rPr>
          <w:rFonts w:ascii="Arial" w:hAnsi="Arial" w:cs="Arial"/>
          <w:color w:val="000000"/>
          <w:sz w:val="20"/>
          <w:szCs w:val="20"/>
        </w:rPr>
        <w:t>s is currently</w:t>
      </w:r>
      <w:r w:rsidRPr="00EC37B0">
        <w:rPr>
          <w:rFonts w:ascii="Arial" w:hAnsi="Arial" w:cs="Arial"/>
          <w:color w:val="000000"/>
          <w:sz w:val="20"/>
          <w:szCs w:val="20"/>
        </w:rPr>
        <w:t xml:space="preserve"> </w:t>
      </w:r>
      <w:r w:rsidR="004973A0" w:rsidRPr="00EC37B0">
        <w:rPr>
          <w:rFonts w:ascii="Arial" w:hAnsi="Arial" w:cs="Arial"/>
          <w:color w:val="000000"/>
          <w:sz w:val="20"/>
          <w:szCs w:val="20"/>
        </w:rPr>
        <w:t>sub-</w:t>
      </w:r>
      <w:r w:rsidRPr="00EC37B0">
        <w:rPr>
          <w:rFonts w:ascii="Arial" w:hAnsi="Arial" w:cs="Arial"/>
          <w:color w:val="000000"/>
          <w:sz w:val="20"/>
          <w:szCs w:val="20"/>
        </w:rPr>
        <w:t xml:space="preserve">optimal </w:t>
      </w:r>
      <w:r w:rsidR="004973A0" w:rsidRPr="00EC37B0">
        <w:rPr>
          <w:rFonts w:ascii="Arial" w:hAnsi="Arial" w:cs="Arial"/>
          <w:color w:val="000000"/>
          <w:sz w:val="20"/>
          <w:szCs w:val="20"/>
        </w:rPr>
        <w:t>across countries [3</w:t>
      </w:r>
      <w:r w:rsidR="001F166A" w:rsidRPr="00EC37B0">
        <w:rPr>
          <w:rFonts w:ascii="Arial" w:hAnsi="Arial" w:cs="Arial"/>
          <w:color w:val="000000"/>
          <w:sz w:val="20"/>
          <w:szCs w:val="20"/>
        </w:rPr>
        <w:t>3</w:t>
      </w:r>
      <w:r w:rsidR="004973A0" w:rsidRPr="00EC37B0">
        <w:rPr>
          <w:rFonts w:ascii="Arial" w:hAnsi="Arial" w:cs="Arial"/>
          <w:color w:val="000000"/>
          <w:sz w:val="20"/>
          <w:szCs w:val="20"/>
        </w:rPr>
        <w:t>,3</w:t>
      </w:r>
      <w:r w:rsidR="001F166A" w:rsidRPr="00EC37B0">
        <w:rPr>
          <w:rFonts w:ascii="Arial" w:hAnsi="Arial" w:cs="Arial"/>
          <w:color w:val="000000"/>
          <w:sz w:val="20"/>
          <w:szCs w:val="20"/>
        </w:rPr>
        <w:t>4</w:t>
      </w:r>
      <w:r w:rsidR="004973A0" w:rsidRPr="00EC37B0">
        <w:rPr>
          <w:rFonts w:ascii="Arial" w:hAnsi="Arial" w:cs="Arial"/>
          <w:color w:val="000000"/>
          <w:sz w:val="20"/>
          <w:szCs w:val="20"/>
        </w:rPr>
        <w:t xml:space="preserve">], and needs to be addressed to reduce CVD morbidity and mortality </w:t>
      </w:r>
      <w:r w:rsidR="00CD3BFB" w:rsidRPr="00EC37B0">
        <w:rPr>
          <w:rFonts w:ascii="Arial" w:hAnsi="Arial" w:cs="Arial"/>
          <w:color w:val="000000"/>
          <w:sz w:val="20"/>
          <w:szCs w:val="20"/>
        </w:rPr>
        <w:t>[3</w:t>
      </w:r>
      <w:r w:rsidR="001F166A" w:rsidRPr="00EC37B0">
        <w:rPr>
          <w:rFonts w:ascii="Arial" w:hAnsi="Arial" w:cs="Arial"/>
          <w:color w:val="000000"/>
          <w:sz w:val="20"/>
          <w:szCs w:val="20"/>
        </w:rPr>
        <w:t>5</w:t>
      </w:r>
      <w:r w:rsidR="00CD3BFB" w:rsidRPr="00EC37B0">
        <w:rPr>
          <w:rFonts w:ascii="Arial" w:hAnsi="Arial" w:cs="Arial"/>
          <w:color w:val="000000"/>
          <w:sz w:val="20"/>
          <w:szCs w:val="20"/>
        </w:rPr>
        <w:t>-3</w:t>
      </w:r>
      <w:r w:rsidR="001F166A" w:rsidRPr="00EC37B0">
        <w:rPr>
          <w:rFonts w:ascii="Arial" w:hAnsi="Arial" w:cs="Arial"/>
          <w:color w:val="000000"/>
          <w:sz w:val="20"/>
          <w:szCs w:val="20"/>
        </w:rPr>
        <w:t>7</w:t>
      </w:r>
      <w:r w:rsidR="00CD3BFB" w:rsidRPr="00EC37B0">
        <w:rPr>
          <w:rFonts w:ascii="Arial" w:hAnsi="Arial" w:cs="Arial"/>
          <w:color w:val="000000"/>
          <w:sz w:val="20"/>
          <w:szCs w:val="20"/>
        </w:rPr>
        <w:t>]</w:t>
      </w:r>
      <w:r w:rsidR="004C2306" w:rsidRPr="00EC37B0">
        <w:rPr>
          <w:rFonts w:ascii="Arial" w:hAnsi="Arial" w:cs="Arial"/>
          <w:color w:val="000000"/>
          <w:sz w:val="20"/>
          <w:szCs w:val="20"/>
        </w:rPr>
        <w:t>.</w:t>
      </w:r>
      <w:r w:rsidR="004973A0" w:rsidRPr="00EC37B0">
        <w:rPr>
          <w:rFonts w:ascii="Arial" w:hAnsi="Arial" w:cs="Arial"/>
          <w:color w:val="000000"/>
          <w:sz w:val="20"/>
          <w:szCs w:val="20"/>
        </w:rPr>
        <w:t xml:space="preserve"> </w:t>
      </w:r>
      <w:r w:rsidR="004C2306" w:rsidRPr="00EC37B0">
        <w:rPr>
          <w:rFonts w:ascii="Arial" w:hAnsi="Arial" w:cs="Arial"/>
          <w:color w:val="000000"/>
          <w:sz w:val="20"/>
          <w:szCs w:val="20"/>
        </w:rPr>
        <w:t xml:space="preserve"> Consequently, k</w:t>
      </w:r>
      <w:r w:rsidRPr="00EC37B0">
        <w:rPr>
          <w:rFonts w:ascii="Arial" w:hAnsi="Arial" w:cs="Arial"/>
          <w:color w:val="000000"/>
          <w:sz w:val="20"/>
          <w:szCs w:val="20"/>
        </w:rPr>
        <w:t xml:space="preserve">nowledge of medicines use in the real world is essential to develop pertinent health care </w:t>
      </w:r>
      <w:r w:rsidR="004C2306" w:rsidRPr="00EC37B0">
        <w:rPr>
          <w:rFonts w:ascii="Arial" w:hAnsi="Arial" w:cs="Arial"/>
          <w:color w:val="000000"/>
          <w:sz w:val="20"/>
          <w:szCs w:val="20"/>
        </w:rPr>
        <w:t xml:space="preserve">strategies </w:t>
      </w:r>
      <w:r w:rsidRPr="00EC37B0">
        <w:rPr>
          <w:rFonts w:ascii="Arial" w:hAnsi="Arial" w:cs="Arial"/>
          <w:color w:val="000000"/>
          <w:sz w:val="20"/>
          <w:szCs w:val="20"/>
        </w:rPr>
        <w:t>in high priority areas such as NCDs</w:t>
      </w:r>
      <w:r w:rsidR="004C2306" w:rsidRPr="00EC37B0">
        <w:rPr>
          <w:rFonts w:ascii="Arial" w:hAnsi="Arial" w:cs="Arial"/>
          <w:color w:val="000000"/>
          <w:sz w:val="20"/>
          <w:szCs w:val="20"/>
        </w:rPr>
        <w:t xml:space="preserve"> [3</w:t>
      </w:r>
      <w:r w:rsidR="00A52321" w:rsidRPr="00EC37B0">
        <w:rPr>
          <w:rFonts w:ascii="Arial" w:hAnsi="Arial" w:cs="Arial"/>
          <w:color w:val="000000"/>
          <w:sz w:val="20"/>
          <w:szCs w:val="20"/>
        </w:rPr>
        <w:t>8</w:t>
      </w:r>
      <w:r w:rsidR="004C2306" w:rsidRPr="00EC37B0">
        <w:rPr>
          <w:rFonts w:ascii="Arial" w:hAnsi="Arial" w:cs="Arial"/>
          <w:color w:val="000000"/>
          <w:sz w:val="20"/>
          <w:szCs w:val="20"/>
        </w:rPr>
        <w:t>]</w:t>
      </w:r>
      <w:r w:rsidRPr="00EC37B0">
        <w:rPr>
          <w:rFonts w:ascii="Arial" w:hAnsi="Arial" w:cs="Arial"/>
          <w:color w:val="000000"/>
          <w:sz w:val="20"/>
          <w:szCs w:val="20"/>
        </w:rPr>
        <w:t>.</w:t>
      </w:r>
    </w:p>
    <w:p w14:paraId="60863840" w14:textId="77777777" w:rsidR="00BE07D5"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ab/>
      </w:r>
    </w:p>
    <w:p w14:paraId="048F9178" w14:textId="057409F1" w:rsidR="00570793" w:rsidRPr="00EC37B0" w:rsidRDefault="004C2306" w:rsidP="00EC37B0">
      <w:pPr>
        <w:pStyle w:val="NoSpacing"/>
        <w:rPr>
          <w:rFonts w:ascii="Arial" w:hAnsi="Arial" w:cs="Arial"/>
          <w:color w:val="000000"/>
          <w:sz w:val="20"/>
          <w:szCs w:val="20"/>
        </w:rPr>
      </w:pPr>
      <w:r w:rsidRPr="00EC37B0">
        <w:rPr>
          <w:rFonts w:ascii="Arial" w:hAnsi="Arial" w:cs="Arial"/>
          <w:color w:val="000000"/>
          <w:sz w:val="20"/>
          <w:szCs w:val="20"/>
        </w:rPr>
        <w:t>T</w:t>
      </w:r>
      <w:r w:rsidR="00EE62B6" w:rsidRPr="00EC37B0">
        <w:rPr>
          <w:rFonts w:ascii="Arial" w:hAnsi="Arial" w:cs="Arial"/>
          <w:color w:val="000000"/>
          <w:sz w:val="20"/>
          <w:szCs w:val="20"/>
        </w:rPr>
        <w:t xml:space="preserve">o </w:t>
      </w:r>
      <w:r w:rsidRPr="00EC37B0">
        <w:rPr>
          <w:rFonts w:ascii="Arial" w:hAnsi="Arial" w:cs="Arial"/>
          <w:color w:val="000000"/>
          <w:sz w:val="20"/>
          <w:szCs w:val="20"/>
        </w:rPr>
        <w:t>appraise</w:t>
      </w:r>
      <w:r w:rsidR="00EE62B6" w:rsidRPr="00EC37B0">
        <w:rPr>
          <w:rFonts w:ascii="Arial" w:hAnsi="Arial" w:cs="Arial"/>
          <w:color w:val="000000"/>
          <w:sz w:val="20"/>
          <w:szCs w:val="20"/>
        </w:rPr>
        <w:t xml:space="preserve"> </w:t>
      </w:r>
      <w:r w:rsidRPr="00EC37B0">
        <w:rPr>
          <w:rFonts w:ascii="Arial" w:hAnsi="Arial" w:cs="Arial"/>
          <w:color w:val="000000"/>
          <w:sz w:val="20"/>
          <w:szCs w:val="20"/>
        </w:rPr>
        <w:t xml:space="preserve">current </w:t>
      </w:r>
      <w:r w:rsidR="00EE62B6" w:rsidRPr="00EC37B0">
        <w:rPr>
          <w:rFonts w:ascii="Arial" w:hAnsi="Arial" w:cs="Arial"/>
          <w:color w:val="000000"/>
          <w:sz w:val="20"/>
          <w:szCs w:val="20"/>
        </w:rPr>
        <w:t>access to</w:t>
      </w:r>
      <w:r w:rsidRPr="00EC37B0">
        <w:rPr>
          <w:rFonts w:ascii="Arial" w:hAnsi="Arial" w:cs="Arial"/>
          <w:color w:val="000000"/>
          <w:sz w:val="20"/>
          <w:szCs w:val="20"/>
        </w:rPr>
        <w:t>,</w:t>
      </w:r>
      <w:r w:rsidR="00EE62B6" w:rsidRPr="00EC37B0">
        <w:rPr>
          <w:rFonts w:ascii="Arial" w:hAnsi="Arial" w:cs="Arial"/>
          <w:color w:val="000000"/>
          <w:sz w:val="20"/>
          <w:szCs w:val="20"/>
        </w:rPr>
        <w:t xml:space="preserve"> and rational use of</w:t>
      </w:r>
      <w:r w:rsidRPr="00EC37B0">
        <w:rPr>
          <w:rFonts w:ascii="Arial" w:hAnsi="Arial" w:cs="Arial"/>
          <w:color w:val="000000"/>
          <w:sz w:val="20"/>
          <w:szCs w:val="20"/>
        </w:rPr>
        <w:t>.</w:t>
      </w:r>
      <w:r w:rsidR="00EE62B6" w:rsidRPr="00EC37B0">
        <w:rPr>
          <w:rFonts w:ascii="Arial" w:hAnsi="Arial" w:cs="Arial"/>
          <w:color w:val="000000"/>
          <w:sz w:val="20"/>
          <w:szCs w:val="20"/>
        </w:rPr>
        <w:t xml:space="preserve"> </w:t>
      </w:r>
      <w:r w:rsidRPr="00EC37B0">
        <w:rPr>
          <w:rFonts w:ascii="Arial" w:hAnsi="Arial" w:cs="Arial"/>
          <w:color w:val="000000"/>
          <w:sz w:val="20"/>
          <w:szCs w:val="20"/>
        </w:rPr>
        <w:t>M</w:t>
      </w:r>
      <w:r w:rsidR="00EE62B6" w:rsidRPr="00EC37B0">
        <w:rPr>
          <w:rFonts w:ascii="Arial" w:hAnsi="Arial" w:cs="Arial"/>
          <w:color w:val="000000"/>
          <w:sz w:val="20"/>
          <w:szCs w:val="20"/>
        </w:rPr>
        <w:t>edicines</w:t>
      </w:r>
      <w:r w:rsidRPr="00EC37B0">
        <w:rPr>
          <w:rFonts w:ascii="Arial" w:hAnsi="Arial" w:cs="Arial"/>
          <w:color w:val="000000"/>
          <w:sz w:val="20"/>
          <w:szCs w:val="20"/>
        </w:rPr>
        <w:t xml:space="preserve"> in primary healthcare settings</w:t>
      </w:r>
      <w:r w:rsidR="00EE62B6" w:rsidRPr="00EC37B0">
        <w:rPr>
          <w:rFonts w:ascii="Arial" w:hAnsi="Arial" w:cs="Arial"/>
          <w:color w:val="000000"/>
          <w:sz w:val="20"/>
          <w:szCs w:val="20"/>
        </w:rPr>
        <w:t xml:space="preserve">, the first National Survey on Access, Use and Promotion of Rational Use of Medicines (PNAUM-Services) was conducted in Brazil </w:t>
      </w:r>
      <w:hyperlink r:id="rId34" w:history="1">
        <w:r w:rsidR="00EE62B6" w:rsidRPr="00EC37B0">
          <w:rPr>
            <w:rFonts w:ascii="Arial" w:hAnsi="Arial" w:cs="Arial"/>
            <w:color w:val="000000"/>
            <w:sz w:val="20"/>
            <w:szCs w:val="20"/>
          </w:rPr>
          <w:t>[3</w:t>
        </w:r>
        <w:r w:rsidR="00A52321" w:rsidRPr="00EC37B0">
          <w:rPr>
            <w:rFonts w:ascii="Arial" w:hAnsi="Arial" w:cs="Arial"/>
            <w:color w:val="000000"/>
            <w:sz w:val="20"/>
            <w:szCs w:val="20"/>
          </w:rPr>
          <w:t>9</w:t>
        </w:r>
        <w:r w:rsidR="00EE62B6" w:rsidRPr="00EC37B0">
          <w:rPr>
            <w:rFonts w:ascii="Arial" w:hAnsi="Arial" w:cs="Arial"/>
            <w:color w:val="000000"/>
            <w:sz w:val="20"/>
            <w:szCs w:val="20"/>
          </w:rPr>
          <w:t>]</w:t>
        </w:r>
      </w:hyperlink>
      <w:r w:rsidR="00EE62B6" w:rsidRPr="00EC37B0">
        <w:rPr>
          <w:rFonts w:ascii="Arial" w:hAnsi="Arial" w:cs="Arial"/>
          <w:color w:val="000000"/>
          <w:sz w:val="20"/>
          <w:szCs w:val="20"/>
        </w:rPr>
        <w:t xml:space="preserve"> from 2014 to 2015. </w:t>
      </w:r>
      <w:r w:rsidRPr="00EC37B0">
        <w:rPr>
          <w:rFonts w:ascii="Arial" w:hAnsi="Arial" w:cs="Arial"/>
          <w:color w:val="000000"/>
          <w:sz w:val="20"/>
          <w:szCs w:val="20"/>
        </w:rPr>
        <w:t>A</w:t>
      </w:r>
      <w:r w:rsidR="00EE62B6" w:rsidRPr="00EC37B0">
        <w:rPr>
          <w:rFonts w:ascii="Arial" w:hAnsi="Arial" w:cs="Arial"/>
          <w:color w:val="000000"/>
          <w:sz w:val="20"/>
          <w:szCs w:val="20"/>
        </w:rPr>
        <w:t xml:space="preserve">s part of PNAUM – Services, </w:t>
      </w:r>
      <w:r w:rsidRPr="00EC37B0">
        <w:rPr>
          <w:rFonts w:ascii="Arial" w:hAnsi="Arial" w:cs="Arial"/>
          <w:color w:val="000000"/>
          <w:sz w:val="20"/>
          <w:szCs w:val="20"/>
        </w:rPr>
        <w:t xml:space="preserve">this study </w:t>
      </w:r>
      <w:r w:rsidR="00EE62B6" w:rsidRPr="00EC37B0">
        <w:rPr>
          <w:rFonts w:ascii="Arial" w:hAnsi="Arial" w:cs="Arial"/>
          <w:color w:val="000000"/>
          <w:sz w:val="20"/>
          <w:szCs w:val="20"/>
        </w:rPr>
        <w:t xml:space="preserve">aimed to quantify </w:t>
      </w:r>
      <w:r w:rsidRPr="00EC37B0">
        <w:rPr>
          <w:rFonts w:ascii="Arial" w:hAnsi="Arial" w:cs="Arial"/>
          <w:color w:val="000000"/>
          <w:sz w:val="20"/>
          <w:szCs w:val="20"/>
        </w:rPr>
        <w:t xml:space="preserve">current </w:t>
      </w:r>
      <w:r w:rsidR="00EE62B6" w:rsidRPr="00EC37B0">
        <w:rPr>
          <w:rFonts w:ascii="Arial" w:hAnsi="Arial" w:cs="Arial"/>
          <w:color w:val="000000"/>
          <w:sz w:val="20"/>
          <w:szCs w:val="20"/>
        </w:rPr>
        <w:t xml:space="preserve">statin use in SUS primary health care services and to characterise patient factors associated with their consumption. </w:t>
      </w:r>
      <w:r w:rsidRPr="00EC37B0">
        <w:rPr>
          <w:rFonts w:ascii="Arial" w:hAnsi="Arial" w:cs="Arial"/>
          <w:color w:val="000000"/>
          <w:sz w:val="20"/>
          <w:szCs w:val="20"/>
        </w:rPr>
        <w:t xml:space="preserve">Based on a literature review [14, </w:t>
      </w:r>
      <w:r w:rsidR="00A52321" w:rsidRPr="00EC37B0">
        <w:rPr>
          <w:rFonts w:ascii="Arial" w:hAnsi="Arial" w:cs="Arial"/>
          <w:color w:val="000000"/>
          <w:sz w:val="20"/>
          <w:szCs w:val="20"/>
        </w:rPr>
        <w:t>40</w:t>
      </w:r>
      <w:r w:rsidRPr="00EC37B0">
        <w:rPr>
          <w:rFonts w:ascii="Arial" w:hAnsi="Arial" w:cs="Arial"/>
          <w:color w:val="000000"/>
          <w:sz w:val="20"/>
          <w:szCs w:val="20"/>
        </w:rPr>
        <w:t>,4</w:t>
      </w:r>
      <w:r w:rsidR="00A52321" w:rsidRPr="00EC37B0">
        <w:rPr>
          <w:rFonts w:ascii="Arial" w:hAnsi="Arial" w:cs="Arial"/>
          <w:color w:val="000000"/>
          <w:sz w:val="20"/>
          <w:szCs w:val="20"/>
        </w:rPr>
        <w:t>1</w:t>
      </w:r>
      <w:r w:rsidRPr="00EC37B0">
        <w:rPr>
          <w:rFonts w:ascii="Arial" w:hAnsi="Arial" w:cs="Arial"/>
          <w:color w:val="000000"/>
          <w:sz w:val="20"/>
          <w:szCs w:val="20"/>
        </w:rPr>
        <w:t xml:space="preserve">], we believe this is the first population based study in Brazil to assess the profile of statin use in primary healthcare service. </w:t>
      </w:r>
      <w:r w:rsidR="00EE62B6" w:rsidRPr="00EC37B0">
        <w:rPr>
          <w:rFonts w:ascii="Arial" w:hAnsi="Arial" w:cs="Arial"/>
          <w:color w:val="000000"/>
          <w:sz w:val="20"/>
          <w:szCs w:val="20"/>
        </w:rPr>
        <w:t>The findings will guide future policies in Brazil to improve the management of patients with NCDs, including dyslipidemia.</w:t>
      </w:r>
    </w:p>
    <w:p w14:paraId="7DB3241F" w14:textId="77777777" w:rsidR="00570793" w:rsidRPr="00EC37B0" w:rsidRDefault="00570793" w:rsidP="00EC37B0">
      <w:pPr>
        <w:pStyle w:val="NoSpacing"/>
        <w:rPr>
          <w:rFonts w:ascii="Arial" w:hAnsi="Arial" w:cs="Arial"/>
          <w:bCs/>
          <w:color w:val="000000"/>
          <w:sz w:val="20"/>
          <w:szCs w:val="20"/>
        </w:rPr>
      </w:pPr>
    </w:p>
    <w:p w14:paraId="3FD8F06E" w14:textId="12F663DE" w:rsidR="00570793" w:rsidRPr="00F1052A" w:rsidRDefault="00570793" w:rsidP="00EC37B0">
      <w:pPr>
        <w:pStyle w:val="NoSpacing"/>
        <w:rPr>
          <w:rFonts w:ascii="Arial" w:hAnsi="Arial" w:cs="Arial"/>
          <w:b/>
          <w:bCs/>
          <w:color w:val="000000"/>
          <w:sz w:val="20"/>
          <w:szCs w:val="20"/>
        </w:rPr>
      </w:pPr>
      <w:r w:rsidRPr="00F1052A">
        <w:rPr>
          <w:rFonts w:ascii="Arial" w:hAnsi="Arial" w:cs="Arial"/>
          <w:b/>
          <w:bCs/>
          <w:color w:val="000000"/>
          <w:sz w:val="20"/>
          <w:szCs w:val="20"/>
        </w:rPr>
        <w:lastRenderedPageBreak/>
        <w:t>Methods</w:t>
      </w:r>
    </w:p>
    <w:p w14:paraId="5C7DB591" w14:textId="77777777" w:rsidR="00570793" w:rsidRPr="00EC37B0" w:rsidRDefault="00570793" w:rsidP="00EC37B0">
      <w:pPr>
        <w:pStyle w:val="NoSpacing"/>
        <w:rPr>
          <w:rFonts w:ascii="Arial" w:hAnsi="Arial" w:cs="Arial"/>
          <w:sz w:val="20"/>
          <w:szCs w:val="20"/>
        </w:rPr>
      </w:pPr>
    </w:p>
    <w:p w14:paraId="6DDFDB70" w14:textId="380953FD" w:rsidR="00570793" w:rsidRDefault="00570793" w:rsidP="00EC37B0">
      <w:pPr>
        <w:pStyle w:val="NoSpacing"/>
        <w:rPr>
          <w:rFonts w:ascii="Arial" w:hAnsi="Arial" w:cs="Arial"/>
          <w:color w:val="000000"/>
          <w:sz w:val="20"/>
          <w:szCs w:val="20"/>
        </w:rPr>
      </w:pPr>
      <w:r w:rsidRPr="00EC37B0">
        <w:rPr>
          <w:rFonts w:ascii="Arial" w:hAnsi="Arial" w:cs="Arial"/>
          <w:color w:val="000000"/>
          <w:sz w:val="20"/>
          <w:szCs w:val="20"/>
        </w:rPr>
        <w:t xml:space="preserve">The study data was extracted from the PNAUM-Services database. All the methodological procedures adopted in the planning and execution of the PNAUM-Services have been reported previously </w:t>
      </w:r>
      <w:hyperlink r:id="rId35" w:history="1">
        <w:r w:rsidRPr="00EC37B0">
          <w:rPr>
            <w:rFonts w:ascii="Arial" w:hAnsi="Arial" w:cs="Arial"/>
            <w:color w:val="000000"/>
            <w:sz w:val="20"/>
            <w:szCs w:val="20"/>
          </w:rPr>
          <w:t>[3</w:t>
        </w:r>
        <w:r w:rsidR="00A52321" w:rsidRPr="00EC37B0">
          <w:rPr>
            <w:rFonts w:ascii="Arial" w:hAnsi="Arial" w:cs="Arial"/>
            <w:color w:val="000000"/>
            <w:sz w:val="20"/>
            <w:szCs w:val="20"/>
          </w:rPr>
          <w:t>9</w:t>
        </w:r>
        <w:r w:rsidRPr="00EC37B0">
          <w:rPr>
            <w:rFonts w:ascii="Arial" w:hAnsi="Arial" w:cs="Arial"/>
            <w:color w:val="000000"/>
            <w:sz w:val="20"/>
            <w:szCs w:val="20"/>
          </w:rPr>
          <w:t>]</w:t>
        </w:r>
      </w:hyperlink>
      <w:r w:rsidRPr="00EC37B0">
        <w:rPr>
          <w:rFonts w:ascii="Arial" w:hAnsi="Arial" w:cs="Arial"/>
          <w:color w:val="000000"/>
          <w:sz w:val="20"/>
          <w:szCs w:val="20"/>
        </w:rPr>
        <w:t>. Briefly, the PNAUM was a cross-sectional, exploratory, and evaluative study</w:t>
      </w:r>
      <w:r w:rsidR="00A52321" w:rsidRPr="00EC37B0">
        <w:rPr>
          <w:rFonts w:ascii="Arial" w:hAnsi="Arial" w:cs="Arial"/>
          <w:color w:val="000000"/>
          <w:sz w:val="20"/>
          <w:szCs w:val="20"/>
        </w:rPr>
        <w:t>,</w:t>
      </w:r>
      <w:r w:rsidRPr="00EC37B0">
        <w:rPr>
          <w:rFonts w:ascii="Arial" w:hAnsi="Arial" w:cs="Arial"/>
          <w:color w:val="000000"/>
          <w:sz w:val="20"/>
          <w:szCs w:val="20"/>
        </w:rPr>
        <w:t xml:space="preserve"> with a national representative sample from the five Brazilian regions, using a three multi-stage complex sampling plan</w:t>
      </w:r>
      <w:r w:rsidR="00A52321" w:rsidRPr="00EC37B0">
        <w:rPr>
          <w:rFonts w:ascii="Arial" w:hAnsi="Arial" w:cs="Arial"/>
          <w:color w:val="000000"/>
          <w:sz w:val="20"/>
          <w:szCs w:val="20"/>
        </w:rPr>
        <w:t xml:space="preserve"> including </w:t>
      </w:r>
      <w:r w:rsidRPr="00EC37B0">
        <w:rPr>
          <w:rFonts w:ascii="Arial" w:hAnsi="Arial" w:cs="Arial"/>
          <w:color w:val="000000"/>
          <w:sz w:val="20"/>
          <w:szCs w:val="20"/>
        </w:rPr>
        <w:t>cities, primary health care services and patients (F</w:t>
      </w:r>
      <w:r w:rsidR="00DD7C0B" w:rsidRPr="00EC37B0">
        <w:rPr>
          <w:rFonts w:ascii="Arial" w:hAnsi="Arial" w:cs="Arial"/>
          <w:color w:val="000000"/>
          <w:sz w:val="20"/>
          <w:szCs w:val="20"/>
        </w:rPr>
        <w:t>igure</w:t>
      </w:r>
      <w:r w:rsidRPr="00EC37B0">
        <w:rPr>
          <w:rFonts w:ascii="Arial" w:hAnsi="Arial" w:cs="Arial"/>
          <w:color w:val="000000"/>
          <w:sz w:val="20"/>
          <w:szCs w:val="20"/>
        </w:rPr>
        <w:t xml:space="preserve"> 2). The sample sizes adopted in each region were: 60 cities, 300 health services and 1,800 patients.</w:t>
      </w:r>
    </w:p>
    <w:p w14:paraId="58E7D325" w14:textId="509C2229" w:rsidR="00F1052A" w:rsidRDefault="00F1052A" w:rsidP="00EC37B0">
      <w:pPr>
        <w:pStyle w:val="NoSpacing"/>
        <w:rPr>
          <w:rFonts w:ascii="Arial" w:hAnsi="Arial" w:cs="Arial"/>
          <w:color w:val="000000"/>
          <w:sz w:val="20"/>
          <w:szCs w:val="20"/>
        </w:rPr>
      </w:pPr>
    </w:p>
    <w:p w14:paraId="2F74217B" w14:textId="77777777" w:rsidR="00F1052A" w:rsidRPr="00F1052A" w:rsidRDefault="00F1052A" w:rsidP="00F1052A">
      <w:pPr>
        <w:spacing w:line="240" w:lineRule="auto"/>
        <w:jc w:val="both"/>
        <w:rPr>
          <w:rFonts w:ascii="Arial" w:hAnsi="Arial" w:cs="Arial"/>
        </w:rPr>
      </w:pPr>
      <w:r w:rsidRPr="00F1052A">
        <w:rPr>
          <w:rFonts w:ascii="Arial" w:hAnsi="Arial" w:cs="Arial"/>
          <w:b/>
          <w:bCs/>
          <w:sz w:val="20"/>
        </w:rPr>
        <w:t>Figure 2. Sampling plan of the Brazilian Survey on Access, Use and Promotion of Rational Use of Medicines – PNAUM Services, 2015</w:t>
      </w:r>
    </w:p>
    <w:p w14:paraId="10D75211" w14:textId="77777777" w:rsidR="00F1052A" w:rsidRPr="00EC37B0" w:rsidRDefault="00F1052A" w:rsidP="00EC37B0">
      <w:pPr>
        <w:pStyle w:val="NoSpacing"/>
        <w:rPr>
          <w:rFonts w:ascii="Arial" w:hAnsi="Arial" w:cs="Arial"/>
          <w:color w:val="000000"/>
          <w:sz w:val="20"/>
          <w:szCs w:val="20"/>
        </w:rPr>
      </w:pPr>
    </w:p>
    <w:p w14:paraId="1C7B2056" w14:textId="77777777" w:rsidR="009535A4" w:rsidRPr="00EC37B0" w:rsidRDefault="009535A4" w:rsidP="00EC37B0">
      <w:pPr>
        <w:pStyle w:val="NoSpacing"/>
        <w:rPr>
          <w:rFonts w:ascii="Arial" w:hAnsi="Arial" w:cs="Arial"/>
          <w:color w:val="000000"/>
          <w:sz w:val="20"/>
          <w:szCs w:val="20"/>
        </w:rPr>
      </w:pPr>
    </w:p>
    <w:p w14:paraId="7CA9A9E1" w14:textId="46555549" w:rsidR="00BE07D5" w:rsidRPr="00EC37B0" w:rsidRDefault="00F1052A" w:rsidP="00EC37B0">
      <w:pPr>
        <w:pStyle w:val="NoSpacing"/>
        <w:rPr>
          <w:rFonts w:ascii="Arial" w:hAnsi="Arial" w:cs="Arial"/>
          <w:color w:val="000000"/>
          <w:sz w:val="20"/>
          <w:szCs w:val="20"/>
        </w:rPr>
      </w:pPr>
      <w:r>
        <w:rPr>
          <w:noProof/>
          <w:lang w:val="en-US"/>
        </w:rPr>
        <w:drawing>
          <wp:inline distT="0" distB="0" distL="0" distR="0" wp14:anchorId="60AA6670" wp14:editId="2BEC02F6">
            <wp:extent cx="5396865" cy="275687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96865" cy="2756875"/>
                    </a:xfrm>
                    <a:prstGeom prst="rect">
                      <a:avLst/>
                    </a:prstGeom>
                    <a:noFill/>
                    <a:ln>
                      <a:noFill/>
                    </a:ln>
                  </pic:spPr>
                </pic:pic>
              </a:graphicData>
            </a:graphic>
          </wp:inline>
        </w:drawing>
      </w:r>
      <w:r w:rsidR="00570793" w:rsidRPr="00EC37B0">
        <w:rPr>
          <w:rFonts w:ascii="Arial" w:hAnsi="Arial" w:cs="Arial"/>
          <w:color w:val="000000"/>
          <w:sz w:val="20"/>
          <w:szCs w:val="20"/>
        </w:rPr>
        <w:tab/>
      </w:r>
    </w:p>
    <w:p w14:paraId="0CA0DC87" w14:textId="7A795163" w:rsidR="00F1052A" w:rsidRPr="00F1052A" w:rsidRDefault="00F1052A" w:rsidP="00F1052A">
      <w:pPr>
        <w:spacing w:line="240" w:lineRule="auto"/>
        <w:jc w:val="both"/>
        <w:rPr>
          <w:rFonts w:ascii="Arial" w:hAnsi="Arial" w:cs="Arial"/>
          <w:sz w:val="18"/>
          <w:szCs w:val="18"/>
        </w:rPr>
      </w:pPr>
      <w:r w:rsidRPr="00F1052A">
        <w:rPr>
          <w:rFonts w:ascii="Arial" w:hAnsi="Arial" w:cs="Arial"/>
          <w:sz w:val="18"/>
          <w:szCs w:val="18"/>
        </w:rPr>
        <w:t xml:space="preserve">NB: (a) Population estimated for 2014 by the Brazilian Institute of Geography and Statistics (IBGE). (b) </w:t>
      </w:r>
      <w:r w:rsidRPr="00F1052A">
        <w:rPr>
          <w:rFonts w:ascii="Arial" w:hAnsi="Arial" w:cs="Arial"/>
          <w:i/>
          <w:iCs/>
          <w:sz w:val="18"/>
          <w:szCs w:val="18"/>
        </w:rPr>
        <w:t>P</w:t>
      </w:r>
      <w:r w:rsidRPr="00F1052A">
        <w:rPr>
          <w:rFonts w:ascii="Arial" w:hAnsi="Arial" w:cs="Arial"/>
          <w:sz w:val="18"/>
          <w:szCs w:val="18"/>
        </w:rPr>
        <w:t xml:space="preserve">=0.50 is the ratio of elements to be estimated as it leads to greater sample size; </w:t>
      </w:r>
      <w:r w:rsidRPr="00F1052A">
        <w:rPr>
          <w:rFonts w:ascii="Arial" w:hAnsi="Arial" w:cs="Arial"/>
          <w:i/>
          <w:iCs/>
          <w:sz w:val="18"/>
          <w:szCs w:val="18"/>
        </w:rPr>
        <w:t>z</w:t>
      </w:r>
      <w:r w:rsidRPr="00F1052A">
        <w:rPr>
          <w:rFonts w:ascii="Arial" w:hAnsi="Arial" w:cs="Arial"/>
          <w:sz w:val="18"/>
          <w:szCs w:val="18"/>
        </w:rPr>
        <w:t xml:space="preserve">=1.96 is the normal curve value reduced to the 95% level of confidence; </w:t>
      </w:r>
      <w:proofErr w:type="spellStart"/>
      <w:r w:rsidRPr="00F1052A">
        <w:rPr>
          <w:rFonts w:ascii="Arial" w:hAnsi="Arial" w:cs="Arial"/>
          <w:i/>
          <w:iCs/>
          <w:sz w:val="18"/>
          <w:szCs w:val="18"/>
        </w:rPr>
        <w:t>deff</w:t>
      </w:r>
      <w:proofErr w:type="spellEnd"/>
      <w:r w:rsidRPr="00F1052A">
        <w:rPr>
          <w:rFonts w:ascii="Arial" w:hAnsi="Arial" w:cs="Arial"/>
          <w:sz w:val="18"/>
          <w:szCs w:val="18"/>
        </w:rPr>
        <w:t xml:space="preserve"> is the design effect, and </w:t>
      </w:r>
      <w:r w:rsidRPr="00F1052A">
        <w:rPr>
          <w:rFonts w:ascii="Arial" w:hAnsi="Arial" w:cs="Arial"/>
          <w:i/>
          <w:iCs/>
          <w:sz w:val="18"/>
          <w:szCs w:val="18"/>
        </w:rPr>
        <w:t>d</w:t>
      </w:r>
      <w:r w:rsidRPr="00F1052A">
        <w:rPr>
          <w:rFonts w:ascii="Arial" w:hAnsi="Arial" w:cs="Arial"/>
          <w:sz w:val="18"/>
          <w:szCs w:val="18"/>
        </w:rPr>
        <w:t xml:space="preserve"> is the percentage sampling error. (c) Primary health care services were randomly selected from the National Registration of Health Establishments (CNES). (d) The average of GP appointments in the period spanned from July 2013 to May 2014 was adopted to estimate the number of patients to be interviewed in each service.</w:t>
      </w:r>
    </w:p>
    <w:p w14:paraId="7F8C84E6" w14:textId="360315F5" w:rsidR="00F1052A" w:rsidRDefault="00F1052A" w:rsidP="00EC37B0">
      <w:pPr>
        <w:pStyle w:val="NoSpacing"/>
        <w:rPr>
          <w:rFonts w:ascii="Arial" w:hAnsi="Arial" w:cs="Arial"/>
          <w:color w:val="000000"/>
          <w:sz w:val="20"/>
          <w:szCs w:val="20"/>
        </w:rPr>
      </w:pPr>
    </w:p>
    <w:p w14:paraId="3FF259B0" w14:textId="79099455" w:rsidR="00570793" w:rsidRPr="00EC37B0" w:rsidRDefault="00570793" w:rsidP="00EC37B0">
      <w:pPr>
        <w:pStyle w:val="NoSpacing"/>
        <w:rPr>
          <w:rFonts w:ascii="Arial" w:hAnsi="Arial" w:cs="Arial"/>
          <w:sz w:val="20"/>
          <w:szCs w:val="20"/>
        </w:rPr>
      </w:pPr>
      <w:r w:rsidRPr="00EC37B0">
        <w:rPr>
          <w:rFonts w:ascii="Arial" w:hAnsi="Arial" w:cs="Arial"/>
          <w:color w:val="000000"/>
          <w:sz w:val="20"/>
          <w:szCs w:val="20"/>
        </w:rPr>
        <w:t xml:space="preserve">Patients over 18 years old were recruited and interviewed in primary health care services, from July 2014 to May 2015, using a specific structured questionnaire designed for the survey </w:t>
      </w:r>
      <w:hyperlink r:id="rId37" w:history="1">
        <w:r w:rsidRPr="00EC37B0">
          <w:rPr>
            <w:rFonts w:ascii="Arial" w:hAnsi="Arial" w:cs="Arial"/>
            <w:color w:val="000000"/>
            <w:sz w:val="20"/>
            <w:szCs w:val="20"/>
          </w:rPr>
          <w:t>[3</w:t>
        </w:r>
        <w:r w:rsidR="00A52321" w:rsidRPr="00EC37B0">
          <w:rPr>
            <w:rFonts w:ascii="Arial" w:hAnsi="Arial" w:cs="Arial"/>
            <w:color w:val="000000"/>
            <w:sz w:val="20"/>
            <w:szCs w:val="20"/>
          </w:rPr>
          <w:t>9</w:t>
        </w:r>
        <w:r w:rsidRPr="00EC37B0">
          <w:rPr>
            <w:rFonts w:ascii="Arial" w:hAnsi="Arial" w:cs="Arial"/>
            <w:color w:val="000000"/>
            <w:sz w:val="20"/>
            <w:szCs w:val="20"/>
          </w:rPr>
          <w:t>]</w:t>
        </w:r>
      </w:hyperlink>
      <w:r w:rsidRPr="00EC37B0">
        <w:rPr>
          <w:rFonts w:ascii="Arial" w:hAnsi="Arial" w:cs="Arial"/>
          <w:color w:val="000000"/>
          <w:sz w:val="20"/>
          <w:szCs w:val="20"/>
        </w:rPr>
        <w:t>. Personal information, including sociodemographic data (sex, age, ethnicity, marital status, educational level, economic class, region of country and private health insurance) and lifestyle characteristics (alcohol use, smoking, frequency of physical activity in the three previous months and diet) were collected from all respondents. The Bra</w:t>
      </w:r>
      <w:r w:rsidR="00DD7C0B" w:rsidRPr="00EC37B0">
        <w:rPr>
          <w:rFonts w:ascii="Arial" w:hAnsi="Arial" w:cs="Arial"/>
          <w:color w:val="000000"/>
          <w:sz w:val="20"/>
          <w:szCs w:val="20"/>
        </w:rPr>
        <w:t xml:space="preserve">zilian criteria </w:t>
      </w:r>
      <w:r w:rsidRPr="00EC37B0">
        <w:rPr>
          <w:rFonts w:ascii="Arial" w:hAnsi="Arial" w:cs="Arial"/>
          <w:color w:val="000000"/>
          <w:sz w:val="20"/>
          <w:szCs w:val="20"/>
        </w:rPr>
        <w:t>was adopted to classify the economic classes in five strata</w:t>
      </w:r>
      <w:r w:rsidR="00BE07D5" w:rsidRPr="00EC37B0">
        <w:rPr>
          <w:rFonts w:ascii="Arial" w:hAnsi="Arial" w:cs="Arial"/>
          <w:color w:val="000000"/>
          <w:sz w:val="20"/>
          <w:szCs w:val="20"/>
        </w:rPr>
        <w:t>:</w:t>
      </w:r>
      <w:r w:rsidRPr="00EC37B0">
        <w:rPr>
          <w:rFonts w:ascii="Arial" w:hAnsi="Arial" w:cs="Arial"/>
          <w:color w:val="000000"/>
          <w:sz w:val="20"/>
          <w:szCs w:val="20"/>
        </w:rPr>
        <w:t xml:space="preserve"> A, B, C, D and E </w:t>
      </w:r>
      <w:hyperlink r:id="rId38" w:history="1">
        <w:r w:rsidRPr="00EC37B0">
          <w:rPr>
            <w:rFonts w:ascii="Arial" w:hAnsi="Arial" w:cs="Arial"/>
            <w:color w:val="000000"/>
            <w:sz w:val="20"/>
            <w:szCs w:val="20"/>
          </w:rPr>
          <w:t>[</w:t>
        </w:r>
        <w:r w:rsidR="00A52321" w:rsidRPr="00EC37B0">
          <w:rPr>
            <w:rFonts w:ascii="Arial" w:hAnsi="Arial" w:cs="Arial"/>
            <w:color w:val="000000"/>
            <w:sz w:val="20"/>
            <w:szCs w:val="20"/>
          </w:rPr>
          <w:t>41</w:t>
        </w:r>
        <w:r w:rsidRPr="00EC37B0">
          <w:rPr>
            <w:rFonts w:ascii="Arial" w:hAnsi="Arial" w:cs="Arial"/>
            <w:color w:val="000000"/>
            <w:sz w:val="20"/>
            <w:szCs w:val="20"/>
          </w:rPr>
          <w:t>]</w:t>
        </w:r>
      </w:hyperlink>
      <w:r w:rsidRPr="00EC37B0">
        <w:rPr>
          <w:rFonts w:ascii="Arial" w:hAnsi="Arial" w:cs="Arial"/>
          <w:color w:val="000000"/>
          <w:sz w:val="20"/>
          <w:szCs w:val="20"/>
        </w:rPr>
        <w:t>.  This is a measuring system that estimates the socioeconomic level of a household, based on several attributes and characteristics (consumer goods, monthly servants, education level, and public utility services such as piped water).</w:t>
      </w:r>
    </w:p>
    <w:p w14:paraId="69F1C83A" w14:textId="77777777" w:rsidR="00BE07D5"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ab/>
      </w:r>
    </w:p>
    <w:p w14:paraId="4F679478" w14:textId="4623E415" w:rsidR="00570793" w:rsidRPr="00EC37B0" w:rsidRDefault="00570793" w:rsidP="00EC37B0">
      <w:pPr>
        <w:pStyle w:val="NoSpacing"/>
        <w:rPr>
          <w:rFonts w:ascii="Arial" w:hAnsi="Arial" w:cs="Arial"/>
          <w:sz w:val="20"/>
          <w:szCs w:val="20"/>
        </w:rPr>
      </w:pPr>
      <w:r w:rsidRPr="00EC37B0">
        <w:rPr>
          <w:rFonts w:ascii="Arial" w:hAnsi="Arial" w:cs="Arial"/>
          <w:color w:val="000000"/>
          <w:sz w:val="20"/>
          <w:szCs w:val="20"/>
        </w:rPr>
        <w:t>Regarding health conditions and use of medicines, patients were asked about what chronic diseases they have; any emergency care and hospitalization in the preceding 12 months; and any medicines’ use in the 30 days prior to the interview date. To ensure greater accuracy, interviewers asked patients to present the prescriptions and/or packages of medicines they were currently taking, when available. Patients were further asked about how long they have been taking each medicine, how they accessed the medicines the last time they required them (free of charge, co-payment, private pharmacies or others) and if there was any difficulty in accessing their medicines.</w:t>
      </w:r>
    </w:p>
    <w:p w14:paraId="657AAE50" w14:textId="77777777" w:rsidR="00BE07D5"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ab/>
      </w:r>
    </w:p>
    <w:p w14:paraId="53B7B023" w14:textId="209D7D3E" w:rsidR="00570793" w:rsidRPr="00EC37B0" w:rsidRDefault="00570793" w:rsidP="00EC37B0">
      <w:pPr>
        <w:pStyle w:val="NoSpacing"/>
        <w:rPr>
          <w:rFonts w:ascii="Arial" w:hAnsi="Arial" w:cs="Arial"/>
          <w:sz w:val="20"/>
          <w:szCs w:val="20"/>
        </w:rPr>
      </w:pPr>
      <w:r w:rsidRPr="00EC37B0">
        <w:rPr>
          <w:rFonts w:ascii="Arial" w:hAnsi="Arial" w:cs="Arial"/>
          <w:color w:val="000000"/>
          <w:sz w:val="20"/>
          <w:szCs w:val="20"/>
        </w:rPr>
        <w:lastRenderedPageBreak/>
        <w:t>Patients who reported the use of at least one medicine were divided into two strata, statin users and non-statin users, according to whether they used statin</w:t>
      </w:r>
      <w:r w:rsidR="00BE07D5" w:rsidRPr="00EC37B0">
        <w:rPr>
          <w:rFonts w:ascii="Arial" w:hAnsi="Arial" w:cs="Arial"/>
          <w:color w:val="000000"/>
          <w:sz w:val="20"/>
          <w:szCs w:val="20"/>
        </w:rPr>
        <w:t>s</w:t>
      </w:r>
      <w:r w:rsidRPr="00EC37B0">
        <w:rPr>
          <w:rFonts w:ascii="Arial" w:hAnsi="Arial" w:cs="Arial"/>
          <w:color w:val="000000"/>
          <w:sz w:val="20"/>
          <w:szCs w:val="20"/>
        </w:rPr>
        <w:t xml:space="preserve"> or not. The medicines were classified in accordance with the fifth level of the Anatomical Therapeutic Chemical index (ATC) </w:t>
      </w:r>
      <w:hyperlink r:id="rId39" w:history="1">
        <w:r w:rsidRPr="00EC37B0">
          <w:rPr>
            <w:rFonts w:ascii="Arial" w:hAnsi="Arial" w:cs="Arial"/>
            <w:color w:val="000000"/>
            <w:sz w:val="20"/>
            <w:szCs w:val="20"/>
          </w:rPr>
          <w:t>[</w:t>
        </w:r>
        <w:r w:rsidR="00A52321" w:rsidRPr="00EC37B0">
          <w:rPr>
            <w:rFonts w:ascii="Arial" w:hAnsi="Arial" w:cs="Arial"/>
            <w:color w:val="000000"/>
            <w:sz w:val="20"/>
            <w:szCs w:val="20"/>
          </w:rPr>
          <w:t>42</w:t>
        </w:r>
        <w:r w:rsidRPr="00EC37B0">
          <w:rPr>
            <w:rFonts w:ascii="Arial" w:hAnsi="Arial" w:cs="Arial"/>
            <w:color w:val="000000"/>
            <w:sz w:val="20"/>
            <w:szCs w:val="20"/>
          </w:rPr>
          <w:t>]</w:t>
        </w:r>
      </w:hyperlink>
      <w:r w:rsidRPr="00EC37B0">
        <w:rPr>
          <w:rFonts w:ascii="Arial" w:hAnsi="Arial" w:cs="Arial"/>
          <w:color w:val="000000"/>
          <w:sz w:val="20"/>
          <w:szCs w:val="20"/>
        </w:rPr>
        <w:t xml:space="preserve">. Polypharmacy was defined as the use of five or more medicines per patient, in line with other published studies </w:t>
      </w:r>
      <w:hyperlink r:id="rId40" w:history="1">
        <w:r w:rsidRPr="00EC37B0">
          <w:rPr>
            <w:rFonts w:ascii="Arial" w:hAnsi="Arial" w:cs="Arial"/>
            <w:color w:val="000000"/>
            <w:sz w:val="20"/>
            <w:szCs w:val="20"/>
          </w:rPr>
          <w:t>[4</w:t>
        </w:r>
        <w:r w:rsidR="00A52321" w:rsidRPr="00EC37B0">
          <w:rPr>
            <w:rFonts w:ascii="Arial" w:hAnsi="Arial" w:cs="Arial"/>
            <w:color w:val="000000"/>
            <w:sz w:val="20"/>
            <w:szCs w:val="20"/>
          </w:rPr>
          <w:t>3</w:t>
        </w:r>
        <w:r w:rsidRPr="00EC37B0">
          <w:rPr>
            <w:rFonts w:ascii="Arial" w:hAnsi="Arial" w:cs="Arial"/>
            <w:color w:val="000000"/>
            <w:sz w:val="20"/>
            <w:szCs w:val="20"/>
          </w:rPr>
          <w:t>–4</w:t>
        </w:r>
        <w:r w:rsidR="00A52321" w:rsidRPr="00EC37B0">
          <w:rPr>
            <w:rFonts w:ascii="Arial" w:hAnsi="Arial" w:cs="Arial"/>
            <w:color w:val="000000"/>
            <w:sz w:val="20"/>
            <w:szCs w:val="20"/>
          </w:rPr>
          <w:t>6</w:t>
        </w:r>
        <w:r w:rsidRPr="00EC37B0">
          <w:rPr>
            <w:rFonts w:ascii="Arial" w:hAnsi="Arial" w:cs="Arial"/>
            <w:color w:val="000000"/>
            <w:sz w:val="20"/>
            <w:szCs w:val="20"/>
          </w:rPr>
          <w:t>]</w:t>
        </w:r>
      </w:hyperlink>
      <w:r w:rsidRPr="00EC37B0">
        <w:rPr>
          <w:rFonts w:ascii="Arial" w:hAnsi="Arial" w:cs="Arial"/>
          <w:color w:val="000000"/>
          <w:sz w:val="20"/>
          <w:szCs w:val="20"/>
        </w:rPr>
        <w:t xml:space="preserve">. Self-reported adherence to statins was assessed by asking patients whether they missed any dose in the seven days prior to the interview in accordance with previous studies </w:t>
      </w:r>
      <w:hyperlink r:id="rId41" w:history="1">
        <w:r w:rsidRPr="00EC37B0">
          <w:rPr>
            <w:rFonts w:ascii="Arial" w:hAnsi="Arial" w:cs="Arial"/>
            <w:color w:val="000000"/>
            <w:sz w:val="20"/>
            <w:szCs w:val="20"/>
          </w:rPr>
          <w:t>[4</w:t>
        </w:r>
        <w:r w:rsidR="00A52321" w:rsidRPr="00EC37B0">
          <w:rPr>
            <w:rFonts w:ascii="Arial" w:hAnsi="Arial" w:cs="Arial"/>
            <w:color w:val="000000"/>
            <w:sz w:val="20"/>
            <w:szCs w:val="20"/>
          </w:rPr>
          <w:t>7</w:t>
        </w:r>
        <w:r w:rsidRPr="00EC37B0">
          <w:rPr>
            <w:rFonts w:ascii="Arial" w:hAnsi="Arial" w:cs="Arial"/>
            <w:color w:val="000000"/>
            <w:sz w:val="20"/>
            <w:szCs w:val="20"/>
          </w:rPr>
          <w:t>–4</w:t>
        </w:r>
        <w:r w:rsidR="00A52321" w:rsidRPr="00EC37B0">
          <w:rPr>
            <w:rFonts w:ascii="Arial" w:hAnsi="Arial" w:cs="Arial"/>
            <w:color w:val="000000"/>
            <w:sz w:val="20"/>
            <w:szCs w:val="20"/>
          </w:rPr>
          <w:t>9</w:t>
        </w:r>
        <w:r w:rsidRPr="00EC37B0">
          <w:rPr>
            <w:rFonts w:ascii="Arial" w:hAnsi="Arial" w:cs="Arial"/>
            <w:color w:val="000000"/>
            <w:sz w:val="20"/>
            <w:szCs w:val="20"/>
          </w:rPr>
          <w:t>]</w:t>
        </w:r>
      </w:hyperlink>
      <w:r w:rsidRPr="00EC37B0">
        <w:rPr>
          <w:rFonts w:ascii="Arial" w:hAnsi="Arial" w:cs="Arial"/>
          <w:color w:val="000000"/>
          <w:sz w:val="20"/>
          <w:szCs w:val="20"/>
        </w:rPr>
        <w:t>. Patients who reported missing at least one dose of a statin in the past seven days were classified as having poor adherence.</w:t>
      </w:r>
    </w:p>
    <w:p w14:paraId="0A14EAAA" w14:textId="77777777" w:rsidR="00C77BE8"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ab/>
      </w:r>
    </w:p>
    <w:p w14:paraId="48ED01CF" w14:textId="59E38FEA" w:rsidR="00570793" w:rsidRPr="00EC37B0" w:rsidRDefault="00570793" w:rsidP="00EC37B0">
      <w:pPr>
        <w:pStyle w:val="NoSpacing"/>
        <w:rPr>
          <w:rFonts w:ascii="Arial" w:hAnsi="Arial" w:cs="Arial"/>
          <w:sz w:val="20"/>
          <w:szCs w:val="20"/>
        </w:rPr>
      </w:pPr>
      <w:r w:rsidRPr="00EC37B0">
        <w:rPr>
          <w:rFonts w:ascii="Arial" w:hAnsi="Arial" w:cs="Arial"/>
          <w:color w:val="000000"/>
          <w:sz w:val="20"/>
          <w:szCs w:val="20"/>
        </w:rPr>
        <w:t>The association between statins use and sociodemographic variables (sex, age, marital status, educational level, economic class, having health insurance, residence region), lifestyle (alcohol consumption, smoking, physical activity), and indicators of health conditions (self-perception of health, number and main chronic diseases self-reported, emergency care and hospitalization) was assessed. Proportions were presented with respective 95% confidence intervals (CI), and numeric variables as mean ± standard deviation.</w:t>
      </w:r>
    </w:p>
    <w:p w14:paraId="3E369C52" w14:textId="77777777" w:rsidR="00C77BE8"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ab/>
      </w:r>
    </w:p>
    <w:p w14:paraId="476B4CE6" w14:textId="54DA6919" w:rsidR="00570793" w:rsidRPr="00EC37B0" w:rsidRDefault="00570793" w:rsidP="00EC37B0">
      <w:pPr>
        <w:pStyle w:val="NoSpacing"/>
        <w:rPr>
          <w:rFonts w:ascii="Arial" w:hAnsi="Arial" w:cs="Arial"/>
          <w:sz w:val="20"/>
          <w:szCs w:val="20"/>
        </w:rPr>
      </w:pPr>
      <w:r w:rsidRPr="00EC37B0">
        <w:rPr>
          <w:rFonts w:ascii="Arial" w:hAnsi="Arial" w:cs="Arial"/>
          <w:color w:val="000000"/>
          <w:sz w:val="20"/>
          <w:szCs w:val="20"/>
        </w:rPr>
        <w:t xml:space="preserve">For group comparison, the Pearson’s Chi-square test with Rao-Scott correction was adopted, considering a significance level of 5.0%. The association between statins use and co-variables was evaluated using logistic regression models. Univariate models were used to select variables to be included in the multivariate model, using a p-value ≤ 0.20 as a cut-off point. The Backward method </w:t>
      </w:r>
      <w:hyperlink r:id="rId42" w:history="1">
        <w:r w:rsidRPr="00EC37B0">
          <w:rPr>
            <w:rFonts w:ascii="Arial" w:hAnsi="Arial" w:cs="Arial"/>
            <w:color w:val="000000"/>
            <w:sz w:val="20"/>
            <w:szCs w:val="20"/>
          </w:rPr>
          <w:t>[</w:t>
        </w:r>
        <w:r w:rsidR="00A52321" w:rsidRPr="00EC37B0">
          <w:rPr>
            <w:rFonts w:ascii="Arial" w:hAnsi="Arial" w:cs="Arial"/>
            <w:color w:val="000000"/>
            <w:sz w:val="20"/>
            <w:szCs w:val="20"/>
          </w:rPr>
          <w:t>50</w:t>
        </w:r>
        <w:r w:rsidRPr="00EC37B0">
          <w:rPr>
            <w:rFonts w:ascii="Arial" w:hAnsi="Arial" w:cs="Arial"/>
            <w:color w:val="000000"/>
            <w:sz w:val="20"/>
            <w:szCs w:val="20"/>
          </w:rPr>
          <w:t>]</w:t>
        </w:r>
      </w:hyperlink>
      <w:r w:rsidRPr="00EC37B0">
        <w:rPr>
          <w:rFonts w:ascii="Arial" w:hAnsi="Arial" w:cs="Arial"/>
          <w:color w:val="000000"/>
          <w:sz w:val="20"/>
          <w:szCs w:val="20"/>
        </w:rPr>
        <w:t xml:space="preserve"> was adopted to obtain the final model, which contained only those variables with a p-value &lt; 0.05. The adjustment quality was verified by the Hosmer-Lemeshow test. Data were analysed using the program R® version 3.2.1, with the survey package.</w:t>
      </w:r>
    </w:p>
    <w:p w14:paraId="76680E04" w14:textId="77777777" w:rsidR="00C77BE8"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ab/>
      </w:r>
    </w:p>
    <w:p w14:paraId="7A71E034" w14:textId="69CCF1E0" w:rsidR="00570793" w:rsidRPr="00EC37B0" w:rsidRDefault="00570793" w:rsidP="00EC37B0">
      <w:pPr>
        <w:pStyle w:val="NoSpacing"/>
        <w:rPr>
          <w:rFonts w:ascii="Arial" w:hAnsi="Arial" w:cs="Arial"/>
          <w:color w:val="000000"/>
          <w:sz w:val="20"/>
          <w:szCs w:val="20"/>
        </w:rPr>
      </w:pPr>
      <w:r w:rsidRPr="00EC37B0">
        <w:rPr>
          <w:rFonts w:ascii="Arial" w:hAnsi="Arial" w:cs="Arial"/>
          <w:color w:val="000000"/>
          <w:sz w:val="20"/>
          <w:szCs w:val="20"/>
        </w:rPr>
        <w:t>The survey was approved by the National Research Ethics Committee (CONEP), under Opinion n</w:t>
      </w:r>
      <w:r w:rsidRPr="00EC37B0">
        <w:rPr>
          <w:rFonts w:ascii="Arial" w:hAnsi="Arial" w:cs="Arial"/>
          <w:color w:val="000000"/>
          <w:sz w:val="20"/>
          <w:szCs w:val="20"/>
          <w:vertAlign w:val="superscript"/>
        </w:rPr>
        <w:t>o</w:t>
      </w:r>
      <w:r w:rsidRPr="00EC37B0">
        <w:rPr>
          <w:rFonts w:ascii="Arial" w:hAnsi="Arial" w:cs="Arial"/>
          <w:color w:val="000000"/>
          <w:sz w:val="20"/>
          <w:szCs w:val="20"/>
        </w:rPr>
        <w:t>. 398,131/2013. All participants gave written informed consent for the interview, data collection and analysis.</w:t>
      </w:r>
    </w:p>
    <w:p w14:paraId="527AA63F" w14:textId="77777777" w:rsidR="00991055" w:rsidRPr="00EC37B0" w:rsidRDefault="00991055" w:rsidP="00EC37B0">
      <w:pPr>
        <w:pStyle w:val="NoSpacing"/>
        <w:rPr>
          <w:rFonts w:ascii="Arial" w:hAnsi="Arial" w:cs="Arial"/>
          <w:sz w:val="20"/>
          <w:szCs w:val="20"/>
        </w:rPr>
      </w:pPr>
    </w:p>
    <w:p w14:paraId="4648937B" w14:textId="1CDC4653" w:rsidR="00991055" w:rsidRPr="00F1052A" w:rsidRDefault="00991055" w:rsidP="00EC37B0">
      <w:pPr>
        <w:pStyle w:val="NoSpacing"/>
        <w:rPr>
          <w:rFonts w:ascii="Arial" w:hAnsi="Arial" w:cs="Arial"/>
          <w:b/>
          <w:bCs/>
          <w:color w:val="000000"/>
          <w:sz w:val="20"/>
          <w:szCs w:val="20"/>
        </w:rPr>
      </w:pPr>
      <w:r w:rsidRPr="00F1052A">
        <w:rPr>
          <w:rFonts w:ascii="Arial" w:hAnsi="Arial" w:cs="Arial"/>
          <w:b/>
          <w:bCs/>
          <w:color w:val="000000"/>
          <w:sz w:val="20"/>
          <w:szCs w:val="20"/>
        </w:rPr>
        <w:t>Results</w:t>
      </w:r>
    </w:p>
    <w:p w14:paraId="4982A02A" w14:textId="77777777" w:rsidR="00991055" w:rsidRPr="00EC37B0" w:rsidRDefault="00991055" w:rsidP="00EC37B0">
      <w:pPr>
        <w:pStyle w:val="NoSpacing"/>
        <w:rPr>
          <w:rFonts w:ascii="Arial" w:hAnsi="Arial" w:cs="Arial"/>
          <w:sz w:val="20"/>
          <w:szCs w:val="20"/>
        </w:rPr>
      </w:pPr>
    </w:p>
    <w:p w14:paraId="694EB24B" w14:textId="6F476B98" w:rsidR="00991055" w:rsidRPr="00EC37B0" w:rsidRDefault="00991055" w:rsidP="00EC37B0">
      <w:pPr>
        <w:pStyle w:val="NoSpacing"/>
        <w:rPr>
          <w:rFonts w:ascii="Arial" w:hAnsi="Arial" w:cs="Arial"/>
          <w:sz w:val="20"/>
          <w:szCs w:val="20"/>
        </w:rPr>
      </w:pPr>
      <w:r w:rsidRPr="00EC37B0">
        <w:rPr>
          <w:rFonts w:ascii="Arial" w:hAnsi="Arial" w:cs="Arial"/>
          <w:color w:val="000000"/>
          <w:sz w:val="20"/>
          <w:szCs w:val="20"/>
        </w:rPr>
        <w:t>A total of 8,803 patients were interviewed in 1,305 primary health care services located in 272 Brazilian cities. Out of these, 6,511 patients (76.2%) reported medicines use in the 30 days prior to the interview. The prevalence of statin use was 9.3% (n=603).</w:t>
      </w:r>
    </w:p>
    <w:p w14:paraId="21F576C1" w14:textId="77777777" w:rsidR="00C77BE8"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ab/>
      </w:r>
    </w:p>
    <w:p w14:paraId="0B1AD492" w14:textId="5F402924"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 xml:space="preserve">The majority of the statins users were female (77.8%), between 45-64 years old (60.0%), </w:t>
      </w:r>
      <w:r w:rsidR="00C77BE8" w:rsidRPr="00EC37B0">
        <w:rPr>
          <w:rFonts w:ascii="Arial" w:hAnsi="Arial" w:cs="Arial"/>
          <w:color w:val="000000"/>
          <w:sz w:val="20"/>
          <w:szCs w:val="20"/>
        </w:rPr>
        <w:t xml:space="preserve">of </w:t>
      </w:r>
      <w:r w:rsidRPr="00EC37B0">
        <w:rPr>
          <w:rFonts w:ascii="Arial" w:hAnsi="Arial" w:cs="Arial"/>
          <w:color w:val="000000"/>
          <w:sz w:val="20"/>
          <w:szCs w:val="20"/>
        </w:rPr>
        <w:t>white skin colour (53.6%), married (68.2%), with incomplete elementary education (48.7%), economic class C, with an estimated annual household income of R$25,980.00 (U$ 9,226.00) (52.5%), lived in the South region (37.5%), and did not have private</w:t>
      </w:r>
      <w:r w:rsidR="00DD7C0B" w:rsidRPr="00EC37B0">
        <w:rPr>
          <w:rFonts w:ascii="Arial" w:hAnsi="Arial" w:cs="Arial"/>
          <w:color w:val="000000"/>
          <w:sz w:val="20"/>
          <w:szCs w:val="20"/>
        </w:rPr>
        <w:t xml:space="preserve"> health insurance (87.6%) (Table</w:t>
      </w:r>
      <w:r w:rsidRPr="00EC37B0">
        <w:rPr>
          <w:rFonts w:ascii="Arial" w:hAnsi="Arial" w:cs="Arial"/>
          <w:color w:val="000000"/>
          <w:sz w:val="20"/>
          <w:szCs w:val="20"/>
        </w:rPr>
        <w:t xml:space="preserve"> 1).</w:t>
      </w:r>
    </w:p>
    <w:p w14:paraId="3B7736E0" w14:textId="0AD2E8E5" w:rsidR="009535A4" w:rsidRPr="00EC37B0" w:rsidRDefault="009535A4" w:rsidP="00EC37B0">
      <w:pPr>
        <w:pStyle w:val="NoSpacing"/>
        <w:rPr>
          <w:rFonts w:ascii="Arial" w:hAnsi="Arial" w:cs="Arial"/>
          <w:sz w:val="20"/>
          <w:szCs w:val="20"/>
        </w:rPr>
      </w:pPr>
    </w:p>
    <w:p w14:paraId="0196A3B3" w14:textId="77777777" w:rsidR="00F1052A" w:rsidRDefault="00F1052A">
      <w:pPr>
        <w:spacing w:line="240" w:lineRule="auto"/>
        <w:rPr>
          <w:b/>
          <w:bCs/>
          <w:color w:val="000000"/>
          <w:sz w:val="20"/>
          <w:szCs w:val="20"/>
        </w:rPr>
      </w:pPr>
      <w:r>
        <w:rPr>
          <w:b/>
          <w:bCs/>
          <w:color w:val="000000"/>
          <w:sz w:val="20"/>
          <w:szCs w:val="20"/>
        </w:rPr>
        <w:br w:type="page"/>
      </w:r>
    </w:p>
    <w:p w14:paraId="4671139B" w14:textId="0B12BA06" w:rsidR="00F1052A" w:rsidRPr="00F1052A" w:rsidRDefault="00F1052A" w:rsidP="00F1052A">
      <w:pPr>
        <w:spacing w:line="240" w:lineRule="auto"/>
        <w:jc w:val="both"/>
        <w:rPr>
          <w:rFonts w:ascii="Arial" w:hAnsi="Arial" w:cs="Arial"/>
          <w:b/>
          <w:bCs/>
          <w:sz w:val="20"/>
          <w:szCs w:val="20"/>
        </w:rPr>
      </w:pPr>
      <w:r w:rsidRPr="00F1052A">
        <w:rPr>
          <w:rFonts w:ascii="Arial" w:hAnsi="Arial" w:cs="Arial"/>
          <w:b/>
          <w:bCs/>
          <w:sz w:val="20"/>
          <w:szCs w:val="20"/>
        </w:rPr>
        <w:lastRenderedPageBreak/>
        <w:t>TABLE 1. Sociodemographic characteristics of statins users in the SUS primary health care. National Survey on Access, Use and Promotion of Rational Use of Medicines – Services, 2015</w:t>
      </w:r>
    </w:p>
    <w:p w14:paraId="6877258C" w14:textId="77777777" w:rsidR="00F1052A" w:rsidRPr="00362CF5" w:rsidRDefault="00F1052A" w:rsidP="00F1052A">
      <w:pPr>
        <w:spacing w:line="240" w:lineRule="auto"/>
        <w:jc w:val="both"/>
      </w:pPr>
    </w:p>
    <w:tbl>
      <w:tblPr>
        <w:tblW w:w="9640" w:type="dxa"/>
        <w:tblInd w:w="-27" w:type="dxa"/>
        <w:tblLayout w:type="fixed"/>
        <w:tblCellMar>
          <w:top w:w="15" w:type="dxa"/>
          <w:left w:w="15" w:type="dxa"/>
          <w:bottom w:w="15" w:type="dxa"/>
          <w:right w:w="15" w:type="dxa"/>
        </w:tblCellMar>
        <w:tblLook w:val="04A0" w:firstRow="1" w:lastRow="0" w:firstColumn="1" w:lastColumn="0" w:noHBand="0" w:noVBand="1"/>
      </w:tblPr>
      <w:tblGrid>
        <w:gridCol w:w="3119"/>
        <w:gridCol w:w="851"/>
        <w:gridCol w:w="1842"/>
        <w:gridCol w:w="992"/>
        <w:gridCol w:w="1843"/>
        <w:gridCol w:w="993"/>
      </w:tblGrid>
      <w:tr w:rsidR="00F1052A" w:rsidRPr="00362CF5" w14:paraId="76A6CF32" w14:textId="77777777" w:rsidTr="00F1052A">
        <w:trPr>
          <w:trHeight w:val="300"/>
        </w:trPr>
        <w:tc>
          <w:tcPr>
            <w:tcW w:w="3119" w:type="dxa"/>
            <w:tcBorders>
              <w:top w:val="single" w:sz="4" w:space="0" w:color="000000"/>
            </w:tcBorders>
            <w:shd w:val="clear" w:color="auto" w:fill="DAEEF3"/>
            <w:tcMar>
              <w:top w:w="0" w:type="dxa"/>
              <w:left w:w="115" w:type="dxa"/>
              <w:bottom w:w="0" w:type="dxa"/>
              <w:right w:w="115" w:type="dxa"/>
            </w:tcMar>
            <w:vAlign w:val="bottom"/>
            <w:hideMark/>
          </w:tcPr>
          <w:p w14:paraId="7B0A0A51" w14:textId="77777777" w:rsidR="00F1052A" w:rsidRPr="00362CF5" w:rsidRDefault="00F1052A" w:rsidP="00F1052A">
            <w:pPr>
              <w:spacing w:line="240" w:lineRule="auto"/>
              <w:jc w:val="center"/>
            </w:pPr>
            <w:r w:rsidRPr="00362CF5">
              <w:rPr>
                <w:b/>
                <w:bCs/>
                <w:color w:val="000000"/>
                <w:sz w:val="20"/>
                <w:szCs w:val="20"/>
              </w:rPr>
              <w:t> </w:t>
            </w:r>
          </w:p>
        </w:tc>
        <w:tc>
          <w:tcPr>
            <w:tcW w:w="5528" w:type="dxa"/>
            <w:gridSpan w:val="4"/>
            <w:tcBorders>
              <w:top w:val="single" w:sz="4" w:space="0" w:color="000000"/>
              <w:bottom w:val="single" w:sz="4" w:space="0" w:color="000000"/>
            </w:tcBorders>
            <w:shd w:val="clear" w:color="auto" w:fill="DAEEF3"/>
            <w:tcMar>
              <w:top w:w="0" w:type="dxa"/>
              <w:left w:w="115" w:type="dxa"/>
              <w:bottom w:w="0" w:type="dxa"/>
              <w:right w:w="115" w:type="dxa"/>
            </w:tcMar>
            <w:vAlign w:val="center"/>
            <w:hideMark/>
          </w:tcPr>
          <w:p w14:paraId="4B3AC840" w14:textId="77777777" w:rsidR="00F1052A" w:rsidRPr="00362CF5" w:rsidRDefault="00F1052A" w:rsidP="00F1052A">
            <w:pPr>
              <w:spacing w:line="240" w:lineRule="auto"/>
              <w:jc w:val="center"/>
            </w:pPr>
            <w:r w:rsidRPr="00362CF5">
              <w:rPr>
                <w:b/>
                <w:bCs/>
                <w:color w:val="000000"/>
                <w:sz w:val="20"/>
                <w:szCs w:val="20"/>
              </w:rPr>
              <w:t>Current statin users</w:t>
            </w:r>
          </w:p>
        </w:tc>
        <w:tc>
          <w:tcPr>
            <w:tcW w:w="993" w:type="dxa"/>
            <w:tcBorders>
              <w:top w:val="single" w:sz="4" w:space="0" w:color="000000"/>
            </w:tcBorders>
            <w:shd w:val="clear" w:color="auto" w:fill="DAEEF3"/>
            <w:tcMar>
              <w:top w:w="0" w:type="dxa"/>
              <w:left w:w="115" w:type="dxa"/>
              <w:bottom w:w="0" w:type="dxa"/>
              <w:right w:w="115" w:type="dxa"/>
            </w:tcMar>
            <w:vAlign w:val="bottom"/>
            <w:hideMark/>
          </w:tcPr>
          <w:p w14:paraId="29211EC9" w14:textId="77777777" w:rsidR="00F1052A" w:rsidRPr="00362CF5" w:rsidRDefault="00F1052A" w:rsidP="00F1052A">
            <w:pPr>
              <w:spacing w:line="240" w:lineRule="auto"/>
              <w:jc w:val="center"/>
            </w:pPr>
            <w:r w:rsidRPr="00362CF5">
              <w:rPr>
                <w:b/>
                <w:bCs/>
                <w:color w:val="000000"/>
                <w:sz w:val="20"/>
                <w:szCs w:val="20"/>
              </w:rPr>
              <w:t> </w:t>
            </w:r>
          </w:p>
        </w:tc>
      </w:tr>
      <w:tr w:rsidR="00F1052A" w:rsidRPr="00362CF5" w14:paraId="45A146F3" w14:textId="77777777" w:rsidTr="00F1052A">
        <w:trPr>
          <w:trHeight w:val="300"/>
        </w:trPr>
        <w:tc>
          <w:tcPr>
            <w:tcW w:w="3119" w:type="dxa"/>
            <w:shd w:val="clear" w:color="auto" w:fill="DAEEF3"/>
            <w:tcMar>
              <w:top w:w="0" w:type="dxa"/>
              <w:left w:w="115" w:type="dxa"/>
              <w:bottom w:w="0" w:type="dxa"/>
              <w:right w:w="115" w:type="dxa"/>
            </w:tcMar>
            <w:vAlign w:val="bottom"/>
            <w:hideMark/>
          </w:tcPr>
          <w:p w14:paraId="7867AA9F" w14:textId="77777777" w:rsidR="00F1052A" w:rsidRPr="00362CF5" w:rsidRDefault="00F1052A" w:rsidP="00F1052A">
            <w:pPr>
              <w:spacing w:line="240" w:lineRule="auto"/>
              <w:jc w:val="center"/>
            </w:pPr>
            <w:r w:rsidRPr="00362CF5">
              <w:rPr>
                <w:b/>
                <w:bCs/>
                <w:color w:val="000000"/>
                <w:sz w:val="20"/>
                <w:szCs w:val="20"/>
              </w:rPr>
              <w:t>Variables</w:t>
            </w:r>
          </w:p>
        </w:tc>
        <w:tc>
          <w:tcPr>
            <w:tcW w:w="2693" w:type="dxa"/>
            <w:gridSpan w:val="2"/>
            <w:tcBorders>
              <w:top w:val="single" w:sz="4" w:space="0" w:color="000000"/>
              <w:bottom w:val="single" w:sz="4" w:space="0" w:color="000000"/>
            </w:tcBorders>
            <w:shd w:val="clear" w:color="auto" w:fill="DAEEF3"/>
            <w:tcMar>
              <w:top w:w="0" w:type="dxa"/>
              <w:left w:w="115" w:type="dxa"/>
              <w:bottom w:w="0" w:type="dxa"/>
              <w:right w:w="115" w:type="dxa"/>
            </w:tcMar>
            <w:vAlign w:val="center"/>
            <w:hideMark/>
          </w:tcPr>
          <w:p w14:paraId="3C098089" w14:textId="77777777" w:rsidR="00F1052A" w:rsidRPr="00362CF5" w:rsidRDefault="00F1052A" w:rsidP="00F1052A">
            <w:pPr>
              <w:spacing w:line="240" w:lineRule="auto"/>
              <w:jc w:val="center"/>
            </w:pPr>
            <w:r w:rsidRPr="00362CF5">
              <w:rPr>
                <w:b/>
                <w:bCs/>
                <w:color w:val="000000"/>
                <w:sz w:val="20"/>
                <w:szCs w:val="20"/>
              </w:rPr>
              <w:t xml:space="preserve">Yes </w:t>
            </w:r>
          </w:p>
          <w:p w14:paraId="5394DB77" w14:textId="77777777" w:rsidR="00F1052A" w:rsidRPr="00362CF5" w:rsidRDefault="00F1052A" w:rsidP="00F1052A">
            <w:pPr>
              <w:spacing w:line="240" w:lineRule="auto"/>
              <w:jc w:val="center"/>
            </w:pPr>
            <w:r w:rsidRPr="00362CF5">
              <w:rPr>
                <w:b/>
                <w:bCs/>
                <w:color w:val="000000"/>
                <w:sz w:val="20"/>
                <w:szCs w:val="20"/>
              </w:rPr>
              <w:t>(n=603)</w:t>
            </w:r>
          </w:p>
        </w:tc>
        <w:tc>
          <w:tcPr>
            <w:tcW w:w="2835" w:type="dxa"/>
            <w:gridSpan w:val="2"/>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10B439F4" w14:textId="77777777" w:rsidR="00F1052A" w:rsidRPr="00362CF5" w:rsidRDefault="00F1052A" w:rsidP="00F1052A">
            <w:pPr>
              <w:spacing w:line="240" w:lineRule="auto"/>
              <w:jc w:val="center"/>
            </w:pPr>
            <w:r w:rsidRPr="00362CF5">
              <w:rPr>
                <w:b/>
                <w:bCs/>
                <w:color w:val="000000"/>
                <w:sz w:val="20"/>
                <w:szCs w:val="20"/>
              </w:rPr>
              <w:t xml:space="preserve">No </w:t>
            </w:r>
          </w:p>
          <w:p w14:paraId="6D1FF152" w14:textId="77777777" w:rsidR="00F1052A" w:rsidRPr="00362CF5" w:rsidRDefault="00F1052A" w:rsidP="00F1052A">
            <w:pPr>
              <w:spacing w:line="240" w:lineRule="auto"/>
              <w:jc w:val="center"/>
            </w:pPr>
            <w:r w:rsidRPr="00362CF5">
              <w:rPr>
                <w:b/>
                <w:bCs/>
                <w:color w:val="000000"/>
                <w:sz w:val="20"/>
                <w:szCs w:val="20"/>
              </w:rPr>
              <w:t>(n=5,908)</w:t>
            </w:r>
          </w:p>
        </w:tc>
        <w:tc>
          <w:tcPr>
            <w:tcW w:w="993" w:type="dxa"/>
            <w:shd w:val="clear" w:color="auto" w:fill="DAEEF3"/>
            <w:tcMar>
              <w:top w:w="0" w:type="dxa"/>
              <w:left w:w="115" w:type="dxa"/>
              <w:bottom w:w="0" w:type="dxa"/>
              <w:right w:w="115" w:type="dxa"/>
            </w:tcMar>
            <w:vAlign w:val="bottom"/>
            <w:hideMark/>
          </w:tcPr>
          <w:p w14:paraId="7D79D304" w14:textId="77777777" w:rsidR="00F1052A" w:rsidRPr="00362CF5" w:rsidRDefault="00F1052A" w:rsidP="00F1052A">
            <w:pPr>
              <w:spacing w:line="240" w:lineRule="auto"/>
              <w:jc w:val="center"/>
            </w:pPr>
            <w:r w:rsidRPr="00362CF5">
              <w:rPr>
                <w:b/>
                <w:bCs/>
                <w:color w:val="000000"/>
                <w:sz w:val="20"/>
                <w:szCs w:val="20"/>
              </w:rPr>
              <w:t>p-value</w:t>
            </w:r>
          </w:p>
        </w:tc>
      </w:tr>
      <w:tr w:rsidR="00F1052A" w:rsidRPr="00362CF5" w14:paraId="2B57D0E2" w14:textId="77777777" w:rsidTr="00F1052A">
        <w:trPr>
          <w:trHeight w:val="300"/>
        </w:trPr>
        <w:tc>
          <w:tcPr>
            <w:tcW w:w="3119" w:type="dxa"/>
            <w:tcBorders>
              <w:bottom w:val="single" w:sz="4" w:space="0" w:color="000000"/>
            </w:tcBorders>
            <w:shd w:val="clear" w:color="auto" w:fill="DAEEF3"/>
            <w:tcMar>
              <w:top w:w="0" w:type="dxa"/>
              <w:left w:w="115" w:type="dxa"/>
              <w:bottom w:w="0" w:type="dxa"/>
              <w:right w:w="115" w:type="dxa"/>
            </w:tcMar>
            <w:vAlign w:val="bottom"/>
            <w:hideMark/>
          </w:tcPr>
          <w:p w14:paraId="572BB3EA" w14:textId="77777777" w:rsidR="00F1052A" w:rsidRPr="00362CF5" w:rsidRDefault="00F1052A" w:rsidP="00F1052A">
            <w:pPr>
              <w:spacing w:line="240" w:lineRule="auto"/>
            </w:pPr>
            <w:r w:rsidRPr="00362CF5">
              <w:rPr>
                <w:b/>
                <w:bCs/>
                <w:color w:val="000000"/>
                <w:sz w:val="20"/>
                <w:szCs w:val="20"/>
              </w:rPr>
              <w:t> </w:t>
            </w:r>
          </w:p>
        </w:tc>
        <w:tc>
          <w:tcPr>
            <w:tcW w:w="851" w:type="dxa"/>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42A1F777" w14:textId="77777777" w:rsidR="00F1052A" w:rsidRPr="00362CF5" w:rsidRDefault="00F1052A" w:rsidP="00F1052A">
            <w:pPr>
              <w:spacing w:line="240" w:lineRule="auto"/>
              <w:jc w:val="center"/>
              <w:rPr>
                <w:sz w:val="20"/>
                <w:szCs w:val="20"/>
              </w:rPr>
            </w:pPr>
            <w:proofErr w:type="spellStart"/>
            <w:r w:rsidRPr="00362CF5">
              <w:rPr>
                <w:b/>
                <w:bCs/>
                <w:color w:val="000000"/>
                <w:sz w:val="20"/>
                <w:szCs w:val="20"/>
              </w:rPr>
              <w:t>n</w:t>
            </w:r>
            <w:r w:rsidRPr="00362CF5">
              <w:rPr>
                <w:b/>
                <w:bCs/>
                <w:color w:val="000000"/>
                <w:sz w:val="20"/>
                <w:szCs w:val="20"/>
                <w:vertAlign w:val="superscript"/>
              </w:rPr>
              <w:t>a</w:t>
            </w:r>
            <w:proofErr w:type="spellEnd"/>
          </w:p>
        </w:tc>
        <w:tc>
          <w:tcPr>
            <w:tcW w:w="1842" w:type="dxa"/>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5A9F79CE" w14:textId="77777777" w:rsidR="00F1052A" w:rsidRPr="00362CF5" w:rsidRDefault="00F1052A" w:rsidP="00F1052A">
            <w:pPr>
              <w:spacing w:line="240" w:lineRule="auto"/>
              <w:jc w:val="center"/>
              <w:rPr>
                <w:sz w:val="20"/>
                <w:szCs w:val="20"/>
              </w:rPr>
            </w:pPr>
            <w:r w:rsidRPr="00362CF5">
              <w:rPr>
                <w:b/>
                <w:bCs/>
                <w:color w:val="000000"/>
                <w:sz w:val="20"/>
                <w:szCs w:val="20"/>
              </w:rPr>
              <w:t xml:space="preserve">% (95% CI) </w:t>
            </w:r>
          </w:p>
        </w:tc>
        <w:tc>
          <w:tcPr>
            <w:tcW w:w="992" w:type="dxa"/>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3310AB0E" w14:textId="77777777" w:rsidR="00F1052A" w:rsidRPr="00362CF5" w:rsidRDefault="00F1052A" w:rsidP="00F1052A">
            <w:pPr>
              <w:spacing w:line="240" w:lineRule="auto"/>
              <w:jc w:val="center"/>
              <w:rPr>
                <w:sz w:val="20"/>
                <w:szCs w:val="20"/>
              </w:rPr>
            </w:pPr>
            <w:proofErr w:type="spellStart"/>
            <w:r w:rsidRPr="00362CF5">
              <w:rPr>
                <w:b/>
                <w:bCs/>
                <w:color w:val="000000"/>
                <w:sz w:val="20"/>
                <w:szCs w:val="20"/>
              </w:rPr>
              <w:t>n</w:t>
            </w:r>
            <w:r w:rsidRPr="00362CF5">
              <w:rPr>
                <w:b/>
                <w:bCs/>
                <w:color w:val="000000"/>
                <w:sz w:val="20"/>
                <w:szCs w:val="20"/>
                <w:vertAlign w:val="superscript"/>
              </w:rPr>
              <w:t>a</w:t>
            </w:r>
            <w:proofErr w:type="spellEnd"/>
          </w:p>
        </w:tc>
        <w:tc>
          <w:tcPr>
            <w:tcW w:w="1843" w:type="dxa"/>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217EFC0C" w14:textId="77777777" w:rsidR="00F1052A" w:rsidRPr="00362CF5" w:rsidRDefault="00F1052A" w:rsidP="00F1052A">
            <w:pPr>
              <w:spacing w:line="240" w:lineRule="auto"/>
              <w:jc w:val="center"/>
            </w:pPr>
            <w:r w:rsidRPr="00362CF5">
              <w:rPr>
                <w:b/>
                <w:bCs/>
                <w:color w:val="000000"/>
                <w:sz w:val="20"/>
                <w:szCs w:val="20"/>
              </w:rPr>
              <w:t>% (95% CI)</w:t>
            </w:r>
          </w:p>
        </w:tc>
        <w:tc>
          <w:tcPr>
            <w:tcW w:w="993" w:type="dxa"/>
            <w:tcBorders>
              <w:bottom w:val="single" w:sz="4" w:space="0" w:color="000000"/>
            </w:tcBorders>
            <w:shd w:val="clear" w:color="auto" w:fill="DAEEF3"/>
            <w:tcMar>
              <w:top w:w="0" w:type="dxa"/>
              <w:left w:w="115" w:type="dxa"/>
              <w:bottom w:w="0" w:type="dxa"/>
              <w:right w:w="115" w:type="dxa"/>
            </w:tcMar>
            <w:vAlign w:val="bottom"/>
            <w:hideMark/>
          </w:tcPr>
          <w:p w14:paraId="1F982889" w14:textId="77777777" w:rsidR="00F1052A" w:rsidRPr="00362CF5" w:rsidRDefault="00F1052A" w:rsidP="00F1052A">
            <w:pPr>
              <w:spacing w:line="240" w:lineRule="auto"/>
            </w:pPr>
            <w:r w:rsidRPr="00362CF5">
              <w:rPr>
                <w:color w:val="000000"/>
                <w:sz w:val="20"/>
                <w:szCs w:val="20"/>
              </w:rPr>
              <w:t> </w:t>
            </w:r>
          </w:p>
        </w:tc>
      </w:tr>
      <w:tr w:rsidR="00F1052A" w:rsidRPr="00362CF5" w14:paraId="05EA7CC0" w14:textId="77777777" w:rsidTr="00F1052A">
        <w:trPr>
          <w:trHeight w:val="300"/>
        </w:trPr>
        <w:tc>
          <w:tcPr>
            <w:tcW w:w="3119" w:type="dxa"/>
            <w:tcBorders>
              <w:top w:val="single" w:sz="4" w:space="0" w:color="000000"/>
            </w:tcBorders>
            <w:tcMar>
              <w:top w:w="0" w:type="dxa"/>
              <w:left w:w="115" w:type="dxa"/>
              <w:bottom w:w="0" w:type="dxa"/>
              <w:right w:w="115" w:type="dxa"/>
            </w:tcMar>
            <w:vAlign w:val="bottom"/>
            <w:hideMark/>
          </w:tcPr>
          <w:p w14:paraId="62F54205" w14:textId="77777777" w:rsidR="00F1052A" w:rsidRPr="00362CF5" w:rsidRDefault="00F1052A" w:rsidP="00F1052A">
            <w:pPr>
              <w:spacing w:line="240" w:lineRule="auto"/>
            </w:pPr>
            <w:r w:rsidRPr="00362CF5">
              <w:rPr>
                <w:b/>
                <w:bCs/>
                <w:i/>
                <w:iCs/>
                <w:color w:val="000000"/>
                <w:sz w:val="20"/>
                <w:szCs w:val="20"/>
              </w:rPr>
              <w:t>Sex</w:t>
            </w:r>
          </w:p>
        </w:tc>
        <w:tc>
          <w:tcPr>
            <w:tcW w:w="851" w:type="dxa"/>
            <w:tcBorders>
              <w:top w:val="single" w:sz="4" w:space="0" w:color="000000"/>
            </w:tcBorders>
            <w:tcMar>
              <w:top w:w="0" w:type="dxa"/>
              <w:left w:w="115" w:type="dxa"/>
              <w:bottom w:w="0" w:type="dxa"/>
              <w:right w:w="115" w:type="dxa"/>
            </w:tcMar>
            <w:vAlign w:val="bottom"/>
            <w:hideMark/>
          </w:tcPr>
          <w:p w14:paraId="75F2A470" w14:textId="77777777" w:rsidR="00F1052A" w:rsidRPr="00362CF5" w:rsidRDefault="00F1052A" w:rsidP="00F1052A">
            <w:pPr>
              <w:spacing w:line="240" w:lineRule="auto"/>
              <w:jc w:val="center"/>
            </w:pPr>
            <w:r w:rsidRPr="00362CF5">
              <w:rPr>
                <w:b/>
                <w:bCs/>
                <w:i/>
                <w:iCs/>
                <w:color w:val="000000"/>
                <w:sz w:val="20"/>
                <w:szCs w:val="20"/>
              </w:rPr>
              <w:t> </w:t>
            </w:r>
          </w:p>
        </w:tc>
        <w:tc>
          <w:tcPr>
            <w:tcW w:w="1842" w:type="dxa"/>
            <w:tcBorders>
              <w:top w:val="single" w:sz="4" w:space="0" w:color="000000"/>
            </w:tcBorders>
            <w:tcMar>
              <w:top w:w="0" w:type="dxa"/>
              <w:left w:w="115" w:type="dxa"/>
              <w:bottom w:w="0" w:type="dxa"/>
              <w:right w:w="115" w:type="dxa"/>
            </w:tcMar>
            <w:vAlign w:val="center"/>
            <w:hideMark/>
          </w:tcPr>
          <w:p w14:paraId="789B48BB" w14:textId="77777777" w:rsidR="00F1052A" w:rsidRPr="00362CF5" w:rsidRDefault="00F1052A" w:rsidP="00F1052A">
            <w:pPr>
              <w:spacing w:line="240" w:lineRule="auto"/>
              <w:jc w:val="center"/>
            </w:pPr>
            <w:r w:rsidRPr="00362CF5">
              <w:rPr>
                <w:color w:val="000000"/>
                <w:sz w:val="20"/>
                <w:szCs w:val="20"/>
              </w:rPr>
              <w:t> </w:t>
            </w:r>
          </w:p>
        </w:tc>
        <w:tc>
          <w:tcPr>
            <w:tcW w:w="992" w:type="dxa"/>
            <w:tcBorders>
              <w:top w:val="single" w:sz="4" w:space="0" w:color="000000"/>
            </w:tcBorders>
            <w:tcMar>
              <w:top w:w="0" w:type="dxa"/>
              <w:left w:w="115" w:type="dxa"/>
              <w:bottom w:w="0" w:type="dxa"/>
              <w:right w:w="115" w:type="dxa"/>
            </w:tcMar>
            <w:vAlign w:val="center"/>
            <w:hideMark/>
          </w:tcPr>
          <w:p w14:paraId="78422B6F" w14:textId="77777777" w:rsidR="00F1052A" w:rsidRPr="00362CF5" w:rsidRDefault="00F1052A" w:rsidP="00F1052A">
            <w:pPr>
              <w:spacing w:line="240" w:lineRule="auto"/>
              <w:jc w:val="center"/>
            </w:pPr>
            <w:r w:rsidRPr="00362CF5">
              <w:rPr>
                <w:color w:val="000000"/>
                <w:sz w:val="20"/>
                <w:szCs w:val="20"/>
              </w:rPr>
              <w:t> </w:t>
            </w:r>
          </w:p>
        </w:tc>
        <w:tc>
          <w:tcPr>
            <w:tcW w:w="1843" w:type="dxa"/>
            <w:tcBorders>
              <w:top w:val="single" w:sz="4" w:space="0" w:color="000000"/>
            </w:tcBorders>
            <w:tcMar>
              <w:top w:w="0" w:type="dxa"/>
              <w:left w:w="115" w:type="dxa"/>
              <w:bottom w:w="0" w:type="dxa"/>
              <w:right w:w="115" w:type="dxa"/>
            </w:tcMar>
            <w:vAlign w:val="bottom"/>
            <w:hideMark/>
          </w:tcPr>
          <w:p w14:paraId="1D894B1F" w14:textId="77777777" w:rsidR="00F1052A" w:rsidRPr="00362CF5" w:rsidRDefault="00F1052A" w:rsidP="00F1052A">
            <w:pPr>
              <w:spacing w:line="240" w:lineRule="auto"/>
              <w:jc w:val="right"/>
            </w:pPr>
            <w:r w:rsidRPr="00362CF5">
              <w:rPr>
                <w:color w:val="000000"/>
                <w:sz w:val="20"/>
                <w:szCs w:val="20"/>
              </w:rPr>
              <w:t> </w:t>
            </w:r>
          </w:p>
        </w:tc>
        <w:tc>
          <w:tcPr>
            <w:tcW w:w="993" w:type="dxa"/>
            <w:tcBorders>
              <w:top w:val="single" w:sz="4" w:space="0" w:color="000000"/>
            </w:tcBorders>
            <w:tcMar>
              <w:top w:w="0" w:type="dxa"/>
              <w:left w:w="115" w:type="dxa"/>
              <w:bottom w:w="0" w:type="dxa"/>
              <w:right w:w="115" w:type="dxa"/>
            </w:tcMar>
            <w:vAlign w:val="bottom"/>
            <w:hideMark/>
          </w:tcPr>
          <w:p w14:paraId="3713993D" w14:textId="77777777" w:rsidR="00F1052A" w:rsidRPr="00362CF5" w:rsidRDefault="00F1052A" w:rsidP="00F1052A">
            <w:pPr>
              <w:spacing w:line="240" w:lineRule="auto"/>
              <w:jc w:val="center"/>
            </w:pPr>
            <w:r w:rsidRPr="00362CF5">
              <w:rPr>
                <w:color w:val="000000"/>
                <w:sz w:val="20"/>
                <w:szCs w:val="20"/>
              </w:rPr>
              <w:t>0.549</w:t>
            </w:r>
          </w:p>
        </w:tc>
      </w:tr>
      <w:tr w:rsidR="00F1052A" w:rsidRPr="00362CF5" w14:paraId="245B9E3F" w14:textId="77777777" w:rsidTr="00F1052A">
        <w:trPr>
          <w:trHeight w:val="300"/>
        </w:trPr>
        <w:tc>
          <w:tcPr>
            <w:tcW w:w="3119" w:type="dxa"/>
            <w:tcMar>
              <w:top w:w="0" w:type="dxa"/>
              <w:left w:w="115" w:type="dxa"/>
              <w:bottom w:w="0" w:type="dxa"/>
              <w:right w:w="115" w:type="dxa"/>
            </w:tcMar>
            <w:vAlign w:val="bottom"/>
            <w:hideMark/>
          </w:tcPr>
          <w:p w14:paraId="0FC07F16" w14:textId="77777777" w:rsidR="00F1052A" w:rsidRPr="00362CF5" w:rsidRDefault="00F1052A" w:rsidP="00F1052A">
            <w:pPr>
              <w:spacing w:line="240" w:lineRule="auto"/>
              <w:ind w:left="169"/>
            </w:pPr>
            <w:r w:rsidRPr="00362CF5">
              <w:rPr>
                <w:color w:val="000000"/>
                <w:sz w:val="20"/>
                <w:szCs w:val="20"/>
              </w:rPr>
              <w:t>Female</w:t>
            </w:r>
          </w:p>
        </w:tc>
        <w:tc>
          <w:tcPr>
            <w:tcW w:w="851" w:type="dxa"/>
            <w:tcMar>
              <w:top w:w="0" w:type="dxa"/>
              <w:left w:w="115" w:type="dxa"/>
              <w:bottom w:w="0" w:type="dxa"/>
              <w:right w:w="115" w:type="dxa"/>
            </w:tcMar>
            <w:vAlign w:val="bottom"/>
            <w:hideMark/>
          </w:tcPr>
          <w:p w14:paraId="66D81E58" w14:textId="77777777" w:rsidR="00F1052A" w:rsidRPr="00362CF5" w:rsidRDefault="00F1052A" w:rsidP="00F1052A">
            <w:pPr>
              <w:spacing w:line="240" w:lineRule="auto"/>
              <w:ind w:left="191"/>
              <w:jc w:val="center"/>
            </w:pPr>
            <w:r w:rsidRPr="00362CF5">
              <w:rPr>
                <w:color w:val="000000"/>
                <w:sz w:val="20"/>
                <w:szCs w:val="20"/>
              </w:rPr>
              <w:t>469</w:t>
            </w:r>
          </w:p>
        </w:tc>
        <w:tc>
          <w:tcPr>
            <w:tcW w:w="1842" w:type="dxa"/>
            <w:shd w:val="clear" w:color="auto" w:fill="FFFFFF"/>
            <w:tcMar>
              <w:top w:w="0" w:type="dxa"/>
              <w:left w:w="115" w:type="dxa"/>
              <w:bottom w:w="0" w:type="dxa"/>
              <w:right w:w="115" w:type="dxa"/>
            </w:tcMar>
            <w:vAlign w:val="center"/>
            <w:hideMark/>
          </w:tcPr>
          <w:p w14:paraId="0C110E62" w14:textId="77777777" w:rsidR="00F1052A" w:rsidRPr="00362CF5" w:rsidRDefault="00F1052A" w:rsidP="00F1052A">
            <w:pPr>
              <w:spacing w:line="240" w:lineRule="auto"/>
              <w:ind w:left="191"/>
              <w:jc w:val="right"/>
            </w:pPr>
            <w:r w:rsidRPr="00362CF5">
              <w:rPr>
                <w:color w:val="000000"/>
                <w:sz w:val="20"/>
                <w:szCs w:val="20"/>
              </w:rPr>
              <w:t>77.8 (71.3-83.1)</w:t>
            </w:r>
          </w:p>
        </w:tc>
        <w:tc>
          <w:tcPr>
            <w:tcW w:w="992" w:type="dxa"/>
            <w:tcMar>
              <w:top w:w="0" w:type="dxa"/>
              <w:left w:w="115" w:type="dxa"/>
              <w:bottom w:w="0" w:type="dxa"/>
              <w:right w:w="115" w:type="dxa"/>
            </w:tcMar>
            <w:vAlign w:val="center"/>
            <w:hideMark/>
          </w:tcPr>
          <w:p w14:paraId="0561751C" w14:textId="77777777" w:rsidR="00F1052A" w:rsidRPr="00362CF5" w:rsidRDefault="00F1052A" w:rsidP="00F1052A">
            <w:pPr>
              <w:spacing w:line="240" w:lineRule="auto"/>
              <w:ind w:left="191"/>
              <w:jc w:val="center"/>
            </w:pPr>
            <w:r w:rsidRPr="00362CF5">
              <w:rPr>
                <w:color w:val="000000"/>
                <w:sz w:val="20"/>
                <w:szCs w:val="20"/>
              </w:rPr>
              <w:t>4,555</w:t>
            </w:r>
          </w:p>
        </w:tc>
        <w:tc>
          <w:tcPr>
            <w:tcW w:w="1843" w:type="dxa"/>
            <w:shd w:val="clear" w:color="auto" w:fill="FFFFFF"/>
            <w:tcMar>
              <w:top w:w="0" w:type="dxa"/>
              <w:left w:w="115" w:type="dxa"/>
              <w:bottom w:w="0" w:type="dxa"/>
              <w:right w:w="115" w:type="dxa"/>
            </w:tcMar>
            <w:vAlign w:val="center"/>
            <w:hideMark/>
          </w:tcPr>
          <w:p w14:paraId="06D66CCC" w14:textId="77777777" w:rsidR="00F1052A" w:rsidRPr="00362CF5" w:rsidRDefault="00F1052A" w:rsidP="00F1052A">
            <w:pPr>
              <w:spacing w:line="240" w:lineRule="auto"/>
              <w:ind w:left="191"/>
              <w:jc w:val="right"/>
            </w:pPr>
            <w:r w:rsidRPr="00362CF5">
              <w:rPr>
                <w:color w:val="000000"/>
                <w:sz w:val="20"/>
                <w:szCs w:val="20"/>
              </w:rPr>
              <w:t>76.1 (74.3-77.8)</w:t>
            </w:r>
          </w:p>
        </w:tc>
        <w:tc>
          <w:tcPr>
            <w:tcW w:w="993" w:type="dxa"/>
            <w:tcMar>
              <w:top w:w="0" w:type="dxa"/>
              <w:left w:w="115" w:type="dxa"/>
              <w:bottom w:w="0" w:type="dxa"/>
              <w:right w:w="115" w:type="dxa"/>
            </w:tcMar>
            <w:vAlign w:val="bottom"/>
            <w:hideMark/>
          </w:tcPr>
          <w:p w14:paraId="6B18755F" w14:textId="77777777" w:rsidR="00F1052A" w:rsidRPr="00362CF5" w:rsidRDefault="00F1052A" w:rsidP="00F1052A">
            <w:pPr>
              <w:spacing w:line="240" w:lineRule="auto"/>
            </w:pPr>
          </w:p>
        </w:tc>
      </w:tr>
      <w:tr w:rsidR="00F1052A" w:rsidRPr="00362CF5" w14:paraId="24DF42DF" w14:textId="77777777" w:rsidTr="00F1052A">
        <w:trPr>
          <w:trHeight w:val="300"/>
        </w:trPr>
        <w:tc>
          <w:tcPr>
            <w:tcW w:w="3119" w:type="dxa"/>
            <w:tcMar>
              <w:top w:w="0" w:type="dxa"/>
              <w:left w:w="115" w:type="dxa"/>
              <w:bottom w:w="0" w:type="dxa"/>
              <w:right w:w="115" w:type="dxa"/>
            </w:tcMar>
            <w:vAlign w:val="bottom"/>
            <w:hideMark/>
          </w:tcPr>
          <w:p w14:paraId="69D29D8B" w14:textId="77777777" w:rsidR="00F1052A" w:rsidRPr="00362CF5" w:rsidRDefault="00F1052A" w:rsidP="00F1052A">
            <w:pPr>
              <w:spacing w:line="240" w:lineRule="auto"/>
              <w:ind w:left="169"/>
            </w:pPr>
            <w:r w:rsidRPr="00362CF5">
              <w:rPr>
                <w:color w:val="000000"/>
                <w:sz w:val="20"/>
                <w:szCs w:val="20"/>
              </w:rPr>
              <w:t>Male</w:t>
            </w:r>
          </w:p>
        </w:tc>
        <w:tc>
          <w:tcPr>
            <w:tcW w:w="851" w:type="dxa"/>
            <w:tcMar>
              <w:top w:w="0" w:type="dxa"/>
              <w:left w:w="115" w:type="dxa"/>
              <w:bottom w:w="0" w:type="dxa"/>
              <w:right w:w="115" w:type="dxa"/>
            </w:tcMar>
            <w:vAlign w:val="bottom"/>
            <w:hideMark/>
          </w:tcPr>
          <w:p w14:paraId="4FF2C259" w14:textId="77777777" w:rsidR="00F1052A" w:rsidRPr="00362CF5" w:rsidRDefault="00F1052A" w:rsidP="00F1052A">
            <w:pPr>
              <w:spacing w:line="240" w:lineRule="auto"/>
              <w:ind w:left="191"/>
              <w:jc w:val="center"/>
            </w:pPr>
            <w:r w:rsidRPr="00362CF5">
              <w:rPr>
                <w:color w:val="000000"/>
                <w:sz w:val="20"/>
                <w:szCs w:val="20"/>
              </w:rPr>
              <w:t>134</w:t>
            </w:r>
          </w:p>
        </w:tc>
        <w:tc>
          <w:tcPr>
            <w:tcW w:w="1842" w:type="dxa"/>
            <w:shd w:val="clear" w:color="auto" w:fill="FFFFFF"/>
            <w:tcMar>
              <w:top w:w="0" w:type="dxa"/>
              <w:left w:w="115" w:type="dxa"/>
              <w:bottom w:w="0" w:type="dxa"/>
              <w:right w:w="115" w:type="dxa"/>
            </w:tcMar>
            <w:vAlign w:val="center"/>
            <w:hideMark/>
          </w:tcPr>
          <w:p w14:paraId="2F16BCE8" w14:textId="77777777" w:rsidR="00F1052A" w:rsidRPr="00362CF5" w:rsidRDefault="00F1052A" w:rsidP="00F1052A">
            <w:pPr>
              <w:spacing w:line="240" w:lineRule="auto"/>
              <w:ind w:left="191"/>
              <w:jc w:val="right"/>
            </w:pPr>
            <w:r w:rsidRPr="00362CF5">
              <w:rPr>
                <w:color w:val="000000"/>
                <w:sz w:val="20"/>
                <w:szCs w:val="20"/>
              </w:rPr>
              <w:t>22.2 (16.9-28.7)</w:t>
            </w:r>
          </w:p>
        </w:tc>
        <w:tc>
          <w:tcPr>
            <w:tcW w:w="992" w:type="dxa"/>
            <w:shd w:val="clear" w:color="auto" w:fill="FFFFFF"/>
            <w:tcMar>
              <w:top w:w="0" w:type="dxa"/>
              <w:left w:w="115" w:type="dxa"/>
              <w:bottom w:w="0" w:type="dxa"/>
              <w:right w:w="115" w:type="dxa"/>
            </w:tcMar>
            <w:vAlign w:val="center"/>
            <w:hideMark/>
          </w:tcPr>
          <w:p w14:paraId="1659CB54" w14:textId="77777777" w:rsidR="00F1052A" w:rsidRPr="00362CF5" w:rsidRDefault="00F1052A" w:rsidP="00F1052A">
            <w:pPr>
              <w:spacing w:line="240" w:lineRule="auto"/>
              <w:ind w:left="191"/>
              <w:jc w:val="center"/>
            </w:pPr>
            <w:r w:rsidRPr="00362CF5">
              <w:rPr>
                <w:color w:val="000000"/>
                <w:sz w:val="20"/>
                <w:szCs w:val="20"/>
              </w:rPr>
              <w:t>1,917</w:t>
            </w:r>
          </w:p>
        </w:tc>
        <w:tc>
          <w:tcPr>
            <w:tcW w:w="1843" w:type="dxa"/>
            <w:shd w:val="clear" w:color="auto" w:fill="FFFFFF"/>
            <w:tcMar>
              <w:top w:w="0" w:type="dxa"/>
              <w:left w:w="115" w:type="dxa"/>
              <w:bottom w:w="0" w:type="dxa"/>
              <w:right w:w="115" w:type="dxa"/>
            </w:tcMar>
            <w:vAlign w:val="center"/>
            <w:hideMark/>
          </w:tcPr>
          <w:p w14:paraId="0DDA0E17" w14:textId="77777777" w:rsidR="00F1052A" w:rsidRPr="00362CF5" w:rsidRDefault="00F1052A" w:rsidP="00F1052A">
            <w:pPr>
              <w:spacing w:line="240" w:lineRule="auto"/>
              <w:ind w:left="191"/>
              <w:jc w:val="right"/>
            </w:pPr>
            <w:r w:rsidRPr="00362CF5">
              <w:rPr>
                <w:color w:val="000000"/>
                <w:sz w:val="20"/>
                <w:szCs w:val="20"/>
              </w:rPr>
              <w:t>23.9 (22.2-25.7)</w:t>
            </w:r>
          </w:p>
        </w:tc>
        <w:tc>
          <w:tcPr>
            <w:tcW w:w="993" w:type="dxa"/>
            <w:tcMar>
              <w:top w:w="0" w:type="dxa"/>
              <w:left w:w="115" w:type="dxa"/>
              <w:bottom w:w="0" w:type="dxa"/>
              <w:right w:w="115" w:type="dxa"/>
            </w:tcMar>
            <w:vAlign w:val="bottom"/>
            <w:hideMark/>
          </w:tcPr>
          <w:p w14:paraId="015B4128" w14:textId="77777777" w:rsidR="00F1052A" w:rsidRPr="00362CF5" w:rsidRDefault="00F1052A" w:rsidP="00F1052A">
            <w:pPr>
              <w:spacing w:line="240" w:lineRule="auto"/>
            </w:pPr>
          </w:p>
        </w:tc>
      </w:tr>
      <w:tr w:rsidR="00F1052A" w:rsidRPr="00362CF5" w14:paraId="4462CF11" w14:textId="77777777" w:rsidTr="00F1052A">
        <w:trPr>
          <w:trHeight w:val="300"/>
        </w:trPr>
        <w:tc>
          <w:tcPr>
            <w:tcW w:w="3119" w:type="dxa"/>
            <w:tcMar>
              <w:top w:w="0" w:type="dxa"/>
              <w:left w:w="115" w:type="dxa"/>
              <w:bottom w:w="0" w:type="dxa"/>
              <w:right w:w="115" w:type="dxa"/>
            </w:tcMar>
            <w:vAlign w:val="bottom"/>
            <w:hideMark/>
          </w:tcPr>
          <w:p w14:paraId="2415265A" w14:textId="77777777" w:rsidR="00F1052A" w:rsidRPr="00362CF5" w:rsidRDefault="00F1052A" w:rsidP="00F1052A">
            <w:pPr>
              <w:spacing w:line="240" w:lineRule="auto"/>
            </w:pPr>
            <w:r w:rsidRPr="00362CF5">
              <w:rPr>
                <w:b/>
                <w:bCs/>
                <w:i/>
                <w:iCs/>
                <w:color w:val="000000"/>
                <w:sz w:val="20"/>
                <w:szCs w:val="20"/>
              </w:rPr>
              <w:t>Age (years)</w:t>
            </w:r>
          </w:p>
        </w:tc>
        <w:tc>
          <w:tcPr>
            <w:tcW w:w="851" w:type="dxa"/>
            <w:tcMar>
              <w:top w:w="0" w:type="dxa"/>
              <w:left w:w="115" w:type="dxa"/>
              <w:bottom w:w="0" w:type="dxa"/>
              <w:right w:w="115" w:type="dxa"/>
            </w:tcMar>
            <w:vAlign w:val="bottom"/>
            <w:hideMark/>
          </w:tcPr>
          <w:p w14:paraId="5A6D18A8" w14:textId="77777777" w:rsidR="00F1052A" w:rsidRPr="00362CF5" w:rsidRDefault="00F1052A" w:rsidP="00F1052A">
            <w:pPr>
              <w:spacing w:line="240" w:lineRule="auto"/>
            </w:pPr>
          </w:p>
        </w:tc>
        <w:tc>
          <w:tcPr>
            <w:tcW w:w="1842" w:type="dxa"/>
            <w:tcMar>
              <w:top w:w="0" w:type="dxa"/>
              <w:left w:w="115" w:type="dxa"/>
              <w:bottom w:w="0" w:type="dxa"/>
              <w:right w:w="115" w:type="dxa"/>
            </w:tcMar>
            <w:vAlign w:val="center"/>
            <w:hideMark/>
          </w:tcPr>
          <w:p w14:paraId="2657D1F1" w14:textId="77777777" w:rsidR="00F1052A" w:rsidRPr="00362CF5" w:rsidRDefault="00F1052A" w:rsidP="00F1052A">
            <w:pPr>
              <w:spacing w:line="240" w:lineRule="auto"/>
            </w:pPr>
          </w:p>
        </w:tc>
        <w:tc>
          <w:tcPr>
            <w:tcW w:w="992" w:type="dxa"/>
            <w:tcMar>
              <w:top w:w="0" w:type="dxa"/>
              <w:left w:w="115" w:type="dxa"/>
              <w:bottom w:w="0" w:type="dxa"/>
              <w:right w:w="115" w:type="dxa"/>
            </w:tcMar>
            <w:vAlign w:val="center"/>
            <w:hideMark/>
          </w:tcPr>
          <w:p w14:paraId="121DD1BC" w14:textId="77777777" w:rsidR="00F1052A" w:rsidRPr="00362CF5" w:rsidRDefault="00F1052A" w:rsidP="00F1052A">
            <w:pPr>
              <w:spacing w:line="240" w:lineRule="auto"/>
            </w:pPr>
          </w:p>
        </w:tc>
        <w:tc>
          <w:tcPr>
            <w:tcW w:w="1843" w:type="dxa"/>
            <w:tcMar>
              <w:top w:w="0" w:type="dxa"/>
              <w:left w:w="115" w:type="dxa"/>
              <w:bottom w:w="0" w:type="dxa"/>
              <w:right w:w="115" w:type="dxa"/>
            </w:tcMar>
            <w:vAlign w:val="bottom"/>
            <w:hideMark/>
          </w:tcPr>
          <w:p w14:paraId="1D03E234" w14:textId="77777777" w:rsidR="00F1052A" w:rsidRPr="00362CF5" w:rsidRDefault="00F1052A" w:rsidP="00F1052A">
            <w:pPr>
              <w:spacing w:line="240" w:lineRule="auto"/>
            </w:pPr>
          </w:p>
        </w:tc>
        <w:tc>
          <w:tcPr>
            <w:tcW w:w="993" w:type="dxa"/>
            <w:tcMar>
              <w:top w:w="0" w:type="dxa"/>
              <w:left w:w="115" w:type="dxa"/>
              <w:bottom w:w="0" w:type="dxa"/>
              <w:right w:w="115" w:type="dxa"/>
            </w:tcMar>
            <w:vAlign w:val="bottom"/>
            <w:hideMark/>
          </w:tcPr>
          <w:p w14:paraId="3909B49D" w14:textId="77777777" w:rsidR="00F1052A" w:rsidRPr="00362CF5" w:rsidRDefault="00F1052A" w:rsidP="00F1052A">
            <w:pPr>
              <w:spacing w:line="240" w:lineRule="auto"/>
              <w:jc w:val="center"/>
            </w:pPr>
            <w:r w:rsidRPr="00362CF5">
              <w:rPr>
                <w:color w:val="000000"/>
                <w:sz w:val="20"/>
                <w:szCs w:val="20"/>
              </w:rPr>
              <w:t>&lt;0.001</w:t>
            </w:r>
          </w:p>
        </w:tc>
      </w:tr>
      <w:tr w:rsidR="00F1052A" w:rsidRPr="00362CF5" w14:paraId="211F5153" w14:textId="77777777" w:rsidTr="00F1052A">
        <w:trPr>
          <w:trHeight w:val="300"/>
        </w:trPr>
        <w:tc>
          <w:tcPr>
            <w:tcW w:w="3119" w:type="dxa"/>
            <w:tcMar>
              <w:top w:w="0" w:type="dxa"/>
              <w:left w:w="115" w:type="dxa"/>
              <w:bottom w:w="0" w:type="dxa"/>
              <w:right w:w="115" w:type="dxa"/>
            </w:tcMar>
            <w:vAlign w:val="bottom"/>
            <w:hideMark/>
          </w:tcPr>
          <w:p w14:paraId="1DAE8576" w14:textId="77777777" w:rsidR="00F1052A" w:rsidRPr="00362CF5" w:rsidRDefault="00F1052A" w:rsidP="00F1052A">
            <w:pPr>
              <w:spacing w:line="240" w:lineRule="auto"/>
              <w:ind w:left="169"/>
            </w:pPr>
            <w:r w:rsidRPr="00362CF5">
              <w:rPr>
                <w:color w:val="000000"/>
                <w:sz w:val="20"/>
                <w:szCs w:val="20"/>
              </w:rPr>
              <w:t xml:space="preserve">18 - 44 </w:t>
            </w:r>
          </w:p>
        </w:tc>
        <w:tc>
          <w:tcPr>
            <w:tcW w:w="851" w:type="dxa"/>
            <w:tcMar>
              <w:top w:w="0" w:type="dxa"/>
              <w:left w:w="115" w:type="dxa"/>
              <w:bottom w:w="0" w:type="dxa"/>
              <w:right w:w="115" w:type="dxa"/>
            </w:tcMar>
            <w:vAlign w:val="bottom"/>
            <w:hideMark/>
          </w:tcPr>
          <w:p w14:paraId="4B42C1E1" w14:textId="77777777" w:rsidR="00F1052A" w:rsidRPr="00362CF5" w:rsidRDefault="00F1052A" w:rsidP="00F1052A">
            <w:pPr>
              <w:spacing w:line="240" w:lineRule="auto"/>
              <w:jc w:val="center"/>
            </w:pPr>
            <w:r w:rsidRPr="00362CF5">
              <w:rPr>
                <w:color w:val="000000"/>
                <w:sz w:val="20"/>
                <w:szCs w:val="20"/>
              </w:rPr>
              <w:t>54</w:t>
            </w:r>
          </w:p>
        </w:tc>
        <w:tc>
          <w:tcPr>
            <w:tcW w:w="1842" w:type="dxa"/>
            <w:shd w:val="clear" w:color="auto" w:fill="FFFFFF"/>
            <w:tcMar>
              <w:top w:w="0" w:type="dxa"/>
              <w:left w:w="115" w:type="dxa"/>
              <w:bottom w:w="0" w:type="dxa"/>
              <w:right w:w="115" w:type="dxa"/>
            </w:tcMar>
            <w:vAlign w:val="center"/>
            <w:hideMark/>
          </w:tcPr>
          <w:p w14:paraId="5B14AF8D" w14:textId="77777777" w:rsidR="00F1052A" w:rsidRPr="00362CF5" w:rsidRDefault="00F1052A" w:rsidP="00F1052A">
            <w:pPr>
              <w:spacing w:line="240" w:lineRule="auto"/>
              <w:jc w:val="right"/>
            </w:pPr>
            <w:r w:rsidRPr="00362CF5">
              <w:rPr>
                <w:color w:val="000000"/>
                <w:sz w:val="20"/>
                <w:szCs w:val="20"/>
              </w:rPr>
              <w:t>9.6 (6.5-14.0)</w:t>
            </w:r>
          </w:p>
        </w:tc>
        <w:tc>
          <w:tcPr>
            <w:tcW w:w="992" w:type="dxa"/>
            <w:tcMar>
              <w:top w:w="0" w:type="dxa"/>
              <w:left w:w="115" w:type="dxa"/>
              <w:bottom w:w="0" w:type="dxa"/>
              <w:right w:w="115" w:type="dxa"/>
            </w:tcMar>
            <w:vAlign w:val="center"/>
            <w:hideMark/>
          </w:tcPr>
          <w:p w14:paraId="439F93C2" w14:textId="77777777" w:rsidR="00F1052A" w:rsidRPr="00362CF5" w:rsidRDefault="00F1052A" w:rsidP="00F1052A">
            <w:pPr>
              <w:spacing w:line="240" w:lineRule="auto"/>
              <w:jc w:val="center"/>
            </w:pPr>
            <w:r w:rsidRPr="00362CF5">
              <w:rPr>
                <w:color w:val="000000"/>
                <w:sz w:val="20"/>
                <w:szCs w:val="20"/>
              </w:rPr>
              <w:t>2,817</w:t>
            </w:r>
          </w:p>
        </w:tc>
        <w:tc>
          <w:tcPr>
            <w:tcW w:w="1843" w:type="dxa"/>
            <w:tcMar>
              <w:top w:w="0" w:type="dxa"/>
              <w:left w:w="115" w:type="dxa"/>
              <w:bottom w:w="0" w:type="dxa"/>
              <w:right w:w="115" w:type="dxa"/>
            </w:tcMar>
            <w:vAlign w:val="bottom"/>
            <w:hideMark/>
          </w:tcPr>
          <w:p w14:paraId="5BF443A7" w14:textId="77777777" w:rsidR="00F1052A" w:rsidRPr="00362CF5" w:rsidRDefault="00F1052A" w:rsidP="00F1052A">
            <w:pPr>
              <w:spacing w:line="240" w:lineRule="auto"/>
              <w:jc w:val="right"/>
            </w:pPr>
            <w:r w:rsidRPr="00362CF5">
              <w:rPr>
                <w:color w:val="000000"/>
                <w:sz w:val="20"/>
                <w:szCs w:val="20"/>
              </w:rPr>
              <w:t>45.6 (43.0-48.3)</w:t>
            </w:r>
          </w:p>
        </w:tc>
        <w:tc>
          <w:tcPr>
            <w:tcW w:w="993" w:type="dxa"/>
            <w:tcMar>
              <w:top w:w="0" w:type="dxa"/>
              <w:left w:w="115" w:type="dxa"/>
              <w:bottom w:w="0" w:type="dxa"/>
              <w:right w:w="115" w:type="dxa"/>
            </w:tcMar>
            <w:vAlign w:val="bottom"/>
            <w:hideMark/>
          </w:tcPr>
          <w:p w14:paraId="44D45720" w14:textId="77777777" w:rsidR="00F1052A" w:rsidRPr="00362CF5" w:rsidRDefault="00F1052A" w:rsidP="00F1052A">
            <w:pPr>
              <w:spacing w:line="240" w:lineRule="auto"/>
            </w:pPr>
          </w:p>
        </w:tc>
      </w:tr>
      <w:tr w:rsidR="00F1052A" w:rsidRPr="00362CF5" w14:paraId="7D1E482F" w14:textId="77777777" w:rsidTr="00F1052A">
        <w:trPr>
          <w:trHeight w:val="300"/>
        </w:trPr>
        <w:tc>
          <w:tcPr>
            <w:tcW w:w="3119" w:type="dxa"/>
            <w:tcMar>
              <w:top w:w="0" w:type="dxa"/>
              <w:left w:w="115" w:type="dxa"/>
              <w:bottom w:w="0" w:type="dxa"/>
              <w:right w:w="115" w:type="dxa"/>
            </w:tcMar>
            <w:vAlign w:val="bottom"/>
            <w:hideMark/>
          </w:tcPr>
          <w:p w14:paraId="497FA9CE" w14:textId="77777777" w:rsidR="00F1052A" w:rsidRPr="00362CF5" w:rsidRDefault="00F1052A" w:rsidP="00F1052A">
            <w:pPr>
              <w:spacing w:line="240" w:lineRule="auto"/>
              <w:ind w:left="169"/>
            </w:pPr>
            <w:r w:rsidRPr="00362CF5">
              <w:rPr>
                <w:color w:val="000000"/>
                <w:sz w:val="20"/>
                <w:szCs w:val="20"/>
              </w:rPr>
              <w:t xml:space="preserve">45 - 64 </w:t>
            </w:r>
          </w:p>
        </w:tc>
        <w:tc>
          <w:tcPr>
            <w:tcW w:w="851" w:type="dxa"/>
            <w:tcMar>
              <w:top w:w="0" w:type="dxa"/>
              <w:left w:w="115" w:type="dxa"/>
              <w:bottom w:w="0" w:type="dxa"/>
              <w:right w:w="115" w:type="dxa"/>
            </w:tcMar>
            <w:vAlign w:val="bottom"/>
            <w:hideMark/>
          </w:tcPr>
          <w:p w14:paraId="41A216B5" w14:textId="77777777" w:rsidR="00F1052A" w:rsidRPr="00362CF5" w:rsidRDefault="00F1052A" w:rsidP="00F1052A">
            <w:pPr>
              <w:spacing w:line="240" w:lineRule="auto"/>
              <w:jc w:val="center"/>
            </w:pPr>
            <w:r w:rsidRPr="00362CF5">
              <w:rPr>
                <w:color w:val="000000"/>
                <w:sz w:val="20"/>
                <w:szCs w:val="20"/>
              </w:rPr>
              <w:t>353</w:t>
            </w:r>
          </w:p>
        </w:tc>
        <w:tc>
          <w:tcPr>
            <w:tcW w:w="1842" w:type="dxa"/>
            <w:shd w:val="clear" w:color="auto" w:fill="FFFFFF"/>
            <w:tcMar>
              <w:top w:w="0" w:type="dxa"/>
              <w:left w:w="115" w:type="dxa"/>
              <w:bottom w:w="0" w:type="dxa"/>
              <w:right w:w="115" w:type="dxa"/>
            </w:tcMar>
            <w:vAlign w:val="center"/>
            <w:hideMark/>
          </w:tcPr>
          <w:p w14:paraId="024DF38D" w14:textId="77777777" w:rsidR="00F1052A" w:rsidRPr="00362CF5" w:rsidRDefault="00F1052A" w:rsidP="00F1052A">
            <w:pPr>
              <w:spacing w:line="240" w:lineRule="auto"/>
              <w:jc w:val="right"/>
            </w:pPr>
            <w:r w:rsidRPr="00362CF5">
              <w:rPr>
                <w:color w:val="000000"/>
                <w:sz w:val="20"/>
                <w:szCs w:val="20"/>
              </w:rPr>
              <w:t>60.0 (52.7-66.9)</w:t>
            </w:r>
          </w:p>
        </w:tc>
        <w:tc>
          <w:tcPr>
            <w:tcW w:w="992" w:type="dxa"/>
            <w:tcMar>
              <w:top w:w="0" w:type="dxa"/>
              <w:left w:w="115" w:type="dxa"/>
              <w:bottom w:w="0" w:type="dxa"/>
              <w:right w:w="115" w:type="dxa"/>
            </w:tcMar>
            <w:vAlign w:val="center"/>
            <w:hideMark/>
          </w:tcPr>
          <w:p w14:paraId="03851AE1" w14:textId="77777777" w:rsidR="00F1052A" w:rsidRPr="00362CF5" w:rsidRDefault="00F1052A" w:rsidP="00F1052A">
            <w:pPr>
              <w:spacing w:line="240" w:lineRule="auto"/>
              <w:jc w:val="center"/>
            </w:pPr>
            <w:r w:rsidRPr="00362CF5">
              <w:rPr>
                <w:color w:val="000000"/>
                <w:sz w:val="20"/>
                <w:szCs w:val="20"/>
              </w:rPr>
              <w:t>2,146</w:t>
            </w:r>
          </w:p>
        </w:tc>
        <w:tc>
          <w:tcPr>
            <w:tcW w:w="1843" w:type="dxa"/>
            <w:tcMar>
              <w:top w:w="0" w:type="dxa"/>
              <w:left w:w="115" w:type="dxa"/>
              <w:bottom w:w="0" w:type="dxa"/>
              <w:right w:w="115" w:type="dxa"/>
            </w:tcMar>
            <w:vAlign w:val="bottom"/>
            <w:hideMark/>
          </w:tcPr>
          <w:p w14:paraId="2464D520" w14:textId="77777777" w:rsidR="00F1052A" w:rsidRPr="00362CF5" w:rsidRDefault="00F1052A" w:rsidP="00F1052A">
            <w:pPr>
              <w:spacing w:line="240" w:lineRule="auto"/>
              <w:jc w:val="right"/>
            </w:pPr>
            <w:r w:rsidRPr="00362CF5">
              <w:rPr>
                <w:color w:val="000000"/>
                <w:sz w:val="20"/>
                <w:szCs w:val="20"/>
              </w:rPr>
              <w:t>37.6 (35.7-39.5)</w:t>
            </w:r>
          </w:p>
        </w:tc>
        <w:tc>
          <w:tcPr>
            <w:tcW w:w="993" w:type="dxa"/>
            <w:tcMar>
              <w:top w:w="0" w:type="dxa"/>
              <w:left w:w="115" w:type="dxa"/>
              <w:bottom w:w="0" w:type="dxa"/>
              <w:right w:w="115" w:type="dxa"/>
            </w:tcMar>
            <w:vAlign w:val="bottom"/>
            <w:hideMark/>
          </w:tcPr>
          <w:p w14:paraId="4B50FD9D" w14:textId="77777777" w:rsidR="00F1052A" w:rsidRPr="00362CF5" w:rsidRDefault="00F1052A" w:rsidP="00F1052A">
            <w:pPr>
              <w:spacing w:line="240" w:lineRule="auto"/>
            </w:pPr>
          </w:p>
        </w:tc>
      </w:tr>
      <w:tr w:rsidR="00F1052A" w:rsidRPr="00362CF5" w14:paraId="3F210833" w14:textId="77777777" w:rsidTr="00F1052A">
        <w:trPr>
          <w:trHeight w:val="300"/>
        </w:trPr>
        <w:tc>
          <w:tcPr>
            <w:tcW w:w="3119" w:type="dxa"/>
            <w:tcMar>
              <w:top w:w="0" w:type="dxa"/>
              <w:left w:w="115" w:type="dxa"/>
              <w:bottom w:w="0" w:type="dxa"/>
              <w:right w:w="115" w:type="dxa"/>
            </w:tcMar>
            <w:vAlign w:val="bottom"/>
            <w:hideMark/>
          </w:tcPr>
          <w:p w14:paraId="0DC43AFF" w14:textId="77777777" w:rsidR="00F1052A" w:rsidRPr="00362CF5" w:rsidRDefault="00F1052A" w:rsidP="00F1052A">
            <w:pPr>
              <w:spacing w:line="240" w:lineRule="auto"/>
              <w:ind w:left="169"/>
            </w:pPr>
            <w:r w:rsidRPr="00362CF5">
              <w:rPr>
                <w:color w:val="000000"/>
                <w:sz w:val="20"/>
                <w:szCs w:val="20"/>
              </w:rPr>
              <w:t>≥ 65</w:t>
            </w:r>
          </w:p>
        </w:tc>
        <w:tc>
          <w:tcPr>
            <w:tcW w:w="851" w:type="dxa"/>
            <w:tcMar>
              <w:top w:w="0" w:type="dxa"/>
              <w:left w:w="115" w:type="dxa"/>
              <w:bottom w:w="0" w:type="dxa"/>
              <w:right w:w="115" w:type="dxa"/>
            </w:tcMar>
            <w:vAlign w:val="bottom"/>
            <w:hideMark/>
          </w:tcPr>
          <w:p w14:paraId="3C180F4B" w14:textId="77777777" w:rsidR="00F1052A" w:rsidRPr="00362CF5" w:rsidRDefault="00F1052A" w:rsidP="00F1052A">
            <w:pPr>
              <w:spacing w:line="240" w:lineRule="auto"/>
              <w:jc w:val="center"/>
            </w:pPr>
            <w:r w:rsidRPr="00362CF5">
              <w:rPr>
                <w:color w:val="000000"/>
                <w:sz w:val="20"/>
                <w:szCs w:val="20"/>
              </w:rPr>
              <w:t>196</w:t>
            </w:r>
          </w:p>
        </w:tc>
        <w:tc>
          <w:tcPr>
            <w:tcW w:w="1842" w:type="dxa"/>
            <w:shd w:val="clear" w:color="auto" w:fill="FFFFFF"/>
            <w:tcMar>
              <w:top w:w="0" w:type="dxa"/>
              <w:left w:w="115" w:type="dxa"/>
              <w:bottom w:w="0" w:type="dxa"/>
              <w:right w:w="115" w:type="dxa"/>
            </w:tcMar>
            <w:vAlign w:val="center"/>
            <w:hideMark/>
          </w:tcPr>
          <w:p w14:paraId="020F951B" w14:textId="77777777" w:rsidR="00F1052A" w:rsidRPr="00362CF5" w:rsidRDefault="00F1052A" w:rsidP="00F1052A">
            <w:pPr>
              <w:spacing w:line="240" w:lineRule="auto"/>
              <w:jc w:val="right"/>
            </w:pPr>
            <w:r w:rsidRPr="00362CF5">
              <w:rPr>
                <w:color w:val="000000"/>
                <w:sz w:val="20"/>
                <w:szCs w:val="20"/>
              </w:rPr>
              <w:t>30.4 (25.3-36.0)</w:t>
            </w:r>
          </w:p>
        </w:tc>
        <w:tc>
          <w:tcPr>
            <w:tcW w:w="992" w:type="dxa"/>
            <w:tcMar>
              <w:top w:w="0" w:type="dxa"/>
              <w:left w:w="115" w:type="dxa"/>
              <w:bottom w:w="0" w:type="dxa"/>
              <w:right w:w="115" w:type="dxa"/>
            </w:tcMar>
            <w:vAlign w:val="center"/>
            <w:hideMark/>
          </w:tcPr>
          <w:p w14:paraId="2AD7CCA8" w14:textId="77777777" w:rsidR="00F1052A" w:rsidRPr="00362CF5" w:rsidRDefault="00F1052A" w:rsidP="00F1052A">
            <w:pPr>
              <w:spacing w:line="240" w:lineRule="auto"/>
              <w:jc w:val="center"/>
            </w:pPr>
            <w:r w:rsidRPr="00362CF5">
              <w:rPr>
                <w:color w:val="000000"/>
                <w:sz w:val="20"/>
                <w:szCs w:val="20"/>
              </w:rPr>
              <w:t>891</w:t>
            </w:r>
          </w:p>
        </w:tc>
        <w:tc>
          <w:tcPr>
            <w:tcW w:w="1843" w:type="dxa"/>
            <w:tcMar>
              <w:top w:w="0" w:type="dxa"/>
              <w:left w:w="115" w:type="dxa"/>
              <w:bottom w:w="0" w:type="dxa"/>
              <w:right w:w="115" w:type="dxa"/>
            </w:tcMar>
            <w:vAlign w:val="bottom"/>
            <w:hideMark/>
          </w:tcPr>
          <w:p w14:paraId="33D30414" w14:textId="77777777" w:rsidR="00F1052A" w:rsidRPr="00362CF5" w:rsidRDefault="00F1052A" w:rsidP="00F1052A">
            <w:pPr>
              <w:spacing w:line="240" w:lineRule="auto"/>
              <w:jc w:val="right"/>
            </w:pPr>
            <w:r w:rsidRPr="00362CF5">
              <w:rPr>
                <w:color w:val="000000"/>
                <w:sz w:val="20"/>
                <w:szCs w:val="20"/>
              </w:rPr>
              <w:t>16.8 (14.9-18.8)</w:t>
            </w:r>
          </w:p>
        </w:tc>
        <w:tc>
          <w:tcPr>
            <w:tcW w:w="993" w:type="dxa"/>
            <w:tcMar>
              <w:top w:w="0" w:type="dxa"/>
              <w:left w:w="115" w:type="dxa"/>
              <w:bottom w:w="0" w:type="dxa"/>
              <w:right w:w="115" w:type="dxa"/>
            </w:tcMar>
            <w:vAlign w:val="bottom"/>
            <w:hideMark/>
          </w:tcPr>
          <w:p w14:paraId="415042D7" w14:textId="77777777" w:rsidR="00F1052A" w:rsidRPr="00362CF5" w:rsidRDefault="00F1052A" w:rsidP="00F1052A">
            <w:pPr>
              <w:spacing w:line="240" w:lineRule="auto"/>
            </w:pPr>
          </w:p>
        </w:tc>
      </w:tr>
      <w:tr w:rsidR="00F1052A" w:rsidRPr="00362CF5" w14:paraId="2F73BB67" w14:textId="77777777" w:rsidTr="00F1052A">
        <w:trPr>
          <w:trHeight w:val="300"/>
        </w:trPr>
        <w:tc>
          <w:tcPr>
            <w:tcW w:w="3119" w:type="dxa"/>
            <w:tcMar>
              <w:top w:w="0" w:type="dxa"/>
              <w:left w:w="115" w:type="dxa"/>
              <w:bottom w:w="0" w:type="dxa"/>
              <w:right w:w="115" w:type="dxa"/>
            </w:tcMar>
            <w:vAlign w:val="bottom"/>
            <w:hideMark/>
          </w:tcPr>
          <w:p w14:paraId="71445B0D" w14:textId="77777777" w:rsidR="00F1052A" w:rsidRPr="00362CF5" w:rsidRDefault="00F1052A" w:rsidP="00F1052A">
            <w:pPr>
              <w:spacing w:line="240" w:lineRule="auto"/>
            </w:pPr>
            <w:r w:rsidRPr="00362CF5">
              <w:rPr>
                <w:b/>
                <w:bCs/>
                <w:i/>
                <w:iCs/>
                <w:color w:val="000000"/>
                <w:sz w:val="20"/>
                <w:szCs w:val="20"/>
              </w:rPr>
              <w:t xml:space="preserve">Skin </w:t>
            </w:r>
            <w:proofErr w:type="spellStart"/>
            <w:r w:rsidRPr="00362CF5">
              <w:rPr>
                <w:b/>
                <w:bCs/>
                <w:i/>
                <w:iCs/>
                <w:color w:val="000000"/>
                <w:sz w:val="20"/>
                <w:szCs w:val="20"/>
              </w:rPr>
              <w:t>color</w:t>
            </w:r>
            <w:proofErr w:type="spellEnd"/>
            <w:r w:rsidRPr="00362CF5">
              <w:rPr>
                <w:b/>
                <w:bCs/>
                <w:i/>
                <w:iCs/>
                <w:color w:val="000000"/>
                <w:sz w:val="20"/>
                <w:szCs w:val="20"/>
              </w:rPr>
              <w:t>/ethnicity</w:t>
            </w:r>
          </w:p>
        </w:tc>
        <w:tc>
          <w:tcPr>
            <w:tcW w:w="851" w:type="dxa"/>
            <w:tcMar>
              <w:top w:w="0" w:type="dxa"/>
              <w:left w:w="115" w:type="dxa"/>
              <w:bottom w:w="0" w:type="dxa"/>
              <w:right w:w="115" w:type="dxa"/>
            </w:tcMar>
            <w:vAlign w:val="bottom"/>
            <w:hideMark/>
          </w:tcPr>
          <w:p w14:paraId="6665E959" w14:textId="77777777" w:rsidR="00F1052A" w:rsidRPr="00362CF5" w:rsidRDefault="00F1052A" w:rsidP="00F1052A">
            <w:pPr>
              <w:spacing w:line="240" w:lineRule="auto"/>
            </w:pPr>
          </w:p>
        </w:tc>
        <w:tc>
          <w:tcPr>
            <w:tcW w:w="1842" w:type="dxa"/>
            <w:shd w:val="clear" w:color="auto" w:fill="FFFFFF"/>
            <w:tcMar>
              <w:top w:w="0" w:type="dxa"/>
              <w:left w:w="115" w:type="dxa"/>
              <w:bottom w:w="0" w:type="dxa"/>
              <w:right w:w="115" w:type="dxa"/>
            </w:tcMar>
            <w:vAlign w:val="center"/>
            <w:hideMark/>
          </w:tcPr>
          <w:p w14:paraId="6EB5DD43" w14:textId="77777777" w:rsidR="00F1052A" w:rsidRPr="00362CF5" w:rsidRDefault="00F1052A" w:rsidP="00F1052A">
            <w:pPr>
              <w:spacing w:line="240" w:lineRule="auto"/>
              <w:jc w:val="right"/>
            </w:pPr>
            <w:r w:rsidRPr="00362CF5">
              <w:rPr>
                <w:color w:val="000000"/>
                <w:sz w:val="20"/>
                <w:szCs w:val="20"/>
              </w:rPr>
              <w:t> </w:t>
            </w:r>
          </w:p>
        </w:tc>
        <w:tc>
          <w:tcPr>
            <w:tcW w:w="992" w:type="dxa"/>
            <w:tcMar>
              <w:top w:w="0" w:type="dxa"/>
              <w:left w:w="115" w:type="dxa"/>
              <w:bottom w:w="0" w:type="dxa"/>
              <w:right w:w="115" w:type="dxa"/>
            </w:tcMar>
            <w:vAlign w:val="center"/>
            <w:hideMark/>
          </w:tcPr>
          <w:p w14:paraId="51F63CB0" w14:textId="77777777" w:rsidR="00F1052A" w:rsidRPr="00362CF5" w:rsidRDefault="00F1052A" w:rsidP="00F1052A">
            <w:pPr>
              <w:spacing w:line="240" w:lineRule="auto"/>
            </w:pPr>
          </w:p>
        </w:tc>
        <w:tc>
          <w:tcPr>
            <w:tcW w:w="1843" w:type="dxa"/>
            <w:tcMar>
              <w:top w:w="0" w:type="dxa"/>
              <w:left w:w="115" w:type="dxa"/>
              <w:bottom w:w="0" w:type="dxa"/>
              <w:right w:w="115" w:type="dxa"/>
            </w:tcMar>
            <w:vAlign w:val="bottom"/>
            <w:hideMark/>
          </w:tcPr>
          <w:p w14:paraId="6E8314C2" w14:textId="77777777" w:rsidR="00F1052A" w:rsidRPr="00362CF5" w:rsidRDefault="00F1052A" w:rsidP="00F1052A">
            <w:pPr>
              <w:spacing w:line="240" w:lineRule="auto"/>
            </w:pPr>
          </w:p>
        </w:tc>
        <w:tc>
          <w:tcPr>
            <w:tcW w:w="993" w:type="dxa"/>
            <w:tcMar>
              <w:top w:w="0" w:type="dxa"/>
              <w:left w:w="115" w:type="dxa"/>
              <w:bottom w:w="0" w:type="dxa"/>
              <w:right w:w="115" w:type="dxa"/>
            </w:tcMar>
            <w:vAlign w:val="bottom"/>
            <w:hideMark/>
          </w:tcPr>
          <w:p w14:paraId="35C05B1A" w14:textId="77777777" w:rsidR="00F1052A" w:rsidRPr="00362CF5" w:rsidRDefault="00F1052A" w:rsidP="00F1052A">
            <w:pPr>
              <w:spacing w:line="240" w:lineRule="auto"/>
              <w:jc w:val="center"/>
            </w:pPr>
            <w:r w:rsidRPr="00362CF5">
              <w:rPr>
                <w:color w:val="000000"/>
                <w:sz w:val="20"/>
                <w:szCs w:val="20"/>
              </w:rPr>
              <w:t>&lt;0.001</w:t>
            </w:r>
          </w:p>
        </w:tc>
      </w:tr>
      <w:tr w:rsidR="00F1052A" w:rsidRPr="00362CF5" w14:paraId="5B70D1A9" w14:textId="77777777" w:rsidTr="00F1052A">
        <w:trPr>
          <w:trHeight w:val="300"/>
        </w:trPr>
        <w:tc>
          <w:tcPr>
            <w:tcW w:w="3119" w:type="dxa"/>
            <w:tcMar>
              <w:top w:w="0" w:type="dxa"/>
              <w:left w:w="115" w:type="dxa"/>
              <w:bottom w:w="0" w:type="dxa"/>
              <w:right w:w="115" w:type="dxa"/>
            </w:tcMar>
            <w:vAlign w:val="bottom"/>
            <w:hideMark/>
          </w:tcPr>
          <w:p w14:paraId="05E938C9" w14:textId="77777777" w:rsidR="00F1052A" w:rsidRPr="00362CF5" w:rsidRDefault="00F1052A" w:rsidP="00F1052A">
            <w:pPr>
              <w:spacing w:line="240" w:lineRule="auto"/>
              <w:ind w:left="169"/>
              <w:rPr>
                <w:color w:val="000000"/>
                <w:sz w:val="20"/>
                <w:szCs w:val="20"/>
              </w:rPr>
            </w:pPr>
            <w:r w:rsidRPr="00362CF5">
              <w:rPr>
                <w:color w:val="000000"/>
                <w:sz w:val="20"/>
                <w:szCs w:val="20"/>
              </w:rPr>
              <w:t>White</w:t>
            </w:r>
          </w:p>
        </w:tc>
        <w:tc>
          <w:tcPr>
            <w:tcW w:w="851" w:type="dxa"/>
            <w:tcMar>
              <w:top w:w="0" w:type="dxa"/>
              <w:left w:w="115" w:type="dxa"/>
              <w:bottom w:w="0" w:type="dxa"/>
              <w:right w:w="115" w:type="dxa"/>
            </w:tcMar>
            <w:vAlign w:val="bottom"/>
            <w:hideMark/>
          </w:tcPr>
          <w:p w14:paraId="5F342CBE" w14:textId="77777777" w:rsidR="00F1052A" w:rsidRPr="00362CF5" w:rsidRDefault="00F1052A" w:rsidP="00F1052A">
            <w:pPr>
              <w:spacing w:line="240" w:lineRule="auto"/>
              <w:jc w:val="center"/>
            </w:pPr>
            <w:r w:rsidRPr="00362CF5">
              <w:rPr>
                <w:color w:val="000000"/>
                <w:sz w:val="20"/>
                <w:szCs w:val="20"/>
              </w:rPr>
              <w:t>308</w:t>
            </w:r>
          </w:p>
        </w:tc>
        <w:tc>
          <w:tcPr>
            <w:tcW w:w="1842" w:type="dxa"/>
            <w:shd w:val="clear" w:color="auto" w:fill="FFFFFF"/>
            <w:tcMar>
              <w:top w:w="0" w:type="dxa"/>
              <w:left w:w="115" w:type="dxa"/>
              <w:bottom w:w="0" w:type="dxa"/>
              <w:right w:w="115" w:type="dxa"/>
            </w:tcMar>
            <w:vAlign w:val="center"/>
            <w:hideMark/>
          </w:tcPr>
          <w:p w14:paraId="6FA557ED" w14:textId="77777777" w:rsidR="00F1052A" w:rsidRPr="00362CF5" w:rsidRDefault="00F1052A" w:rsidP="00F1052A">
            <w:pPr>
              <w:spacing w:line="240" w:lineRule="auto"/>
              <w:jc w:val="right"/>
            </w:pPr>
            <w:r w:rsidRPr="00362CF5">
              <w:rPr>
                <w:color w:val="000000"/>
                <w:sz w:val="20"/>
                <w:szCs w:val="20"/>
              </w:rPr>
              <w:t>53.6 (45.5-61.5)</w:t>
            </w:r>
          </w:p>
        </w:tc>
        <w:tc>
          <w:tcPr>
            <w:tcW w:w="992" w:type="dxa"/>
            <w:tcMar>
              <w:top w:w="0" w:type="dxa"/>
              <w:left w:w="115" w:type="dxa"/>
              <w:bottom w:w="0" w:type="dxa"/>
              <w:right w:w="115" w:type="dxa"/>
            </w:tcMar>
            <w:vAlign w:val="center"/>
            <w:hideMark/>
          </w:tcPr>
          <w:p w14:paraId="352B164F" w14:textId="77777777" w:rsidR="00F1052A" w:rsidRPr="00362CF5" w:rsidRDefault="00F1052A" w:rsidP="00F1052A">
            <w:pPr>
              <w:spacing w:line="240" w:lineRule="auto"/>
              <w:jc w:val="center"/>
            </w:pPr>
            <w:r w:rsidRPr="00362CF5">
              <w:rPr>
                <w:color w:val="000000"/>
                <w:sz w:val="20"/>
                <w:szCs w:val="20"/>
              </w:rPr>
              <w:t>2,146</w:t>
            </w:r>
          </w:p>
        </w:tc>
        <w:tc>
          <w:tcPr>
            <w:tcW w:w="1843" w:type="dxa"/>
            <w:tcMar>
              <w:top w:w="0" w:type="dxa"/>
              <w:left w:w="115" w:type="dxa"/>
              <w:bottom w:w="0" w:type="dxa"/>
              <w:right w:w="115" w:type="dxa"/>
            </w:tcMar>
            <w:vAlign w:val="bottom"/>
            <w:hideMark/>
          </w:tcPr>
          <w:p w14:paraId="5103AE3D" w14:textId="77777777" w:rsidR="00F1052A" w:rsidRPr="00362CF5" w:rsidRDefault="00F1052A" w:rsidP="00F1052A">
            <w:pPr>
              <w:spacing w:line="240" w:lineRule="auto"/>
              <w:jc w:val="right"/>
            </w:pPr>
            <w:r w:rsidRPr="00362CF5">
              <w:rPr>
                <w:color w:val="000000"/>
                <w:sz w:val="20"/>
                <w:szCs w:val="20"/>
              </w:rPr>
              <w:t>40.9 (37.2-44.6)</w:t>
            </w:r>
          </w:p>
        </w:tc>
        <w:tc>
          <w:tcPr>
            <w:tcW w:w="993" w:type="dxa"/>
            <w:tcMar>
              <w:top w:w="0" w:type="dxa"/>
              <w:left w:w="115" w:type="dxa"/>
              <w:bottom w:w="0" w:type="dxa"/>
              <w:right w:w="115" w:type="dxa"/>
            </w:tcMar>
            <w:vAlign w:val="bottom"/>
            <w:hideMark/>
          </w:tcPr>
          <w:p w14:paraId="15403653" w14:textId="77777777" w:rsidR="00F1052A" w:rsidRPr="00362CF5" w:rsidRDefault="00F1052A" w:rsidP="00F1052A">
            <w:pPr>
              <w:spacing w:line="240" w:lineRule="auto"/>
            </w:pPr>
          </w:p>
        </w:tc>
      </w:tr>
      <w:tr w:rsidR="00F1052A" w:rsidRPr="00362CF5" w14:paraId="7E8B4C27" w14:textId="77777777" w:rsidTr="00F1052A">
        <w:trPr>
          <w:trHeight w:val="300"/>
        </w:trPr>
        <w:tc>
          <w:tcPr>
            <w:tcW w:w="3119" w:type="dxa"/>
            <w:tcMar>
              <w:top w:w="0" w:type="dxa"/>
              <w:left w:w="115" w:type="dxa"/>
              <w:bottom w:w="0" w:type="dxa"/>
              <w:right w:w="115" w:type="dxa"/>
            </w:tcMar>
            <w:vAlign w:val="bottom"/>
            <w:hideMark/>
          </w:tcPr>
          <w:p w14:paraId="1228337D" w14:textId="77777777" w:rsidR="00F1052A" w:rsidRPr="00362CF5" w:rsidRDefault="00F1052A" w:rsidP="00F1052A">
            <w:pPr>
              <w:spacing w:line="240" w:lineRule="auto"/>
              <w:ind w:left="169"/>
              <w:rPr>
                <w:color w:val="000000"/>
                <w:sz w:val="20"/>
                <w:szCs w:val="20"/>
              </w:rPr>
            </w:pPr>
            <w:r w:rsidRPr="00362CF5">
              <w:rPr>
                <w:color w:val="000000"/>
                <w:sz w:val="20"/>
                <w:szCs w:val="20"/>
              </w:rPr>
              <w:t>Brown</w:t>
            </w:r>
          </w:p>
        </w:tc>
        <w:tc>
          <w:tcPr>
            <w:tcW w:w="851" w:type="dxa"/>
            <w:tcMar>
              <w:top w:w="0" w:type="dxa"/>
              <w:left w:w="115" w:type="dxa"/>
              <w:bottom w:w="0" w:type="dxa"/>
              <w:right w:w="115" w:type="dxa"/>
            </w:tcMar>
            <w:vAlign w:val="bottom"/>
            <w:hideMark/>
          </w:tcPr>
          <w:p w14:paraId="2B4BF5E3" w14:textId="77777777" w:rsidR="00F1052A" w:rsidRPr="00362CF5" w:rsidRDefault="00F1052A" w:rsidP="00F1052A">
            <w:pPr>
              <w:spacing w:line="240" w:lineRule="auto"/>
              <w:jc w:val="center"/>
            </w:pPr>
            <w:r w:rsidRPr="00362CF5">
              <w:rPr>
                <w:color w:val="000000"/>
                <w:sz w:val="20"/>
                <w:szCs w:val="20"/>
              </w:rPr>
              <w:t>253</w:t>
            </w:r>
          </w:p>
        </w:tc>
        <w:tc>
          <w:tcPr>
            <w:tcW w:w="1842" w:type="dxa"/>
            <w:shd w:val="clear" w:color="auto" w:fill="FFFFFF"/>
            <w:tcMar>
              <w:top w:w="0" w:type="dxa"/>
              <w:left w:w="115" w:type="dxa"/>
              <w:bottom w:w="0" w:type="dxa"/>
              <w:right w:w="115" w:type="dxa"/>
            </w:tcMar>
            <w:vAlign w:val="center"/>
            <w:hideMark/>
          </w:tcPr>
          <w:p w14:paraId="1C24D724" w14:textId="77777777" w:rsidR="00F1052A" w:rsidRPr="00362CF5" w:rsidRDefault="00F1052A" w:rsidP="00F1052A">
            <w:pPr>
              <w:spacing w:line="240" w:lineRule="auto"/>
              <w:jc w:val="right"/>
            </w:pPr>
            <w:r w:rsidRPr="00362CF5">
              <w:rPr>
                <w:color w:val="000000"/>
                <w:sz w:val="20"/>
                <w:szCs w:val="20"/>
              </w:rPr>
              <w:t>41.0 (33.6-48.9)</w:t>
            </w:r>
          </w:p>
        </w:tc>
        <w:tc>
          <w:tcPr>
            <w:tcW w:w="992" w:type="dxa"/>
            <w:tcMar>
              <w:top w:w="0" w:type="dxa"/>
              <w:left w:w="115" w:type="dxa"/>
              <w:bottom w:w="0" w:type="dxa"/>
              <w:right w:w="115" w:type="dxa"/>
            </w:tcMar>
            <w:vAlign w:val="center"/>
            <w:hideMark/>
          </w:tcPr>
          <w:p w14:paraId="4C5E331B" w14:textId="77777777" w:rsidR="00F1052A" w:rsidRPr="00362CF5" w:rsidRDefault="00F1052A" w:rsidP="00F1052A">
            <w:pPr>
              <w:spacing w:line="240" w:lineRule="auto"/>
              <w:jc w:val="center"/>
            </w:pPr>
            <w:r w:rsidRPr="00362CF5">
              <w:rPr>
                <w:color w:val="000000"/>
                <w:sz w:val="20"/>
                <w:szCs w:val="20"/>
              </w:rPr>
              <w:t>3,163</w:t>
            </w:r>
          </w:p>
        </w:tc>
        <w:tc>
          <w:tcPr>
            <w:tcW w:w="1843" w:type="dxa"/>
            <w:tcMar>
              <w:top w:w="0" w:type="dxa"/>
              <w:left w:w="115" w:type="dxa"/>
              <w:bottom w:w="0" w:type="dxa"/>
              <w:right w:w="115" w:type="dxa"/>
            </w:tcMar>
            <w:vAlign w:val="bottom"/>
            <w:hideMark/>
          </w:tcPr>
          <w:p w14:paraId="54DB6108" w14:textId="77777777" w:rsidR="00F1052A" w:rsidRPr="00362CF5" w:rsidRDefault="00F1052A" w:rsidP="00F1052A">
            <w:pPr>
              <w:spacing w:line="240" w:lineRule="auto"/>
              <w:jc w:val="right"/>
            </w:pPr>
            <w:r w:rsidRPr="00362CF5">
              <w:rPr>
                <w:color w:val="000000"/>
                <w:sz w:val="20"/>
                <w:szCs w:val="20"/>
              </w:rPr>
              <w:t>49.8 (45.9-53.7)</w:t>
            </w:r>
          </w:p>
        </w:tc>
        <w:tc>
          <w:tcPr>
            <w:tcW w:w="993" w:type="dxa"/>
            <w:tcMar>
              <w:top w:w="0" w:type="dxa"/>
              <w:left w:w="115" w:type="dxa"/>
              <w:bottom w:w="0" w:type="dxa"/>
              <w:right w:w="115" w:type="dxa"/>
            </w:tcMar>
            <w:vAlign w:val="bottom"/>
            <w:hideMark/>
          </w:tcPr>
          <w:p w14:paraId="7F266205" w14:textId="77777777" w:rsidR="00F1052A" w:rsidRPr="00362CF5" w:rsidRDefault="00F1052A" w:rsidP="00F1052A">
            <w:pPr>
              <w:spacing w:line="240" w:lineRule="auto"/>
            </w:pPr>
          </w:p>
        </w:tc>
      </w:tr>
      <w:tr w:rsidR="00F1052A" w:rsidRPr="00362CF5" w14:paraId="0BE1E743" w14:textId="77777777" w:rsidTr="00F1052A">
        <w:trPr>
          <w:trHeight w:val="300"/>
        </w:trPr>
        <w:tc>
          <w:tcPr>
            <w:tcW w:w="3119" w:type="dxa"/>
            <w:tcMar>
              <w:top w:w="0" w:type="dxa"/>
              <w:left w:w="115" w:type="dxa"/>
              <w:bottom w:w="0" w:type="dxa"/>
              <w:right w:w="115" w:type="dxa"/>
            </w:tcMar>
            <w:vAlign w:val="bottom"/>
            <w:hideMark/>
          </w:tcPr>
          <w:p w14:paraId="40F57B90" w14:textId="77777777" w:rsidR="00F1052A" w:rsidRPr="00362CF5" w:rsidRDefault="00F1052A" w:rsidP="00F1052A">
            <w:pPr>
              <w:spacing w:line="240" w:lineRule="auto"/>
              <w:ind w:left="169"/>
              <w:rPr>
                <w:color w:val="000000"/>
                <w:sz w:val="20"/>
                <w:szCs w:val="20"/>
              </w:rPr>
            </w:pPr>
            <w:r w:rsidRPr="00362CF5">
              <w:rPr>
                <w:color w:val="000000"/>
                <w:sz w:val="20"/>
                <w:szCs w:val="20"/>
              </w:rPr>
              <w:t>Black</w:t>
            </w:r>
          </w:p>
        </w:tc>
        <w:tc>
          <w:tcPr>
            <w:tcW w:w="851" w:type="dxa"/>
            <w:tcMar>
              <w:top w:w="0" w:type="dxa"/>
              <w:left w:w="115" w:type="dxa"/>
              <w:bottom w:w="0" w:type="dxa"/>
              <w:right w:w="115" w:type="dxa"/>
            </w:tcMar>
            <w:vAlign w:val="bottom"/>
            <w:hideMark/>
          </w:tcPr>
          <w:p w14:paraId="249225D8" w14:textId="77777777" w:rsidR="00F1052A" w:rsidRPr="00362CF5" w:rsidRDefault="00F1052A" w:rsidP="00F1052A">
            <w:pPr>
              <w:spacing w:line="240" w:lineRule="auto"/>
              <w:jc w:val="center"/>
            </w:pPr>
            <w:r w:rsidRPr="00362CF5">
              <w:rPr>
                <w:color w:val="000000"/>
                <w:sz w:val="20"/>
                <w:szCs w:val="20"/>
              </w:rPr>
              <w:t>39</w:t>
            </w:r>
          </w:p>
        </w:tc>
        <w:tc>
          <w:tcPr>
            <w:tcW w:w="1842" w:type="dxa"/>
            <w:shd w:val="clear" w:color="auto" w:fill="FFFFFF"/>
            <w:tcMar>
              <w:top w:w="0" w:type="dxa"/>
              <w:left w:w="115" w:type="dxa"/>
              <w:bottom w:w="0" w:type="dxa"/>
              <w:right w:w="115" w:type="dxa"/>
            </w:tcMar>
            <w:vAlign w:val="center"/>
            <w:hideMark/>
          </w:tcPr>
          <w:p w14:paraId="15C2A3D7" w14:textId="77777777" w:rsidR="00F1052A" w:rsidRPr="00362CF5" w:rsidRDefault="00F1052A" w:rsidP="00F1052A">
            <w:pPr>
              <w:spacing w:line="240" w:lineRule="auto"/>
              <w:jc w:val="right"/>
            </w:pPr>
            <w:r w:rsidRPr="00362CF5">
              <w:rPr>
                <w:color w:val="000000"/>
                <w:sz w:val="20"/>
                <w:szCs w:val="20"/>
              </w:rPr>
              <w:t>5.2 (3.5-7.5)</w:t>
            </w:r>
          </w:p>
        </w:tc>
        <w:tc>
          <w:tcPr>
            <w:tcW w:w="992" w:type="dxa"/>
            <w:tcMar>
              <w:top w:w="0" w:type="dxa"/>
              <w:left w:w="115" w:type="dxa"/>
              <w:bottom w:w="0" w:type="dxa"/>
              <w:right w:w="115" w:type="dxa"/>
            </w:tcMar>
            <w:vAlign w:val="center"/>
            <w:hideMark/>
          </w:tcPr>
          <w:p w14:paraId="671436CF" w14:textId="77777777" w:rsidR="00F1052A" w:rsidRPr="00362CF5" w:rsidRDefault="00F1052A" w:rsidP="00F1052A">
            <w:pPr>
              <w:spacing w:line="240" w:lineRule="auto"/>
              <w:jc w:val="center"/>
            </w:pPr>
            <w:r w:rsidRPr="00362CF5">
              <w:rPr>
                <w:color w:val="000000"/>
                <w:sz w:val="20"/>
                <w:szCs w:val="20"/>
              </w:rPr>
              <w:t>517</w:t>
            </w:r>
          </w:p>
        </w:tc>
        <w:tc>
          <w:tcPr>
            <w:tcW w:w="1843" w:type="dxa"/>
            <w:tcMar>
              <w:top w:w="0" w:type="dxa"/>
              <w:left w:w="115" w:type="dxa"/>
              <w:bottom w:w="0" w:type="dxa"/>
              <w:right w:w="115" w:type="dxa"/>
            </w:tcMar>
            <w:vAlign w:val="bottom"/>
            <w:hideMark/>
          </w:tcPr>
          <w:p w14:paraId="0D879CE3" w14:textId="77777777" w:rsidR="00F1052A" w:rsidRPr="00362CF5" w:rsidRDefault="00F1052A" w:rsidP="00F1052A">
            <w:pPr>
              <w:spacing w:line="240" w:lineRule="auto"/>
              <w:jc w:val="right"/>
            </w:pPr>
            <w:r w:rsidRPr="00362CF5">
              <w:rPr>
                <w:color w:val="000000"/>
                <w:sz w:val="20"/>
                <w:szCs w:val="20"/>
              </w:rPr>
              <w:t>7.8 (6.4-9.6)</w:t>
            </w:r>
          </w:p>
        </w:tc>
        <w:tc>
          <w:tcPr>
            <w:tcW w:w="993" w:type="dxa"/>
            <w:tcMar>
              <w:top w:w="0" w:type="dxa"/>
              <w:left w:w="115" w:type="dxa"/>
              <w:bottom w:w="0" w:type="dxa"/>
              <w:right w:w="115" w:type="dxa"/>
            </w:tcMar>
            <w:vAlign w:val="bottom"/>
            <w:hideMark/>
          </w:tcPr>
          <w:p w14:paraId="269A6358" w14:textId="77777777" w:rsidR="00F1052A" w:rsidRPr="00362CF5" w:rsidRDefault="00F1052A" w:rsidP="00F1052A">
            <w:pPr>
              <w:spacing w:line="240" w:lineRule="auto"/>
            </w:pPr>
          </w:p>
        </w:tc>
      </w:tr>
      <w:tr w:rsidR="00F1052A" w:rsidRPr="00362CF5" w14:paraId="2458C89C" w14:textId="77777777" w:rsidTr="00F1052A">
        <w:trPr>
          <w:trHeight w:val="300"/>
        </w:trPr>
        <w:tc>
          <w:tcPr>
            <w:tcW w:w="3119" w:type="dxa"/>
            <w:tcMar>
              <w:top w:w="0" w:type="dxa"/>
              <w:left w:w="115" w:type="dxa"/>
              <w:bottom w:w="0" w:type="dxa"/>
              <w:right w:w="115" w:type="dxa"/>
            </w:tcMar>
            <w:vAlign w:val="bottom"/>
            <w:hideMark/>
          </w:tcPr>
          <w:p w14:paraId="7471A2F8" w14:textId="77777777" w:rsidR="00F1052A" w:rsidRPr="00362CF5" w:rsidRDefault="00F1052A" w:rsidP="00F1052A">
            <w:pPr>
              <w:spacing w:line="240" w:lineRule="auto"/>
              <w:ind w:left="169"/>
              <w:rPr>
                <w:color w:val="000000"/>
                <w:sz w:val="20"/>
                <w:szCs w:val="20"/>
              </w:rPr>
            </w:pPr>
            <w:r w:rsidRPr="00362CF5">
              <w:rPr>
                <w:color w:val="000000"/>
                <w:sz w:val="20"/>
                <w:szCs w:val="20"/>
              </w:rPr>
              <w:t>Yellow</w:t>
            </w:r>
          </w:p>
        </w:tc>
        <w:tc>
          <w:tcPr>
            <w:tcW w:w="851" w:type="dxa"/>
            <w:tcMar>
              <w:top w:w="0" w:type="dxa"/>
              <w:left w:w="115" w:type="dxa"/>
              <w:bottom w:w="0" w:type="dxa"/>
              <w:right w:w="115" w:type="dxa"/>
            </w:tcMar>
            <w:vAlign w:val="bottom"/>
            <w:hideMark/>
          </w:tcPr>
          <w:p w14:paraId="4685F5AF" w14:textId="77777777" w:rsidR="00F1052A" w:rsidRPr="00362CF5" w:rsidRDefault="00F1052A" w:rsidP="00F1052A">
            <w:pPr>
              <w:spacing w:line="240" w:lineRule="auto"/>
              <w:jc w:val="center"/>
            </w:pPr>
            <w:r w:rsidRPr="00362CF5">
              <w:rPr>
                <w:color w:val="000000"/>
                <w:sz w:val="20"/>
                <w:szCs w:val="20"/>
              </w:rPr>
              <w:t>1</w:t>
            </w:r>
          </w:p>
        </w:tc>
        <w:tc>
          <w:tcPr>
            <w:tcW w:w="1842" w:type="dxa"/>
            <w:shd w:val="clear" w:color="auto" w:fill="FFFFFF"/>
            <w:tcMar>
              <w:top w:w="0" w:type="dxa"/>
              <w:left w:w="115" w:type="dxa"/>
              <w:bottom w:w="0" w:type="dxa"/>
              <w:right w:w="115" w:type="dxa"/>
            </w:tcMar>
            <w:vAlign w:val="center"/>
            <w:hideMark/>
          </w:tcPr>
          <w:p w14:paraId="1C2F2281" w14:textId="77777777" w:rsidR="00F1052A" w:rsidRPr="00362CF5" w:rsidRDefault="00F1052A" w:rsidP="00F1052A">
            <w:pPr>
              <w:spacing w:line="240" w:lineRule="auto"/>
              <w:jc w:val="right"/>
            </w:pPr>
            <w:r w:rsidRPr="00362CF5">
              <w:rPr>
                <w:color w:val="000000"/>
                <w:sz w:val="20"/>
                <w:szCs w:val="20"/>
              </w:rPr>
              <w:t>0.2 (0.0-1.7)</w:t>
            </w:r>
          </w:p>
        </w:tc>
        <w:tc>
          <w:tcPr>
            <w:tcW w:w="992" w:type="dxa"/>
            <w:tcMar>
              <w:top w:w="0" w:type="dxa"/>
              <w:left w:w="115" w:type="dxa"/>
              <w:bottom w:w="0" w:type="dxa"/>
              <w:right w:w="115" w:type="dxa"/>
            </w:tcMar>
            <w:vAlign w:val="center"/>
            <w:hideMark/>
          </w:tcPr>
          <w:p w14:paraId="574B5FDE" w14:textId="77777777" w:rsidR="00F1052A" w:rsidRPr="00362CF5" w:rsidRDefault="00F1052A" w:rsidP="00F1052A">
            <w:pPr>
              <w:spacing w:line="240" w:lineRule="auto"/>
              <w:jc w:val="center"/>
            </w:pPr>
            <w:r w:rsidRPr="00362CF5">
              <w:rPr>
                <w:color w:val="000000"/>
                <w:sz w:val="20"/>
                <w:szCs w:val="20"/>
              </w:rPr>
              <w:t>46</w:t>
            </w:r>
          </w:p>
        </w:tc>
        <w:tc>
          <w:tcPr>
            <w:tcW w:w="1843" w:type="dxa"/>
            <w:tcMar>
              <w:top w:w="0" w:type="dxa"/>
              <w:left w:w="115" w:type="dxa"/>
              <w:bottom w:w="0" w:type="dxa"/>
              <w:right w:w="115" w:type="dxa"/>
            </w:tcMar>
            <w:vAlign w:val="bottom"/>
            <w:hideMark/>
          </w:tcPr>
          <w:p w14:paraId="01A9998D" w14:textId="77777777" w:rsidR="00F1052A" w:rsidRPr="00362CF5" w:rsidRDefault="00F1052A" w:rsidP="00F1052A">
            <w:pPr>
              <w:spacing w:line="240" w:lineRule="auto"/>
              <w:jc w:val="right"/>
            </w:pPr>
            <w:r w:rsidRPr="00362CF5">
              <w:rPr>
                <w:color w:val="000000"/>
                <w:sz w:val="20"/>
                <w:szCs w:val="20"/>
              </w:rPr>
              <w:t>1.3 (0.6-2.9)</w:t>
            </w:r>
          </w:p>
        </w:tc>
        <w:tc>
          <w:tcPr>
            <w:tcW w:w="993" w:type="dxa"/>
            <w:tcMar>
              <w:top w:w="0" w:type="dxa"/>
              <w:left w:w="115" w:type="dxa"/>
              <w:bottom w:w="0" w:type="dxa"/>
              <w:right w:w="115" w:type="dxa"/>
            </w:tcMar>
            <w:vAlign w:val="bottom"/>
            <w:hideMark/>
          </w:tcPr>
          <w:p w14:paraId="627457CA" w14:textId="77777777" w:rsidR="00F1052A" w:rsidRPr="00362CF5" w:rsidRDefault="00F1052A" w:rsidP="00F1052A">
            <w:pPr>
              <w:spacing w:line="240" w:lineRule="auto"/>
            </w:pPr>
          </w:p>
        </w:tc>
      </w:tr>
      <w:tr w:rsidR="00F1052A" w:rsidRPr="00362CF5" w14:paraId="5C9942B0" w14:textId="77777777" w:rsidTr="00F1052A">
        <w:trPr>
          <w:trHeight w:val="300"/>
        </w:trPr>
        <w:tc>
          <w:tcPr>
            <w:tcW w:w="3119" w:type="dxa"/>
            <w:tcMar>
              <w:top w:w="0" w:type="dxa"/>
              <w:left w:w="115" w:type="dxa"/>
              <w:bottom w:w="0" w:type="dxa"/>
              <w:right w:w="115" w:type="dxa"/>
            </w:tcMar>
            <w:vAlign w:val="bottom"/>
            <w:hideMark/>
          </w:tcPr>
          <w:p w14:paraId="7D14E102" w14:textId="77777777" w:rsidR="00F1052A" w:rsidRPr="00362CF5" w:rsidRDefault="00F1052A" w:rsidP="00F1052A">
            <w:pPr>
              <w:spacing w:line="240" w:lineRule="auto"/>
              <w:ind w:left="169"/>
              <w:rPr>
                <w:color w:val="000000"/>
                <w:sz w:val="20"/>
                <w:szCs w:val="20"/>
              </w:rPr>
            </w:pPr>
            <w:r w:rsidRPr="00362CF5">
              <w:rPr>
                <w:color w:val="000000"/>
                <w:sz w:val="20"/>
                <w:szCs w:val="20"/>
              </w:rPr>
              <w:t>Indigenous</w:t>
            </w:r>
          </w:p>
        </w:tc>
        <w:tc>
          <w:tcPr>
            <w:tcW w:w="851" w:type="dxa"/>
            <w:tcMar>
              <w:top w:w="0" w:type="dxa"/>
              <w:left w:w="115" w:type="dxa"/>
              <w:bottom w:w="0" w:type="dxa"/>
              <w:right w:w="115" w:type="dxa"/>
            </w:tcMar>
            <w:vAlign w:val="bottom"/>
            <w:hideMark/>
          </w:tcPr>
          <w:p w14:paraId="25090FDA" w14:textId="77777777" w:rsidR="00F1052A" w:rsidRPr="00362CF5" w:rsidRDefault="00F1052A" w:rsidP="00F1052A">
            <w:pPr>
              <w:spacing w:line="240" w:lineRule="auto"/>
              <w:jc w:val="center"/>
            </w:pPr>
            <w:r w:rsidRPr="00362CF5">
              <w:rPr>
                <w:color w:val="000000"/>
                <w:sz w:val="20"/>
                <w:szCs w:val="20"/>
              </w:rPr>
              <w:t>0</w:t>
            </w:r>
          </w:p>
        </w:tc>
        <w:tc>
          <w:tcPr>
            <w:tcW w:w="1842" w:type="dxa"/>
            <w:shd w:val="clear" w:color="auto" w:fill="FFFFFF"/>
            <w:tcMar>
              <w:top w:w="0" w:type="dxa"/>
              <w:left w:w="115" w:type="dxa"/>
              <w:bottom w:w="0" w:type="dxa"/>
              <w:right w:w="115" w:type="dxa"/>
            </w:tcMar>
            <w:vAlign w:val="center"/>
            <w:hideMark/>
          </w:tcPr>
          <w:p w14:paraId="67B1D710" w14:textId="77777777" w:rsidR="00F1052A" w:rsidRPr="00362CF5" w:rsidRDefault="00F1052A" w:rsidP="00F1052A">
            <w:pPr>
              <w:spacing w:line="240" w:lineRule="auto"/>
              <w:jc w:val="right"/>
            </w:pPr>
            <w:r w:rsidRPr="00362CF5">
              <w:rPr>
                <w:color w:val="000000"/>
                <w:sz w:val="20"/>
                <w:szCs w:val="20"/>
              </w:rPr>
              <w:t>-</w:t>
            </w:r>
          </w:p>
        </w:tc>
        <w:tc>
          <w:tcPr>
            <w:tcW w:w="992" w:type="dxa"/>
            <w:tcMar>
              <w:top w:w="0" w:type="dxa"/>
              <w:left w:w="115" w:type="dxa"/>
              <w:bottom w:w="0" w:type="dxa"/>
              <w:right w:w="115" w:type="dxa"/>
            </w:tcMar>
            <w:vAlign w:val="center"/>
            <w:hideMark/>
          </w:tcPr>
          <w:p w14:paraId="2C947BD9" w14:textId="77777777" w:rsidR="00F1052A" w:rsidRPr="00362CF5" w:rsidRDefault="00F1052A" w:rsidP="00F1052A">
            <w:pPr>
              <w:spacing w:line="240" w:lineRule="auto"/>
              <w:jc w:val="center"/>
            </w:pPr>
            <w:r w:rsidRPr="00362CF5">
              <w:rPr>
                <w:color w:val="000000"/>
                <w:sz w:val="20"/>
                <w:szCs w:val="20"/>
              </w:rPr>
              <w:t>22</w:t>
            </w:r>
          </w:p>
        </w:tc>
        <w:tc>
          <w:tcPr>
            <w:tcW w:w="1843" w:type="dxa"/>
            <w:tcMar>
              <w:top w:w="0" w:type="dxa"/>
              <w:left w:w="115" w:type="dxa"/>
              <w:bottom w:w="0" w:type="dxa"/>
              <w:right w:w="115" w:type="dxa"/>
            </w:tcMar>
            <w:vAlign w:val="bottom"/>
            <w:hideMark/>
          </w:tcPr>
          <w:p w14:paraId="575FF10C" w14:textId="77777777" w:rsidR="00F1052A" w:rsidRPr="00362CF5" w:rsidRDefault="00F1052A" w:rsidP="00F1052A">
            <w:pPr>
              <w:spacing w:line="240" w:lineRule="auto"/>
              <w:jc w:val="right"/>
            </w:pPr>
            <w:r w:rsidRPr="00362CF5">
              <w:rPr>
                <w:color w:val="000000"/>
                <w:sz w:val="20"/>
                <w:szCs w:val="20"/>
              </w:rPr>
              <w:t>0.3 (0.1-0.6)</w:t>
            </w:r>
          </w:p>
        </w:tc>
        <w:tc>
          <w:tcPr>
            <w:tcW w:w="993" w:type="dxa"/>
            <w:tcMar>
              <w:top w:w="0" w:type="dxa"/>
              <w:left w:w="115" w:type="dxa"/>
              <w:bottom w:w="0" w:type="dxa"/>
              <w:right w:w="115" w:type="dxa"/>
            </w:tcMar>
            <w:vAlign w:val="bottom"/>
            <w:hideMark/>
          </w:tcPr>
          <w:p w14:paraId="16AF4290" w14:textId="77777777" w:rsidR="00F1052A" w:rsidRPr="00362CF5" w:rsidRDefault="00F1052A" w:rsidP="00F1052A">
            <w:pPr>
              <w:spacing w:line="240" w:lineRule="auto"/>
            </w:pPr>
          </w:p>
        </w:tc>
      </w:tr>
      <w:tr w:rsidR="00F1052A" w:rsidRPr="00362CF5" w14:paraId="082CDB93" w14:textId="77777777" w:rsidTr="00F1052A">
        <w:trPr>
          <w:trHeight w:val="300"/>
        </w:trPr>
        <w:tc>
          <w:tcPr>
            <w:tcW w:w="3119" w:type="dxa"/>
            <w:tcMar>
              <w:top w:w="0" w:type="dxa"/>
              <w:left w:w="115" w:type="dxa"/>
              <w:bottom w:w="0" w:type="dxa"/>
              <w:right w:w="115" w:type="dxa"/>
            </w:tcMar>
            <w:vAlign w:val="bottom"/>
            <w:hideMark/>
          </w:tcPr>
          <w:p w14:paraId="7EA03280" w14:textId="77777777" w:rsidR="00F1052A" w:rsidRPr="00362CF5" w:rsidRDefault="00F1052A" w:rsidP="00F1052A">
            <w:pPr>
              <w:spacing w:line="240" w:lineRule="auto"/>
            </w:pPr>
            <w:r w:rsidRPr="00362CF5">
              <w:rPr>
                <w:b/>
                <w:bCs/>
                <w:i/>
                <w:iCs/>
                <w:color w:val="000000"/>
                <w:sz w:val="20"/>
                <w:szCs w:val="20"/>
              </w:rPr>
              <w:t>Marital status</w:t>
            </w:r>
          </w:p>
        </w:tc>
        <w:tc>
          <w:tcPr>
            <w:tcW w:w="851" w:type="dxa"/>
            <w:tcMar>
              <w:top w:w="0" w:type="dxa"/>
              <w:left w:w="115" w:type="dxa"/>
              <w:bottom w:w="0" w:type="dxa"/>
              <w:right w:w="115" w:type="dxa"/>
            </w:tcMar>
            <w:vAlign w:val="bottom"/>
            <w:hideMark/>
          </w:tcPr>
          <w:p w14:paraId="62BE4D29" w14:textId="77777777" w:rsidR="00F1052A" w:rsidRPr="00362CF5" w:rsidRDefault="00F1052A" w:rsidP="00F1052A">
            <w:pPr>
              <w:spacing w:line="240" w:lineRule="auto"/>
            </w:pPr>
          </w:p>
        </w:tc>
        <w:tc>
          <w:tcPr>
            <w:tcW w:w="1842" w:type="dxa"/>
            <w:tcMar>
              <w:top w:w="0" w:type="dxa"/>
              <w:left w:w="115" w:type="dxa"/>
              <w:bottom w:w="0" w:type="dxa"/>
              <w:right w:w="115" w:type="dxa"/>
            </w:tcMar>
            <w:vAlign w:val="center"/>
            <w:hideMark/>
          </w:tcPr>
          <w:p w14:paraId="39A3170E" w14:textId="77777777" w:rsidR="00F1052A" w:rsidRPr="00362CF5" w:rsidRDefault="00F1052A" w:rsidP="00F1052A">
            <w:pPr>
              <w:spacing w:line="240" w:lineRule="auto"/>
            </w:pPr>
          </w:p>
        </w:tc>
        <w:tc>
          <w:tcPr>
            <w:tcW w:w="992" w:type="dxa"/>
            <w:tcMar>
              <w:top w:w="0" w:type="dxa"/>
              <w:left w:w="115" w:type="dxa"/>
              <w:bottom w:w="0" w:type="dxa"/>
              <w:right w:w="115" w:type="dxa"/>
            </w:tcMar>
            <w:vAlign w:val="center"/>
            <w:hideMark/>
          </w:tcPr>
          <w:p w14:paraId="40B842E9" w14:textId="77777777" w:rsidR="00F1052A" w:rsidRPr="00362CF5" w:rsidRDefault="00F1052A" w:rsidP="00F1052A">
            <w:pPr>
              <w:spacing w:line="240" w:lineRule="auto"/>
            </w:pPr>
          </w:p>
        </w:tc>
        <w:tc>
          <w:tcPr>
            <w:tcW w:w="1843" w:type="dxa"/>
            <w:tcMar>
              <w:top w:w="0" w:type="dxa"/>
              <w:left w:w="115" w:type="dxa"/>
              <w:bottom w:w="0" w:type="dxa"/>
              <w:right w:w="115" w:type="dxa"/>
            </w:tcMar>
            <w:vAlign w:val="bottom"/>
            <w:hideMark/>
          </w:tcPr>
          <w:p w14:paraId="77EBC1C7" w14:textId="77777777" w:rsidR="00F1052A" w:rsidRPr="00362CF5" w:rsidRDefault="00F1052A" w:rsidP="00F1052A">
            <w:pPr>
              <w:spacing w:line="240" w:lineRule="auto"/>
            </w:pPr>
          </w:p>
        </w:tc>
        <w:tc>
          <w:tcPr>
            <w:tcW w:w="993" w:type="dxa"/>
            <w:tcMar>
              <w:top w:w="0" w:type="dxa"/>
              <w:left w:w="115" w:type="dxa"/>
              <w:bottom w:w="0" w:type="dxa"/>
              <w:right w:w="115" w:type="dxa"/>
            </w:tcMar>
            <w:vAlign w:val="bottom"/>
            <w:hideMark/>
          </w:tcPr>
          <w:p w14:paraId="2A75E708" w14:textId="77777777" w:rsidR="00F1052A" w:rsidRPr="00362CF5" w:rsidRDefault="00F1052A" w:rsidP="00F1052A">
            <w:pPr>
              <w:spacing w:line="240" w:lineRule="auto"/>
              <w:jc w:val="center"/>
            </w:pPr>
            <w:r w:rsidRPr="00362CF5">
              <w:rPr>
                <w:color w:val="000000"/>
                <w:sz w:val="20"/>
                <w:szCs w:val="20"/>
              </w:rPr>
              <w:t>&lt;0.001</w:t>
            </w:r>
          </w:p>
        </w:tc>
      </w:tr>
      <w:tr w:rsidR="00F1052A" w:rsidRPr="00362CF5" w14:paraId="0BD4DFE2" w14:textId="77777777" w:rsidTr="00F1052A">
        <w:trPr>
          <w:trHeight w:val="300"/>
        </w:trPr>
        <w:tc>
          <w:tcPr>
            <w:tcW w:w="3119" w:type="dxa"/>
            <w:tcMar>
              <w:top w:w="0" w:type="dxa"/>
              <w:left w:w="115" w:type="dxa"/>
              <w:bottom w:w="0" w:type="dxa"/>
              <w:right w:w="115" w:type="dxa"/>
            </w:tcMar>
            <w:vAlign w:val="bottom"/>
            <w:hideMark/>
          </w:tcPr>
          <w:p w14:paraId="3BF05CB0" w14:textId="77777777" w:rsidR="00F1052A" w:rsidRPr="00362CF5" w:rsidRDefault="00F1052A" w:rsidP="00F1052A">
            <w:pPr>
              <w:spacing w:line="240" w:lineRule="auto"/>
              <w:ind w:left="169"/>
              <w:rPr>
                <w:color w:val="000000"/>
                <w:sz w:val="20"/>
                <w:szCs w:val="20"/>
              </w:rPr>
            </w:pPr>
            <w:r w:rsidRPr="00362CF5">
              <w:rPr>
                <w:color w:val="000000"/>
                <w:sz w:val="20"/>
                <w:szCs w:val="20"/>
              </w:rPr>
              <w:t>Single</w:t>
            </w:r>
          </w:p>
        </w:tc>
        <w:tc>
          <w:tcPr>
            <w:tcW w:w="851" w:type="dxa"/>
            <w:tcMar>
              <w:top w:w="0" w:type="dxa"/>
              <w:left w:w="115" w:type="dxa"/>
              <w:bottom w:w="0" w:type="dxa"/>
              <w:right w:w="115" w:type="dxa"/>
            </w:tcMar>
            <w:vAlign w:val="bottom"/>
            <w:hideMark/>
          </w:tcPr>
          <w:p w14:paraId="0F208DF4" w14:textId="77777777" w:rsidR="00F1052A" w:rsidRPr="00362CF5" w:rsidRDefault="00F1052A" w:rsidP="00F1052A">
            <w:pPr>
              <w:spacing w:line="240" w:lineRule="auto"/>
              <w:jc w:val="center"/>
            </w:pPr>
            <w:r w:rsidRPr="00362CF5">
              <w:rPr>
                <w:color w:val="000000"/>
                <w:sz w:val="20"/>
                <w:szCs w:val="20"/>
              </w:rPr>
              <w:t>68</w:t>
            </w:r>
          </w:p>
        </w:tc>
        <w:tc>
          <w:tcPr>
            <w:tcW w:w="1842" w:type="dxa"/>
            <w:shd w:val="clear" w:color="auto" w:fill="FFFFFF"/>
            <w:tcMar>
              <w:top w:w="0" w:type="dxa"/>
              <w:left w:w="115" w:type="dxa"/>
              <w:bottom w:w="0" w:type="dxa"/>
              <w:right w:w="115" w:type="dxa"/>
            </w:tcMar>
            <w:vAlign w:val="center"/>
            <w:hideMark/>
          </w:tcPr>
          <w:p w14:paraId="6EF27E17" w14:textId="77777777" w:rsidR="00F1052A" w:rsidRPr="00362CF5" w:rsidRDefault="00F1052A" w:rsidP="00F1052A">
            <w:pPr>
              <w:spacing w:line="240" w:lineRule="auto"/>
              <w:jc w:val="right"/>
            </w:pPr>
            <w:r w:rsidRPr="00362CF5">
              <w:rPr>
                <w:color w:val="000000"/>
                <w:sz w:val="20"/>
                <w:szCs w:val="20"/>
              </w:rPr>
              <w:t>8.4 (6.0-11.5)</w:t>
            </w:r>
          </w:p>
        </w:tc>
        <w:tc>
          <w:tcPr>
            <w:tcW w:w="992" w:type="dxa"/>
            <w:shd w:val="clear" w:color="auto" w:fill="FFFFFF"/>
            <w:tcMar>
              <w:top w:w="0" w:type="dxa"/>
              <w:left w:w="115" w:type="dxa"/>
              <w:bottom w:w="0" w:type="dxa"/>
              <w:right w:w="115" w:type="dxa"/>
            </w:tcMar>
            <w:vAlign w:val="center"/>
            <w:hideMark/>
          </w:tcPr>
          <w:p w14:paraId="67DC17E3" w14:textId="77777777" w:rsidR="00F1052A" w:rsidRPr="00362CF5" w:rsidRDefault="00F1052A" w:rsidP="00F1052A">
            <w:pPr>
              <w:spacing w:line="240" w:lineRule="auto"/>
              <w:jc w:val="center"/>
            </w:pPr>
            <w:r w:rsidRPr="00362CF5">
              <w:rPr>
                <w:color w:val="000000"/>
                <w:sz w:val="20"/>
                <w:szCs w:val="20"/>
              </w:rPr>
              <w:t>1,406</w:t>
            </w:r>
          </w:p>
        </w:tc>
        <w:tc>
          <w:tcPr>
            <w:tcW w:w="1843" w:type="dxa"/>
            <w:shd w:val="clear" w:color="auto" w:fill="FFFFFF"/>
            <w:tcMar>
              <w:top w:w="0" w:type="dxa"/>
              <w:left w:w="115" w:type="dxa"/>
              <w:bottom w:w="0" w:type="dxa"/>
              <w:right w:w="115" w:type="dxa"/>
            </w:tcMar>
            <w:vAlign w:val="center"/>
            <w:hideMark/>
          </w:tcPr>
          <w:p w14:paraId="018D5016" w14:textId="77777777" w:rsidR="00F1052A" w:rsidRPr="00362CF5" w:rsidRDefault="00F1052A" w:rsidP="00F1052A">
            <w:pPr>
              <w:spacing w:line="240" w:lineRule="auto"/>
              <w:jc w:val="right"/>
            </w:pPr>
            <w:r w:rsidRPr="00362CF5">
              <w:rPr>
                <w:color w:val="000000"/>
                <w:sz w:val="20"/>
                <w:szCs w:val="20"/>
              </w:rPr>
              <w:t>20.3 (18.8-22.0)</w:t>
            </w:r>
          </w:p>
        </w:tc>
        <w:tc>
          <w:tcPr>
            <w:tcW w:w="993" w:type="dxa"/>
            <w:tcMar>
              <w:top w:w="0" w:type="dxa"/>
              <w:left w:w="115" w:type="dxa"/>
              <w:bottom w:w="0" w:type="dxa"/>
              <w:right w:w="115" w:type="dxa"/>
            </w:tcMar>
            <w:vAlign w:val="bottom"/>
            <w:hideMark/>
          </w:tcPr>
          <w:p w14:paraId="25460FB2" w14:textId="77777777" w:rsidR="00F1052A" w:rsidRPr="00362CF5" w:rsidRDefault="00F1052A" w:rsidP="00F1052A">
            <w:pPr>
              <w:spacing w:line="240" w:lineRule="auto"/>
            </w:pPr>
          </w:p>
        </w:tc>
      </w:tr>
      <w:tr w:rsidR="00F1052A" w:rsidRPr="00362CF5" w14:paraId="3529BF1F" w14:textId="77777777" w:rsidTr="00F1052A">
        <w:trPr>
          <w:trHeight w:val="300"/>
        </w:trPr>
        <w:tc>
          <w:tcPr>
            <w:tcW w:w="3119" w:type="dxa"/>
            <w:tcMar>
              <w:top w:w="0" w:type="dxa"/>
              <w:left w:w="115" w:type="dxa"/>
              <w:bottom w:w="0" w:type="dxa"/>
              <w:right w:w="115" w:type="dxa"/>
            </w:tcMar>
            <w:vAlign w:val="bottom"/>
            <w:hideMark/>
          </w:tcPr>
          <w:p w14:paraId="009D9345" w14:textId="77777777" w:rsidR="00F1052A" w:rsidRPr="00362CF5" w:rsidRDefault="00F1052A" w:rsidP="00F1052A">
            <w:pPr>
              <w:spacing w:line="240" w:lineRule="auto"/>
              <w:ind w:left="169"/>
              <w:rPr>
                <w:color w:val="000000"/>
                <w:sz w:val="20"/>
                <w:szCs w:val="20"/>
              </w:rPr>
            </w:pPr>
            <w:r w:rsidRPr="00362CF5">
              <w:rPr>
                <w:color w:val="000000"/>
                <w:sz w:val="20"/>
                <w:szCs w:val="20"/>
              </w:rPr>
              <w:t>Married/common-law marriage</w:t>
            </w:r>
            <w:r w:rsidRPr="00362CF5">
              <w:rPr>
                <w:color w:val="000000"/>
                <w:sz w:val="20"/>
                <w:szCs w:val="20"/>
                <w:vertAlign w:val="superscript"/>
              </w:rPr>
              <w:t xml:space="preserve"> b</w:t>
            </w:r>
          </w:p>
        </w:tc>
        <w:tc>
          <w:tcPr>
            <w:tcW w:w="851" w:type="dxa"/>
            <w:tcMar>
              <w:top w:w="0" w:type="dxa"/>
              <w:left w:w="115" w:type="dxa"/>
              <w:bottom w:w="0" w:type="dxa"/>
              <w:right w:w="115" w:type="dxa"/>
            </w:tcMar>
            <w:vAlign w:val="bottom"/>
            <w:hideMark/>
          </w:tcPr>
          <w:p w14:paraId="382775B4" w14:textId="77777777" w:rsidR="00F1052A" w:rsidRPr="00362CF5" w:rsidRDefault="00F1052A" w:rsidP="00F1052A">
            <w:pPr>
              <w:spacing w:line="240" w:lineRule="auto"/>
              <w:jc w:val="center"/>
              <w:rPr>
                <w:sz w:val="20"/>
                <w:szCs w:val="20"/>
              </w:rPr>
            </w:pPr>
            <w:r w:rsidRPr="00362CF5">
              <w:rPr>
                <w:color w:val="000000"/>
                <w:sz w:val="20"/>
                <w:szCs w:val="20"/>
              </w:rPr>
              <w:t>376</w:t>
            </w:r>
          </w:p>
        </w:tc>
        <w:tc>
          <w:tcPr>
            <w:tcW w:w="1842" w:type="dxa"/>
            <w:shd w:val="clear" w:color="auto" w:fill="FFFFFF"/>
            <w:tcMar>
              <w:top w:w="0" w:type="dxa"/>
              <w:left w:w="115" w:type="dxa"/>
              <w:bottom w:w="0" w:type="dxa"/>
              <w:right w:w="115" w:type="dxa"/>
            </w:tcMar>
            <w:vAlign w:val="center"/>
            <w:hideMark/>
          </w:tcPr>
          <w:p w14:paraId="5CDB3BFD" w14:textId="77777777" w:rsidR="00F1052A" w:rsidRPr="00362CF5" w:rsidRDefault="00F1052A" w:rsidP="00F1052A">
            <w:pPr>
              <w:spacing w:line="240" w:lineRule="auto"/>
              <w:jc w:val="right"/>
              <w:rPr>
                <w:sz w:val="20"/>
                <w:szCs w:val="20"/>
              </w:rPr>
            </w:pPr>
            <w:r w:rsidRPr="00362CF5">
              <w:rPr>
                <w:color w:val="000000"/>
                <w:sz w:val="20"/>
                <w:szCs w:val="20"/>
              </w:rPr>
              <w:t>68.2 (62.5-73.4)</w:t>
            </w:r>
          </w:p>
        </w:tc>
        <w:tc>
          <w:tcPr>
            <w:tcW w:w="992" w:type="dxa"/>
            <w:shd w:val="clear" w:color="auto" w:fill="FFFFFF"/>
            <w:tcMar>
              <w:top w:w="0" w:type="dxa"/>
              <w:left w:w="115" w:type="dxa"/>
              <w:bottom w:w="0" w:type="dxa"/>
              <w:right w:w="115" w:type="dxa"/>
            </w:tcMar>
            <w:vAlign w:val="center"/>
            <w:hideMark/>
          </w:tcPr>
          <w:p w14:paraId="61995271" w14:textId="77777777" w:rsidR="00F1052A" w:rsidRPr="00362CF5" w:rsidRDefault="00F1052A" w:rsidP="00F1052A">
            <w:pPr>
              <w:spacing w:line="240" w:lineRule="auto"/>
              <w:jc w:val="center"/>
            </w:pPr>
            <w:r w:rsidRPr="00362CF5">
              <w:rPr>
                <w:color w:val="000000"/>
                <w:sz w:val="20"/>
                <w:szCs w:val="20"/>
              </w:rPr>
              <w:t>3,640</w:t>
            </w:r>
          </w:p>
        </w:tc>
        <w:tc>
          <w:tcPr>
            <w:tcW w:w="1843" w:type="dxa"/>
            <w:shd w:val="clear" w:color="auto" w:fill="FFFFFF"/>
            <w:tcMar>
              <w:top w:w="0" w:type="dxa"/>
              <w:left w:w="115" w:type="dxa"/>
              <w:bottom w:w="0" w:type="dxa"/>
              <w:right w:w="115" w:type="dxa"/>
            </w:tcMar>
            <w:vAlign w:val="center"/>
            <w:hideMark/>
          </w:tcPr>
          <w:p w14:paraId="51FCAAB7" w14:textId="77777777" w:rsidR="00F1052A" w:rsidRPr="00362CF5" w:rsidRDefault="00F1052A" w:rsidP="00F1052A">
            <w:pPr>
              <w:spacing w:line="240" w:lineRule="auto"/>
              <w:jc w:val="right"/>
            </w:pPr>
            <w:r w:rsidRPr="00362CF5">
              <w:rPr>
                <w:color w:val="000000"/>
                <w:sz w:val="20"/>
                <w:szCs w:val="20"/>
              </w:rPr>
              <w:t>65.1 (63.1-67.2)</w:t>
            </w:r>
          </w:p>
        </w:tc>
        <w:tc>
          <w:tcPr>
            <w:tcW w:w="993" w:type="dxa"/>
            <w:tcMar>
              <w:top w:w="0" w:type="dxa"/>
              <w:left w:w="115" w:type="dxa"/>
              <w:bottom w:w="0" w:type="dxa"/>
              <w:right w:w="115" w:type="dxa"/>
            </w:tcMar>
            <w:vAlign w:val="bottom"/>
            <w:hideMark/>
          </w:tcPr>
          <w:p w14:paraId="652E1D5F" w14:textId="77777777" w:rsidR="00F1052A" w:rsidRPr="00362CF5" w:rsidRDefault="00F1052A" w:rsidP="00F1052A">
            <w:pPr>
              <w:spacing w:line="240" w:lineRule="auto"/>
            </w:pPr>
          </w:p>
        </w:tc>
      </w:tr>
      <w:tr w:rsidR="00F1052A" w:rsidRPr="00362CF5" w14:paraId="777D6D2E" w14:textId="77777777" w:rsidTr="00F1052A">
        <w:trPr>
          <w:trHeight w:val="300"/>
        </w:trPr>
        <w:tc>
          <w:tcPr>
            <w:tcW w:w="3119" w:type="dxa"/>
            <w:tcMar>
              <w:top w:w="0" w:type="dxa"/>
              <w:left w:w="115" w:type="dxa"/>
              <w:bottom w:w="0" w:type="dxa"/>
              <w:right w:w="115" w:type="dxa"/>
            </w:tcMar>
            <w:vAlign w:val="bottom"/>
            <w:hideMark/>
          </w:tcPr>
          <w:p w14:paraId="1D95DA89" w14:textId="77777777" w:rsidR="00F1052A" w:rsidRPr="00362CF5" w:rsidRDefault="00F1052A" w:rsidP="00F1052A">
            <w:pPr>
              <w:spacing w:line="240" w:lineRule="auto"/>
              <w:ind w:left="169"/>
              <w:rPr>
                <w:color w:val="000000"/>
                <w:sz w:val="20"/>
                <w:szCs w:val="20"/>
              </w:rPr>
            </w:pPr>
            <w:r w:rsidRPr="00362CF5">
              <w:rPr>
                <w:color w:val="000000"/>
                <w:sz w:val="20"/>
                <w:szCs w:val="20"/>
              </w:rPr>
              <w:t>Others</w:t>
            </w:r>
          </w:p>
        </w:tc>
        <w:tc>
          <w:tcPr>
            <w:tcW w:w="851" w:type="dxa"/>
            <w:tcMar>
              <w:top w:w="0" w:type="dxa"/>
              <w:left w:w="115" w:type="dxa"/>
              <w:bottom w:w="0" w:type="dxa"/>
              <w:right w:w="115" w:type="dxa"/>
            </w:tcMar>
            <w:vAlign w:val="bottom"/>
            <w:hideMark/>
          </w:tcPr>
          <w:p w14:paraId="18ED7E2F" w14:textId="77777777" w:rsidR="00F1052A" w:rsidRPr="00362CF5" w:rsidRDefault="00F1052A" w:rsidP="00F1052A">
            <w:pPr>
              <w:spacing w:line="240" w:lineRule="auto"/>
              <w:jc w:val="center"/>
            </w:pPr>
            <w:r w:rsidRPr="00362CF5">
              <w:rPr>
                <w:color w:val="000000"/>
                <w:sz w:val="20"/>
                <w:szCs w:val="20"/>
              </w:rPr>
              <w:t>159</w:t>
            </w:r>
          </w:p>
        </w:tc>
        <w:tc>
          <w:tcPr>
            <w:tcW w:w="1842" w:type="dxa"/>
            <w:shd w:val="clear" w:color="auto" w:fill="FFFFFF"/>
            <w:tcMar>
              <w:top w:w="0" w:type="dxa"/>
              <w:left w:w="115" w:type="dxa"/>
              <w:bottom w:w="0" w:type="dxa"/>
              <w:right w:w="115" w:type="dxa"/>
            </w:tcMar>
            <w:vAlign w:val="center"/>
            <w:hideMark/>
          </w:tcPr>
          <w:p w14:paraId="6A0E7E54" w14:textId="77777777" w:rsidR="00F1052A" w:rsidRPr="00362CF5" w:rsidRDefault="00F1052A" w:rsidP="00F1052A">
            <w:pPr>
              <w:spacing w:line="240" w:lineRule="auto"/>
              <w:jc w:val="right"/>
            </w:pPr>
            <w:r w:rsidRPr="00362CF5">
              <w:rPr>
                <w:color w:val="000000"/>
                <w:sz w:val="20"/>
                <w:szCs w:val="20"/>
              </w:rPr>
              <w:t>23.5 (18.6-29.1)</w:t>
            </w:r>
          </w:p>
        </w:tc>
        <w:tc>
          <w:tcPr>
            <w:tcW w:w="992" w:type="dxa"/>
            <w:shd w:val="clear" w:color="auto" w:fill="FFFFFF"/>
            <w:tcMar>
              <w:top w:w="0" w:type="dxa"/>
              <w:left w:w="115" w:type="dxa"/>
              <w:bottom w:w="0" w:type="dxa"/>
              <w:right w:w="115" w:type="dxa"/>
            </w:tcMar>
            <w:vAlign w:val="center"/>
            <w:hideMark/>
          </w:tcPr>
          <w:p w14:paraId="491151A1" w14:textId="77777777" w:rsidR="00F1052A" w:rsidRPr="00362CF5" w:rsidRDefault="00F1052A" w:rsidP="00F1052A">
            <w:pPr>
              <w:spacing w:line="240" w:lineRule="auto"/>
              <w:jc w:val="center"/>
            </w:pPr>
            <w:r w:rsidRPr="00362CF5">
              <w:rPr>
                <w:color w:val="000000"/>
                <w:sz w:val="20"/>
                <w:szCs w:val="20"/>
              </w:rPr>
              <w:t>862</w:t>
            </w:r>
          </w:p>
        </w:tc>
        <w:tc>
          <w:tcPr>
            <w:tcW w:w="1843" w:type="dxa"/>
            <w:shd w:val="clear" w:color="auto" w:fill="FFFFFF"/>
            <w:tcMar>
              <w:top w:w="0" w:type="dxa"/>
              <w:left w:w="115" w:type="dxa"/>
              <w:bottom w:w="0" w:type="dxa"/>
              <w:right w:w="115" w:type="dxa"/>
            </w:tcMar>
            <w:vAlign w:val="center"/>
            <w:hideMark/>
          </w:tcPr>
          <w:p w14:paraId="387563A8" w14:textId="77777777" w:rsidR="00F1052A" w:rsidRPr="00362CF5" w:rsidRDefault="00F1052A" w:rsidP="00F1052A">
            <w:pPr>
              <w:spacing w:line="240" w:lineRule="auto"/>
              <w:jc w:val="right"/>
            </w:pPr>
            <w:r w:rsidRPr="00362CF5">
              <w:rPr>
                <w:color w:val="000000"/>
                <w:sz w:val="20"/>
                <w:szCs w:val="20"/>
              </w:rPr>
              <w:t>14.5 (13.1-16.0)</w:t>
            </w:r>
          </w:p>
        </w:tc>
        <w:tc>
          <w:tcPr>
            <w:tcW w:w="993" w:type="dxa"/>
            <w:tcMar>
              <w:top w:w="0" w:type="dxa"/>
              <w:left w:w="115" w:type="dxa"/>
              <w:bottom w:w="0" w:type="dxa"/>
              <w:right w:w="115" w:type="dxa"/>
            </w:tcMar>
            <w:vAlign w:val="bottom"/>
            <w:hideMark/>
          </w:tcPr>
          <w:p w14:paraId="0A7CF987" w14:textId="77777777" w:rsidR="00F1052A" w:rsidRPr="00362CF5" w:rsidRDefault="00F1052A" w:rsidP="00F1052A">
            <w:pPr>
              <w:spacing w:line="240" w:lineRule="auto"/>
            </w:pPr>
          </w:p>
        </w:tc>
      </w:tr>
      <w:tr w:rsidR="00F1052A" w:rsidRPr="00362CF5" w14:paraId="03BBC862" w14:textId="77777777" w:rsidTr="00F1052A">
        <w:trPr>
          <w:trHeight w:val="300"/>
        </w:trPr>
        <w:tc>
          <w:tcPr>
            <w:tcW w:w="3119" w:type="dxa"/>
            <w:tcMar>
              <w:top w:w="0" w:type="dxa"/>
              <w:left w:w="115" w:type="dxa"/>
              <w:bottom w:w="0" w:type="dxa"/>
              <w:right w:w="115" w:type="dxa"/>
            </w:tcMar>
            <w:vAlign w:val="bottom"/>
            <w:hideMark/>
          </w:tcPr>
          <w:p w14:paraId="21D2864F" w14:textId="77777777" w:rsidR="00F1052A" w:rsidRPr="00362CF5" w:rsidRDefault="00F1052A" w:rsidP="00F1052A">
            <w:pPr>
              <w:spacing w:line="240" w:lineRule="auto"/>
            </w:pPr>
            <w:r w:rsidRPr="00362CF5">
              <w:rPr>
                <w:b/>
                <w:bCs/>
                <w:i/>
                <w:iCs/>
                <w:color w:val="000000"/>
                <w:sz w:val="20"/>
                <w:szCs w:val="20"/>
              </w:rPr>
              <w:t>Education level</w:t>
            </w:r>
          </w:p>
        </w:tc>
        <w:tc>
          <w:tcPr>
            <w:tcW w:w="851" w:type="dxa"/>
            <w:tcMar>
              <w:top w:w="0" w:type="dxa"/>
              <w:left w:w="115" w:type="dxa"/>
              <w:bottom w:w="0" w:type="dxa"/>
              <w:right w:w="115" w:type="dxa"/>
            </w:tcMar>
            <w:vAlign w:val="bottom"/>
            <w:hideMark/>
          </w:tcPr>
          <w:p w14:paraId="24773D46" w14:textId="77777777" w:rsidR="00F1052A" w:rsidRPr="00362CF5" w:rsidRDefault="00F1052A" w:rsidP="00F1052A">
            <w:pPr>
              <w:spacing w:line="240" w:lineRule="auto"/>
            </w:pPr>
          </w:p>
        </w:tc>
        <w:tc>
          <w:tcPr>
            <w:tcW w:w="1842" w:type="dxa"/>
            <w:tcMar>
              <w:top w:w="0" w:type="dxa"/>
              <w:left w:w="115" w:type="dxa"/>
              <w:bottom w:w="0" w:type="dxa"/>
              <w:right w:w="115" w:type="dxa"/>
            </w:tcMar>
            <w:vAlign w:val="center"/>
            <w:hideMark/>
          </w:tcPr>
          <w:p w14:paraId="0D765F3B" w14:textId="77777777" w:rsidR="00F1052A" w:rsidRPr="00362CF5" w:rsidRDefault="00F1052A" w:rsidP="00F1052A">
            <w:pPr>
              <w:spacing w:line="240" w:lineRule="auto"/>
            </w:pPr>
          </w:p>
        </w:tc>
        <w:tc>
          <w:tcPr>
            <w:tcW w:w="992" w:type="dxa"/>
            <w:tcMar>
              <w:top w:w="0" w:type="dxa"/>
              <w:left w:w="115" w:type="dxa"/>
              <w:bottom w:w="0" w:type="dxa"/>
              <w:right w:w="115" w:type="dxa"/>
            </w:tcMar>
            <w:vAlign w:val="center"/>
            <w:hideMark/>
          </w:tcPr>
          <w:p w14:paraId="113001C6" w14:textId="77777777" w:rsidR="00F1052A" w:rsidRPr="00362CF5" w:rsidRDefault="00F1052A" w:rsidP="00F1052A">
            <w:pPr>
              <w:spacing w:line="240" w:lineRule="auto"/>
            </w:pPr>
          </w:p>
        </w:tc>
        <w:tc>
          <w:tcPr>
            <w:tcW w:w="1843" w:type="dxa"/>
            <w:tcMar>
              <w:top w:w="0" w:type="dxa"/>
              <w:left w:w="115" w:type="dxa"/>
              <w:bottom w:w="0" w:type="dxa"/>
              <w:right w:w="115" w:type="dxa"/>
            </w:tcMar>
            <w:vAlign w:val="bottom"/>
            <w:hideMark/>
          </w:tcPr>
          <w:p w14:paraId="79C0CA44" w14:textId="77777777" w:rsidR="00F1052A" w:rsidRPr="00362CF5" w:rsidRDefault="00F1052A" w:rsidP="00F1052A">
            <w:pPr>
              <w:spacing w:line="240" w:lineRule="auto"/>
            </w:pPr>
          </w:p>
        </w:tc>
        <w:tc>
          <w:tcPr>
            <w:tcW w:w="993" w:type="dxa"/>
            <w:tcMar>
              <w:top w:w="0" w:type="dxa"/>
              <w:left w:w="115" w:type="dxa"/>
              <w:bottom w:w="0" w:type="dxa"/>
              <w:right w:w="115" w:type="dxa"/>
            </w:tcMar>
            <w:vAlign w:val="bottom"/>
            <w:hideMark/>
          </w:tcPr>
          <w:p w14:paraId="741C7B86" w14:textId="77777777" w:rsidR="00F1052A" w:rsidRPr="00362CF5" w:rsidRDefault="00F1052A" w:rsidP="00F1052A">
            <w:pPr>
              <w:spacing w:line="240" w:lineRule="auto"/>
              <w:jc w:val="center"/>
            </w:pPr>
            <w:r w:rsidRPr="00362CF5">
              <w:rPr>
                <w:color w:val="000000"/>
                <w:sz w:val="20"/>
                <w:szCs w:val="20"/>
              </w:rPr>
              <w:t>&lt;0.001</w:t>
            </w:r>
          </w:p>
        </w:tc>
      </w:tr>
      <w:tr w:rsidR="00F1052A" w:rsidRPr="00362CF5" w14:paraId="4F8B447C" w14:textId="77777777" w:rsidTr="00F1052A">
        <w:trPr>
          <w:trHeight w:val="300"/>
        </w:trPr>
        <w:tc>
          <w:tcPr>
            <w:tcW w:w="3119" w:type="dxa"/>
            <w:tcMar>
              <w:top w:w="0" w:type="dxa"/>
              <w:left w:w="115" w:type="dxa"/>
              <w:bottom w:w="0" w:type="dxa"/>
              <w:right w:w="115" w:type="dxa"/>
            </w:tcMar>
            <w:vAlign w:val="bottom"/>
            <w:hideMark/>
          </w:tcPr>
          <w:p w14:paraId="5602FF16" w14:textId="77777777" w:rsidR="00F1052A" w:rsidRPr="00362CF5" w:rsidRDefault="00F1052A" w:rsidP="00F1052A">
            <w:pPr>
              <w:spacing w:line="240" w:lineRule="auto"/>
              <w:ind w:left="169"/>
              <w:rPr>
                <w:color w:val="000000"/>
                <w:sz w:val="20"/>
                <w:szCs w:val="20"/>
              </w:rPr>
            </w:pPr>
            <w:r w:rsidRPr="00362CF5">
              <w:rPr>
                <w:color w:val="000000"/>
                <w:sz w:val="20"/>
                <w:szCs w:val="20"/>
              </w:rPr>
              <w:t>Illiterate</w:t>
            </w:r>
          </w:p>
        </w:tc>
        <w:tc>
          <w:tcPr>
            <w:tcW w:w="851" w:type="dxa"/>
            <w:tcMar>
              <w:top w:w="0" w:type="dxa"/>
              <w:left w:w="115" w:type="dxa"/>
              <w:bottom w:w="0" w:type="dxa"/>
              <w:right w:w="115" w:type="dxa"/>
            </w:tcMar>
            <w:vAlign w:val="bottom"/>
            <w:hideMark/>
          </w:tcPr>
          <w:p w14:paraId="4C00E4A1" w14:textId="77777777" w:rsidR="00F1052A" w:rsidRPr="00362CF5" w:rsidRDefault="00F1052A" w:rsidP="00F1052A">
            <w:pPr>
              <w:spacing w:line="240" w:lineRule="auto"/>
              <w:ind w:left="34"/>
              <w:jc w:val="center"/>
            </w:pPr>
            <w:r w:rsidRPr="00362CF5">
              <w:rPr>
                <w:color w:val="000000"/>
                <w:sz w:val="20"/>
                <w:szCs w:val="20"/>
              </w:rPr>
              <w:t>95</w:t>
            </w:r>
          </w:p>
        </w:tc>
        <w:tc>
          <w:tcPr>
            <w:tcW w:w="1842" w:type="dxa"/>
            <w:tcMar>
              <w:top w:w="0" w:type="dxa"/>
              <w:left w:w="115" w:type="dxa"/>
              <w:bottom w:w="0" w:type="dxa"/>
              <w:right w:w="115" w:type="dxa"/>
            </w:tcMar>
            <w:vAlign w:val="bottom"/>
            <w:hideMark/>
          </w:tcPr>
          <w:p w14:paraId="594FD512" w14:textId="77777777" w:rsidR="00F1052A" w:rsidRPr="00362CF5" w:rsidRDefault="00F1052A" w:rsidP="00F1052A">
            <w:pPr>
              <w:spacing w:line="240" w:lineRule="auto"/>
              <w:ind w:left="34"/>
              <w:jc w:val="right"/>
            </w:pPr>
            <w:r w:rsidRPr="00362CF5">
              <w:rPr>
                <w:color w:val="000000"/>
                <w:sz w:val="20"/>
                <w:szCs w:val="20"/>
              </w:rPr>
              <w:t>16.3 (11.2-23.3)</w:t>
            </w:r>
          </w:p>
        </w:tc>
        <w:tc>
          <w:tcPr>
            <w:tcW w:w="992" w:type="dxa"/>
            <w:shd w:val="clear" w:color="auto" w:fill="FFFFFF"/>
            <w:tcMar>
              <w:top w:w="0" w:type="dxa"/>
              <w:left w:w="115" w:type="dxa"/>
              <w:bottom w:w="0" w:type="dxa"/>
              <w:right w:w="115" w:type="dxa"/>
            </w:tcMar>
            <w:vAlign w:val="center"/>
            <w:hideMark/>
          </w:tcPr>
          <w:p w14:paraId="66ADF28C" w14:textId="77777777" w:rsidR="00F1052A" w:rsidRPr="00362CF5" w:rsidRDefault="00F1052A" w:rsidP="00F1052A">
            <w:pPr>
              <w:spacing w:line="240" w:lineRule="auto"/>
              <w:ind w:left="34"/>
              <w:jc w:val="center"/>
            </w:pPr>
            <w:r w:rsidRPr="00362CF5">
              <w:rPr>
                <w:color w:val="000000"/>
                <w:sz w:val="20"/>
                <w:szCs w:val="20"/>
              </w:rPr>
              <w:t>553</w:t>
            </w:r>
          </w:p>
        </w:tc>
        <w:tc>
          <w:tcPr>
            <w:tcW w:w="1843" w:type="dxa"/>
            <w:shd w:val="clear" w:color="auto" w:fill="FFFFFF"/>
            <w:tcMar>
              <w:top w:w="0" w:type="dxa"/>
              <w:left w:w="115" w:type="dxa"/>
              <w:bottom w:w="0" w:type="dxa"/>
              <w:right w:w="115" w:type="dxa"/>
            </w:tcMar>
            <w:vAlign w:val="center"/>
            <w:hideMark/>
          </w:tcPr>
          <w:p w14:paraId="3A3ECAFD" w14:textId="77777777" w:rsidR="00F1052A" w:rsidRPr="00362CF5" w:rsidRDefault="00F1052A" w:rsidP="00F1052A">
            <w:pPr>
              <w:spacing w:line="240" w:lineRule="auto"/>
              <w:ind w:left="34"/>
              <w:jc w:val="right"/>
            </w:pPr>
            <w:r w:rsidRPr="00362CF5">
              <w:rPr>
                <w:color w:val="000000"/>
                <w:sz w:val="20"/>
                <w:szCs w:val="20"/>
              </w:rPr>
              <w:t>10.7 (8.7-13.1)</w:t>
            </w:r>
          </w:p>
        </w:tc>
        <w:tc>
          <w:tcPr>
            <w:tcW w:w="993" w:type="dxa"/>
            <w:tcMar>
              <w:top w:w="0" w:type="dxa"/>
              <w:left w:w="115" w:type="dxa"/>
              <w:bottom w:w="0" w:type="dxa"/>
              <w:right w:w="115" w:type="dxa"/>
            </w:tcMar>
            <w:vAlign w:val="bottom"/>
            <w:hideMark/>
          </w:tcPr>
          <w:p w14:paraId="15FE157E" w14:textId="77777777" w:rsidR="00F1052A" w:rsidRPr="00362CF5" w:rsidRDefault="00F1052A" w:rsidP="00F1052A">
            <w:pPr>
              <w:spacing w:line="240" w:lineRule="auto"/>
            </w:pPr>
          </w:p>
        </w:tc>
      </w:tr>
      <w:tr w:rsidR="00F1052A" w:rsidRPr="00362CF5" w14:paraId="6BBBB80B" w14:textId="77777777" w:rsidTr="00F1052A">
        <w:trPr>
          <w:trHeight w:val="300"/>
        </w:trPr>
        <w:tc>
          <w:tcPr>
            <w:tcW w:w="3119" w:type="dxa"/>
            <w:tcMar>
              <w:top w:w="0" w:type="dxa"/>
              <w:left w:w="115" w:type="dxa"/>
              <w:bottom w:w="0" w:type="dxa"/>
              <w:right w:w="115" w:type="dxa"/>
            </w:tcMar>
            <w:vAlign w:val="bottom"/>
            <w:hideMark/>
          </w:tcPr>
          <w:p w14:paraId="2CCF2E5A" w14:textId="77777777" w:rsidR="00F1052A" w:rsidRPr="00362CF5" w:rsidRDefault="00F1052A" w:rsidP="00F1052A">
            <w:pPr>
              <w:spacing w:line="240" w:lineRule="auto"/>
              <w:ind w:left="169"/>
              <w:rPr>
                <w:color w:val="000000"/>
                <w:sz w:val="20"/>
                <w:szCs w:val="20"/>
              </w:rPr>
            </w:pPr>
            <w:r w:rsidRPr="00362CF5">
              <w:rPr>
                <w:color w:val="000000"/>
                <w:sz w:val="20"/>
                <w:szCs w:val="20"/>
              </w:rPr>
              <w:t xml:space="preserve">Incomplete </w:t>
            </w:r>
            <w:proofErr w:type="gramStart"/>
            <w:r w:rsidRPr="00362CF5">
              <w:rPr>
                <w:color w:val="000000"/>
                <w:sz w:val="20"/>
                <w:szCs w:val="20"/>
              </w:rPr>
              <w:t>elementary  school</w:t>
            </w:r>
            <w:proofErr w:type="gramEnd"/>
          </w:p>
        </w:tc>
        <w:tc>
          <w:tcPr>
            <w:tcW w:w="851" w:type="dxa"/>
            <w:tcMar>
              <w:top w:w="0" w:type="dxa"/>
              <w:left w:w="115" w:type="dxa"/>
              <w:bottom w:w="0" w:type="dxa"/>
              <w:right w:w="115" w:type="dxa"/>
            </w:tcMar>
            <w:vAlign w:val="bottom"/>
            <w:hideMark/>
          </w:tcPr>
          <w:p w14:paraId="2331FC5A" w14:textId="77777777" w:rsidR="00F1052A" w:rsidRPr="00362CF5" w:rsidRDefault="00F1052A" w:rsidP="00F1052A">
            <w:pPr>
              <w:spacing w:line="240" w:lineRule="auto"/>
              <w:ind w:left="34"/>
              <w:jc w:val="center"/>
            </w:pPr>
            <w:r w:rsidRPr="00362CF5">
              <w:rPr>
                <w:color w:val="000000"/>
                <w:sz w:val="20"/>
                <w:szCs w:val="20"/>
              </w:rPr>
              <w:t>265</w:t>
            </w:r>
          </w:p>
        </w:tc>
        <w:tc>
          <w:tcPr>
            <w:tcW w:w="1842" w:type="dxa"/>
            <w:tcMar>
              <w:top w:w="0" w:type="dxa"/>
              <w:left w:w="115" w:type="dxa"/>
              <w:bottom w:w="0" w:type="dxa"/>
              <w:right w:w="115" w:type="dxa"/>
            </w:tcMar>
            <w:vAlign w:val="bottom"/>
            <w:hideMark/>
          </w:tcPr>
          <w:p w14:paraId="4FAAD160" w14:textId="77777777" w:rsidR="00F1052A" w:rsidRPr="00362CF5" w:rsidRDefault="00F1052A" w:rsidP="00F1052A">
            <w:pPr>
              <w:spacing w:line="240" w:lineRule="auto"/>
              <w:ind w:left="34"/>
              <w:jc w:val="right"/>
            </w:pPr>
            <w:r w:rsidRPr="00362CF5">
              <w:rPr>
                <w:color w:val="000000"/>
                <w:sz w:val="20"/>
                <w:szCs w:val="20"/>
              </w:rPr>
              <w:t>48.7 (41.7-55.7)</w:t>
            </w:r>
          </w:p>
        </w:tc>
        <w:tc>
          <w:tcPr>
            <w:tcW w:w="992" w:type="dxa"/>
            <w:shd w:val="clear" w:color="auto" w:fill="FFFFFF"/>
            <w:tcMar>
              <w:top w:w="0" w:type="dxa"/>
              <w:left w:w="115" w:type="dxa"/>
              <w:bottom w:w="0" w:type="dxa"/>
              <w:right w:w="115" w:type="dxa"/>
            </w:tcMar>
            <w:vAlign w:val="center"/>
            <w:hideMark/>
          </w:tcPr>
          <w:p w14:paraId="672F310E" w14:textId="77777777" w:rsidR="00F1052A" w:rsidRPr="00362CF5" w:rsidRDefault="00F1052A" w:rsidP="00F1052A">
            <w:pPr>
              <w:spacing w:line="240" w:lineRule="auto"/>
              <w:ind w:left="34"/>
              <w:jc w:val="center"/>
            </w:pPr>
            <w:r w:rsidRPr="00362CF5">
              <w:rPr>
                <w:color w:val="000000"/>
                <w:sz w:val="20"/>
                <w:szCs w:val="20"/>
              </w:rPr>
              <w:t>2,245</w:t>
            </w:r>
          </w:p>
        </w:tc>
        <w:tc>
          <w:tcPr>
            <w:tcW w:w="1843" w:type="dxa"/>
            <w:shd w:val="clear" w:color="auto" w:fill="FFFFFF"/>
            <w:tcMar>
              <w:top w:w="0" w:type="dxa"/>
              <w:left w:w="115" w:type="dxa"/>
              <w:bottom w:w="0" w:type="dxa"/>
              <w:right w:w="115" w:type="dxa"/>
            </w:tcMar>
            <w:vAlign w:val="center"/>
            <w:hideMark/>
          </w:tcPr>
          <w:p w14:paraId="1879D67B" w14:textId="77777777" w:rsidR="00F1052A" w:rsidRPr="00362CF5" w:rsidRDefault="00F1052A" w:rsidP="00F1052A">
            <w:pPr>
              <w:spacing w:line="240" w:lineRule="auto"/>
              <w:ind w:left="34"/>
              <w:jc w:val="right"/>
            </w:pPr>
            <w:r w:rsidRPr="00362CF5">
              <w:rPr>
                <w:color w:val="000000"/>
                <w:sz w:val="20"/>
                <w:szCs w:val="20"/>
              </w:rPr>
              <w:t>42.5 (39.1-46.0)</w:t>
            </w:r>
          </w:p>
        </w:tc>
        <w:tc>
          <w:tcPr>
            <w:tcW w:w="993" w:type="dxa"/>
            <w:tcMar>
              <w:top w:w="0" w:type="dxa"/>
              <w:left w:w="115" w:type="dxa"/>
              <w:bottom w:w="0" w:type="dxa"/>
              <w:right w:w="115" w:type="dxa"/>
            </w:tcMar>
            <w:vAlign w:val="bottom"/>
            <w:hideMark/>
          </w:tcPr>
          <w:p w14:paraId="1525F1D8" w14:textId="77777777" w:rsidR="00F1052A" w:rsidRPr="00362CF5" w:rsidRDefault="00F1052A" w:rsidP="00F1052A">
            <w:pPr>
              <w:spacing w:line="240" w:lineRule="auto"/>
            </w:pPr>
          </w:p>
        </w:tc>
      </w:tr>
      <w:tr w:rsidR="00F1052A" w:rsidRPr="00362CF5" w14:paraId="534A7167" w14:textId="77777777" w:rsidTr="00F1052A">
        <w:trPr>
          <w:trHeight w:val="300"/>
        </w:trPr>
        <w:tc>
          <w:tcPr>
            <w:tcW w:w="3119" w:type="dxa"/>
            <w:tcMar>
              <w:top w:w="0" w:type="dxa"/>
              <w:left w:w="115" w:type="dxa"/>
              <w:bottom w:w="0" w:type="dxa"/>
              <w:right w:w="115" w:type="dxa"/>
            </w:tcMar>
            <w:vAlign w:val="bottom"/>
            <w:hideMark/>
          </w:tcPr>
          <w:p w14:paraId="1B907044" w14:textId="77777777" w:rsidR="00F1052A" w:rsidRPr="00362CF5" w:rsidRDefault="00F1052A" w:rsidP="00F1052A">
            <w:pPr>
              <w:spacing w:line="240" w:lineRule="auto"/>
              <w:ind w:left="169"/>
              <w:rPr>
                <w:color w:val="000000"/>
                <w:sz w:val="20"/>
                <w:szCs w:val="20"/>
              </w:rPr>
            </w:pPr>
            <w:r w:rsidRPr="00362CF5">
              <w:rPr>
                <w:color w:val="000000"/>
                <w:sz w:val="20"/>
                <w:szCs w:val="20"/>
              </w:rPr>
              <w:t>Elementary school</w:t>
            </w:r>
          </w:p>
        </w:tc>
        <w:tc>
          <w:tcPr>
            <w:tcW w:w="851" w:type="dxa"/>
            <w:tcMar>
              <w:top w:w="0" w:type="dxa"/>
              <w:left w:w="115" w:type="dxa"/>
              <w:bottom w:w="0" w:type="dxa"/>
              <w:right w:w="115" w:type="dxa"/>
            </w:tcMar>
            <w:vAlign w:val="bottom"/>
            <w:hideMark/>
          </w:tcPr>
          <w:p w14:paraId="0F2F9455" w14:textId="77777777" w:rsidR="00F1052A" w:rsidRPr="00362CF5" w:rsidRDefault="00F1052A" w:rsidP="00F1052A">
            <w:pPr>
              <w:spacing w:line="240" w:lineRule="auto"/>
              <w:jc w:val="center"/>
            </w:pPr>
            <w:r w:rsidRPr="00362CF5">
              <w:rPr>
                <w:color w:val="000000"/>
                <w:sz w:val="20"/>
                <w:szCs w:val="20"/>
              </w:rPr>
              <w:t>80</w:t>
            </w:r>
          </w:p>
        </w:tc>
        <w:tc>
          <w:tcPr>
            <w:tcW w:w="1842" w:type="dxa"/>
            <w:tcMar>
              <w:top w:w="0" w:type="dxa"/>
              <w:left w:w="115" w:type="dxa"/>
              <w:bottom w:w="0" w:type="dxa"/>
              <w:right w:w="115" w:type="dxa"/>
            </w:tcMar>
            <w:vAlign w:val="bottom"/>
            <w:hideMark/>
          </w:tcPr>
          <w:p w14:paraId="2F5A3A20" w14:textId="77777777" w:rsidR="00F1052A" w:rsidRPr="00362CF5" w:rsidRDefault="00F1052A" w:rsidP="00F1052A">
            <w:pPr>
              <w:spacing w:line="240" w:lineRule="auto"/>
              <w:jc w:val="right"/>
            </w:pPr>
            <w:r w:rsidRPr="00362CF5">
              <w:rPr>
                <w:color w:val="000000"/>
                <w:sz w:val="20"/>
                <w:szCs w:val="20"/>
              </w:rPr>
              <w:t>12.0 (9.0-15.8)</w:t>
            </w:r>
          </w:p>
        </w:tc>
        <w:tc>
          <w:tcPr>
            <w:tcW w:w="992" w:type="dxa"/>
            <w:shd w:val="clear" w:color="auto" w:fill="FFFFFF"/>
            <w:tcMar>
              <w:top w:w="0" w:type="dxa"/>
              <w:left w:w="115" w:type="dxa"/>
              <w:bottom w:w="0" w:type="dxa"/>
              <w:right w:w="115" w:type="dxa"/>
            </w:tcMar>
            <w:vAlign w:val="center"/>
            <w:hideMark/>
          </w:tcPr>
          <w:p w14:paraId="3374AEC6" w14:textId="77777777" w:rsidR="00F1052A" w:rsidRPr="00362CF5" w:rsidRDefault="00F1052A" w:rsidP="00F1052A">
            <w:pPr>
              <w:spacing w:line="240" w:lineRule="auto"/>
              <w:jc w:val="center"/>
            </w:pPr>
            <w:r w:rsidRPr="00362CF5">
              <w:rPr>
                <w:color w:val="000000"/>
                <w:sz w:val="20"/>
                <w:szCs w:val="20"/>
              </w:rPr>
              <w:t>755</w:t>
            </w:r>
          </w:p>
        </w:tc>
        <w:tc>
          <w:tcPr>
            <w:tcW w:w="1843" w:type="dxa"/>
            <w:shd w:val="clear" w:color="auto" w:fill="FFFFFF"/>
            <w:tcMar>
              <w:top w:w="0" w:type="dxa"/>
              <w:left w:w="115" w:type="dxa"/>
              <w:bottom w:w="0" w:type="dxa"/>
              <w:right w:w="115" w:type="dxa"/>
            </w:tcMar>
            <w:vAlign w:val="center"/>
            <w:hideMark/>
          </w:tcPr>
          <w:p w14:paraId="1E61B0E8" w14:textId="77777777" w:rsidR="00F1052A" w:rsidRPr="00362CF5" w:rsidRDefault="00F1052A" w:rsidP="00F1052A">
            <w:pPr>
              <w:spacing w:line="240" w:lineRule="auto"/>
              <w:jc w:val="right"/>
            </w:pPr>
            <w:r w:rsidRPr="00362CF5">
              <w:rPr>
                <w:color w:val="000000"/>
                <w:sz w:val="20"/>
                <w:szCs w:val="20"/>
              </w:rPr>
              <w:t>12.7 (10.6-15.0)</w:t>
            </w:r>
          </w:p>
        </w:tc>
        <w:tc>
          <w:tcPr>
            <w:tcW w:w="993" w:type="dxa"/>
            <w:tcMar>
              <w:top w:w="0" w:type="dxa"/>
              <w:left w:w="115" w:type="dxa"/>
              <w:bottom w:w="0" w:type="dxa"/>
              <w:right w:w="115" w:type="dxa"/>
            </w:tcMar>
            <w:vAlign w:val="bottom"/>
            <w:hideMark/>
          </w:tcPr>
          <w:p w14:paraId="24CC78FE" w14:textId="77777777" w:rsidR="00F1052A" w:rsidRPr="00362CF5" w:rsidRDefault="00F1052A" w:rsidP="00F1052A">
            <w:pPr>
              <w:spacing w:line="240" w:lineRule="auto"/>
            </w:pPr>
          </w:p>
        </w:tc>
      </w:tr>
      <w:tr w:rsidR="00F1052A" w:rsidRPr="00362CF5" w14:paraId="7E0C2B14" w14:textId="77777777" w:rsidTr="00F1052A">
        <w:trPr>
          <w:trHeight w:val="300"/>
        </w:trPr>
        <w:tc>
          <w:tcPr>
            <w:tcW w:w="3119" w:type="dxa"/>
            <w:tcMar>
              <w:top w:w="0" w:type="dxa"/>
              <w:left w:w="115" w:type="dxa"/>
              <w:bottom w:w="0" w:type="dxa"/>
              <w:right w:w="115" w:type="dxa"/>
            </w:tcMar>
            <w:vAlign w:val="bottom"/>
            <w:hideMark/>
          </w:tcPr>
          <w:p w14:paraId="69ED610B" w14:textId="77777777" w:rsidR="00F1052A" w:rsidRPr="00362CF5" w:rsidRDefault="00F1052A" w:rsidP="00F1052A">
            <w:pPr>
              <w:spacing w:line="240" w:lineRule="auto"/>
              <w:ind w:left="169"/>
              <w:rPr>
                <w:color w:val="000000"/>
                <w:sz w:val="20"/>
                <w:szCs w:val="20"/>
              </w:rPr>
            </w:pPr>
            <w:r w:rsidRPr="00362CF5">
              <w:rPr>
                <w:color w:val="000000"/>
                <w:sz w:val="20"/>
                <w:szCs w:val="20"/>
              </w:rPr>
              <w:t>High school</w:t>
            </w:r>
          </w:p>
        </w:tc>
        <w:tc>
          <w:tcPr>
            <w:tcW w:w="851" w:type="dxa"/>
            <w:tcMar>
              <w:top w:w="0" w:type="dxa"/>
              <w:left w:w="115" w:type="dxa"/>
              <w:bottom w:w="0" w:type="dxa"/>
              <w:right w:w="115" w:type="dxa"/>
            </w:tcMar>
            <w:vAlign w:val="bottom"/>
            <w:hideMark/>
          </w:tcPr>
          <w:p w14:paraId="52B0E106" w14:textId="77777777" w:rsidR="00F1052A" w:rsidRPr="00362CF5" w:rsidRDefault="00F1052A" w:rsidP="00F1052A">
            <w:pPr>
              <w:spacing w:line="240" w:lineRule="auto"/>
              <w:jc w:val="center"/>
            </w:pPr>
            <w:r w:rsidRPr="00362CF5">
              <w:rPr>
                <w:color w:val="000000"/>
                <w:sz w:val="20"/>
                <w:szCs w:val="20"/>
              </w:rPr>
              <w:t>130</w:t>
            </w:r>
          </w:p>
        </w:tc>
        <w:tc>
          <w:tcPr>
            <w:tcW w:w="1842" w:type="dxa"/>
            <w:tcMar>
              <w:top w:w="0" w:type="dxa"/>
              <w:left w:w="115" w:type="dxa"/>
              <w:bottom w:w="0" w:type="dxa"/>
              <w:right w:w="115" w:type="dxa"/>
            </w:tcMar>
            <w:vAlign w:val="bottom"/>
            <w:hideMark/>
          </w:tcPr>
          <w:p w14:paraId="66B590F3" w14:textId="77777777" w:rsidR="00F1052A" w:rsidRPr="00362CF5" w:rsidRDefault="00F1052A" w:rsidP="00F1052A">
            <w:pPr>
              <w:spacing w:line="240" w:lineRule="auto"/>
              <w:jc w:val="right"/>
            </w:pPr>
            <w:r w:rsidRPr="00362CF5">
              <w:rPr>
                <w:color w:val="000000"/>
                <w:sz w:val="20"/>
                <w:szCs w:val="20"/>
              </w:rPr>
              <w:t>17.8 (14.1-22.1)</w:t>
            </w:r>
          </w:p>
        </w:tc>
        <w:tc>
          <w:tcPr>
            <w:tcW w:w="992" w:type="dxa"/>
            <w:shd w:val="clear" w:color="auto" w:fill="FFFFFF"/>
            <w:tcMar>
              <w:top w:w="0" w:type="dxa"/>
              <w:left w:w="115" w:type="dxa"/>
              <w:bottom w:w="0" w:type="dxa"/>
              <w:right w:w="115" w:type="dxa"/>
            </w:tcMar>
            <w:vAlign w:val="center"/>
            <w:hideMark/>
          </w:tcPr>
          <w:p w14:paraId="5E869816" w14:textId="77777777" w:rsidR="00F1052A" w:rsidRPr="00362CF5" w:rsidRDefault="00F1052A" w:rsidP="00F1052A">
            <w:pPr>
              <w:spacing w:line="240" w:lineRule="auto"/>
              <w:jc w:val="center"/>
            </w:pPr>
            <w:r w:rsidRPr="00362CF5">
              <w:rPr>
                <w:color w:val="000000"/>
                <w:sz w:val="20"/>
                <w:szCs w:val="20"/>
              </w:rPr>
              <w:t>1,923</w:t>
            </w:r>
          </w:p>
        </w:tc>
        <w:tc>
          <w:tcPr>
            <w:tcW w:w="1843" w:type="dxa"/>
            <w:shd w:val="clear" w:color="auto" w:fill="FFFFFF"/>
            <w:tcMar>
              <w:top w:w="0" w:type="dxa"/>
              <w:left w:w="115" w:type="dxa"/>
              <w:bottom w:w="0" w:type="dxa"/>
              <w:right w:w="115" w:type="dxa"/>
            </w:tcMar>
            <w:vAlign w:val="center"/>
            <w:hideMark/>
          </w:tcPr>
          <w:p w14:paraId="6C856DB7" w14:textId="77777777" w:rsidR="00F1052A" w:rsidRPr="00362CF5" w:rsidRDefault="00F1052A" w:rsidP="00F1052A">
            <w:pPr>
              <w:spacing w:line="240" w:lineRule="auto"/>
              <w:jc w:val="right"/>
            </w:pPr>
            <w:r w:rsidRPr="00362CF5">
              <w:rPr>
                <w:color w:val="000000"/>
                <w:sz w:val="20"/>
                <w:szCs w:val="20"/>
              </w:rPr>
              <w:t>28.2 (26.1-30.4)</w:t>
            </w:r>
          </w:p>
        </w:tc>
        <w:tc>
          <w:tcPr>
            <w:tcW w:w="993" w:type="dxa"/>
            <w:tcMar>
              <w:top w:w="0" w:type="dxa"/>
              <w:left w:w="115" w:type="dxa"/>
              <w:bottom w:w="0" w:type="dxa"/>
              <w:right w:w="115" w:type="dxa"/>
            </w:tcMar>
            <w:vAlign w:val="bottom"/>
            <w:hideMark/>
          </w:tcPr>
          <w:p w14:paraId="55CEEAA2" w14:textId="77777777" w:rsidR="00F1052A" w:rsidRPr="00362CF5" w:rsidRDefault="00F1052A" w:rsidP="00F1052A">
            <w:pPr>
              <w:spacing w:line="240" w:lineRule="auto"/>
            </w:pPr>
          </w:p>
        </w:tc>
      </w:tr>
      <w:tr w:rsidR="00F1052A" w:rsidRPr="00362CF5" w14:paraId="08CBD221" w14:textId="77777777" w:rsidTr="00F1052A">
        <w:trPr>
          <w:trHeight w:val="300"/>
        </w:trPr>
        <w:tc>
          <w:tcPr>
            <w:tcW w:w="3119" w:type="dxa"/>
            <w:tcMar>
              <w:top w:w="0" w:type="dxa"/>
              <w:left w:w="115" w:type="dxa"/>
              <w:bottom w:w="0" w:type="dxa"/>
              <w:right w:w="115" w:type="dxa"/>
            </w:tcMar>
            <w:vAlign w:val="bottom"/>
            <w:hideMark/>
          </w:tcPr>
          <w:p w14:paraId="33DDA37D" w14:textId="77777777" w:rsidR="00F1052A" w:rsidRPr="00362CF5" w:rsidRDefault="00F1052A" w:rsidP="00F1052A">
            <w:pPr>
              <w:spacing w:line="240" w:lineRule="auto"/>
              <w:ind w:left="169"/>
              <w:rPr>
                <w:color w:val="000000"/>
                <w:sz w:val="20"/>
                <w:szCs w:val="20"/>
              </w:rPr>
            </w:pPr>
            <w:r w:rsidRPr="00362CF5">
              <w:rPr>
                <w:color w:val="000000"/>
                <w:sz w:val="20"/>
                <w:szCs w:val="20"/>
              </w:rPr>
              <w:t>≥ Higher education</w:t>
            </w:r>
          </w:p>
        </w:tc>
        <w:tc>
          <w:tcPr>
            <w:tcW w:w="851" w:type="dxa"/>
            <w:tcMar>
              <w:top w:w="0" w:type="dxa"/>
              <w:left w:w="115" w:type="dxa"/>
              <w:bottom w:w="0" w:type="dxa"/>
              <w:right w:w="115" w:type="dxa"/>
            </w:tcMar>
            <w:vAlign w:val="bottom"/>
            <w:hideMark/>
          </w:tcPr>
          <w:p w14:paraId="58D5CAC0" w14:textId="77777777" w:rsidR="00F1052A" w:rsidRPr="00362CF5" w:rsidRDefault="00F1052A" w:rsidP="00F1052A">
            <w:pPr>
              <w:spacing w:line="240" w:lineRule="auto"/>
              <w:jc w:val="center"/>
            </w:pPr>
            <w:r w:rsidRPr="00362CF5">
              <w:rPr>
                <w:color w:val="000000"/>
                <w:sz w:val="20"/>
                <w:szCs w:val="20"/>
              </w:rPr>
              <w:t>33</w:t>
            </w:r>
          </w:p>
        </w:tc>
        <w:tc>
          <w:tcPr>
            <w:tcW w:w="1842" w:type="dxa"/>
            <w:tcMar>
              <w:top w:w="0" w:type="dxa"/>
              <w:left w:w="115" w:type="dxa"/>
              <w:bottom w:w="0" w:type="dxa"/>
              <w:right w:w="115" w:type="dxa"/>
            </w:tcMar>
            <w:vAlign w:val="bottom"/>
            <w:hideMark/>
          </w:tcPr>
          <w:p w14:paraId="1CD00783" w14:textId="77777777" w:rsidR="00F1052A" w:rsidRPr="00362CF5" w:rsidRDefault="00F1052A" w:rsidP="00F1052A">
            <w:pPr>
              <w:spacing w:line="240" w:lineRule="auto"/>
              <w:jc w:val="right"/>
            </w:pPr>
            <w:r w:rsidRPr="00362CF5">
              <w:rPr>
                <w:color w:val="000000"/>
                <w:sz w:val="20"/>
                <w:szCs w:val="20"/>
              </w:rPr>
              <w:t>5.2 (3.5-7.6)</w:t>
            </w:r>
          </w:p>
        </w:tc>
        <w:tc>
          <w:tcPr>
            <w:tcW w:w="992" w:type="dxa"/>
            <w:shd w:val="clear" w:color="auto" w:fill="FFFFFF"/>
            <w:tcMar>
              <w:top w:w="0" w:type="dxa"/>
              <w:left w:w="115" w:type="dxa"/>
              <w:bottom w:w="0" w:type="dxa"/>
              <w:right w:w="115" w:type="dxa"/>
            </w:tcMar>
            <w:vAlign w:val="center"/>
            <w:hideMark/>
          </w:tcPr>
          <w:p w14:paraId="73BCE54F" w14:textId="77777777" w:rsidR="00F1052A" w:rsidRPr="00362CF5" w:rsidRDefault="00F1052A" w:rsidP="00F1052A">
            <w:pPr>
              <w:spacing w:line="240" w:lineRule="auto"/>
              <w:jc w:val="center"/>
            </w:pPr>
            <w:r w:rsidRPr="00362CF5">
              <w:rPr>
                <w:color w:val="000000"/>
                <w:sz w:val="20"/>
                <w:szCs w:val="20"/>
              </w:rPr>
              <w:t>432</w:t>
            </w:r>
          </w:p>
        </w:tc>
        <w:tc>
          <w:tcPr>
            <w:tcW w:w="1843" w:type="dxa"/>
            <w:shd w:val="clear" w:color="auto" w:fill="FFFFFF"/>
            <w:tcMar>
              <w:top w:w="0" w:type="dxa"/>
              <w:left w:w="115" w:type="dxa"/>
              <w:bottom w:w="0" w:type="dxa"/>
              <w:right w:w="115" w:type="dxa"/>
            </w:tcMar>
            <w:vAlign w:val="center"/>
            <w:hideMark/>
          </w:tcPr>
          <w:p w14:paraId="30B5F4CC" w14:textId="77777777" w:rsidR="00F1052A" w:rsidRPr="00362CF5" w:rsidRDefault="00F1052A" w:rsidP="00F1052A">
            <w:pPr>
              <w:spacing w:line="240" w:lineRule="auto"/>
              <w:jc w:val="right"/>
            </w:pPr>
            <w:r w:rsidRPr="00362CF5">
              <w:rPr>
                <w:color w:val="000000"/>
                <w:sz w:val="20"/>
                <w:szCs w:val="20"/>
              </w:rPr>
              <w:t>6.0 (5.1-7.0)</w:t>
            </w:r>
          </w:p>
        </w:tc>
        <w:tc>
          <w:tcPr>
            <w:tcW w:w="993" w:type="dxa"/>
            <w:tcMar>
              <w:top w:w="0" w:type="dxa"/>
              <w:left w:w="115" w:type="dxa"/>
              <w:bottom w:w="0" w:type="dxa"/>
              <w:right w:w="115" w:type="dxa"/>
            </w:tcMar>
            <w:vAlign w:val="bottom"/>
            <w:hideMark/>
          </w:tcPr>
          <w:p w14:paraId="4F7CFB91" w14:textId="77777777" w:rsidR="00F1052A" w:rsidRPr="00362CF5" w:rsidRDefault="00F1052A" w:rsidP="00F1052A">
            <w:pPr>
              <w:spacing w:line="240" w:lineRule="auto"/>
            </w:pPr>
          </w:p>
        </w:tc>
      </w:tr>
      <w:tr w:rsidR="00F1052A" w:rsidRPr="00362CF5" w14:paraId="06EDAB3E" w14:textId="77777777" w:rsidTr="00F1052A">
        <w:trPr>
          <w:trHeight w:val="300"/>
        </w:trPr>
        <w:tc>
          <w:tcPr>
            <w:tcW w:w="3119" w:type="dxa"/>
            <w:tcMar>
              <w:top w:w="0" w:type="dxa"/>
              <w:left w:w="115" w:type="dxa"/>
              <w:bottom w:w="0" w:type="dxa"/>
              <w:right w:w="115" w:type="dxa"/>
            </w:tcMar>
            <w:vAlign w:val="bottom"/>
            <w:hideMark/>
          </w:tcPr>
          <w:p w14:paraId="0E48F769" w14:textId="77777777" w:rsidR="00F1052A" w:rsidRPr="00362CF5" w:rsidRDefault="00F1052A" w:rsidP="00F1052A">
            <w:pPr>
              <w:spacing w:line="240" w:lineRule="auto"/>
              <w:rPr>
                <w:sz w:val="20"/>
                <w:szCs w:val="20"/>
              </w:rPr>
            </w:pPr>
            <w:r w:rsidRPr="00362CF5">
              <w:rPr>
                <w:b/>
                <w:bCs/>
                <w:i/>
                <w:iCs/>
                <w:color w:val="000000"/>
                <w:sz w:val="20"/>
                <w:szCs w:val="20"/>
              </w:rPr>
              <w:t xml:space="preserve">Economic class </w:t>
            </w:r>
            <w:r w:rsidRPr="00362CF5">
              <w:rPr>
                <w:b/>
                <w:bCs/>
                <w:color w:val="000000"/>
                <w:sz w:val="20"/>
                <w:szCs w:val="20"/>
                <w:vertAlign w:val="superscript"/>
              </w:rPr>
              <w:t>c</w:t>
            </w:r>
          </w:p>
        </w:tc>
        <w:tc>
          <w:tcPr>
            <w:tcW w:w="851" w:type="dxa"/>
            <w:tcMar>
              <w:top w:w="0" w:type="dxa"/>
              <w:left w:w="115" w:type="dxa"/>
              <w:bottom w:w="0" w:type="dxa"/>
              <w:right w:w="115" w:type="dxa"/>
            </w:tcMar>
            <w:vAlign w:val="bottom"/>
            <w:hideMark/>
          </w:tcPr>
          <w:p w14:paraId="20482C32" w14:textId="77777777" w:rsidR="00F1052A" w:rsidRPr="00362CF5" w:rsidRDefault="00F1052A" w:rsidP="00F1052A">
            <w:pPr>
              <w:spacing w:line="240" w:lineRule="auto"/>
            </w:pPr>
          </w:p>
        </w:tc>
        <w:tc>
          <w:tcPr>
            <w:tcW w:w="1842" w:type="dxa"/>
            <w:tcMar>
              <w:top w:w="0" w:type="dxa"/>
              <w:left w:w="115" w:type="dxa"/>
              <w:bottom w:w="0" w:type="dxa"/>
              <w:right w:w="115" w:type="dxa"/>
            </w:tcMar>
            <w:vAlign w:val="center"/>
            <w:hideMark/>
          </w:tcPr>
          <w:p w14:paraId="0BD444B9" w14:textId="77777777" w:rsidR="00F1052A" w:rsidRPr="00362CF5" w:rsidRDefault="00F1052A" w:rsidP="00F1052A">
            <w:pPr>
              <w:spacing w:line="240" w:lineRule="auto"/>
            </w:pPr>
          </w:p>
        </w:tc>
        <w:tc>
          <w:tcPr>
            <w:tcW w:w="992" w:type="dxa"/>
            <w:tcMar>
              <w:top w:w="0" w:type="dxa"/>
              <w:left w:w="115" w:type="dxa"/>
              <w:bottom w:w="0" w:type="dxa"/>
              <w:right w:w="115" w:type="dxa"/>
            </w:tcMar>
            <w:vAlign w:val="center"/>
            <w:hideMark/>
          </w:tcPr>
          <w:p w14:paraId="695D166A" w14:textId="77777777" w:rsidR="00F1052A" w:rsidRPr="00362CF5" w:rsidRDefault="00F1052A" w:rsidP="00F1052A">
            <w:pPr>
              <w:spacing w:line="240" w:lineRule="auto"/>
            </w:pPr>
          </w:p>
        </w:tc>
        <w:tc>
          <w:tcPr>
            <w:tcW w:w="1843" w:type="dxa"/>
            <w:tcMar>
              <w:top w:w="0" w:type="dxa"/>
              <w:left w:w="115" w:type="dxa"/>
              <w:bottom w:w="0" w:type="dxa"/>
              <w:right w:w="115" w:type="dxa"/>
            </w:tcMar>
            <w:vAlign w:val="bottom"/>
            <w:hideMark/>
          </w:tcPr>
          <w:p w14:paraId="3331DCF7" w14:textId="77777777" w:rsidR="00F1052A" w:rsidRPr="00362CF5" w:rsidRDefault="00F1052A" w:rsidP="00F1052A">
            <w:pPr>
              <w:spacing w:line="240" w:lineRule="auto"/>
            </w:pPr>
          </w:p>
        </w:tc>
        <w:tc>
          <w:tcPr>
            <w:tcW w:w="993" w:type="dxa"/>
            <w:tcMar>
              <w:top w:w="0" w:type="dxa"/>
              <w:left w:w="115" w:type="dxa"/>
              <w:bottom w:w="0" w:type="dxa"/>
              <w:right w:w="115" w:type="dxa"/>
            </w:tcMar>
            <w:vAlign w:val="bottom"/>
            <w:hideMark/>
          </w:tcPr>
          <w:p w14:paraId="1AF6BE42" w14:textId="77777777" w:rsidR="00F1052A" w:rsidRPr="00362CF5" w:rsidRDefault="00F1052A" w:rsidP="00F1052A">
            <w:pPr>
              <w:spacing w:line="240" w:lineRule="auto"/>
              <w:jc w:val="center"/>
            </w:pPr>
            <w:r w:rsidRPr="00362CF5">
              <w:rPr>
                <w:color w:val="000000"/>
                <w:sz w:val="20"/>
                <w:szCs w:val="20"/>
              </w:rPr>
              <w:t>0.771</w:t>
            </w:r>
          </w:p>
        </w:tc>
      </w:tr>
      <w:tr w:rsidR="00F1052A" w:rsidRPr="00362CF5" w14:paraId="004EED85" w14:textId="77777777" w:rsidTr="00F1052A">
        <w:trPr>
          <w:trHeight w:val="300"/>
        </w:trPr>
        <w:tc>
          <w:tcPr>
            <w:tcW w:w="3119" w:type="dxa"/>
            <w:tcMar>
              <w:top w:w="0" w:type="dxa"/>
              <w:left w:w="115" w:type="dxa"/>
              <w:bottom w:w="0" w:type="dxa"/>
              <w:right w:w="115" w:type="dxa"/>
            </w:tcMar>
            <w:vAlign w:val="bottom"/>
            <w:hideMark/>
          </w:tcPr>
          <w:p w14:paraId="66CF2504" w14:textId="77777777" w:rsidR="00F1052A" w:rsidRPr="00362CF5" w:rsidRDefault="00F1052A" w:rsidP="00F1052A">
            <w:pPr>
              <w:spacing w:line="240" w:lineRule="auto"/>
              <w:ind w:left="169"/>
              <w:rPr>
                <w:color w:val="000000"/>
                <w:sz w:val="20"/>
                <w:szCs w:val="20"/>
              </w:rPr>
            </w:pPr>
            <w:r w:rsidRPr="00362CF5">
              <w:rPr>
                <w:color w:val="000000"/>
                <w:sz w:val="20"/>
                <w:szCs w:val="20"/>
              </w:rPr>
              <w:t>A/B</w:t>
            </w:r>
          </w:p>
        </w:tc>
        <w:tc>
          <w:tcPr>
            <w:tcW w:w="851" w:type="dxa"/>
            <w:tcMar>
              <w:top w:w="0" w:type="dxa"/>
              <w:left w:w="115" w:type="dxa"/>
              <w:bottom w:w="0" w:type="dxa"/>
              <w:right w:w="115" w:type="dxa"/>
            </w:tcMar>
            <w:vAlign w:val="bottom"/>
            <w:hideMark/>
          </w:tcPr>
          <w:p w14:paraId="33CBECD6" w14:textId="77777777" w:rsidR="00F1052A" w:rsidRPr="00362CF5" w:rsidRDefault="00F1052A" w:rsidP="00F1052A">
            <w:pPr>
              <w:spacing w:line="240" w:lineRule="auto"/>
              <w:jc w:val="center"/>
            </w:pPr>
            <w:r w:rsidRPr="00362CF5">
              <w:rPr>
                <w:color w:val="000000"/>
                <w:sz w:val="20"/>
                <w:szCs w:val="20"/>
              </w:rPr>
              <w:t>97</w:t>
            </w:r>
          </w:p>
        </w:tc>
        <w:tc>
          <w:tcPr>
            <w:tcW w:w="1842" w:type="dxa"/>
            <w:tcMar>
              <w:top w:w="0" w:type="dxa"/>
              <w:left w:w="115" w:type="dxa"/>
              <w:bottom w:w="0" w:type="dxa"/>
              <w:right w:w="115" w:type="dxa"/>
            </w:tcMar>
            <w:vAlign w:val="bottom"/>
            <w:hideMark/>
          </w:tcPr>
          <w:p w14:paraId="3149942D" w14:textId="77777777" w:rsidR="00F1052A" w:rsidRPr="00362CF5" w:rsidRDefault="00F1052A" w:rsidP="00F1052A">
            <w:pPr>
              <w:spacing w:line="240" w:lineRule="auto"/>
              <w:jc w:val="right"/>
            </w:pPr>
            <w:r w:rsidRPr="00362CF5">
              <w:rPr>
                <w:color w:val="000000"/>
                <w:sz w:val="20"/>
                <w:szCs w:val="20"/>
              </w:rPr>
              <w:t>16.0 (10.5-23.6)</w:t>
            </w:r>
          </w:p>
        </w:tc>
        <w:tc>
          <w:tcPr>
            <w:tcW w:w="992" w:type="dxa"/>
            <w:shd w:val="clear" w:color="auto" w:fill="FFFFFF"/>
            <w:tcMar>
              <w:top w:w="0" w:type="dxa"/>
              <w:left w:w="115" w:type="dxa"/>
              <w:bottom w:w="0" w:type="dxa"/>
              <w:right w:w="115" w:type="dxa"/>
            </w:tcMar>
            <w:vAlign w:val="center"/>
            <w:hideMark/>
          </w:tcPr>
          <w:p w14:paraId="6EC6524B" w14:textId="77777777" w:rsidR="00F1052A" w:rsidRPr="00362CF5" w:rsidRDefault="00F1052A" w:rsidP="00F1052A">
            <w:pPr>
              <w:spacing w:line="240" w:lineRule="auto"/>
              <w:jc w:val="center"/>
            </w:pPr>
            <w:r w:rsidRPr="00362CF5">
              <w:rPr>
                <w:color w:val="000000"/>
                <w:sz w:val="20"/>
                <w:szCs w:val="20"/>
              </w:rPr>
              <w:t>975</w:t>
            </w:r>
          </w:p>
        </w:tc>
        <w:tc>
          <w:tcPr>
            <w:tcW w:w="1843" w:type="dxa"/>
            <w:shd w:val="clear" w:color="auto" w:fill="FFFFFF"/>
            <w:tcMar>
              <w:top w:w="0" w:type="dxa"/>
              <w:left w:w="115" w:type="dxa"/>
              <w:bottom w:w="0" w:type="dxa"/>
              <w:right w:w="115" w:type="dxa"/>
            </w:tcMar>
            <w:vAlign w:val="center"/>
            <w:hideMark/>
          </w:tcPr>
          <w:p w14:paraId="4950002E" w14:textId="77777777" w:rsidR="00F1052A" w:rsidRPr="00362CF5" w:rsidRDefault="00F1052A" w:rsidP="00F1052A">
            <w:pPr>
              <w:spacing w:line="240" w:lineRule="auto"/>
              <w:jc w:val="right"/>
            </w:pPr>
            <w:r w:rsidRPr="00362CF5">
              <w:rPr>
                <w:color w:val="000000"/>
                <w:sz w:val="20"/>
                <w:szCs w:val="20"/>
              </w:rPr>
              <w:t>15.0 (12.9-17.4)</w:t>
            </w:r>
          </w:p>
        </w:tc>
        <w:tc>
          <w:tcPr>
            <w:tcW w:w="993" w:type="dxa"/>
            <w:tcMar>
              <w:top w:w="0" w:type="dxa"/>
              <w:left w:w="115" w:type="dxa"/>
              <w:bottom w:w="0" w:type="dxa"/>
              <w:right w:w="115" w:type="dxa"/>
            </w:tcMar>
            <w:vAlign w:val="bottom"/>
            <w:hideMark/>
          </w:tcPr>
          <w:p w14:paraId="1D23C525" w14:textId="77777777" w:rsidR="00F1052A" w:rsidRPr="00362CF5" w:rsidRDefault="00F1052A" w:rsidP="00F1052A">
            <w:pPr>
              <w:spacing w:line="240" w:lineRule="auto"/>
            </w:pPr>
          </w:p>
        </w:tc>
      </w:tr>
      <w:tr w:rsidR="00F1052A" w:rsidRPr="00362CF5" w14:paraId="14E21829" w14:textId="77777777" w:rsidTr="00F1052A">
        <w:trPr>
          <w:trHeight w:val="300"/>
        </w:trPr>
        <w:tc>
          <w:tcPr>
            <w:tcW w:w="3119" w:type="dxa"/>
            <w:tcMar>
              <w:top w:w="0" w:type="dxa"/>
              <w:left w:w="115" w:type="dxa"/>
              <w:bottom w:w="0" w:type="dxa"/>
              <w:right w:w="115" w:type="dxa"/>
            </w:tcMar>
            <w:vAlign w:val="bottom"/>
            <w:hideMark/>
          </w:tcPr>
          <w:p w14:paraId="6EFAA8F5" w14:textId="77777777" w:rsidR="00F1052A" w:rsidRPr="00362CF5" w:rsidRDefault="00F1052A" w:rsidP="00F1052A">
            <w:pPr>
              <w:spacing w:line="240" w:lineRule="auto"/>
              <w:ind w:left="169"/>
              <w:rPr>
                <w:color w:val="000000"/>
                <w:sz w:val="20"/>
                <w:szCs w:val="20"/>
              </w:rPr>
            </w:pPr>
            <w:r w:rsidRPr="00362CF5">
              <w:rPr>
                <w:color w:val="000000"/>
                <w:sz w:val="20"/>
                <w:szCs w:val="20"/>
              </w:rPr>
              <w:t>C</w:t>
            </w:r>
          </w:p>
        </w:tc>
        <w:tc>
          <w:tcPr>
            <w:tcW w:w="851" w:type="dxa"/>
            <w:tcMar>
              <w:top w:w="0" w:type="dxa"/>
              <w:left w:w="115" w:type="dxa"/>
              <w:bottom w:w="0" w:type="dxa"/>
              <w:right w:w="115" w:type="dxa"/>
            </w:tcMar>
            <w:vAlign w:val="bottom"/>
            <w:hideMark/>
          </w:tcPr>
          <w:p w14:paraId="2130AE33" w14:textId="77777777" w:rsidR="00F1052A" w:rsidRPr="00362CF5" w:rsidRDefault="00F1052A" w:rsidP="00F1052A">
            <w:pPr>
              <w:spacing w:line="240" w:lineRule="auto"/>
              <w:jc w:val="center"/>
            </w:pPr>
            <w:r w:rsidRPr="00362CF5">
              <w:rPr>
                <w:color w:val="000000"/>
                <w:sz w:val="20"/>
                <w:szCs w:val="20"/>
              </w:rPr>
              <w:t>344</w:t>
            </w:r>
          </w:p>
        </w:tc>
        <w:tc>
          <w:tcPr>
            <w:tcW w:w="1842" w:type="dxa"/>
            <w:tcMar>
              <w:top w:w="0" w:type="dxa"/>
              <w:left w:w="115" w:type="dxa"/>
              <w:bottom w:w="0" w:type="dxa"/>
              <w:right w:w="115" w:type="dxa"/>
            </w:tcMar>
            <w:vAlign w:val="bottom"/>
            <w:hideMark/>
          </w:tcPr>
          <w:p w14:paraId="6397B1AB" w14:textId="77777777" w:rsidR="00F1052A" w:rsidRPr="00362CF5" w:rsidRDefault="00F1052A" w:rsidP="00F1052A">
            <w:pPr>
              <w:spacing w:line="240" w:lineRule="auto"/>
              <w:jc w:val="right"/>
            </w:pPr>
            <w:r w:rsidRPr="00362CF5">
              <w:rPr>
                <w:color w:val="000000"/>
                <w:sz w:val="20"/>
                <w:szCs w:val="20"/>
              </w:rPr>
              <w:t>52.5 (46.1-58.8)</w:t>
            </w:r>
          </w:p>
        </w:tc>
        <w:tc>
          <w:tcPr>
            <w:tcW w:w="992" w:type="dxa"/>
            <w:shd w:val="clear" w:color="auto" w:fill="FFFFFF"/>
            <w:tcMar>
              <w:top w:w="0" w:type="dxa"/>
              <w:left w:w="115" w:type="dxa"/>
              <w:bottom w:w="0" w:type="dxa"/>
              <w:right w:w="115" w:type="dxa"/>
            </w:tcMar>
            <w:vAlign w:val="center"/>
            <w:hideMark/>
          </w:tcPr>
          <w:p w14:paraId="4D87D07A" w14:textId="77777777" w:rsidR="00F1052A" w:rsidRPr="00362CF5" w:rsidRDefault="00F1052A" w:rsidP="00F1052A">
            <w:pPr>
              <w:spacing w:line="240" w:lineRule="auto"/>
              <w:jc w:val="center"/>
            </w:pPr>
            <w:r w:rsidRPr="00362CF5">
              <w:rPr>
                <w:color w:val="000000"/>
                <w:sz w:val="20"/>
                <w:szCs w:val="20"/>
              </w:rPr>
              <w:t>3,446</w:t>
            </w:r>
          </w:p>
        </w:tc>
        <w:tc>
          <w:tcPr>
            <w:tcW w:w="1843" w:type="dxa"/>
            <w:shd w:val="clear" w:color="auto" w:fill="FFFFFF"/>
            <w:tcMar>
              <w:top w:w="0" w:type="dxa"/>
              <w:left w:w="115" w:type="dxa"/>
              <w:bottom w:w="0" w:type="dxa"/>
              <w:right w:w="115" w:type="dxa"/>
            </w:tcMar>
            <w:vAlign w:val="center"/>
            <w:hideMark/>
          </w:tcPr>
          <w:p w14:paraId="6E55AC9D" w14:textId="77777777" w:rsidR="00F1052A" w:rsidRPr="00362CF5" w:rsidRDefault="00F1052A" w:rsidP="00F1052A">
            <w:pPr>
              <w:spacing w:line="240" w:lineRule="auto"/>
              <w:jc w:val="right"/>
            </w:pPr>
            <w:r w:rsidRPr="00362CF5">
              <w:rPr>
                <w:color w:val="000000"/>
                <w:sz w:val="20"/>
                <w:szCs w:val="20"/>
              </w:rPr>
              <w:t>54.7 (51.5-57.9)</w:t>
            </w:r>
          </w:p>
        </w:tc>
        <w:tc>
          <w:tcPr>
            <w:tcW w:w="993" w:type="dxa"/>
            <w:tcMar>
              <w:top w:w="0" w:type="dxa"/>
              <w:left w:w="115" w:type="dxa"/>
              <w:bottom w:w="0" w:type="dxa"/>
              <w:right w:w="115" w:type="dxa"/>
            </w:tcMar>
            <w:vAlign w:val="bottom"/>
            <w:hideMark/>
          </w:tcPr>
          <w:p w14:paraId="67CBEA22" w14:textId="77777777" w:rsidR="00F1052A" w:rsidRPr="00362CF5" w:rsidRDefault="00F1052A" w:rsidP="00F1052A">
            <w:pPr>
              <w:spacing w:line="240" w:lineRule="auto"/>
            </w:pPr>
          </w:p>
        </w:tc>
      </w:tr>
      <w:tr w:rsidR="00F1052A" w:rsidRPr="00362CF5" w14:paraId="79B88F83" w14:textId="77777777" w:rsidTr="00F1052A">
        <w:trPr>
          <w:trHeight w:val="300"/>
        </w:trPr>
        <w:tc>
          <w:tcPr>
            <w:tcW w:w="3119" w:type="dxa"/>
            <w:tcMar>
              <w:top w:w="0" w:type="dxa"/>
              <w:left w:w="115" w:type="dxa"/>
              <w:bottom w:w="0" w:type="dxa"/>
              <w:right w:w="115" w:type="dxa"/>
            </w:tcMar>
            <w:vAlign w:val="bottom"/>
            <w:hideMark/>
          </w:tcPr>
          <w:p w14:paraId="40C58F65" w14:textId="77777777" w:rsidR="00F1052A" w:rsidRPr="00362CF5" w:rsidRDefault="00F1052A" w:rsidP="00F1052A">
            <w:pPr>
              <w:spacing w:line="240" w:lineRule="auto"/>
              <w:ind w:left="169"/>
              <w:rPr>
                <w:color w:val="000000"/>
                <w:sz w:val="20"/>
                <w:szCs w:val="20"/>
              </w:rPr>
            </w:pPr>
            <w:r w:rsidRPr="00362CF5">
              <w:rPr>
                <w:color w:val="000000"/>
                <w:sz w:val="20"/>
                <w:szCs w:val="20"/>
              </w:rPr>
              <w:t>D/E</w:t>
            </w:r>
          </w:p>
        </w:tc>
        <w:tc>
          <w:tcPr>
            <w:tcW w:w="851" w:type="dxa"/>
            <w:tcMar>
              <w:top w:w="0" w:type="dxa"/>
              <w:left w:w="115" w:type="dxa"/>
              <w:bottom w:w="0" w:type="dxa"/>
              <w:right w:w="115" w:type="dxa"/>
            </w:tcMar>
            <w:vAlign w:val="bottom"/>
            <w:hideMark/>
          </w:tcPr>
          <w:p w14:paraId="761AFFDD" w14:textId="77777777" w:rsidR="00F1052A" w:rsidRPr="00362CF5" w:rsidRDefault="00F1052A" w:rsidP="00F1052A">
            <w:pPr>
              <w:spacing w:line="240" w:lineRule="auto"/>
              <w:jc w:val="center"/>
            </w:pPr>
            <w:r w:rsidRPr="00362CF5">
              <w:rPr>
                <w:color w:val="000000"/>
                <w:sz w:val="20"/>
                <w:szCs w:val="20"/>
              </w:rPr>
              <w:t>161</w:t>
            </w:r>
          </w:p>
        </w:tc>
        <w:tc>
          <w:tcPr>
            <w:tcW w:w="1842" w:type="dxa"/>
            <w:tcMar>
              <w:top w:w="0" w:type="dxa"/>
              <w:left w:w="115" w:type="dxa"/>
              <w:bottom w:w="0" w:type="dxa"/>
              <w:right w:w="115" w:type="dxa"/>
            </w:tcMar>
            <w:vAlign w:val="bottom"/>
            <w:hideMark/>
          </w:tcPr>
          <w:p w14:paraId="04D6A9E4" w14:textId="77777777" w:rsidR="00F1052A" w:rsidRPr="00362CF5" w:rsidRDefault="00F1052A" w:rsidP="00F1052A">
            <w:pPr>
              <w:spacing w:line="240" w:lineRule="auto"/>
              <w:jc w:val="right"/>
            </w:pPr>
            <w:r w:rsidRPr="00362CF5">
              <w:rPr>
                <w:color w:val="000000"/>
                <w:sz w:val="20"/>
                <w:szCs w:val="20"/>
              </w:rPr>
              <w:t>31.5 (24.4-39.7)</w:t>
            </w:r>
          </w:p>
        </w:tc>
        <w:tc>
          <w:tcPr>
            <w:tcW w:w="992" w:type="dxa"/>
            <w:shd w:val="clear" w:color="auto" w:fill="FFFFFF"/>
            <w:tcMar>
              <w:top w:w="0" w:type="dxa"/>
              <w:left w:w="115" w:type="dxa"/>
              <w:bottom w:w="0" w:type="dxa"/>
              <w:right w:w="115" w:type="dxa"/>
            </w:tcMar>
            <w:vAlign w:val="center"/>
            <w:hideMark/>
          </w:tcPr>
          <w:p w14:paraId="3A4032D2" w14:textId="77777777" w:rsidR="00F1052A" w:rsidRPr="00362CF5" w:rsidRDefault="00F1052A" w:rsidP="00F1052A">
            <w:pPr>
              <w:spacing w:line="240" w:lineRule="auto"/>
              <w:jc w:val="center"/>
            </w:pPr>
            <w:r w:rsidRPr="00362CF5">
              <w:rPr>
                <w:color w:val="000000"/>
                <w:sz w:val="20"/>
                <w:szCs w:val="20"/>
              </w:rPr>
              <w:t>1,484</w:t>
            </w:r>
          </w:p>
        </w:tc>
        <w:tc>
          <w:tcPr>
            <w:tcW w:w="1843" w:type="dxa"/>
            <w:shd w:val="clear" w:color="auto" w:fill="FFFFFF"/>
            <w:tcMar>
              <w:top w:w="0" w:type="dxa"/>
              <w:left w:w="115" w:type="dxa"/>
              <w:bottom w:w="0" w:type="dxa"/>
              <w:right w:w="115" w:type="dxa"/>
            </w:tcMar>
            <w:vAlign w:val="center"/>
            <w:hideMark/>
          </w:tcPr>
          <w:p w14:paraId="4BEA7576" w14:textId="77777777" w:rsidR="00F1052A" w:rsidRPr="00362CF5" w:rsidRDefault="00F1052A" w:rsidP="00F1052A">
            <w:pPr>
              <w:spacing w:line="240" w:lineRule="auto"/>
              <w:jc w:val="right"/>
            </w:pPr>
            <w:r w:rsidRPr="00362CF5">
              <w:rPr>
                <w:color w:val="000000"/>
                <w:sz w:val="20"/>
                <w:szCs w:val="20"/>
              </w:rPr>
              <w:t>30.2 (25.8-35.1)</w:t>
            </w:r>
          </w:p>
        </w:tc>
        <w:tc>
          <w:tcPr>
            <w:tcW w:w="993" w:type="dxa"/>
            <w:tcMar>
              <w:top w:w="0" w:type="dxa"/>
              <w:left w:w="115" w:type="dxa"/>
              <w:bottom w:w="0" w:type="dxa"/>
              <w:right w:w="115" w:type="dxa"/>
            </w:tcMar>
            <w:vAlign w:val="bottom"/>
            <w:hideMark/>
          </w:tcPr>
          <w:p w14:paraId="7CA8FB2B" w14:textId="77777777" w:rsidR="00F1052A" w:rsidRPr="00362CF5" w:rsidRDefault="00F1052A" w:rsidP="00F1052A">
            <w:pPr>
              <w:spacing w:line="240" w:lineRule="auto"/>
            </w:pPr>
          </w:p>
        </w:tc>
      </w:tr>
      <w:tr w:rsidR="00F1052A" w:rsidRPr="00362CF5" w14:paraId="7FBE1F45" w14:textId="77777777" w:rsidTr="00F1052A">
        <w:trPr>
          <w:trHeight w:val="300"/>
        </w:trPr>
        <w:tc>
          <w:tcPr>
            <w:tcW w:w="3119" w:type="dxa"/>
            <w:tcMar>
              <w:top w:w="0" w:type="dxa"/>
              <w:left w:w="115" w:type="dxa"/>
              <w:bottom w:w="0" w:type="dxa"/>
              <w:right w:w="115" w:type="dxa"/>
            </w:tcMar>
            <w:vAlign w:val="bottom"/>
            <w:hideMark/>
          </w:tcPr>
          <w:p w14:paraId="38668E33" w14:textId="77777777" w:rsidR="00F1052A" w:rsidRPr="00362CF5" w:rsidRDefault="00F1052A" w:rsidP="00F1052A">
            <w:pPr>
              <w:spacing w:line="240" w:lineRule="auto"/>
            </w:pPr>
            <w:r w:rsidRPr="00362CF5">
              <w:rPr>
                <w:b/>
                <w:bCs/>
                <w:i/>
                <w:iCs/>
                <w:color w:val="000000"/>
                <w:sz w:val="20"/>
                <w:szCs w:val="20"/>
              </w:rPr>
              <w:t>Country region</w:t>
            </w:r>
          </w:p>
        </w:tc>
        <w:tc>
          <w:tcPr>
            <w:tcW w:w="851" w:type="dxa"/>
            <w:tcMar>
              <w:top w:w="0" w:type="dxa"/>
              <w:left w:w="115" w:type="dxa"/>
              <w:bottom w:w="0" w:type="dxa"/>
              <w:right w:w="115" w:type="dxa"/>
            </w:tcMar>
            <w:vAlign w:val="bottom"/>
            <w:hideMark/>
          </w:tcPr>
          <w:p w14:paraId="516A0CDF" w14:textId="77777777" w:rsidR="00F1052A" w:rsidRPr="00362CF5" w:rsidRDefault="00F1052A" w:rsidP="00F1052A">
            <w:pPr>
              <w:spacing w:line="240" w:lineRule="auto"/>
            </w:pPr>
          </w:p>
        </w:tc>
        <w:tc>
          <w:tcPr>
            <w:tcW w:w="1842" w:type="dxa"/>
            <w:tcMar>
              <w:top w:w="0" w:type="dxa"/>
              <w:left w:w="115" w:type="dxa"/>
              <w:bottom w:w="0" w:type="dxa"/>
              <w:right w:w="115" w:type="dxa"/>
            </w:tcMar>
            <w:vAlign w:val="bottom"/>
            <w:hideMark/>
          </w:tcPr>
          <w:p w14:paraId="6C7CB8C0" w14:textId="77777777" w:rsidR="00F1052A" w:rsidRPr="00362CF5" w:rsidRDefault="00F1052A" w:rsidP="00F1052A">
            <w:pPr>
              <w:spacing w:line="240" w:lineRule="auto"/>
            </w:pPr>
          </w:p>
        </w:tc>
        <w:tc>
          <w:tcPr>
            <w:tcW w:w="992" w:type="dxa"/>
            <w:shd w:val="clear" w:color="auto" w:fill="FFFFFF"/>
            <w:tcMar>
              <w:top w:w="0" w:type="dxa"/>
              <w:left w:w="115" w:type="dxa"/>
              <w:bottom w:w="0" w:type="dxa"/>
              <w:right w:w="115" w:type="dxa"/>
            </w:tcMar>
            <w:vAlign w:val="center"/>
            <w:hideMark/>
          </w:tcPr>
          <w:p w14:paraId="07C8939E" w14:textId="77777777" w:rsidR="00F1052A" w:rsidRPr="00362CF5" w:rsidRDefault="00F1052A" w:rsidP="00F1052A">
            <w:pPr>
              <w:spacing w:line="240" w:lineRule="auto"/>
              <w:jc w:val="center"/>
            </w:pPr>
            <w:r w:rsidRPr="00362CF5">
              <w:rPr>
                <w:color w:val="000000"/>
                <w:sz w:val="20"/>
                <w:szCs w:val="20"/>
              </w:rPr>
              <w:t> </w:t>
            </w:r>
          </w:p>
        </w:tc>
        <w:tc>
          <w:tcPr>
            <w:tcW w:w="1843" w:type="dxa"/>
            <w:shd w:val="clear" w:color="auto" w:fill="FFFFFF"/>
            <w:tcMar>
              <w:top w:w="0" w:type="dxa"/>
              <w:left w:w="115" w:type="dxa"/>
              <w:bottom w:w="0" w:type="dxa"/>
              <w:right w:w="115" w:type="dxa"/>
            </w:tcMar>
            <w:vAlign w:val="center"/>
            <w:hideMark/>
          </w:tcPr>
          <w:p w14:paraId="34D3BD3C" w14:textId="77777777" w:rsidR="00F1052A" w:rsidRPr="00362CF5" w:rsidRDefault="00F1052A" w:rsidP="00F1052A">
            <w:pPr>
              <w:spacing w:line="240" w:lineRule="auto"/>
              <w:jc w:val="right"/>
            </w:pPr>
            <w:r w:rsidRPr="00362CF5">
              <w:rPr>
                <w:color w:val="000000"/>
                <w:sz w:val="20"/>
                <w:szCs w:val="20"/>
              </w:rPr>
              <w:t> </w:t>
            </w:r>
          </w:p>
        </w:tc>
        <w:tc>
          <w:tcPr>
            <w:tcW w:w="993" w:type="dxa"/>
            <w:tcMar>
              <w:top w:w="0" w:type="dxa"/>
              <w:left w:w="115" w:type="dxa"/>
              <w:bottom w:w="0" w:type="dxa"/>
              <w:right w:w="115" w:type="dxa"/>
            </w:tcMar>
            <w:vAlign w:val="bottom"/>
            <w:hideMark/>
          </w:tcPr>
          <w:p w14:paraId="3A0F8069" w14:textId="77777777" w:rsidR="00F1052A" w:rsidRPr="00362CF5" w:rsidRDefault="00F1052A" w:rsidP="00F1052A">
            <w:pPr>
              <w:spacing w:line="240" w:lineRule="auto"/>
              <w:jc w:val="center"/>
            </w:pPr>
            <w:r w:rsidRPr="00362CF5">
              <w:rPr>
                <w:color w:val="000000"/>
                <w:sz w:val="20"/>
                <w:szCs w:val="20"/>
              </w:rPr>
              <w:t>0.001</w:t>
            </w:r>
          </w:p>
        </w:tc>
      </w:tr>
      <w:tr w:rsidR="00F1052A" w:rsidRPr="00362CF5" w14:paraId="43B5075B" w14:textId="77777777" w:rsidTr="00F1052A">
        <w:trPr>
          <w:trHeight w:val="300"/>
        </w:trPr>
        <w:tc>
          <w:tcPr>
            <w:tcW w:w="3119" w:type="dxa"/>
            <w:tcMar>
              <w:top w:w="0" w:type="dxa"/>
              <w:left w:w="115" w:type="dxa"/>
              <w:bottom w:w="0" w:type="dxa"/>
              <w:right w:w="115" w:type="dxa"/>
            </w:tcMar>
            <w:vAlign w:val="bottom"/>
            <w:hideMark/>
          </w:tcPr>
          <w:p w14:paraId="3BC2A62F" w14:textId="77777777" w:rsidR="00F1052A" w:rsidRPr="00362CF5" w:rsidRDefault="00F1052A" w:rsidP="00F1052A">
            <w:pPr>
              <w:spacing w:line="240" w:lineRule="auto"/>
              <w:ind w:left="169"/>
              <w:rPr>
                <w:color w:val="000000"/>
                <w:sz w:val="20"/>
                <w:szCs w:val="20"/>
              </w:rPr>
            </w:pPr>
            <w:r w:rsidRPr="00362CF5">
              <w:rPr>
                <w:color w:val="000000"/>
                <w:sz w:val="20"/>
                <w:szCs w:val="20"/>
              </w:rPr>
              <w:t>North</w:t>
            </w:r>
          </w:p>
        </w:tc>
        <w:tc>
          <w:tcPr>
            <w:tcW w:w="851" w:type="dxa"/>
            <w:tcMar>
              <w:top w:w="0" w:type="dxa"/>
              <w:left w:w="115" w:type="dxa"/>
              <w:bottom w:w="0" w:type="dxa"/>
              <w:right w:w="115" w:type="dxa"/>
            </w:tcMar>
            <w:vAlign w:val="bottom"/>
            <w:hideMark/>
          </w:tcPr>
          <w:p w14:paraId="356E2654" w14:textId="77777777" w:rsidR="00F1052A" w:rsidRPr="00362CF5" w:rsidRDefault="00F1052A" w:rsidP="00F1052A">
            <w:pPr>
              <w:spacing w:line="240" w:lineRule="auto"/>
              <w:jc w:val="center"/>
            </w:pPr>
            <w:r w:rsidRPr="00362CF5">
              <w:rPr>
                <w:color w:val="000000"/>
                <w:sz w:val="20"/>
                <w:szCs w:val="20"/>
              </w:rPr>
              <w:t>40</w:t>
            </w:r>
          </w:p>
        </w:tc>
        <w:tc>
          <w:tcPr>
            <w:tcW w:w="1842" w:type="dxa"/>
            <w:tcMar>
              <w:top w:w="0" w:type="dxa"/>
              <w:left w:w="115" w:type="dxa"/>
              <w:bottom w:w="0" w:type="dxa"/>
              <w:right w:w="115" w:type="dxa"/>
            </w:tcMar>
            <w:vAlign w:val="bottom"/>
            <w:hideMark/>
          </w:tcPr>
          <w:p w14:paraId="5DC12268" w14:textId="77777777" w:rsidR="00F1052A" w:rsidRPr="00362CF5" w:rsidRDefault="00F1052A" w:rsidP="00F1052A">
            <w:pPr>
              <w:spacing w:line="240" w:lineRule="auto"/>
              <w:jc w:val="right"/>
            </w:pPr>
            <w:r w:rsidRPr="00362CF5">
              <w:rPr>
                <w:color w:val="000000"/>
                <w:sz w:val="20"/>
                <w:szCs w:val="20"/>
              </w:rPr>
              <w:t>1.4 (0.7-2.7)</w:t>
            </w:r>
          </w:p>
        </w:tc>
        <w:tc>
          <w:tcPr>
            <w:tcW w:w="992" w:type="dxa"/>
            <w:shd w:val="clear" w:color="auto" w:fill="FFFFFF"/>
            <w:tcMar>
              <w:top w:w="0" w:type="dxa"/>
              <w:left w:w="115" w:type="dxa"/>
              <w:bottom w:w="0" w:type="dxa"/>
              <w:right w:w="115" w:type="dxa"/>
            </w:tcMar>
            <w:vAlign w:val="center"/>
            <w:hideMark/>
          </w:tcPr>
          <w:p w14:paraId="5551CAF8" w14:textId="77777777" w:rsidR="00F1052A" w:rsidRPr="00362CF5" w:rsidRDefault="00F1052A" w:rsidP="00F1052A">
            <w:pPr>
              <w:spacing w:line="240" w:lineRule="auto"/>
              <w:jc w:val="center"/>
            </w:pPr>
            <w:r w:rsidRPr="00362CF5">
              <w:rPr>
                <w:color w:val="000000"/>
                <w:sz w:val="20"/>
                <w:szCs w:val="20"/>
              </w:rPr>
              <w:t>1,046</w:t>
            </w:r>
          </w:p>
        </w:tc>
        <w:tc>
          <w:tcPr>
            <w:tcW w:w="1843" w:type="dxa"/>
            <w:shd w:val="clear" w:color="auto" w:fill="FFFFFF"/>
            <w:tcMar>
              <w:top w:w="0" w:type="dxa"/>
              <w:left w:w="115" w:type="dxa"/>
              <w:bottom w:w="0" w:type="dxa"/>
              <w:right w:w="115" w:type="dxa"/>
            </w:tcMar>
            <w:vAlign w:val="center"/>
            <w:hideMark/>
          </w:tcPr>
          <w:p w14:paraId="3DE4681B" w14:textId="77777777" w:rsidR="00F1052A" w:rsidRPr="00362CF5" w:rsidRDefault="00F1052A" w:rsidP="00F1052A">
            <w:pPr>
              <w:spacing w:line="240" w:lineRule="auto"/>
              <w:jc w:val="right"/>
            </w:pPr>
            <w:r w:rsidRPr="00362CF5">
              <w:rPr>
                <w:color w:val="000000"/>
                <w:sz w:val="20"/>
                <w:szCs w:val="20"/>
              </w:rPr>
              <w:t>5.4 (4.2-7.0)</w:t>
            </w:r>
          </w:p>
        </w:tc>
        <w:tc>
          <w:tcPr>
            <w:tcW w:w="993" w:type="dxa"/>
            <w:tcMar>
              <w:top w:w="0" w:type="dxa"/>
              <w:left w:w="115" w:type="dxa"/>
              <w:bottom w:w="0" w:type="dxa"/>
              <w:right w:w="115" w:type="dxa"/>
            </w:tcMar>
            <w:vAlign w:val="bottom"/>
            <w:hideMark/>
          </w:tcPr>
          <w:p w14:paraId="7E7AAFBE" w14:textId="77777777" w:rsidR="00F1052A" w:rsidRPr="00362CF5" w:rsidRDefault="00F1052A" w:rsidP="00F1052A">
            <w:pPr>
              <w:spacing w:line="240" w:lineRule="auto"/>
            </w:pPr>
          </w:p>
        </w:tc>
      </w:tr>
      <w:tr w:rsidR="00F1052A" w:rsidRPr="00362CF5" w14:paraId="14BEAC79" w14:textId="77777777" w:rsidTr="00F1052A">
        <w:trPr>
          <w:trHeight w:val="300"/>
        </w:trPr>
        <w:tc>
          <w:tcPr>
            <w:tcW w:w="3119" w:type="dxa"/>
            <w:tcMar>
              <w:top w:w="0" w:type="dxa"/>
              <w:left w:w="115" w:type="dxa"/>
              <w:bottom w:w="0" w:type="dxa"/>
              <w:right w:w="115" w:type="dxa"/>
            </w:tcMar>
            <w:vAlign w:val="bottom"/>
            <w:hideMark/>
          </w:tcPr>
          <w:p w14:paraId="12E8074D" w14:textId="77777777" w:rsidR="00F1052A" w:rsidRPr="00362CF5" w:rsidRDefault="00F1052A" w:rsidP="00F1052A">
            <w:pPr>
              <w:spacing w:line="240" w:lineRule="auto"/>
              <w:ind w:left="169"/>
              <w:rPr>
                <w:color w:val="000000"/>
                <w:sz w:val="20"/>
                <w:szCs w:val="20"/>
              </w:rPr>
            </w:pPr>
            <w:r w:rsidRPr="00362CF5">
              <w:rPr>
                <w:color w:val="000000"/>
                <w:sz w:val="20"/>
                <w:szCs w:val="20"/>
              </w:rPr>
              <w:t>Northeast</w:t>
            </w:r>
          </w:p>
        </w:tc>
        <w:tc>
          <w:tcPr>
            <w:tcW w:w="851" w:type="dxa"/>
            <w:tcMar>
              <w:top w:w="0" w:type="dxa"/>
              <w:left w:w="115" w:type="dxa"/>
              <w:bottom w:w="0" w:type="dxa"/>
              <w:right w:w="115" w:type="dxa"/>
            </w:tcMar>
            <w:vAlign w:val="bottom"/>
            <w:hideMark/>
          </w:tcPr>
          <w:p w14:paraId="6A6CD542" w14:textId="77777777" w:rsidR="00F1052A" w:rsidRPr="00362CF5" w:rsidRDefault="00F1052A" w:rsidP="00F1052A">
            <w:pPr>
              <w:spacing w:line="240" w:lineRule="auto"/>
              <w:jc w:val="center"/>
            </w:pPr>
            <w:r w:rsidRPr="00362CF5">
              <w:rPr>
                <w:color w:val="000000"/>
                <w:sz w:val="20"/>
                <w:szCs w:val="20"/>
              </w:rPr>
              <w:t>105</w:t>
            </w:r>
          </w:p>
        </w:tc>
        <w:tc>
          <w:tcPr>
            <w:tcW w:w="1842" w:type="dxa"/>
            <w:tcMar>
              <w:top w:w="0" w:type="dxa"/>
              <w:left w:w="115" w:type="dxa"/>
              <w:bottom w:w="0" w:type="dxa"/>
              <w:right w:w="115" w:type="dxa"/>
            </w:tcMar>
            <w:vAlign w:val="bottom"/>
            <w:hideMark/>
          </w:tcPr>
          <w:p w14:paraId="6C3E3F55" w14:textId="77777777" w:rsidR="00F1052A" w:rsidRPr="00362CF5" w:rsidRDefault="00F1052A" w:rsidP="00F1052A">
            <w:pPr>
              <w:spacing w:line="240" w:lineRule="auto"/>
              <w:jc w:val="right"/>
            </w:pPr>
            <w:r w:rsidRPr="00362CF5">
              <w:rPr>
                <w:color w:val="000000"/>
                <w:sz w:val="20"/>
                <w:szCs w:val="20"/>
              </w:rPr>
              <w:t>25.6 (16.9-36.8)</w:t>
            </w:r>
          </w:p>
        </w:tc>
        <w:tc>
          <w:tcPr>
            <w:tcW w:w="992" w:type="dxa"/>
            <w:shd w:val="clear" w:color="auto" w:fill="FFFFFF"/>
            <w:tcMar>
              <w:top w:w="0" w:type="dxa"/>
              <w:left w:w="115" w:type="dxa"/>
              <w:bottom w:w="0" w:type="dxa"/>
              <w:right w:w="115" w:type="dxa"/>
            </w:tcMar>
            <w:vAlign w:val="center"/>
            <w:hideMark/>
          </w:tcPr>
          <w:p w14:paraId="2B109179" w14:textId="77777777" w:rsidR="00F1052A" w:rsidRPr="00362CF5" w:rsidRDefault="00F1052A" w:rsidP="00F1052A">
            <w:pPr>
              <w:spacing w:line="240" w:lineRule="auto"/>
              <w:jc w:val="center"/>
            </w:pPr>
            <w:r w:rsidRPr="00362CF5">
              <w:rPr>
                <w:color w:val="000000"/>
                <w:sz w:val="20"/>
                <w:szCs w:val="20"/>
              </w:rPr>
              <w:t>1,112</w:t>
            </w:r>
          </w:p>
        </w:tc>
        <w:tc>
          <w:tcPr>
            <w:tcW w:w="1843" w:type="dxa"/>
            <w:shd w:val="clear" w:color="auto" w:fill="FFFFFF"/>
            <w:tcMar>
              <w:top w:w="0" w:type="dxa"/>
              <w:left w:w="115" w:type="dxa"/>
              <w:bottom w:w="0" w:type="dxa"/>
              <w:right w:w="115" w:type="dxa"/>
            </w:tcMar>
            <w:vAlign w:val="center"/>
            <w:hideMark/>
          </w:tcPr>
          <w:p w14:paraId="35A99085" w14:textId="77777777" w:rsidR="00F1052A" w:rsidRPr="00362CF5" w:rsidRDefault="00F1052A" w:rsidP="00F1052A">
            <w:pPr>
              <w:spacing w:line="240" w:lineRule="auto"/>
              <w:jc w:val="right"/>
            </w:pPr>
            <w:r w:rsidRPr="00362CF5">
              <w:rPr>
                <w:color w:val="000000"/>
                <w:sz w:val="20"/>
                <w:szCs w:val="20"/>
              </w:rPr>
              <w:t>29.4 (22.0-38.1)</w:t>
            </w:r>
          </w:p>
        </w:tc>
        <w:tc>
          <w:tcPr>
            <w:tcW w:w="993" w:type="dxa"/>
            <w:tcMar>
              <w:top w:w="0" w:type="dxa"/>
              <w:left w:w="115" w:type="dxa"/>
              <w:bottom w:w="0" w:type="dxa"/>
              <w:right w:w="115" w:type="dxa"/>
            </w:tcMar>
            <w:vAlign w:val="bottom"/>
            <w:hideMark/>
          </w:tcPr>
          <w:p w14:paraId="451A15AF" w14:textId="77777777" w:rsidR="00F1052A" w:rsidRPr="00362CF5" w:rsidRDefault="00F1052A" w:rsidP="00F1052A">
            <w:pPr>
              <w:spacing w:line="240" w:lineRule="auto"/>
            </w:pPr>
          </w:p>
        </w:tc>
      </w:tr>
      <w:tr w:rsidR="00F1052A" w:rsidRPr="00362CF5" w14:paraId="0BB13DD4" w14:textId="77777777" w:rsidTr="00F1052A">
        <w:trPr>
          <w:trHeight w:val="300"/>
        </w:trPr>
        <w:tc>
          <w:tcPr>
            <w:tcW w:w="3119" w:type="dxa"/>
            <w:tcMar>
              <w:top w:w="0" w:type="dxa"/>
              <w:left w:w="115" w:type="dxa"/>
              <w:bottom w:w="0" w:type="dxa"/>
              <w:right w:w="115" w:type="dxa"/>
            </w:tcMar>
            <w:vAlign w:val="bottom"/>
            <w:hideMark/>
          </w:tcPr>
          <w:p w14:paraId="71EB65E3" w14:textId="77777777" w:rsidR="00F1052A" w:rsidRPr="00362CF5" w:rsidRDefault="00F1052A" w:rsidP="00F1052A">
            <w:pPr>
              <w:spacing w:line="240" w:lineRule="auto"/>
              <w:ind w:left="169"/>
              <w:rPr>
                <w:color w:val="000000"/>
                <w:sz w:val="20"/>
                <w:szCs w:val="20"/>
              </w:rPr>
            </w:pPr>
            <w:r w:rsidRPr="00362CF5">
              <w:rPr>
                <w:color w:val="000000"/>
                <w:sz w:val="20"/>
                <w:szCs w:val="20"/>
              </w:rPr>
              <w:t>Midwest</w:t>
            </w:r>
          </w:p>
        </w:tc>
        <w:tc>
          <w:tcPr>
            <w:tcW w:w="851" w:type="dxa"/>
            <w:tcMar>
              <w:top w:w="0" w:type="dxa"/>
              <w:left w:w="115" w:type="dxa"/>
              <w:bottom w:w="0" w:type="dxa"/>
              <w:right w:w="115" w:type="dxa"/>
            </w:tcMar>
            <w:vAlign w:val="bottom"/>
            <w:hideMark/>
          </w:tcPr>
          <w:p w14:paraId="6EB09DB0" w14:textId="77777777" w:rsidR="00F1052A" w:rsidRPr="00362CF5" w:rsidRDefault="00F1052A" w:rsidP="00F1052A">
            <w:pPr>
              <w:spacing w:line="240" w:lineRule="auto"/>
              <w:jc w:val="center"/>
            </w:pPr>
            <w:r w:rsidRPr="00362CF5">
              <w:rPr>
                <w:color w:val="000000"/>
                <w:sz w:val="20"/>
                <w:szCs w:val="20"/>
              </w:rPr>
              <w:t>69</w:t>
            </w:r>
          </w:p>
        </w:tc>
        <w:tc>
          <w:tcPr>
            <w:tcW w:w="1842" w:type="dxa"/>
            <w:tcMar>
              <w:top w:w="0" w:type="dxa"/>
              <w:left w:w="115" w:type="dxa"/>
              <w:bottom w:w="0" w:type="dxa"/>
              <w:right w:w="115" w:type="dxa"/>
            </w:tcMar>
            <w:vAlign w:val="bottom"/>
            <w:hideMark/>
          </w:tcPr>
          <w:p w14:paraId="089E5C41" w14:textId="77777777" w:rsidR="00F1052A" w:rsidRPr="00362CF5" w:rsidRDefault="00F1052A" w:rsidP="00F1052A">
            <w:pPr>
              <w:spacing w:line="240" w:lineRule="auto"/>
              <w:jc w:val="right"/>
            </w:pPr>
            <w:r w:rsidRPr="00362CF5">
              <w:rPr>
                <w:color w:val="000000"/>
                <w:sz w:val="20"/>
                <w:szCs w:val="20"/>
              </w:rPr>
              <w:t>3.3 (1.6-6.5)</w:t>
            </w:r>
          </w:p>
        </w:tc>
        <w:tc>
          <w:tcPr>
            <w:tcW w:w="992" w:type="dxa"/>
            <w:shd w:val="clear" w:color="auto" w:fill="FFFFFF"/>
            <w:tcMar>
              <w:top w:w="0" w:type="dxa"/>
              <w:left w:w="115" w:type="dxa"/>
              <w:bottom w:w="0" w:type="dxa"/>
              <w:right w:w="115" w:type="dxa"/>
            </w:tcMar>
            <w:vAlign w:val="center"/>
            <w:hideMark/>
          </w:tcPr>
          <w:p w14:paraId="3E45F212" w14:textId="77777777" w:rsidR="00F1052A" w:rsidRPr="00362CF5" w:rsidRDefault="00F1052A" w:rsidP="00F1052A">
            <w:pPr>
              <w:spacing w:line="240" w:lineRule="auto"/>
              <w:jc w:val="center"/>
            </w:pPr>
            <w:r w:rsidRPr="00362CF5">
              <w:rPr>
                <w:color w:val="000000"/>
                <w:sz w:val="20"/>
                <w:szCs w:val="20"/>
              </w:rPr>
              <w:t>1,031</w:t>
            </w:r>
          </w:p>
        </w:tc>
        <w:tc>
          <w:tcPr>
            <w:tcW w:w="1843" w:type="dxa"/>
            <w:shd w:val="clear" w:color="auto" w:fill="FFFFFF"/>
            <w:tcMar>
              <w:top w:w="0" w:type="dxa"/>
              <w:left w:w="115" w:type="dxa"/>
              <w:bottom w:w="0" w:type="dxa"/>
              <w:right w:w="115" w:type="dxa"/>
            </w:tcMar>
            <w:vAlign w:val="center"/>
            <w:hideMark/>
          </w:tcPr>
          <w:p w14:paraId="1C6468D2" w14:textId="77777777" w:rsidR="00F1052A" w:rsidRPr="00362CF5" w:rsidRDefault="00F1052A" w:rsidP="00F1052A">
            <w:pPr>
              <w:spacing w:line="240" w:lineRule="auto"/>
              <w:jc w:val="right"/>
            </w:pPr>
            <w:r w:rsidRPr="00362CF5">
              <w:rPr>
                <w:color w:val="000000"/>
                <w:sz w:val="20"/>
                <w:szCs w:val="20"/>
              </w:rPr>
              <w:t>5.8 (4.1-8.1)</w:t>
            </w:r>
          </w:p>
        </w:tc>
        <w:tc>
          <w:tcPr>
            <w:tcW w:w="993" w:type="dxa"/>
            <w:tcMar>
              <w:top w:w="0" w:type="dxa"/>
              <w:left w:w="115" w:type="dxa"/>
              <w:bottom w:w="0" w:type="dxa"/>
              <w:right w:w="115" w:type="dxa"/>
            </w:tcMar>
            <w:vAlign w:val="bottom"/>
            <w:hideMark/>
          </w:tcPr>
          <w:p w14:paraId="5315F051" w14:textId="77777777" w:rsidR="00F1052A" w:rsidRPr="00362CF5" w:rsidRDefault="00F1052A" w:rsidP="00F1052A">
            <w:pPr>
              <w:spacing w:line="240" w:lineRule="auto"/>
            </w:pPr>
          </w:p>
        </w:tc>
      </w:tr>
      <w:tr w:rsidR="00F1052A" w:rsidRPr="00362CF5" w14:paraId="4EF927FD" w14:textId="77777777" w:rsidTr="00F1052A">
        <w:trPr>
          <w:trHeight w:val="300"/>
        </w:trPr>
        <w:tc>
          <w:tcPr>
            <w:tcW w:w="3119" w:type="dxa"/>
            <w:tcMar>
              <w:top w:w="0" w:type="dxa"/>
              <w:left w:w="115" w:type="dxa"/>
              <w:bottom w:w="0" w:type="dxa"/>
              <w:right w:w="115" w:type="dxa"/>
            </w:tcMar>
            <w:vAlign w:val="bottom"/>
            <w:hideMark/>
          </w:tcPr>
          <w:p w14:paraId="299D9ECC" w14:textId="77777777" w:rsidR="00F1052A" w:rsidRPr="00362CF5" w:rsidRDefault="00F1052A" w:rsidP="00F1052A">
            <w:pPr>
              <w:spacing w:line="240" w:lineRule="auto"/>
              <w:ind w:left="169"/>
              <w:rPr>
                <w:color w:val="000000"/>
                <w:sz w:val="20"/>
                <w:szCs w:val="20"/>
              </w:rPr>
            </w:pPr>
            <w:r w:rsidRPr="00362CF5">
              <w:rPr>
                <w:color w:val="000000"/>
                <w:sz w:val="20"/>
                <w:szCs w:val="20"/>
              </w:rPr>
              <w:t>Southeast</w:t>
            </w:r>
          </w:p>
        </w:tc>
        <w:tc>
          <w:tcPr>
            <w:tcW w:w="851" w:type="dxa"/>
            <w:tcMar>
              <w:top w:w="0" w:type="dxa"/>
              <w:left w:w="115" w:type="dxa"/>
              <w:bottom w:w="0" w:type="dxa"/>
              <w:right w:w="115" w:type="dxa"/>
            </w:tcMar>
            <w:vAlign w:val="bottom"/>
            <w:hideMark/>
          </w:tcPr>
          <w:p w14:paraId="1EE1B51A" w14:textId="77777777" w:rsidR="00F1052A" w:rsidRPr="00362CF5" w:rsidRDefault="00F1052A" w:rsidP="00F1052A">
            <w:pPr>
              <w:spacing w:line="240" w:lineRule="auto"/>
              <w:jc w:val="center"/>
            </w:pPr>
            <w:r w:rsidRPr="00362CF5">
              <w:rPr>
                <w:color w:val="000000"/>
                <w:sz w:val="20"/>
                <w:szCs w:val="20"/>
              </w:rPr>
              <w:t>136</w:t>
            </w:r>
          </w:p>
        </w:tc>
        <w:tc>
          <w:tcPr>
            <w:tcW w:w="1842" w:type="dxa"/>
            <w:tcMar>
              <w:top w:w="0" w:type="dxa"/>
              <w:left w:w="115" w:type="dxa"/>
              <w:bottom w:w="0" w:type="dxa"/>
              <w:right w:w="115" w:type="dxa"/>
            </w:tcMar>
            <w:vAlign w:val="bottom"/>
            <w:hideMark/>
          </w:tcPr>
          <w:p w14:paraId="53ED7ABD" w14:textId="77777777" w:rsidR="00F1052A" w:rsidRPr="00362CF5" w:rsidRDefault="00F1052A" w:rsidP="00F1052A">
            <w:pPr>
              <w:spacing w:line="240" w:lineRule="auto"/>
              <w:jc w:val="right"/>
            </w:pPr>
            <w:r w:rsidRPr="00362CF5">
              <w:rPr>
                <w:color w:val="000000"/>
                <w:sz w:val="20"/>
                <w:szCs w:val="20"/>
              </w:rPr>
              <w:t>32.2 (20.6-46.6)</w:t>
            </w:r>
          </w:p>
        </w:tc>
        <w:tc>
          <w:tcPr>
            <w:tcW w:w="992" w:type="dxa"/>
            <w:shd w:val="clear" w:color="auto" w:fill="FFFFFF"/>
            <w:tcMar>
              <w:top w:w="0" w:type="dxa"/>
              <w:left w:w="115" w:type="dxa"/>
              <w:bottom w:w="0" w:type="dxa"/>
              <w:right w:w="115" w:type="dxa"/>
            </w:tcMar>
            <w:vAlign w:val="center"/>
            <w:hideMark/>
          </w:tcPr>
          <w:p w14:paraId="588A8BC3" w14:textId="77777777" w:rsidR="00F1052A" w:rsidRPr="00362CF5" w:rsidRDefault="00F1052A" w:rsidP="00F1052A">
            <w:pPr>
              <w:spacing w:line="240" w:lineRule="auto"/>
              <w:jc w:val="center"/>
            </w:pPr>
            <w:r w:rsidRPr="00362CF5">
              <w:rPr>
                <w:color w:val="000000"/>
                <w:sz w:val="20"/>
                <w:szCs w:val="20"/>
              </w:rPr>
              <w:t>1,282</w:t>
            </w:r>
          </w:p>
        </w:tc>
        <w:tc>
          <w:tcPr>
            <w:tcW w:w="1843" w:type="dxa"/>
            <w:shd w:val="clear" w:color="auto" w:fill="FFFFFF"/>
            <w:tcMar>
              <w:top w:w="0" w:type="dxa"/>
              <w:left w:w="115" w:type="dxa"/>
              <w:bottom w:w="0" w:type="dxa"/>
              <w:right w:w="115" w:type="dxa"/>
            </w:tcMar>
            <w:vAlign w:val="center"/>
            <w:hideMark/>
          </w:tcPr>
          <w:p w14:paraId="56208F48" w14:textId="77777777" w:rsidR="00F1052A" w:rsidRPr="00362CF5" w:rsidRDefault="00F1052A" w:rsidP="00F1052A">
            <w:pPr>
              <w:spacing w:line="240" w:lineRule="auto"/>
              <w:jc w:val="right"/>
            </w:pPr>
            <w:r w:rsidRPr="00362CF5">
              <w:rPr>
                <w:color w:val="000000"/>
                <w:sz w:val="20"/>
                <w:szCs w:val="20"/>
              </w:rPr>
              <w:t>33.6 (25.8-42.3)</w:t>
            </w:r>
          </w:p>
        </w:tc>
        <w:tc>
          <w:tcPr>
            <w:tcW w:w="993" w:type="dxa"/>
            <w:tcMar>
              <w:top w:w="0" w:type="dxa"/>
              <w:left w:w="115" w:type="dxa"/>
              <w:bottom w:w="0" w:type="dxa"/>
              <w:right w:w="115" w:type="dxa"/>
            </w:tcMar>
            <w:vAlign w:val="bottom"/>
            <w:hideMark/>
          </w:tcPr>
          <w:p w14:paraId="3A259606" w14:textId="77777777" w:rsidR="00F1052A" w:rsidRPr="00362CF5" w:rsidRDefault="00F1052A" w:rsidP="00F1052A">
            <w:pPr>
              <w:spacing w:line="240" w:lineRule="auto"/>
            </w:pPr>
          </w:p>
        </w:tc>
      </w:tr>
      <w:tr w:rsidR="00F1052A" w:rsidRPr="00362CF5" w14:paraId="5A0545CF" w14:textId="77777777" w:rsidTr="00F1052A">
        <w:trPr>
          <w:trHeight w:val="300"/>
        </w:trPr>
        <w:tc>
          <w:tcPr>
            <w:tcW w:w="3119" w:type="dxa"/>
            <w:tcMar>
              <w:top w:w="0" w:type="dxa"/>
              <w:left w:w="115" w:type="dxa"/>
              <w:bottom w:w="0" w:type="dxa"/>
              <w:right w:w="115" w:type="dxa"/>
            </w:tcMar>
            <w:vAlign w:val="bottom"/>
            <w:hideMark/>
          </w:tcPr>
          <w:p w14:paraId="477FFD83" w14:textId="77777777" w:rsidR="00F1052A" w:rsidRPr="00362CF5" w:rsidRDefault="00F1052A" w:rsidP="00F1052A">
            <w:pPr>
              <w:spacing w:line="240" w:lineRule="auto"/>
              <w:ind w:left="169"/>
              <w:rPr>
                <w:color w:val="000000"/>
                <w:sz w:val="20"/>
                <w:szCs w:val="20"/>
              </w:rPr>
            </w:pPr>
            <w:r w:rsidRPr="00362CF5">
              <w:rPr>
                <w:color w:val="000000"/>
                <w:sz w:val="20"/>
                <w:szCs w:val="20"/>
              </w:rPr>
              <w:t>South</w:t>
            </w:r>
          </w:p>
        </w:tc>
        <w:tc>
          <w:tcPr>
            <w:tcW w:w="851" w:type="dxa"/>
            <w:tcMar>
              <w:top w:w="0" w:type="dxa"/>
              <w:left w:w="115" w:type="dxa"/>
              <w:bottom w:w="0" w:type="dxa"/>
              <w:right w:w="115" w:type="dxa"/>
            </w:tcMar>
            <w:vAlign w:val="bottom"/>
            <w:hideMark/>
          </w:tcPr>
          <w:p w14:paraId="142D53F3" w14:textId="77777777" w:rsidR="00F1052A" w:rsidRPr="00362CF5" w:rsidRDefault="00F1052A" w:rsidP="00F1052A">
            <w:pPr>
              <w:spacing w:line="240" w:lineRule="auto"/>
              <w:jc w:val="center"/>
            </w:pPr>
            <w:r w:rsidRPr="00362CF5">
              <w:rPr>
                <w:color w:val="000000"/>
                <w:sz w:val="20"/>
                <w:szCs w:val="20"/>
              </w:rPr>
              <w:t>253</w:t>
            </w:r>
          </w:p>
        </w:tc>
        <w:tc>
          <w:tcPr>
            <w:tcW w:w="1842" w:type="dxa"/>
            <w:tcMar>
              <w:top w:w="0" w:type="dxa"/>
              <w:left w:w="115" w:type="dxa"/>
              <w:bottom w:w="0" w:type="dxa"/>
              <w:right w:w="115" w:type="dxa"/>
            </w:tcMar>
            <w:vAlign w:val="bottom"/>
            <w:hideMark/>
          </w:tcPr>
          <w:p w14:paraId="29FA3E16" w14:textId="77777777" w:rsidR="00F1052A" w:rsidRPr="00362CF5" w:rsidRDefault="00F1052A" w:rsidP="00F1052A">
            <w:pPr>
              <w:spacing w:line="240" w:lineRule="auto"/>
              <w:jc w:val="right"/>
            </w:pPr>
            <w:r w:rsidRPr="00362CF5">
              <w:rPr>
                <w:color w:val="000000"/>
                <w:sz w:val="20"/>
                <w:szCs w:val="20"/>
              </w:rPr>
              <w:t>37.5 (25.4-51.4)</w:t>
            </w:r>
          </w:p>
        </w:tc>
        <w:tc>
          <w:tcPr>
            <w:tcW w:w="992" w:type="dxa"/>
            <w:shd w:val="clear" w:color="auto" w:fill="FFFFFF"/>
            <w:tcMar>
              <w:top w:w="0" w:type="dxa"/>
              <w:left w:w="115" w:type="dxa"/>
              <w:bottom w:w="0" w:type="dxa"/>
              <w:right w:w="115" w:type="dxa"/>
            </w:tcMar>
            <w:vAlign w:val="center"/>
            <w:hideMark/>
          </w:tcPr>
          <w:p w14:paraId="002C9D4D" w14:textId="77777777" w:rsidR="00F1052A" w:rsidRPr="00362CF5" w:rsidRDefault="00F1052A" w:rsidP="00F1052A">
            <w:pPr>
              <w:spacing w:line="240" w:lineRule="auto"/>
              <w:jc w:val="center"/>
            </w:pPr>
            <w:r w:rsidRPr="00362CF5">
              <w:rPr>
                <w:color w:val="000000"/>
                <w:sz w:val="20"/>
                <w:szCs w:val="20"/>
              </w:rPr>
              <w:t>1,437</w:t>
            </w:r>
          </w:p>
        </w:tc>
        <w:tc>
          <w:tcPr>
            <w:tcW w:w="1843" w:type="dxa"/>
            <w:shd w:val="clear" w:color="auto" w:fill="FFFFFF"/>
            <w:tcMar>
              <w:top w:w="0" w:type="dxa"/>
              <w:left w:w="115" w:type="dxa"/>
              <w:bottom w:w="0" w:type="dxa"/>
              <w:right w:w="115" w:type="dxa"/>
            </w:tcMar>
            <w:vAlign w:val="center"/>
            <w:hideMark/>
          </w:tcPr>
          <w:p w14:paraId="4A9B3524" w14:textId="77777777" w:rsidR="00F1052A" w:rsidRPr="00362CF5" w:rsidRDefault="00F1052A" w:rsidP="00F1052A">
            <w:pPr>
              <w:spacing w:line="240" w:lineRule="auto"/>
              <w:jc w:val="right"/>
            </w:pPr>
            <w:r w:rsidRPr="00362CF5">
              <w:rPr>
                <w:color w:val="000000"/>
                <w:sz w:val="20"/>
                <w:szCs w:val="20"/>
              </w:rPr>
              <w:t>25.8 (19.3-33.6)</w:t>
            </w:r>
          </w:p>
        </w:tc>
        <w:tc>
          <w:tcPr>
            <w:tcW w:w="993" w:type="dxa"/>
            <w:tcMar>
              <w:top w:w="0" w:type="dxa"/>
              <w:left w:w="115" w:type="dxa"/>
              <w:bottom w:w="0" w:type="dxa"/>
              <w:right w:w="115" w:type="dxa"/>
            </w:tcMar>
            <w:vAlign w:val="bottom"/>
            <w:hideMark/>
          </w:tcPr>
          <w:p w14:paraId="3F527953" w14:textId="77777777" w:rsidR="00F1052A" w:rsidRPr="00362CF5" w:rsidRDefault="00F1052A" w:rsidP="00F1052A">
            <w:pPr>
              <w:spacing w:line="240" w:lineRule="auto"/>
            </w:pPr>
          </w:p>
        </w:tc>
      </w:tr>
      <w:tr w:rsidR="00F1052A" w:rsidRPr="00362CF5" w14:paraId="3661323F" w14:textId="77777777" w:rsidTr="00F1052A">
        <w:trPr>
          <w:trHeight w:val="300"/>
        </w:trPr>
        <w:tc>
          <w:tcPr>
            <w:tcW w:w="3119" w:type="dxa"/>
            <w:tcBorders>
              <w:bottom w:val="single" w:sz="4" w:space="0" w:color="000000"/>
            </w:tcBorders>
            <w:tcMar>
              <w:top w:w="0" w:type="dxa"/>
              <w:left w:w="115" w:type="dxa"/>
              <w:bottom w:w="0" w:type="dxa"/>
              <w:right w:w="115" w:type="dxa"/>
            </w:tcMar>
            <w:vAlign w:val="bottom"/>
            <w:hideMark/>
          </w:tcPr>
          <w:p w14:paraId="1753FC2E" w14:textId="77777777" w:rsidR="00F1052A" w:rsidRPr="00362CF5" w:rsidRDefault="00F1052A" w:rsidP="00F1052A">
            <w:pPr>
              <w:spacing w:line="240" w:lineRule="auto"/>
            </w:pPr>
            <w:r w:rsidRPr="00362CF5">
              <w:rPr>
                <w:b/>
                <w:bCs/>
                <w:i/>
                <w:iCs/>
                <w:color w:val="000000"/>
                <w:sz w:val="20"/>
                <w:szCs w:val="20"/>
              </w:rPr>
              <w:t>Private health insurance</w:t>
            </w:r>
            <w:r w:rsidRPr="00362CF5">
              <w:rPr>
                <w:b/>
                <w:bCs/>
                <w:color w:val="000000"/>
                <w:sz w:val="20"/>
                <w:szCs w:val="20"/>
              </w:rPr>
              <w:t xml:space="preserve"> </w:t>
            </w:r>
            <w:r w:rsidRPr="00362CF5">
              <w:rPr>
                <w:color w:val="000000"/>
                <w:sz w:val="20"/>
                <w:szCs w:val="20"/>
              </w:rPr>
              <w:t>(yes)</w:t>
            </w:r>
          </w:p>
        </w:tc>
        <w:tc>
          <w:tcPr>
            <w:tcW w:w="851" w:type="dxa"/>
            <w:tcBorders>
              <w:bottom w:val="single" w:sz="4" w:space="0" w:color="000000"/>
            </w:tcBorders>
            <w:tcMar>
              <w:top w:w="0" w:type="dxa"/>
              <w:left w:w="115" w:type="dxa"/>
              <w:bottom w:w="0" w:type="dxa"/>
              <w:right w:w="115" w:type="dxa"/>
            </w:tcMar>
            <w:vAlign w:val="bottom"/>
            <w:hideMark/>
          </w:tcPr>
          <w:p w14:paraId="0BFE2C5B" w14:textId="77777777" w:rsidR="00F1052A" w:rsidRPr="00362CF5" w:rsidRDefault="00F1052A" w:rsidP="00F1052A">
            <w:pPr>
              <w:spacing w:line="240" w:lineRule="auto"/>
              <w:jc w:val="center"/>
            </w:pPr>
            <w:r w:rsidRPr="00362CF5">
              <w:rPr>
                <w:color w:val="000000"/>
                <w:sz w:val="20"/>
                <w:szCs w:val="20"/>
              </w:rPr>
              <w:t>72</w:t>
            </w:r>
          </w:p>
        </w:tc>
        <w:tc>
          <w:tcPr>
            <w:tcW w:w="1842" w:type="dxa"/>
            <w:tcBorders>
              <w:bottom w:val="single" w:sz="4" w:space="0" w:color="000000"/>
            </w:tcBorders>
            <w:shd w:val="clear" w:color="auto" w:fill="FFFFFF"/>
            <w:tcMar>
              <w:top w:w="0" w:type="dxa"/>
              <w:left w:w="115" w:type="dxa"/>
              <w:bottom w:w="0" w:type="dxa"/>
              <w:right w:w="115" w:type="dxa"/>
            </w:tcMar>
            <w:vAlign w:val="center"/>
            <w:hideMark/>
          </w:tcPr>
          <w:p w14:paraId="30F86904" w14:textId="77777777" w:rsidR="00F1052A" w:rsidRPr="00362CF5" w:rsidRDefault="00F1052A" w:rsidP="00F1052A">
            <w:pPr>
              <w:spacing w:line="240" w:lineRule="auto"/>
              <w:jc w:val="right"/>
            </w:pPr>
            <w:r w:rsidRPr="00362CF5">
              <w:rPr>
                <w:color w:val="000000"/>
                <w:sz w:val="20"/>
                <w:szCs w:val="20"/>
              </w:rPr>
              <w:t>12.4 (8.1-18.5)</w:t>
            </w:r>
          </w:p>
        </w:tc>
        <w:tc>
          <w:tcPr>
            <w:tcW w:w="992" w:type="dxa"/>
            <w:tcBorders>
              <w:bottom w:val="single" w:sz="4" w:space="0" w:color="000000"/>
            </w:tcBorders>
            <w:shd w:val="clear" w:color="auto" w:fill="FFFFFF"/>
            <w:tcMar>
              <w:top w:w="0" w:type="dxa"/>
              <w:left w:w="115" w:type="dxa"/>
              <w:bottom w:w="0" w:type="dxa"/>
              <w:right w:w="115" w:type="dxa"/>
            </w:tcMar>
            <w:vAlign w:val="center"/>
            <w:hideMark/>
          </w:tcPr>
          <w:p w14:paraId="44E17CA5" w14:textId="77777777" w:rsidR="00F1052A" w:rsidRPr="00362CF5" w:rsidRDefault="00F1052A" w:rsidP="00F1052A">
            <w:pPr>
              <w:spacing w:line="240" w:lineRule="auto"/>
              <w:jc w:val="center"/>
            </w:pPr>
            <w:r w:rsidRPr="00362CF5">
              <w:rPr>
                <w:color w:val="000000"/>
                <w:sz w:val="20"/>
                <w:szCs w:val="20"/>
              </w:rPr>
              <w:t>532</w:t>
            </w:r>
          </w:p>
        </w:tc>
        <w:tc>
          <w:tcPr>
            <w:tcW w:w="1843" w:type="dxa"/>
            <w:tcBorders>
              <w:bottom w:val="single" w:sz="4" w:space="0" w:color="000000"/>
            </w:tcBorders>
            <w:shd w:val="clear" w:color="auto" w:fill="FFFFFF"/>
            <w:tcMar>
              <w:top w:w="0" w:type="dxa"/>
              <w:left w:w="115" w:type="dxa"/>
              <w:bottom w:w="0" w:type="dxa"/>
              <w:right w:w="115" w:type="dxa"/>
            </w:tcMar>
            <w:vAlign w:val="center"/>
            <w:hideMark/>
          </w:tcPr>
          <w:p w14:paraId="197796A4" w14:textId="77777777" w:rsidR="00F1052A" w:rsidRPr="00362CF5" w:rsidRDefault="00F1052A" w:rsidP="00F1052A">
            <w:pPr>
              <w:spacing w:line="240" w:lineRule="auto"/>
              <w:jc w:val="right"/>
            </w:pPr>
            <w:r w:rsidRPr="00362CF5">
              <w:rPr>
                <w:color w:val="000000"/>
                <w:sz w:val="20"/>
                <w:szCs w:val="20"/>
              </w:rPr>
              <w:t>9.9 (7.2-13.4)</w:t>
            </w:r>
          </w:p>
        </w:tc>
        <w:tc>
          <w:tcPr>
            <w:tcW w:w="993" w:type="dxa"/>
            <w:tcBorders>
              <w:bottom w:val="single" w:sz="4" w:space="0" w:color="000000"/>
            </w:tcBorders>
            <w:tcMar>
              <w:top w:w="0" w:type="dxa"/>
              <w:left w:w="115" w:type="dxa"/>
              <w:bottom w:w="0" w:type="dxa"/>
              <w:right w:w="115" w:type="dxa"/>
            </w:tcMar>
            <w:vAlign w:val="bottom"/>
            <w:hideMark/>
          </w:tcPr>
          <w:p w14:paraId="1BDADD1C" w14:textId="77777777" w:rsidR="00F1052A" w:rsidRPr="00362CF5" w:rsidRDefault="00F1052A" w:rsidP="00F1052A">
            <w:pPr>
              <w:spacing w:line="240" w:lineRule="auto"/>
              <w:jc w:val="center"/>
            </w:pPr>
            <w:r w:rsidRPr="00362CF5">
              <w:rPr>
                <w:color w:val="000000"/>
                <w:sz w:val="20"/>
                <w:szCs w:val="20"/>
              </w:rPr>
              <w:t>0.169</w:t>
            </w:r>
          </w:p>
        </w:tc>
      </w:tr>
    </w:tbl>
    <w:p w14:paraId="2BA5DE94" w14:textId="4D659285" w:rsidR="00F1052A" w:rsidRPr="00F1052A" w:rsidRDefault="00F1052A" w:rsidP="00F1052A">
      <w:pPr>
        <w:spacing w:line="240" w:lineRule="auto"/>
        <w:jc w:val="both"/>
        <w:rPr>
          <w:rFonts w:ascii="Arial" w:hAnsi="Arial" w:cs="Arial"/>
          <w:sz w:val="18"/>
          <w:szCs w:val="18"/>
        </w:rPr>
      </w:pPr>
      <w:r w:rsidRPr="00F1052A">
        <w:rPr>
          <w:rFonts w:ascii="Arial" w:hAnsi="Arial" w:cs="Arial"/>
          <w:color w:val="000000"/>
          <w:sz w:val="18"/>
          <w:szCs w:val="18"/>
        </w:rPr>
        <w:t xml:space="preserve">NB: </w:t>
      </w:r>
      <w:proofErr w:type="spellStart"/>
      <w:r w:rsidRPr="00F1052A">
        <w:rPr>
          <w:rFonts w:ascii="Arial" w:hAnsi="Arial" w:cs="Arial"/>
          <w:color w:val="000000"/>
          <w:sz w:val="18"/>
          <w:szCs w:val="18"/>
          <w:vertAlign w:val="superscript"/>
        </w:rPr>
        <w:t>a</w:t>
      </w:r>
      <w:r w:rsidRPr="00F1052A">
        <w:rPr>
          <w:rFonts w:ascii="Arial" w:hAnsi="Arial" w:cs="Arial"/>
          <w:color w:val="000000"/>
          <w:sz w:val="18"/>
          <w:szCs w:val="18"/>
        </w:rPr>
        <w:t>Unweighted</w:t>
      </w:r>
      <w:proofErr w:type="spellEnd"/>
      <w:r w:rsidRPr="00F1052A">
        <w:rPr>
          <w:rFonts w:ascii="Arial" w:hAnsi="Arial" w:cs="Arial"/>
          <w:color w:val="000000"/>
          <w:sz w:val="18"/>
          <w:szCs w:val="18"/>
        </w:rPr>
        <w:t xml:space="preserve"> n-value; </w:t>
      </w:r>
      <w:proofErr w:type="spellStart"/>
      <w:r w:rsidRPr="00F1052A">
        <w:rPr>
          <w:rFonts w:ascii="Arial" w:hAnsi="Arial" w:cs="Arial"/>
          <w:color w:val="000000"/>
          <w:sz w:val="18"/>
          <w:szCs w:val="18"/>
          <w:vertAlign w:val="superscript"/>
        </w:rPr>
        <w:t>b</w:t>
      </w:r>
      <w:r w:rsidRPr="00F1052A">
        <w:rPr>
          <w:rFonts w:ascii="Arial" w:hAnsi="Arial" w:cs="Arial"/>
          <w:color w:val="000000"/>
          <w:sz w:val="18"/>
          <w:szCs w:val="18"/>
        </w:rPr>
        <w:t>According</w:t>
      </w:r>
      <w:proofErr w:type="spellEnd"/>
      <w:r w:rsidRPr="00F1052A">
        <w:rPr>
          <w:rFonts w:ascii="Arial" w:hAnsi="Arial" w:cs="Arial"/>
          <w:color w:val="000000"/>
          <w:sz w:val="18"/>
          <w:szCs w:val="18"/>
        </w:rPr>
        <w:t xml:space="preserve"> to Brazilian Law 10,406/2002, the common-law marriage between man and woman is defined as a family entity, configured in the public coexistence, continuous and lasting and established with the purpose of family formation.</w:t>
      </w:r>
      <w:r w:rsidRPr="00F1052A">
        <w:rPr>
          <w:rFonts w:ascii="Arial" w:hAnsi="Arial" w:cs="Arial"/>
          <w:color w:val="000000"/>
          <w:sz w:val="18"/>
          <w:szCs w:val="18"/>
          <w:vertAlign w:val="superscript"/>
        </w:rPr>
        <w:t xml:space="preserve"> </w:t>
      </w:r>
      <w:proofErr w:type="spellStart"/>
      <w:r w:rsidRPr="00F1052A">
        <w:rPr>
          <w:rFonts w:ascii="Arial" w:hAnsi="Arial" w:cs="Arial"/>
          <w:color w:val="000000"/>
          <w:sz w:val="18"/>
          <w:szCs w:val="18"/>
          <w:vertAlign w:val="superscript"/>
        </w:rPr>
        <w:t>C</w:t>
      </w:r>
      <w:r w:rsidRPr="00F1052A">
        <w:rPr>
          <w:rFonts w:ascii="Arial" w:hAnsi="Arial" w:cs="Arial"/>
          <w:color w:val="000000"/>
          <w:sz w:val="18"/>
          <w:szCs w:val="18"/>
        </w:rPr>
        <w:t>According</w:t>
      </w:r>
      <w:proofErr w:type="spellEnd"/>
      <w:r w:rsidRPr="00F1052A">
        <w:rPr>
          <w:rFonts w:ascii="Arial" w:hAnsi="Arial" w:cs="Arial"/>
          <w:color w:val="000000"/>
          <w:sz w:val="18"/>
          <w:szCs w:val="18"/>
        </w:rPr>
        <w:t xml:space="preserve"> to the Brazilian Criteria 2015 and social class distribution update for 2016, available in &lt;http://www.abep.org/criterio-brasil &gt;.</w:t>
      </w:r>
    </w:p>
    <w:p w14:paraId="25CA0F4A" w14:textId="77777777" w:rsidR="00C77BE8" w:rsidRPr="00EC37B0" w:rsidRDefault="00991055" w:rsidP="00EC37B0">
      <w:pPr>
        <w:pStyle w:val="NoSpacing"/>
        <w:rPr>
          <w:rFonts w:ascii="Arial" w:hAnsi="Arial" w:cs="Arial"/>
          <w:bCs/>
          <w:color w:val="000000"/>
          <w:sz w:val="20"/>
          <w:szCs w:val="20"/>
        </w:rPr>
      </w:pPr>
      <w:r w:rsidRPr="00EC37B0">
        <w:rPr>
          <w:rFonts w:ascii="Arial" w:hAnsi="Arial" w:cs="Arial"/>
          <w:bCs/>
          <w:color w:val="000000"/>
          <w:sz w:val="20"/>
          <w:szCs w:val="20"/>
        </w:rPr>
        <w:tab/>
      </w:r>
    </w:p>
    <w:p w14:paraId="4B50F0B8" w14:textId="1816766B"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 xml:space="preserve">Regarding self-reported lifestyle and health characteristics, 17.0% of statins users consumed alcohol more than once a month, 14.4% were smokers, 30.8% reported physical activities in the </w:t>
      </w:r>
      <w:r w:rsidRPr="00EC37B0">
        <w:rPr>
          <w:rFonts w:ascii="Arial" w:hAnsi="Arial" w:cs="Arial"/>
          <w:color w:val="000000"/>
          <w:sz w:val="20"/>
          <w:szCs w:val="20"/>
        </w:rPr>
        <w:lastRenderedPageBreak/>
        <w:t>three months prior to the interview and 77.4% reported to adopt a diet with fat reduction (T</w:t>
      </w:r>
      <w:r w:rsidR="00DD7C0B" w:rsidRPr="00EC37B0">
        <w:rPr>
          <w:rFonts w:ascii="Arial" w:hAnsi="Arial" w:cs="Arial"/>
          <w:color w:val="000000"/>
          <w:sz w:val="20"/>
          <w:szCs w:val="20"/>
        </w:rPr>
        <w:t>able</w:t>
      </w:r>
      <w:r w:rsidRPr="00EC37B0">
        <w:rPr>
          <w:rFonts w:ascii="Arial" w:hAnsi="Arial" w:cs="Arial"/>
          <w:color w:val="000000"/>
          <w:sz w:val="20"/>
          <w:szCs w:val="20"/>
        </w:rPr>
        <w:t xml:space="preserve"> 2). Accessing emergency care was reported by 21.8% and 9.6% required hospitalization in the year prior to the interview.</w:t>
      </w:r>
    </w:p>
    <w:p w14:paraId="30C9A2D1" w14:textId="3B3DFD68" w:rsidR="009535A4" w:rsidRPr="00EC37B0" w:rsidRDefault="009535A4" w:rsidP="00EC37B0">
      <w:pPr>
        <w:pStyle w:val="NoSpacing"/>
        <w:rPr>
          <w:rFonts w:ascii="Arial" w:hAnsi="Arial" w:cs="Arial"/>
          <w:sz w:val="20"/>
          <w:szCs w:val="20"/>
        </w:rPr>
      </w:pPr>
    </w:p>
    <w:p w14:paraId="567DA7BE" w14:textId="4505164D" w:rsidR="00F1052A" w:rsidRPr="00F1052A" w:rsidRDefault="00F1052A" w:rsidP="00F1052A">
      <w:pPr>
        <w:spacing w:line="240" w:lineRule="auto"/>
        <w:rPr>
          <w:rFonts w:ascii="Arial" w:hAnsi="Arial" w:cs="Arial"/>
          <w:b/>
          <w:bCs/>
          <w:color w:val="000000"/>
          <w:sz w:val="20"/>
          <w:szCs w:val="20"/>
        </w:rPr>
      </w:pPr>
      <w:r w:rsidRPr="00F1052A">
        <w:rPr>
          <w:rFonts w:ascii="Arial" w:hAnsi="Arial" w:cs="Arial"/>
          <w:b/>
          <w:bCs/>
          <w:color w:val="000000"/>
          <w:sz w:val="20"/>
          <w:szCs w:val="20"/>
        </w:rPr>
        <w:t>Table 2</w:t>
      </w:r>
      <w:r w:rsidRPr="00F1052A">
        <w:rPr>
          <w:rFonts w:ascii="Arial" w:hAnsi="Arial" w:cs="Arial"/>
          <w:b/>
          <w:color w:val="000000"/>
          <w:sz w:val="20"/>
          <w:szCs w:val="20"/>
        </w:rPr>
        <w:t xml:space="preserve">. </w:t>
      </w:r>
      <w:r w:rsidRPr="00F1052A">
        <w:rPr>
          <w:rFonts w:ascii="Arial" w:hAnsi="Arial" w:cs="Arial"/>
          <w:b/>
          <w:bCs/>
          <w:color w:val="000000"/>
          <w:sz w:val="20"/>
          <w:szCs w:val="20"/>
        </w:rPr>
        <w:t>Lifestyle characteristics and indicators of health conditions of the statins users in SUS primary health care. National Survey on Access, Use and Promotion of Rational Use of Medicines – Services, 2015</w:t>
      </w:r>
    </w:p>
    <w:p w14:paraId="6F3555AC" w14:textId="77777777" w:rsidR="00F1052A" w:rsidRPr="00362CF5" w:rsidRDefault="00F1052A" w:rsidP="00F1052A">
      <w:pPr>
        <w:spacing w:line="240" w:lineRule="auto"/>
        <w:rPr>
          <w:b/>
          <w:bCs/>
          <w:color w:val="000000"/>
          <w:sz w:val="18"/>
          <w:szCs w:val="18"/>
        </w:rPr>
      </w:pPr>
    </w:p>
    <w:tbl>
      <w:tblPr>
        <w:tblW w:w="8762" w:type="dxa"/>
        <w:tblLayout w:type="fixed"/>
        <w:tblCellMar>
          <w:top w:w="15" w:type="dxa"/>
          <w:left w:w="15" w:type="dxa"/>
          <w:bottom w:w="15" w:type="dxa"/>
          <w:right w:w="15" w:type="dxa"/>
        </w:tblCellMar>
        <w:tblLook w:val="04A0" w:firstRow="1" w:lastRow="0" w:firstColumn="1" w:lastColumn="0" w:noHBand="0" w:noVBand="1"/>
      </w:tblPr>
      <w:tblGrid>
        <w:gridCol w:w="3324"/>
        <w:gridCol w:w="619"/>
        <w:gridCol w:w="1559"/>
        <w:gridCol w:w="709"/>
        <w:gridCol w:w="1559"/>
        <w:gridCol w:w="992"/>
      </w:tblGrid>
      <w:tr w:rsidR="00F1052A" w:rsidRPr="00362CF5" w14:paraId="01399B5B" w14:textId="77777777" w:rsidTr="00F1052A">
        <w:trPr>
          <w:trHeight w:val="300"/>
        </w:trPr>
        <w:tc>
          <w:tcPr>
            <w:tcW w:w="3324" w:type="dxa"/>
            <w:tcBorders>
              <w:top w:val="single" w:sz="4" w:space="0" w:color="000000"/>
            </w:tcBorders>
            <w:shd w:val="clear" w:color="auto" w:fill="DAEEF3"/>
            <w:tcMar>
              <w:top w:w="0" w:type="dxa"/>
              <w:left w:w="115" w:type="dxa"/>
              <w:bottom w:w="0" w:type="dxa"/>
              <w:right w:w="115" w:type="dxa"/>
            </w:tcMar>
            <w:vAlign w:val="bottom"/>
            <w:hideMark/>
          </w:tcPr>
          <w:p w14:paraId="2D98FEC3" w14:textId="77777777" w:rsidR="00F1052A" w:rsidRPr="00362CF5" w:rsidRDefault="00F1052A" w:rsidP="00F1052A">
            <w:pPr>
              <w:spacing w:line="240" w:lineRule="auto"/>
            </w:pPr>
            <w:r w:rsidRPr="00362CF5">
              <w:rPr>
                <w:b/>
                <w:bCs/>
                <w:color w:val="000000"/>
                <w:sz w:val="20"/>
                <w:szCs w:val="20"/>
              </w:rPr>
              <w:t> </w:t>
            </w:r>
          </w:p>
        </w:tc>
        <w:tc>
          <w:tcPr>
            <w:tcW w:w="4446" w:type="dxa"/>
            <w:gridSpan w:val="4"/>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61725767" w14:textId="77777777" w:rsidR="00F1052A" w:rsidRPr="00362CF5" w:rsidRDefault="00F1052A" w:rsidP="00F1052A">
            <w:pPr>
              <w:spacing w:line="240" w:lineRule="auto"/>
              <w:jc w:val="center"/>
            </w:pPr>
            <w:r w:rsidRPr="00362CF5">
              <w:rPr>
                <w:b/>
                <w:bCs/>
                <w:color w:val="000000"/>
                <w:sz w:val="20"/>
                <w:szCs w:val="20"/>
              </w:rPr>
              <w:t>Current statin users</w:t>
            </w:r>
          </w:p>
        </w:tc>
        <w:tc>
          <w:tcPr>
            <w:tcW w:w="992" w:type="dxa"/>
            <w:tcBorders>
              <w:top w:val="single" w:sz="4" w:space="0" w:color="000000"/>
            </w:tcBorders>
            <w:shd w:val="clear" w:color="auto" w:fill="DAEEF3"/>
            <w:tcMar>
              <w:top w:w="0" w:type="dxa"/>
              <w:left w:w="115" w:type="dxa"/>
              <w:bottom w:w="0" w:type="dxa"/>
              <w:right w:w="115" w:type="dxa"/>
            </w:tcMar>
            <w:vAlign w:val="bottom"/>
            <w:hideMark/>
          </w:tcPr>
          <w:p w14:paraId="7A8FFF14" w14:textId="77777777" w:rsidR="00F1052A" w:rsidRPr="00362CF5" w:rsidRDefault="00F1052A" w:rsidP="00F1052A">
            <w:pPr>
              <w:spacing w:line="240" w:lineRule="auto"/>
            </w:pPr>
            <w:r w:rsidRPr="00362CF5">
              <w:rPr>
                <w:b/>
                <w:bCs/>
                <w:color w:val="000000"/>
                <w:sz w:val="20"/>
                <w:szCs w:val="20"/>
              </w:rPr>
              <w:t> </w:t>
            </w:r>
          </w:p>
        </w:tc>
      </w:tr>
      <w:tr w:rsidR="00F1052A" w:rsidRPr="00362CF5" w14:paraId="79E17802" w14:textId="77777777" w:rsidTr="00F1052A">
        <w:trPr>
          <w:trHeight w:val="300"/>
        </w:trPr>
        <w:tc>
          <w:tcPr>
            <w:tcW w:w="3324" w:type="dxa"/>
            <w:shd w:val="clear" w:color="auto" w:fill="DAEEF3"/>
            <w:tcMar>
              <w:top w:w="0" w:type="dxa"/>
              <w:left w:w="115" w:type="dxa"/>
              <w:bottom w:w="0" w:type="dxa"/>
              <w:right w:w="115" w:type="dxa"/>
            </w:tcMar>
            <w:vAlign w:val="bottom"/>
            <w:hideMark/>
          </w:tcPr>
          <w:p w14:paraId="1A09938E" w14:textId="77777777" w:rsidR="00F1052A" w:rsidRPr="00362CF5" w:rsidRDefault="00F1052A" w:rsidP="00F1052A">
            <w:pPr>
              <w:spacing w:line="240" w:lineRule="auto"/>
              <w:jc w:val="center"/>
            </w:pPr>
            <w:r w:rsidRPr="00362CF5">
              <w:rPr>
                <w:b/>
                <w:bCs/>
                <w:color w:val="000000"/>
                <w:sz w:val="20"/>
                <w:szCs w:val="20"/>
              </w:rPr>
              <w:t>Variables</w:t>
            </w:r>
          </w:p>
        </w:tc>
        <w:tc>
          <w:tcPr>
            <w:tcW w:w="2178" w:type="dxa"/>
            <w:gridSpan w:val="2"/>
            <w:tcBorders>
              <w:top w:val="single" w:sz="4" w:space="0" w:color="000000"/>
              <w:bottom w:val="single" w:sz="4" w:space="0" w:color="000000"/>
            </w:tcBorders>
            <w:shd w:val="clear" w:color="auto" w:fill="DAEEF3"/>
            <w:tcMar>
              <w:top w:w="0" w:type="dxa"/>
              <w:left w:w="115" w:type="dxa"/>
              <w:bottom w:w="0" w:type="dxa"/>
              <w:right w:w="115" w:type="dxa"/>
            </w:tcMar>
            <w:vAlign w:val="center"/>
            <w:hideMark/>
          </w:tcPr>
          <w:p w14:paraId="7C6E697A" w14:textId="77777777" w:rsidR="00F1052A" w:rsidRPr="00362CF5" w:rsidRDefault="00F1052A" w:rsidP="00F1052A">
            <w:pPr>
              <w:spacing w:line="240" w:lineRule="auto"/>
              <w:jc w:val="center"/>
            </w:pPr>
            <w:r w:rsidRPr="00362CF5">
              <w:rPr>
                <w:b/>
                <w:bCs/>
                <w:color w:val="000000"/>
                <w:sz w:val="20"/>
                <w:szCs w:val="20"/>
              </w:rPr>
              <w:t>Yes (n=603)</w:t>
            </w:r>
          </w:p>
        </w:tc>
        <w:tc>
          <w:tcPr>
            <w:tcW w:w="2268" w:type="dxa"/>
            <w:gridSpan w:val="2"/>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32D1702F" w14:textId="77777777" w:rsidR="00F1052A" w:rsidRPr="00362CF5" w:rsidRDefault="00F1052A" w:rsidP="00F1052A">
            <w:pPr>
              <w:spacing w:line="240" w:lineRule="auto"/>
              <w:jc w:val="center"/>
            </w:pPr>
            <w:r w:rsidRPr="00362CF5">
              <w:rPr>
                <w:b/>
                <w:bCs/>
                <w:color w:val="000000"/>
                <w:sz w:val="20"/>
                <w:szCs w:val="20"/>
              </w:rPr>
              <w:t>No (n=5,908)</w:t>
            </w:r>
          </w:p>
        </w:tc>
        <w:tc>
          <w:tcPr>
            <w:tcW w:w="992" w:type="dxa"/>
            <w:shd w:val="clear" w:color="auto" w:fill="DAEEF3"/>
            <w:tcMar>
              <w:top w:w="0" w:type="dxa"/>
              <w:left w:w="115" w:type="dxa"/>
              <w:bottom w:w="0" w:type="dxa"/>
              <w:right w:w="115" w:type="dxa"/>
            </w:tcMar>
            <w:vAlign w:val="bottom"/>
            <w:hideMark/>
          </w:tcPr>
          <w:p w14:paraId="27C98AE0" w14:textId="77777777" w:rsidR="00F1052A" w:rsidRPr="00362CF5" w:rsidRDefault="00F1052A" w:rsidP="00F1052A">
            <w:pPr>
              <w:spacing w:line="240" w:lineRule="auto"/>
              <w:jc w:val="center"/>
            </w:pPr>
            <w:r w:rsidRPr="00362CF5">
              <w:rPr>
                <w:b/>
                <w:bCs/>
                <w:color w:val="000000"/>
                <w:sz w:val="20"/>
                <w:szCs w:val="20"/>
              </w:rPr>
              <w:t>p-value</w:t>
            </w:r>
          </w:p>
        </w:tc>
      </w:tr>
      <w:tr w:rsidR="00F1052A" w:rsidRPr="00362CF5" w14:paraId="2C96D596" w14:textId="77777777" w:rsidTr="00F1052A">
        <w:trPr>
          <w:trHeight w:val="300"/>
        </w:trPr>
        <w:tc>
          <w:tcPr>
            <w:tcW w:w="3324" w:type="dxa"/>
            <w:tcBorders>
              <w:bottom w:val="single" w:sz="4" w:space="0" w:color="000000"/>
            </w:tcBorders>
            <w:shd w:val="clear" w:color="auto" w:fill="DAEEF3"/>
            <w:tcMar>
              <w:top w:w="0" w:type="dxa"/>
              <w:left w:w="115" w:type="dxa"/>
              <w:bottom w:w="0" w:type="dxa"/>
              <w:right w:w="115" w:type="dxa"/>
            </w:tcMar>
            <w:vAlign w:val="bottom"/>
            <w:hideMark/>
          </w:tcPr>
          <w:p w14:paraId="59C5CD40" w14:textId="77777777" w:rsidR="00F1052A" w:rsidRPr="00362CF5" w:rsidRDefault="00F1052A" w:rsidP="00F1052A">
            <w:pPr>
              <w:spacing w:line="240" w:lineRule="auto"/>
              <w:rPr>
                <w:sz w:val="20"/>
                <w:szCs w:val="20"/>
              </w:rPr>
            </w:pPr>
            <w:r w:rsidRPr="00362CF5">
              <w:rPr>
                <w:b/>
                <w:bCs/>
                <w:color w:val="000000"/>
                <w:sz w:val="20"/>
                <w:szCs w:val="20"/>
              </w:rPr>
              <w:t> </w:t>
            </w:r>
          </w:p>
        </w:tc>
        <w:tc>
          <w:tcPr>
            <w:tcW w:w="619" w:type="dxa"/>
            <w:tcBorders>
              <w:top w:val="single" w:sz="4" w:space="0" w:color="000000"/>
              <w:bottom w:val="single" w:sz="4" w:space="0" w:color="000000"/>
            </w:tcBorders>
            <w:shd w:val="clear" w:color="auto" w:fill="DAEEF3"/>
            <w:tcMar>
              <w:top w:w="0" w:type="dxa"/>
              <w:left w:w="115" w:type="dxa"/>
              <w:bottom w:w="0" w:type="dxa"/>
              <w:right w:w="115" w:type="dxa"/>
            </w:tcMar>
            <w:vAlign w:val="center"/>
            <w:hideMark/>
          </w:tcPr>
          <w:p w14:paraId="145FF914" w14:textId="77777777" w:rsidR="00F1052A" w:rsidRPr="00362CF5" w:rsidRDefault="00F1052A" w:rsidP="00F1052A">
            <w:pPr>
              <w:spacing w:line="240" w:lineRule="auto"/>
              <w:jc w:val="center"/>
              <w:rPr>
                <w:sz w:val="20"/>
                <w:szCs w:val="20"/>
              </w:rPr>
            </w:pPr>
            <w:proofErr w:type="spellStart"/>
            <w:r w:rsidRPr="00362CF5">
              <w:rPr>
                <w:b/>
                <w:bCs/>
                <w:color w:val="000000"/>
                <w:sz w:val="20"/>
                <w:szCs w:val="20"/>
              </w:rPr>
              <w:t>n</w:t>
            </w:r>
            <w:r w:rsidRPr="00362CF5">
              <w:rPr>
                <w:b/>
                <w:bCs/>
                <w:color w:val="000000"/>
                <w:sz w:val="20"/>
                <w:szCs w:val="20"/>
                <w:vertAlign w:val="superscript"/>
              </w:rPr>
              <w:t>a</w:t>
            </w:r>
            <w:proofErr w:type="spellEnd"/>
          </w:p>
        </w:tc>
        <w:tc>
          <w:tcPr>
            <w:tcW w:w="1559" w:type="dxa"/>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40E32C2A" w14:textId="77777777" w:rsidR="00F1052A" w:rsidRPr="00362CF5" w:rsidRDefault="00F1052A" w:rsidP="00F1052A">
            <w:pPr>
              <w:spacing w:line="240" w:lineRule="auto"/>
              <w:jc w:val="center"/>
              <w:rPr>
                <w:sz w:val="20"/>
                <w:szCs w:val="20"/>
              </w:rPr>
            </w:pPr>
            <w:r w:rsidRPr="00362CF5">
              <w:rPr>
                <w:b/>
                <w:bCs/>
                <w:color w:val="000000"/>
                <w:sz w:val="20"/>
                <w:szCs w:val="20"/>
              </w:rPr>
              <w:t>% (95% CI)</w:t>
            </w:r>
          </w:p>
        </w:tc>
        <w:tc>
          <w:tcPr>
            <w:tcW w:w="709" w:type="dxa"/>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66220E10" w14:textId="77777777" w:rsidR="00F1052A" w:rsidRPr="00362CF5" w:rsidRDefault="00F1052A" w:rsidP="00F1052A">
            <w:pPr>
              <w:spacing w:line="240" w:lineRule="auto"/>
              <w:jc w:val="center"/>
              <w:rPr>
                <w:sz w:val="20"/>
                <w:szCs w:val="20"/>
              </w:rPr>
            </w:pPr>
            <w:proofErr w:type="spellStart"/>
            <w:r w:rsidRPr="00362CF5">
              <w:rPr>
                <w:b/>
                <w:bCs/>
                <w:color w:val="000000"/>
                <w:sz w:val="20"/>
                <w:szCs w:val="20"/>
              </w:rPr>
              <w:t>n</w:t>
            </w:r>
            <w:r w:rsidRPr="00362CF5">
              <w:rPr>
                <w:b/>
                <w:bCs/>
                <w:color w:val="000000"/>
                <w:sz w:val="20"/>
                <w:szCs w:val="20"/>
                <w:vertAlign w:val="superscript"/>
              </w:rPr>
              <w:t>a</w:t>
            </w:r>
            <w:proofErr w:type="spellEnd"/>
          </w:p>
        </w:tc>
        <w:tc>
          <w:tcPr>
            <w:tcW w:w="1559" w:type="dxa"/>
            <w:tcBorders>
              <w:top w:val="single" w:sz="4" w:space="0" w:color="000000"/>
              <w:bottom w:val="single" w:sz="4" w:space="0" w:color="000000"/>
            </w:tcBorders>
            <w:shd w:val="clear" w:color="auto" w:fill="DAEEF3"/>
            <w:tcMar>
              <w:top w:w="0" w:type="dxa"/>
              <w:left w:w="115" w:type="dxa"/>
              <w:bottom w:w="0" w:type="dxa"/>
              <w:right w:w="115" w:type="dxa"/>
            </w:tcMar>
            <w:vAlign w:val="bottom"/>
            <w:hideMark/>
          </w:tcPr>
          <w:p w14:paraId="43826E9A" w14:textId="77777777" w:rsidR="00F1052A" w:rsidRPr="00362CF5" w:rsidRDefault="00F1052A" w:rsidP="00F1052A">
            <w:pPr>
              <w:spacing w:line="240" w:lineRule="auto"/>
              <w:jc w:val="center"/>
              <w:rPr>
                <w:sz w:val="20"/>
                <w:szCs w:val="20"/>
              </w:rPr>
            </w:pPr>
            <w:r w:rsidRPr="00362CF5">
              <w:rPr>
                <w:b/>
                <w:bCs/>
                <w:color w:val="000000"/>
                <w:sz w:val="20"/>
                <w:szCs w:val="20"/>
              </w:rPr>
              <w:t>% (95% CI)</w:t>
            </w:r>
          </w:p>
        </w:tc>
        <w:tc>
          <w:tcPr>
            <w:tcW w:w="992" w:type="dxa"/>
            <w:tcBorders>
              <w:bottom w:val="single" w:sz="4" w:space="0" w:color="000000"/>
            </w:tcBorders>
            <w:shd w:val="clear" w:color="auto" w:fill="DAEEF3"/>
            <w:tcMar>
              <w:top w:w="0" w:type="dxa"/>
              <w:left w:w="115" w:type="dxa"/>
              <w:bottom w:w="0" w:type="dxa"/>
              <w:right w:w="115" w:type="dxa"/>
            </w:tcMar>
            <w:vAlign w:val="bottom"/>
            <w:hideMark/>
          </w:tcPr>
          <w:p w14:paraId="7DD9EE45" w14:textId="77777777" w:rsidR="00F1052A" w:rsidRPr="00362CF5" w:rsidRDefault="00F1052A" w:rsidP="00F1052A">
            <w:pPr>
              <w:spacing w:line="240" w:lineRule="auto"/>
            </w:pPr>
            <w:r w:rsidRPr="00362CF5">
              <w:rPr>
                <w:color w:val="000000"/>
              </w:rPr>
              <w:t> </w:t>
            </w:r>
          </w:p>
        </w:tc>
      </w:tr>
      <w:tr w:rsidR="00F1052A" w:rsidRPr="00362CF5" w14:paraId="40691A0B" w14:textId="77777777" w:rsidTr="00F1052A">
        <w:trPr>
          <w:trHeight w:val="300"/>
        </w:trPr>
        <w:tc>
          <w:tcPr>
            <w:tcW w:w="3324" w:type="dxa"/>
            <w:tcBorders>
              <w:top w:val="single" w:sz="4" w:space="0" w:color="000000"/>
            </w:tcBorders>
            <w:tcMar>
              <w:top w:w="0" w:type="dxa"/>
              <w:left w:w="115" w:type="dxa"/>
              <w:bottom w:w="0" w:type="dxa"/>
              <w:right w:w="115" w:type="dxa"/>
            </w:tcMar>
            <w:vAlign w:val="bottom"/>
            <w:hideMark/>
          </w:tcPr>
          <w:p w14:paraId="318CB389" w14:textId="77777777" w:rsidR="00F1052A" w:rsidRPr="00362CF5" w:rsidRDefault="00F1052A" w:rsidP="00F1052A">
            <w:pPr>
              <w:spacing w:line="240" w:lineRule="auto"/>
              <w:rPr>
                <w:sz w:val="20"/>
                <w:szCs w:val="20"/>
              </w:rPr>
            </w:pPr>
            <w:r w:rsidRPr="00362CF5">
              <w:rPr>
                <w:b/>
                <w:bCs/>
                <w:i/>
                <w:iCs/>
                <w:color w:val="000000"/>
                <w:sz w:val="20"/>
                <w:szCs w:val="20"/>
              </w:rPr>
              <w:t xml:space="preserve">Alcohol consumption </w:t>
            </w:r>
            <w:r w:rsidRPr="00362CF5">
              <w:rPr>
                <w:color w:val="000000"/>
                <w:sz w:val="20"/>
                <w:szCs w:val="20"/>
              </w:rPr>
              <w:t>(yes)</w:t>
            </w:r>
            <w:r>
              <w:rPr>
                <w:color w:val="000000"/>
                <w:sz w:val="20"/>
                <w:szCs w:val="20"/>
              </w:rPr>
              <w:t xml:space="preserve"> </w:t>
            </w:r>
            <w:r w:rsidRPr="00362CF5">
              <w:rPr>
                <w:b/>
                <w:bCs/>
                <w:color w:val="000000"/>
                <w:sz w:val="20"/>
                <w:szCs w:val="20"/>
                <w:vertAlign w:val="superscript"/>
              </w:rPr>
              <w:t>b</w:t>
            </w:r>
          </w:p>
        </w:tc>
        <w:tc>
          <w:tcPr>
            <w:tcW w:w="619" w:type="dxa"/>
            <w:tcBorders>
              <w:top w:val="single" w:sz="4" w:space="0" w:color="000000"/>
            </w:tcBorders>
            <w:shd w:val="clear" w:color="auto" w:fill="FFFFFF"/>
            <w:tcMar>
              <w:top w:w="0" w:type="dxa"/>
              <w:left w:w="115" w:type="dxa"/>
              <w:bottom w:w="0" w:type="dxa"/>
              <w:right w:w="115" w:type="dxa"/>
            </w:tcMar>
            <w:vAlign w:val="center"/>
            <w:hideMark/>
          </w:tcPr>
          <w:p w14:paraId="7DD052A7" w14:textId="77777777" w:rsidR="00F1052A" w:rsidRPr="00362CF5" w:rsidRDefault="00F1052A" w:rsidP="00F1052A">
            <w:pPr>
              <w:spacing w:line="240" w:lineRule="auto"/>
              <w:jc w:val="center"/>
            </w:pPr>
            <w:r w:rsidRPr="00362CF5">
              <w:rPr>
                <w:color w:val="000000"/>
                <w:sz w:val="20"/>
                <w:szCs w:val="20"/>
              </w:rPr>
              <w:t>9</w:t>
            </w:r>
          </w:p>
        </w:tc>
        <w:tc>
          <w:tcPr>
            <w:tcW w:w="1559" w:type="dxa"/>
            <w:tcBorders>
              <w:top w:val="single" w:sz="4" w:space="0" w:color="000000"/>
            </w:tcBorders>
            <w:shd w:val="clear" w:color="auto" w:fill="FFFFFF"/>
            <w:tcMar>
              <w:top w:w="0" w:type="dxa"/>
              <w:left w:w="115" w:type="dxa"/>
              <w:bottom w:w="0" w:type="dxa"/>
              <w:right w:w="115" w:type="dxa"/>
            </w:tcMar>
            <w:vAlign w:val="center"/>
            <w:hideMark/>
          </w:tcPr>
          <w:p w14:paraId="3BFFC03D" w14:textId="77777777" w:rsidR="00F1052A" w:rsidRPr="00362CF5" w:rsidRDefault="00F1052A" w:rsidP="00F1052A">
            <w:pPr>
              <w:spacing w:line="240" w:lineRule="auto"/>
              <w:jc w:val="right"/>
            </w:pPr>
            <w:r w:rsidRPr="00362CF5">
              <w:rPr>
                <w:color w:val="000000"/>
                <w:sz w:val="20"/>
                <w:szCs w:val="20"/>
              </w:rPr>
              <w:t>17.0 (13.0-22.0)</w:t>
            </w:r>
          </w:p>
        </w:tc>
        <w:tc>
          <w:tcPr>
            <w:tcW w:w="709" w:type="dxa"/>
            <w:tcBorders>
              <w:top w:val="single" w:sz="4" w:space="0" w:color="000000"/>
            </w:tcBorders>
            <w:shd w:val="clear" w:color="auto" w:fill="FFFFFF"/>
            <w:tcMar>
              <w:top w:w="0" w:type="dxa"/>
              <w:left w:w="115" w:type="dxa"/>
              <w:bottom w:w="0" w:type="dxa"/>
              <w:right w:w="115" w:type="dxa"/>
            </w:tcMar>
            <w:vAlign w:val="center"/>
            <w:hideMark/>
          </w:tcPr>
          <w:p w14:paraId="5D7EA978" w14:textId="77777777" w:rsidR="00F1052A" w:rsidRPr="00362CF5" w:rsidRDefault="00F1052A" w:rsidP="00F1052A">
            <w:pPr>
              <w:spacing w:line="240" w:lineRule="auto"/>
              <w:jc w:val="center"/>
            </w:pPr>
            <w:r w:rsidRPr="00362CF5">
              <w:rPr>
                <w:color w:val="000000"/>
                <w:sz w:val="20"/>
                <w:szCs w:val="20"/>
              </w:rPr>
              <w:t>1,353</w:t>
            </w:r>
          </w:p>
        </w:tc>
        <w:tc>
          <w:tcPr>
            <w:tcW w:w="1559" w:type="dxa"/>
            <w:tcBorders>
              <w:top w:val="single" w:sz="4" w:space="0" w:color="000000"/>
            </w:tcBorders>
            <w:shd w:val="clear" w:color="auto" w:fill="FFFFFF"/>
            <w:tcMar>
              <w:top w:w="0" w:type="dxa"/>
              <w:left w:w="115" w:type="dxa"/>
              <w:bottom w:w="0" w:type="dxa"/>
              <w:right w:w="115" w:type="dxa"/>
            </w:tcMar>
            <w:vAlign w:val="center"/>
            <w:hideMark/>
          </w:tcPr>
          <w:p w14:paraId="5F383B1B" w14:textId="77777777" w:rsidR="00F1052A" w:rsidRPr="00362CF5" w:rsidRDefault="00F1052A" w:rsidP="00F1052A">
            <w:pPr>
              <w:spacing w:line="240" w:lineRule="auto"/>
              <w:jc w:val="right"/>
            </w:pPr>
            <w:r w:rsidRPr="00362CF5">
              <w:rPr>
                <w:color w:val="000000"/>
                <w:sz w:val="20"/>
                <w:szCs w:val="20"/>
              </w:rPr>
              <w:t>21.5 (19.2-24.0)</w:t>
            </w:r>
          </w:p>
        </w:tc>
        <w:tc>
          <w:tcPr>
            <w:tcW w:w="992" w:type="dxa"/>
            <w:tcBorders>
              <w:top w:val="single" w:sz="4" w:space="0" w:color="000000"/>
            </w:tcBorders>
            <w:tcMar>
              <w:top w:w="0" w:type="dxa"/>
              <w:left w:w="115" w:type="dxa"/>
              <w:bottom w:w="0" w:type="dxa"/>
              <w:right w:w="115" w:type="dxa"/>
            </w:tcMar>
            <w:vAlign w:val="bottom"/>
            <w:hideMark/>
          </w:tcPr>
          <w:p w14:paraId="0B4064D6" w14:textId="77777777" w:rsidR="00F1052A" w:rsidRPr="00362CF5" w:rsidRDefault="00F1052A" w:rsidP="00F1052A">
            <w:pPr>
              <w:spacing w:line="240" w:lineRule="auto"/>
              <w:jc w:val="center"/>
            </w:pPr>
            <w:r w:rsidRPr="00362CF5">
              <w:rPr>
                <w:color w:val="000000"/>
                <w:sz w:val="20"/>
                <w:szCs w:val="20"/>
              </w:rPr>
              <w:t>0.080</w:t>
            </w:r>
          </w:p>
        </w:tc>
      </w:tr>
      <w:tr w:rsidR="00F1052A" w:rsidRPr="00362CF5" w14:paraId="5F03F527" w14:textId="77777777" w:rsidTr="00F1052A">
        <w:trPr>
          <w:trHeight w:val="300"/>
        </w:trPr>
        <w:tc>
          <w:tcPr>
            <w:tcW w:w="3324" w:type="dxa"/>
            <w:tcMar>
              <w:top w:w="0" w:type="dxa"/>
              <w:left w:w="115" w:type="dxa"/>
              <w:bottom w:w="0" w:type="dxa"/>
              <w:right w:w="115" w:type="dxa"/>
            </w:tcMar>
            <w:vAlign w:val="bottom"/>
            <w:hideMark/>
          </w:tcPr>
          <w:p w14:paraId="1B18E998" w14:textId="77777777" w:rsidR="00F1052A" w:rsidRPr="00362CF5" w:rsidRDefault="00F1052A" w:rsidP="00F1052A">
            <w:pPr>
              <w:spacing w:line="240" w:lineRule="auto"/>
              <w:rPr>
                <w:sz w:val="20"/>
                <w:szCs w:val="20"/>
              </w:rPr>
            </w:pPr>
            <w:r w:rsidRPr="00362CF5">
              <w:rPr>
                <w:b/>
                <w:bCs/>
                <w:i/>
                <w:iCs/>
                <w:color w:val="000000"/>
                <w:sz w:val="20"/>
                <w:szCs w:val="20"/>
              </w:rPr>
              <w:t xml:space="preserve">Smoking </w:t>
            </w:r>
            <w:r w:rsidRPr="00362CF5">
              <w:rPr>
                <w:color w:val="000000"/>
                <w:sz w:val="20"/>
                <w:szCs w:val="20"/>
              </w:rPr>
              <w:t>(yes)</w:t>
            </w:r>
          </w:p>
        </w:tc>
        <w:tc>
          <w:tcPr>
            <w:tcW w:w="619" w:type="dxa"/>
            <w:tcMar>
              <w:top w:w="0" w:type="dxa"/>
              <w:left w:w="115" w:type="dxa"/>
              <w:bottom w:w="0" w:type="dxa"/>
              <w:right w:w="115" w:type="dxa"/>
            </w:tcMar>
            <w:vAlign w:val="center"/>
            <w:hideMark/>
          </w:tcPr>
          <w:p w14:paraId="25C63EA4" w14:textId="77777777" w:rsidR="00F1052A" w:rsidRPr="00362CF5" w:rsidRDefault="00F1052A" w:rsidP="00F1052A">
            <w:pPr>
              <w:spacing w:line="240" w:lineRule="auto"/>
              <w:jc w:val="center"/>
            </w:pPr>
            <w:r w:rsidRPr="00362CF5">
              <w:rPr>
                <w:color w:val="000000"/>
                <w:sz w:val="20"/>
                <w:szCs w:val="20"/>
              </w:rPr>
              <w:t>84</w:t>
            </w:r>
          </w:p>
        </w:tc>
        <w:tc>
          <w:tcPr>
            <w:tcW w:w="1559" w:type="dxa"/>
            <w:shd w:val="clear" w:color="auto" w:fill="FFFFFF"/>
            <w:tcMar>
              <w:top w:w="0" w:type="dxa"/>
              <w:left w:w="115" w:type="dxa"/>
              <w:bottom w:w="0" w:type="dxa"/>
              <w:right w:w="115" w:type="dxa"/>
            </w:tcMar>
            <w:vAlign w:val="center"/>
            <w:hideMark/>
          </w:tcPr>
          <w:p w14:paraId="415DEBED" w14:textId="77777777" w:rsidR="00F1052A" w:rsidRPr="00362CF5" w:rsidRDefault="00F1052A" w:rsidP="00F1052A">
            <w:pPr>
              <w:spacing w:line="240" w:lineRule="auto"/>
              <w:jc w:val="right"/>
            </w:pPr>
            <w:r w:rsidRPr="00362CF5">
              <w:rPr>
                <w:color w:val="000000"/>
                <w:sz w:val="20"/>
                <w:szCs w:val="20"/>
              </w:rPr>
              <w:t>14.4 (10.8-19.0)</w:t>
            </w:r>
          </w:p>
        </w:tc>
        <w:tc>
          <w:tcPr>
            <w:tcW w:w="709" w:type="dxa"/>
            <w:tcMar>
              <w:top w:w="0" w:type="dxa"/>
              <w:left w:w="115" w:type="dxa"/>
              <w:bottom w:w="0" w:type="dxa"/>
              <w:right w:w="115" w:type="dxa"/>
            </w:tcMar>
            <w:vAlign w:val="bottom"/>
            <w:hideMark/>
          </w:tcPr>
          <w:p w14:paraId="4B30AE7A" w14:textId="77777777" w:rsidR="00F1052A" w:rsidRPr="00362CF5" w:rsidRDefault="00F1052A" w:rsidP="00F1052A">
            <w:pPr>
              <w:spacing w:line="240" w:lineRule="auto"/>
              <w:jc w:val="center"/>
            </w:pPr>
            <w:r w:rsidRPr="00362CF5">
              <w:rPr>
                <w:color w:val="000000"/>
                <w:sz w:val="20"/>
                <w:szCs w:val="20"/>
              </w:rPr>
              <w:t>727</w:t>
            </w:r>
          </w:p>
        </w:tc>
        <w:tc>
          <w:tcPr>
            <w:tcW w:w="1559" w:type="dxa"/>
            <w:shd w:val="clear" w:color="auto" w:fill="FFFFFF"/>
            <w:tcMar>
              <w:top w:w="0" w:type="dxa"/>
              <w:left w:w="115" w:type="dxa"/>
              <w:bottom w:w="0" w:type="dxa"/>
              <w:right w:w="115" w:type="dxa"/>
            </w:tcMar>
            <w:vAlign w:val="center"/>
            <w:hideMark/>
          </w:tcPr>
          <w:p w14:paraId="25A24DD2" w14:textId="77777777" w:rsidR="00F1052A" w:rsidRPr="00362CF5" w:rsidRDefault="00F1052A" w:rsidP="00F1052A">
            <w:pPr>
              <w:spacing w:line="240" w:lineRule="auto"/>
              <w:jc w:val="right"/>
            </w:pPr>
            <w:r w:rsidRPr="00362CF5">
              <w:rPr>
                <w:color w:val="000000"/>
                <w:sz w:val="20"/>
                <w:szCs w:val="20"/>
              </w:rPr>
              <w:t>13.3 (11.9-14.9)</w:t>
            </w:r>
          </w:p>
        </w:tc>
        <w:tc>
          <w:tcPr>
            <w:tcW w:w="992" w:type="dxa"/>
            <w:tcMar>
              <w:top w:w="0" w:type="dxa"/>
              <w:left w:w="115" w:type="dxa"/>
              <w:bottom w:w="0" w:type="dxa"/>
              <w:right w:w="115" w:type="dxa"/>
            </w:tcMar>
            <w:vAlign w:val="center"/>
            <w:hideMark/>
          </w:tcPr>
          <w:p w14:paraId="5E904069" w14:textId="77777777" w:rsidR="00F1052A" w:rsidRPr="00362CF5" w:rsidRDefault="00F1052A" w:rsidP="00F1052A">
            <w:pPr>
              <w:spacing w:line="240" w:lineRule="auto"/>
              <w:jc w:val="center"/>
            </w:pPr>
            <w:r w:rsidRPr="00362CF5">
              <w:rPr>
                <w:color w:val="000000"/>
                <w:sz w:val="20"/>
                <w:szCs w:val="20"/>
              </w:rPr>
              <w:t>0.568</w:t>
            </w:r>
          </w:p>
        </w:tc>
      </w:tr>
      <w:tr w:rsidR="00F1052A" w:rsidRPr="00362CF5" w14:paraId="27C27F17" w14:textId="77777777" w:rsidTr="00F1052A">
        <w:trPr>
          <w:trHeight w:val="300"/>
        </w:trPr>
        <w:tc>
          <w:tcPr>
            <w:tcW w:w="3324" w:type="dxa"/>
            <w:tcMar>
              <w:top w:w="0" w:type="dxa"/>
              <w:left w:w="115" w:type="dxa"/>
              <w:bottom w:w="0" w:type="dxa"/>
              <w:right w:w="115" w:type="dxa"/>
            </w:tcMar>
            <w:vAlign w:val="bottom"/>
            <w:hideMark/>
          </w:tcPr>
          <w:p w14:paraId="35E0C06C" w14:textId="77777777" w:rsidR="00F1052A" w:rsidRPr="00362CF5" w:rsidRDefault="00F1052A" w:rsidP="00F1052A">
            <w:pPr>
              <w:spacing w:line="240" w:lineRule="auto"/>
              <w:rPr>
                <w:sz w:val="20"/>
                <w:szCs w:val="20"/>
              </w:rPr>
            </w:pPr>
            <w:r w:rsidRPr="00362CF5">
              <w:rPr>
                <w:b/>
                <w:bCs/>
                <w:i/>
                <w:iCs/>
                <w:color w:val="000000"/>
                <w:sz w:val="20"/>
                <w:szCs w:val="20"/>
              </w:rPr>
              <w:t xml:space="preserve">Physical activity </w:t>
            </w:r>
            <w:r w:rsidRPr="00362CF5">
              <w:rPr>
                <w:color w:val="000000"/>
                <w:sz w:val="20"/>
                <w:szCs w:val="20"/>
              </w:rPr>
              <w:t>(yes)</w:t>
            </w:r>
            <w:r>
              <w:rPr>
                <w:color w:val="000000"/>
                <w:sz w:val="20"/>
                <w:szCs w:val="20"/>
              </w:rPr>
              <w:t xml:space="preserve"> </w:t>
            </w:r>
            <w:r w:rsidRPr="00362CF5">
              <w:rPr>
                <w:b/>
                <w:bCs/>
                <w:color w:val="000000"/>
                <w:sz w:val="20"/>
                <w:szCs w:val="20"/>
                <w:vertAlign w:val="superscript"/>
              </w:rPr>
              <w:t>c</w:t>
            </w:r>
          </w:p>
        </w:tc>
        <w:tc>
          <w:tcPr>
            <w:tcW w:w="619" w:type="dxa"/>
            <w:shd w:val="clear" w:color="auto" w:fill="FFFFFF"/>
            <w:tcMar>
              <w:top w:w="0" w:type="dxa"/>
              <w:left w:w="115" w:type="dxa"/>
              <w:bottom w:w="0" w:type="dxa"/>
              <w:right w:w="115" w:type="dxa"/>
            </w:tcMar>
            <w:vAlign w:val="center"/>
            <w:hideMark/>
          </w:tcPr>
          <w:p w14:paraId="0A42AE41" w14:textId="77777777" w:rsidR="00F1052A" w:rsidRPr="00362CF5" w:rsidRDefault="00F1052A" w:rsidP="00F1052A">
            <w:pPr>
              <w:spacing w:line="240" w:lineRule="auto"/>
              <w:jc w:val="center"/>
            </w:pPr>
            <w:r w:rsidRPr="00362CF5">
              <w:rPr>
                <w:color w:val="000000"/>
                <w:sz w:val="20"/>
                <w:szCs w:val="20"/>
              </w:rPr>
              <w:t>187</w:t>
            </w:r>
          </w:p>
        </w:tc>
        <w:tc>
          <w:tcPr>
            <w:tcW w:w="1559" w:type="dxa"/>
            <w:shd w:val="clear" w:color="auto" w:fill="FFFFFF"/>
            <w:tcMar>
              <w:top w:w="0" w:type="dxa"/>
              <w:left w:w="115" w:type="dxa"/>
              <w:bottom w:w="0" w:type="dxa"/>
              <w:right w:w="115" w:type="dxa"/>
            </w:tcMar>
            <w:vAlign w:val="center"/>
            <w:hideMark/>
          </w:tcPr>
          <w:p w14:paraId="3B239DE0" w14:textId="77777777" w:rsidR="00F1052A" w:rsidRPr="00362CF5" w:rsidRDefault="00F1052A" w:rsidP="00F1052A">
            <w:pPr>
              <w:spacing w:line="240" w:lineRule="auto"/>
              <w:jc w:val="right"/>
            </w:pPr>
            <w:r w:rsidRPr="00362CF5">
              <w:rPr>
                <w:color w:val="000000"/>
                <w:sz w:val="20"/>
                <w:szCs w:val="20"/>
              </w:rPr>
              <w:t>30.8 (25.1-37.1)</w:t>
            </w:r>
          </w:p>
        </w:tc>
        <w:tc>
          <w:tcPr>
            <w:tcW w:w="709" w:type="dxa"/>
            <w:shd w:val="clear" w:color="auto" w:fill="FFFFFF"/>
            <w:tcMar>
              <w:top w:w="0" w:type="dxa"/>
              <w:left w:w="115" w:type="dxa"/>
              <w:bottom w:w="0" w:type="dxa"/>
              <w:right w:w="115" w:type="dxa"/>
            </w:tcMar>
            <w:vAlign w:val="center"/>
            <w:hideMark/>
          </w:tcPr>
          <w:p w14:paraId="606C5EEF" w14:textId="77777777" w:rsidR="00F1052A" w:rsidRPr="00362CF5" w:rsidRDefault="00F1052A" w:rsidP="00F1052A">
            <w:pPr>
              <w:spacing w:line="240" w:lineRule="auto"/>
              <w:jc w:val="center"/>
            </w:pPr>
            <w:r w:rsidRPr="00362CF5">
              <w:rPr>
                <w:color w:val="000000"/>
                <w:sz w:val="20"/>
                <w:szCs w:val="20"/>
              </w:rPr>
              <w:t>1,583</w:t>
            </w:r>
          </w:p>
        </w:tc>
        <w:tc>
          <w:tcPr>
            <w:tcW w:w="1559" w:type="dxa"/>
            <w:shd w:val="clear" w:color="auto" w:fill="FFFFFF"/>
            <w:tcMar>
              <w:top w:w="0" w:type="dxa"/>
              <w:left w:w="115" w:type="dxa"/>
              <w:bottom w:w="0" w:type="dxa"/>
              <w:right w:w="115" w:type="dxa"/>
            </w:tcMar>
            <w:vAlign w:val="center"/>
            <w:hideMark/>
          </w:tcPr>
          <w:p w14:paraId="3882D862" w14:textId="77777777" w:rsidR="00F1052A" w:rsidRPr="00362CF5" w:rsidRDefault="00F1052A" w:rsidP="00F1052A">
            <w:pPr>
              <w:spacing w:line="240" w:lineRule="auto"/>
              <w:jc w:val="right"/>
            </w:pPr>
            <w:r w:rsidRPr="00362CF5">
              <w:rPr>
                <w:color w:val="000000"/>
                <w:sz w:val="20"/>
                <w:szCs w:val="20"/>
              </w:rPr>
              <w:t>26.0 (22.7-29.6)</w:t>
            </w:r>
          </w:p>
        </w:tc>
        <w:tc>
          <w:tcPr>
            <w:tcW w:w="992" w:type="dxa"/>
            <w:tcMar>
              <w:top w:w="0" w:type="dxa"/>
              <w:left w:w="115" w:type="dxa"/>
              <w:bottom w:w="0" w:type="dxa"/>
              <w:right w:w="115" w:type="dxa"/>
            </w:tcMar>
            <w:vAlign w:val="center"/>
            <w:hideMark/>
          </w:tcPr>
          <w:p w14:paraId="0EB3EE1D" w14:textId="77777777" w:rsidR="00F1052A" w:rsidRPr="00362CF5" w:rsidRDefault="00F1052A" w:rsidP="00F1052A">
            <w:pPr>
              <w:spacing w:line="240" w:lineRule="auto"/>
              <w:jc w:val="center"/>
            </w:pPr>
            <w:r w:rsidRPr="00362CF5">
              <w:rPr>
                <w:color w:val="000000"/>
                <w:sz w:val="20"/>
                <w:szCs w:val="20"/>
              </w:rPr>
              <w:t>0.066</w:t>
            </w:r>
          </w:p>
        </w:tc>
      </w:tr>
      <w:tr w:rsidR="00F1052A" w:rsidRPr="00362CF5" w14:paraId="3D621B64" w14:textId="77777777" w:rsidTr="00F1052A">
        <w:trPr>
          <w:trHeight w:val="300"/>
        </w:trPr>
        <w:tc>
          <w:tcPr>
            <w:tcW w:w="3324" w:type="dxa"/>
            <w:tcMar>
              <w:top w:w="0" w:type="dxa"/>
              <w:left w:w="115" w:type="dxa"/>
              <w:bottom w:w="0" w:type="dxa"/>
              <w:right w:w="115" w:type="dxa"/>
            </w:tcMar>
            <w:vAlign w:val="bottom"/>
            <w:hideMark/>
          </w:tcPr>
          <w:p w14:paraId="6B9263CE" w14:textId="77777777" w:rsidR="00F1052A" w:rsidRPr="00362CF5" w:rsidRDefault="00F1052A" w:rsidP="00F1052A">
            <w:pPr>
              <w:spacing w:line="240" w:lineRule="auto"/>
              <w:rPr>
                <w:sz w:val="20"/>
                <w:szCs w:val="20"/>
              </w:rPr>
            </w:pPr>
            <w:r w:rsidRPr="00362CF5">
              <w:rPr>
                <w:b/>
                <w:bCs/>
                <w:i/>
                <w:iCs/>
                <w:color w:val="000000"/>
                <w:sz w:val="20"/>
                <w:szCs w:val="20"/>
              </w:rPr>
              <w:t xml:space="preserve">Fat reduction diet </w:t>
            </w:r>
            <w:r w:rsidRPr="00362CF5">
              <w:rPr>
                <w:color w:val="000000"/>
                <w:sz w:val="20"/>
                <w:szCs w:val="20"/>
              </w:rPr>
              <w:t>(yes)</w:t>
            </w:r>
          </w:p>
        </w:tc>
        <w:tc>
          <w:tcPr>
            <w:tcW w:w="619" w:type="dxa"/>
            <w:shd w:val="clear" w:color="auto" w:fill="FFFFFF"/>
            <w:tcMar>
              <w:top w:w="0" w:type="dxa"/>
              <w:left w:w="115" w:type="dxa"/>
              <w:bottom w:w="0" w:type="dxa"/>
              <w:right w:w="115" w:type="dxa"/>
            </w:tcMar>
            <w:vAlign w:val="center"/>
            <w:hideMark/>
          </w:tcPr>
          <w:p w14:paraId="6A0BB67E" w14:textId="77777777" w:rsidR="00F1052A" w:rsidRPr="00362CF5" w:rsidRDefault="00F1052A" w:rsidP="00F1052A">
            <w:pPr>
              <w:spacing w:line="240" w:lineRule="auto"/>
              <w:jc w:val="center"/>
            </w:pPr>
            <w:r w:rsidRPr="00362CF5">
              <w:rPr>
                <w:color w:val="000000"/>
                <w:sz w:val="20"/>
                <w:szCs w:val="20"/>
              </w:rPr>
              <w:t>493</w:t>
            </w:r>
          </w:p>
        </w:tc>
        <w:tc>
          <w:tcPr>
            <w:tcW w:w="1559" w:type="dxa"/>
            <w:shd w:val="clear" w:color="auto" w:fill="FFFFFF"/>
            <w:tcMar>
              <w:top w:w="0" w:type="dxa"/>
              <w:left w:w="115" w:type="dxa"/>
              <w:bottom w:w="0" w:type="dxa"/>
              <w:right w:w="115" w:type="dxa"/>
            </w:tcMar>
            <w:vAlign w:val="center"/>
            <w:hideMark/>
          </w:tcPr>
          <w:p w14:paraId="5E64E5E6" w14:textId="77777777" w:rsidR="00F1052A" w:rsidRPr="00362CF5" w:rsidRDefault="00F1052A" w:rsidP="00F1052A">
            <w:pPr>
              <w:spacing w:line="240" w:lineRule="auto"/>
              <w:jc w:val="right"/>
            </w:pPr>
            <w:r w:rsidRPr="00362CF5">
              <w:rPr>
                <w:color w:val="000000"/>
                <w:sz w:val="20"/>
                <w:szCs w:val="20"/>
              </w:rPr>
              <w:t>77.4 (72.8-81.4)</w:t>
            </w:r>
          </w:p>
        </w:tc>
        <w:tc>
          <w:tcPr>
            <w:tcW w:w="709" w:type="dxa"/>
            <w:shd w:val="clear" w:color="auto" w:fill="FFFFFF"/>
            <w:tcMar>
              <w:top w:w="0" w:type="dxa"/>
              <w:left w:w="115" w:type="dxa"/>
              <w:bottom w:w="0" w:type="dxa"/>
              <w:right w:w="115" w:type="dxa"/>
            </w:tcMar>
            <w:vAlign w:val="center"/>
            <w:hideMark/>
          </w:tcPr>
          <w:p w14:paraId="5FD4987F" w14:textId="77777777" w:rsidR="00F1052A" w:rsidRPr="00362CF5" w:rsidRDefault="00F1052A" w:rsidP="00F1052A">
            <w:pPr>
              <w:spacing w:line="240" w:lineRule="auto"/>
              <w:jc w:val="center"/>
            </w:pPr>
            <w:r w:rsidRPr="00362CF5">
              <w:rPr>
                <w:color w:val="000000"/>
                <w:sz w:val="20"/>
                <w:szCs w:val="20"/>
              </w:rPr>
              <w:t>3,504</w:t>
            </w:r>
          </w:p>
        </w:tc>
        <w:tc>
          <w:tcPr>
            <w:tcW w:w="1559" w:type="dxa"/>
            <w:shd w:val="clear" w:color="auto" w:fill="FFFFFF"/>
            <w:tcMar>
              <w:top w:w="0" w:type="dxa"/>
              <w:left w:w="115" w:type="dxa"/>
              <w:bottom w:w="0" w:type="dxa"/>
              <w:right w:w="115" w:type="dxa"/>
            </w:tcMar>
            <w:vAlign w:val="center"/>
            <w:hideMark/>
          </w:tcPr>
          <w:p w14:paraId="79EB2835" w14:textId="77777777" w:rsidR="00F1052A" w:rsidRPr="00362CF5" w:rsidRDefault="00F1052A" w:rsidP="00F1052A">
            <w:pPr>
              <w:spacing w:line="240" w:lineRule="auto"/>
              <w:jc w:val="right"/>
            </w:pPr>
            <w:r w:rsidRPr="00362CF5">
              <w:rPr>
                <w:color w:val="000000"/>
                <w:sz w:val="20"/>
                <w:szCs w:val="20"/>
              </w:rPr>
              <w:t>58.4 (55.1-61.5)</w:t>
            </w:r>
          </w:p>
        </w:tc>
        <w:tc>
          <w:tcPr>
            <w:tcW w:w="992" w:type="dxa"/>
            <w:tcMar>
              <w:top w:w="0" w:type="dxa"/>
              <w:left w:w="115" w:type="dxa"/>
              <w:bottom w:w="0" w:type="dxa"/>
              <w:right w:w="115" w:type="dxa"/>
            </w:tcMar>
            <w:vAlign w:val="bottom"/>
            <w:hideMark/>
          </w:tcPr>
          <w:p w14:paraId="4D7284EB" w14:textId="77777777" w:rsidR="00F1052A" w:rsidRPr="00362CF5" w:rsidRDefault="00F1052A" w:rsidP="00F1052A">
            <w:pPr>
              <w:spacing w:line="240" w:lineRule="auto"/>
              <w:jc w:val="center"/>
            </w:pPr>
            <w:r w:rsidRPr="00362CF5">
              <w:rPr>
                <w:color w:val="000000"/>
                <w:sz w:val="20"/>
                <w:szCs w:val="20"/>
              </w:rPr>
              <w:t>&lt;0.001</w:t>
            </w:r>
          </w:p>
        </w:tc>
      </w:tr>
      <w:tr w:rsidR="00F1052A" w:rsidRPr="00362CF5" w14:paraId="34570D72" w14:textId="77777777" w:rsidTr="00F1052A">
        <w:trPr>
          <w:trHeight w:val="300"/>
        </w:trPr>
        <w:tc>
          <w:tcPr>
            <w:tcW w:w="3324" w:type="dxa"/>
            <w:tcMar>
              <w:top w:w="0" w:type="dxa"/>
              <w:left w:w="115" w:type="dxa"/>
              <w:bottom w:w="0" w:type="dxa"/>
              <w:right w:w="115" w:type="dxa"/>
            </w:tcMar>
            <w:hideMark/>
          </w:tcPr>
          <w:p w14:paraId="77C19401" w14:textId="77777777" w:rsidR="00F1052A" w:rsidRPr="00362CF5" w:rsidRDefault="00F1052A" w:rsidP="00F1052A">
            <w:pPr>
              <w:spacing w:line="240" w:lineRule="auto"/>
              <w:rPr>
                <w:sz w:val="20"/>
                <w:szCs w:val="20"/>
              </w:rPr>
            </w:pPr>
            <w:r w:rsidRPr="00362CF5">
              <w:rPr>
                <w:b/>
                <w:bCs/>
                <w:i/>
                <w:iCs/>
                <w:color w:val="000000"/>
                <w:sz w:val="20"/>
                <w:szCs w:val="20"/>
              </w:rPr>
              <w:t>Self-perception of health</w:t>
            </w:r>
          </w:p>
        </w:tc>
        <w:tc>
          <w:tcPr>
            <w:tcW w:w="619" w:type="dxa"/>
            <w:tcMar>
              <w:top w:w="0" w:type="dxa"/>
              <w:left w:w="115" w:type="dxa"/>
              <w:bottom w:w="0" w:type="dxa"/>
              <w:right w:w="115" w:type="dxa"/>
            </w:tcMar>
            <w:vAlign w:val="center"/>
            <w:hideMark/>
          </w:tcPr>
          <w:p w14:paraId="5857F1E8" w14:textId="77777777" w:rsidR="00F1052A" w:rsidRPr="00362CF5" w:rsidRDefault="00F1052A" w:rsidP="00F1052A">
            <w:pPr>
              <w:spacing w:line="240" w:lineRule="auto"/>
            </w:pPr>
          </w:p>
        </w:tc>
        <w:tc>
          <w:tcPr>
            <w:tcW w:w="1559" w:type="dxa"/>
            <w:tcMar>
              <w:top w:w="0" w:type="dxa"/>
              <w:left w:w="115" w:type="dxa"/>
              <w:bottom w:w="0" w:type="dxa"/>
              <w:right w:w="115" w:type="dxa"/>
            </w:tcMar>
            <w:vAlign w:val="bottom"/>
            <w:hideMark/>
          </w:tcPr>
          <w:p w14:paraId="40E841C0" w14:textId="77777777" w:rsidR="00F1052A" w:rsidRPr="00362CF5" w:rsidRDefault="00F1052A" w:rsidP="00F1052A">
            <w:pPr>
              <w:spacing w:line="240" w:lineRule="auto"/>
            </w:pPr>
          </w:p>
        </w:tc>
        <w:tc>
          <w:tcPr>
            <w:tcW w:w="709" w:type="dxa"/>
            <w:tcMar>
              <w:top w:w="0" w:type="dxa"/>
              <w:left w:w="115" w:type="dxa"/>
              <w:bottom w:w="0" w:type="dxa"/>
              <w:right w:w="115" w:type="dxa"/>
            </w:tcMar>
            <w:vAlign w:val="bottom"/>
            <w:hideMark/>
          </w:tcPr>
          <w:p w14:paraId="292F2EE1" w14:textId="77777777" w:rsidR="00F1052A" w:rsidRPr="00362CF5" w:rsidRDefault="00F1052A" w:rsidP="00F1052A">
            <w:pPr>
              <w:spacing w:line="240" w:lineRule="auto"/>
            </w:pPr>
          </w:p>
        </w:tc>
        <w:tc>
          <w:tcPr>
            <w:tcW w:w="1559" w:type="dxa"/>
            <w:tcMar>
              <w:top w:w="0" w:type="dxa"/>
              <w:left w:w="115" w:type="dxa"/>
              <w:bottom w:w="0" w:type="dxa"/>
              <w:right w:w="115" w:type="dxa"/>
            </w:tcMar>
            <w:vAlign w:val="bottom"/>
            <w:hideMark/>
          </w:tcPr>
          <w:p w14:paraId="12263632" w14:textId="77777777" w:rsidR="00F1052A" w:rsidRPr="00362CF5" w:rsidRDefault="00F1052A" w:rsidP="00F1052A">
            <w:pPr>
              <w:spacing w:line="240" w:lineRule="auto"/>
            </w:pPr>
          </w:p>
        </w:tc>
        <w:tc>
          <w:tcPr>
            <w:tcW w:w="992" w:type="dxa"/>
            <w:tcMar>
              <w:top w:w="0" w:type="dxa"/>
              <w:left w:w="115" w:type="dxa"/>
              <w:bottom w:w="0" w:type="dxa"/>
              <w:right w:w="115" w:type="dxa"/>
            </w:tcMar>
            <w:vAlign w:val="bottom"/>
            <w:hideMark/>
          </w:tcPr>
          <w:p w14:paraId="5EF9E871" w14:textId="77777777" w:rsidR="00F1052A" w:rsidRPr="00362CF5" w:rsidRDefault="00F1052A" w:rsidP="00F1052A">
            <w:pPr>
              <w:spacing w:line="240" w:lineRule="auto"/>
              <w:jc w:val="center"/>
            </w:pPr>
            <w:r w:rsidRPr="00362CF5">
              <w:rPr>
                <w:color w:val="000000"/>
                <w:sz w:val="20"/>
                <w:szCs w:val="20"/>
              </w:rPr>
              <w:t>0.006</w:t>
            </w:r>
          </w:p>
        </w:tc>
      </w:tr>
      <w:tr w:rsidR="00F1052A" w:rsidRPr="00362CF5" w14:paraId="03127A0E" w14:textId="77777777" w:rsidTr="00F1052A">
        <w:trPr>
          <w:trHeight w:val="300"/>
        </w:trPr>
        <w:tc>
          <w:tcPr>
            <w:tcW w:w="3324" w:type="dxa"/>
            <w:tcMar>
              <w:top w:w="0" w:type="dxa"/>
              <w:left w:w="115" w:type="dxa"/>
              <w:bottom w:w="0" w:type="dxa"/>
              <w:right w:w="115" w:type="dxa"/>
            </w:tcMar>
            <w:hideMark/>
          </w:tcPr>
          <w:p w14:paraId="0AAB9274" w14:textId="77777777" w:rsidR="00F1052A" w:rsidRPr="00362CF5" w:rsidRDefault="00F1052A" w:rsidP="00F1052A">
            <w:pPr>
              <w:spacing w:line="240" w:lineRule="auto"/>
              <w:ind w:left="366"/>
              <w:rPr>
                <w:sz w:val="20"/>
                <w:szCs w:val="20"/>
              </w:rPr>
            </w:pPr>
            <w:r w:rsidRPr="00362CF5">
              <w:rPr>
                <w:color w:val="000000"/>
                <w:sz w:val="20"/>
                <w:szCs w:val="20"/>
              </w:rPr>
              <w:t> Good/very good</w:t>
            </w:r>
          </w:p>
        </w:tc>
        <w:tc>
          <w:tcPr>
            <w:tcW w:w="619" w:type="dxa"/>
            <w:shd w:val="clear" w:color="auto" w:fill="FFFFFF"/>
            <w:tcMar>
              <w:top w:w="0" w:type="dxa"/>
              <w:left w:w="115" w:type="dxa"/>
              <w:bottom w:w="0" w:type="dxa"/>
              <w:right w:w="115" w:type="dxa"/>
            </w:tcMar>
            <w:vAlign w:val="center"/>
            <w:hideMark/>
          </w:tcPr>
          <w:p w14:paraId="731E1CEB" w14:textId="77777777" w:rsidR="00F1052A" w:rsidRPr="00362CF5" w:rsidRDefault="00F1052A" w:rsidP="00F1052A">
            <w:pPr>
              <w:spacing w:line="240" w:lineRule="auto"/>
              <w:jc w:val="center"/>
            </w:pPr>
            <w:r w:rsidRPr="00362CF5">
              <w:rPr>
                <w:color w:val="000000"/>
                <w:sz w:val="20"/>
                <w:szCs w:val="20"/>
              </w:rPr>
              <w:t>253</w:t>
            </w:r>
          </w:p>
        </w:tc>
        <w:tc>
          <w:tcPr>
            <w:tcW w:w="1559" w:type="dxa"/>
            <w:shd w:val="clear" w:color="auto" w:fill="FFFFFF"/>
            <w:tcMar>
              <w:top w:w="0" w:type="dxa"/>
              <w:left w:w="115" w:type="dxa"/>
              <w:bottom w:w="0" w:type="dxa"/>
              <w:right w:w="115" w:type="dxa"/>
            </w:tcMar>
            <w:vAlign w:val="center"/>
            <w:hideMark/>
          </w:tcPr>
          <w:p w14:paraId="654846B9" w14:textId="77777777" w:rsidR="00F1052A" w:rsidRPr="00362CF5" w:rsidRDefault="00F1052A" w:rsidP="00F1052A">
            <w:pPr>
              <w:spacing w:line="240" w:lineRule="auto"/>
              <w:jc w:val="right"/>
            </w:pPr>
            <w:r w:rsidRPr="00362CF5">
              <w:rPr>
                <w:color w:val="000000"/>
                <w:sz w:val="20"/>
                <w:szCs w:val="20"/>
              </w:rPr>
              <w:t>40.3 (31.6-49.6)</w:t>
            </w:r>
          </w:p>
        </w:tc>
        <w:tc>
          <w:tcPr>
            <w:tcW w:w="709" w:type="dxa"/>
            <w:shd w:val="clear" w:color="auto" w:fill="FFFFFF"/>
            <w:tcMar>
              <w:top w:w="0" w:type="dxa"/>
              <w:left w:w="115" w:type="dxa"/>
              <w:bottom w:w="0" w:type="dxa"/>
              <w:right w:w="115" w:type="dxa"/>
            </w:tcMar>
            <w:vAlign w:val="center"/>
            <w:hideMark/>
          </w:tcPr>
          <w:p w14:paraId="20CE2204" w14:textId="77777777" w:rsidR="00F1052A" w:rsidRPr="00362CF5" w:rsidRDefault="00F1052A" w:rsidP="00F1052A">
            <w:pPr>
              <w:spacing w:line="240" w:lineRule="auto"/>
              <w:jc w:val="center"/>
            </w:pPr>
            <w:r w:rsidRPr="00362CF5">
              <w:rPr>
                <w:color w:val="000000"/>
                <w:sz w:val="20"/>
                <w:szCs w:val="20"/>
              </w:rPr>
              <w:t>3,178</w:t>
            </w:r>
          </w:p>
        </w:tc>
        <w:tc>
          <w:tcPr>
            <w:tcW w:w="1559" w:type="dxa"/>
            <w:shd w:val="clear" w:color="auto" w:fill="FFFFFF"/>
            <w:tcMar>
              <w:top w:w="0" w:type="dxa"/>
              <w:left w:w="115" w:type="dxa"/>
              <w:bottom w:w="0" w:type="dxa"/>
              <w:right w:w="115" w:type="dxa"/>
            </w:tcMar>
            <w:vAlign w:val="center"/>
            <w:hideMark/>
          </w:tcPr>
          <w:p w14:paraId="1EFBC221" w14:textId="77777777" w:rsidR="00F1052A" w:rsidRPr="00362CF5" w:rsidRDefault="00F1052A" w:rsidP="00F1052A">
            <w:pPr>
              <w:spacing w:line="240" w:lineRule="auto"/>
              <w:jc w:val="right"/>
            </w:pPr>
            <w:r w:rsidRPr="00362CF5">
              <w:rPr>
                <w:color w:val="000000"/>
                <w:sz w:val="20"/>
                <w:szCs w:val="20"/>
              </w:rPr>
              <w:t>53.0 (50.1-55.9)</w:t>
            </w:r>
          </w:p>
        </w:tc>
        <w:tc>
          <w:tcPr>
            <w:tcW w:w="992" w:type="dxa"/>
            <w:tcMar>
              <w:top w:w="0" w:type="dxa"/>
              <w:left w:w="115" w:type="dxa"/>
              <w:bottom w:w="0" w:type="dxa"/>
              <w:right w:w="115" w:type="dxa"/>
            </w:tcMar>
            <w:vAlign w:val="bottom"/>
            <w:hideMark/>
          </w:tcPr>
          <w:p w14:paraId="3B533B30" w14:textId="77777777" w:rsidR="00F1052A" w:rsidRPr="00362CF5" w:rsidRDefault="00F1052A" w:rsidP="00F1052A">
            <w:pPr>
              <w:spacing w:line="240" w:lineRule="auto"/>
            </w:pPr>
          </w:p>
        </w:tc>
      </w:tr>
      <w:tr w:rsidR="00F1052A" w:rsidRPr="00362CF5" w14:paraId="6904351C" w14:textId="77777777" w:rsidTr="00F1052A">
        <w:trPr>
          <w:trHeight w:val="300"/>
        </w:trPr>
        <w:tc>
          <w:tcPr>
            <w:tcW w:w="3324" w:type="dxa"/>
            <w:tcMar>
              <w:top w:w="0" w:type="dxa"/>
              <w:left w:w="115" w:type="dxa"/>
              <w:bottom w:w="0" w:type="dxa"/>
              <w:right w:w="115" w:type="dxa"/>
            </w:tcMar>
            <w:hideMark/>
          </w:tcPr>
          <w:p w14:paraId="76E127DA" w14:textId="77777777" w:rsidR="00F1052A" w:rsidRPr="00362CF5" w:rsidRDefault="00F1052A" w:rsidP="00F1052A">
            <w:pPr>
              <w:spacing w:line="240" w:lineRule="auto"/>
              <w:ind w:left="366"/>
              <w:rPr>
                <w:sz w:val="20"/>
                <w:szCs w:val="20"/>
              </w:rPr>
            </w:pPr>
            <w:r w:rsidRPr="00362CF5">
              <w:rPr>
                <w:color w:val="000000"/>
                <w:sz w:val="20"/>
                <w:szCs w:val="20"/>
              </w:rPr>
              <w:t> Neither bad/nor good</w:t>
            </w:r>
          </w:p>
        </w:tc>
        <w:tc>
          <w:tcPr>
            <w:tcW w:w="619" w:type="dxa"/>
            <w:shd w:val="clear" w:color="auto" w:fill="FFFFFF"/>
            <w:tcMar>
              <w:top w:w="0" w:type="dxa"/>
              <w:left w:w="115" w:type="dxa"/>
              <w:bottom w:w="0" w:type="dxa"/>
              <w:right w:w="115" w:type="dxa"/>
            </w:tcMar>
            <w:vAlign w:val="center"/>
            <w:hideMark/>
          </w:tcPr>
          <w:p w14:paraId="36C2BBF3" w14:textId="77777777" w:rsidR="00F1052A" w:rsidRPr="00362CF5" w:rsidRDefault="00F1052A" w:rsidP="00F1052A">
            <w:pPr>
              <w:spacing w:line="240" w:lineRule="auto"/>
              <w:jc w:val="center"/>
            </w:pPr>
            <w:r w:rsidRPr="00362CF5">
              <w:rPr>
                <w:color w:val="000000"/>
                <w:sz w:val="20"/>
                <w:szCs w:val="20"/>
              </w:rPr>
              <w:t>279</w:t>
            </w:r>
          </w:p>
        </w:tc>
        <w:tc>
          <w:tcPr>
            <w:tcW w:w="1559" w:type="dxa"/>
            <w:shd w:val="clear" w:color="auto" w:fill="FFFFFF"/>
            <w:tcMar>
              <w:top w:w="0" w:type="dxa"/>
              <w:left w:w="115" w:type="dxa"/>
              <w:bottom w:w="0" w:type="dxa"/>
              <w:right w:w="115" w:type="dxa"/>
            </w:tcMar>
            <w:vAlign w:val="center"/>
            <w:hideMark/>
          </w:tcPr>
          <w:p w14:paraId="67B13D74" w14:textId="77777777" w:rsidR="00F1052A" w:rsidRPr="00362CF5" w:rsidRDefault="00F1052A" w:rsidP="00F1052A">
            <w:pPr>
              <w:spacing w:line="240" w:lineRule="auto"/>
              <w:jc w:val="right"/>
            </w:pPr>
            <w:r w:rsidRPr="00362CF5">
              <w:rPr>
                <w:color w:val="000000"/>
                <w:sz w:val="20"/>
                <w:szCs w:val="20"/>
              </w:rPr>
              <w:t>48.1 (39.7-56.6)</w:t>
            </w:r>
          </w:p>
        </w:tc>
        <w:tc>
          <w:tcPr>
            <w:tcW w:w="709" w:type="dxa"/>
            <w:shd w:val="clear" w:color="auto" w:fill="FFFFFF"/>
            <w:tcMar>
              <w:top w:w="0" w:type="dxa"/>
              <w:left w:w="115" w:type="dxa"/>
              <w:bottom w:w="0" w:type="dxa"/>
              <w:right w:w="115" w:type="dxa"/>
            </w:tcMar>
            <w:vAlign w:val="center"/>
            <w:hideMark/>
          </w:tcPr>
          <w:p w14:paraId="158F85BA" w14:textId="77777777" w:rsidR="00F1052A" w:rsidRPr="00362CF5" w:rsidRDefault="00F1052A" w:rsidP="00F1052A">
            <w:pPr>
              <w:spacing w:line="240" w:lineRule="auto"/>
              <w:jc w:val="center"/>
            </w:pPr>
            <w:r w:rsidRPr="00362CF5">
              <w:rPr>
                <w:color w:val="000000"/>
                <w:sz w:val="20"/>
                <w:szCs w:val="20"/>
              </w:rPr>
              <w:t>2,193</w:t>
            </w:r>
          </w:p>
        </w:tc>
        <w:tc>
          <w:tcPr>
            <w:tcW w:w="1559" w:type="dxa"/>
            <w:shd w:val="clear" w:color="auto" w:fill="FFFFFF"/>
            <w:tcMar>
              <w:top w:w="0" w:type="dxa"/>
              <w:left w:w="115" w:type="dxa"/>
              <w:bottom w:w="0" w:type="dxa"/>
              <w:right w:w="115" w:type="dxa"/>
            </w:tcMar>
            <w:vAlign w:val="center"/>
            <w:hideMark/>
          </w:tcPr>
          <w:p w14:paraId="3E09EA57" w14:textId="77777777" w:rsidR="00F1052A" w:rsidRPr="00362CF5" w:rsidRDefault="00F1052A" w:rsidP="00F1052A">
            <w:pPr>
              <w:spacing w:line="240" w:lineRule="auto"/>
              <w:jc w:val="right"/>
            </w:pPr>
            <w:r w:rsidRPr="00362CF5">
              <w:rPr>
                <w:color w:val="000000"/>
                <w:sz w:val="20"/>
                <w:szCs w:val="20"/>
              </w:rPr>
              <w:t>38.0 (35.8-40.2)</w:t>
            </w:r>
          </w:p>
        </w:tc>
        <w:tc>
          <w:tcPr>
            <w:tcW w:w="992" w:type="dxa"/>
            <w:tcMar>
              <w:top w:w="0" w:type="dxa"/>
              <w:left w:w="115" w:type="dxa"/>
              <w:bottom w:w="0" w:type="dxa"/>
              <w:right w:w="115" w:type="dxa"/>
            </w:tcMar>
            <w:vAlign w:val="bottom"/>
            <w:hideMark/>
          </w:tcPr>
          <w:p w14:paraId="1D6FE72C" w14:textId="77777777" w:rsidR="00F1052A" w:rsidRPr="00362CF5" w:rsidRDefault="00F1052A" w:rsidP="00F1052A">
            <w:pPr>
              <w:spacing w:line="240" w:lineRule="auto"/>
            </w:pPr>
          </w:p>
        </w:tc>
      </w:tr>
      <w:tr w:rsidR="00F1052A" w:rsidRPr="00362CF5" w14:paraId="1DFCE679" w14:textId="77777777" w:rsidTr="00F1052A">
        <w:trPr>
          <w:trHeight w:val="300"/>
        </w:trPr>
        <w:tc>
          <w:tcPr>
            <w:tcW w:w="3324" w:type="dxa"/>
            <w:tcMar>
              <w:top w:w="0" w:type="dxa"/>
              <w:left w:w="115" w:type="dxa"/>
              <w:bottom w:w="0" w:type="dxa"/>
              <w:right w:w="115" w:type="dxa"/>
            </w:tcMar>
            <w:hideMark/>
          </w:tcPr>
          <w:p w14:paraId="617660DD" w14:textId="77777777" w:rsidR="00F1052A" w:rsidRPr="00362CF5" w:rsidRDefault="00F1052A" w:rsidP="00F1052A">
            <w:pPr>
              <w:spacing w:line="240" w:lineRule="auto"/>
              <w:ind w:left="366"/>
              <w:rPr>
                <w:sz w:val="20"/>
                <w:szCs w:val="20"/>
              </w:rPr>
            </w:pPr>
            <w:r w:rsidRPr="00362CF5">
              <w:rPr>
                <w:color w:val="000000"/>
                <w:sz w:val="20"/>
                <w:szCs w:val="20"/>
              </w:rPr>
              <w:t> Bad/very bad</w:t>
            </w:r>
          </w:p>
        </w:tc>
        <w:tc>
          <w:tcPr>
            <w:tcW w:w="619" w:type="dxa"/>
            <w:shd w:val="clear" w:color="auto" w:fill="FFFFFF"/>
            <w:tcMar>
              <w:top w:w="0" w:type="dxa"/>
              <w:left w:w="115" w:type="dxa"/>
              <w:bottom w:w="0" w:type="dxa"/>
              <w:right w:w="115" w:type="dxa"/>
            </w:tcMar>
            <w:vAlign w:val="center"/>
            <w:hideMark/>
          </w:tcPr>
          <w:p w14:paraId="156EFB7E" w14:textId="77777777" w:rsidR="00F1052A" w:rsidRPr="00362CF5" w:rsidRDefault="00F1052A" w:rsidP="00F1052A">
            <w:pPr>
              <w:spacing w:line="240" w:lineRule="auto"/>
              <w:jc w:val="center"/>
            </w:pPr>
            <w:r w:rsidRPr="00362CF5">
              <w:rPr>
                <w:color w:val="000000"/>
                <w:sz w:val="20"/>
                <w:szCs w:val="20"/>
              </w:rPr>
              <w:t>70</w:t>
            </w:r>
          </w:p>
        </w:tc>
        <w:tc>
          <w:tcPr>
            <w:tcW w:w="1559" w:type="dxa"/>
            <w:shd w:val="clear" w:color="auto" w:fill="FFFFFF"/>
            <w:tcMar>
              <w:top w:w="0" w:type="dxa"/>
              <w:left w:w="115" w:type="dxa"/>
              <w:bottom w:w="0" w:type="dxa"/>
              <w:right w:w="115" w:type="dxa"/>
            </w:tcMar>
            <w:vAlign w:val="center"/>
            <w:hideMark/>
          </w:tcPr>
          <w:p w14:paraId="5DB2D841" w14:textId="77777777" w:rsidR="00F1052A" w:rsidRPr="00362CF5" w:rsidRDefault="00F1052A" w:rsidP="00F1052A">
            <w:pPr>
              <w:spacing w:line="240" w:lineRule="auto"/>
              <w:jc w:val="right"/>
            </w:pPr>
            <w:r w:rsidRPr="00362CF5">
              <w:rPr>
                <w:color w:val="000000"/>
                <w:sz w:val="20"/>
                <w:szCs w:val="20"/>
              </w:rPr>
              <w:t>11.6 (7.8-17.0)</w:t>
            </w:r>
          </w:p>
        </w:tc>
        <w:tc>
          <w:tcPr>
            <w:tcW w:w="709" w:type="dxa"/>
            <w:shd w:val="clear" w:color="auto" w:fill="FFFFFF"/>
            <w:tcMar>
              <w:top w:w="0" w:type="dxa"/>
              <w:left w:w="115" w:type="dxa"/>
              <w:bottom w:w="0" w:type="dxa"/>
              <w:right w:w="115" w:type="dxa"/>
            </w:tcMar>
            <w:vAlign w:val="center"/>
            <w:hideMark/>
          </w:tcPr>
          <w:p w14:paraId="311F1A65" w14:textId="77777777" w:rsidR="00F1052A" w:rsidRPr="00362CF5" w:rsidRDefault="00F1052A" w:rsidP="00F1052A">
            <w:pPr>
              <w:spacing w:line="240" w:lineRule="auto"/>
              <w:jc w:val="center"/>
            </w:pPr>
            <w:r w:rsidRPr="00362CF5">
              <w:rPr>
                <w:color w:val="000000"/>
                <w:sz w:val="20"/>
                <w:szCs w:val="20"/>
              </w:rPr>
              <w:t>528</w:t>
            </w:r>
          </w:p>
        </w:tc>
        <w:tc>
          <w:tcPr>
            <w:tcW w:w="1559" w:type="dxa"/>
            <w:shd w:val="clear" w:color="auto" w:fill="FFFFFF"/>
            <w:tcMar>
              <w:top w:w="0" w:type="dxa"/>
              <w:left w:w="115" w:type="dxa"/>
              <w:bottom w:w="0" w:type="dxa"/>
              <w:right w:w="115" w:type="dxa"/>
            </w:tcMar>
            <w:vAlign w:val="center"/>
            <w:hideMark/>
          </w:tcPr>
          <w:p w14:paraId="114453EF" w14:textId="77777777" w:rsidR="00F1052A" w:rsidRPr="00362CF5" w:rsidRDefault="00F1052A" w:rsidP="00F1052A">
            <w:pPr>
              <w:spacing w:line="240" w:lineRule="auto"/>
              <w:jc w:val="right"/>
            </w:pPr>
            <w:r w:rsidRPr="00362CF5">
              <w:rPr>
                <w:color w:val="000000"/>
                <w:sz w:val="20"/>
                <w:szCs w:val="20"/>
              </w:rPr>
              <w:t>9.1 (7.8-10.5)</w:t>
            </w:r>
          </w:p>
        </w:tc>
        <w:tc>
          <w:tcPr>
            <w:tcW w:w="992" w:type="dxa"/>
            <w:tcMar>
              <w:top w:w="0" w:type="dxa"/>
              <w:left w:w="115" w:type="dxa"/>
              <w:bottom w:w="0" w:type="dxa"/>
              <w:right w:w="115" w:type="dxa"/>
            </w:tcMar>
            <w:vAlign w:val="bottom"/>
            <w:hideMark/>
          </w:tcPr>
          <w:p w14:paraId="0554B6FE" w14:textId="77777777" w:rsidR="00F1052A" w:rsidRPr="00362CF5" w:rsidRDefault="00F1052A" w:rsidP="00F1052A">
            <w:pPr>
              <w:spacing w:line="240" w:lineRule="auto"/>
            </w:pPr>
            <w:r w:rsidRPr="00362CF5">
              <w:rPr>
                <w:color w:val="000000"/>
                <w:sz w:val="20"/>
                <w:szCs w:val="20"/>
              </w:rPr>
              <w:t> </w:t>
            </w:r>
          </w:p>
        </w:tc>
      </w:tr>
      <w:tr w:rsidR="00F1052A" w:rsidRPr="00362CF5" w14:paraId="7234804F" w14:textId="77777777" w:rsidTr="00F1052A">
        <w:trPr>
          <w:trHeight w:val="300"/>
        </w:trPr>
        <w:tc>
          <w:tcPr>
            <w:tcW w:w="3324" w:type="dxa"/>
            <w:tcMar>
              <w:top w:w="0" w:type="dxa"/>
              <w:left w:w="115" w:type="dxa"/>
              <w:bottom w:w="0" w:type="dxa"/>
              <w:right w:w="115" w:type="dxa"/>
            </w:tcMar>
            <w:vAlign w:val="bottom"/>
            <w:hideMark/>
          </w:tcPr>
          <w:p w14:paraId="0A226C47" w14:textId="77777777" w:rsidR="00F1052A" w:rsidRPr="00362CF5" w:rsidRDefault="00F1052A" w:rsidP="00F1052A">
            <w:pPr>
              <w:spacing w:line="240" w:lineRule="auto"/>
              <w:rPr>
                <w:sz w:val="20"/>
                <w:szCs w:val="20"/>
              </w:rPr>
            </w:pPr>
            <w:r w:rsidRPr="00362CF5">
              <w:rPr>
                <w:b/>
                <w:bCs/>
                <w:i/>
                <w:iCs/>
                <w:color w:val="000000"/>
                <w:sz w:val="20"/>
                <w:szCs w:val="20"/>
              </w:rPr>
              <w:t>Number of chronic diseases</w:t>
            </w:r>
          </w:p>
        </w:tc>
        <w:tc>
          <w:tcPr>
            <w:tcW w:w="619" w:type="dxa"/>
            <w:tcMar>
              <w:top w:w="0" w:type="dxa"/>
              <w:left w:w="115" w:type="dxa"/>
              <w:bottom w:w="0" w:type="dxa"/>
              <w:right w:w="115" w:type="dxa"/>
            </w:tcMar>
            <w:vAlign w:val="center"/>
            <w:hideMark/>
          </w:tcPr>
          <w:p w14:paraId="65A09BBC" w14:textId="77777777" w:rsidR="00F1052A" w:rsidRPr="00362CF5" w:rsidRDefault="00F1052A" w:rsidP="00F1052A">
            <w:pPr>
              <w:spacing w:line="240" w:lineRule="auto"/>
            </w:pPr>
          </w:p>
        </w:tc>
        <w:tc>
          <w:tcPr>
            <w:tcW w:w="1559" w:type="dxa"/>
            <w:tcMar>
              <w:top w:w="0" w:type="dxa"/>
              <w:left w:w="115" w:type="dxa"/>
              <w:bottom w:w="0" w:type="dxa"/>
              <w:right w:w="115" w:type="dxa"/>
            </w:tcMar>
            <w:vAlign w:val="bottom"/>
            <w:hideMark/>
          </w:tcPr>
          <w:p w14:paraId="5D83611F" w14:textId="77777777" w:rsidR="00F1052A" w:rsidRPr="00362CF5" w:rsidRDefault="00F1052A" w:rsidP="00F1052A">
            <w:pPr>
              <w:spacing w:line="240" w:lineRule="auto"/>
            </w:pPr>
          </w:p>
        </w:tc>
        <w:tc>
          <w:tcPr>
            <w:tcW w:w="709" w:type="dxa"/>
            <w:tcMar>
              <w:top w:w="0" w:type="dxa"/>
              <w:left w:w="115" w:type="dxa"/>
              <w:bottom w:w="0" w:type="dxa"/>
              <w:right w:w="115" w:type="dxa"/>
            </w:tcMar>
            <w:vAlign w:val="bottom"/>
            <w:hideMark/>
          </w:tcPr>
          <w:p w14:paraId="1431DCB3" w14:textId="77777777" w:rsidR="00F1052A" w:rsidRPr="00362CF5" w:rsidRDefault="00F1052A" w:rsidP="00F1052A">
            <w:pPr>
              <w:spacing w:line="240" w:lineRule="auto"/>
            </w:pPr>
          </w:p>
        </w:tc>
        <w:tc>
          <w:tcPr>
            <w:tcW w:w="1559" w:type="dxa"/>
            <w:tcMar>
              <w:top w:w="0" w:type="dxa"/>
              <w:left w:w="115" w:type="dxa"/>
              <w:bottom w:w="0" w:type="dxa"/>
              <w:right w:w="115" w:type="dxa"/>
            </w:tcMar>
            <w:vAlign w:val="bottom"/>
            <w:hideMark/>
          </w:tcPr>
          <w:p w14:paraId="57EC6ADC" w14:textId="77777777" w:rsidR="00F1052A" w:rsidRPr="00362CF5" w:rsidRDefault="00F1052A" w:rsidP="00F1052A">
            <w:pPr>
              <w:spacing w:line="240" w:lineRule="auto"/>
            </w:pPr>
          </w:p>
        </w:tc>
        <w:tc>
          <w:tcPr>
            <w:tcW w:w="992" w:type="dxa"/>
            <w:tcMar>
              <w:top w:w="0" w:type="dxa"/>
              <w:left w:w="115" w:type="dxa"/>
              <w:bottom w:w="0" w:type="dxa"/>
              <w:right w:w="115" w:type="dxa"/>
            </w:tcMar>
            <w:vAlign w:val="bottom"/>
            <w:hideMark/>
          </w:tcPr>
          <w:p w14:paraId="23CC5DBA" w14:textId="77777777" w:rsidR="00F1052A" w:rsidRPr="00362CF5" w:rsidRDefault="00F1052A" w:rsidP="00F1052A">
            <w:pPr>
              <w:spacing w:line="240" w:lineRule="auto"/>
            </w:pPr>
            <w:r w:rsidRPr="00362CF5">
              <w:rPr>
                <w:color w:val="000000"/>
                <w:sz w:val="20"/>
                <w:szCs w:val="20"/>
              </w:rPr>
              <w:t>&lt;0.001</w:t>
            </w:r>
          </w:p>
        </w:tc>
      </w:tr>
      <w:tr w:rsidR="00F1052A" w:rsidRPr="00362CF5" w14:paraId="4D12E2FC" w14:textId="77777777" w:rsidTr="00F1052A">
        <w:trPr>
          <w:trHeight w:val="300"/>
        </w:trPr>
        <w:tc>
          <w:tcPr>
            <w:tcW w:w="3324" w:type="dxa"/>
            <w:tcMar>
              <w:top w:w="0" w:type="dxa"/>
              <w:left w:w="115" w:type="dxa"/>
              <w:bottom w:w="0" w:type="dxa"/>
              <w:right w:w="115" w:type="dxa"/>
            </w:tcMar>
            <w:vAlign w:val="bottom"/>
            <w:hideMark/>
          </w:tcPr>
          <w:p w14:paraId="632B4B70" w14:textId="77777777" w:rsidR="00F1052A" w:rsidRPr="00362CF5" w:rsidRDefault="00F1052A" w:rsidP="00F1052A">
            <w:pPr>
              <w:spacing w:line="240" w:lineRule="auto"/>
              <w:ind w:left="366"/>
              <w:rPr>
                <w:sz w:val="20"/>
                <w:szCs w:val="20"/>
              </w:rPr>
            </w:pPr>
            <w:r w:rsidRPr="00362CF5">
              <w:rPr>
                <w:color w:val="000000"/>
                <w:sz w:val="20"/>
                <w:szCs w:val="20"/>
              </w:rPr>
              <w:t>None</w:t>
            </w:r>
          </w:p>
        </w:tc>
        <w:tc>
          <w:tcPr>
            <w:tcW w:w="619" w:type="dxa"/>
            <w:tcMar>
              <w:top w:w="0" w:type="dxa"/>
              <w:left w:w="115" w:type="dxa"/>
              <w:bottom w:w="0" w:type="dxa"/>
              <w:right w:w="115" w:type="dxa"/>
            </w:tcMar>
            <w:vAlign w:val="center"/>
            <w:hideMark/>
          </w:tcPr>
          <w:p w14:paraId="0EF9E188" w14:textId="77777777" w:rsidR="00F1052A" w:rsidRPr="00362CF5" w:rsidRDefault="00F1052A" w:rsidP="00F1052A">
            <w:pPr>
              <w:spacing w:line="240" w:lineRule="auto"/>
              <w:jc w:val="center"/>
            </w:pPr>
            <w:r w:rsidRPr="00362CF5">
              <w:rPr>
                <w:color w:val="000000"/>
                <w:sz w:val="20"/>
                <w:szCs w:val="20"/>
              </w:rPr>
              <w:t>11</w:t>
            </w:r>
          </w:p>
        </w:tc>
        <w:tc>
          <w:tcPr>
            <w:tcW w:w="1559" w:type="dxa"/>
            <w:tcMar>
              <w:top w:w="0" w:type="dxa"/>
              <w:left w:w="115" w:type="dxa"/>
              <w:bottom w:w="0" w:type="dxa"/>
              <w:right w:w="115" w:type="dxa"/>
            </w:tcMar>
            <w:vAlign w:val="bottom"/>
            <w:hideMark/>
          </w:tcPr>
          <w:p w14:paraId="234DC9B8" w14:textId="77777777" w:rsidR="00F1052A" w:rsidRPr="00362CF5" w:rsidRDefault="00F1052A" w:rsidP="00F1052A">
            <w:pPr>
              <w:spacing w:line="240" w:lineRule="auto"/>
              <w:jc w:val="right"/>
            </w:pPr>
            <w:r w:rsidRPr="00362CF5">
              <w:rPr>
                <w:color w:val="000000"/>
                <w:sz w:val="20"/>
                <w:szCs w:val="20"/>
              </w:rPr>
              <w:t>2.4 (1.0-5.3)</w:t>
            </w:r>
          </w:p>
        </w:tc>
        <w:tc>
          <w:tcPr>
            <w:tcW w:w="709" w:type="dxa"/>
            <w:tcMar>
              <w:top w:w="0" w:type="dxa"/>
              <w:left w:w="115" w:type="dxa"/>
              <w:bottom w:w="0" w:type="dxa"/>
              <w:right w:w="115" w:type="dxa"/>
            </w:tcMar>
            <w:vAlign w:val="bottom"/>
            <w:hideMark/>
          </w:tcPr>
          <w:p w14:paraId="7A404ADE" w14:textId="77777777" w:rsidR="00F1052A" w:rsidRPr="00362CF5" w:rsidRDefault="00F1052A" w:rsidP="00F1052A">
            <w:pPr>
              <w:spacing w:line="240" w:lineRule="auto"/>
              <w:jc w:val="center"/>
            </w:pPr>
            <w:r w:rsidRPr="00362CF5">
              <w:rPr>
                <w:color w:val="000000"/>
                <w:sz w:val="20"/>
                <w:szCs w:val="20"/>
              </w:rPr>
              <w:t>1,583</w:t>
            </w:r>
          </w:p>
        </w:tc>
        <w:tc>
          <w:tcPr>
            <w:tcW w:w="1559" w:type="dxa"/>
            <w:tcMar>
              <w:top w:w="0" w:type="dxa"/>
              <w:left w:w="115" w:type="dxa"/>
              <w:bottom w:w="0" w:type="dxa"/>
              <w:right w:w="115" w:type="dxa"/>
            </w:tcMar>
            <w:vAlign w:val="bottom"/>
            <w:hideMark/>
          </w:tcPr>
          <w:p w14:paraId="0F851B3D" w14:textId="77777777" w:rsidR="00F1052A" w:rsidRPr="00362CF5" w:rsidRDefault="00F1052A" w:rsidP="00F1052A">
            <w:pPr>
              <w:spacing w:line="240" w:lineRule="auto"/>
              <w:jc w:val="right"/>
            </w:pPr>
            <w:r w:rsidRPr="00362CF5">
              <w:rPr>
                <w:color w:val="000000"/>
                <w:sz w:val="20"/>
                <w:szCs w:val="20"/>
              </w:rPr>
              <w:t>24.8 (22.6-27.2)</w:t>
            </w:r>
          </w:p>
        </w:tc>
        <w:tc>
          <w:tcPr>
            <w:tcW w:w="992" w:type="dxa"/>
            <w:tcMar>
              <w:top w:w="0" w:type="dxa"/>
              <w:left w:w="115" w:type="dxa"/>
              <w:bottom w:w="0" w:type="dxa"/>
              <w:right w:w="115" w:type="dxa"/>
            </w:tcMar>
            <w:vAlign w:val="bottom"/>
            <w:hideMark/>
          </w:tcPr>
          <w:p w14:paraId="0072BEEB" w14:textId="77777777" w:rsidR="00F1052A" w:rsidRPr="00362CF5" w:rsidRDefault="00F1052A" w:rsidP="00F1052A">
            <w:pPr>
              <w:spacing w:line="240" w:lineRule="auto"/>
            </w:pPr>
          </w:p>
        </w:tc>
      </w:tr>
      <w:tr w:rsidR="00F1052A" w:rsidRPr="00362CF5" w14:paraId="27615603" w14:textId="77777777" w:rsidTr="00F1052A">
        <w:trPr>
          <w:trHeight w:val="300"/>
        </w:trPr>
        <w:tc>
          <w:tcPr>
            <w:tcW w:w="3324" w:type="dxa"/>
            <w:tcMar>
              <w:top w:w="0" w:type="dxa"/>
              <w:left w:w="115" w:type="dxa"/>
              <w:bottom w:w="0" w:type="dxa"/>
              <w:right w:w="115" w:type="dxa"/>
            </w:tcMar>
            <w:vAlign w:val="bottom"/>
            <w:hideMark/>
          </w:tcPr>
          <w:p w14:paraId="689ABE6E" w14:textId="77777777" w:rsidR="00F1052A" w:rsidRPr="00362CF5" w:rsidRDefault="00F1052A" w:rsidP="00F1052A">
            <w:pPr>
              <w:spacing w:line="240" w:lineRule="auto"/>
              <w:ind w:left="366"/>
              <w:rPr>
                <w:sz w:val="20"/>
                <w:szCs w:val="20"/>
              </w:rPr>
            </w:pPr>
            <w:r w:rsidRPr="00362CF5">
              <w:rPr>
                <w:color w:val="000000"/>
                <w:sz w:val="20"/>
                <w:szCs w:val="20"/>
              </w:rPr>
              <w:t>One</w:t>
            </w:r>
          </w:p>
        </w:tc>
        <w:tc>
          <w:tcPr>
            <w:tcW w:w="619" w:type="dxa"/>
            <w:tcMar>
              <w:top w:w="0" w:type="dxa"/>
              <w:left w:w="115" w:type="dxa"/>
              <w:bottom w:w="0" w:type="dxa"/>
              <w:right w:w="115" w:type="dxa"/>
            </w:tcMar>
            <w:vAlign w:val="center"/>
            <w:hideMark/>
          </w:tcPr>
          <w:p w14:paraId="138861F2" w14:textId="77777777" w:rsidR="00F1052A" w:rsidRPr="00362CF5" w:rsidRDefault="00F1052A" w:rsidP="00F1052A">
            <w:pPr>
              <w:spacing w:line="240" w:lineRule="auto"/>
              <w:jc w:val="center"/>
            </w:pPr>
            <w:r w:rsidRPr="00362CF5">
              <w:rPr>
                <w:color w:val="000000"/>
                <w:sz w:val="20"/>
                <w:szCs w:val="20"/>
              </w:rPr>
              <w:t>70</w:t>
            </w:r>
          </w:p>
        </w:tc>
        <w:tc>
          <w:tcPr>
            <w:tcW w:w="1559" w:type="dxa"/>
            <w:tcMar>
              <w:top w:w="0" w:type="dxa"/>
              <w:left w:w="115" w:type="dxa"/>
              <w:bottom w:w="0" w:type="dxa"/>
              <w:right w:w="115" w:type="dxa"/>
            </w:tcMar>
            <w:vAlign w:val="bottom"/>
            <w:hideMark/>
          </w:tcPr>
          <w:p w14:paraId="72224E89" w14:textId="77777777" w:rsidR="00F1052A" w:rsidRPr="00362CF5" w:rsidRDefault="00F1052A" w:rsidP="00F1052A">
            <w:pPr>
              <w:spacing w:line="240" w:lineRule="auto"/>
              <w:jc w:val="right"/>
            </w:pPr>
            <w:r w:rsidRPr="00362CF5">
              <w:rPr>
                <w:color w:val="000000"/>
                <w:sz w:val="20"/>
                <w:szCs w:val="20"/>
              </w:rPr>
              <w:t>12.8 (9.2-17.6)</w:t>
            </w:r>
          </w:p>
        </w:tc>
        <w:tc>
          <w:tcPr>
            <w:tcW w:w="709" w:type="dxa"/>
            <w:tcMar>
              <w:top w:w="0" w:type="dxa"/>
              <w:left w:w="115" w:type="dxa"/>
              <w:bottom w:w="0" w:type="dxa"/>
              <w:right w:w="115" w:type="dxa"/>
            </w:tcMar>
            <w:vAlign w:val="bottom"/>
            <w:hideMark/>
          </w:tcPr>
          <w:p w14:paraId="292BE4DE" w14:textId="77777777" w:rsidR="00F1052A" w:rsidRPr="00362CF5" w:rsidRDefault="00F1052A" w:rsidP="00F1052A">
            <w:pPr>
              <w:spacing w:line="240" w:lineRule="auto"/>
              <w:jc w:val="center"/>
            </w:pPr>
            <w:r w:rsidRPr="00362CF5">
              <w:rPr>
                <w:color w:val="000000"/>
                <w:sz w:val="20"/>
                <w:szCs w:val="20"/>
              </w:rPr>
              <w:t>1,592</w:t>
            </w:r>
          </w:p>
        </w:tc>
        <w:tc>
          <w:tcPr>
            <w:tcW w:w="1559" w:type="dxa"/>
            <w:tcMar>
              <w:top w:w="0" w:type="dxa"/>
              <w:left w:w="115" w:type="dxa"/>
              <w:bottom w:w="0" w:type="dxa"/>
              <w:right w:w="115" w:type="dxa"/>
            </w:tcMar>
            <w:vAlign w:val="bottom"/>
            <w:hideMark/>
          </w:tcPr>
          <w:p w14:paraId="13F7DF4F" w14:textId="77777777" w:rsidR="00F1052A" w:rsidRPr="00362CF5" w:rsidRDefault="00F1052A" w:rsidP="00F1052A">
            <w:pPr>
              <w:spacing w:line="240" w:lineRule="auto"/>
              <w:jc w:val="right"/>
            </w:pPr>
            <w:r w:rsidRPr="00362CF5">
              <w:rPr>
                <w:color w:val="000000"/>
                <w:sz w:val="20"/>
                <w:szCs w:val="20"/>
              </w:rPr>
              <w:t>28.8 (27.1-30.6)</w:t>
            </w:r>
          </w:p>
        </w:tc>
        <w:tc>
          <w:tcPr>
            <w:tcW w:w="992" w:type="dxa"/>
            <w:tcMar>
              <w:top w:w="0" w:type="dxa"/>
              <w:left w:w="115" w:type="dxa"/>
              <w:bottom w:w="0" w:type="dxa"/>
              <w:right w:w="115" w:type="dxa"/>
            </w:tcMar>
            <w:vAlign w:val="bottom"/>
            <w:hideMark/>
          </w:tcPr>
          <w:p w14:paraId="273E9831" w14:textId="77777777" w:rsidR="00F1052A" w:rsidRPr="00362CF5" w:rsidRDefault="00F1052A" w:rsidP="00F1052A">
            <w:pPr>
              <w:spacing w:line="240" w:lineRule="auto"/>
            </w:pPr>
          </w:p>
        </w:tc>
      </w:tr>
      <w:tr w:rsidR="00F1052A" w:rsidRPr="00362CF5" w14:paraId="687C7A01" w14:textId="77777777" w:rsidTr="00F1052A">
        <w:trPr>
          <w:trHeight w:val="300"/>
        </w:trPr>
        <w:tc>
          <w:tcPr>
            <w:tcW w:w="3324" w:type="dxa"/>
            <w:tcMar>
              <w:top w:w="0" w:type="dxa"/>
              <w:left w:w="115" w:type="dxa"/>
              <w:bottom w:w="0" w:type="dxa"/>
              <w:right w:w="115" w:type="dxa"/>
            </w:tcMar>
            <w:vAlign w:val="bottom"/>
            <w:hideMark/>
          </w:tcPr>
          <w:p w14:paraId="5C2D6C22" w14:textId="77777777" w:rsidR="00F1052A" w:rsidRPr="00362CF5" w:rsidRDefault="00F1052A" w:rsidP="00F1052A">
            <w:pPr>
              <w:spacing w:line="240" w:lineRule="auto"/>
              <w:ind w:left="366"/>
              <w:rPr>
                <w:sz w:val="20"/>
                <w:szCs w:val="20"/>
              </w:rPr>
            </w:pPr>
            <w:r w:rsidRPr="00362CF5">
              <w:rPr>
                <w:color w:val="000000"/>
                <w:sz w:val="20"/>
                <w:szCs w:val="20"/>
              </w:rPr>
              <w:t>Two or more</w:t>
            </w:r>
          </w:p>
        </w:tc>
        <w:tc>
          <w:tcPr>
            <w:tcW w:w="619" w:type="dxa"/>
            <w:tcMar>
              <w:top w:w="0" w:type="dxa"/>
              <w:left w:w="115" w:type="dxa"/>
              <w:bottom w:w="0" w:type="dxa"/>
              <w:right w:w="115" w:type="dxa"/>
            </w:tcMar>
            <w:vAlign w:val="center"/>
            <w:hideMark/>
          </w:tcPr>
          <w:p w14:paraId="559A3349" w14:textId="77777777" w:rsidR="00F1052A" w:rsidRPr="00362CF5" w:rsidRDefault="00F1052A" w:rsidP="00F1052A">
            <w:pPr>
              <w:spacing w:line="240" w:lineRule="auto"/>
              <w:jc w:val="center"/>
            </w:pPr>
            <w:r w:rsidRPr="00362CF5">
              <w:rPr>
                <w:color w:val="000000"/>
                <w:sz w:val="20"/>
                <w:szCs w:val="20"/>
              </w:rPr>
              <w:t>492</w:t>
            </w:r>
          </w:p>
        </w:tc>
        <w:tc>
          <w:tcPr>
            <w:tcW w:w="1559" w:type="dxa"/>
            <w:tcMar>
              <w:top w:w="0" w:type="dxa"/>
              <w:left w:w="115" w:type="dxa"/>
              <w:bottom w:w="0" w:type="dxa"/>
              <w:right w:w="115" w:type="dxa"/>
            </w:tcMar>
            <w:vAlign w:val="bottom"/>
            <w:hideMark/>
          </w:tcPr>
          <w:p w14:paraId="17AE56AE" w14:textId="77777777" w:rsidR="00F1052A" w:rsidRPr="00362CF5" w:rsidRDefault="00F1052A" w:rsidP="00F1052A">
            <w:pPr>
              <w:spacing w:line="240" w:lineRule="auto"/>
              <w:jc w:val="right"/>
            </w:pPr>
            <w:r w:rsidRPr="00362CF5">
              <w:rPr>
                <w:color w:val="000000"/>
                <w:sz w:val="20"/>
                <w:szCs w:val="20"/>
              </w:rPr>
              <w:t>84.9 (79.7-88.9)</w:t>
            </w:r>
          </w:p>
        </w:tc>
        <w:tc>
          <w:tcPr>
            <w:tcW w:w="709" w:type="dxa"/>
            <w:tcMar>
              <w:top w:w="0" w:type="dxa"/>
              <w:left w:w="115" w:type="dxa"/>
              <w:bottom w:w="0" w:type="dxa"/>
              <w:right w:w="115" w:type="dxa"/>
            </w:tcMar>
            <w:vAlign w:val="bottom"/>
            <w:hideMark/>
          </w:tcPr>
          <w:p w14:paraId="16401EEA" w14:textId="77777777" w:rsidR="00F1052A" w:rsidRPr="00362CF5" w:rsidRDefault="00F1052A" w:rsidP="00F1052A">
            <w:pPr>
              <w:spacing w:line="240" w:lineRule="auto"/>
              <w:jc w:val="center"/>
            </w:pPr>
            <w:r w:rsidRPr="00362CF5">
              <w:rPr>
                <w:color w:val="000000"/>
                <w:sz w:val="20"/>
                <w:szCs w:val="20"/>
              </w:rPr>
              <w:t>2,481</w:t>
            </w:r>
          </w:p>
        </w:tc>
        <w:tc>
          <w:tcPr>
            <w:tcW w:w="1559" w:type="dxa"/>
            <w:tcMar>
              <w:top w:w="0" w:type="dxa"/>
              <w:left w:w="115" w:type="dxa"/>
              <w:bottom w:w="0" w:type="dxa"/>
              <w:right w:w="115" w:type="dxa"/>
            </w:tcMar>
            <w:vAlign w:val="bottom"/>
            <w:hideMark/>
          </w:tcPr>
          <w:p w14:paraId="34EEB859" w14:textId="77777777" w:rsidR="00F1052A" w:rsidRPr="00362CF5" w:rsidRDefault="00F1052A" w:rsidP="00F1052A">
            <w:pPr>
              <w:spacing w:line="240" w:lineRule="auto"/>
              <w:jc w:val="right"/>
            </w:pPr>
            <w:r w:rsidRPr="00362CF5">
              <w:rPr>
                <w:color w:val="000000"/>
                <w:sz w:val="20"/>
                <w:szCs w:val="20"/>
              </w:rPr>
              <w:t>46.4 (43.5-49.3)</w:t>
            </w:r>
          </w:p>
        </w:tc>
        <w:tc>
          <w:tcPr>
            <w:tcW w:w="992" w:type="dxa"/>
            <w:tcMar>
              <w:top w:w="0" w:type="dxa"/>
              <w:left w:w="115" w:type="dxa"/>
              <w:bottom w:w="0" w:type="dxa"/>
              <w:right w:w="115" w:type="dxa"/>
            </w:tcMar>
            <w:vAlign w:val="bottom"/>
            <w:hideMark/>
          </w:tcPr>
          <w:p w14:paraId="4522F0CB" w14:textId="77777777" w:rsidR="00F1052A" w:rsidRPr="00362CF5" w:rsidRDefault="00F1052A" w:rsidP="00F1052A">
            <w:pPr>
              <w:spacing w:line="240" w:lineRule="auto"/>
            </w:pPr>
          </w:p>
        </w:tc>
      </w:tr>
      <w:tr w:rsidR="00F1052A" w:rsidRPr="00362CF5" w14:paraId="720BF72C" w14:textId="77777777" w:rsidTr="00F1052A">
        <w:trPr>
          <w:trHeight w:val="300"/>
        </w:trPr>
        <w:tc>
          <w:tcPr>
            <w:tcW w:w="3324" w:type="dxa"/>
            <w:tcMar>
              <w:top w:w="0" w:type="dxa"/>
              <w:left w:w="115" w:type="dxa"/>
              <w:bottom w:w="0" w:type="dxa"/>
              <w:right w:w="115" w:type="dxa"/>
            </w:tcMar>
            <w:vAlign w:val="bottom"/>
            <w:hideMark/>
          </w:tcPr>
          <w:p w14:paraId="0A61658A" w14:textId="77777777" w:rsidR="00F1052A" w:rsidRPr="00362CF5" w:rsidRDefault="00F1052A" w:rsidP="00F1052A">
            <w:pPr>
              <w:spacing w:line="240" w:lineRule="auto"/>
              <w:rPr>
                <w:sz w:val="20"/>
                <w:szCs w:val="20"/>
              </w:rPr>
            </w:pPr>
            <w:r w:rsidRPr="00362CF5">
              <w:rPr>
                <w:b/>
                <w:bCs/>
                <w:i/>
                <w:iCs/>
                <w:color w:val="000000"/>
                <w:sz w:val="20"/>
                <w:szCs w:val="20"/>
              </w:rPr>
              <w:t>Chronic diseases</w:t>
            </w:r>
          </w:p>
        </w:tc>
        <w:tc>
          <w:tcPr>
            <w:tcW w:w="619" w:type="dxa"/>
            <w:tcMar>
              <w:top w:w="0" w:type="dxa"/>
              <w:left w:w="115" w:type="dxa"/>
              <w:bottom w:w="0" w:type="dxa"/>
              <w:right w:w="115" w:type="dxa"/>
            </w:tcMar>
            <w:vAlign w:val="center"/>
            <w:hideMark/>
          </w:tcPr>
          <w:p w14:paraId="55810532" w14:textId="77777777" w:rsidR="00F1052A" w:rsidRPr="00362CF5" w:rsidRDefault="00F1052A" w:rsidP="00F1052A">
            <w:pPr>
              <w:spacing w:line="240" w:lineRule="auto"/>
            </w:pPr>
          </w:p>
        </w:tc>
        <w:tc>
          <w:tcPr>
            <w:tcW w:w="1559" w:type="dxa"/>
            <w:tcMar>
              <w:top w:w="0" w:type="dxa"/>
              <w:left w:w="115" w:type="dxa"/>
              <w:bottom w:w="0" w:type="dxa"/>
              <w:right w:w="115" w:type="dxa"/>
            </w:tcMar>
            <w:vAlign w:val="bottom"/>
            <w:hideMark/>
          </w:tcPr>
          <w:p w14:paraId="51B1337E" w14:textId="77777777" w:rsidR="00F1052A" w:rsidRPr="00362CF5" w:rsidRDefault="00F1052A" w:rsidP="00F1052A">
            <w:pPr>
              <w:spacing w:line="240" w:lineRule="auto"/>
            </w:pPr>
          </w:p>
        </w:tc>
        <w:tc>
          <w:tcPr>
            <w:tcW w:w="709" w:type="dxa"/>
            <w:tcMar>
              <w:top w:w="0" w:type="dxa"/>
              <w:left w:w="115" w:type="dxa"/>
              <w:bottom w:w="0" w:type="dxa"/>
              <w:right w:w="115" w:type="dxa"/>
            </w:tcMar>
            <w:vAlign w:val="bottom"/>
            <w:hideMark/>
          </w:tcPr>
          <w:p w14:paraId="16114AEF" w14:textId="77777777" w:rsidR="00F1052A" w:rsidRPr="00362CF5" w:rsidRDefault="00F1052A" w:rsidP="00F1052A">
            <w:pPr>
              <w:spacing w:line="240" w:lineRule="auto"/>
            </w:pPr>
          </w:p>
        </w:tc>
        <w:tc>
          <w:tcPr>
            <w:tcW w:w="1559" w:type="dxa"/>
            <w:tcMar>
              <w:top w:w="0" w:type="dxa"/>
              <w:left w:w="115" w:type="dxa"/>
              <w:bottom w:w="0" w:type="dxa"/>
              <w:right w:w="115" w:type="dxa"/>
            </w:tcMar>
            <w:vAlign w:val="bottom"/>
            <w:hideMark/>
          </w:tcPr>
          <w:p w14:paraId="3074645A" w14:textId="77777777" w:rsidR="00F1052A" w:rsidRPr="00362CF5" w:rsidRDefault="00F1052A" w:rsidP="00F1052A">
            <w:pPr>
              <w:spacing w:line="240" w:lineRule="auto"/>
            </w:pPr>
          </w:p>
        </w:tc>
        <w:tc>
          <w:tcPr>
            <w:tcW w:w="992" w:type="dxa"/>
            <w:tcMar>
              <w:top w:w="0" w:type="dxa"/>
              <w:left w:w="115" w:type="dxa"/>
              <w:bottom w:w="0" w:type="dxa"/>
              <w:right w:w="115" w:type="dxa"/>
            </w:tcMar>
            <w:vAlign w:val="bottom"/>
            <w:hideMark/>
          </w:tcPr>
          <w:p w14:paraId="7C3AAD01" w14:textId="77777777" w:rsidR="00F1052A" w:rsidRPr="00362CF5" w:rsidRDefault="00F1052A" w:rsidP="00F1052A">
            <w:pPr>
              <w:spacing w:line="240" w:lineRule="auto"/>
            </w:pPr>
          </w:p>
        </w:tc>
      </w:tr>
      <w:tr w:rsidR="00F1052A" w:rsidRPr="00362CF5" w14:paraId="0BB8A9FC" w14:textId="77777777" w:rsidTr="00F1052A">
        <w:trPr>
          <w:trHeight w:val="300"/>
        </w:trPr>
        <w:tc>
          <w:tcPr>
            <w:tcW w:w="3324" w:type="dxa"/>
            <w:tcMar>
              <w:top w:w="0" w:type="dxa"/>
              <w:left w:w="115" w:type="dxa"/>
              <w:bottom w:w="0" w:type="dxa"/>
              <w:right w:w="115" w:type="dxa"/>
            </w:tcMar>
            <w:vAlign w:val="bottom"/>
            <w:hideMark/>
          </w:tcPr>
          <w:p w14:paraId="50163DE8" w14:textId="77777777" w:rsidR="00F1052A" w:rsidRPr="00362CF5" w:rsidRDefault="00F1052A" w:rsidP="00F1052A">
            <w:pPr>
              <w:spacing w:line="240" w:lineRule="auto"/>
              <w:rPr>
                <w:sz w:val="20"/>
                <w:szCs w:val="20"/>
              </w:rPr>
            </w:pPr>
            <w:r w:rsidRPr="00362CF5">
              <w:rPr>
                <w:i/>
                <w:iCs/>
                <w:color w:val="000000"/>
                <w:sz w:val="20"/>
                <w:szCs w:val="20"/>
              </w:rPr>
              <w:t>- Diseases of the circulatory system</w:t>
            </w:r>
          </w:p>
        </w:tc>
        <w:tc>
          <w:tcPr>
            <w:tcW w:w="619" w:type="dxa"/>
            <w:tcMar>
              <w:top w:w="0" w:type="dxa"/>
              <w:left w:w="115" w:type="dxa"/>
              <w:bottom w:w="0" w:type="dxa"/>
              <w:right w:w="115" w:type="dxa"/>
            </w:tcMar>
            <w:vAlign w:val="center"/>
            <w:hideMark/>
          </w:tcPr>
          <w:p w14:paraId="0051CEEB" w14:textId="77777777" w:rsidR="00F1052A" w:rsidRPr="00362CF5" w:rsidRDefault="00F1052A" w:rsidP="00F1052A">
            <w:pPr>
              <w:spacing w:line="240" w:lineRule="auto"/>
              <w:jc w:val="center"/>
            </w:pPr>
            <w:r w:rsidRPr="00362CF5">
              <w:rPr>
                <w:i/>
                <w:iCs/>
                <w:color w:val="000000"/>
                <w:sz w:val="20"/>
                <w:szCs w:val="20"/>
              </w:rPr>
              <w:t>456</w:t>
            </w:r>
          </w:p>
        </w:tc>
        <w:tc>
          <w:tcPr>
            <w:tcW w:w="1559" w:type="dxa"/>
            <w:tcMar>
              <w:top w:w="0" w:type="dxa"/>
              <w:left w:w="115" w:type="dxa"/>
              <w:bottom w:w="0" w:type="dxa"/>
              <w:right w:w="115" w:type="dxa"/>
            </w:tcMar>
            <w:vAlign w:val="bottom"/>
            <w:hideMark/>
          </w:tcPr>
          <w:p w14:paraId="5D7BB47B" w14:textId="77777777" w:rsidR="00F1052A" w:rsidRPr="00362CF5" w:rsidRDefault="00F1052A" w:rsidP="00F1052A">
            <w:pPr>
              <w:spacing w:line="240" w:lineRule="auto"/>
              <w:jc w:val="right"/>
            </w:pPr>
            <w:r w:rsidRPr="00362CF5">
              <w:rPr>
                <w:i/>
                <w:iCs/>
                <w:color w:val="000000"/>
                <w:sz w:val="20"/>
                <w:szCs w:val="20"/>
              </w:rPr>
              <w:t>76.6 (71.4-81.1)</w:t>
            </w:r>
          </w:p>
        </w:tc>
        <w:tc>
          <w:tcPr>
            <w:tcW w:w="709" w:type="dxa"/>
            <w:tcMar>
              <w:top w:w="0" w:type="dxa"/>
              <w:left w:w="115" w:type="dxa"/>
              <w:bottom w:w="0" w:type="dxa"/>
              <w:right w:w="115" w:type="dxa"/>
            </w:tcMar>
            <w:vAlign w:val="bottom"/>
            <w:hideMark/>
          </w:tcPr>
          <w:p w14:paraId="6DC7CBD7" w14:textId="77777777" w:rsidR="00F1052A" w:rsidRPr="00362CF5" w:rsidRDefault="00F1052A" w:rsidP="00F1052A">
            <w:pPr>
              <w:spacing w:line="240" w:lineRule="auto"/>
              <w:jc w:val="center"/>
            </w:pPr>
            <w:r w:rsidRPr="00362CF5">
              <w:rPr>
                <w:i/>
                <w:iCs/>
                <w:color w:val="000000"/>
                <w:sz w:val="20"/>
                <w:szCs w:val="20"/>
              </w:rPr>
              <w:t>2,585</w:t>
            </w:r>
          </w:p>
        </w:tc>
        <w:tc>
          <w:tcPr>
            <w:tcW w:w="1559" w:type="dxa"/>
            <w:tcMar>
              <w:top w:w="0" w:type="dxa"/>
              <w:left w:w="115" w:type="dxa"/>
              <w:bottom w:w="0" w:type="dxa"/>
              <w:right w:w="115" w:type="dxa"/>
            </w:tcMar>
            <w:vAlign w:val="bottom"/>
            <w:hideMark/>
          </w:tcPr>
          <w:p w14:paraId="24E3FAAE" w14:textId="77777777" w:rsidR="00F1052A" w:rsidRPr="00362CF5" w:rsidRDefault="00F1052A" w:rsidP="00F1052A">
            <w:pPr>
              <w:spacing w:line="240" w:lineRule="auto"/>
              <w:jc w:val="right"/>
            </w:pPr>
            <w:r w:rsidRPr="00362CF5">
              <w:rPr>
                <w:i/>
                <w:iCs/>
                <w:color w:val="000000"/>
                <w:sz w:val="20"/>
                <w:szCs w:val="20"/>
              </w:rPr>
              <w:t>47.7 (44.7-50.8)</w:t>
            </w:r>
          </w:p>
        </w:tc>
        <w:tc>
          <w:tcPr>
            <w:tcW w:w="992" w:type="dxa"/>
            <w:tcMar>
              <w:top w:w="0" w:type="dxa"/>
              <w:left w:w="115" w:type="dxa"/>
              <w:bottom w:w="0" w:type="dxa"/>
              <w:right w:w="115" w:type="dxa"/>
            </w:tcMar>
            <w:vAlign w:val="bottom"/>
            <w:hideMark/>
          </w:tcPr>
          <w:p w14:paraId="5914BD8D" w14:textId="77777777" w:rsidR="00F1052A" w:rsidRPr="00362CF5" w:rsidRDefault="00F1052A" w:rsidP="00F1052A">
            <w:pPr>
              <w:spacing w:line="240" w:lineRule="auto"/>
            </w:pPr>
            <w:r w:rsidRPr="00362CF5">
              <w:rPr>
                <w:color w:val="000000"/>
                <w:sz w:val="20"/>
                <w:szCs w:val="20"/>
              </w:rPr>
              <w:t>&lt;0.001</w:t>
            </w:r>
          </w:p>
        </w:tc>
      </w:tr>
      <w:tr w:rsidR="00F1052A" w:rsidRPr="00362CF5" w14:paraId="0C8CEFA6" w14:textId="77777777" w:rsidTr="00F1052A">
        <w:trPr>
          <w:trHeight w:val="300"/>
        </w:trPr>
        <w:tc>
          <w:tcPr>
            <w:tcW w:w="3324" w:type="dxa"/>
            <w:tcMar>
              <w:top w:w="0" w:type="dxa"/>
              <w:left w:w="115" w:type="dxa"/>
              <w:bottom w:w="0" w:type="dxa"/>
              <w:right w:w="115" w:type="dxa"/>
            </w:tcMar>
            <w:vAlign w:val="bottom"/>
            <w:hideMark/>
          </w:tcPr>
          <w:p w14:paraId="465DE144" w14:textId="77777777" w:rsidR="00F1052A" w:rsidRPr="00362CF5" w:rsidRDefault="00F1052A" w:rsidP="00F1052A">
            <w:pPr>
              <w:spacing w:line="240" w:lineRule="auto"/>
              <w:ind w:left="366"/>
              <w:rPr>
                <w:sz w:val="20"/>
                <w:szCs w:val="20"/>
              </w:rPr>
            </w:pPr>
            <w:r w:rsidRPr="00362CF5">
              <w:rPr>
                <w:color w:val="000000"/>
                <w:sz w:val="20"/>
                <w:szCs w:val="20"/>
              </w:rPr>
              <w:t>Hypertension</w:t>
            </w:r>
          </w:p>
        </w:tc>
        <w:tc>
          <w:tcPr>
            <w:tcW w:w="619" w:type="dxa"/>
            <w:shd w:val="clear" w:color="auto" w:fill="FFFFFF"/>
            <w:tcMar>
              <w:top w:w="0" w:type="dxa"/>
              <w:left w:w="115" w:type="dxa"/>
              <w:bottom w:w="0" w:type="dxa"/>
              <w:right w:w="115" w:type="dxa"/>
            </w:tcMar>
            <w:vAlign w:val="center"/>
            <w:hideMark/>
          </w:tcPr>
          <w:p w14:paraId="1A97DACD" w14:textId="77777777" w:rsidR="00F1052A" w:rsidRPr="00362CF5" w:rsidRDefault="00F1052A" w:rsidP="00F1052A">
            <w:pPr>
              <w:spacing w:line="240" w:lineRule="auto"/>
              <w:jc w:val="center"/>
            </w:pPr>
            <w:r w:rsidRPr="00362CF5">
              <w:rPr>
                <w:color w:val="000000"/>
                <w:sz w:val="20"/>
                <w:szCs w:val="20"/>
              </w:rPr>
              <w:t>439</w:t>
            </w:r>
          </w:p>
        </w:tc>
        <w:tc>
          <w:tcPr>
            <w:tcW w:w="1559" w:type="dxa"/>
            <w:shd w:val="clear" w:color="auto" w:fill="FFFFFF"/>
            <w:tcMar>
              <w:top w:w="0" w:type="dxa"/>
              <w:left w:w="115" w:type="dxa"/>
              <w:bottom w:w="0" w:type="dxa"/>
              <w:right w:w="115" w:type="dxa"/>
            </w:tcMar>
            <w:vAlign w:val="center"/>
            <w:hideMark/>
          </w:tcPr>
          <w:p w14:paraId="4EB1AFEE" w14:textId="77777777" w:rsidR="00F1052A" w:rsidRPr="00362CF5" w:rsidRDefault="00F1052A" w:rsidP="00F1052A">
            <w:pPr>
              <w:spacing w:line="240" w:lineRule="auto"/>
              <w:jc w:val="right"/>
            </w:pPr>
            <w:r w:rsidRPr="00362CF5">
              <w:rPr>
                <w:color w:val="000000"/>
                <w:sz w:val="20"/>
                <w:szCs w:val="20"/>
              </w:rPr>
              <w:t>73.0 (67.8-77.7)</w:t>
            </w:r>
          </w:p>
        </w:tc>
        <w:tc>
          <w:tcPr>
            <w:tcW w:w="709" w:type="dxa"/>
            <w:shd w:val="clear" w:color="auto" w:fill="FFFFFF"/>
            <w:tcMar>
              <w:top w:w="0" w:type="dxa"/>
              <w:left w:w="115" w:type="dxa"/>
              <w:bottom w:w="0" w:type="dxa"/>
              <w:right w:w="115" w:type="dxa"/>
            </w:tcMar>
            <w:vAlign w:val="center"/>
            <w:hideMark/>
          </w:tcPr>
          <w:p w14:paraId="11B725EA" w14:textId="77777777" w:rsidR="00F1052A" w:rsidRPr="00362CF5" w:rsidRDefault="00F1052A" w:rsidP="00F1052A">
            <w:pPr>
              <w:spacing w:line="240" w:lineRule="auto"/>
              <w:jc w:val="center"/>
            </w:pPr>
            <w:r w:rsidRPr="00362CF5">
              <w:rPr>
                <w:color w:val="000000"/>
                <w:sz w:val="20"/>
                <w:szCs w:val="20"/>
              </w:rPr>
              <w:t>2,500</w:t>
            </w:r>
          </w:p>
        </w:tc>
        <w:tc>
          <w:tcPr>
            <w:tcW w:w="1559" w:type="dxa"/>
            <w:shd w:val="clear" w:color="auto" w:fill="FFFFFF"/>
            <w:tcMar>
              <w:top w:w="0" w:type="dxa"/>
              <w:left w:w="115" w:type="dxa"/>
              <w:bottom w:w="0" w:type="dxa"/>
              <w:right w:w="115" w:type="dxa"/>
            </w:tcMar>
            <w:vAlign w:val="center"/>
            <w:hideMark/>
          </w:tcPr>
          <w:p w14:paraId="3A363D6D" w14:textId="77777777" w:rsidR="00F1052A" w:rsidRPr="00362CF5" w:rsidRDefault="00F1052A" w:rsidP="00F1052A">
            <w:pPr>
              <w:spacing w:line="240" w:lineRule="auto"/>
              <w:jc w:val="right"/>
            </w:pPr>
            <w:r w:rsidRPr="00362CF5">
              <w:rPr>
                <w:color w:val="000000"/>
                <w:sz w:val="20"/>
                <w:szCs w:val="20"/>
              </w:rPr>
              <w:t>45.9 (42.8-79.0)</w:t>
            </w:r>
          </w:p>
        </w:tc>
        <w:tc>
          <w:tcPr>
            <w:tcW w:w="992" w:type="dxa"/>
            <w:tcMar>
              <w:top w:w="0" w:type="dxa"/>
              <w:left w:w="115" w:type="dxa"/>
              <w:bottom w:w="0" w:type="dxa"/>
              <w:right w:w="115" w:type="dxa"/>
            </w:tcMar>
            <w:vAlign w:val="center"/>
            <w:hideMark/>
          </w:tcPr>
          <w:p w14:paraId="4DDF5A02" w14:textId="77777777" w:rsidR="00F1052A" w:rsidRPr="00362CF5" w:rsidRDefault="00F1052A" w:rsidP="00F1052A">
            <w:pPr>
              <w:spacing w:line="240" w:lineRule="auto"/>
            </w:pPr>
          </w:p>
        </w:tc>
      </w:tr>
      <w:tr w:rsidR="00F1052A" w:rsidRPr="00362CF5" w14:paraId="28B47C5C" w14:textId="77777777" w:rsidTr="00F1052A">
        <w:trPr>
          <w:trHeight w:val="300"/>
        </w:trPr>
        <w:tc>
          <w:tcPr>
            <w:tcW w:w="3324" w:type="dxa"/>
            <w:tcMar>
              <w:top w:w="0" w:type="dxa"/>
              <w:left w:w="115" w:type="dxa"/>
              <w:bottom w:w="0" w:type="dxa"/>
              <w:right w:w="115" w:type="dxa"/>
            </w:tcMar>
            <w:vAlign w:val="bottom"/>
            <w:hideMark/>
          </w:tcPr>
          <w:p w14:paraId="15D25C85" w14:textId="77777777" w:rsidR="00F1052A" w:rsidRPr="00362CF5" w:rsidRDefault="00F1052A" w:rsidP="00F1052A">
            <w:pPr>
              <w:spacing w:line="240" w:lineRule="auto"/>
              <w:ind w:left="366"/>
              <w:rPr>
                <w:sz w:val="20"/>
                <w:szCs w:val="20"/>
              </w:rPr>
            </w:pPr>
            <w:r w:rsidRPr="00362CF5">
              <w:rPr>
                <w:color w:val="000000"/>
                <w:sz w:val="20"/>
                <w:szCs w:val="20"/>
              </w:rPr>
              <w:t>Heart diseases</w:t>
            </w:r>
          </w:p>
        </w:tc>
        <w:tc>
          <w:tcPr>
            <w:tcW w:w="619" w:type="dxa"/>
            <w:shd w:val="clear" w:color="auto" w:fill="FFFFFF"/>
            <w:tcMar>
              <w:top w:w="0" w:type="dxa"/>
              <w:left w:w="115" w:type="dxa"/>
              <w:bottom w:w="0" w:type="dxa"/>
              <w:right w:w="115" w:type="dxa"/>
            </w:tcMar>
            <w:vAlign w:val="center"/>
            <w:hideMark/>
          </w:tcPr>
          <w:p w14:paraId="42340A0C" w14:textId="77777777" w:rsidR="00F1052A" w:rsidRPr="00362CF5" w:rsidRDefault="00F1052A" w:rsidP="00F1052A">
            <w:pPr>
              <w:spacing w:line="240" w:lineRule="auto"/>
              <w:jc w:val="center"/>
            </w:pPr>
            <w:r w:rsidRPr="00362CF5">
              <w:rPr>
                <w:color w:val="000000"/>
                <w:sz w:val="20"/>
                <w:szCs w:val="20"/>
              </w:rPr>
              <w:t>153</w:t>
            </w:r>
          </w:p>
        </w:tc>
        <w:tc>
          <w:tcPr>
            <w:tcW w:w="1559" w:type="dxa"/>
            <w:shd w:val="clear" w:color="auto" w:fill="FFFFFF"/>
            <w:tcMar>
              <w:top w:w="0" w:type="dxa"/>
              <w:left w:w="115" w:type="dxa"/>
              <w:bottom w:w="0" w:type="dxa"/>
              <w:right w:w="115" w:type="dxa"/>
            </w:tcMar>
            <w:vAlign w:val="center"/>
            <w:hideMark/>
          </w:tcPr>
          <w:p w14:paraId="61723CE2" w14:textId="77777777" w:rsidR="00F1052A" w:rsidRPr="00362CF5" w:rsidRDefault="00F1052A" w:rsidP="00F1052A">
            <w:pPr>
              <w:spacing w:line="240" w:lineRule="auto"/>
              <w:jc w:val="right"/>
            </w:pPr>
            <w:r w:rsidRPr="00362CF5">
              <w:rPr>
                <w:color w:val="000000"/>
                <w:sz w:val="20"/>
                <w:szCs w:val="20"/>
              </w:rPr>
              <w:t>24.1 (18.2-31.3)</w:t>
            </w:r>
          </w:p>
        </w:tc>
        <w:tc>
          <w:tcPr>
            <w:tcW w:w="709" w:type="dxa"/>
            <w:shd w:val="clear" w:color="auto" w:fill="FFFFFF"/>
            <w:tcMar>
              <w:top w:w="0" w:type="dxa"/>
              <w:left w:w="115" w:type="dxa"/>
              <w:bottom w:w="0" w:type="dxa"/>
              <w:right w:w="115" w:type="dxa"/>
            </w:tcMar>
            <w:vAlign w:val="center"/>
            <w:hideMark/>
          </w:tcPr>
          <w:p w14:paraId="769691B9" w14:textId="77777777" w:rsidR="00F1052A" w:rsidRPr="00362CF5" w:rsidRDefault="00F1052A" w:rsidP="00F1052A">
            <w:pPr>
              <w:spacing w:line="240" w:lineRule="auto"/>
              <w:jc w:val="center"/>
            </w:pPr>
            <w:r w:rsidRPr="00362CF5">
              <w:rPr>
                <w:color w:val="000000"/>
                <w:sz w:val="20"/>
                <w:szCs w:val="20"/>
              </w:rPr>
              <w:t>444</w:t>
            </w:r>
          </w:p>
        </w:tc>
        <w:tc>
          <w:tcPr>
            <w:tcW w:w="1559" w:type="dxa"/>
            <w:shd w:val="clear" w:color="auto" w:fill="FFFFFF"/>
            <w:tcMar>
              <w:top w:w="0" w:type="dxa"/>
              <w:left w:w="115" w:type="dxa"/>
              <w:bottom w:w="0" w:type="dxa"/>
              <w:right w:w="115" w:type="dxa"/>
            </w:tcMar>
            <w:vAlign w:val="center"/>
            <w:hideMark/>
          </w:tcPr>
          <w:p w14:paraId="09616E6E" w14:textId="77777777" w:rsidR="00F1052A" w:rsidRPr="00362CF5" w:rsidRDefault="00F1052A" w:rsidP="00F1052A">
            <w:pPr>
              <w:spacing w:line="240" w:lineRule="auto"/>
              <w:jc w:val="right"/>
            </w:pPr>
            <w:r w:rsidRPr="00362CF5">
              <w:rPr>
                <w:color w:val="000000"/>
                <w:sz w:val="20"/>
                <w:szCs w:val="20"/>
              </w:rPr>
              <w:t>8.1 (6.8-9.5)</w:t>
            </w:r>
          </w:p>
        </w:tc>
        <w:tc>
          <w:tcPr>
            <w:tcW w:w="992" w:type="dxa"/>
            <w:tcMar>
              <w:top w:w="0" w:type="dxa"/>
              <w:left w:w="115" w:type="dxa"/>
              <w:bottom w:w="0" w:type="dxa"/>
              <w:right w:w="115" w:type="dxa"/>
            </w:tcMar>
            <w:vAlign w:val="center"/>
            <w:hideMark/>
          </w:tcPr>
          <w:p w14:paraId="79D62E20" w14:textId="77777777" w:rsidR="00F1052A" w:rsidRPr="00362CF5" w:rsidRDefault="00F1052A" w:rsidP="00F1052A">
            <w:pPr>
              <w:spacing w:line="240" w:lineRule="auto"/>
            </w:pPr>
          </w:p>
        </w:tc>
      </w:tr>
      <w:tr w:rsidR="00F1052A" w:rsidRPr="00362CF5" w14:paraId="518070B8" w14:textId="77777777" w:rsidTr="00F1052A">
        <w:trPr>
          <w:trHeight w:val="300"/>
        </w:trPr>
        <w:tc>
          <w:tcPr>
            <w:tcW w:w="3324" w:type="dxa"/>
            <w:tcMar>
              <w:top w:w="0" w:type="dxa"/>
              <w:left w:w="115" w:type="dxa"/>
              <w:bottom w:w="0" w:type="dxa"/>
              <w:right w:w="115" w:type="dxa"/>
            </w:tcMar>
            <w:vAlign w:val="bottom"/>
            <w:hideMark/>
          </w:tcPr>
          <w:p w14:paraId="2F139D48" w14:textId="77777777" w:rsidR="00F1052A" w:rsidRPr="00362CF5" w:rsidRDefault="00F1052A" w:rsidP="00F1052A">
            <w:pPr>
              <w:spacing w:line="240" w:lineRule="auto"/>
              <w:ind w:left="366"/>
              <w:rPr>
                <w:sz w:val="20"/>
                <w:szCs w:val="20"/>
              </w:rPr>
            </w:pPr>
            <w:r w:rsidRPr="00362CF5">
              <w:rPr>
                <w:color w:val="000000"/>
                <w:sz w:val="20"/>
                <w:szCs w:val="20"/>
              </w:rPr>
              <w:t>Stroke</w:t>
            </w:r>
          </w:p>
        </w:tc>
        <w:tc>
          <w:tcPr>
            <w:tcW w:w="619" w:type="dxa"/>
            <w:shd w:val="clear" w:color="auto" w:fill="FFFFFF"/>
            <w:tcMar>
              <w:top w:w="0" w:type="dxa"/>
              <w:left w:w="115" w:type="dxa"/>
              <w:bottom w:w="0" w:type="dxa"/>
              <w:right w:w="115" w:type="dxa"/>
            </w:tcMar>
            <w:vAlign w:val="center"/>
            <w:hideMark/>
          </w:tcPr>
          <w:p w14:paraId="1E858E0D" w14:textId="77777777" w:rsidR="00F1052A" w:rsidRPr="00362CF5" w:rsidRDefault="00F1052A" w:rsidP="00F1052A">
            <w:pPr>
              <w:spacing w:line="240" w:lineRule="auto"/>
              <w:jc w:val="center"/>
            </w:pPr>
            <w:r w:rsidRPr="00362CF5">
              <w:rPr>
                <w:color w:val="000000"/>
                <w:sz w:val="20"/>
                <w:szCs w:val="20"/>
              </w:rPr>
              <w:t>35</w:t>
            </w:r>
          </w:p>
        </w:tc>
        <w:tc>
          <w:tcPr>
            <w:tcW w:w="1559" w:type="dxa"/>
            <w:shd w:val="clear" w:color="auto" w:fill="FFFFFF"/>
            <w:tcMar>
              <w:top w:w="0" w:type="dxa"/>
              <w:left w:w="115" w:type="dxa"/>
              <w:bottom w:w="0" w:type="dxa"/>
              <w:right w:w="115" w:type="dxa"/>
            </w:tcMar>
            <w:vAlign w:val="center"/>
            <w:hideMark/>
          </w:tcPr>
          <w:p w14:paraId="04A759B9" w14:textId="77777777" w:rsidR="00F1052A" w:rsidRPr="00362CF5" w:rsidRDefault="00F1052A" w:rsidP="00F1052A">
            <w:pPr>
              <w:spacing w:line="240" w:lineRule="auto"/>
              <w:jc w:val="right"/>
            </w:pPr>
            <w:r w:rsidRPr="00362CF5">
              <w:rPr>
                <w:color w:val="000000"/>
                <w:sz w:val="20"/>
                <w:szCs w:val="20"/>
              </w:rPr>
              <w:t>4.7 (2.8-7.7)</w:t>
            </w:r>
          </w:p>
        </w:tc>
        <w:tc>
          <w:tcPr>
            <w:tcW w:w="709" w:type="dxa"/>
            <w:shd w:val="clear" w:color="auto" w:fill="FFFFFF"/>
            <w:tcMar>
              <w:top w:w="0" w:type="dxa"/>
              <w:left w:w="115" w:type="dxa"/>
              <w:bottom w:w="0" w:type="dxa"/>
              <w:right w:w="115" w:type="dxa"/>
            </w:tcMar>
            <w:vAlign w:val="center"/>
            <w:hideMark/>
          </w:tcPr>
          <w:p w14:paraId="2329CF3F" w14:textId="77777777" w:rsidR="00F1052A" w:rsidRPr="00362CF5" w:rsidRDefault="00F1052A" w:rsidP="00F1052A">
            <w:pPr>
              <w:spacing w:line="240" w:lineRule="auto"/>
              <w:jc w:val="center"/>
            </w:pPr>
            <w:r w:rsidRPr="00362CF5">
              <w:rPr>
                <w:color w:val="000000"/>
                <w:sz w:val="20"/>
                <w:szCs w:val="20"/>
              </w:rPr>
              <w:t>165</w:t>
            </w:r>
          </w:p>
        </w:tc>
        <w:tc>
          <w:tcPr>
            <w:tcW w:w="1559" w:type="dxa"/>
            <w:shd w:val="clear" w:color="auto" w:fill="FFFFFF"/>
            <w:tcMar>
              <w:top w:w="0" w:type="dxa"/>
              <w:left w:w="115" w:type="dxa"/>
              <w:bottom w:w="0" w:type="dxa"/>
              <w:right w:w="115" w:type="dxa"/>
            </w:tcMar>
            <w:vAlign w:val="center"/>
            <w:hideMark/>
          </w:tcPr>
          <w:p w14:paraId="160070D7" w14:textId="77777777" w:rsidR="00F1052A" w:rsidRPr="00362CF5" w:rsidRDefault="00F1052A" w:rsidP="00F1052A">
            <w:pPr>
              <w:spacing w:line="240" w:lineRule="auto"/>
              <w:jc w:val="right"/>
            </w:pPr>
            <w:r w:rsidRPr="00362CF5">
              <w:rPr>
                <w:color w:val="000000"/>
                <w:sz w:val="20"/>
                <w:szCs w:val="20"/>
              </w:rPr>
              <w:t>2.9 (2.3-3.8)</w:t>
            </w:r>
          </w:p>
        </w:tc>
        <w:tc>
          <w:tcPr>
            <w:tcW w:w="992" w:type="dxa"/>
            <w:tcMar>
              <w:top w:w="0" w:type="dxa"/>
              <w:left w:w="115" w:type="dxa"/>
              <w:bottom w:w="0" w:type="dxa"/>
              <w:right w:w="115" w:type="dxa"/>
            </w:tcMar>
            <w:vAlign w:val="center"/>
            <w:hideMark/>
          </w:tcPr>
          <w:p w14:paraId="29F5B07D" w14:textId="77777777" w:rsidR="00F1052A" w:rsidRPr="00362CF5" w:rsidRDefault="00F1052A" w:rsidP="00F1052A">
            <w:pPr>
              <w:spacing w:line="240" w:lineRule="auto"/>
            </w:pPr>
          </w:p>
        </w:tc>
      </w:tr>
      <w:tr w:rsidR="00F1052A" w:rsidRPr="00362CF5" w14:paraId="3BD2C6BA" w14:textId="77777777" w:rsidTr="00F1052A">
        <w:trPr>
          <w:trHeight w:val="300"/>
        </w:trPr>
        <w:tc>
          <w:tcPr>
            <w:tcW w:w="3324" w:type="dxa"/>
            <w:tcMar>
              <w:top w:w="0" w:type="dxa"/>
              <w:left w:w="115" w:type="dxa"/>
              <w:bottom w:w="0" w:type="dxa"/>
              <w:right w:w="115" w:type="dxa"/>
            </w:tcMar>
            <w:vAlign w:val="bottom"/>
            <w:hideMark/>
          </w:tcPr>
          <w:p w14:paraId="47711D5B" w14:textId="77777777" w:rsidR="00F1052A" w:rsidRPr="00362CF5" w:rsidRDefault="00F1052A" w:rsidP="00F1052A">
            <w:pPr>
              <w:spacing w:line="240" w:lineRule="auto"/>
              <w:rPr>
                <w:sz w:val="20"/>
                <w:szCs w:val="20"/>
              </w:rPr>
            </w:pPr>
            <w:r w:rsidRPr="00362CF5">
              <w:rPr>
                <w:i/>
                <w:iCs/>
                <w:color w:val="000000"/>
                <w:sz w:val="20"/>
                <w:szCs w:val="20"/>
              </w:rPr>
              <w:t>- Metabolic diseases</w:t>
            </w:r>
          </w:p>
        </w:tc>
        <w:tc>
          <w:tcPr>
            <w:tcW w:w="619" w:type="dxa"/>
            <w:shd w:val="clear" w:color="auto" w:fill="FFFFFF"/>
            <w:tcMar>
              <w:top w:w="0" w:type="dxa"/>
              <w:left w:w="115" w:type="dxa"/>
              <w:bottom w:w="0" w:type="dxa"/>
              <w:right w:w="115" w:type="dxa"/>
            </w:tcMar>
            <w:vAlign w:val="center"/>
            <w:hideMark/>
          </w:tcPr>
          <w:p w14:paraId="59801615" w14:textId="77777777" w:rsidR="00F1052A" w:rsidRPr="00362CF5" w:rsidRDefault="00F1052A" w:rsidP="00F1052A">
            <w:pPr>
              <w:spacing w:line="240" w:lineRule="auto"/>
              <w:jc w:val="center"/>
            </w:pPr>
            <w:r w:rsidRPr="00362CF5">
              <w:rPr>
                <w:i/>
                <w:iCs/>
                <w:color w:val="000000"/>
                <w:sz w:val="20"/>
                <w:szCs w:val="20"/>
              </w:rPr>
              <w:t>523</w:t>
            </w:r>
          </w:p>
        </w:tc>
        <w:tc>
          <w:tcPr>
            <w:tcW w:w="1559" w:type="dxa"/>
            <w:shd w:val="clear" w:color="auto" w:fill="FFFFFF"/>
            <w:tcMar>
              <w:top w:w="0" w:type="dxa"/>
              <w:left w:w="115" w:type="dxa"/>
              <w:bottom w:w="0" w:type="dxa"/>
              <w:right w:w="115" w:type="dxa"/>
            </w:tcMar>
            <w:vAlign w:val="center"/>
            <w:hideMark/>
          </w:tcPr>
          <w:p w14:paraId="21DBFE4B" w14:textId="77777777" w:rsidR="00F1052A" w:rsidRPr="00362CF5" w:rsidRDefault="00F1052A" w:rsidP="00F1052A">
            <w:pPr>
              <w:spacing w:line="240" w:lineRule="auto"/>
              <w:jc w:val="right"/>
            </w:pPr>
            <w:r w:rsidRPr="00362CF5">
              <w:rPr>
                <w:i/>
                <w:iCs/>
                <w:color w:val="000000"/>
                <w:sz w:val="20"/>
                <w:szCs w:val="20"/>
              </w:rPr>
              <w:t>87.6 (83.4-90.9)</w:t>
            </w:r>
          </w:p>
        </w:tc>
        <w:tc>
          <w:tcPr>
            <w:tcW w:w="709" w:type="dxa"/>
            <w:shd w:val="clear" w:color="auto" w:fill="FFFFFF"/>
            <w:tcMar>
              <w:top w:w="0" w:type="dxa"/>
              <w:left w:w="115" w:type="dxa"/>
              <w:bottom w:w="0" w:type="dxa"/>
              <w:right w:w="115" w:type="dxa"/>
            </w:tcMar>
            <w:vAlign w:val="center"/>
            <w:hideMark/>
          </w:tcPr>
          <w:p w14:paraId="0FB754D9" w14:textId="77777777" w:rsidR="00F1052A" w:rsidRPr="00362CF5" w:rsidRDefault="00F1052A" w:rsidP="00F1052A">
            <w:pPr>
              <w:spacing w:line="240" w:lineRule="auto"/>
              <w:jc w:val="center"/>
            </w:pPr>
            <w:r w:rsidRPr="00362CF5">
              <w:rPr>
                <w:i/>
                <w:iCs/>
                <w:color w:val="000000"/>
                <w:sz w:val="20"/>
                <w:szCs w:val="20"/>
              </w:rPr>
              <w:t>1,679</w:t>
            </w:r>
          </w:p>
        </w:tc>
        <w:tc>
          <w:tcPr>
            <w:tcW w:w="1559" w:type="dxa"/>
            <w:shd w:val="clear" w:color="auto" w:fill="FFFFFF"/>
            <w:tcMar>
              <w:top w:w="0" w:type="dxa"/>
              <w:left w:w="115" w:type="dxa"/>
              <w:bottom w:w="0" w:type="dxa"/>
              <w:right w:w="115" w:type="dxa"/>
            </w:tcMar>
            <w:vAlign w:val="center"/>
            <w:hideMark/>
          </w:tcPr>
          <w:p w14:paraId="073EB4E5" w14:textId="77777777" w:rsidR="00F1052A" w:rsidRPr="00362CF5" w:rsidRDefault="00F1052A" w:rsidP="00F1052A">
            <w:pPr>
              <w:spacing w:line="240" w:lineRule="auto"/>
              <w:jc w:val="right"/>
            </w:pPr>
            <w:r w:rsidRPr="00362CF5">
              <w:rPr>
                <w:i/>
                <w:iCs/>
                <w:color w:val="000000"/>
                <w:sz w:val="20"/>
                <w:szCs w:val="20"/>
              </w:rPr>
              <w:t>29.2 (26.9-31.6)</w:t>
            </w:r>
          </w:p>
        </w:tc>
        <w:tc>
          <w:tcPr>
            <w:tcW w:w="992" w:type="dxa"/>
            <w:tcMar>
              <w:top w:w="0" w:type="dxa"/>
              <w:left w:w="115" w:type="dxa"/>
              <w:bottom w:w="0" w:type="dxa"/>
              <w:right w:w="115" w:type="dxa"/>
            </w:tcMar>
            <w:vAlign w:val="center"/>
            <w:hideMark/>
          </w:tcPr>
          <w:p w14:paraId="0BAE612E" w14:textId="77777777" w:rsidR="00F1052A" w:rsidRPr="00362CF5" w:rsidRDefault="00F1052A" w:rsidP="00F1052A">
            <w:pPr>
              <w:spacing w:line="240" w:lineRule="auto"/>
              <w:jc w:val="center"/>
            </w:pPr>
            <w:r w:rsidRPr="00362CF5">
              <w:rPr>
                <w:i/>
                <w:iCs/>
                <w:color w:val="000000"/>
                <w:sz w:val="20"/>
                <w:szCs w:val="20"/>
              </w:rPr>
              <w:t>&lt;0.001</w:t>
            </w:r>
          </w:p>
        </w:tc>
      </w:tr>
      <w:tr w:rsidR="00F1052A" w:rsidRPr="00362CF5" w14:paraId="03341C30" w14:textId="77777777" w:rsidTr="00F1052A">
        <w:trPr>
          <w:trHeight w:val="300"/>
        </w:trPr>
        <w:tc>
          <w:tcPr>
            <w:tcW w:w="3324" w:type="dxa"/>
            <w:tcMar>
              <w:top w:w="0" w:type="dxa"/>
              <w:left w:w="115" w:type="dxa"/>
              <w:bottom w:w="0" w:type="dxa"/>
              <w:right w:w="115" w:type="dxa"/>
            </w:tcMar>
            <w:vAlign w:val="bottom"/>
            <w:hideMark/>
          </w:tcPr>
          <w:p w14:paraId="201E9D12" w14:textId="77777777" w:rsidR="00F1052A" w:rsidRPr="00362CF5" w:rsidRDefault="00F1052A" w:rsidP="00F1052A">
            <w:pPr>
              <w:spacing w:line="240" w:lineRule="auto"/>
              <w:ind w:left="366"/>
              <w:rPr>
                <w:sz w:val="20"/>
                <w:szCs w:val="20"/>
              </w:rPr>
            </w:pPr>
            <w:proofErr w:type="spellStart"/>
            <w:r w:rsidRPr="00362CF5">
              <w:rPr>
                <w:color w:val="000000"/>
                <w:sz w:val="20"/>
                <w:szCs w:val="20"/>
              </w:rPr>
              <w:t>Dyslipidemia</w:t>
            </w:r>
            <w:proofErr w:type="spellEnd"/>
          </w:p>
        </w:tc>
        <w:tc>
          <w:tcPr>
            <w:tcW w:w="619" w:type="dxa"/>
            <w:shd w:val="clear" w:color="auto" w:fill="FFFFFF"/>
            <w:tcMar>
              <w:top w:w="0" w:type="dxa"/>
              <w:left w:w="115" w:type="dxa"/>
              <w:bottom w:w="0" w:type="dxa"/>
              <w:right w:w="115" w:type="dxa"/>
            </w:tcMar>
            <w:vAlign w:val="center"/>
            <w:hideMark/>
          </w:tcPr>
          <w:p w14:paraId="517C8AAA" w14:textId="77777777" w:rsidR="00F1052A" w:rsidRPr="00362CF5" w:rsidRDefault="00F1052A" w:rsidP="00F1052A">
            <w:pPr>
              <w:spacing w:line="240" w:lineRule="auto"/>
              <w:jc w:val="center"/>
            </w:pPr>
            <w:r w:rsidRPr="00362CF5">
              <w:rPr>
                <w:color w:val="000000"/>
                <w:sz w:val="20"/>
                <w:szCs w:val="20"/>
              </w:rPr>
              <w:t>481</w:t>
            </w:r>
          </w:p>
        </w:tc>
        <w:tc>
          <w:tcPr>
            <w:tcW w:w="1559" w:type="dxa"/>
            <w:shd w:val="clear" w:color="auto" w:fill="FFFFFF"/>
            <w:tcMar>
              <w:top w:w="0" w:type="dxa"/>
              <w:left w:w="115" w:type="dxa"/>
              <w:bottom w:w="0" w:type="dxa"/>
              <w:right w:w="115" w:type="dxa"/>
            </w:tcMar>
            <w:vAlign w:val="center"/>
            <w:hideMark/>
          </w:tcPr>
          <w:p w14:paraId="31E06E68" w14:textId="77777777" w:rsidR="00F1052A" w:rsidRPr="00362CF5" w:rsidRDefault="00F1052A" w:rsidP="00F1052A">
            <w:pPr>
              <w:spacing w:line="240" w:lineRule="auto"/>
              <w:jc w:val="right"/>
            </w:pPr>
            <w:r w:rsidRPr="00362CF5">
              <w:rPr>
                <w:color w:val="000000"/>
                <w:sz w:val="20"/>
                <w:szCs w:val="20"/>
              </w:rPr>
              <w:t>81.4 (76.5-85.4)</w:t>
            </w:r>
          </w:p>
        </w:tc>
        <w:tc>
          <w:tcPr>
            <w:tcW w:w="709" w:type="dxa"/>
            <w:shd w:val="clear" w:color="auto" w:fill="FFFFFF"/>
            <w:tcMar>
              <w:top w:w="0" w:type="dxa"/>
              <w:left w:w="115" w:type="dxa"/>
              <w:bottom w:w="0" w:type="dxa"/>
              <w:right w:w="115" w:type="dxa"/>
            </w:tcMar>
            <w:vAlign w:val="center"/>
            <w:hideMark/>
          </w:tcPr>
          <w:p w14:paraId="09F84CAC" w14:textId="77777777" w:rsidR="00F1052A" w:rsidRPr="00362CF5" w:rsidRDefault="00F1052A" w:rsidP="00F1052A">
            <w:pPr>
              <w:spacing w:line="240" w:lineRule="auto"/>
              <w:jc w:val="center"/>
            </w:pPr>
            <w:r w:rsidRPr="00362CF5">
              <w:rPr>
                <w:color w:val="000000"/>
                <w:sz w:val="20"/>
                <w:szCs w:val="20"/>
              </w:rPr>
              <w:t>1,260</w:t>
            </w:r>
          </w:p>
        </w:tc>
        <w:tc>
          <w:tcPr>
            <w:tcW w:w="1559" w:type="dxa"/>
            <w:shd w:val="clear" w:color="auto" w:fill="FFFFFF"/>
            <w:tcMar>
              <w:top w:w="0" w:type="dxa"/>
              <w:left w:w="115" w:type="dxa"/>
              <w:bottom w:w="0" w:type="dxa"/>
              <w:right w:w="115" w:type="dxa"/>
            </w:tcMar>
            <w:vAlign w:val="center"/>
            <w:hideMark/>
          </w:tcPr>
          <w:p w14:paraId="15A22181" w14:textId="77777777" w:rsidR="00F1052A" w:rsidRPr="00362CF5" w:rsidRDefault="00F1052A" w:rsidP="00F1052A">
            <w:pPr>
              <w:spacing w:line="240" w:lineRule="auto"/>
              <w:jc w:val="right"/>
            </w:pPr>
            <w:r w:rsidRPr="00362CF5">
              <w:rPr>
                <w:color w:val="000000"/>
                <w:sz w:val="20"/>
                <w:szCs w:val="20"/>
              </w:rPr>
              <w:t>21.7 (19.7-23.8)</w:t>
            </w:r>
          </w:p>
        </w:tc>
        <w:tc>
          <w:tcPr>
            <w:tcW w:w="992" w:type="dxa"/>
            <w:tcMar>
              <w:top w:w="0" w:type="dxa"/>
              <w:left w:w="115" w:type="dxa"/>
              <w:bottom w:w="0" w:type="dxa"/>
              <w:right w:w="115" w:type="dxa"/>
            </w:tcMar>
            <w:vAlign w:val="center"/>
            <w:hideMark/>
          </w:tcPr>
          <w:p w14:paraId="07EBFC20" w14:textId="77777777" w:rsidR="00F1052A" w:rsidRPr="00362CF5" w:rsidRDefault="00F1052A" w:rsidP="00F1052A">
            <w:pPr>
              <w:spacing w:line="240" w:lineRule="auto"/>
            </w:pPr>
          </w:p>
        </w:tc>
      </w:tr>
      <w:tr w:rsidR="00F1052A" w:rsidRPr="00362CF5" w14:paraId="4EDBD982" w14:textId="77777777" w:rsidTr="00F1052A">
        <w:trPr>
          <w:trHeight w:val="300"/>
        </w:trPr>
        <w:tc>
          <w:tcPr>
            <w:tcW w:w="3324" w:type="dxa"/>
            <w:tcMar>
              <w:top w:w="0" w:type="dxa"/>
              <w:left w:w="115" w:type="dxa"/>
              <w:bottom w:w="0" w:type="dxa"/>
              <w:right w:w="115" w:type="dxa"/>
            </w:tcMar>
            <w:vAlign w:val="bottom"/>
            <w:hideMark/>
          </w:tcPr>
          <w:p w14:paraId="012A18A3" w14:textId="77777777" w:rsidR="00F1052A" w:rsidRPr="00362CF5" w:rsidRDefault="00F1052A" w:rsidP="00F1052A">
            <w:pPr>
              <w:spacing w:line="240" w:lineRule="auto"/>
              <w:ind w:left="366"/>
              <w:rPr>
                <w:sz w:val="20"/>
                <w:szCs w:val="20"/>
              </w:rPr>
            </w:pPr>
            <w:r w:rsidRPr="00362CF5">
              <w:rPr>
                <w:color w:val="000000"/>
                <w:sz w:val="20"/>
                <w:szCs w:val="20"/>
              </w:rPr>
              <w:t>Diabetes mellitus</w:t>
            </w:r>
          </w:p>
        </w:tc>
        <w:tc>
          <w:tcPr>
            <w:tcW w:w="619" w:type="dxa"/>
            <w:shd w:val="clear" w:color="auto" w:fill="FFFFFF"/>
            <w:tcMar>
              <w:top w:w="0" w:type="dxa"/>
              <w:left w:w="115" w:type="dxa"/>
              <w:bottom w:w="0" w:type="dxa"/>
              <w:right w:w="115" w:type="dxa"/>
            </w:tcMar>
            <w:vAlign w:val="center"/>
            <w:hideMark/>
          </w:tcPr>
          <w:p w14:paraId="46FFC55C" w14:textId="77777777" w:rsidR="00F1052A" w:rsidRPr="00362CF5" w:rsidRDefault="00F1052A" w:rsidP="00F1052A">
            <w:pPr>
              <w:spacing w:line="240" w:lineRule="auto"/>
              <w:jc w:val="center"/>
            </w:pPr>
            <w:r w:rsidRPr="00362CF5">
              <w:rPr>
                <w:color w:val="000000"/>
                <w:sz w:val="20"/>
                <w:szCs w:val="20"/>
              </w:rPr>
              <w:t>234</w:t>
            </w:r>
          </w:p>
        </w:tc>
        <w:tc>
          <w:tcPr>
            <w:tcW w:w="1559" w:type="dxa"/>
            <w:shd w:val="clear" w:color="auto" w:fill="FFFFFF"/>
            <w:tcMar>
              <w:top w:w="0" w:type="dxa"/>
              <w:left w:w="115" w:type="dxa"/>
              <w:bottom w:w="0" w:type="dxa"/>
              <w:right w:w="115" w:type="dxa"/>
            </w:tcMar>
            <w:vAlign w:val="center"/>
            <w:hideMark/>
          </w:tcPr>
          <w:p w14:paraId="5D434856" w14:textId="77777777" w:rsidR="00F1052A" w:rsidRPr="00362CF5" w:rsidRDefault="00F1052A" w:rsidP="00F1052A">
            <w:pPr>
              <w:spacing w:line="240" w:lineRule="auto"/>
              <w:jc w:val="right"/>
            </w:pPr>
            <w:r w:rsidRPr="00362CF5">
              <w:rPr>
                <w:color w:val="000000"/>
                <w:sz w:val="20"/>
                <w:szCs w:val="20"/>
              </w:rPr>
              <w:t>36.6 (32.5-40.9)</w:t>
            </w:r>
          </w:p>
        </w:tc>
        <w:tc>
          <w:tcPr>
            <w:tcW w:w="709" w:type="dxa"/>
            <w:shd w:val="clear" w:color="auto" w:fill="FFFFFF"/>
            <w:tcMar>
              <w:top w:w="0" w:type="dxa"/>
              <w:left w:w="115" w:type="dxa"/>
              <w:bottom w:w="0" w:type="dxa"/>
              <w:right w:w="115" w:type="dxa"/>
            </w:tcMar>
            <w:vAlign w:val="center"/>
            <w:hideMark/>
          </w:tcPr>
          <w:p w14:paraId="793AE3E1" w14:textId="77777777" w:rsidR="00F1052A" w:rsidRPr="00362CF5" w:rsidRDefault="00F1052A" w:rsidP="00F1052A">
            <w:pPr>
              <w:spacing w:line="240" w:lineRule="auto"/>
              <w:jc w:val="center"/>
            </w:pPr>
            <w:r w:rsidRPr="00362CF5">
              <w:rPr>
                <w:color w:val="000000"/>
                <w:sz w:val="20"/>
                <w:szCs w:val="20"/>
              </w:rPr>
              <w:t>843</w:t>
            </w:r>
          </w:p>
        </w:tc>
        <w:tc>
          <w:tcPr>
            <w:tcW w:w="1559" w:type="dxa"/>
            <w:shd w:val="clear" w:color="auto" w:fill="FFFFFF"/>
            <w:tcMar>
              <w:top w:w="0" w:type="dxa"/>
              <w:left w:w="115" w:type="dxa"/>
              <w:bottom w:w="0" w:type="dxa"/>
              <w:right w:w="115" w:type="dxa"/>
            </w:tcMar>
            <w:vAlign w:val="center"/>
            <w:hideMark/>
          </w:tcPr>
          <w:p w14:paraId="63452A5E" w14:textId="77777777" w:rsidR="00F1052A" w:rsidRPr="00362CF5" w:rsidRDefault="00F1052A" w:rsidP="00F1052A">
            <w:pPr>
              <w:spacing w:line="240" w:lineRule="auto"/>
              <w:jc w:val="right"/>
            </w:pPr>
            <w:r w:rsidRPr="00362CF5">
              <w:rPr>
                <w:color w:val="000000"/>
                <w:sz w:val="20"/>
                <w:szCs w:val="20"/>
              </w:rPr>
              <w:t>15.1 (13.2-17.1)</w:t>
            </w:r>
          </w:p>
        </w:tc>
        <w:tc>
          <w:tcPr>
            <w:tcW w:w="992" w:type="dxa"/>
            <w:tcMar>
              <w:top w:w="0" w:type="dxa"/>
              <w:left w:w="115" w:type="dxa"/>
              <w:bottom w:w="0" w:type="dxa"/>
              <w:right w:w="115" w:type="dxa"/>
            </w:tcMar>
            <w:vAlign w:val="center"/>
            <w:hideMark/>
          </w:tcPr>
          <w:p w14:paraId="6F774D42" w14:textId="77777777" w:rsidR="00F1052A" w:rsidRPr="00362CF5" w:rsidRDefault="00F1052A" w:rsidP="00F1052A">
            <w:pPr>
              <w:spacing w:line="240" w:lineRule="auto"/>
            </w:pPr>
          </w:p>
        </w:tc>
      </w:tr>
      <w:tr w:rsidR="00F1052A" w:rsidRPr="00362CF5" w14:paraId="3863EB42" w14:textId="77777777" w:rsidTr="00F1052A">
        <w:trPr>
          <w:trHeight w:val="300"/>
        </w:trPr>
        <w:tc>
          <w:tcPr>
            <w:tcW w:w="3324" w:type="dxa"/>
            <w:tcMar>
              <w:top w:w="0" w:type="dxa"/>
              <w:left w:w="115" w:type="dxa"/>
              <w:bottom w:w="0" w:type="dxa"/>
              <w:right w:w="115" w:type="dxa"/>
            </w:tcMar>
            <w:vAlign w:val="bottom"/>
            <w:hideMark/>
          </w:tcPr>
          <w:p w14:paraId="633425DE" w14:textId="77777777" w:rsidR="00F1052A" w:rsidRPr="00362CF5" w:rsidRDefault="00F1052A" w:rsidP="00F1052A">
            <w:pPr>
              <w:spacing w:line="240" w:lineRule="auto"/>
              <w:rPr>
                <w:sz w:val="20"/>
                <w:szCs w:val="20"/>
              </w:rPr>
            </w:pPr>
            <w:r w:rsidRPr="00362CF5">
              <w:rPr>
                <w:i/>
                <w:iCs/>
                <w:color w:val="000000"/>
                <w:sz w:val="20"/>
                <w:szCs w:val="20"/>
              </w:rPr>
              <w:t>- Others</w:t>
            </w:r>
          </w:p>
        </w:tc>
        <w:tc>
          <w:tcPr>
            <w:tcW w:w="619" w:type="dxa"/>
            <w:shd w:val="clear" w:color="auto" w:fill="FFFFFF"/>
            <w:tcMar>
              <w:top w:w="0" w:type="dxa"/>
              <w:left w:w="115" w:type="dxa"/>
              <w:bottom w:w="0" w:type="dxa"/>
              <w:right w:w="115" w:type="dxa"/>
            </w:tcMar>
            <w:vAlign w:val="center"/>
            <w:hideMark/>
          </w:tcPr>
          <w:p w14:paraId="629DA717" w14:textId="77777777" w:rsidR="00F1052A" w:rsidRPr="00362CF5" w:rsidRDefault="00F1052A" w:rsidP="00F1052A">
            <w:pPr>
              <w:spacing w:line="240" w:lineRule="auto"/>
              <w:jc w:val="center"/>
            </w:pPr>
            <w:r w:rsidRPr="00362CF5">
              <w:rPr>
                <w:i/>
                <w:iCs/>
                <w:color w:val="000000"/>
                <w:sz w:val="20"/>
                <w:szCs w:val="20"/>
              </w:rPr>
              <w:t>374</w:t>
            </w:r>
          </w:p>
        </w:tc>
        <w:tc>
          <w:tcPr>
            <w:tcW w:w="1559" w:type="dxa"/>
            <w:shd w:val="clear" w:color="auto" w:fill="FFFFFF"/>
            <w:tcMar>
              <w:top w:w="0" w:type="dxa"/>
              <w:left w:w="115" w:type="dxa"/>
              <w:bottom w:w="0" w:type="dxa"/>
              <w:right w:w="115" w:type="dxa"/>
            </w:tcMar>
            <w:vAlign w:val="center"/>
            <w:hideMark/>
          </w:tcPr>
          <w:p w14:paraId="551FF758" w14:textId="77777777" w:rsidR="00F1052A" w:rsidRPr="00362CF5" w:rsidRDefault="00F1052A" w:rsidP="00F1052A">
            <w:pPr>
              <w:spacing w:line="240" w:lineRule="auto"/>
              <w:jc w:val="right"/>
            </w:pPr>
            <w:r w:rsidRPr="00362CF5">
              <w:rPr>
                <w:i/>
                <w:iCs/>
                <w:color w:val="000000"/>
                <w:sz w:val="20"/>
                <w:szCs w:val="20"/>
              </w:rPr>
              <w:t>62.0 (54.9-68.7)</w:t>
            </w:r>
          </w:p>
        </w:tc>
        <w:tc>
          <w:tcPr>
            <w:tcW w:w="709" w:type="dxa"/>
            <w:shd w:val="clear" w:color="auto" w:fill="FFFFFF"/>
            <w:tcMar>
              <w:top w:w="0" w:type="dxa"/>
              <w:left w:w="115" w:type="dxa"/>
              <w:bottom w:w="0" w:type="dxa"/>
              <w:right w:w="115" w:type="dxa"/>
            </w:tcMar>
            <w:vAlign w:val="center"/>
            <w:hideMark/>
          </w:tcPr>
          <w:p w14:paraId="4660CA94" w14:textId="77777777" w:rsidR="00F1052A" w:rsidRPr="00362CF5" w:rsidRDefault="00F1052A" w:rsidP="00F1052A">
            <w:pPr>
              <w:spacing w:line="240" w:lineRule="auto"/>
              <w:jc w:val="center"/>
            </w:pPr>
            <w:r w:rsidRPr="00362CF5">
              <w:rPr>
                <w:i/>
                <w:iCs/>
                <w:color w:val="000000"/>
                <w:sz w:val="20"/>
                <w:szCs w:val="20"/>
              </w:rPr>
              <w:t>2,916</w:t>
            </w:r>
          </w:p>
        </w:tc>
        <w:tc>
          <w:tcPr>
            <w:tcW w:w="1559" w:type="dxa"/>
            <w:shd w:val="clear" w:color="auto" w:fill="FFFFFF"/>
            <w:tcMar>
              <w:top w:w="0" w:type="dxa"/>
              <w:left w:w="115" w:type="dxa"/>
              <w:bottom w:w="0" w:type="dxa"/>
              <w:right w:w="115" w:type="dxa"/>
            </w:tcMar>
            <w:vAlign w:val="center"/>
            <w:hideMark/>
          </w:tcPr>
          <w:p w14:paraId="0A4860EB" w14:textId="77777777" w:rsidR="00F1052A" w:rsidRPr="00362CF5" w:rsidRDefault="00F1052A" w:rsidP="00F1052A">
            <w:pPr>
              <w:spacing w:line="240" w:lineRule="auto"/>
              <w:jc w:val="right"/>
            </w:pPr>
            <w:r w:rsidRPr="00362CF5">
              <w:rPr>
                <w:i/>
                <w:iCs/>
                <w:color w:val="000000"/>
                <w:sz w:val="20"/>
                <w:szCs w:val="20"/>
              </w:rPr>
              <w:t>52.4 (49.0-55.7)</w:t>
            </w:r>
          </w:p>
        </w:tc>
        <w:tc>
          <w:tcPr>
            <w:tcW w:w="992" w:type="dxa"/>
            <w:tcMar>
              <w:top w:w="0" w:type="dxa"/>
              <w:left w:w="115" w:type="dxa"/>
              <w:bottom w:w="0" w:type="dxa"/>
              <w:right w:w="115" w:type="dxa"/>
            </w:tcMar>
            <w:vAlign w:val="center"/>
            <w:hideMark/>
          </w:tcPr>
          <w:p w14:paraId="15BABFFC" w14:textId="77777777" w:rsidR="00F1052A" w:rsidRPr="00362CF5" w:rsidRDefault="00F1052A" w:rsidP="00F1052A">
            <w:pPr>
              <w:spacing w:line="240" w:lineRule="auto"/>
              <w:jc w:val="center"/>
            </w:pPr>
            <w:r w:rsidRPr="00362CF5">
              <w:rPr>
                <w:i/>
                <w:iCs/>
                <w:color w:val="000000"/>
                <w:sz w:val="20"/>
                <w:szCs w:val="20"/>
              </w:rPr>
              <w:t>0.001</w:t>
            </w:r>
          </w:p>
        </w:tc>
      </w:tr>
      <w:tr w:rsidR="00F1052A" w:rsidRPr="00362CF5" w14:paraId="3A1F1D95" w14:textId="77777777" w:rsidTr="00F1052A">
        <w:trPr>
          <w:trHeight w:val="300"/>
        </w:trPr>
        <w:tc>
          <w:tcPr>
            <w:tcW w:w="3324" w:type="dxa"/>
            <w:tcMar>
              <w:top w:w="0" w:type="dxa"/>
              <w:left w:w="115" w:type="dxa"/>
              <w:bottom w:w="0" w:type="dxa"/>
              <w:right w:w="115" w:type="dxa"/>
            </w:tcMar>
            <w:vAlign w:val="bottom"/>
            <w:hideMark/>
          </w:tcPr>
          <w:p w14:paraId="6C450C1B" w14:textId="77777777" w:rsidR="00F1052A" w:rsidRPr="00362CF5" w:rsidRDefault="00F1052A" w:rsidP="00F1052A">
            <w:pPr>
              <w:spacing w:line="240" w:lineRule="auto"/>
              <w:ind w:left="366"/>
              <w:rPr>
                <w:sz w:val="20"/>
                <w:szCs w:val="20"/>
              </w:rPr>
            </w:pPr>
            <w:r w:rsidRPr="00362CF5">
              <w:rPr>
                <w:color w:val="000000"/>
                <w:sz w:val="20"/>
                <w:szCs w:val="20"/>
              </w:rPr>
              <w:t>Arthritis, arthrosis, or rheumatism</w:t>
            </w:r>
          </w:p>
        </w:tc>
        <w:tc>
          <w:tcPr>
            <w:tcW w:w="619" w:type="dxa"/>
            <w:shd w:val="clear" w:color="auto" w:fill="FFFFFF"/>
            <w:tcMar>
              <w:top w:w="0" w:type="dxa"/>
              <w:left w:w="115" w:type="dxa"/>
              <w:bottom w:w="0" w:type="dxa"/>
              <w:right w:w="115" w:type="dxa"/>
            </w:tcMar>
            <w:vAlign w:val="center"/>
            <w:hideMark/>
          </w:tcPr>
          <w:p w14:paraId="2FEE4C70" w14:textId="77777777" w:rsidR="00F1052A" w:rsidRPr="00362CF5" w:rsidRDefault="00F1052A" w:rsidP="00F1052A">
            <w:pPr>
              <w:spacing w:line="240" w:lineRule="auto"/>
              <w:jc w:val="center"/>
            </w:pPr>
            <w:r w:rsidRPr="00362CF5">
              <w:rPr>
                <w:color w:val="000000"/>
                <w:sz w:val="20"/>
                <w:szCs w:val="20"/>
              </w:rPr>
              <w:t>222</w:t>
            </w:r>
          </w:p>
        </w:tc>
        <w:tc>
          <w:tcPr>
            <w:tcW w:w="1559" w:type="dxa"/>
            <w:shd w:val="clear" w:color="auto" w:fill="FFFFFF"/>
            <w:tcMar>
              <w:top w:w="0" w:type="dxa"/>
              <w:left w:w="115" w:type="dxa"/>
              <w:bottom w:w="0" w:type="dxa"/>
              <w:right w:w="115" w:type="dxa"/>
            </w:tcMar>
            <w:vAlign w:val="center"/>
            <w:hideMark/>
          </w:tcPr>
          <w:p w14:paraId="63F73C6D" w14:textId="77777777" w:rsidR="00F1052A" w:rsidRPr="00362CF5" w:rsidRDefault="00F1052A" w:rsidP="00F1052A">
            <w:pPr>
              <w:spacing w:line="240" w:lineRule="auto"/>
              <w:jc w:val="right"/>
            </w:pPr>
            <w:r w:rsidRPr="00362CF5">
              <w:rPr>
                <w:color w:val="000000"/>
                <w:sz w:val="20"/>
                <w:szCs w:val="20"/>
              </w:rPr>
              <w:t>35.8 (30.3-41.8)</w:t>
            </w:r>
          </w:p>
        </w:tc>
        <w:tc>
          <w:tcPr>
            <w:tcW w:w="709" w:type="dxa"/>
            <w:shd w:val="clear" w:color="auto" w:fill="FFFFFF"/>
            <w:tcMar>
              <w:top w:w="0" w:type="dxa"/>
              <w:left w:w="115" w:type="dxa"/>
              <w:bottom w:w="0" w:type="dxa"/>
              <w:right w:w="115" w:type="dxa"/>
            </w:tcMar>
            <w:vAlign w:val="center"/>
            <w:hideMark/>
          </w:tcPr>
          <w:p w14:paraId="1ED61657" w14:textId="77777777" w:rsidR="00F1052A" w:rsidRPr="00362CF5" w:rsidRDefault="00F1052A" w:rsidP="00F1052A">
            <w:pPr>
              <w:spacing w:line="240" w:lineRule="auto"/>
              <w:jc w:val="center"/>
            </w:pPr>
            <w:r w:rsidRPr="00362CF5">
              <w:rPr>
                <w:color w:val="000000"/>
                <w:sz w:val="20"/>
                <w:szCs w:val="20"/>
              </w:rPr>
              <w:t>1,273</w:t>
            </w:r>
          </w:p>
        </w:tc>
        <w:tc>
          <w:tcPr>
            <w:tcW w:w="1559" w:type="dxa"/>
            <w:shd w:val="clear" w:color="auto" w:fill="FFFFFF"/>
            <w:tcMar>
              <w:top w:w="0" w:type="dxa"/>
              <w:left w:w="115" w:type="dxa"/>
              <w:bottom w:w="0" w:type="dxa"/>
              <w:right w:w="115" w:type="dxa"/>
            </w:tcMar>
            <w:vAlign w:val="center"/>
            <w:hideMark/>
          </w:tcPr>
          <w:p w14:paraId="1623BAEF" w14:textId="77777777" w:rsidR="00F1052A" w:rsidRPr="00362CF5" w:rsidRDefault="00F1052A" w:rsidP="00F1052A">
            <w:pPr>
              <w:spacing w:line="240" w:lineRule="auto"/>
              <w:jc w:val="right"/>
            </w:pPr>
            <w:r w:rsidRPr="00362CF5">
              <w:rPr>
                <w:color w:val="000000"/>
                <w:sz w:val="20"/>
                <w:szCs w:val="20"/>
              </w:rPr>
              <w:t>22.3 (19.8-25.0)</w:t>
            </w:r>
          </w:p>
        </w:tc>
        <w:tc>
          <w:tcPr>
            <w:tcW w:w="992" w:type="dxa"/>
            <w:tcMar>
              <w:top w:w="0" w:type="dxa"/>
              <w:left w:w="115" w:type="dxa"/>
              <w:bottom w:w="0" w:type="dxa"/>
              <w:right w:w="115" w:type="dxa"/>
            </w:tcMar>
            <w:vAlign w:val="center"/>
            <w:hideMark/>
          </w:tcPr>
          <w:p w14:paraId="73C7268E" w14:textId="77777777" w:rsidR="00F1052A" w:rsidRPr="00362CF5" w:rsidRDefault="00F1052A" w:rsidP="00F1052A">
            <w:pPr>
              <w:spacing w:line="240" w:lineRule="auto"/>
            </w:pPr>
          </w:p>
        </w:tc>
      </w:tr>
      <w:tr w:rsidR="00F1052A" w:rsidRPr="00362CF5" w14:paraId="603C073A" w14:textId="77777777" w:rsidTr="00F1052A">
        <w:trPr>
          <w:trHeight w:val="300"/>
        </w:trPr>
        <w:tc>
          <w:tcPr>
            <w:tcW w:w="3324" w:type="dxa"/>
            <w:tcMar>
              <w:top w:w="0" w:type="dxa"/>
              <w:left w:w="115" w:type="dxa"/>
              <w:bottom w:w="0" w:type="dxa"/>
              <w:right w:w="115" w:type="dxa"/>
            </w:tcMar>
            <w:vAlign w:val="bottom"/>
            <w:hideMark/>
          </w:tcPr>
          <w:p w14:paraId="56BEAAAE" w14:textId="77777777" w:rsidR="00F1052A" w:rsidRPr="00362CF5" w:rsidRDefault="00F1052A" w:rsidP="00F1052A">
            <w:pPr>
              <w:spacing w:line="240" w:lineRule="auto"/>
              <w:ind w:left="366"/>
              <w:rPr>
                <w:sz w:val="20"/>
                <w:szCs w:val="20"/>
              </w:rPr>
            </w:pPr>
            <w:r w:rsidRPr="00362CF5">
              <w:rPr>
                <w:color w:val="000000"/>
                <w:sz w:val="20"/>
                <w:szCs w:val="20"/>
              </w:rPr>
              <w:t>Depression</w:t>
            </w:r>
          </w:p>
        </w:tc>
        <w:tc>
          <w:tcPr>
            <w:tcW w:w="619" w:type="dxa"/>
            <w:shd w:val="clear" w:color="auto" w:fill="FFFFFF"/>
            <w:tcMar>
              <w:top w:w="0" w:type="dxa"/>
              <w:left w:w="115" w:type="dxa"/>
              <w:bottom w:w="0" w:type="dxa"/>
              <w:right w:w="115" w:type="dxa"/>
            </w:tcMar>
            <w:vAlign w:val="center"/>
            <w:hideMark/>
          </w:tcPr>
          <w:p w14:paraId="6BA6AEF9" w14:textId="77777777" w:rsidR="00F1052A" w:rsidRPr="00362CF5" w:rsidRDefault="00F1052A" w:rsidP="00F1052A">
            <w:pPr>
              <w:spacing w:line="240" w:lineRule="auto"/>
              <w:jc w:val="center"/>
            </w:pPr>
            <w:r w:rsidRPr="00362CF5">
              <w:rPr>
                <w:color w:val="000000"/>
                <w:sz w:val="20"/>
                <w:szCs w:val="20"/>
              </w:rPr>
              <w:t>166</w:t>
            </w:r>
          </w:p>
        </w:tc>
        <w:tc>
          <w:tcPr>
            <w:tcW w:w="1559" w:type="dxa"/>
            <w:shd w:val="clear" w:color="auto" w:fill="FFFFFF"/>
            <w:tcMar>
              <w:top w:w="0" w:type="dxa"/>
              <w:left w:w="115" w:type="dxa"/>
              <w:bottom w:w="0" w:type="dxa"/>
              <w:right w:w="115" w:type="dxa"/>
            </w:tcMar>
            <w:vAlign w:val="center"/>
            <w:hideMark/>
          </w:tcPr>
          <w:p w14:paraId="74937785" w14:textId="77777777" w:rsidR="00F1052A" w:rsidRPr="00362CF5" w:rsidRDefault="00F1052A" w:rsidP="00F1052A">
            <w:pPr>
              <w:spacing w:line="240" w:lineRule="auto"/>
              <w:jc w:val="right"/>
            </w:pPr>
            <w:r w:rsidRPr="00362CF5">
              <w:rPr>
                <w:color w:val="000000"/>
                <w:sz w:val="20"/>
                <w:szCs w:val="20"/>
              </w:rPr>
              <w:t>25.8 (20.2-32.3)</w:t>
            </w:r>
          </w:p>
        </w:tc>
        <w:tc>
          <w:tcPr>
            <w:tcW w:w="709" w:type="dxa"/>
            <w:shd w:val="clear" w:color="auto" w:fill="FFFFFF"/>
            <w:tcMar>
              <w:top w:w="0" w:type="dxa"/>
              <w:left w:w="115" w:type="dxa"/>
              <w:bottom w:w="0" w:type="dxa"/>
              <w:right w:w="115" w:type="dxa"/>
            </w:tcMar>
            <w:vAlign w:val="center"/>
            <w:hideMark/>
          </w:tcPr>
          <w:p w14:paraId="585D2D44" w14:textId="77777777" w:rsidR="00F1052A" w:rsidRPr="00362CF5" w:rsidRDefault="00F1052A" w:rsidP="00F1052A">
            <w:pPr>
              <w:spacing w:line="240" w:lineRule="auto"/>
              <w:jc w:val="center"/>
            </w:pPr>
            <w:r w:rsidRPr="00362CF5">
              <w:rPr>
                <w:color w:val="000000"/>
                <w:sz w:val="20"/>
                <w:szCs w:val="20"/>
              </w:rPr>
              <w:t>1,176</w:t>
            </w:r>
          </w:p>
        </w:tc>
        <w:tc>
          <w:tcPr>
            <w:tcW w:w="1559" w:type="dxa"/>
            <w:shd w:val="clear" w:color="auto" w:fill="FFFFFF"/>
            <w:tcMar>
              <w:top w:w="0" w:type="dxa"/>
              <w:left w:w="115" w:type="dxa"/>
              <w:bottom w:w="0" w:type="dxa"/>
              <w:right w:w="115" w:type="dxa"/>
            </w:tcMar>
            <w:vAlign w:val="center"/>
            <w:hideMark/>
          </w:tcPr>
          <w:p w14:paraId="099E5E9A" w14:textId="77777777" w:rsidR="00F1052A" w:rsidRPr="00362CF5" w:rsidRDefault="00F1052A" w:rsidP="00F1052A">
            <w:pPr>
              <w:spacing w:line="240" w:lineRule="auto"/>
              <w:jc w:val="right"/>
            </w:pPr>
            <w:r w:rsidRPr="00362CF5">
              <w:rPr>
                <w:color w:val="000000"/>
                <w:sz w:val="20"/>
                <w:szCs w:val="20"/>
              </w:rPr>
              <w:t>21.7 (19.1-24.5)</w:t>
            </w:r>
          </w:p>
        </w:tc>
        <w:tc>
          <w:tcPr>
            <w:tcW w:w="992" w:type="dxa"/>
            <w:tcMar>
              <w:top w:w="0" w:type="dxa"/>
              <w:left w:w="115" w:type="dxa"/>
              <w:bottom w:w="0" w:type="dxa"/>
              <w:right w:w="115" w:type="dxa"/>
            </w:tcMar>
            <w:vAlign w:val="center"/>
            <w:hideMark/>
          </w:tcPr>
          <w:p w14:paraId="1B9FE5B5" w14:textId="77777777" w:rsidR="00F1052A" w:rsidRPr="00362CF5" w:rsidRDefault="00F1052A" w:rsidP="00F1052A">
            <w:pPr>
              <w:spacing w:line="240" w:lineRule="auto"/>
            </w:pPr>
          </w:p>
        </w:tc>
      </w:tr>
      <w:tr w:rsidR="00F1052A" w:rsidRPr="00362CF5" w14:paraId="15BE978B" w14:textId="77777777" w:rsidTr="00F1052A">
        <w:trPr>
          <w:trHeight w:val="300"/>
        </w:trPr>
        <w:tc>
          <w:tcPr>
            <w:tcW w:w="3324" w:type="dxa"/>
            <w:tcMar>
              <w:top w:w="0" w:type="dxa"/>
              <w:left w:w="115" w:type="dxa"/>
              <w:bottom w:w="0" w:type="dxa"/>
              <w:right w:w="115" w:type="dxa"/>
            </w:tcMar>
            <w:vAlign w:val="bottom"/>
            <w:hideMark/>
          </w:tcPr>
          <w:p w14:paraId="79EE17EE" w14:textId="77777777" w:rsidR="00F1052A" w:rsidRPr="00362CF5" w:rsidRDefault="00F1052A" w:rsidP="00F1052A">
            <w:pPr>
              <w:spacing w:line="240" w:lineRule="auto"/>
              <w:ind w:left="366"/>
              <w:rPr>
                <w:sz w:val="20"/>
                <w:szCs w:val="20"/>
              </w:rPr>
            </w:pPr>
            <w:r w:rsidRPr="00362CF5">
              <w:rPr>
                <w:color w:val="000000"/>
                <w:sz w:val="20"/>
                <w:szCs w:val="20"/>
              </w:rPr>
              <w:t>Chronic pulmonary disease</w:t>
            </w:r>
          </w:p>
        </w:tc>
        <w:tc>
          <w:tcPr>
            <w:tcW w:w="619" w:type="dxa"/>
            <w:shd w:val="clear" w:color="auto" w:fill="FFFFFF"/>
            <w:tcMar>
              <w:top w:w="0" w:type="dxa"/>
              <w:left w:w="115" w:type="dxa"/>
              <w:bottom w:w="0" w:type="dxa"/>
              <w:right w:w="115" w:type="dxa"/>
            </w:tcMar>
            <w:vAlign w:val="center"/>
            <w:hideMark/>
          </w:tcPr>
          <w:p w14:paraId="3E18F9D3" w14:textId="77777777" w:rsidR="00F1052A" w:rsidRPr="00362CF5" w:rsidRDefault="00F1052A" w:rsidP="00F1052A">
            <w:pPr>
              <w:spacing w:line="240" w:lineRule="auto"/>
              <w:jc w:val="center"/>
            </w:pPr>
            <w:r w:rsidRPr="00362CF5">
              <w:rPr>
                <w:color w:val="000000"/>
                <w:sz w:val="20"/>
                <w:szCs w:val="20"/>
              </w:rPr>
              <w:t>75</w:t>
            </w:r>
          </w:p>
        </w:tc>
        <w:tc>
          <w:tcPr>
            <w:tcW w:w="1559" w:type="dxa"/>
            <w:shd w:val="clear" w:color="auto" w:fill="FFFFFF"/>
            <w:tcMar>
              <w:top w:w="0" w:type="dxa"/>
              <w:left w:w="115" w:type="dxa"/>
              <w:bottom w:w="0" w:type="dxa"/>
              <w:right w:w="115" w:type="dxa"/>
            </w:tcMar>
            <w:vAlign w:val="center"/>
            <w:hideMark/>
          </w:tcPr>
          <w:p w14:paraId="5F34F0F0" w14:textId="77777777" w:rsidR="00F1052A" w:rsidRPr="00362CF5" w:rsidRDefault="00F1052A" w:rsidP="00F1052A">
            <w:pPr>
              <w:spacing w:line="240" w:lineRule="auto"/>
              <w:jc w:val="right"/>
            </w:pPr>
            <w:r w:rsidRPr="00362CF5">
              <w:rPr>
                <w:color w:val="000000"/>
                <w:sz w:val="20"/>
                <w:szCs w:val="20"/>
              </w:rPr>
              <w:t>9.8 (6.9-13.6)</w:t>
            </w:r>
          </w:p>
        </w:tc>
        <w:tc>
          <w:tcPr>
            <w:tcW w:w="709" w:type="dxa"/>
            <w:shd w:val="clear" w:color="auto" w:fill="FFFFFF"/>
            <w:tcMar>
              <w:top w:w="0" w:type="dxa"/>
              <w:left w:w="115" w:type="dxa"/>
              <w:bottom w:w="0" w:type="dxa"/>
              <w:right w:w="115" w:type="dxa"/>
            </w:tcMar>
            <w:vAlign w:val="center"/>
            <w:hideMark/>
          </w:tcPr>
          <w:p w14:paraId="0D0C0680" w14:textId="77777777" w:rsidR="00F1052A" w:rsidRPr="00362CF5" w:rsidRDefault="00F1052A" w:rsidP="00F1052A">
            <w:pPr>
              <w:spacing w:line="240" w:lineRule="auto"/>
              <w:jc w:val="center"/>
            </w:pPr>
            <w:r w:rsidRPr="00362CF5">
              <w:rPr>
                <w:color w:val="000000"/>
                <w:sz w:val="20"/>
                <w:szCs w:val="20"/>
              </w:rPr>
              <w:t>657</w:t>
            </w:r>
          </w:p>
        </w:tc>
        <w:tc>
          <w:tcPr>
            <w:tcW w:w="1559" w:type="dxa"/>
            <w:shd w:val="clear" w:color="auto" w:fill="FFFFFF"/>
            <w:tcMar>
              <w:top w:w="0" w:type="dxa"/>
              <w:left w:w="115" w:type="dxa"/>
              <w:bottom w:w="0" w:type="dxa"/>
              <w:right w:w="115" w:type="dxa"/>
            </w:tcMar>
            <w:vAlign w:val="center"/>
            <w:hideMark/>
          </w:tcPr>
          <w:p w14:paraId="216211C7" w14:textId="77777777" w:rsidR="00F1052A" w:rsidRPr="00362CF5" w:rsidRDefault="00F1052A" w:rsidP="00F1052A">
            <w:pPr>
              <w:spacing w:line="240" w:lineRule="auto"/>
              <w:jc w:val="right"/>
            </w:pPr>
            <w:r w:rsidRPr="00362CF5">
              <w:rPr>
                <w:color w:val="000000"/>
                <w:sz w:val="20"/>
                <w:szCs w:val="20"/>
              </w:rPr>
              <w:t>10.7 (9.3-12.2)</w:t>
            </w:r>
          </w:p>
        </w:tc>
        <w:tc>
          <w:tcPr>
            <w:tcW w:w="992" w:type="dxa"/>
            <w:tcMar>
              <w:top w:w="0" w:type="dxa"/>
              <w:left w:w="115" w:type="dxa"/>
              <w:bottom w:w="0" w:type="dxa"/>
              <w:right w:w="115" w:type="dxa"/>
            </w:tcMar>
            <w:vAlign w:val="center"/>
            <w:hideMark/>
          </w:tcPr>
          <w:p w14:paraId="4A50B863" w14:textId="77777777" w:rsidR="00F1052A" w:rsidRPr="00362CF5" w:rsidRDefault="00F1052A" w:rsidP="00F1052A">
            <w:pPr>
              <w:spacing w:line="240" w:lineRule="auto"/>
            </w:pPr>
          </w:p>
        </w:tc>
      </w:tr>
      <w:tr w:rsidR="00F1052A" w:rsidRPr="00362CF5" w14:paraId="6655BD27" w14:textId="77777777" w:rsidTr="00F1052A">
        <w:trPr>
          <w:trHeight w:val="300"/>
        </w:trPr>
        <w:tc>
          <w:tcPr>
            <w:tcW w:w="3324" w:type="dxa"/>
            <w:tcMar>
              <w:top w:w="0" w:type="dxa"/>
              <w:left w:w="115" w:type="dxa"/>
              <w:bottom w:w="0" w:type="dxa"/>
              <w:right w:w="115" w:type="dxa"/>
            </w:tcMar>
            <w:vAlign w:val="bottom"/>
            <w:hideMark/>
          </w:tcPr>
          <w:p w14:paraId="4BC86059" w14:textId="77777777" w:rsidR="00F1052A" w:rsidRPr="00362CF5" w:rsidRDefault="00F1052A" w:rsidP="00F1052A">
            <w:pPr>
              <w:spacing w:line="240" w:lineRule="auto"/>
              <w:ind w:left="366"/>
              <w:rPr>
                <w:sz w:val="20"/>
                <w:szCs w:val="20"/>
              </w:rPr>
            </w:pPr>
            <w:r w:rsidRPr="00362CF5">
              <w:rPr>
                <w:color w:val="000000"/>
                <w:sz w:val="20"/>
                <w:szCs w:val="20"/>
              </w:rPr>
              <w:t>Other diseases</w:t>
            </w:r>
          </w:p>
        </w:tc>
        <w:tc>
          <w:tcPr>
            <w:tcW w:w="619" w:type="dxa"/>
            <w:shd w:val="clear" w:color="auto" w:fill="FFFFFF"/>
            <w:tcMar>
              <w:top w:w="0" w:type="dxa"/>
              <w:left w:w="115" w:type="dxa"/>
              <w:bottom w:w="0" w:type="dxa"/>
              <w:right w:w="115" w:type="dxa"/>
            </w:tcMar>
            <w:vAlign w:val="center"/>
            <w:hideMark/>
          </w:tcPr>
          <w:p w14:paraId="612520A7" w14:textId="77777777" w:rsidR="00F1052A" w:rsidRPr="00362CF5" w:rsidRDefault="00F1052A" w:rsidP="00F1052A">
            <w:pPr>
              <w:spacing w:line="240" w:lineRule="auto"/>
              <w:jc w:val="center"/>
            </w:pPr>
            <w:r w:rsidRPr="00362CF5">
              <w:rPr>
                <w:color w:val="000000"/>
                <w:sz w:val="20"/>
                <w:szCs w:val="20"/>
              </w:rPr>
              <w:t>152</w:t>
            </w:r>
          </w:p>
        </w:tc>
        <w:tc>
          <w:tcPr>
            <w:tcW w:w="1559" w:type="dxa"/>
            <w:shd w:val="clear" w:color="auto" w:fill="FFFFFF"/>
            <w:tcMar>
              <w:top w:w="0" w:type="dxa"/>
              <w:left w:w="115" w:type="dxa"/>
              <w:bottom w:w="0" w:type="dxa"/>
              <w:right w:w="115" w:type="dxa"/>
            </w:tcMar>
            <w:vAlign w:val="center"/>
            <w:hideMark/>
          </w:tcPr>
          <w:p w14:paraId="68629D34" w14:textId="77777777" w:rsidR="00F1052A" w:rsidRPr="00362CF5" w:rsidRDefault="00F1052A" w:rsidP="00F1052A">
            <w:pPr>
              <w:spacing w:line="240" w:lineRule="auto"/>
              <w:jc w:val="right"/>
            </w:pPr>
            <w:r w:rsidRPr="00362CF5">
              <w:rPr>
                <w:color w:val="000000"/>
                <w:sz w:val="20"/>
                <w:szCs w:val="20"/>
              </w:rPr>
              <w:t>26.0 (20.7-32.0)</w:t>
            </w:r>
          </w:p>
        </w:tc>
        <w:tc>
          <w:tcPr>
            <w:tcW w:w="709" w:type="dxa"/>
            <w:shd w:val="clear" w:color="auto" w:fill="FFFFFF"/>
            <w:tcMar>
              <w:top w:w="0" w:type="dxa"/>
              <w:left w:w="115" w:type="dxa"/>
              <w:bottom w:w="0" w:type="dxa"/>
              <w:right w:w="115" w:type="dxa"/>
            </w:tcMar>
            <w:vAlign w:val="center"/>
            <w:hideMark/>
          </w:tcPr>
          <w:p w14:paraId="2A35BB5E" w14:textId="77777777" w:rsidR="00F1052A" w:rsidRPr="00362CF5" w:rsidRDefault="00F1052A" w:rsidP="00F1052A">
            <w:pPr>
              <w:spacing w:line="240" w:lineRule="auto"/>
              <w:jc w:val="center"/>
            </w:pPr>
            <w:r w:rsidRPr="00362CF5">
              <w:rPr>
                <w:color w:val="000000"/>
                <w:sz w:val="20"/>
                <w:szCs w:val="20"/>
              </w:rPr>
              <w:t>1,227</w:t>
            </w:r>
          </w:p>
        </w:tc>
        <w:tc>
          <w:tcPr>
            <w:tcW w:w="1559" w:type="dxa"/>
            <w:shd w:val="clear" w:color="auto" w:fill="FFFFFF"/>
            <w:tcMar>
              <w:top w:w="0" w:type="dxa"/>
              <w:left w:w="115" w:type="dxa"/>
              <w:bottom w:w="0" w:type="dxa"/>
              <w:right w:w="115" w:type="dxa"/>
            </w:tcMar>
            <w:vAlign w:val="center"/>
            <w:hideMark/>
          </w:tcPr>
          <w:p w14:paraId="6A61D911" w14:textId="77777777" w:rsidR="00F1052A" w:rsidRPr="00362CF5" w:rsidRDefault="00F1052A" w:rsidP="00F1052A">
            <w:pPr>
              <w:spacing w:line="240" w:lineRule="auto"/>
              <w:jc w:val="right"/>
            </w:pPr>
            <w:r w:rsidRPr="00362CF5">
              <w:rPr>
                <w:color w:val="000000"/>
                <w:sz w:val="20"/>
                <w:szCs w:val="20"/>
              </w:rPr>
              <w:t>21.5 (18.1-25.4)</w:t>
            </w:r>
          </w:p>
        </w:tc>
        <w:tc>
          <w:tcPr>
            <w:tcW w:w="992" w:type="dxa"/>
            <w:tcMar>
              <w:top w:w="0" w:type="dxa"/>
              <w:left w:w="115" w:type="dxa"/>
              <w:bottom w:w="0" w:type="dxa"/>
              <w:right w:w="115" w:type="dxa"/>
            </w:tcMar>
            <w:vAlign w:val="center"/>
            <w:hideMark/>
          </w:tcPr>
          <w:p w14:paraId="46D14BCC" w14:textId="77777777" w:rsidR="00F1052A" w:rsidRPr="00362CF5" w:rsidRDefault="00F1052A" w:rsidP="00F1052A">
            <w:pPr>
              <w:spacing w:line="240" w:lineRule="auto"/>
            </w:pPr>
          </w:p>
        </w:tc>
      </w:tr>
      <w:tr w:rsidR="00F1052A" w:rsidRPr="00362CF5" w14:paraId="479D82E7" w14:textId="77777777" w:rsidTr="00F1052A">
        <w:trPr>
          <w:trHeight w:val="300"/>
        </w:trPr>
        <w:tc>
          <w:tcPr>
            <w:tcW w:w="3324" w:type="dxa"/>
            <w:tcMar>
              <w:top w:w="0" w:type="dxa"/>
              <w:left w:w="115" w:type="dxa"/>
              <w:bottom w:w="0" w:type="dxa"/>
              <w:right w:w="115" w:type="dxa"/>
            </w:tcMar>
            <w:vAlign w:val="bottom"/>
            <w:hideMark/>
          </w:tcPr>
          <w:p w14:paraId="02467E87" w14:textId="77777777" w:rsidR="00F1052A" w:rsidRPr="00362CF5" w:rsidRDefault="00F1052A" w:rsidP="00F1052A">
            <w:pPr>
              <w:spacing w:line="240" w:lineRule="auto"/>
              <w:rPr>
                <w:sz w:val="20"/>
                <w:szCs w:val="20"/>
              </w:rPr>
            </w:pPr>
            <w:r w:rsidRPr="00362CF5">
              <w:rPr>
                <w:b/>
                <w:bCs/>
                <w:i/>
                <w:iCs/>
                <w:color w:val="000000"/>
                <w:sz w:val="20"/>
                <w:szCs w:val="20"/>
              </w:rPr>
              <w:t>Number of drugs used</w:t>
            </w:r>
          </w:p>
        </w:tc>
        <w:tc>
          <w:tcPr>
            <w:tcW w:w="619" w:type="dxa"/>
            <w:shd w:val="clear" w:color="auto" w:fill="FFFFFF"/>
            <w:tcMar>
              <w:top w:w="0" w:type="dxa"/>
              <w:left w:w="115" w:type="dxa"/>
              <w:bottom w:w="0" w:type="dxa"/>
              <w:right w:w="115" w:type="dxa"/>
            </w:tcMar>
            <w:vAlign w:val="center"/>
            <w:hideMark/>
          </w:tcPr>
          <w:p w14:paraId="6570B019" w14:textId="77777777" w:rsidR="00F1052A" w:rsidRPr="00362CF5" w:rsidRDefault="00F1052A" w:rsidP="00F1052A">
            <w:pPr>
              <w:spacing w:line="240" w:lineRule="auto"/>
            </w:pPr>
          </w:p>
        </w:tc>
        <w:tc>
          <w:tcPr>
            <w:tcW w:w="1559" w:type="dxa"/>
            <w:shd w:val="clear" w:color="auto" w:fill="FFFFFF"/>
            <w:tcMar>
              <w:top w:w="0" w:type="dxa"/>
              <w:left w:w="115" w:type="dxa"/>
              <w:bottom w:w="0" w:type="dxa"/>
              <w:right w:w="115" w:type="dxa"/>
            </w:tcMar>
            <w:vAlign w:val="center"/>
            <w:hideMark/>
          </w:tcPr>
          <w:p w14:paraId="2F208B9F" w14:textId="77777777" w:rsidR="00F1052A" w:rsidRPr="00362CF5" w:rsidRDefault="00F1052A" w:rsidP="00F1052A">
            <w:pPr>
              <w:spacing w:line="240" w:lineRule="auto"/>
            </w:pPr>
          </w:p>
        </w:tc>
        <w:tc>
          <w:tcPr>
            <w:tcW w:w="709" w:type="dxa"/>
            <w:shd w:val="clear" w:color="auto" w:fill="FFFFFF"/>
            <w:tcMar>
              <w:top w:w="0" w:type="dxa"/>
              <w:left w:w="115" w:type="dxa"/>
              <w:bottom w:w="0" w:type="dxa"/>
              <w:right w:w="115" w:type="dxa"/>
            </w:tcMar>
            <w:vAlign w:val="center"/>
            <w:hideMark/>
          </w:tcPr>
          <w:p w14:paraId="0E9929C2" w14:textId="77777777" w:rsidR="00F1052A" w:rsidRPr="00362CF5" w:rsidRDefault="00F1052A" w:rsidP="00F1052A">
            <w:pPr>
              <w:spacing w:line="240" w:lineRule="auto"/>
            </w:pPr>
          </w:p>
        </w:tc>
        <w:tc>
          <w:tcPr>
            <w:tcW w:w="1559" w:type="dxa"/>
            <w:shd w:val="clear" w:color="auto" w:fill="FFFFFF"/>
            <w:tcMar>
              <w:top w:w="0" w:type="dxa"/>
              <w:left w:w="115" w:type="dxa"/>
              <w:bottom w:w="0" w:type="dxa"/>
              <w:right w:w="115" w:type="dxa"/>
            </w:tcMar>
            <w:vAlign w:val="center"/>
            <w:hideMark/>
          </w:tcPr>
          <w:p w14:paraId="24E3A689" w14:textId="77777777" w:rsidR="00F1052A" w:rsidRPr="00362CF5" w:rsidRDefault="00F1052A" w:rsidP="00F1052A">
            <w:pPr>
              <w:spacing w:line="240" w:lineRule="auto"/>
            </w:pPr>
          </w:p>
        </w:tc>
        <w:tc>
          <w:tcPr>
            <w:tcW w:w="992" w:type="dxa"/>
            <w:tcMar>
              <w:top w:w="0" w:type="dxa"/>
              <w:left w:w="115" w:type="dxa"/>
              <w:bottom w:w="0" w:type="dxa"/>
              <w:right w:w="115" w:type="dxa"/>
            </w:tcMar>
            <w:vAlign w:val="center"/>
            <w:hideMark/>
          </w:tcPr>
          <w:p w14:paraId="4C788BF1" w14:textId="77777777" w:rsidR="00F1052A" w:rsidRPr="00362CF5" w:rsidRDefault="00F1052A" w:rsidP="00F1052A">
            <w:pPr>
              <w:spacing w:line="240" w:lineRule="auto"/>
              <w:jc w:val="center"/>
            </w:pPr>
            <w:r w:rsidRPr="00362CF5">
              <w:rPr>
                <w:color w:val="000000"/>
                <w:sz w:val="20"/>
                <w:szCs w:val="20"/>
              </w:rPr>
              <w:t>&lt;0.001</w:t>
            </w:r>
          </w:p>
        </w:tc>
      </w:tr>
      <w:tr w:rsidR="00F1052A" w:rsidRPr="00362CF5" w14:paraId="38DFA4DB" w14:textId="77777777" w:rsidTr="00F1052A">
        <w:trPr>
          <w:trHeight w:val="300"/>
        </w:trPr>
        <w:tc>
          <w:tcPr>
            <w:tcW w:w="3324" w:type="dxa"/>
            <w:tcMar>
              <w:top w:w="0" w:type="dxa"/>
              <w:left w:w="115" w:type="dxa"/>
              <w:bottom w:w="0" w:type="dxa"/>
              <w:right w:w="115" w:type="dxa"/>
            </w:tcMar>
            <w:vAlign w:val="bottom"/>
            <w:hideMark/>
          </w:tcPr>
          <w:p w14:paraId="00B3B668" w14:textId="77777777" w:rsidR="00F1052A" w:rsidRPr="00362CF5" w:rsidRDefault="00F1052A" w:rsidP="00F1052A">
            <w:pPr>
              <w:spacing w:line="240" w:lineRule="auto"/>
              <w:ind w:left="366"/>
              <w:rPr>
                <w:sz w:val="20"/>
                <w:szCs w:val="20"/>
              </w:rPr>
            </w:pPr>
            <w:r w:rsidRPr="00362CF5">
              <w:rPr>
                <w:color w:val="000000"/>
                <w:sz w:val="20"/>
                <w:szCs w:val="20"/>
              </w:rPr>
              <w:t>1</w:t>
            </w:r>
          </w:p>
        </w:tc>
        <w:tc>
          <w:tcPr>
            <w:tcW w:w="619" w:type="dxa"/>
            <w:shd w:val="clear" w:color="auto" w:fill="FFFFFF"/>
            <w:tcMar>
              <w:top w:w="0" w:type="dxa"/>
              <w:left w:w="115" w:type="dxa"/>
              <w:bottom w:w="0" w:type="dxa"/>
              <w:right w:w="115" w:type="dxa"/>
            </w:tcMar>
            <w:vAlign w:val="center"/>
            <w:hideMark/>
          </w:tcPr>
          <w:p w14:paraId="09696922" w14:textId="77777777" w:rsidR="00F1052A" w:rsidRPr="00362CF5" w:rsidRDefault="00F1052A" w:rsidP="00F1052A">
            <w:pPr>
              <w:spacing w:line="240" w:lineRule="auto"/>
              <w:jc w:val="center"/>
            </w:pPr>
            <w:r w:rsidRPr="00362CF5">
              <w:rPr>
                <w:color w:val="000000"/>
                <w:sz w:val="20"/>
                <w:szCs w:val="20"/>
              </w:rPr>
              <w:t>46</w:t>
            </w:r>
          </w:p>
        </w:tc>
        <w:tc>
          <w:tcPr>
            <w:tcW w:w="1559" w:type="dxa"/>
            <w:shd w:val="clear" w:color="auto" w:fill="FFFFFF"/>
            <w:tcMar>
              <w:top w:w="0" w:type="dxa"/>
              <w:left w:w="115" w:type="dxa"/>
              <w:bottom w:w="0" w:type="dxa"/>
              <w:right w:w="115" w:type="dxa"/>
            </w:tcMar>
            <w:vAlign w:val="center"/>
            <w:hideMark/>
          </w:tcPr>
          <w:p w14:paraId="2BF2FD6B" w14:textId="77777777" w:rsidR="00F1052A" w:rsidRPr="00362CF5" w:rsidRDefault="00F1052A" w:rsidP="00F1052A">
            <w:pPr>
              <w:spacing w:line="240" w:lineRule="auto"/>
              <w:jc w:val="right"/>
            </w:pPr>
            <w:r w:rsidRPr="00362CF5">
              <w:rPr>
                <w:color w:val="000000"/>
                <w:sz w:val="20"/>
                <w:szCs w:val="20"/>
              </w:rPr>
              <w:t>7.9 (5.5-11.1)</w:t>
            </w:r>
          </w:p>
        </w:tc>
        <w:tc>
          <w:tcPr>
            <w:tcW w:w="709" w:type="dxa"/>
            <w:shd w:val="clear" w:color="auto" w:fill="FFFFFF"/>
            <w:tcMar>
              <w:top w:w="0" w:type="dxa"/>
              <w:left w:w="115" w:type="dxa"/>
              <w:bottom w:w="0" w:type="dxa"/>
              <w:right w:w="115" w:type="dxa"/>
            </w:tcMar>
            <w:vAlign w:val="center"/>
            <w:hideMark/>
          </w:tcPr>
          <w:p w14:paraId="23F0BC77" w14:textId="77777777" w:rsidR="00F1052A" w:rsidRPr="00362CF5" w:rsidRDefault="00F1052A" w:rsidP="00F1052A">
            <w:pPr>
              <w:spacing w:line="240" w:lineRule="auto"/>
              <w:jc w:val="center"/>
            </w:pPr>
            <w:r w:rsidRPr="00362CF5">
              <w:rPr>
                <w:color w:val="000000"/>
                <w:sz w:val="20"/>
                <w:szCs w:val="20"/>
              </w:rPr>
              <w:t>2,515</w:t>
            </w:r>
          </w:p>
        </w:tc>
        <w:tc>
          <w:tcPr>
            <w:tcW w:w="1559" w:type="dxa"/>
            <w:shd w:val="clear" w:color="auto" w:fill="FFFFFF"/>
            <w:tcMar>
              <w:top w:w="0" w:type="dxa"/>
              <w:left w:w="115" w:type="dxa"/>
              <w:bottom w:w="0" w:type="dxa"/>
              <w:right w:w="115" w:type="dxa"/>
            </w:tcMar>
            <w:vAlign w:val="center"/>
            <w:hideMark/>
          </w:tcPr>
          <w:p w14:paraId="657AE11B" w14:textId="77777777" w:rsidR="00F1052A" w:rsidRPr="00362CF5" w:rsidRDefault="00F1052A" w:rsidP="00F1052A">
            <w:pPr>
              <w:spacing w:line="240" w:lineRule="auto"/>
              <w:jc w:val="right"/>
            </w:pPr>
            <w:r w:rsidRPr="00362CF5">
              <w:rPr>
                <w:color w:val="000000"/>
                <w:sz w:val="20"/>
                <w:szCs w:val="20"/>
              </w:rPr>
              <w:t>40.7 (37.6-44.0)</w:t>
            </w:r>
          </w:p>
        </w:tc>
        <w:tc>
          <w:tcPr>
            <w:tcW w:w="992" w:type="dxa"/>
            <w:tcMar>
              <w:top w:w="0" w:type="dxa"/>
              <w:left w:w="115" w:type="dxa"/>
              <w:bottom w:w="0" w:type="dxa"/>
              <w:right w:w="115" w:type="dxa"/>
            </w:tcMar>
            <w:vAlign w:val="center"/>
            <w:hideMark/>
          </w:tcPr>
          <w:p w14:paraId="361AB006" w14:textId="77777777" w:rsidR="00F1052A" w:rsidRPr="00362CF5" w:rsidRDefault="00F1052A" w:rsidP="00F1052A">
            <w:pPr>
              <w:spacing w:line="240" w:lineRule="auto"/>
            </w:pPr>
          </w:p>
        </w:tc>
      </w:tr>
      <w:tr w:rsidR="00F1052A" w:rsidRPr="00362CF5" w14:paraId="2AFB8346" w14:textId="77777777" w:rsidTr="00F1052A">
        <w:trPr>
          <w:trHeight w:val="300"/>
        </w:trPr>
        <w:tc>
          <w:tcPr>
            <w:tcW w:w="3324" w:type="dxa"/>
            <w:tcMar>
              <w:top w:w="0" w:type="dxa"/>
              <w:left w:w="115" w:type="dxa"/>
              <w:bottom w:w="0" w:type="dxa"/>
              <w:right w:w="115" w:type="dxa"/>
            </w:tcMar>
            <w:vAlign w:val="bottom"/>
            <w:hideMark/>
          </w:tcPr>
          <w:p w14:paraId="76C434C1" w14:textId="77777777" w:rsidR="00F1052A" w:rsidRPr="00362CF5" w:rsidRDefault="00F1052A" w:rsidP="00F1052A">
            <w:pPr>
              <w:spacing w:line="240" w:lineRule="auto"/>
              <w:ind w:left="366"/>
              <w:rPr>
                <w:sz w:val="20"/>
                <w:szCs w:val="20"/>
              </w:rPr>
            </w:pPr>
            <w:r w:rsidRPr="00362CF5">
              <w:rPr>
                <w:color w:val="000000"/>
                <w:sz w:val="20"/>
                <w:szCs w:val="20"/>
              </w:rPr>
              <w:t>2-4</w:t>
            </w:r>
          </w:p>
        </w:tc>
        <w:tc>
          <w:tcPr>
            <w:tcW w:w="619" w:type="dxa"/>
            <w:shd w:val="clear" w:color="auto" w:fill="FFFFFF"/>
            <w:tcMar>
              <w:top w:w="0" w:type="dxa"/>
              <w:left w:w="115" w:type="dxa"/>
              <w:bottom w:w="0" w:type="dxa"/>
              <w:right w:w="115" w:type="dxa"/>
            </w:tcMar>
            <w:vAlign w:val="center"/>
            <w:hideMark/>
          </w:tcPr>
          <w:p w14:paraId="6028D017" w14:textId="77777777" w:rsidR="00F1052A" w:rsidRPr="00362CF5" w:rsidRDefault="00F1052A" w:rsidP="00F1052A">
            <w:pPr>
              <w:spacing w:line="240" w:lineRule="auto"/>
              <w:jc w:val="center"/>
            </w:pPr>
            <w:r w:rsidRPr="00362CF5">
              <w:rPr>
                <w:color w:val="000000"/>
                <w:sz w:val="20"/>
                <w:szCs w:val="20"/>
              </w:rPr>
              <w:t>319</w:t>
            </w:r>
          </w:p>
        </w:tc>
        <w:tc>
          <w:tcPr>
            <w:tcW w:w="1559" w:type="dxa"/>
            <w:shd w:val="clear" w:color="auto" w:fill="FFFFFF"/>
            <w:tcMar>
              <w:top w:w="0" w:type="dxa"/>
              <w:left w:w="115" w:type="dxa"/>
              <w:bottom w:w="0" w:type="dxa"/>
              <w:right w:w="115" w:type="dxa"/>
            </w:tcMar>
            <w:vAlign w:val="center"/>
            <w:hideMark/>
          </w:tcPr>
          <w:p w14:paraId="18C3E57D" w14:textId="77777777" w:rsidR="00F1052A" w:rsidRPr="00362CF5" w:rsidRDefault="00F1052A" w:rsidP="00F1052A">
            <w:pPr>
              <w:spacing w:line="240" w:lineRule="auto"/>
              <w:jc w:val="right"/>
            </w:pPr>
            <w:r w:rsidRPr="00362CF5">
              <w:rPr>
                <w:color w:val="000000"/>
                <w:sz w:val="20"/>
                <w:szCs w:val="20"/>
              </w:rPr>
              <w:t>55.1 (47.5-62.6)</w:t>
            </w:r>
          </w:p>
        </w:tc>
        <w:tc>
          <w:tcPr>
            <w:tcW w:w="709" w:type="dxa"/>
            <w:shd w:val="clear" w:color="auto" w:fill="FFFFFF"/>
            <w:tcMar>
              <w:top w:w="0" w:type="dxa"/>
              <w:left w:w="115" w:type="dxa"/>
              <w:bottom w:w="0" w:type="dxa"/>
              <w:right w:w="115" w:type="dxa"/>
            </w:tcMar>
            <w:vAlign w:val="center"/>
            <w:hideMark/>
          </w:tcPr>
          <w:p w14:paraId="2E47ABCD" w14:textId="77777777" w:rsidR="00F1052A" w:rsidRPr="00362CF5" w:rsidRDefault="00F1052A" w:rsidP="00F1052A">
            <w:pPr>
              <w:spacing w:line="240" w:lineRule="auto"/>
              <w:jc w:val="center"/>
            </w:pPr>
            <w:r w:rsidRPr="00362CF5">
              <w:rPr>
                <w:color w:val="000000"/>
                <w:sz w:val="20"/>
                <w:szCs w:val="20"/>
              </w:rPr>
              <w:t>3,021</w:t>
            </w:r>
          </w:p>
        </w:tc>
        <w:tc>
          <w:tcPr>
            <w:tcW w:w="1559" w:type="dxa"/>
            <w:shd w:val="clear" w:color="auto" w:fill="FFFFFF"/>
            <w:tcMar>
              <w:top w:w="0" w:type="dxa"/>
              <w:left w:w="115" w:type="dxa"/>
              <w:bottom w:w="0" w:type="dxa"/>
              <w:right w:w="115" w:type="dxa"/>
            </w:tcMar>
            <w:vAlign w:val="center"/>
            <w:hideMark/>
          </w:tcPr>
          <w:p w14:paraId="0E96A494" w14:textId="77777777" w:rsidR="00F1052A" w:rsidRPr="00362CF5" w:rsidRDefault="00F1052A" w:rsidP="00F1052A">
            <w:pPr>
              <w:spacing w:line="240" w:lineRule="auto"/>
              <w:jc w:val="right"/>
            </w:pPr>
            <w:r w:rsidRPr="00362CF5">
              <w:rPr>
                <w:color w:val="000000"/>
                <w:sz w:val="20"/>
                <w:szCs w:val="20"/>
              </w:rPr>
              <w:t>52.6(50.0-55.1)</w:t>
            </w:r>
          </w:p>
        </w:tc>
        <w:tc>
          <w:tcPr>
            <w:tcW w:w="992" w:type="dxa"/>
            <w:tcMar>
              <w:top w:w="0" w:type="dxa"/>
              <w:left w:w="115" w:type="dxa"/>
              <w:bottom w:w="0" w:type="dxa"/>
              <w:right w:w="115" w:type="dxa"/>
            </w:tcMar>
            <w:vAlign w:val="center"/>
            <w:hideMark/>
          </w:tcPr>
          <w:p w14:paraId="443471B8" w14:textId="77777777" w:rsidR="00F1052A" w:rsidRPr="00362CF5" w:rsidRDefault="00F1052A" w:rsidP="00F1052A">
            <w:pPr>
              <w:spacing w:line="240" w:lineRule="auto"/>
            </w:pPr>
          </w:p>
        </w:tc>
      </w:tr>
      <w:tr w:rsidR="00F1052A" w:rsidRPr="00362CF5" w14:paraId="61749FEB" w14:textId="77777777" w:rsidTr="00F1052A">
        <w:trPr>
          <w:trHeight w:val="300"/>
        </w:trPr>
        <w:tc>
          <w:tcPr>
            <w:tcW w:w="3324" w:type="dxa"/>
            <w:tcMar>
              <w:top w:w="0" w:type="dxa"/>
              <w:left w:w="115" w:type="dxa"/>
              <w:bottom w:w="0" w:type="dxa"/>
              <w:right w:w="115" w:type="dxa"/>
            </w:tcMar>
            <w:vAlign w:val="bottom"/>
            <w:hideMark/>
          </w:tcPr>
          <w:p w14:paraId="0DE7EFB2" w14:textId="77777777" w:rsidR="00F1052A" w:rsidRPr="00362CF5" w:rsidRDefault="00F1052A" w:rsidP="00F1052A">
            <w:pPr>
              <w:spacing w:line="240" w:lineRule="auto"/>
              <w:ind w:left="366"/>
              <w:rPr>
                <w:sz w:val="20"/>
                <w:szCs w:val="20"/>
              </w:rPr>
            </w:pPr>
            <w:r w:rsidRPr="00362CF5">
              <w:rPr>
                <w:color w:val="000000"/>
                <w:sz w:val="20"/>
                <w:szCs w:val="20"/>
              </w:rPr>
              <w:t>≥ 5 (polypharmacy)</w:t>
            </w:r>
          </w:p>
        </w:tc>
        <w:tc>
          <w:tcPr>
            <w:tcW w:w="619" w:type="dxa"/>
            <w:shd w:val="clear" w:color="auto" w:fill="FFFFFF"/>
            <w:tcMar>
              <w:top w:w="0" w:type="dxa"/>
              <w:left w:w="115" w:type="dxa"/>
              <w:bottom w:w="0" w:type="dxa"/>
              <w:right w:w="115" w:type="dxa"/>
            </w:tcMar>
            <w:vAlign w:val="center"/>
            <w:hideMark/>
          </w:tcPr>
          <w:p w14:paraId="15E33C49" w14:textId="77777777" w:rsidR="00F1052A" w:rsidRPr="00362CF5" w:rsidRDefault="00F1052A" w:rsidP="00F1052A">
            <w:pPr>
              <w:spacing w:line="240" w:lineRule="auto"/>
              <w:jc w:val="center"/>
            </w:pPr>
            <w:r w:rsidRPr="00362CF5">
              <w:rPr>
                <w:color w:val="000000"/>
                <w:sz w:val="20"/>
                <w:szCs w:val="20"/>
              </w:rPr>
              <w:t>238</w:t>
            </w:r>
          </w:p>
        </w:tc>
        <w:tc>
          <w:tcPr>
            <w:tcW w:w="1559" w:type="dxa"/>
            <w:shd w:val="clear" w:color="auto" w:fill="FFFFFF"/>
            <w:tcMar>
              <w:top w:w="0" w:type="dxa"/>
              <w:left w:w="115" w:type="dxa"/>
              <w:bottom w:w="0" w:type="dxa"/>
              <w:right w:w="115" w:type="dxa"/>
            </w:tcMar>
            <w:vAlign w:val="center"/>
            <w:hideMark/>
          </w:tcPr>
          <w:p w14:paraId="498C6DF9" w14:textId="77777777" w:rsidR="00F1052A" w:rsidRPr="00362CF5" w:rsidRDefault="00F1052A" w:rsidP="00F1052A">
            <w:pPr>
              <w:spacing w:line="240" w:lineRule="auto"/>
              <w:jc w:val="right"/>
            </w:pPr>
            <w:r w:rsidRPr="00362CF5">
              <w:rPr>
                <w:color w:val="000000"/>
                <w:sz w:val="20"/>
                <w:szCs w:val="20"/>
              </w:rPr>
              <w:t>37.0 (28.9-45.9)</w:t>
            </w:r>
          </w:p>
        </w:tc>
        <w:tc>
          <w:tcPr>
            <w:tcW w:w="709" w:type="dxa"/>
            <w:shd w:val="clear" w:color="auto" w:fill="FFFFFF"/>
            <w:tcMar>
              <w:top w:w="0" w:type="dxa"/>
              <w:left w:w="115" w:type="dxa"/>
              <w:bottom w:w="0" w:type="dxa"/>
              <w:right w:w="115" w:type="dxa"/>
            </w:tcMar>
            <w:vAlign w:val="center"/>
            <w:hideMark/>
          </w:tcPr>
          <w:p w14:paraId="2B63BECD" w14:textId="77777777" w:rsidR="00F1052A" w:rsidRPr="00362CF5" w:rsidRDefault="00F1052A" w:rsidP="00F1052A">
            <w:pPr>
              <w:spacing w:line="240" w:lineRule="auto"/>
              <w:jc w:val="center"/>
            </w:pPr>
            <w:r w:rsidRPr="00362CF5">
              <w:rPr>
                <w:color w:val="000000"/>
                <w:sz w:val="20"/>
                <w:szCs w:val="20"/>
              </w:rPr>
              <w:t>372</w:t>
            </w:r>
          </w:p>
        </w:tc>
        <w:tc>
          <w:tcPr>
            <w:tcW w:w="1559" w:type="dxa"/>
            <w:shd w:val="clear" w:color="auto" w:fill="FFFFFF"/>
            <w:tcMar>
              <w:top w:w="0" w:type="dxa"/>
              <w:left w:w="115" w:type="dxa"/>
              <w:bottom w:w="0" w:type="dxa"/>
              <w:right w:w="115" w:type="dxa"/>
            </w:tcMar>
            <w:vAlign w:val="center"/>
            <w:hideMark/>
          </w:tcPr>
          <w:p w14:paraId="2C9B940B" w14:textId="77777777" w:rsidR="00F1052A" w:rsidRPr="00362CF5" w:rsidRDefault="00F1052A" w:rsidP="00F1052A">
            <w:pPr>
              <w:spacing w:line="240" w:lineRule="auto"/>
              <w:jc w:val="right"/>
            </w:pPr>
            <w:r w:rsidRPr="00362CF5">
              <w:rPr>
                <w:color w:val="000000"/>
                <w:sz w:val="20"/>
                <w:szCs w:val="20"/>
              </w:rPr>
              <w:t>6.7 (5.4-8.3)</w:t>
            </w:r>
          </w:p>
        </w:tc>
        <w:tc>
          <w:tcPr>
            <w:tcW w:w="992" w:type="dxa"/>
            <w:tcMar>
              <w:top w:w="0" w:type="dxa"/>
              <w:left w:w="115" w:type="dxa"/>
              <w:bottom w:w="0" w:type="dxa"/>
              <w:right w:w="115" w:type="dxa"/>
            </w:tcMar>
            <w:vAlign w:val="center"/>
            <w:hideMark/>
          </w:tcPr>
          <w:p w14:paraId="678B2E1B" w14:textId="77777777" w:rsidR="00F1052A" w:rsidRPr="00362CF5" w:rsidRDefault="00F1052A" w:rsidP="00F1052A">
            <w:pPr>
              <w:spacing w:line="240" w:lineRule="auto"/>
            </w:pPr>
          </w:p>
        </w:tc>
      </w:tr>
      <w:tr w:rsidR="00F1052A" w:rsidRPr="00362CF5" w14:paraId="74098C82" w14:textId="77777777" w:rsidTr="00F1052A">
        <w:trPr>
          <w:trHeight w:val="300"/>
        </w:trPr>
        <w:tc>
          <w:tcPr>
            <w:tcW w:w="3324" w:type="dxa"/>
            <w:tcMar>
              <w:top w:w="0" w:type="dxa"/>
              <w:left w:w="115" w:type="dxa"/>
              <w:bottom w:w="0" w:type="dxa"/>
              <w:right w:w="115" w:type="dxa"/>
            </w:tcMar>
            <w:vAlign w:val="bottom"/>
            <w:hideMark/>
          </w:tcPr>
          <w:p w14:paraId="5227D99B" w14:textId="77777777" w:rsidR="00F1052A" w:rsidRPr="00362CF5" w:rsidRDefault="00F1052A" w:rsidP="00F1052A">
            <w:pPr>
              <w:spacing w:line="240" w:lineRule="auto"/>
              <w:rPr>
                <w:sz w:val="20"/>
                <w:szCs w:val="20"/>
              </w:rPr>
            </w:pPr>
            <w:r w:rsidRPr="00362CF5">
              <w:rPr>
                <w:b/>
                <w:bCs/>
                <w:i/>
                <w:iCs/>
                <w:color w:val="000000"/>
                <w:sz w:val="20"/>
                <w:szCs w:val="20"/>
              </w:rPr>
              <w:t xml:space="preserve">Emergency care </w:t>
            </w:r>
            <w:r w:rsidRPr="00362CF5">
              <w:rPr>
                <w:color w:val="000000"/>
                <w:sz w:val="20"/>
                <w:szCs w:val="20"/>
              </w:rPr>
              <w:t>(yes)</w:t>
            </w:r>
            <w:r w:rsidRPr="00362CF5">
              <w:rPr>
                <w:b/>
                <w:bCs/>
                <w:color w:val="000000"/>
                <w:sz w:val="20"/>
                <w:szCs w:val="20"/>
                <w:vertAlign w:val="superscript"/>
              </w:rPr>
              <w:t>d</w:t>
            </w:r>
          </w:p>
        </w:tc>
        <w:tc>
          <w:tcPr>
            <w:tcW w:w="619" w:type="dxa"/>
            <w:shd w:val="clear" w:color="auto" w:fill="FFFFFF"/>
            <w:tcMar>
              <w:top w:w="0" w:type="dxa"/>
              <w:left w:w="115" w:type="dxa"/>
              <w:bottom w:w="0" w:type="dxa"/>
              <w:right w:w="115" w:type="dxa"/>
            </w:tcMar>
            <w:vAlign w:val="center"/>
            <w:hideMark/>
          </w:tcPr>
          <w:p w14:paraId="5DD3E3FA" w14:textId="77777777" w:rsidR="00F1052A" w:rsidRPr="00362CF5" w:rsidRDefault="00F1052A" w:rsidP="00F1052A">
            <w:pPr>
              <w:spacing w:line="240" w:lineRule="auto"/>
              <w:jc w:val="center"/>
            </w:pPr>
            <w:r w:rsidRPr="00362CF5">
              <w:rPr>
                <w:color w:val="000000"/>
                <w:sz w:val="20"/>
                <w:szCs w:val="20"/>
              </w:rPr>
              <w:t>147</w:t>
            </w:r>
          </w:p>
        </w:tc>
        <w:tc>
          <w:tcPr>
            <w:tcW w:w="1559" w:type="dxa"/>
            <w:shd w:val="clear" w:color="auto" w:fill="FFFFFF"/>
            <w:tcMar>
              <w:top w:w="0" w:type="dxa"/>
              <w:left w:w="115" w:type="dxa"/>
              <w:bottom w:w="0" w:type="dxa"/>
              <w:right w:w="115" w:type="dxa"/>
            </w:tcMar>
            <w:vAlign w:val="center"/>
            <w:hideMark/>
          </w:tcPr>
          <w:p w14:paraId="24DDD167" w14:textId="77777777" w:rsidR="00F1052A" w:rsidRPr="00362CF5" w:rsidRDefault="00F1052A" w:rsidP="00F1052A">
            <w:pPr>
              <w:spacing w:line="240" w:lineRule="auto"/>
              <w:jc w:val="right"/>
            </w:pPr>
            <w:r w:rsidRPr="00362CF5">
              <w:rPr>
                <w:color w:val="000000"/>
                <w:sz w:val="20"/>
                <w:szCs w:val="20"/>
              </w:rPr>
              <w:t>21.8 (17.4-27.1)</w:t>
            </w:r>
          </w:p>
        </w:tc>
        <w:tc>
          <w:tcPr>
            <w:tcW w:w="709" w:type="dxa"/>
            <w:shd w:val="clear" w:color="auto" w:fill="FFFFFF"/>
            <w:tcMar>
              <w:top w:w="0" w:type="dxa"/>
              <w:left w:w="115" w:type="dxa"/>
              <w:bottom w:w="0" w:type="dxa"/>
              <w:right w:w="115" w:type="dxa"/>
            </w:tcMar>
            <w:vAlign w:val="center"/>
            <w:hideMark/>
          </w:tcPr>
          <w:p w14:paraId="6CB71F40" w14:textId="77777777" w:rsidR="00F1052A" w:rsidRPr="00362CF5" w:rsidRDefault="00F1052A" w:rsidP="00F1052A">
            <w:pPr>
              <w:spacing w:line="240" w:lineRule="auto"/>
              <w:jc w:val="center"/>
            </w:pPr>
            <w:r w:rsidRPr="00362CF5">
              <w:rPr>
                <w:color w:val="000000"/>
                <w:sz w:val="20"/>
                <w:szCs w:val="20"/>
              </w:rPr>
              <w:t>1,643</w:t>
            </w:r>
          </w:p>
        </w:tc>
        <w:tc>
          <w:tcPr>
            <w:tcW w:w="1559" w:type="dxa"/>
            <w:shd w:val="clear" w:color="auto" w:fill="FFFFFF"/>
            <w:tcMar>
              <w:top w:w="0" w:type="dxa"/>
              <w:left w:w="115" w:type="dxa"/>
              <w:bottom w:w="0" w:type="dxa"/>
              <w:right w:w="115" w:type="dxa"/>
            </w:tcMar>
            <w:vAlign w:val="center"/>
            <w:hideMark/>
          </w:tcPr>
          <w:p w14:paraId="4836DB5A" w14:textId="77777777" w:rsidR="00F1052A" w:rsidRPr="00362CF5" w:rsidRDefault="00F1052A" w:rsidP="00F1052A">
            <w:pPr>
              <w:spacing w:line="240" w:lineRule="auto"/>
              <w:jc w:val="right"/>
            </w:pPr>
            <w:r w:rsidRPr="00362CF5">
              <w:rPr>
                <w:color w:val="000000"/>
                <w:sz w:val="20"/>
                <w:szCs w:val="20"/>
              </w:rPr>
              <w:t>25.2 (22.9-27.7)</w:t>
            </w:r>
          </w:p>
        </w:tc>
        <w:tc>
          <w:tcPr>
            <w:tcW w:w="992" w:type="dxa"/>
            <w:tcMar>
              <w:top w:w="0" w:type="dxa"/>
              <w:left w:w="115" w:type="dxa"/>
              <w:bottom w:w="0" w:type="dxa"/>
              <w:right w:w="115" w:type="dxa"/>
            </w:tcMar>
            <w:vAlign w:val="center"/>
            <w:hideMark/>
          </w:tcPr>
          <w:p w14:paraId="7B89E455" w14:textId="77777777" w:rsidR="00F1052A" w:rsidRPr="00362CF5" w:rsidRDefault="00F1052A" w:rsidP="00F1052A">
            <w:pPr>
              <w:spacing w:line="240" w:lineRule="auto"/>
              <w:jc w:val="center"/>
            </w:pPr>
            <w:r w:rsidRPr="00362CF5">
              <w:rPr>
                <w:color w:val="000000"/>
                <w:sz w:val="20"/>
                <w:szCs w:val="20"/>
              </w:rPr>
              <w:t>0.164</w:t>
            </w:r>
          </w:p>
        </w:tc>
      </w:tr>
      <w:tr w:rsidR="00F1052A" w:rsidRPr="00362CF5" w14:paraId="15D21E0A" w14:textId="77777777" w:rsidTr="00F1052A">
        <w:trPr>
          <w:trHeight w:val="300"/>
        </w:trPr>
        <w:tc>
          <w:tcPr>
            <w:tcW w:w="3324" w:type="dxa"/>
            <w:tcBorders>
              <w:bottom w:val="single" w:sz="4" w:space="0" w:color="000000"/>
            </w:tcBorders>
            <w:tcMar>
              <w:top w:w="0" w:type="dxa"/>
              <w:left w:w="115" w:type="dxa"/>
              <w:bottom w:w="0" w:type="dxa"/>
              <w:right w:w="115" w:type="dxa"/>
            </w:tcMar>
            <w:vAlign w:val="bottom"/>
            <w:hideMark/>
          </w:tcPr>
          <w:p w14:paraId="2D604C57" w14:textId="77777777" w:rsidR="00F1052A" w:rsidRPr="00362CF5" w:rsidRDefault="00F1052A" w:rsidP="00F1052A">
            <w:pPr>
              <w:spacing w:line="240" w:lineRule="auto"/>
              <w:rPr>
                <w:sz w:val="20"/>
                <w:szCs w:val="20"/>
              </w:rPr>
            </w:pPr>
            <w:r w:rsidRPr="00362CF5">
              <w:rPr>
                <w:b/>
                <w:bCs/>
                <w:i/>
                <w:iCs/>
                <w:color w:val="000000"/>
                <w:sz w:val="20"/>
                <w:szCs w:val="20"/>
              </w:rPr>
              <w:t xml:space="preserve">Hospitalization </w:t>
            </w:r>
            <w:r w:rsidRPr="00362CF5">
              <w:rPr>
                <w:color w:val="000000"/>
                <w:sz w:val="20"/>
                <w:szCs w:val="20"/>
              </w:rPr>
              <w:t>(yes)</w:t>
            </w:r>
            <w:r w:rsidRPr="00362CF5">
              <w:rPr>
                <w:b/>
                <w:bCs/>
                <w:color w:val="000000"/>
                <w:sz w:val="20"/>
                <w:szCs w:val="20"/>
                <w:vertAlign w:val="superscript"/>
              </w:rPr>
              <w:t>d</w:t>
            </w:r>
          </w:p>
        </w:tc>
        <w:tc>
          <w:tcPr>
            <w:tcW w:w="619" w:type="dxa"/>
            <w:tcBorders>
              <w:bottom w:val="single" w:sz="4" w:space="0" w:color="000000"/>
            </w:tcBorders>
            <w:shd w:val="clear" w:color="auto" w:fill="FFFFFF"/>
            <w:tcMar>
              <w:top w:w="0" w:type="dxa"/>
              <w:left w:w="115" w:type="dxa"/>
              <w:bottom w:w="0" w:type="dxa"/>
              <w:right w:w="115" w:type="dxa"/>
            </w:tcMar>
            <w:vAlign w:val="center"/>
            <w:hideMark/>
          </w:tcPr>
          <w:p w14:paraId="625D7BD9" w14:textId="77777777" w:rsidR="00F1052A" w:rsidRPr="00362CF5" w:rsidRDefault="00F1052A" w:rsidP="00F1052A">
            <w:pPr>
              <w:spacing w:line="240" w:lineRule="auto"/>
              <w:jc w:val="center"/>
            </w:pPr>
            <w:r w:rsidRPr="00362CF5">
              <w:rPr>
                <w:color w:val="000000"/>
                <w:sz w:val="20"/>
                <w:szCs w:val="20"/>
              </w:rPr>
              <w:t>67</w:t>
            </w:r>
          </w:p>
        </w:tc>
        <w:tc>
          <w:tcPr>
            <w:tcW w:w="1559" w:type="dxa"/>
            <w:tcBorders>
              <w:bottom w:val="single" w:sz="4" w:space="0" w:color="000000"/>
            </w:tcBorders>
            <w:shd w:val="clear" w:color="auto" w:fill="FFFFFF"/>
            <w:tcMar>
              <w:top w:w="0" w:type="dxa"/>
              <w:left w:w="115" w:type="dxa"/>
              <w:bottom w:w="0" w:type="dxa"/>
              <w:right w:w="115" w:type="dxa"/>
            </w:tcMar>
            <w:vAlign w:val="center"/>
            <w:hideMark/>
          </w:tcPr>
          <w:p w14:paraId="3765104B" w14:textId="77777777" w:rsidR="00F1052A" w:rsidRPr="00362CF5" w:rsidRDefault="00F1052A" w:rsidP="00F1052A">
            <w:pPr>
              <w:spacing w:line="240" w:lineRule="auto"/>
              <w:jc w:val="right"/>
            </w:pPr>
            <w:r w:rsidRPr="00362CF5">
              <w:rPr>
                <w:color w:val="000000"/>
                <w:sz w:val="20"/>
                <w:szCs w:val="20"/>
              </w:rPr>
              <w:t>9.6 (6.5-13.9)</w:t>
            </w:r>
          </w:p>
        </w:tc>
        <w:tc>
          <w:tcPr>
            <w:tcW w:w="709" w:type="dxa"/>
            <w:tcBorders>
              <w:bottom w:val="single" w:sz="4" w:space="0" w:color="000000"/>
            </w:tcBorders>
            <w:shd w:val="clear" w:color="auto" w:fill="FFFFFF"/>
            <w:tcMar>
              <w:top w:w="0" w:type="dxa"/>
              <w:left w:w="115" w:type="dxa"/>
              <w:bottom w:w="0" w:type="dxa"/>
              <w:right w:w="115" w:type="dxa"/>
            </w:tcMar>
            <w:vAlign w:val="center"/>
            <w:hideMark/>
          </w:tcPr>
          <w:p w14:paraId="3B2EECA1" w14:textId="77777777" w:rsidR="00F1052A" w:rsidRPr="00362CF5" w:rsidRDefault="00F1052A" w:rsidP="00F1052A">
            <w:pPr>
              <w:spacing w:line="240" w:lineRule="auto"/>
              <w:jc w:val="center"/>
            </w:pPr>
            <w:r w:rsidRPr="00362CF5">
              <w:rPr>
                <w:color w:val="000000"/>
                <w:sz w:val="20"/>
                <w:szCs w:val="20"/>
              </w:rPr>
              <w:t>632</w:t>
            </w:r>
          </w:p>
        </w:tc>
        <w:tc>
          <w:tcPr>
            <w:tcW w:w="1559" w:type="dxa"/>
            <w:tcBorders>
              <w:bottom w:val="single" w:sz="4" w:space="0" w:color="000000"/>
            </w:tcBorders>
            <w:shd w:val="clear" w:color="auto" w:fill="FFFFFF"/>
            <w:tcMar>
              <w:top w:w="0" w:type="dxa"/>
              <w:left w:w="115" w:type="dxa"/>
              <w:bottom w:w="0" w:type="dxa"/>
              <w:right w:w="115" w:type="dxa"/>
            </w:tcMar>
            <w:vAlign w:val="center"/>
            <w:hideMark/>
          </w:tcPr>
          <w:p w14:paraId="1238BF19" w14:textId="77777777" w:rsidR="00F1052A" w:rsidRPr="00362CF5" w:rsidRDefault="00F1052A" w:rsidP="00F1052A">
            <w:pPr>
              <w:spacing w:line="240" w:lineRule="auto"/>
              <w:jc w:val="right"/>
            </w:pPr>
            <w:r w:rsidRPr="00362CF5">
              <w:rPr>
                <w:color w:val="000000"/>
                <w:sz w:val="20"/>
                <w:szCs w:val="20"/>
              </w:rPr>
              <w:t>10.7 (9.1-12.5)</w:t>
            </w:r>
          </w:p>
        </w:tc>
        <w:tc>
          <w:tcPr>
            <w:tcW w:w="992" w:type="dxa"/>
            <w:tcBorders>
              <w:bottom w:val="single" w:sz="4" w:space="0" w:color="000000"/>
            </w:tcBorders>
            <w:tcMar>
              <w:top w:w="0" w:type="dxa"/>
              <w:left w:w="115" w:type="dxa"/>
              <w:bottom w:w="0" w:type="dxa"/>
              <w:right w:w="115" w:type="dxa"/>
            </w:tcMar>
            <w:vAlign w:val="center"/>
            <w:hideMark/>
          </w:tcPr>
          <w:p w14:paraId="2607D70F" w14:textId="77777777" w:rsidR="00F1052A" w:rsidRPr="00362CF5" w:rsidRDefault="00F1052A" w:rsidP="00F1052A">
            <w:pPr>
              <w:spacing w:line="240" w:lineRule="auto"/>
              <w:jc w:val="center"/>
            </w:pPr>
            <w:r w:rsidRPr="00362CF5">
              <w:rPr>
                <w:color w:val="000000"/>
                <w:sz w:val="20"/>
                <w:szCs w:val="20"/>
              </w:rPr>
              <w:t>0.542</w:t>
            </w:r>
          </w:p>
        </w:tc>
      </w:tr>
    </w:tbl>
    <w:p w14:paraId="71A0E884" w14:textId="2CBA12F5" w:rsidR="00F1052A" w:rsidRPr="00F1052A" w:rsidRDefault="00F1052A" w:rsidP="00F1052A">
      <w:pPr>
        <w:spacing w:line="240" w:lineRule="auto"/>
        <w:rPr>
          <w:rFonts w:ascii="Arial" w:hAnsi="Arial" w:cs="Arial"/>
          <w:sz w:val="18"/>
          <w:szCs w:val="18"/>
        </w:rPr>
      </w:pPr>
      <w:r w:rsidRPr="00F1052A">
        <w:rPr>
          <w:rFonts w:ascii="Arial" w:hAnsi="Arial" w:cs="Arial"/>
          <w:color w:val="000000"/>
          <w:sz w:val="18"/>
          <w:szCs w:val="18"/>
        </w:rPr>
        <w:t xml:space="preserve">NB: </w:t>
      </w:r>
      <w:proofErr w:type="spellStart"/>
      <w:r w:rsidRPr="00F1052A">
        <w:rPr>
          <w:rFonts w:ascii="Arial" w:hAnsi="Arial" w:cs="Arial"/>
          <w:color w:val="000000"/>
          <w:sz w:val="18"/>
          <w:szCs w:val="18"/>
          <w:vertAlign w:val="superscript"/>
        </w:rPr>
        <w:t>a</w:t>
      </w:r>
      <w:r w:rsidRPr="00F1052A">
        <w:rPr>
          <w:rFonts w:ascii="Arial" w:hAnsi="Arial" w:cs="Arial"/>
          <w:color w:val="000000"/>
          <w:sz w:val="18"/>
          <w:szCs w:val="18"/>
        </w:rPr>
        <w:t>Unweighted</w:t>
      </w:r>
      <w:proofErr w:type="spellEnd"/>
      <w:r w:rsidRPr="00F1052A">
        <w:rPr>
          <w:rFonts w:ascii="Arial" w:hAnsi="Arial" w:cs="Arial"/>
          <w:color w:val="000000"/>
          <w:sz w:val="18"/>
          <w:szCs w:val="18"/>
        </w:rPr>
        <w:t xml:space="preserve"> n-value</w:t>
      </w:r>
      <w:r>
        <w:rPr>
          <w:rFonts w:ascii="Arial" w:hAnsi="Arial" w:cs="Arial"/>
          <w:color w:val="000000"/>
          <w:sz w:val="18"/>
          <w:szCs w:val="18"/>
        </w:rPr>
        <w:t>;</w:t>
      </w:r>
      <w:r w:rsidRPr="00F1052A">
        <w:rPr>
          <w:rFonts w:ascii="Arial" w:hAnsi="Arial" w:cs="Arial"/>
          <w:color w:val="000000"/>
          <w:sz w:val="18"/>
          <w:szCs w:val="18"/>
        </w:rPr>
        <w:t xml:space="preserve"> </w:t>
      </w:r>
      <w:proofErr w:type="spellStart"/>
      <w:r w:rsidRPr="00F1052A">
        <w:rPr>
          <w:rFonts w:ascii="Arial" w:hAnsi="Arial" w:cs="Arial"/>
          <w:color w:val="000000"/>
          <w:sz w:val="18"/>
          <w:szCs w:val="18"/>
          <w:vertAlign w:val="superscript"/>
        </w:rPr>
        <w:t>b</w:t>
      </w:r>
      <w:r w:rsidRPr="00F1052A">
        <w:rPr>
          <w:rFonts w:ascii="Arial" w:hAnsi="Arial" w:cs="Arial"/>
          <w:color w:val="000000"/>
          <w:sz w:val="18"/>
          <w:szCs w:val="18"/>
        </w:rPr>
        <w:t>Alcohol</w:t>
      </w:r>
      <w:proofErr w:type="spellEnd"/>
      <w:r w:rsidRPr="00F1052A">
        <w:rPr>
          <w:rFonts w:ascii="Arial" w:hAnsi="Arial" w:cs="Arial"/>
          <w:color w:val="000000"/>
          <w:sz w:val="18"/>
          <w:szCs w:val="18"/>
        </w:rPr>
        <w:t xml:space="preserve"> use were considered positive for report of more than once per month</w:t>
      </w:r>
      <w:r>
        <w:rPr>
          <w:rFonts w:ascii="Arial" w:hAnsi="Arial" w:cs="Arial"/>
          <w:color w:val="000000"/>
          <w:sz w:val="18"/>
          <w:szCs w:val="18"/>
        </w:rPr>
        <w:t>;</w:t>
      </w:r>
      <w:r w:rsidRPr="00F1052A">
        <w:rPr>
          <w:rFonts w:ascii="Arial" w:hAnsi="Arial" w:cs="Arial"/>
          <w:color w:val="000000"/>
          <w:sz w:val="18"/>
          <w:szCs w:val="18"/>
        </w:rPr>
        <w:t xml:space="preserve"> </w:t>
      </w:r>
      <w:proofErr w:type="spellStart"/>
      <w:r w:rsidRPr="00F1052A">
        <w:rPr>
          <w:rFonts w:ascii="Arial" w:hAnsi="Arial" w:cs="Arial"/>
          <w:color w:val="000000"/>
          <w:sz w:val="18"/>
          <w:szCs w:val="18"/>
          <w:vertAlign w:val="superscript"/>
        </w:rPr>
        <w:t>c</w:t>
      </w:r>
      <w:r w:rsidRPr="00F1052A">
        <w:rPr>
          <w:rFonts w:ascii="Arial" w:hAnsi="Arial" w:cs="Arial"/>
          <w:color w:val="000000"/>
          <w:sz w:val="18"/>
          <w:szCs w:val="18"/>
        </w:rPr>
        <w:t>Report</w:t>
      </w:r>
      <w:proofErr w:type="spellEnd"/>
      <w:r w:rsidRPr="00F1052A">
        <w:rPr>
          <w:rFonts w:ascii="Arial" w:hAnsi="Arial" w:cs="Arial"/>
          <w:color w:val="000000"/>
          <w:sz w:val="18"/>
          <w:szCs w:val="18"/>
        </w:rPr>
        <w:t xml:space="preserve"> of physical activity or sports in the three months preceding the interview</w:t>
      </w:r>
      <w:r>
        <w:rPr>
          <w:rFonts w:ascii="Arial" w:hAnsi="Arial" w:cs="Arial"/>
          <w:color w:val="000000"/>
          <w:sz w:val="18"/>
          <w:szCs w:val="18"/>
        </w:rPr>
        <w:t>;</w:t>
      </w:r>
      <w:r w:rsidRPr="00F1052A">
        <w:rPr>
          <w:rFonts w:ascii="Arial" w:hAnsi="Arial" w:cs="Arial"/>
          <w:color w:val="000000"/>
          <w:sz w:val="18"/>
          <w:szCs w:val="18"/>
        </w:rPr>
        <w:t xml:space="preserve"> </w:t>
      </w:r>
      <w:proofErr w:type="spellStart"/>
      <w:r w:rsidRPr="00F1052A">
        <w:rPr>
          <w:rFonts w:ascii="Arial" w:hAnsi="Arial" w:cs="Arial"/>
          <w:color w:val="000000"/>
          <w:sz w:val="18"/>
          <w:szCs w:val="18"/>
          <w:vertAlign w:val="superscript"/>
        </w:rPr>
        <w:t>d</w:t>
      </w:r>
      <w:r w:rsidRPr="00F1052A">
        <w:rPr>
          <w:rFonts w:ascii="Arial" w:hAnsi="Arial" w:cs="Arial"/>
          <w:color w:val="000000"/>
          <w:sz w:val="18"/>
          <w:szCs w:val="18"/>
        </w:rPr>
        <w:t>Self</w:t>
      </w:r>
      <w:proofErr w:type="spellEnd"/>
      <w:r w:rsidRPr="00F1052A">
        <w:rPr>
          <w:rFonts w:ascii="Arial" w:hAnsi="Arial" w:cs="Arial"/>
          <w:color w:val="000000"/>
          <w:sz w:val="18"/>
          <w:szCs w:val="18"/>
        </w:rPr>
        <w:t>-report referring to the 12 months prior to the interview</w:t>
      </w:r>
    </w:p>
    <w:p w14:paraId="18FE7770" w14:textId="77777777" w:rsidR="00C77BE8" w:rsidRPr="00EC37B0" w:rsidRDefault="00991055" w:rsidP="00EC37B0">
      <w:pPr>
        <w:pStyle w:val="NoSpacing"/>
        <w:rPr>
          <w:rFonts w:ascii="Arial" w:hAnsi="Arial" w:cs="Arial"/>
          <w:bCs/>
          <w:color w:val="000000"/>
          <w:sz w:val="20"/>
          <w:szCs w:val="20"/>
        </w:rPr>
      </w:pPr>
      <w:r w:rsidRPr="00EC37B0">
        <w:rPr>
          <w:rFonts w:ascii="Arial" w:hAnsi="Arial" w:cs="Arial"/>
          <w:bCs/>
          <w:color w:val="000000"/>
          <w:sz w:val="20"/>
          <w:szCs w:val="20"/>
        </w:rPr>
        <w:tab/>
      </w:r>
    </w:p>
    <w:p w14:paraId="27F7D9B2" w14:textId="60420447"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The self-perception of health was neither good/nor bad for 48.1% and very good/good for 40.3% of statins users. Most of the statins users reported having two or more chronic diseases (84.9%)</w:t>
      </w:r>
      <w:r w:rsidRPr="00EC37B0">
        <w:rPr>
          <w:rFonts w:ascii="Arial" w:hAnsi="Arial" w:cs="Arial"/>
          <w:color w:val="1D1B11"/>
          <w:sz w:val="20"/>
          <w:szCs w:val="20"/>
        </w:rPr>
        <w:t xml:space="preserve">, with </w:t>
      </w:r>
      <w:r w:rsidRPr="00EC37B0">
        <w:rPr>
          <w:rFonts w:ascii="Arial" w:hAnsi="Arial" w:cs="Arial"/>
          <w:color w:val="000000"/>
          <w:sz w:val="20"/>
          <w:szCs w:val="20"/>
        </w:rPr>
        <w:t>dyslipidemia (81.4%), hypertension (73.0%) and diabetes mellitus</w:t>
      </w:r>
      <w:r w:rsidRPr="00EC37B0">
        <w:rPr>
          <w:rFonts w:ascii="Arial" w:hAnsi="Arial" w:cs="Arial"/>
          <w:color w:val="1D1B11"/>
          <w:sz w:val="20"/>
          <w:szCs w:val="20"/>
        </w:rPr>
        <w:t xml:space="preserve"> (</w:t>
      </w:r>
      <w:r w:rsidRPr="00EC37B0">
        <w:rPr>
          <w:rFonts w:ascii="Arial" w:hAnsi="Arial" w:cs="Arial"/>
          <w:color w:val="000000"/>
          <w:sz w:val="20"/>
          <w:szCs w:val="20"/>
        </w:rPr>
        <w:t>36.6%)</w:t>
      </w:r>
      <w:r w:rsidRPr="00EC37B0">
        <w:rPr>
          <w:rFonts w:ascii="Arial" w:hAnsi="Arial" w:cs="Arial"/>
          <w:color w:val="1D1B11"/>
          <w:sz w:val="20"/>
          <w:szCs w:val="20"/>
        </w:rPr>
        <w:t xml:space="preserve"> the most prevalent. </w:t>
      </w:r>
      <w:r w:rsidRPr="00EC37B0">
        <w:rPr>
          <w:rFonts w:ascii="Arial" w:hAnsi="Arial" w:cs="Arial"/>
          <w:color w:val="000000"/>
          <w:sz w:val="20"/>
          <w:szCs w:val="20"/>
        </w:rPr>
        <w:t xml:space="preserve">The average number of medicines consumed per patient was 4.1±0.41, with </w:t>
      </w:r>
      <w:r w:rsidR="00A52321" w:rsidRPr="00EC37B0">
        <w:rPr>
          <w:rFonts w:ascii="Arial" w:hAnsi="Arial" w:cs="Arial"/>
          <w:color w:val="000000"/>
          <w:sz w:val="20"/>
          <w:szCs w:val="20"/>
        </w:rPr>
        <w:t xml:space="preserve">the </w:t>
      </w:r>
      <w:r w:rsidR="00A52321" w:rsidRPr="00EC37B0">
        <w:rPr>
          <w:rFonts w:ascii="Arial" w:hAnsi="Arial" w:cs="Arial"/>
          <w:color w:val="000000"/>
          <w:sz w:val="20"/>
          <w:szCs w:val="20"/>
        </w:rPr>
        <w:lastRenderedPageBreak/>
        <w:t xml:space="preserve">prevalence of </w:t>
      </w:r>
      <w:r w:rsidRPr="00EC37B0">
        <w:rPr>
          <w:rFonts w:ascii="Arial" w:hAnsi="Arial" w:cs="Arial"/>
          <w:color w:val="000000"/>
          <w:sz w:val="20"/>
          <w:szCs w:val="20"/>
        </w:rPr>
        <w:t xml:space="preserve"> polypharmacy </w:t>
      </w:r>
      <w:r w:rsidR="00A52321" w:rsidRPr="00EC37B0">
        <w:rPr>
          <w:rFonts w:ascii="Arial" w:hAnsi="Arial" w:cs="Arial"/>
          <w:color w:val="000000"/>
          <w:sz w:val="20"/>
          <w:szCs w:val="20"/>
        </w:rPr>
        <w:t>at</w:t>
      </w:r>
      <w:r w:rsidRPr="00EC37B0">
        <w:rPr>
          <w:rFonts w:ascii="Arial" w:hAnsi="Arial" w:cs="Arial"/>
          <w:color w:val="000000"/>
          <w:sz w:val="20"/>
          <w:szCs w:val="20"/>
        </w:rPr>
        <w:t xml:space="preserve"> 37.0%. The most commonly used statin was simvastatin (90.3%), followed by atorvastatin (4.7%) and rosuvastatin (1.9%) (T</w:t>
      </w:r>
      <w:r w:rsidR="00DD7C0B" w:rsidRPr="00EC37B0">
        <w:rPr>
          <w:rFonts w:ascii="Arial" w:hAnsi="Arial" w:cs="Arial"/>
          <w:color w:val="000000"/>
          <w:sz w:val="20"/>
          <w:szCs w:val="20"/>
        </w:rPr>
        <w:t>able</w:t>
      </w:r>
      <w:r w:rsidRPr="00EC37B0">
        <w:rPr>
          <w:rFonts w:ascii="Arial" w:hAnsi="Arial" w:cs="Arial"/>
          <w:color w:val="000000"/>
          <w:sz w:val="20"/>
          <w:szCs w:val="20"/>
        </w:rPr>
        <w:t xml:space="preserve"> 3). Rosuvastatin was the only reported statin that is not included in the National List of Essential Medicines (RENAME).</w:t>
      </w:r>
    </w:p>
    <w:p w14:paraId="03E740D3" w14:textId="61912001" w:rsidR="009535A4" w:rsidRPr="00F1052A" w:rsidRDefault="009535A4" w:rsidP="00EC37B0">
      <w:pPr>
        <w:pStyle w:val="NoSpacing"/>
        <w:rPr>
          <w:rFonts w:ascii="Arial" w:hAnsi="Arial" w:cs="Arial"/>
          <w:sz w:val="20"/>
          <w:szCs w:val="20"/>
        </w:rPr>
      </w:pPr>
    </w:p>
    <w:p w14:paraId="52E783E9" w14:textId="03110527" w:rsidR="00F1052A" w:rsidRPr="00F1052A" w:rsidRDefault="00F1052A" w:rsidP="00F1052A">
      <w:pPr>
        <w:spacing w:line="240" w:lineRule="auto"/>
        <w:ind w:right="-914"/>
        <w:jc w:val="both"/>
        <w:rPr>
          <w:rFonts w:ascii="Arial" w:hAnsi="Arial" w:cs="Arial"/>
          <w:b/>
          <w:bCs/>
          <w:color w:val="000000"/>
          <w:sz w:val="20"/>
          <w:szCs w:val="20"/>
        </w:rPr>
      </w:pPr>
      <w:r w:rsidRPr="00F1052A">
        <w:rPr>
          <w:rFonts w:ascii="Arial" w:hAnsi="Arial" w:cs="Arial"/>
          <w:b/>
          <w:bCs/>
          <w:color w:val="000000"/>
          <w:sz w:val="20"/>
          <w:szCs w:val="20"/>
        </w:rPr>
        <w:t>Table 3</w:t>
      </w:r>
      <w:r w:rsidRPr="00F1052A">
        <w:rPr>
          <w:rFonts w:ascii="Arial" w:hAnsi="Arial" w:cs="Arial"/>
          <w:color w:val="000000"/>
          <w:sz w:val="20"/>
          <w:szCs w:val="20"/>
        </w:rPr>
        <w:t xml:space="preserve">. </w:t>
      </w:r>
      <w:r w:rsidRPr="00F1052A">
        <w:rPr>
          <w:rFonts w:ascii="Arial" w:hAnsi="Arial" w:cs="Arial"/>
          <w:b/>
          <w:bCs/>
          <w:color w:val="000000"/>
          <w:sz w:val="20"/>
          <w:szCs w:val="20"/>
        </w:rPr>
        <w:t>Access, use and adherence to statins in the SUS primary health care services</w:t>
      </w:r>
      <w:r w:rsidRPr="00F1052A">
        <w:rPr>
          <w:rFonts w:ascii="Arial" w:hAnsi="Arial" w:cs="Arial"/>
          <w:color w:val="000000"/>
          <w:sz w:val="20"/>
          <w:szCs w:val="20"/>
        </w:rPr>
        <w:t xml:space="preserve">. </w:t>
      </w:r>
      <w:r w:rsidRPr="00F1052A">
        <w:rPr>
          <w:rFonts w:ascii="Arial" w:hAnsi="Arial" w:cs="Arial"/>
          <w:b/>
          <w:bCs/>
          <w:color w:val="000000"/>
          <w:sz w:val="20"/>
          <w:szCs w:val="20"/>
        </w:rPr>
        <w:t>National Survey on Access, Use and Promotion of Rational Use of Medicines – Services, 2015</w:t>
      </w:r>
    </w:p>
    <w:p w14:paraId="61597EC6" w14:textId="77777777" w:rsidR="00F1052A" w:rsidRPr="00362CF5" w:rsidRDefault="00F1052A" w:rsidP="00F1052A">
      <w:pPr>
        <w:spacing w:line="240" w:lineRule="auto"/>
        <w:ind w:right="-914"/>
        <w:jc w:val="both"/>
      </w:pPr>
    </w:p>
    <w:tbl>
      <w:tblPr>
        <w:tblW w:w="8844" w:type="dxa"/>
        <w:tblCellMar>
          <w:top w:w="15" w:type="dxa"/>
          <w:left w:w="15" w:type="dxa"/>
          <w:bottom w:w="15" w:type="dxa"/>
          <w:right w:w="15" w:type="dxa"/>
        </w:tblCellMar>
        <w:tblLook w:val="04A0" w:firstRow="1" w:lastRow="0" w:firstColumn="1" w:lastColumn="0" w:noHBand="0" w:noVBand="1"/>
      </w:tblPr>
      <w:tblGrid>
        <w:gridCol w:w="115"/>
        <w:gridCol w:w="4458"/>
        <w:gridCol w:w="115"/>
        <w:gridCol w:w="1688"/>
        <w:gridCol w:w="115"/>
        <w:gridCol w:w="2238"/>
        <w:gridCol w:w="115"/>
      </w:tblGrid>
      <w:tr w:rsidR="00F1052A" w:rsidRPr="00362CF5" w14:paraId="149EAB88" w14:textId="77777777" w:rsidTr="00F1052A">
        <w:trPr>
          <w:gridAfter w:val="1"/>
          <w:wAfter w:w="115" w:type="dxa"/>
          <w:trHeight w:val="300"/>
        </w:trPr>
        <w:tc>
          <w:tcPr>
            <w:tcW w:w="4573" w:type="dxa"/>
            <w:gridSpan w:val="2"/>
            <w:tcBorders>
              <w:top w:val="single" w:sz="4" w:space="0" w:color="000000"/>
              <w:bottom w:val="single" w:sz="4" w:space="0" w:color="auto"/>
            </w:tcBorders>
            <w:shd w:val="clear" w:color="auto" w:fill="DAEEF3"/>
            <w:tcMar>
              <w:top w:w="0" w:type="dxa"/>
              <w:left w:w="115" w:type="dxa"/>
              <w:bottom w:w="0" w:type="dxa"/>
              <w:right w:w="115" w:type="dxa"/>
            </w:tcMar>
            <w:vAlign w:val="bottom"/>
            <w:hideMark/>
          </w:tcPr>
          <w:p w14:paraId="16BC63CE" w14:textId="77777777" w:rsidR="00F1052A" w:rsidRPr="00362CF5" w:rsidRDefault="00F1052A" w:rsidP="00F1052A">
            <w:pPr>
              <w:spacing w:line="240" w:lineRule="auto"/>
              <w:jc w:val="center"/>
            </w:pPr>
            <w:r w:rsidRPr="00362CF5">
              <w:rPr>
                <w:b/>
                <w:bCs/>
                <w:color w:val="000000"/>
                <w:sz w:val="20"/>
                <w:szCs w:val="20"/>
              </w:rPr>
              <w:t>Variable</w:t>
            </w:r>
          </w:p>
        </w:tc>
        <w:tc>
          <w:tcPr>
            <w:tcW w:w="1803" w:type="dxa"/>
            <w:gridSpan w:val="2"/>
            <w:tcBorders>
              <w:top w:val="single" w:sz="4" w:space="0" w:color="000000"/>
              <w:bottom w:val="single" w:sz="4" w:space="0" w:color="auto"/>
            </w:tcBorders>
            <w:shd w:val="clear" w:color="auto" w:fill="DAEEF3"/>
            <w:tcMar>
              <w:top w:w="0" w:type="dxa"/>
              <w:left w:w="115" w:type="dxa"/>
              <w:bottom w:w="0" w:type="dxa"/>
              <w:right w:w="115" w:type="dxa"/>
            </w:tcMar>
            <w:vAlign w:val="bottom"/>
            <w:hideMark/>
          </w:tcPr>
          <w:p w14:paraId="544D875D" w14:textId="77777777" w:rsidR="00F1052A" w:rsidRPr="00362CF5" w:rsidRDefault="00F1052A" w:rsidP="00F1052A">
            <w:pPr>
              <w:spacing w:line="240" w:lineRule="auto"/>
              <w:jc w:val="center"/>
            </w:pPr>
            <w:r w:rsidRPr="00362CF5">
              <w:rPr>
                <w:b/>
                <w:bCs/>
                <w:color w:val="000000"/>
                <w:sz w:val="20"/>
                <w:szCs w:val="20"/>
              </w:rPr>
              <w:t>n</w:t>
            </w:r>
            <w:r w:rsidRPr="00362CF5">
              <w:rPr>
                <w:b/>
                <w:bCs/>
                <w:color w:val="000000"/>
                <w:sz w:val="20"/>
                <w:szCs w:val="20"/>
                <w:vertAlign w:val="superscript"/>
              </w:rPr>
              <w:t xml:space="preserve"> a</w:t>
            </w:r>
            <w:r w:rsidRPr="00362CF5">
              <w:rPr>
                <w:b/>
                <w:bCs/>
                <w:color w:val="000000"/>
                <w:sz w:val="32"/>
                <w:szCs w:val="32"/>
              </w:rPr>
              <w:t xml:space="preserve"> </w:t>
            </w:r>
            <w:r w:rsidRPr="00362CF5">
              <w:rPr>
                <w:b/>
                <w:bCs/>
                <w:color w:val="000000"/>
                <w:sz w:val="20"/>
                <w:szCs w:val="20"/>
              </w:rPr>
              <w:t>(603)</w:t>
            </w:r>
          </w:p>
        </w:tc>
        <w:tc>
          <w:tcPr>
            <w:tcW w:w="2353" w:type="dxa"/>
            <w:gridSpan w:val="2"/>
            <w:tcBorders>
              <w:top w:val="single" w:sz="4" w:space="0" w:color="000000"/>
              <w:bottom w:val="single" w:sz="4" w:space="0" w:color="auto"/>
            </w:tcBorders>
            <w:shd w:val="clear" w:color="auto" w:fill="DAEEF3"/>
            <w:tcMar>
              <w:top w:w="0" w:type="dxa"/>
              <w:left w:w="115" w:type="dxa"/>
              <w:bottom w:w="0" w:type="dxa"/>
              <w:right w:w="115" w:type="dxa"/>
            </w:tcMar>
            <w:vAlign w:val="bottom"/>
            <w:hideMark/>
          </w:tcPr>
          <w:p w14:paraId="3D4ED719" w14:textId="77777777" w:rsidR="00F1052A" w:rsidRPr="00362CF5" w:rsidRDefault="00F1052A" w:rsidP="00F1052A">
            <w:pPr>
              <w:spacing w:line="240" w:lineRule="auto"/>
              <w:jc w:val="center"/>
            </w:pPr>
            <w:r w:rsidRPr="00362CF5">
              <w:rPr>
                <w:b/>
                <w:bCs/>
                <w:color w:val="000000"/>
                <w:sz w:val="20"/>
                <w:szCs w:val="20"/>
              </w:rPr>
              <w:t xml:space="preserve">% (95% </w:t>
            </w:r>
            <w:proofErr w:type="gramStart"/>
            <w:r w:rsidRPr="00362CF5">
              <w:rPr>
                <w:b/>
                <w:bCs/>
                <w:color w:val="000000"/>
                <w:sz w:val="20"/>
                <w:szCs w:val="20"/>
              </w:rPr>
              <w:t>CI )</w:t>
            </w:r>
            <w:proofErr w:type="gramEnd"/>
          </w:p>
        </w:tc>
      </w:tr>
      <w:tr w:rsidR="00F1052A" w:rsidRPr="00362CF5" w14:paraId="7D6AED0A" w14:textId="77777777" w:rsidTr="00F1052A">
        <w:trPr>
          <w:gridAfter w:val="1"/>
          <w:wAfter w:w="115" w:type="dxa"/>
          <w:trHeight w:val="300"/>
        </w:trPr>
        <w:tc>
          <w:tcPr>
            <w:tcW w:w="4573" w:type="dxa"/>
            <w:gridSpan w:val="2"/>
            <w:tcBorders>
              <w:top w:val="single" w:sz="4" w:space="0" w:color="auto"/>
            </w:tcBorders>
            <w:tcMar>
              <w:top w:w="0" w:type="dxa"/>
              <w:left w:w="115" w:type="dxa"/>
              <w:bottom w:w="0" w:type="dxa"/>
              <w:right w:w="115" w:type="dxa"/>
            </w:tcMar>
            <w:vAlign w:val="bottom"/>
            <w:hideMark/>
          </w:tcPr>
          <w:p w14:paraId="262744E5" w14:textId="77777777" w:rsidR="00F1052A" w:rsidRPr="00362CF5" w:rsidRDefault="00F1052A" w:rsidP="00F1052A">
            <w:pPr>
              <w:spacing w:line="240" w:lineRule="auto"/>
            </w:pPr>
            <w:r w:rsidRPr="00362CF5">
              <w:rPr>
                <w:b/>
                <w:bCs/>
                <w:color w:val="000000"/>
                <w:sz w:val="20"/>
                <w:szCs w:val="20"/>
              </w:rPr>
              <w:t>Statin (ATC code)</w:t>
            </w:r>
            <w:r w:rsidRPr="00362CF5">
              <w:rPr>
                <w:color w:val="000000"/>
                <w:sz w:val="20"/>
                <w:szCs w:val="20"/>
                <w:vertAlign w:val="superscript"/>
              </w:rPr>
              <w:t xml:space="preserve"> b</w:t>
            </w:r>
          </w:p>
        </w:tc>
        <w:tc>
          <w:tcPr>
            <w:tcW w:w="1803" w:type="dxa"/>
            <w:gridSpan w:val="2"/>
            <w:tcBorders>
              <w:top w:val="single" w:sz="4" w:space="0" w:color="auto"/>
            </w:tcBorders>
            <w:shd w:val="clear" w:color="auto" w:fill="FFFFFF"/>
            <w:tcMar>
              <w:top w:w="0" w:type="dxa"/>
              <w:left w:w="115" w:type="dxa"/>
              <w:bottom w:w="0" w:type="dxa"/>
              <w:right w:w="115" w:type="dxa"/>
            </w:tcMar>
            <w:vAlign w:val="center"/>
            <w:hideMark/>
          </w:tcPr>
          <w:p w14:paraId="4B8AB96B" w14:textId="77777777" w:rsidR="00F1052A" w:rsidRPr="00362CF5" w:rsidRDefault="00F1052A" w:rsidP="00F1052A">
            <w:pPr>
              <w:spacing w:line="240" w:lineRule="auto"/>
            </w:pPr>
          </w:p>
        </w:tc>
        <w:tc>
          <w:tcPr>
            <w:tcW w:w="2353" w:type="dxa"/>
            <w:gridSpan w:val="2"/>
            <w:tcBorders>
              <w:top w:val="single" w:sz="4" w:space="0" w:color="auto"/>
            </w:tcBorders>
            <w:shd w:val="clear" w:color="auto" w:fill="FFFFFF"/>
            <w:tcMar>
              <w:top w:w="0" w:type="dxa"/>
              <w:left w:w="115" w:type="dxa"/>
              <w:bottom w:w="0" w:type="dxa"/>
              <w:right w:w="115" w:type="dxa"/>
            </w:tcMar>
            <w:vAlign w:val="center"/>
            <w:hideMark/>
          </w:tcPr>
          <w:p w14:paraId="23F80880" w14:textId="77777777" w:rsidR="00F1052A" w:rsidRPr="00362CF5" w:rsidRDefault="00F1052A" w:rsidP="00F1052A">
            <w:pPr>
              <w:spacing w:line="240" w:lineRule="auto"/>
            </w:pPr>
          </w:p>
        </w:tc>
      </w:tr>
      <w:tr w:rsidR="00F1052A" w:rsidRPr="00362CF5" w14:paraId="229D5646" w14:textId="77777777" w:rsidTr="00F1052A">
        <w:trPr>
          <w:gridBefore w:val="1"/>
          <w:wBefore w:w="115" w:type="dxa"/>
          <w:trHeight w:val="300"/>
        </w:trPr>
        <w:tc>
          <w:tcPr>
            <w:tcW w:w="4573" w:type="dxa"/>
            <w:gridSpan w:val="2"/>
            <w:tcMar>
              <w:top w:w="0" w:type="dxa"/>
              <w:left w:w="115" w:type="dxa"/>
              <w:bottom w:w="0" w:type="dxa"/>
              <w:right w:w="115" w:type="dxa"/>
            </w:tcMar>
            <w:vAlign w:val="bottom"/>
          </w:tcPr>
          <w:p w14:paraId="0A1490F9" w14:textId="77777777" w:rsidR="00F1052A" w:rsidRPr="00362CF5" w:rsidRDefault="00F1052A" w:rsidP="00F1052A">
            <w:pPr>
              <w:spacing w:line="240" w:lineRule="auto"/>
              <w:ind w:left="27" w:firstLine="27"/>
              <w:rPr>
                <w:b/>
                <w:bCs/>
                <w:color w:val="000000"/>
                <w:sz w:val="20"/>
                <w:szCs w:val="20"/>
              </w:rPr>
            </w:pPr>
            <w:proofErr w:type="spellStart"/>
            <w:r w:rsidRPr="00362CF5">
              <w:rPr>
                <w:color w:val="000000"/>
                <w:sz w:val="20"/>
                <w:szCs w:val="20"/>
              </w:rPr>
              <w:t>Simvastatin</w:t>
            </w:r>
            <w:r w:rsidRPr="00362CF5">
              <w:rPr>
                <w:color w:val="000000"/>
                <w:sz w:val="20"/>
                <w:szCs w:val="20"/>
                <w:vertAlign w:val="superscript"/>
              </w:rPr>
              <w:t>c</w:t>
            </w:r>
            <w:proofErr w:type="spellEnd"/>
            <w:r w:rsidRPr="00362CF5">
              <w:rPr>
                <w:color w:val="000000"/>
                <w:sz w:val="20"/>
                <w:szCs w:val="20"/>
              </w:rPr>
              <w:t xml:space="preserve"> (C10AA01)</w:t>
            </w:r>
          </w:p>
        </w:tc>
        <w:tc>
          <w:tcPr>
            <w:tcW w:w="1803" w:type="dxa"/>
            <w:gridSpan w:val="2"/>
            <w:shd w:val="clear" w:color="auto" w:fill="FFFFFF"/>
            <w:tcMar>
              <w:top w:w="0" w:type="dxa"/>
              <w:left w:w="115" w:type="dxa"/>
              <w:bottom w:w="0" w:type="dxa"/>
              <w:right w:w="115" w:type="dxa"/>
            </w:tcMar>
            <w:vAlign w:val="center"/>
          </w:tcPr>
          <w:p w14:paraId="520A4924" w14:textId="77777777" w:rsidR="00F1052A" w:rsidRPr="00362CF5" w:rsidRDefault="00F1052A" w:rsidP="00F1052A">
            <w:pPr>
              <w:spacing w:line="240" w:lineRule="auto"/>
              <w:jc w:val="center"/>
            </w:pPr>
            <w:r w:rsidRPr="00362CF5">
              <w:rPr>
                <w:color w:val="000000"/>
                <w:sz w:val="20"/>
                <w:szCs w:val="20"/>
              </w:rPr>
              <w:t>576</w:t>
            </w:r>
          </w:p>
        </w:tc>
        <w:tc>
          <w:tcPr>
            <w:tcW w:w="2353" w:type="dxa"/>
            <w:gridSpan w:val="2"/>
            <w:shd w:val="clear" w:color="auto" w:fill="FFFFFF"/>
            <w:tcMar>
              <w:top w:w="0" w:type="dxa"/>
              <w:left w:w="115" w:type="dxa"/>
              <w:bottom w:w="0" w:type="dxa"/>
              <w:right w:w="115" w:type="dxa"/>
            </w:tcMar>
            <w:vAlign w:val="center"/>
          </w:tcPr>
          <w:p w14:paraId="6FA4DC1E" w14:textId="77777777" w:rsidR="00F1052A" w:rsidRPr="00362CF5" w:rsidRDefault="00F1052A" w:rsidP="00F1052A">
            <w:pPr>
              <w:spacing w:line="240" w:lineRule="auto"/>
              <w:jc w:val="center"/>
            </w:pPr>
            <w:r w:rsidRPr="00362CF5">
              <w:rPr>
                <w:color w:val="000000"/>
                <w:sz w:val="20"/>
                <w:szCs w:val="20"/>
              </w:rPr>
              <w:t>90.3 (84.2-94.2)</w:t>
            </w:r>
          </w:p>
        </w:tc>
      </w:tr>
      <w:tr w:rsidR="00F1052A" w:rsidRPr="00362CF5" w14:paraId="69D2A48B" w14:textId="77777777" w:rsidTr="00F1052A">
        <w:trPr>
          <w:gridBefore w:val="1"/>
          <w:wBefore w:w="115" w:type="dxa"/>
          <w:trHeight w:val="300"/>
        </w:trPr>
        <w:tc>
          <w:tcPr>
            <w:tcW w:w="4573" w:type="dxa"/>
            <w:gridSpan w:val="2"/>
            <w:tcMar>
              <w:top w:w="0" w:type="dxa"/>
              <w:left w:w="115" w:type="dxa"/>
              <w:bottom w:w="0" w:type="dxa"/>
              <w:right w:w="115" w:type="dxa"/>
            </w:tcMar>
            <w:vAlign w:val="bottom"/>
          </w:tcPr>
          <w:p w14:paraId="09037A26" w14:textId="77777777" w:rsidR="00F1052A" w:rsidRPr="00362CF5" w:rsidRDefault="00F1052A" w:rsidP="00F1052A">
            <w:pPr>
              <w:spacing w:line="240" w:lineRule="auto"/>
              <w:ind w:left="27" w:firstLine="27"/>
              <w:rPr>
                <w:b/>
                <w:bCs/>
                <w:color w:val="000000"/>
                <w:sz w:val="20"/>
                <w:szCs w:val="20"/>
              </w:rPr>
            </w:pPr>
            <w:r w:rsidRPr="00362CF5">
              <w:rPr>
                <w:color w:val="000000"/>
                <w:sz w:val="20"/>
                <w:szCs w:val="20"/>
              </w:rPr>
              <w:t>Atorvastatin (C10AA05)</w:t>
            </w:r>
          </w:p>
        </w:tc>
        <w:tc>
          <w:tcPr>
            <w:tcW w:w="1803" w:type="dxa"/>
            <w:gridSpan w:val="2"/>
            <w:shd w:val="clear" w:color="auto" w:fill="FFFFFF"/>
            <w:tcMar>
              <w:top w:w="0" w:type="dxa"/>
              <w:left w:w="115" w:type="dxa"/>
              <w:bottom w:w="0" w:type="dxa"/>
              <w:right w:w="115" w:type="dxa"/>
            </w:tcMar>
            <w:vAlign w:val="center"/>
          </w:tcPr>
          <w:p w14:paraId="6571B88D" w14:textId="77777777" w:rsidR="00F1052A" w:rsidRPr="00362CF5" w:rsidRDefault="00F1052A" w:rsidP="00F1052A">
            <w:pPr>
              <w:spacing w:line="240" w:lineRule="auto"/>
              <w:jc w:val="center"/>
            </w:pPr>
            <w:r w:rsidRPr="00362CF5">
              <w:rPr>
                <w:color w:val="000000"/>
                <w:sz w:val="20"/>
                <w:szCs w:val="20"/>
              </w:rPr>
              <w:t>21</w:t>
            </w:r>
          </w:p>
        </w:tc>
        <w:tc>
          <w:tcPr>
            <w:tcW w:w="2353" w:type="dxa"/>
            <w:gridSpan w:val="2"/>
            <w:shd w:val="clear" w:color="auto" w:fill="FFFFFF"/>
            <w:tcMar>
              <w:top w:w="0" w:type="dxa"/>
              <w:left w:w="115" w:type="dxa"/>
              <w:bottom w:w="0" w:type="dxa"/>
              <w:right w:w="115" w:type="dxa"/>
            </w:tcMar>
            <w:vAlign w:val="center"/>
          </w:tcPr>
          <w:p w14:paraId="56C1F4A1" w14:textId="77777777" w:rsidR="00F1052A" w:rsidRPr="00362CF5" w:rsidRDefault="00F1052A" w:rsidP="00F1052A">
            <w:pPr>
              <w:spacing w:line="240" w:lineRule="auto"/>
              <w:jc w:val="center"/>
            </w:pPr>
            <w:r w:rsidRPr="00362CF5">
              <w:rPr>
                <w:color w:val="000000"/>
                <w:sz w:val="20"/>
                <w:szCs w:val="20"/>
              </w:rPr>
              <w:t>4.7 (1.7-12.4)</w:t>
            </w:r>
          </w:p>
        </w:tc>
      </w:tr>
      <w:tr w:rsidR="00F1052A" w:rsidRPr="00362CF5" w14:paraId="3DA130FA" w14:textId="77777777" w:rsidTr="00F1052A">
        <w:trPr>
          <w:gridBefore w:val="1"/>
          <w:wBefore w:w="115" w:type="dxa"/>
          <w:trHeight w:val="300"/>
        </w:trPr>
        <w:tc>
          <w:tcPr>
            <w:tcW w:w="4573" w:type="dxa"/>
            <w:gridSpan w:val="2"/>
            <w:tcMar>
              <w:top w:w="0" w:type="dxa"/>
              <w:left w:w="115" w:type="dxa"/>
              <w:bottom w:w="0" w:type="dxa"/>
              <w:right w:w="115" w:type="dxa"/>
            </w:tcMar>
            <w:vAlign w:val="bottom"/>
          </w:tcPr>
          <w:p w14:paraId="50FF6374" w14:textId="77777777" w:rsidR="00F1052A" w:rsidRPr="00362CF5" w:rsidRDefault="00F1052A" w:rsidP="00F1052A">
            <w:pPr>
              <w:spacing w:line="240" w:lineRule="auto"/>
              <w:ind w:left="27" w:firstLine="27"/>
              <w:rPr>
                <w:b/>
                <w:bCs/>
                <w:color w:val="000000"/>
                <w:sz w:val="20"/>
                <w:szCs w:val="20"/>
              </w:rPr>
            </w:pPr>
            <w:proofErr w:type="spellStart"/>
            <w:r w:rsidRPr="00362CF5">
              <w:rPr>
                <w:color w:val="000000"/>
                <w:sz w:val="20"/>
                <w:szCs w:val="20"/>
              </w:rPr>
              <w:t>Rosuvastatin</w:t>
            </w:r>
            <w:r w:rsidRPr="00362CF5">
              <w:rPr>
                <w:color w:val="000000"/>
                <w:sz w:val="20"/>
                <w:szCs w:val="20"/>
                <w:vertAlign w:val="superscript"/>
              </w:rPr>
              <w:t>d</w:t>
            </w:r>
            <w:proofErr w:type="spellEnd"/>
            <w:r w:rsidRPr="00362CF5">
              <w:rPr>
                <w:color w:val="000000"/>
                <w:sz w:val="20"/>
                <w:szCs w:val="20"/>
              </w:rPr>
              <w:t xml:space="preserve"> (C10AA07)</w:t>
            </w:r>
          </w:p>
        </w:tc>
        <w:tc>
          <w:tcPr>
            <w:tcW w:w="1803" w:type="dxa"/>
            <w:gridSpan w:val="2"/>
            <w:shd w:val="clear" w:color="auto" w:fill="FFFFFF"/>
            <w:tcMar>
              <w:top w:w="0" w:type="dxa"/>
              <w:left w:w="115" w:type="dxa"/>
              <w:bottom w:w="0" w:type="dxa"/>
              <w:right w:w="115" w:type="dxa"/>
            </w:tcMar>
            <w:vAlign w:val="center"/>
          </w:tcPr>
          <w:p w14:paraId="709735C0" w14:textId="77777777" w:rsidR="00F1052A" w:rsidRPr="00362CF5" w:rsidRDefault="00F1052A" w:rsidP="00F1052A">
            <w:pPr>
              <w:spacing w:line="240" w:lineRule="auto"/>
              <w:jc w:val="center"/>
            </w:pPr>
            <w:r w:rsidRPr="00362CF5">
              <w:rPr>
                <w:color w:val="000000"/>
                <w:sz w:val="20"/>
                <w:szCs w:val="20"/>
              </w:rPr>
              <w:t>11</w:t>
            </w:r>
          </w:p>
        </w:tc>
        <w:tc>
          <w:tcPr>
            <w:tcW w:w="2353" w:type="dxa"/>
            <w:gridSpan w:val="2"/>
            <w:shd w:val="clear" w:color="auto" w:fill="FFFFFF"/>
            <w:tcMar>
              <w:top w:w="0" w:type="dxa"/>
              <w:left w:w="115" w:type="dxa"/>
              <w:bottom w:w="0" w:type="dxa"/>
              <w:right w:w="115" w:type="dxa"/>
            </w:tcMar>
            <w:vAlign w:val="center"/>
          </w:tcPr>
          <w:p w14:paraId="73F5F411" w14:textId="77777777" w:rsidR="00F1052A" w:rsidRPr="00362CF5" w:rsidRDefault="00F1052A" w:rsidP="00F1052A">
            <w:pPr>
              <w:spacing w:line="240" w:lineRule="auto"/>
              <w:jc w:val="center"/>
            </w:pPr>
            <w:r w:rsidRPr="00362CF5">
              <w:rPr>
                <w:color w:val="000000"/>
                <w:sz w:val="20"/>
                <w:szCs w:val="20"/>
              </w:rPr>
              <w:t>1.9 (0.9-3.9)</w:t>
            </w:r>
          </w:p>
        </w:tc>
      </w:tr>
      <w:tr w:rsidR="00F1052A" w:rsidRPr="00362CF5" w14:paraId="585C9FC9" w14:textId="77777777" w:rsidTr="00F1052A">
        <w:trPr>
          <w:gridBefore w:val="1"/>
          <w:wBefore w:w="115" w:type="dxa"/>
          <w:trHeight w:val="300"/>
        </w:trPr>
        <w:tc>
          <w:tcPr>
            <w:tcW w:w="4573" w:type="dxa"/>
            <w:gridSpan w:val="2"/>
            <w:tcMar>
              <w:top w:w="0" w:type="dxa"/>
              <w:left w:w="115" w:type="dxa"/>
              <w:bottom w:w="0" w:type="dxa"/>
              <w:right w:w="115" w:type="dxa"/>
            </w:tcMar>
            <w:vAlign w:val="bottom"/>
          </w:tcPr>
          <w:p w14:paraId="6BE0C9F3" w14:textId="77777777" w:rsidR="00F1052A" w:rsidRPr="00362CF5" w:rsidRDefault="00F1052A" w:rsidP="00F1052A">
            <w:pPr>
              <w:spacing w:line="240" w:lineRule="auto"/>
              <w:ind w:left="27" w:firstLine="27"/>
              <w:rPr>
                <w:b/>
                <w:bCs/>
                <w:color w:val="000000"/>
                <w:sz w:val="20"/>
                <w:szCs w:val="20"/>
              </w:rPr>
            </w:pPr>
            <w:r w:rsidRPr="00362CF5">
              <w:rPr>
                <w:color w:val="000000"/>
                <w:sz w:val="20"/>
                <w:szCs w:val="20"/>
              </w:rPr>
              <w:t>Pravastatin (C10AA03)</w:t>
            </w:r>
          </w:p>
        </w:tc>
        <w:tc>
          <w:tcPr>
            <w:tcW w:w="1803" w:type="dxa"/>
            <w:gridSpan w:val="2"/>
            <w:shd w:val="clear" w:color="auto" w:fill="FFFFFF"/>
            <w:tcMar>
              <w:top w:w="0" w:type="dxa"/>
              <w:left w:w="115" w:type="dxa"/>
              <w:bottom w:w="0" w:type="dxa"/>
              <w:right w:w="115" w:type="dxa"/>
            </w:tcMar>
            <w:vAlign w:val="center"/>
          </w:tcPr>
          <w:p w14:paraId="29B05508" w14:textId="77777777" w:rsidR="00F1052A" w:rsidRPr="00362CF5" w:rsidRDefault="00F1052A" w:rsidP="00F1052A">
            <w:pPr>
              <w:spacing w:line="240" w:lineRule="auto"/>
              <w:jc w:val="center"/>
            </w:pPr>
            <w:r w:rsidRPr="00362CF5">
              <w:rPr>
                <w:color w:val="000000"/>
                <w:sz w:val="20"/>
                <w:szCs w:val="20"/>
              </w:rPr>
              <w:t>1</w:t>
            </w:r>
          </w:p>
        </w:tc>
        <w:tc>
          <w:tcPr>
            <w:tcW w:w="2353" w:type="dxa"/>
            <w:gridSpan w:val="2"/>
            <w:shd w:val="clear" w:color="auto" w:fill="FFFFFF"/>
            <w:tcMar>
              <w:top w:w="0" w:type="dxa"/>
              <w:left w:w="115" w:type="dxa"/>
              <w:bottom w:w="0" w:type="dxa"/>
              <w:right w:w="115" w:type="dxa"/>
            </w:tcMar>
            <w:vAlign w:val="center"/>
          </w:tcPr>
          <w:p w14:paraId="6CBAE128" w14:textId="77777777" w:rsidR="00F1052A" w:rsidRPr="00362CF5" w:rsidRDefault="00F1052A" w:rsidP="00F1052A">
            <w:pPr>
              <w:spacing w:line="240" w:lineRule="auto"/>
              <w:jc w:val="center"/>
            </w:pPr>
            <w:r w:rsidRPr="00362CF5">
              <w:rPr>
                <w:color w:val="000000"/>
                <w:sz w:val="20"/>
                <w:szCs w:val="20"/>
              </w:rPr>
              <w:t>0.2 (0.0-1.4)</w:t>
            </w:r>
          </w:p>
        </w:tc>
      </w:tr>
      <w:tr w:rsidR="00F1052A" w:rsidRPr="00362CF5" w14:paraId="6756CAB1"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746ABD5B" w14:textId="77777777" w:rsidR="00F1052A" w:rsidRPr="00362CF5" w:rsidRDefault="00F1052A" w:rsidP="00F1052A">
            <w:pPr>
              <w:spacing w:line="240" w:lineRule="auto"/>
              <w:rPr>
                <w:b/>
                <w:bCs/>
                <w:color w:val="000000"/>
                <w:sz w:val="20"/>
                <w:szCs w:val="20"/>
              </w:rPr>
            </w:pPr>
            <w:r w:rsidRPr="00362CF5">
              <w:rPr>
                <w:b/>
                <w:bCs/>
                <w:color w:val="000000"/>
                <w:sz w:val="20"/>
                <w:szCs w:val="20"/>
              </w:rPr>
              <w:t>Time using statin</w:t>
            </w:r>
          </w:p>
        </w:tc>
        <w:tc>
          <w:tcPr>
            <w:tcW w:w="1803" w:type="dxa"/>
            <w:gridSpan w:val="2"/>
            <w:shd w:val="clear" w:color="auto" w:fill="FFFFFF"/>
            <w:tcMar>
              <w:top w:w="0" w:type="dxa"/>
              <w:left w:w="115" w:type="dxa"/>
              <w:bottom w:w="0" w:type="dxa"/>
              <w:right w:w="115" w:type="dxa"/>
            </w:tcMar>
            <w:vAlign w:val="center"/>
          </w:tcPr>
          <w:p w14:paraId="3DEF3602" w14:textId="77777777" w:rsidR="00F1052A" w:rsidRPr="00362CF5" w:rsidRDefault="00F1052A" w:rsidP="00F1052A">
            <w:pPr>
              <w:spacing w:line="240" w:lineRule="auto"/>
              <w:jc w:val="center"/>
            </w:pPr>
          </w:p>
        </w:tc>
        <w:tc>
          <w:tcPr>
            <w:tcW w:w="2353" w:type="dxa"/>
            <w:gridSpan w:val="2"/>
            <w:shd w:val="clear" w:color="auto" w:fill="FFFFFF"/>
            <w:tcMar>
              <w:top w:w="0" w:type="dxa"/>
              <w:left w:w="115" w:type="dxa"/>
              <w:bottom w:w="0" w:type="dxa"/>
              <w:right w:w="115" w:type="dxa"/>
            </w:tcMar>
            <w:vAlign w:val="center"/>
          </w:tcPr>
          <w:p w14:paraId="1CF7BE93" w14:textId="77777777" w:rsidR="00F1052A" w:rsidRPr="00362CF5" w:rsidRDefault="00F1052A" w:rsidP="00F1052A">
            <w:pPr>
              <w:spacing w:line="240" w:lineRule="auto"/>
              <w:jc w:val="center"/>
            </w:pPr>
          </w:p>
        </w:tc>
      </w:tr>
      <w:tr w:rsidR="00F1052A" w:rsidRPr="00362CF5" w14:paraId="6EB082BA"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07AAD879" w14:textId="77777777" w:rsidR="00F1052A" w:rsidRPr="00D00AC7" w:rsidRDefault="00F1052A" w:rsidP="00F1052A">
            <w:pPr>
              <w:spacing w:line="240" w:lineRule="auto"/>
              <w:ind w:left="142" w:firstLine="27"/>
              <w:rPr>
                <w:color w:val="000000"/>
                <w:sz w:val="20"/>
                <w:szCs w:val="20"/>
              </w:rPr>
            </w:pPr>
            <w:r w:rsidRPr="00362CF5">
              <w:rPr>
                <w:color w:val="000000"/>
                <w:sz w:val="20"/>
                <w:szCs w:val="20"/>
              </w:rPr>
              <w:t>&lt; 1 year</w:t>
            </w:r>
          </w:p>
        </w:tc>
        <w:tc>
          <w:tcPr>
            <w:tcW w:w="1803" w:type="dxa"/>
            <w:gridSpan w:val="2"/>
            <w:shd w:val="clear" w:color="auto" w:fill="FFFFFF"/>
            <w:tcMar>
              <w:top w:w="0" w:type="dxa"/>
              <w:left w:w="115" w:type="dxa"/>
              <w:bottom w:w="0" w:type="dxa"/>
              <w:right w:w="115" w:type="dxa"/>
            </w:tcMar>
            <w:vAlign w:val="center"/>
          </w:tcPr>
          <w:p w14:paraId="403F4A36" w14:textId="77777777" w:rsidR="00F1052A" w:rsidRPr="00362CF5" w:rsidRDefault="00F1052A" w:rsidP="00F1052A">
            <w:pPr>
              <w:spacing w:line="240" w:lineRule="auto"/>
              <w:jc w:val="center"/>
            </w:pPr>
            <w:r w:rsidRPr="00362CF5">
              <w:rPr>
                <w:color w:val="000000"/>
                <w:sz w:val="20"/>
                <w:szCs w:val="20"/>
              </w:rPr>
              <w:t>115</w:t>
            </w:r>
          </w:p>
        </w:tc>
        <w:tc>
          <w:tcPr>
            <w:tcW w:w="2353" w:type="dxa"/>
            <w:gridSpan w:val="2"/>
            <w:shd w:val="clear" w:color="auto" w:fill="FFFFFF"/>
            <w:tcMar>
              <w:top w:w="0" w:type="dxa"/>
              <w:left w:w="115" w:type="dxa"/>
              <w:bottom w:w="0" w:type="dxa"/>
              <w:right w:w="115" w:type="dxa"/>
            </w:tcMar>
            <w:vAlign w:val="center"/>
          </w:tcPr>
          <w:p w14:paraId="570ED28E" w14:textId="77777777" w:rsidR="00F1052A" w:rsidRPr="00362CF5" w:rsidRDefault="00F1052A" w:rsidP="00F1052A">
            <w:pPr>
              <w:spacing w:line="240" w:lineRule="auto"/>
              <w:jc w:val="center"/>
            </w:pPr>
            <w:r w:rsidRPr="00362CF5">
              <w:rPr>
                <w:color w:val="000000"/>
                <w:sz w:val="20"/>
                <w:szCs w:val="20"/>
              </w:rPr>
              <w:t>18.6 (14.9-22.9)</w:t>
            </w:r>
          </w:p>
        </w:tc>
      </w:tr>
      <w:tr w:rsidR="00F1052A" w:rsidRPr="00362CF5" w14:paraId="5160EB55"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0493FE0E" w14:textId="77777777" w:rsidR="00F1052A" w:rsidRPr="00D00AC7" w:rsidRDefault="00F1052A" w:rsidP="00F1052A">
            <w:pPr>
              <w:spacing w:line="240" w:lineRule="auto"/>
              <w:ind w:left="142" w:firstLine="27"/>
              <w:rPr>
                <w:color w:val="000000"/>
                <w:sz w:val="20"/>
                <w:szCs w:val="20"/>
              </w:rPr>
            </w:pPr>
            <w:r w:rsidRPr="00362CF5">
              <w:rPr>
                <w:color w:val="000000"/>
                <w:sz w:val="20"/>
                <w:szCs w:val="20"/>
              </w:rPr>
              <w:t>≥ 1 year</w:t>
            </w:r>
          </w:p>
        </w:tc>
        <w:tc>
          <w:tcPr>
            <w:tcW w:w="1803" w:type="dxa"/>
            <w:gridSpan w:val="2"/>
            <w:shd w:val="clear" w:color="auto" w:fill="FFFFFF"/>
            <w:tcMar>
              <w:top w:w="0" w:type="dxa"/>
              <w:left w:w="115" w:type="dxa"/>
              <w:bottom w:w="0" w:type="dxa"/>
              <w:right w:w="115" w:type="dxa"/>
            </w:tcMar>
            <w:vAlign w:val="center"/>
          </w:tcPr>
          <w:p w14:paraId="3C860287" w14:textId="77777777" w:rsidR="00F1052A" w:rsidRPr="00362CF5" w:rsidRDefault="00F1052A" w:rsidP="00F1052A">
            <w:pPr>
              <w:spacing w:line="240" w:lineRule="auto"/>
              <w:jc w:val="center"/>
            </w:pPr>
            <w:r w:rsidRPr="00362CF5">
              <w:rPr>
                <w:color w:val="000000"/>
                <w:sz w:val="20"/>
                <w:szCs w:val="20"/>
              </w:rPr>
              <w:t>488</w:t>
            </w:r>
          </w:p>
        </w:tc>
        <w:tc>
          <w:tcPr>
            <w:tcW w:w="2353" w:type="dxa"/>
            <w:gridSpan w:val="2"/>
            <w:shd w:val="clear" w:color="auto" w:fill="FFFFFF"/>
            <w:tcMar>
              <w:top w:w="0" w:type="dxa"/>
              <w:left w:w="115" w:type="dxa"/>
              <w:bottom w:w="0" w:type="dxa"/>
              <w:right w:w="115" w:type="dxa"/>
            </w:tcMar>
            <w:vAlign w:val="center"/>
          </w:tcPr>
          <w:p w14:paraId="7C1BCBA8" w14:textId="77777777" w:rsidR="00F1052A" w:rsidRPr="00362CF5" w:rsidRDefault="00F1052A" w:rsidP="00F1052A">
            <w:pPr>
              <w:spacing w:line="240" w:lineRule="auto"/>
              <w:jc w:val="center"/>
            </w:pPr>
            <w:r w:rsidRPr="00362CF5">
              <w:rPr>
                <w:color w:val="000000"/>
                <w:sz w:val="20"/>
                <w:szCs w:val="20"/>
              </w:rPr>
              <w:t>81.4 (77.1-85.1)</w:t>
            </w:r>
          </w:p>
        </w:tc>
      </w:tr>
      <w:tr w:rsidR="00F1052A" w:rsidRPr="00362CF5" w14:paraId="08C38776"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0E310D19" w14:textId="77777777" w:rsidR="00F1052A" w:rsidRPr="00D00AC7" w:rsidRDefault="00F1052A" w:rsidP="00F1052A">
            <w:pPr>
              <w:spacing w:line="240" w:lineRule="auto"/>
              <w:ind w:left="142" w:firstLine="27"/>
              <w:rPr>
                <w:color w:val="000000"/>
                <w:sz w:val="20"/>
                <w:szCs w:val="20"/>
              </w:rPr>
            </w:pPr>
            <w:r w:rsidRPr="00362CF5">
              <w:rPr>
                <w:color w:val="000000"/>
                <w:sz w:val="20"/>
                <w:szCs w:val="20"/>
              </w:rPr>
              <w:t>&lt; 1 year</w:t>
            </w:r>
          </w:p>
        </w:tc>
        <w:tc>
          <w:tcPr>
            <w:tcW w:w="1803" w:type="dxa"/>
            <w:gridSpan w:val="2"/>
            <w:shd w:val="clear" w:color="auto" w:fill="FFFFFF"/>
            <w:tcMar>
              <w:top w:w="0" w:type="dxa"/>
              <w:left w:w="115" w:type="dxa"/>
              <w:bottom w:w="0" w:type="dxa"/>
              <w:right w:w="115" w:type="dxa"/>
            </w:tcMar>
            <w:vAlign w:val="center"/>
          </w:tcPr>
          <w:p w14:paraId="0AD03D2B" w14:textId="77777777" w:rsidR="00F1052A" w:rsidRPr="00362CF5" w:rsidRDefault="00F1052A" w:rsidP="00F1052A">
            <w:pPr>
              <w:spacing w:line="240" w:lineRule="auto"/>
              <w:jc w:val="center"/>
            </w:pPr>
            <w:r w:rsidRPr="00362CF5">
              <w:rPr>
                <w:color w:val="000000"/>
                <w:sz w:val="20"/>
                <w:szCs w:val="20"/>
              </w:rPr>
              <w:t>115</w:t>
            </w:r>
          </w:p>
        </w:tc>
        <w:tc>
          <w:tcPr>
            <w:tcW w:w="2353" w:type="dxa"/>
            <w:gridSpan w:val="2"/>
            <w:shd w:val="clear" w:color="auto" w:fill="FFFFFF"/>
            <w:tcMar>
              <w:top w:w="0" w:type="dxa"/>
              <w:left w:w="115" w:type="dxa"/>
              <w:bottom w:w="0" w:type="dxa"/>
              <w:right w:w="115" w:type="dxa"/>
            </w:tcMar>
            <w:vAlign w:val="center"/>
          </w:tcPr>
          <w:p w14:paraId="71C7603A" w14:textId="77777777" w:rsidR="00F1052A" w:rsidRPr="00362CF5" w:rsidRDefault="00F1052A" w:rsidP="00F1052A">
            <w:pPr>
              <w:spacing w:line="240" w:lineRule="auto"/>
              <w:jc w:val="center"/>
            </w:pPr>
            <w:r w:rsidRPr="00362CF5">
              <w:rPr>
                <w:color w:val="000000"/>
                <w:sz w:val="20"/>
                <w:szCs w:val="20"/>
              </w:rPr>
              <w:t>18.6 (14.9-22.9)</w:t>
            </w:r>
          </w:p>
        </w:tc>
      </w:tr>
      <w:tr w:rsidR="00F1052A" w:rsidRPr="00362CF5" w14:paraId="6EE2DD95"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50306D0B" w14:textId="77777777" w:rsidR="00F1052A" w:rsidRPr="00362CF5" w:rsidRDefault="00F1052A" w:rsidP="00F1052A">
            <w:pPr>
              <w:spacing w:line="240" w:lineRule="auto"/>
              <w:rPr>
                <w:b/>
                <w:bCs/>
                <w:color w:val="000000"/>
                <w:sz w:val="20"/>
                <w:szCs w:val="20"/>
              </w:rPr>
            </w:pPr>
            <w:r w:rsidRPr="00362CF5">
              <w:rPr>
                <w:b/>
                <w:bCs/>
                <w:color w:val="000000"/>
                <w:sz w:val="20"/>
                <w:szCs w:val="20"/>
              </w:rPr>
              <w:t>Access to statin</w:t>
            </w:r>
          </w:p>
        </w:tc>
        <w:tc>
          <w:tcPr>
            <w:tcW w:w="1803" w:type="dxa"/>
            <w:gridSpan w:val="2"/>
            <w:shd w:val="clear" w:color="auto" w:fill="FFFFFF"/>
            <w:tcMar>
              <w:top w:w="0" w:type="dxa"/>
              <w:left w:w="115" w:type="dxa"/>
              <w:bottom w:w="0" w:type="dxa"/>
              <w:right w:w="115" w:type="dxa"/>
            </w:tcMar>
            <w:vAlign w:val="center"/>
          </w:tcPr>
          <w:p w14:paraId="6CD41B28" w14:textId="77777777" w:rsidR="00F1052A" w:rsidRPr="00362CF5" w:rsidRDefault="00F1052A" w:rsidP="00F1052A">
            <w:pPr>
              <w:spacing w:line="240" w:lineRule="auto"/>
              <w:jc w:val="center"/>
            </w:pPr>
          </w:p>
        </w:tc>
        <w:tc>
          <w:tcPr>
            <w:tcW w:w="2353" w:type="dxa"/>
            <w:gridSpan w:val="2"/>
            <w:shd w:val="clear" w:color="auto" w:fill="FFFFFF"/>
            <w:tcMar>
              <w:top w:w="0" w:type="dxa"/>
              <w:left w:w="115" w:type="dxa"/>
              <w:bottom w:w="0" w:type="dxa"/>
              <w:right w:w="115" w:type="dxa"/>
            </w:tcMar>
            <w:vAlign w:val="center"/>
          </w:tcPr>
          <w:p w14:paraId="2022B768" w14:textId="77777777" w:rsidR="00F1052A" w:rsidRPr="00362CF5" w:rsidRDefault="00F1052A" w:rsidP="00F1052A">
            <w:pPr>
              <w:spacing w:line="240" w:lineRule="auto"/>
              <w:jc w:val="center"/>
            </w:pPr>
          </w:p>
        </w:tc>
      </w:tr>
      <w:tr w:rsidR="00F1052A" w:rsidRPr="00362CF5" w14:paraId="7E09714C"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105B7DF1" w14:textId="77777777" w:rsidR="00F1052A" w:rsidRPr="00D00AC7" w:rsidRDefault="00F1052A" w:rsidP="00F1052A">
            <w:pPr>
              <w:spacing w:line="240" w:lineRule="auto"/>
              <w:ind w:left="142" w:firstLine="27"/>
              <w:rPr>
                <w:color w:val="000000"/>
                <w:sz w:val="20"/>
                <w:szCs w:val="20"/>
              </w:rPr>
            </w:pPr>
            <w:r w:rsidRPr="00362CF5">
              <w:rPr>
                <w:color w:val="000000"/>
                <w:sz w:val="20"/>
                <w:szCs w:val="20"/>
              </w:rPr>
              <w:t>SUS Pharmacy (free of charge)</w:t>
            </w:r>
          </w:p>
        </w:tc>
        <w:tc>
          <w:tcPr>
            <w:tcW w:w="1803" w:type="dxa"/>
            <w:gridSpan w:val="2"/>
            <w:shd w:val="clear" w:color="auto" w:fill="FFFFFF"/>
            <w:tcMar>
              <w:top w:w="0" w:type="dxa"/>
              <w:left w:w="115" w:type="dxa"/>
              <w:bottom w:w="0" w:type="dxa"/>
              <w:right w:w="115" w:type="dxa"/>
            </w:tcMar>
            <w:vAlign w:val="center"/>
          </w:tcPr>
          <w:p w14:paraId="20FB2DBE" w14:textId="77777777" w:rsidR="00F1052A" w:rsidRPr="00362CF5" w:rsidRDefault="00F1052A" w:rsidP="00F1052A">
            <w:pPr>
              <w:spacing w:line="240" w:lineRule="auto"/>
              <w:jc w:val="center"/>
            </w:pPr>
            <w:r w:rsidRPr="00362CF5">
              <w:rPr>
                <w:color w:val="000000"/>
                <w:sz w:val="20"/>
                <w:szCs w:val="20"/>
              </w:rPr>
              <w:t>387</w:t>
            </w:r>
          </w:p>
        </w:tc>
        <w:tc>
          <w:tcPr>
            <w:tcW w:w="2353" w:type="dxa"/>
            <w:gridSpan w:val="2"/>
            <w:shd w:val="clear" w:color="auto" w:fill="FFFFFF"/>
            <w:tcMar>
              <w:top w:w="0" w:type="dxa"/>
              <w:left w:w="115" w:type="dxa"/>
              <w:bottom w:w="0" w:type="dxa"/>
              <w:right w:w="115" w:type="dxa"/>
            </w:tcMar>
            <w:vAlign w:val="center"/>
          </w:tcPr>
          <w:p w14:paraId="5F16856C" w14:textId="77777777" w:rsidR="00F1052A" w:rsidRPr="00362CF5" w:rsidRDefault="00F1052A" w:rsidP="00F1052A">
            <w:pPr>
              <w:spacing w:line="240" w:lineRule="auto"/>
              <w:jc w:val="center"/>
            </w:pPr>
            <w:r w:rsidRPr="00362CF5">
              <w:rPr>
                <w:color w:val="000000"/>
                <w:sz w:val="20"/>
                <w:szCs w:val="20"/>
              </w:rPr>
              <w:t>68.1 (59.6-75.5)</w:t>
            </w:r>
          </w:p>
        </w:tc>
      </w:tr>
      <w:tr w:rsidR="00F1052A" w:rsidRPr="00362CF5" w14:paraId="63D94999"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4B4C747C" w14:textId="77777777" w:rsidR="00F1052A" w:rsidRPr="00D00AC7" w:rsidRDefault="00F1052A" w:rsidP="00F1052A">
            <w:pPr>
              <w:spacing w:line="240" w:lineRule="auto"/>
              <w:ind w:left="142" w:firstLine="27"/>
              <w:rPr>
                <w:color w:val="000000"/>
                <w:sz w:val="20"/>
                <w:szCs w:val="20"/>
              </w:rPr>
            </w:pPr>
            <w:r w:rsidRPr="00362CF5">
              <w:rPr>
                <w:color w:val="000000"/>
                <w:sz w:val="20"/>
                <w:szCs w:val="20"/>
              </w:rPr>
              <w:t>Private Pharmacy</w:t>
            </w:r>
          </w:p>
        </w:tc>
        <w:tc>
          <w:tcPr>
            <w:tcW w:w="1803" w:type="dxa"/>
            <w:gridSpan w:val="2"/>
            <w:shd w:val="clear" w:color="auto" w:fill="FFFFFF"/>
            <w:tcMar>
              <w:top w:w="0" w:type="dxa"/>
              <w:left w:w="115" w:type="dxa"/>
              <w:bottom w:w="0" w:type="dxa"/>
              <w:right w:w="115" w:type="dxa"/>
            </w:tcMar>
            <w:vAlign w:val="center"/>
          </w:tcPr>
          <w:p w14:paraId="4F1D86E6" w14:textId="77777777" w:rsidR="00F1052A" w:rsidRPr="00362CF5" w:rsidRDefault="00F1052A" w:rsidP="00F1052A">
            <w:pPr>
              <w:spacing w:line="240" w:lineRule="auto"/>
              <w:jc w:val="center"/>
            </w:pPr>
            <w:r w:rsidRPr="00362CF5">
              <w:rPr>
                <w:color w:val="000000"/>
                <w:sz w:val="20"/>
                <w:szCs w:val="20"/>
              </w:rPr>
              <w:t>111</w:t>
            </w:r>
          </w:p>
        </w:tc>
        <w:tc>
          <w:tcPr>
            <w:tcW w:w="2353" w:type="dxa"/>
            <w:gridSpan w:val="2"/>
            <w:shd w:val="clear" w:color="auto" w:fill="FFFFFF"/>
            <w:tcMar>
              <w:top w:w="0" w:type="dxa"/>
              <w:left w:w="115" w:type="dxa"/>
              <w:bottom w:w="0" w:type="dxa"/>
              <w:right w:w="115" w:type="dxa"/>
            </w:tcMar>
            <w:vAlign w:val="center"/>
          </w:tcPr>
          <w:p w14:paraId="3ACCF4D4" w14:textId="77777777" w:rsidR="00F1052A" w:rsidRPr="00362CF5" w:rsidRDefault="00F1052A" w:rsidP="00F1052A">
            <w:pPr>
              <w:spacing w:line="240" w:lineRule="auto"/>
              <w:jc w:val="center"/>
            </w:pPr>
            <w:r w:rsidRPr="00362CF5">
              <w:rPr>
                <w:color w:val="000000"/>
                <w:sz w:val="20"/>
                <w:szCs w:val="20"/>
              </w:rPr>
              <w:t>16.7 (13.5-20.5)</w:t>
            </w:r>
          </w:p>
        </w:tc>
      </w:tr>
      <w:tr w:rsidR="00F1052A" w:rsidRPr="00362CF5" w14:paraId="3405B7B4"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21E95198" w14:textId="77777777" w:rsidR="00F1052A" w:rsidRPr="00D00AC7" w:rsidRDefault="00F1052A" w:rsidP="00F1052A">
            <w:pPr>
              <w:spacing w:line="240" w:lineRule="auto"/>
              <w:ind w:left="142" w:firstLine="27"/>
              <w:rPr>
                <w:color w:val="000000"/>
                <w:sz w:val="20"/>
                <w:szCs w:val="20"/>
              </w:rPr>
            </w:pPr>
            <w:r w:rsidRPr="00362CF5">
              <w:rPr>
                <w:color w:val="000000"/>
                <w:sz w:val="20"/>
                <w:szCs w:val="20"/>
              </w:rPr>
              <w:t xml:space="preserve">Popular Pharmacy </w:t>
            </w:r>
            <w:r w:rsidRPr="00D00AC7">
              <w:rPr>
                <w:color w:val="000000"/>
                <w:sz w:val="20"/>
                <w:szCs w:val="20"/>
              </w:rPr>
              <w:t>c</w:t>
            </w:r>
            <w:r w:rsidRPr="00362CF5">
              <w:rPr>
                <w:color w:val="000000"/>
                <w:sz w:val="20"/>
                <w:szCs w:val="20"/>
              </w:rPr>
              <w:t xml:space="preserve"> (co-payment)</w:t>
            </w:r>
          </w:p>
        </w:tc>
        <w:tc>
          <w:tcPr>
            <w:tcW w:w="1803" w:type="dxa"/>
            <w:gridSpan w:val="2"/>
            <w:shd w:val="clear" w:color="auto" w:fill="FFFFFF"/>
            <w:tcMar>
              <w:top w:w="0" w:type="dxa"/>
              <w:left w:w="115" w:type="dxa"/>
              <w:bottom w:w="0" w:type="dxa"/>
              <w:right w:w="115" w:type="dxa"/>
            </w:tcMar>
            <w:vAlign w:val="center"/>
          </w:tcPr>
          <w:p w14:paraId="0EEBF3FC" w14:textId="77777777" w:rsidR="00F1052A" w:rsidRPr="00362CF5" w:rsidRDefault="00F1052A" w:rsidP="00F1052A">
            <w:pPr>
              <w:spacing w:line="240" w:lineRule="auto"/>
              <w:jc w:val="center"/>
            </w:pPr>
            <w:r w:rsidRPr="00362CF5">
              <w:rPr>
                <w:color w:val="000000"/>
                <w:sz w:val="20"/>
                <w:szCs w:val="20"/>
              </w:rPr>
              <w:t>95</w:t>
            </w:r>
          </w:p>
        </w:tc>
        <w:tc>
          <w:tcPr>
            <w:tcW w:w="2353" w:type="dxa"/>
            <w:gridSpan w:val="2"/>
            <w:shd w:val="clear" w:color="auto" w:fill="FFFFFF"/>
            <w:tcMar>
              <w:top w:w="0" w:type="dxa"/>
              <w:left w:w="115" w:type="dxa"/>
              <w:bottom w:w="0" w:type="dxa"/>
              <w:right w:w="115" w:type="dxa"/>
            </w:tcMar>
            <w:vAlign w:val="center"/>
          </w:tcPr>
          <w:p w14:paraId="0CFBD421" w14:textId="77777777" w:rsidR="00F1052A" w:rsidRPr="00362CF5" w:rsidRDefault="00F1052A" w:rsidP="00F1052A">
            <w:pPr>
              <w:spacing w:line="240" w:lineRule="auto"/>
              <w:jc w:val="center"/>
            </w:pPr>
            <w:r w:rsidRPr="00362CF5">
              <w:rPr>
                <w:color w:val="000000"/>
                <w:sz w:val="20"/>
                <w:szCs w:val="20"/>
              </w:rPr>
              <w:t>13.8 (8.2-22.3)</w:t>
            </w:r>
          </w:p>
        </w:tc>
      </w:tr>
      <w:tr w:rsidR="00F1052A" w:rsidRPr="00362CF5" w14:paraId="5DE2621C"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5A653354" w14:textId="77777777" w:rsidR="00F1052A" w:rsidRPr="00D00AC7" w:rsidRDefault="00F1052A" w:rsidP="00F1052A">
            <w:pPr>
              <w:spacing w:line="240" w:lineRule="auto"/>
              <w:ind w:left="142" w:firstLine="27"/>
              <w:rPr>
                <w:color w:val="000000"/>
                <w:sz w:val="20"/>
                <w:szCs w:val="20"/>
              </w:rPr>
            </w:pPr>
            <w:r w:rsidRPr="00362CF5">
              <w:rPr>
                <w:color w:val="000000"/>
                <w:sz w:val="20"/>
                <w:szCs w:val="20"/>
              </w:rPr>
              <w:t>Other</w:t>
            </w:r>
          </w:p>
        </w:tc>
        <w:tc>
          <w:tcPr>
            <w:tcW w:w="1803" w:type="dxa"/>
            <w:gridSpan w:val="2"/>
            <w:shd w:val="clear" w:color="auto" w:fill="FFFFFF"/>
            <w:tcMar>
              <w:top w:w="0" w:type="dxa"/>
              <w:left w:w="115" w:type="dxa"/>
              <w:bottom w:w="0" w:type="dxa"/>
              <w:right w:w="115" w:type="dxa"/>
            </w:tcMar>
            <w:vAlign w:val="center"/>
          </w:tcPr>
          <w:p w14:paraId="776F0D88" w14:textId="77777777" w:rsidR="00F1052A" w:rsidRPr="00362CF5" w:rsidRDefault="00F1052A" w:rsidP="00F1052A">
            <w:pPr>
              <w:spacing w:line="240" w:lineRule="auto"/>
              <w:jc w:val="center"/>
            </w:pPr>
            <w:r w:rsidRPr="00362CF5">
              <w:rPr>
                <w:color w:val="000000"/>
                <w:sz w:val="20"/>
                <w:szCs w:val="20"/>
              </w:rPr>
              <w:t>10</w:t>
            </w:r>
          </w:p>
        </w:tc>
        <w:tc>
          <w:tcPr>
            <w:tcW w:w="2353" w:type="dxa"/>
            <w:gridSpan w:val="2"/>
            <w:shd w:val="clear" w:color="auto" w:fill="FFFFFF"/>
            <w:tcMar>
              <w:top w:w="0" w:type="dxa"/>
              <w:left w:w="115" w:type="dxa"/>
              <w:bottom w:w="0" w:type="dxa"/>
              <w:right w:w="115" w:type="dxa"/>
            </w:tcMar>
            <w:vAlign w:val="center"/>
          </w:tcPr>
          <w:p w14:paraId="7A670972" w14:textId="77777777" w:rsidR="00F1052A" w:rsidRPr="00362CF5" w:rsidRDefault="00F1052A" w:rsidP="00F1052A">
            <w:pPr>
              <w:spacing w:line="240" w:lineRule="auto"/>
              <w:jc w:val="center"/>
            </w:pPr>
            <w:r w:rsidRPr="00362CF5">
              <w:rPr>
                <w:color w:val="000000"/>
                <w:sz w:val="20"/>
                <w:szCs w:val="20"/>
              </w:rPr>
              <w:t>1.5 (0.6-4.6)</w:t>
            </w:r>
          </w:p>
        </w:tc>
      </w:tr>
      <w:tr w:rsidR="00F1052A" w:rsidRPr="00362CF5" w14:paraId="65764CDE"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50DAA436" w14:textId="77777777" w:rsidR="00F1052A" w:rsidRPr="00362CF5" w:rsidRDefault="00F1052A" w:rsidP="00F1052A">
            <w:pPr>
              <w:spacing w:line="240" w:lineRule="auto"/>
              <w:rPr>
                <w:b/>
                <w:bCs/>
                <w:color w:val="000000"/>
                <w:sz w:val="20"/>
                <w:szCs w:val="20"/>
              </w:rPr>
            </w:pPr>
            <w:r w:rsidRPr="00362CF5">
              <w:rPr>
                <w:b/>
                <w:bCs/>
                <w:color w:val="000000"/>
                <w:sz w:val="20"/>
                <w:szCs w:val="20"/>
              </w:rPr>
              <w:t xml:space="preserve">Self-reported of poor adherence </w:t>
            </w:r>
            <w:r w:rsidRPr="00362CF5">
              <w:rPr>
                <w:b/>
                <w:bCs/>
                <w:color w:val="000000"/>
                <w:sz w:val="20"/>
                <w:szCs w:val="20"/>
                <w:vertAlign w:val="superscript"/>
              </w:rPr>
              <w:t>e</w:t>
            </w:r>
            <w:r w:rsidRPr="00362CF5">
              <w:rPr>
                <w:b/>
                <w:bCs/>
                <w:color w:val="000000"/>
                <w:sz w:val="32"/>
                <w:szCs w:val="32"/>
              </w:rPr>
              <w:t xml:space="preserve"> </w:t>
            </w:r>
            <w:r w:rsidRPr="00362CF5">
              <w:rPr>
                <w:color w:val="000000"/>
                <w:sz w:val="20"/>
                <w:szCs w:val="20"/>
              </w:rPr>
              <w:t>(yes)</w:t>
            </w:r>
          </w:p>
        </w:tc>
        <w:tc>
          <w:tcPr>
            <w:tcW w:w="1803" w:type="dxa"/>
            <w:gridSpan w:val="2"/>
            <w:shd w:val="clear" w:color="auto" w:fill="FFFFFF"/>
            <w:tcMar>
              <w:top w:w="0" w:type="dxa"/>
              <w:left w:w="115" w:type="dxa"/>
              <w:bottom w:w="0" w:type="dxa"/>
              <w:right w:w="115" w:type="dxa"/>
            </w:tcMar>
            <w:vAlign w:val="center"/>
          </w:tcPr>
          <w:p w14:paraId="6EDA95DD" w14:textId="77777777" w:rsidR="00F1052A" w:rsidRPr="00362CF5" w:rsidRDefault="00F1052A" w:rsidP="00F1052A">
            <w:pPr>
              <w:spacing w:line="240" w:lineRule="auto"/>
              <w:jc w:val="center"/>
            </w:pPr>
            <w:r w:rsidRPr="00362CF5">
              <w:rPr>
                <w:b/>
                <w:bCs/>
                <w:color w:val="000000"/>
                <w:sz w:val="20"/>
                <w:szCs w:val="20"/>
              </w:rPr>
              <w:t>41</w:t>
            </w:r>
          </w:p>
        </w:tc>
        <w:tc>
          <w:tcPr>
            <w:tcW w:w="2353" w:type="dxa"/>
            <w:gridSpan w:val="2"/>
            <w:shd w:val="clear" w:color="auto" w:fill="FFFFFF"/>
            <w:tcMar>
              <w:top w:w="0" w:type="dxa"/>
              <w:left w:w="115" w:type="dxa"/>
              <w:bottom w:w="0" w:type="dxa"/>
              <w:right w:w="115" w:type="dxa"/>
            </w:tcMar>
            <w:vAlign w:val="center"/>
          </w:tcPr>
          <w:p w14:paraId="52B42EDA" w14:textId="77777777" w:rsidR="00F1052A" w:rsidRPr="00362CF5" w:rsidRDefault="00F1052A" w:rsidP="00F1052A">
            <w:pPr>
              <w:spacing w:line="240" w:lineRule="auto"/>
              <w:jc w:val="center"/>
            </w:pPr>
            <w:r w:rsidRPr="00362CF5">
              <w:rPr>
                <w:b/>
                <w:bCs/>
                <w:color w:val="000000"/>
                <w:sz w:val="20"/>
                <w:szCs w:val="20"/>
              </w:rPr>
              <w:t>6.5 (3.5-12.0)</w:t>
            </w:r>
          </w:p>
        </w:tc>
      </w:tr>
      <w:tr w:rsidR="00F1052A" w:rsidRPr="00362CF5" w14:paraId="6EC359DD"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066FBB2A" w14:textId="77777777" w:rsidR="00F1052A" w:rsidRPr="00D00AC7" w:rsidRDefault="00F1052A" w:rsidP="00F1052A">
            <w:pPr>
              <w:spacing w:line="240" w:lineRule="auto"/>
              <w:ind w:left="142"/>
              <w:rPr>
                <w:b/>
                <w:bCs/>
                <w:i/>
                <w:color w:val="000000"/>
                <w:sz w:val="20"/>
                <w:szCs w:val="20"/>
              </w:rPr>
            </w:pPr>
            <w:r w:rsidRPr="00D00AC7">
              <w:rPr>
                <w:b/>
                <w:bCs/>
                <w:i/>
                <w:color w:val="000000"/>
                <w:sz w:val="20"/>
                <w:szCs w:val="20"/>
              </w:rPr>
              <w:t>Causes of non-adherence</w:t>
            </w:r>
          </w:p>
        </w:tc>
        <w:tc>
          <w:tcPr>
            <w:tcW w:w="1803" w:type="dxa"/>
            <w:gridSpan w:val="2"/>
            <w:shd w:val="clear" w:color="auto" w:fill="FFFFFF"/>
            <w:tcMar>
              <w:top w:w="0" w:type="dxa"/>
              <w:left w:w="115" w:type="dxa"/>
              <w:bottom w:w="0" w:type="dxa"/>
              <w:right w:w="115" w:type="dxa"/>
            </w:tcMar>
            <w:vAlign w:val="center"/>
          </w:tcPr>
          <w:p w14:paraId="076BFDEC" w14:textId="77777777" w:rsidR="00F1052A" w:rsidRPr="00362CF5" w:rsidRDefault="00F1052A" w:rsidP="00F1052A">
            <w:pPr>
              <w:spacing w:line="240" w:lineRule="auto"/>
              <w:jc w:val="center"/>
              <w:rPr>
                <w:b/>
                <w:bCs/>
                <w:color w:val="000000"/>
                <w:sz w:val="20"/>
                <w:szCs w:val="20"/>
              </w:rPr>
            </w:pPr>
          </w:p>
        </w:tc>
        <w:tc>
          <w:tcPr>
            <w:tcW w:w="2353" w:type="dxa"/>
            <w:gridSpan w:val="2"/>
            <w:shd w:val="clear" w:color="auto" w:fill="FFFFFF"/>
            <w:tcMar>
              <w:top w:w="0" w:type="dxa"/>
              <w:left w:w="115" w:type="dxa"/>
              <w:bottom w:w="0" w:type="dxa"/>
              <w:right w:w="115" w:type="dxa"/>
            </w:tcMar>
            <w:vAlign w:val="center"/>
          </w:tcPr>
          <w:p w14:paraId="54F8FB09" w14:textId="77777777" w:rsidR="00F1052A" w:rsidRPr="00362CF5" w:rsidRDefault="00F1052A" w:rsidP="00F1052A">
            <w:pPr>
              <w:spacing w:line="240" w:lineRule="auto"/>
              <w:jc w:val="center"/>
              <w:rPr>
                <w:b/>
                <w:bCs/>
                <w:color w:val="000000"/>
                <w:sz w:val="20"/>
                <w:szCs w:val="20"/>
              </w:rPr>
            </w:pPr>
          </w:p>
        </w:tc>
      </w:tr>
      <w:tr w:rsidR="00F1052A" w:rsidRPr="00362CF5" w14:paraId="42B420F8"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575B6C12" w14:textId="77777777" w:rsidR="00F1052A" w:rsidRPr="00D00AC7" w:rsidRDefault="00F1052A" w:rsidP="00F1052A">
            <w:pPr>
              <w:spacing w:line="240" w:lineRule="auto"/>
              <w:ind w:left="284" w:firstLine="27"/>
              <w:rPr>
                <w:color w:val="000000"/>
                <w:sz w:val="20"/>
                <w:szCs w:val="20"/>
              </w:rPr>
            </w:pPr>
            <w:r w:rsidRPr="00362CF5">
              <w:rPr>
                <w:color w:val="000000"/>
                <w:sz w:val="20"/>
                <w:szCs w:val="20"/>
              </w:rPr>
              <w:t>Decision not to take the medicine</w:t>
            </w:r>
          </w:p>
        </w:tc>
        <w:tc>
          <w:tcPr>
            <w:tcW w:w="1803" w:type="dxa"/>
            <w:gridSpan w:val="2"/>
            <w:shd w:val="clear" w:color="auto" w:fill="FFFFFF"/>
            <w:tcMar>
              <w:top w:w="0" w:type="dxa"/>
              <w:left w:w="115" w:type="dxa"/>
              <w:bottom w:w="0" w:type="dxa"/>
              <w:right w:w="115" w:type="dxa"/>
            </w:tcMar>
            <w:vAlign w:val="center"/>
          </w:tcPr>
          <w:p w14:paraId="694DC0E2" w14:textId="77777777" w:rsidR="00F1052A" w:rsidRPr="00362CF5" w:rsidRDefault="00F1052A" w:rsidP="00F1052A">
            <w:pPr>
              <w:spacing w:line="240" w:lineRule="auto"/>
              <w:jc w:val="center"/>
              <w:rPr>
                <w:b/>
                <w:bCs/>
                <w:color w:val="000000"/>
                <w:sz w:val="20"/>
                <w:szCs w:val="20"/>
              </w:rPr>
            </w:pPr>
            <w:r w:rsidRPr="00362CF5">
              <w:rPr>
                <w:color w:val="000000"/>
                <w:sz w:val="20"/>
                <w:szCs w:val="20"/>
              </w:rPr>
              <w:t>8</w:t>
            </w:r>
          </w:p>
        </w:tc>
        <w:tc>
          <w:tcPr>
            <w:tcW w:w="2353" w:type="dxa"/>
            <w:gridSpan w:val="2"/>
            <w:shd w:val="clear" w:color="auto" w:fill="FFFFFF"/>
            <w:tcMar>
              <w:top w:w="0" w:type="dxa"/>
              <w:left w:w="115" w:type="dxa"/>
              <w:bottom w:w="0" w:type="dxa"/>
              <w:right w:w="115" w:type="dxa"/>
            </w:tcMar>
            <w:vAlign w:val="center"/>
          </w:tcPr>
          <w:p w14:paraId="66ED8FD7" w14:textId="77777777" w:rsidR="00F1052A" w:rsidRPr="00362CF5" w:rsidRDefault="00F1052A" w:rsidP="00F1052A">
            <w:pPr>
              <w:spacing w:line="240" w:lineRule="auto"/>
              <w:jc w:val="center"/>
              <w:rPr>
                <w:b/>
                <w:bCs/>
                <w:color w:val="000000"/>
                <w:sz w:val="20"/>
                <w:szCs w:val="20"/>
              </w:rPr>
            </w:pPr>
            <w:r w:rsidRPr="00362CF5">
              <w:rPr>
                <w:color w:val="000000"/>
                <w:sz w:val="20"/>
                <w:szCs w:val="20"/>
              </w:rPr>
              <w:t xml:space="preserve">30.7 </w:t>
            </w:r>
            <w:proofErr w:type="gramStart"/>
            <w:r w:rsidRPr="00362CF5">
              <w:rPr>
                <w:color w:val="000000"/>
                <w:sz w:val="20"/>
                <w:szCs w:val="20"/>
              </w:rPr>
              <w:t>( 18.6</w:t>
            </w:r>
            <w:proofErr w:type="gramEnd"/>
            <w:r w:rsidRPr="00362CF5">
              <w:rPr>
                <w:color w:val="000000"/>
                <w:sz w:val="20"/>
                <w:szCs w:val="20"/>
              </w:rPr>
              <w:t>-46.1)</w:t>
            </w:r>
          </w:p>
        </w:tc>
      </w:tr>
      <w:tr w:rsidR="00F1052A" w:rsidRPr="00362CF5" w14:paraId="79845A45"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13619939" w14:textId="77777777" w:rsidR="00F1052A" w:rsidRPr="00D00AC7" w:rsidRDefault="00F1052A" w:rsidP="00F1052A">
            <w:pPr>
              <w:spacing w:line="240" w:lineRule="auto"/>
              <w:ind w:left="284" w:firstLine="27"/>
              <w:rPr>
                <w:color w:val="000000"/>
                <w:sz w:val="20"/>
                <w:szCs w:val="20"/>
              </w:rPr>
            </w:pPr>
            <w:r w:rsidRPr="00362CF5">
              <w:rPr>
                <w:color w:val="000000"/>
                <w:sz w:val="20"/>
                <w:szCs w:val="20"/>
              </w:rPr>
              <w:t>Forgotten dose</w:t>
            </w:r>
          </w:p>
        </w:tc>
        <w:tc>
          <w:tcPr>
            <w:tcW w:w="1803" w:type="dxa"/>
            <w:gridSpan w:val="2"/>
            <w:shd w:val="clear" w:color="auto" w:fill="FFFFFF"/>
            <w:tcMar>
              <w:top w:w="0" w:type="dxa"/>
              <w:left w:w="115" w:type="dxa"/>
              <w:bottom w:w="0" w:type="dxa"/>
              <w:right w:w="115" w:type="dxa"/>
            </w:tcMar>
            <w:vAlign w:val="center"/>
          </w:tcPr>
          <w:p w14:paraId="223FCBFE" w14:textId="77777777" w:rsidR="00F1052A" w:rsidRPr="00362CF5" w:rsidRDefault="00F1052A" w:rsidP="00F1052A">
            <w:pPr>
              <w:spacing w:line="240" w:lineRule="auto"/>
              <w:jc w:val="center"/>
              <w:rPr>
                <w:b/>
                <w:bCs/>
                <w:color w:val="000000"/>
                <w:sz w:val="20"/>
                <w:szCs w:val="20"/>
              </w:rPr>
            </w:pPr>
            <w:r w:rsidRPr="00362CF5">
              <w:rPr>
                <w:color w:val="000000"/>
                <w:sz w:val="20"/>
                <w:szCs w:val="20"/>
              </w:rPr>
              <w:t>9</w:t>
            </w:r>
          </w:p>
        </w:tc>
        <w:tc>
          <w:tcPr>
            <w:tcW w:w="2353" w:type="dxa"/>
            <w:gridSpan w:val="2"/>
            <w:shd w:val="clear" w:color="auto" w:fill="FFFFFF"/>
            <w:tcMar>
              <w:top w:w="0" w:type="dxa"/>
              <w:left w:w="115" w:type="dxa"/>
              <w:bottom w:w="0" w:type="dxa"/>
              <w:right w:w="115" w:type="dxa"/>
            </w:tcMar>
            <w:vAlign w:val="center"/>
          </w:tcPr>
          <w:p w14:paraId="0481902A" w14:textId="77777777" w:rsidR="00F1052A" w:rsidRPr="00362CF5" w:rsidRDefault="00F1052A" w:rsidP="00F1052A">
            <w:pPr>
              <w:spacing w:line="240" w:lineRule="auto"/>
              <w:jc w:val="center"/>
              <w:rPr>
                <w:b/>
                <w:bCs/>
                <w:color w:val="000000"/>
                <w:sz w:val="20"/>
                <w:szCs w:val="20"/>
              </w:rPr>
            </w:pPr>
            <w:r w:rsidRPr="00362CF5">
              <w:rPr>
                <w:color w:val="000000"/>
                <w:sz w:val="20"/>
                <w:szCs w:val="20"/>
              </w:rPr>
              <w:t>24.1 (12.3-41.9)</w:t>
            </w:r>
          </w:p>
        </w:tc>
      </w:tr>
      <w:tr w:rsidR="00F1052A" w:rsidRPr="00362CF5" w14:paraId="6347C901"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6588000D" w14:textId="77777777" w:rsidR="00F1052A" w:rsidRPr="00D00AC7" w:rsidRDefault="00F1052A" w:rsidP="00F1052A">
            <w:pPr>
              <w:spacing w:line="240" w:lineRule="auto"/>
              <w:ind w:left="284" w:firstLine="27"/>
              <w:rPr>
                <w:color w:val="000000"/>
                <w:sz w:val="20"/>
                <w:szCs w:val="20"/>
              </w:rPr>
            </w:pPr>
            <w:r w:rsidRPr="00362CF5">
              <w:rPr>
                <w:color w:val="000000"/>
                <w:sz w:val="20"/>
                <w:szCs w:val="20"/>
              </w:rPr>
              <w:t xml:space="preserve">Lack of drug access </w:t>
            </w:r>
            <w:r w:rsidRPr="00D00AC7">
              <w:rPr>
                <w:color w:val="000000"/>
                <w:sz w:val="20"/>
                <w:szCs w:val="20"/>
              </w:rPr>
              <w:t>f</w:t>
            </w:r>
          </w:p>
        </w:tc>
        <w:tc>
          <w:tcPr>
            <w:tcW w:w="1803" w:type="dxa"/>
            <w:gridSpan w:val="2"/>
            <w:shd w:val="clear" w:color="auto" w:fill="FFFFFF"/>
            <w:tcMar>
              <w:top w:w="0" w:type="dxa"/>
              <w:left w:w="115" w:type="dxa"/>
              <w:bottom w:w="0" w:type="dxa"/>
              <w:right w:w="115" w:type="dxa"/>
            </w:tcMar>
            <w:vAlign w:val="center"/>
          </w:tcPr>
          <w:p w14:paraId="2D76DDA6" w14:textId="77777777" w:rsidR="00F1052A" w:rsidRPr="00362CF5" w:rsidRDefault="00F1052A" w:rsidP="00F1052A">
            <w:pPr>
              <w:spacing w:line="240" w:lineRule="auto"/>
              <w:jc w:val="center"/>
              <w:rPr>
                <w:b/>
                <w:bCs/>
                <w:color w:val="000000"/>
                <w:sz w:val="20"/>
                <w:szCs w:val="20"/>
              </w:rPr>
            </w:pPr>
            <w:r w:rsidRPr="00362CF5">
              <w:rPr>
                <w:color w:val="000000"/>
                <w:sz w:val="20"/>
                <w:szCs w:val="20"/>
              </w:rPr>
              <w:t>15</w:t>
            </w:r>
          </w:p>
        </w:tc>
        <w:tc>
          <w:tcPr>
            <w:tcW w:w="2353" w:type="dxa"/>
            <w:gridSpan w:val="2"/>
            <w:shd w:val="clear" w:color="auto" w:fill="FFFFFF"/>
            <w:tcMar>
              <w:top w:w="0" w:type="dxa"/>
              <w:left w:w="115" w:type="dxa"/>
              <w:bottom w:w="0" w:type="dxa"/>
              <w:right w:w="115" w:type="dxa"/>
            </w:tcMar>
            <w:vAlign w:val="center"/>
          </w:tcPr>
          <w:p w14:paraId="4421E480" w14:textId="77777777" w:rsidR="00F1052A" w:rsidRPr="00362CF5" w:rsidRDefault="00F1052A" w:rsidP="00F1052A">
            <w:pPr>
              <w:spacing w:line="240" w:lineRule="auto"/>
              <w:jc w:val="center"/>
              <w:rPr>
                <w:b/>
                <w:bCs/>
                <w:color w:val="000000"/>
                <w:sz w:val="20"/>
                <w:szCs w:val="20"/>
              </w:rPr>
            </w:pPr>
            <w:r w:rsidRPr="00362CF5">
              <w:rPr>
                <w:color w:val="000000"/>
                <w:sz w:val="20"/>
                <w:szCs w:val="20"/>
              </w:rPr>
              <w:t>23.5 (13.5-37.5)</w:t>
            </w:r>
          </w:p>
        </w:tc>
      </w:tr>
      <w:tr w:rsidR="00F1052A" w:rsidRPr="00362CF5" w14:paraId="47ED2586" w14:textId="77777777" w:rsidTr="00F1052A">
        <w:trPr>
          <w:gridAfter w:val="1"/>
          <w:wAfter w:w="115" w:type="dxa"/>
          <w:trHeight w:val="300"/>
        </w:trPr>
        <w:tc>
          <w:tcPr>
            <w:tcW w:w="4573" w:type="dxa"/>
            <w:gridSpan w:val="2"/>
            <w:tcMar>
              <w:top w:w="0" w:type="dxa"/>
              <w:left w:w="115" w:type="dxa"/>
              <w:bottom w:w="0" w:type="dxa"/>
              <w:right w:w="115" w:type="dxa"/>
            </w:tcMar>
            <w:vAlign w:val="bottom"/>
          </w:tcPr>
          <w:p w14:paraId="53F728A4" w14:textId="77777777" w:rsidR="00F1052A" w:rsidRPr="00D00AC7" w:rsidRDefault="00F1052A" w:rsidP="00F1052A">
            <w:pPr>
              <w:spacing w:line="240" w:lineRule="auto"/>
              <w:ind w:left="284" w:firstLine="27"/>
              <w:rPr>
                <w:color w:val="000000"/>
                <w:sz w:val="20"/>
                <w:szCs w:val="20"/>
              </w:rPr>
            </w:pPr>
            <w:r w:rsidRPr="00362CF5">
              <w:rPr>
                <w:color w:val="000000"/>
                <w:sz w:val="20"/>
                <w:szCs w:val="20"/>
              </w:rPr>
              <w:t>Adverse events</w:t>
            </w:r>
          </w:p>
        </w:tc>
        <w:tc>
          <w:tcPr>
            <w:tcW w:w="1803" w:type="dxa"/>
            <w:gridSpan w:val="2"/>
            <w:shd w:val="clear" w:color="auto" w:fill="FFFFFF"/>
            <w:tcMar>
              <w:top w:w="0" w:type="dxa"/>
              <w:left w:w="115" w:type="dxa"/>
              <w:bottom w:w="0" w:type="dxa"/>
              <w:right w:w="115" w:type="dxa"/>
            </w:tcMar>
            <w:vAlign w:val="center"/>
          </w:tcPr>
          <w:p w14:paraId="4BDF1064" w14:textId="77777777" w:rsidR="00F1052A" w:rsidRPr="00362CF5" w:rsidRDefault="00F1052A" w:rsidP="00F1052A">
            <w:pPr>
              <w:spacing w:line="240" w:lineRule="auto"/>
              <w:jc w:val="center"/>
              <w:rPr>
                <w:b/>
                <w:bCs/>
                <w:color w:val="000000"/>
                <w:sz w:val="20"/>
                <w:szCs w:val="20"/>
              </w:rPr>
            </w:pPr>
            <w:r w:rsidRPr="00362CF5">
              <w:rPr>
                <w:color w:val="000000"/>
                <w:sz w:val="20"/>
                <w:szCs w:val="20"/>
              </w:rPr>
              <w:t>4</w:t>
            </w:r>
          </w:p>
        </w:tc>
        <w:tc>
          <w:tcPr>
            <w:tcW w:w="2353" w:type="dxa"/>
            <w:gridSpan w:val="2"/>
            <w:shd w:val="clear" w:color="auto" w:fill="FFFFFF"/>
            <w:tcMar>
              <w:top w:w="0" w:type="dxa"/>
              <w:left w:w="115" w:type="dxa"/>
              <w:bottom w:w="0" w:type="dxa"/>
              <w:right w:w="115" w:type="dxa"/>
            </w:tcMar>
            <w:vAlign w:val="center"/>
          </w:tcPr>
          <w:p w14:paraId="4784ACFC" w14:textId="77777777" w:rsidR="00F1052A" w:rsidRPr="00362CF5" w:rsidRDefault="00F1052A" w:rsidP="00F1052A">
            <w:pPr>
              <w:spacing w:line="240" w:lineRule="auto"/>
              <w:jc w:val="center"/>
              <w:rPr>
                <w:b/>
                <w:bCs/>
                <w:color w:val="000000"/>
                <w:sz w:val="20"/>
                <w:szCs w:val="20"/>
              </w:rPr>
            </w:pPr>
            <w:r w:rsidRPr="00362CF5">
              <w:rPr>
                <w:color w:val="000000"/>
                <w:sz w:val="20"/>
                <w:szCs w:val="20"/>
              </w:rPr>
              <w:t>10.6 (2.9-31.7)</w:t>
            </w:r>
          </w:p>
        </w:tc>
      </w:tr>
      <w:tr w:rsidR="00F1052A" w:rsidRPr="00362CF5" w14:paraId="15C8072D" w14:textId="77777777" w:rsidTr="00F1052A">
        <w:trPr>
          <w:gridAfter w:val="1"/>
          <w:wAfter w:w="115" w:type="dxa"/>
          <w:trHeight w:val="300"/>
        </w:trPr>
        <w:tc>
          <w:tcPr>
            <w:tcW w:w="4573" w:type="dxa"/>
            <w:gridSpan w:val="2"/>
            <w:tcBorders>
              <w:bottom w:val="single" w:sz="4" w:space="0" w:color="auto"/>
            </w:tcBorders>
            <w:tcMar>
              <w:top w:w="0" w:type="dxa"/>
              <w:left w:w="115" w:type="dxa"/>
              <w:bottom w:w="0" w:type="dxa"/>
              <w:right w:w="115" w:type="dxa"/>
            </w:tcMar>
            <w:vAlign w:val="bottom"/>
          </w:tcPr>
          <w:p w14:paraId="6FC567AF" w14:textId="77777777" w:rsidR="00F1052A" w:rsidRPr="00D00AC7" w:rsidRDefault="00F1052A" w:rsidP="00F1052A">
            <w:pPr>
              <w:spacing w:line="240" w:lineRule="auto"/>
              <w:ind w:left="284" w:firstLine="27"/>
              <w:rPr>
                <w:color w:val="000000"/>
                <w:sz w:val="20"/>
                <w:szCs w:val="20"/>
              </w:rPr>
            </w:pPr>
            <w:r w:rsidRPr="00362CF5">
              <w:rPr>
                <w:color w:val="000000"/>
                <w:sz w:val="20"/>
                <w:szCs w:val="20"/>
              </w:rPr>
              <w:t>Other</w:t>
            </w:r>
          </w:p>
        </w:tc>
        <w:tc>
          <w:tcPr>
            <w:tcW w:w="1803" w:type="dxa"/>
            <w:gridSpan w:val="2"/>
            <w:tcBorders>
              <w:bottom w:val="single" w:sz="4" w:space="0" w:color="auto"/>
            </w:tcBorders>
            <w:shd w:val="clear" w:color="auto" w:fill="FFFFFF"/>
            <w:tcMar>
              <w:top w:w="0" w:type="dxa"/>
              <w:left w:w="115" w:type="dxa"/>
              <w:bottom w:w="0" w:type="dxa"/>
              <w:right w:w="115" w:type="dxa"/>
            </w:tcMar>
            <w:vAlign w:val="center"/>
          </w:tcPr>
          <w:p w14:paraId="032794E5" w14:textId="77777777" w:rsidR="00F1052A" w:rsidRPr="00362CF5" w:rsidRDefault="00F1052A" w:rsidP="00F1052A">
            <w:pPr>
              <w:spacing w:line="240" w:lineRule="auto"/>
              <w:jc w:val="center"/>
              <w:rPr>
                <w:b/>
                <w:bCs/>
                <w:color w:val="000000"/>
                <w:sz w:val="20"/>
                <w:szCs w:val="20"/>
              </w:rPr>
            </w:pPr>
            <w:r w:rsidRPr="00362CF5">
              <w:rPr>
                <w:color w:val="000000"/>
                <w:sz w:val="20"/>
                <w:szCs w:val="20"/>
              </w:rPr>
              <w:t>5</w:t>
            </w:r>
          </w:p>
        </w:tc>
        <w:tc>
          <w:tcPr>
            <w:tcW w:w="2353" w:type="dxa"/>
            <w:gridSpan w:val="2"/>
            <w:tcBorders>
              <w:bottom w:val="single" w:sz="4" w:space="0" w:color="auto"/>
            </w:tcBorders>
            <w:shd w:val="clear" w:color="auto" w:fill="FFFFFF"/>
            <w:tcMar>
              <w:top w:w="0" w:type="dxa"/>
              <w:left w:w="115" w:type="dxa"/>
              <w:bottom w:w="0" w:type="dxa"/>
              <w:right w:w="115" w:type="dxa"/>
            </w:tcMar>
            <w:vAlign w:val="center"/>
          </w:tcPr>
          <w:p w14:paraId="2087D376" w14:textId="77777777" w:rsidR="00F1052A" w:rsidRPr="00362CF5" w:rsidRDefault="00F1052A" w:rsidP="00F1052A">
            <w:pPr>
              <w:spacing w:line="240" w:lineRule="auto"/>
              <w:jc w:val="center"/>
              <w:rPr>
                <w:b/>
                <w:bCs/>
                <w:color w:val="000000"/>
                <w:sz w:val="20"/>
                <w:szCs w:val="20"/>
              </w:rPr>
            </w:pPr>
            <w:r w:rsidRPr="00362CF5">
              <w:rPr>
                <w:color w:val="000000"/>
                <w:sz w:val="20"/>
                <w:szCs w:val="20"/>
              </w:rPr>
              <w:t>11.2 (4.6-24.7)</w:t>
            </w:r>
          </w:p>
        </w:tc>
      </w:tr>
    </w:tbl>
    <w:p w14:paraId="2FF3E9A3" w14:textId="70F4BBA4" w:rsidR="00F1052A" w:rsidRPr="008C62A9" w:rsidRDefault="00F1052A" w:rsidP="008C62A9">
      <w:pPr>
        <w:spacing w:line="240" w:lineRule="auto"/>
        <w:rPr>
          <w:rFonts w:ascii="Arial" w:hAnsi="Arial" w:cs="Arial"/>
        </w:rPr>
      </w:pPr>
      <w:r w:rsidRPr="008C62A9">
        <w:rPr>
          <w:rFonts w:ascii="Arial" w:hAnsi="Arial" w:cs="Arial"/>
          <w:color w:val="000000"/>
          <w:sz w:val="18"/>
          <w:szCs w:val="18"/>
        </w:rPr>
        <w:t xml:space="preserve">NB: </w:t>
      </w:r>
      <w:proofErr w:type="spellStart"/>
      <w:r w:rsidRPr="008C62A9">
        <w:rPr>
          <w:rFonts w:ascii="Arial" w:hAnsi="Arial" w:cs="Arial"/>
          <w:color w:val="000000"/>
          <w:sz w:val="18"/>
          <w:szCs w:val="18"/>
          <w:vertAlign w:val="superscript"/>
        </w:rPr>
        <w:t>a</w:t>
      </w:r>
      <w:r w:rsidRPr="008C62A9">
        <w:rPr>
          <w:rFonts w:ascii="Arial" w:hAnsi="Arial" w:cs="Arial"/>
          <w:color w:val="000000"/>
          <w:sz w:val="18"/>
          <w:szCs w:val="18"/>
        </w:rPr>
        <w:t>Unweighted</w:t>
      </w:r>
      <w:proofErr w:type="spellEnd"/>
      <w:r w:rsidRPr="008C62A9">
        <w:rPr>
          <w:rFonts w:ascii="Arial" w:hAnsi="Arial" w:cs="Arial"/>
          <w:color w:val="000000"/>
          <w:sz w:val="18"/>
          <w:szCs w:val="18"/>
        </w:rPr>
        <w:t xml:space="preserve"> n value;</w:t>
      </w:r>
      <w:r w:rsidR="008C62A9">
        <w:rPr>
          <w:rFonts w:ascii="Arial" w:hAnsi="Arial" w:cs="Arial"/>
          <w:color w:val="000000"/>
          <w:sz w:val="18"/>
          <w:szCs w:val="18"/>
        </w:rPr>
        <w:t xml:space="preserve"> </w:t>
      </w:r>
      <w:proofErr w:type="spellStart"/>
      <w:r w:rsidRPr="008C62A9">
        <w:rPr>
          <w:rFonts w:ascii="Arial" w:hAnsi="Arial" w:cs="Arial"/>
          <w:color w:val="000000"/>
          <w:sz w:val="18"/>
          <w:szCs w:val="18"/>
          <w:vertAlign w:val="superscript"/>
        </w:rPr>
        <w:t>b</w:t>
      </w:r>
      <w:r w:rsidRPr="008C62A9">
        <w:rPr>
          <w:rFonts w:ascii="Arial" w:hAnsi="Arial" w:cs="Arial"/>
          <w:color w:val="000000"/>
          <w:sz w:val="18"/>
          <w:szCs w:val="18"/>
        </w:rPr>
        <w:t>According</w:t>
      </w:r>
      <w:proofErr w:type="spellEnd"/>
      <w:r w:rsidRPr="008C62A9">
        <w:rPr>
          <w:rFonts w:ascii="Arial" w:hAnsi="Arial" w:cs="Arial"/>
          <w:color w:val="000000"/>
          <w:sz w:val="18"/>
          <w:szCs w:val="18"/>
        </w:rPr>
        <w:t xml:space="preserve"> to level five of the Anatomical Therapeutic Chemical (ATC) Classification Index (WHO, 2016)</w:t>
      </w:r>
      <w:r w:rsidR="008C62A9" w:rsidRPr="008C62A9">
        <w:rPr>
          <w:rFonts w:ascii="Arial" w:hAnsi="Arial" w:cs="Arial"/>
          <w:color w:val="000000"/>
          <w:sz w:val="18"/>
          <w:szCs w:val="18"/>
        </w:rPr>
        <w:t>;</w:t>
      </w:r>
      <w:r w:rsidR="008C62A9" w:rsidRPr="008C62A9">
        <w:rPr>
          <w:rFonts w:ascii="Arial" w:hAnsi="Arial" w:cs="Arial"/>
          <w:color w:val="000000"/>
          <w:sz w:val="18"/>
          <w:szCs w:val="18"/>
          <w:vertAlign w:val="superscript"/>
        </w:rPr>
        <w:t xml:space="preserve"> </w:t>
      </w:r>
      <w:r w:rsidRPr="008C62A9">
        <w:rPr>
          <w:rFonts w:ascii="Arial" w:hAnsi="Arial" w:cs="Arial"/>
          <w:color w:val="000000"/>
          <w:sz w:val="18"/>
          <w:szCs w:val="18"/>
          <w:vertAlign w:val="superscript"/>
        </w:rPr>
        <w:t xml:space="preserve">c </w:t>
      </w:r>
      <w:r w:rsidRPr="008C62A9">
        <w:rPr>
          <w:rFonts w:ascii="Arial" w:hAnsi="Arial" w:cs="Arial"/>
          <w:color w:val="000000"/>
          <w:sz w:val="18"/>
          <w:szCs w:val="18"/>
        </w:rPr>
        <w:t>Simvastatin is available in Popular Pharmacy Program network. The Ministry of Health fund up to 90% of the drugs price and the patient pays the difference between the product selling price and the percentage funded by the federal government</w:t>
      </w:r>
      <w:r w:rsidR="008C62A9">
        <w:rPr>
          <w:rFonts w:ascii="Arial" w:hAnsi="Arial" w:cs="Arial"/>
          <w:color w:val="000000"/>
          <w:sz w:val="18"/>
          <w:szCs w:val="18"/>
          <w:vertAlign w:val="superscript"/>
        </w:rPr>
        <w:t xml:space="preserve"> </w:t>
      </w:r>
      <w:proofErr w:type="spellStart"/>
      <w:r w:rsidRPr="008C62A9">
        <w:rPr>
          <w:rFonts w:ascii="Arial" w:hAnsi="Arial" w:cs="Arial"/>
          <w:color w:val="000000"/>
          <w:sz w:val="18"/>
          <w:szCs w:val="18"/>
          <w:vertAlign w:val="superscript"/>
        </w:rPr>
        <w:t>d</w:t>
      </w:r>
      <w:r w:rsidRPr="008C62A9">
        <w:rPr>
          <w:rFonts w:ascii="Arial" w:hAnsi="Arial" w:cs="Arial"/>
          <w:color w:val="000000"/>
          <w:sz w:val="18"/>
          <w:szCs w:val="18"/>
        </w:rPr>
        <w:t>Drug</w:t>
      </w:r>
      <w:proofErr w:type="spellEnd"/>
      <w:r w:rsidRPr="008C62A9">
        <w:rPr>
          <w:rFonts w:ascii="Arial" w:hAnsi="Arial" w:cs="Arial"/>
          <w:color w:val="000000"/>
          <w:sz w:val="18"/>
          <w:szCs w:val="18"/>
        </w:rPr>
        <w:t xml:space="preserve"> not provided by SUS</w:t>
      </w:r>
      <w:r w:rsidR="008C62A9" w:rsidRPr="008C62A9">
        <w:rPr>
          <w:rFonts w:ascii="Arial" w:hAnsi="Arial" w:cs="Arial"/>
          <w:color w:val="000000"/>
          <w:sz w:val="18"/>
          <w:szCs w:val="18"/>
        </w:rPr>
        <w:t xml:space="preserve">; </w:t>
      </w:r>
      <w:proofErr w:type="spellStart"/>
      <w:r w:rsidRPr="008C62A9">
        <w:rPr>
          <w:rFonts w:ascii="Arial" w:hAnsi="Arial" w:cs="Arial"/>
          <w:color w:val="000000"/>
          <w:sz w:val="18"/>
          <w:szCs w:val="18"/>
          <w:vertAlign w:val="superscript"/>
        </w:rPr>
        <w:t>e</w:t>
      </w:r>
      <w:r w:rsidRPr="008C62A9">
        <w:rPr>
          <w:rFonts w:ascii="Arial" w:hAnsi="Arial" w:cs="Arial"/>
          <w:color w:val="000000"/>
          <w:sz w:val="18"/>
          <w:szCs w:val="18"/>
        </w:rPr>
        <w:t>Patients</w:t>
      </w:r>
      <w:proofErr w:type="spellEnd"/>
      <w:r w:rsidRPr="008C62A9">
        <w:rPr>
          <w:rFonts w:ascii="Arial" w:hAnsi="Arial" w:cs="Arial"/>
          <w:color w:val="000000"/>
          <w:sz w:val="18"/>
          <w:szCs w:val="18"/>
        </w:rPr>
        <w:t xml:space="preserve"> reported didn’t take almost one statin dose up to 7 days before the interview</w:t>
      </w:r>
      <w:r w:rsidR="008C62A9" w:rsidRPr="008C62A9">
        <w:rPr>
          <w:rFonts w:ascii="Arial" w:hAnsi="Arial" w:cs="Arial"/>
          <w:color w:val="000000"/>
          <w:sz w:val="18"/>
          <w:szCs w:val="18"/>
        </w:rPr>
        <w:t xml:space="preserve">; </w:t>
      </w:r>
      <w:r w:rsidRPr="008C62A9">
        <w:rPr>
          <w:rFonts w:ascii="Arial" w:hAnsi="Arial" w:cs="Arial"/>
          <w:color w:val="000000"/>
          <w:sz w:val="18"/>
          <w:szCs w:val="18"/>
          <w:vertAlign w:val="superscript"/>
        </w:rPr>
        <w:t>f</w:t>
      </w:r>
      <w:r w:rsidRPr="008C62A9">
        <w:rPr>
          <w:rFonts w:ascii="Arial" w:hAnsi="Arial" w:cs="Arial"/>
          <w:color w:val="000000"/>
          <w:sz w:val="7"/>
          <w:szCs w:val="7"/>
          <w:vertAlign w:val="superscript"/>
        </w:rPr>
        <w:t xml:space="preserve"> </w:t>
      </w:r>
      <w:r w:rsidRPr="008C62A9">
        <w:rPr>
          <w:rFonts w:ascii="Arial" w:hAnsi="Arial" w:cs="Arial"/>
          <w:color w:val="000000"/>
          <w:sz w:val="18"/>
          <w:szCs w:val="18"/>
        </w:rPr>
        <w:t>Patients didn’t have prescription or the statin wasn’t available in SUS Pharmacies.</w:t>
      </w:r>
    </w:p>
    <w:p w14:paraId="36B4B34A" w14:textId="77777777" w:rsidR="00C77BE8" w:rsidRPr="00EC37B0" w:rsidRDefault="00991055" w:rsidP="00EC37B0">
      <w:pPr>
        <w:pStyle w:val="NoSpacing"/>
        <w:rPr>
          <w:rFonts w:ascii="Arial" w:hAnsi="Arial" w:cs="Arial"/>
          <w:sz w:val="20"/>
          <w:szCs w:val="20"/>
        </w:rPr>
      </w:pPr>
      <w:r w:rsidRPr="00EC37B0">
        <w:rPr>
          <w:rFonts w:ascii="Arial" w:hAnsi="Arial" w:cs="Arial"/>
          <w:sz w:val="20"/>
          <w:szCs w:val="20"/>
        </w:rPr>
        <w:tab/>
      </w:r>
    </w:p>
    <w:p w14:paraId="4F52FDED" w14:textId="77777777" w:rsidR="00A52321"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Most statin users (81.4%) reported using statin</w:t>
      </w:r>
      <w:r w:rsidR="00C77BE8" w:rsidRPr="00EC37B0">
        <w:rPr>
          <w:rFonts w:ascii="Arial" w:hAnsi="Arial" w:cs="Arial"/>
          <w:color w:val="000000"/>
          <w:sz w:val="20"/>
          <w:szCs w:val="20"/>
        </w:rPr>
        <w:t>s</w:t>
      </w:r>
      <w:r w:rsidRPr="00EC37B0">
        <w:rPr>
          <w:rFonts w:ascii="Arial" w:hAnsi="Arial" w:cs="Arial"/>
          <w:color w:val="000000"/>
          <w:sz w:val="20"/>
          <w:szCs w:val="20"/>
        </w:rPr>
        <w:t xml:space="preserve"> for at least one year, and 71.0% received information on how to use their medicines during the last dispensing. </w:t>
      </w:r>
    </w:p>
    <w:p w14:paraId="5E71B229" w14:textId="77777777" w:rsidR="00A52321" w:rsidRPr="00EC37B0" w:rsidRDefault="00A52321" w:rsidP="00EC37B0">
      <w:pPr>
        <w:pStyle w:val="NoSpacing"/>
        <w:rPr>
          <w:rFonts w:ascii="Arial" w:hAnsi="Arial" w:cs="Arial"/>
          <w:color w:val="000000"/>
          <w:sz w:val="20"/>
          <w:szCs w:val="20"/>
        </w:rPr>
      </w:pPr>
    </w:p>
    <w:p w14:paraId="3FECB7FB" w14:textId="6452FAF0"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 xml:space="preserve">Losartan was the most co-prescribed medicine with statins (33.2%, n= 200), followed by metformin (22.9% n=138), omeprazole (16.9% n=102), hydrochlorothiazide (14.6% n=88) and enalapril (14.4% n=87). When patients were asked about their statin supply, 68.1% reported getting </w:t>
      </w:r>
      <w:r w:rsidR="00C77BE8" w:rsidRPr="00EC37B0">
        <w:rPr>
          <w:rFonts w:ascii="Arial" w:hAnsi="Arial" w:cs="Arial"/>
          <w:color w:val="000000"/>
          <w:sz w:val="20"/>
          <w:szCs w:val="20"/>
        </w:rPr>
        <w:t>their medicines</w:t>
      </w:r>
      <w:r w:rsidRPr="00EC37B0">
        <w:rPr>
          <w:rFonts w:ascii="Arial" w:hAnsi="Arial" w:cs="Arial"/>
          <w:color w:val="000000"/>
          <w:sz w:val="20"/>
          <w:szCs w:val="20"/>
        </w:rPr>
        <w:t xml:space="preserve"> free of charge; whereas 13.8% reported obtaining them from the Popular Pharmacy Program (10% co-payment).</w:t>
      </w:r>
    </w:p>
    <w:p w14:paraId="447A3B83" w14:textId="77777777" w:rsidR="00C77BE8"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ab/>
      </w:r>
    </w:p>
    <w:p w14:paraId="775AE0C9" w14:textId="5FAAF407"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Poor adherence, defined as missing at least one dose of statin in the seven days prior to the interview, was described by 6.5% of patients. Deciding not to take the statin was indicated as the main reason of non-adherence (30.7%), followed by forgetting doses (24.1%), the lack of access resulting from SUS unavailability (23.5%) and occurrence of adverse events (10.6%).</w:t>
      </w:r>
    </w:p>
    <w:p w14:paraId="2ED68FDA" w14:textId="77777777" w:rsidR="00C77BE8"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ab/>
      </w:r>
    </w:p>
    <w:p w14:paraId="0765D805" w14:textId="6B9D25E0" w:rsidR="009535A4" w:rsidRPr="00EC37B0" w:rsidRDefault="00991055" w:rsidP="00EC37B0">
      <w:pPr>
        <w:pStyle w:val="NoSpacing"/>
        <w:rPr>
          <w:rFonts w:ascii="Arial" w:hAnsi="Arial" w:cs="Arial"/>
          <w:sz w:val="20"/>
          <w:szCs w:val="20"/>
        </w:rPr>
      </w:pPr>
      <w:r w:rsidRPr="00EC37B0">
        <w:rPr>
          <w:rFonts w:ascii="Arial" w:hAnsi="Arial" w:cs="Arial"/>
          <w:color w:val="000000"/>
          <w:sz w:val="20"/>
          <w:szCs w:val="20"/>
        </w:rPr>
        <w:t>The results of the multiple logistic regression model for the predictors of statin use are presented in T</w:t>
      </w:r>
      <w:r w:rsidR="00DD7C0B" w:rsidRPr="00EC37B0">
        <w:rPr>
          <w:rFonts w:ascii="Arial" w:hAnsi="Arial" w:cs="Arial"/>
          <w:color w:val="000000"/>
          <w:sz w:val="20"/>
          <w:szCs w:val="20"/>
        </w:rPr>
        <w:t>able</w:t>
      </w:r>
      <w:r w:rsidRPr="00EC37B0">
        <w:rPr>
          <w:rFonts w:ascii="Arial" w:hAnsi="Arial" w:cs="Arial"/>
          <w:color w:val="000000"/>
          <w:sz w:val="20"/>
          <w:szCs w:val="20"/>
        </w:rPr>
        <w:t xml:space="preserve"> 4. The use of statins was significantly associated with age, with elderly people almost three times more likely to </w:t>
      </w:r>
      <w:r w:rsidR="00EF1EB5" w:rsidRPr="00EC37B0">
        <w:rPr>
          <w:rFonts w:ascii="Arial" w:hAnsi="Arial" w:cs="Arial"/>
          <w:color w:val="000000"/>
          <w:sz w:val="20"/>
          <w:szCs w:val="20"/>
        </w:rPr>
        <w:t>take</w:t>
      </w:r>
      <w:r w:rsidRPr="00EC37B0">
        <w:rPr>
          <w:rFonts w:ascii="Arial" w:hAnsi="Arial" w:cs="Arial"/>
          <w:color w:val="000000"/>
          <w:sz w:val="20"/>
          <w:szCs w:val="20"/>
        </w:rPr>
        <w:t xml:space="preserve"> a statin (OR 2.94, 95%CI 1.72-5.04).  Patients </w:t>
      </w:r>
      <w:r w:rsidRPr="00EC37B0">
        <w:rPr>
          <w:rFonts w:ascii="Arial" w:hAnsi="Arial" w:cs="Arial"/>
          <w:color w:val="000000"/>
          <w:sz w:val="20"/>
          <w:szCs w:val="20"/>
        </w:rPr>
        <w:lastRenderedPageBreak/>
        <w:t xml:space="preserve">with higher education had approximately double the chance </w:t>
      </w:r>
      <w:r w:rsidR="00C77BE8" w:rsidRPr="00EC37B0">
        <w:rPr>
          <w:rFonts w:ascii="Arial" w:hAnsi="Arial" w:cs="Arial"/>
          <w:color w:val="000000"/>
          <w:sz w:val="20"/>
          <w:szCs w:val="20"/>
        </w:rPr>
        <w:t>of taking</w:t>
      </w:r>
      <w:r w:rsidRPr="00EC37B0">
        <w:rPr>
          <w:rFonts w:ascii="Arial" w:hAnsi="Arial" w:cs="Arial"/>
          <w:color w:val="000000"/>
          <w:sz w:val="20"/>
          <w:szCs w:val="20"/>
        </w:rPr>
        <w:t xml:space="preserve"> statins </w:t>
      </w:r>
      <w:r w:rsidR="00C77BE8" w:rsidRPr="00EC37B0">
        <w:rPr>
          <w:rFonts w:ascii="Arial" w:hAnsi="Arial" w:cs="Arial"/>
          <w:color w:val="000000"/>
          <w:sz w:val="20"/>
          <w:szCs w:val="20"/>
        </w:rPr>
        <w:t>versus</w:t>
      </w:r>
      <w:r w:rsidRPr="00EC37B0">
        <w:rPr>
          <w:rFonts w:ascii="Arial" w:hAnsi="Arial" w:cs="Arial"/>
          <w:color w:val="000000"/>
          <w:sz w:val="20"/>
          <w:szCs w:val="20"/>
        </w:rPr>
        <w:t xml:space="preserve"> those who were illiterate/incomplete elementary school (OR 2.24 95%CI 1.25-4.02). Residents of the South (OR 3.55 95%CI 1.84-6.84), Northeast (OR 2.76 95%CI 1.41-5.39) and Southeast regions (OR 2.53 95% CI 1.26-5.08) had greater statin utilisation than those </w:t>
      </w:r>
      <w:r w:rsidR="00EF1EB5" w:rsidRPr="00EC37B0">
        <w:rPr>
          <w:rFonts w:ascii="Arial" w:hAnsi="Arial" w:cs="Arial"/>
          <w:color w:val="000000"/>
          <w:sz w:val="20"/>
          <w:szCs w:val="20"/>
        </w:rPr>
        <w:t>in the</w:t>
      </w:r>
      <w:r w:rsidRPr="00EC37B0">
        <w:rPr>
          <w:rFonts w:ascii="Arial" w:hAnsi="Arial" w:cs="Arial"/>
          <w:color w:val="000000"/>
          <w:sz w:val="20"/>
          <w:szCs w:val="20"/>
        </w:rPr>
        <w:t xml:space="preserve"> North and Midwest regions. People with metabolic disorders, characterized by dyslipidemia and diabetes mellitus, had a 9.78-fold higher chance of </w:t>
      </w:r>
      <w:r w:rsidR="00C77BE8" w:rsidRPr="00EC37B0">
        <w:rPr>
          <w:rFonts w:ascii="Arial" w:hAnsi="Arial" w:cs="Arial"/>
          <w:color w:val="000000"/>
          <w:sz w:val="20"/>
          <w:szCs w:val="20"/>
        </w:rPr>
        <w:t>taking</w:t>
      </w:r>
      <w:r w:rsidRPr="00EC37B0">
        <w:rPr>
          <w:rFonts w:ascii="Arial" w:hAnsi="Arial" w:cs="Arial"/>
          <w:color w:val="000000"/>
          <w:sz w:val="20"/>
          <w:szCs w:val="20"/>
        </w:rPr>
        <w:t xml:space="preserve"> a statin</w:t>
      </w:r>
      <w:r w:rsidR="00EF1EB5" w:rsidRPr="00EC37B0">
        <w:rPr>
          <w:rFonts w:ascii="Arial" w:hAnsi="Arial" w:cs="Arial"/>
          <w:color w:val="000000"/>
          <w:sz w:val="20"/>
          <w:szCs w:val="20"/>
        </w:rPr>
        <w:t>,</w:t>
      </w:r>
      <w:r w:rsidRPr="00EC37B0">
        <w:rPr>
          <w:rFonts w:ascii="Arial" w:hAnsi="Arial" w:cs="Arial"/>
          <w:color w:val="000000"/>
          <w:sz w:val="20"/>
          <w:szCs w:val="20"/>
        </w:rPr>
        <w:t xml:space="preserve"> and patients with heart disease were 1.57 times more likely to be taking a statin. Statins use was associated with the number of </w:t>
      </w:r>
      <w:r w:rsidR="00EF1EB5" w:rsidRPr="00EC37B0">
        <w:rPr>
          <w:rFonts w:ascii="Arial" w:hAnsi="Arial" w:cs="Arial"/>
          <w:color w:val="000000"/>
          <w:sz w:val="20"/>
          <w:szCs w:val="20"/>
        </w:rPr>
        <w:t>medicines</w:t>
      </w:r>
      <w:r w:rsidRPr="00EC37B0">
        <w:rPr>
          <w:rFonts w:ascii="Arial" w:hAnsi="Arial" w:cs="Arial"/>
          <w:color w:val="000000"/>
          <w:sz w:val="20"/>
          <w:szCs w:val="20"/>
        </w:rPr>
        <w:t xml:space="preserve"> </w:t>
      </w:r>
      <w:r w:rsidR="00C77BE8" w:rsidRPr="00EC37B0">
        <w:rPr>
          <w:rFonts w:ascii="Arial" w:hAnsi="Arial" w:cs="Arial"/>
          <w:color w:val="000000"/>
          <w:sz w:val="20"/>
          <w:szCs w:val="20"/>
        </w:rPr>
        <w:t>being taken</w:t>
      </w:r>
      <w:r w:rsidRPr="00EC37B0">
        <w:rPr>
          <w:rFonts w:ascii="Arial" w:hAnsi="Arial" w:cs="Arial"/>
          <w:color w:val="000000"/>
          <w:sz w:val="20"/>
          <w:szCs w:val="20"/>
        </w:rPr>
        <w:t xml:space="preserve">, and the greatest strength association </w:t>
      </w:r>
      <w:r w:rsidR="008A3BD8" w:rsidRPr="00EC37B0">
        <w:rPr>
          <w:rFonts w:ascii="Arial" w:hAnsi="Arial" w:cs="Arial"/>
          <w:color w:val="000000"/>
          <w:sz w:val="20"/>
          <w:szCs w:val="20"/>
        </w:rPr>
        <w:t xml:space="preserve">was </w:t>
      </w:r>
      <w:r w:rsidRPr="00EC37B0">
        <w:rPr>
          <w:rFonts w:ascii="Arial" w:hAnsi="Arial" w:cs="Arial"/>
          <w:color w:val="000000"/>
          <w:sz w:val="20"/>
          <w:szCs w:val="20"/>
        </w:rPr>
        <w:t>with polypharmacy (OR 10.08 95%CI 6.45-15.75). Alcohol consumption above once per month</w:t>
      </w:r>
      <w:r w:rsidR="008A3BD8" w:rsidRPr="00EC37B0">
        <w:rPr>
          <w:rFonts w:ascii="Arial" w:hAnsi="Arial" w:cs="Arial"/>
          <w:color w:val="000000"/>
          <w:sz w:val="20"/>
          <w:szCs w:val="20"/>
        </w:rPr>
        <w:t>,</w:t>
      </w:r>
      <w:r w:rsidRPr="00EC37B0">
        <w:rPr>
          <w:rFonts w:ascii="Arial" w:hAnsi="Arial" w:cs="Arial"/>
          <w:color w:val="000000"/>
          <w:sz w:val="20"/>
          <w:szCs w:val="20"/>
        </w:rPr>
        <w:t xml:space="preserve"> and not having attended emergency services</w:t>
      </w:r>
      <w:r w:rsidR="008A3BD8" w:rsidRPr="00EC37B0">
        <w:rPr>
          <w:rFonts w:ascii="Arial" w:hAnsi="Arial" w:cs="Arial"/>
          <w:color w:val="000000"/>
          <w:sz w:val="20"/>
          <w:szCs w:val="20"/>
        </w:rPr>
        <w:t>,</w:t>
      </w:r>
      <w:r w:rsidRPr="00EC37B0">
        <w:rPr>
          <w:rFonts w:ascii="Arial" w:hAnsi="Arial" w:cs="Arial"/>
          <w:color w:val="000000"/>
          <w:sz w:val="20"/>
          <w:szCs w:val="20"/>
        </w:rPr>
        <w:t xml:space="preserve"> were also associated with statin use (OR 1.41 [95%CI 1.01-1.99%] and OR 1.87 [95%CI 1.29-2.70%], respectively).</w:t>
      </w:r>
      <w:r w:rsidR="00CD31B8" w:rsidRPr="00EC37B0">
        <w:rPr>
          <w:rFonts w:ascii="Arial" w:hAnsi="Arial" w:cs="Arial"/>
          <w:color w:val="000000"/>
          <w:sz w:val="20"/>
          <w:szCs w:val="20"/>
        </w:rPr>
        <w:t xml:space="preserve"> </w:t>
      </w:r>
      <w:r w:rsidR="00CD31B8" w:rsidRPr="00EC37B0">
        <w:rPr>
          <w:rFonts w:ascii="Arial" w:hAnsi="Arial" w:cs="Arial"/>
          <w:color w:val="212121"/>
          <w:sz w:val="20"/>
          <w:szCs w:val="20"/>
        </w:rPr>
        <w:t>There was no statistically significant difference in adherence to statins according to the access: 68.0% (CI95% 59.3-75.6) of adherent patients accessed statins free of charge in SUS pharmacies and 69.8% (CI95% 46.6-86.0) accessed statin in private pharmacies (p-value = 0.864).</w:t>
      </w:r>
    </w:p>
    <w:p w14:paraId="38F5DB02" w14:textId="77777777" w:rsidR="0006716C" w:rsidRPr="00EC37B0" w:rsidRDefault="0006716C" w:rsidP="00EC37B0">
      <w:pPr>
        <w:pStyle w:val="NoSpacing"/>
        <w:rPr>
          <w:rFonts w:ascii="Arial" w:hAnsi="Arial" w:cs="Arial"/>
          <w:sz w:val="20"/>
          <w:szCs w:val="20"/>
        </w:rPr>
      </w:pPr>
    </w:p>
    <w:p w14:paraId="6A37952C" w14:textId="12A88FD3" w:rsidR="008C62A9" w:rsidRDefault="008C62A9" w:rsidP="008C62A9">
      <w:pPr>
        <w:pStyle w:val="NoSpacing"/>
        <w:rPr>
          <w:rFonts w:ascii="Arial" w:hAnsi="Arial" w:cs="Arial"/>
          <w:b/>
          <w:sz w:val="20"/>
          <w:szCs w:val="20"/>
        </w:rPr>
      </w:pPr>
      <w:r w:rsidRPr="008C62A9">
        <w:rPr>
          <w:rFonts w:ascii="Arial" w:hAnsi="Arial" w:cs="Arial"/>
          <w:b/>
          <w:sz w:val="20"/>
          <w:szCs w:val="20"/>
        </w:rPr>
        <w:t>Table 4. Associated factors (</w:t>
      </w:r>
      <w:r w:rsidRPr="008C62A9">
        <w:rPr>
          <w:rFonts w:ascii="Arial" w:hAnsi="Arial" w:cs="Arial"/>
          <w:b/>
          <w:i/>
          <w:iCs/>
          <w:sz w:val="20"/>
          <w:szCs w:val="20"/>
        </w:rPr>
        <w:t>odds ratio</w:t>
      </w:r>
      <w:r w:rsidRPr="008C62A9">
        <w:rPr>
          <w:rFonts w:ascii="Arial" w:hAnsi="Arial" w:cs="Arial"/>
          <w:b/>
          <w:sz w:val="20"/>
          <w:szCs w:val="20"/>
        </w:rPr>
        <w:t>) to statins use in SUS primary health care services patients according to the multiple logistic regression model. National Survey on Access, Use and Promotion of Rational Use of Medicines – Services, 2015</w:t>
      </w:r>
    </w:p>
    <w:p w14:paraId="67A24221" w14:textId="77777777" w:rsidR="008C62A9" w:rsidRPr="008C62A9" w:rsidRDefault="008C62A9" w:rsidP="008C62A9">
      <w:pPr>
        <w:pStyle w:val="NoSpacing"/>
        <w:rPr>
          <w:rFonts w:ascii="Arial" w:hAnsi="Arial" w:cs="Arial"/>
          <w:b/>
          <w:sz w:val="20"/>
          <w:szCs w:val="20"/>
        </w:rPr>
      </w:pPr>
    </w:p>
    <w:tbl>
      <w:tblPr>
        <w:tblW w:w="8755" w:type="dxa"/>
        <w:tblCellMar>
          <w:top w:w="15" w:type="dxa"/>
          <w:left w:w="15" w:type="dxa"/>
          <w:bottom w:w="15" w:type="dxa"/>
          <w:right w:w="15" w:type="dxa"/>
        </w:tblCellMar>
        <w:tblLook w:val="04A0" w:firstRow="1" w:lastRow="0" w:firstColumn="1" w:lastColumn="0" w:noHBand="0" w:noVBand="1"/>
      </w:tblPr>
      <w:tblGrid>
        <w:gridCol w:w="4395"/>
        <w:gridCol w:w="1417"/>
        <w:gridCol w:w="1526"/>
        <w:gridCol w:w="1417"/>
      </w:tblGrid>
      <w:tr w:rsidR="008C62A9" w:rsidRPr="00362CF5" w14:paraId="61FF3413" w14:textId="77777777" w:rsidTr="00481E0D">
        <w:tc>
          <w:tcPr>
            <w:tcW w:w="4395" w:type="dxa"/>
            <w:tcBorders>
              <w:top w:val="single" w:sz="4" w:space="0" w:color="000000"/>
              <w:bottom w:val="single" w:sz="4" w:space="0" w:color="000000"/>
            </w:tcBorders>
            <w:shd w:val="clear" w:color="auto" w:fill="DEEBF6"/>
            <w:tcMar>
              <w:top w:w="0" w:type="dxa"/>
              <w:left w:w="108" w:type="dxa"/>
              <w:bottom w:w="0" w:type="dxa"/>
              <w:right w:w="108" w:type="dxa"/>
            </w:tcMar>
            <w:hideMark/>
          </w:tcPr>
          <w:p w14:paraId="7162A5C7" w14:textId="77777777" w:rsidR="008C62A9" w:rsidRPr="00362CF5" w:rsidRDefault="008C62A9" w:rsidP="00481E0D">
            <w:pPr>
              <w:spacing w:line="240" w:lineRule="auto"/>
              <w:ind w:left="-534"/>
              <w:jc w:val="center"/>
            </w:pPr>
            <w:r w:rsidRPr="00362CF5">
              <w:rPr>
                <w:b/>
                <w:bCs/>
                <w:color w:val="000000"/>
                <w:sz w:val="20"/>
                <w:szCs w:val="20"/>
              </w:rPr>
              <w:t>Variables</w:t>
            </w:r>
          </w:p>
        </w:tc>
        <w:tc>
          <w:tcPr>
            <w:tcW w:w="1417" w:type="dxa"/>
            <w:tcBorders>
              <w:top w:val="single" w:sz="4" w:space="0" w:color="000000"/>
              <w:bottom w:val="single" w:sz="4" w:space="0" w:color="000000"/>
            </w:tcBorders>
            <w:shd w:val="clear" w:color="auto" w:fill="DEEBF6"/>
            <w:tcMar>
              <w:top w:w="0" w:type="dxa"/>
              <w:left w:w="108" w:type="dxa"/>
              <w:bottom w:w="0" w:type="dxa"/>
              <w:right w:w="108" w:type="dxa"/>
            </w:tcMar>
            <w:hideMark/>
          </w:tcPr>
          <w:p w14:paraId="707EB99A" w14:textId="77777777" w:rsidR="008C62A9" w:rsidRPr="00362CF5" w:rsidRDefault="008C62A9" w:rsidP="00481E0D">
            <w:pPr>
              <w:spacing w:line="240" w:lineRule="auto"/>
              <w:jc w:val="center"/>
            </w:pPr>
            <w:r w:rsidRPr="00362CF5">
              <w:rPr>
                <w:b/>
                <w:bCs/>
                <w:color w:val="000000"/>
                <w:sz w:val="20"/>
                <w:szCs w:val="20"/>
              </w:rPr>
              <w:t>OR</w:t>
            </w:r>
          </w:p>
        </w:tc>
        <w:tc>
          <w:tcPr>
            <w:tcW w:w="1526" w:type="dxa"/>
            <w:tcBorders>
              <w:top w:val="single" w:sz="4" w:space="0" w:color="000000"/>
              <w:bottom w:val="single" w:sz="4" w:space="0" w:color="000000"/>
            </w:tcBorders>
            <w:shd w:val="clear" w:color="auto" w:fill="DEEBF6"/>
            <w:tcMar>
              <w:top w:w="0" w:type="dxa"/>
              <w:left w:w="108" w:type="dxa"/>
              <w:bottom w:w="0" w:type="dxa"/>
              <w:right w:w="108" w:type="dxa"/>
            </w:tcMar>
            <w:hideMark/>
          </w:tcPr>
          <w:p w14:paraId="48A341F4" w14:textId="77777777" w:rsidR="008C62A9" w:rsidRPr="00362CF5" w:rsidRDefault="008C62A9" w:rsidP="00481E0D">
            <w:pPr>
              <w:spacing w:line="240" w:lineRule="auto"/>
              <w:jc w:val="center"/>
            </w:pPr>
            <w:r w:rsidRPr="00362CF5">
              <w:rPr>
                <w:b/>
                <w:bCs/>
                <w:color w:val="000000"/>
                <w:sz w:val="20"/>
                <w:szCs w:val="20"/>
              </w:rPr>
              <w:t>CI 95% OR</w:t>
            </w:r>
          </w:p>
        </w:tc>
        <w:tc>
          <w:tcPr>
            <w:tcW w:w="1417" w:type="dxa"/>
            <w:tcBorders>
              <w:top w:val="single" w:sz="4" w:space="0" w:color="000000"/>
              <w:bottom w:val="single" w:sz="4" w:space="0" w:color="000000"/>
            </w:tcBorders>
            <w:shd w:val="clear" w:color="auto" w:fill="DEEBF6"/>
            <w:tcMar>
              <w:top w:w="0" w:type="dxa"/>
              <w:left w:w="108" w:type="dxa"/>
              <w:bottom w:w="0" w:type="dxa"/>
              <w:right w:w="108" w:type="dxa"/>
            </w:tcMar>
            <w:hideMark/>
          </w:tcPr>
          <w:p w14:paraId="3A2614F8" w14:textId="77777777" w:rsidR="008C62A9" w:rsidRPr="00362CF5" w:rsidRDefault="008C62A9" w:rsidP="00481E0D">
            <w:pPr>
              <w:spacing w:line="240" w:lineRule="auto"/>
              <w:jc w:val="center"/>
            </w:pPr>
            <w:r w:rsidRPr="00362CF5">
              <w:rPr>
                <w:b/>
                <w:bCs/>
                <w:color w:val="000000"/>
                <w:sz w:val="20"/>
                <w:szCs w:val="20"/>
              </w:rPr>
              <w:t>p-value</w:t>
            </w:r>
          </w:p>
        </w:tc>
      </w:tr>
      <w:tr w:rsidR="008C62A9" w:rsidRPr="00362CF5" w14:paraId="311EAEEE" w14:textId="77777777" w:rsidTr="00481E0D">
        <w:tc>
          <w:tcPr>
            <w:tcW w:w="4395" w:type="dxa"/>
            <w:tcBorders>
              <w:top w:val="single" w:sz="4" w:space="0" w:color="000000"/>
            </w:tcBorders>
            <w:tcMar>
              <w:top w:w="0" w:type="dxa"/>
              <w:left w:w="108" w:type="dxa"/>
              <w:bottom w:w="0" w:type="dxa"/>
              <w:right w:w="108" w:type="dxa"/>
            </w:tcMar>
            <w:hideMark/>
          </w:tcPr>
          <w:p w14:paraId="167DAFC5" w14:textId="77777777" w:rsidR="008C62A9" w:rsidRPr="00362CF5" w:rsidRDefault="008C62A9" w:rsidP="00481E0D">
            <w:pPr>
              <w:spacing w:line="240" w:lineRule="auto"/>
              <w:rPr>
                <w:sz w:val="20"/>
                <w:szCs w:val="20"/>
              </w:rPr>
            </w:pPr>
            <w:r w:rsidRPr="00362CF5">
              <w:rPr>
                <w:b/>
                <w:bCs/>
                <w:i/>
                <w:iCs/>
                <w:color w:val="000000"/>
                <w:sz w:val="20"/>
                <w:szCs w:val="20"/>
              </w:rPr>
              <w:t xml:space="preserve">Age </w:t>
            </w:r>
            <w:r w:rsidRPr="00362CF5">
              <w:rPr>
                <w:i/>
                <w:iCs/>
                <w:color w:val="000000"/>
                <w:sz w:val="20"/>
                <w:szCs w:val="20"/>
              </w:rPr>
              <w:t>(years)</w:t>
            </w:r>
          </w:p>
        </w:tc>
        <w:tc>
          <w:tcPr>
            <w:tcW w:w="1417" w:type="dxa"/>
            <w:tcBorders>
              <w:top w:val="single" w:sz="4" w:space="0" w:color="000000"/>
            </w:tcBorders>
            <w:tcMar>
              <w:top w:w="0" w:type="dxa"/>
              <w:left w:w="108" w:type="dxa"/>
              <w:bottom w:w="0" w:type="dxa"/>
              <w:right w:w="108" w:type="dxa"/>
            </w:tcMar>
            <w:hideMark/>
          </w:tcPr>
          <w:p w14:paraId="6ECCDD7F" w14:textId="77777777" w:rsidR="008C62A9" w:rsidRPr="00362CF5" w:rsidRDefault="008C62A9" w:rsidP="00481E0D">
            <w:pPr>
              <w:spacing w:line="240" w:lineRule="auto"/>
              <w:rPr>
                <w:sz w:val="20"/>
                <w:szCs w:val="20"/>
              </w:rPr>
            </w:pPr>
          </w:p>
        </w:tc>
        <w:tc>
          <w:tcPr>
            <w:tcW w:w="1526" w:type="dxa"/>
            <w:tcBorders>
              <w:top w:val="single" w:sz="4" w:space="0" w:color="000000"/>
            </w:tcBorders>
            <w:tcMar>
              <w:top w:w="0" w:type="dxa"/>
              <w:left w:w="108" w:type="dxa"/>
              <w:bottom w:w="0" w:type="dxa"/>
              <w:right w:w="108" w:type="dxa"/>
            </w:tcMar>
            <w:hideMark/>
          </w:tcPr>
          <w:p w14:paraId="445A5589" w14:textId="77777777" w:rsidR="008C62A9" w:rsidRPr="00362CF5" w:rsidRDefault="008C62A9" w:rsidP="00481E0D">
            <w:pPr>
              <w:spacing w:line="240" w:lineRule="auto"/>
              <w:rPr>
                <w:sz w:val="20"/>
                <w:szCs w:val="20"/>
              </w:rPr>
            </w:pPr>
          </w:p>
        </w:tc>
        <w:tc>
          <w:tcPr>
            <w:tcW w:w="1417" w:type="dxa"/>
            <w:tcBorders>
              <w:top w:val="single" w:sz="4" w:space="0" w:color="000000"/>
            </w:tcBorders>
            <w:tcMar>
              <w:top w:w="0" w:type="dxa"/>
              <w:left w:w="108" w:type="dxa"/>
              <w:bottom w:w="0" w:type="dxa"/>
              <w:right w:w="108" w:type="dxa"/>
            </w:tcMar>
            <w:hideMark/>
          </w:tcPr>
          <w:p w14:paraId="5890411C" w14:textId="77777777" w:rsidR="008C62A9" w:rsidRPr="00362CF5" w:rsidRDefault="008C62A9" w:rsidP="00481E0D">
            <w:pPr>
              <w:spacing w:line="240" w:lineRule="auto"/>
              <w:jc w:val="center"/>
              <w:rPr>
                <w:sz w:val="20"/>
                <w:szCs w:val="20"/>
              </w:rPr>
            </w:pPr>
            <w:r w:rsidRPr="00362CF5">
              <w:rPr>
                <w:color w:val="000000"/>
                <w:sz w:val="20"/>
                <w:szCs w:val="20"/>
              </w:rPr>
              <w:t>&lt;0.001</w:t>
            </w:r>
          </w:p>
        </w:tc>
      </w:tr>
      <w:tr w:rsidR="008C62A9" w:rsidRPr="00362CF5" w14:paraId="572D129A" w14:textId="77777777" w:rsidTr="00481E0D">
        <w:tc>
          <w:tcPr>
            <w:tcW w:w="4395" w:type="dxa"/>
            <w:tcMar>
              <w:top w:w="0" w:type="dxa"/>
              <w:left w:w="108" w:type="dxa"/>
              <w:bottom w:w="0" w:type="dxa"/>
              <w:right w:w="108" w:type="dxa"/>
            </w:tcMar>
            <w:hideMark/>
          </w:tcPr>
          <w:p w14:paraId="0129BF8D" w14:textId="77777777" w:rsidR="008C62A9" w:rsidRPr="00362CF5" w:rsidRDefault="008C62A9" w:rsidP="00481E0D">
            <w:pPr>
              <w:spacing w:line="240" w:lineRule="auto"/>
              <w:ind w:left="317"/>
              <w:rPr>
                <w:sz w:val="20"/>
                <w:szCs w:val="20"/>
              </w:rPr>
            </w:pPr>
            <w:r w:rsidRPr="00362CF5">
              <w:rPr>
                <w:color w:val="000000"/>
                <w:sz w:val="20"/>
                <w:szCs w:val="20"/>
              </w:rPr>
              <w:t>18 - 44</w:t>
            </w:r>
          </w:p>
        </w:tc>
        <w:tc>
          <w:tcPr>
            <w:tcW w:w="1417" w:type="dxa"/>
            <w:tcMar>
              <w:top w:w="0" w:type="dxa"/>
              <w:left w:w="108" w:type="dxa"/>
              <w:bottom w:w="0" w:type="dxa"/>
              <w:right w:w="108" w:type="dxa"/>
            </w:tcMar>
            <w:hideMark/>
          </w:tcPr>
          <w:p w14:paraId="39A62498"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Mar>
              <w:top w:w="0" w:type="dxa"/>
              <w:left w:w="108" w:type="dxa"/>
              <w:bottom w:w="0" w:type="dxa"/>
              <w:right w:w="108" w:type="dxa"/>
            </w:tcMar>
            <w:hideMark/>
          </w:tcPr>
          <w:p w14:paraId="35D6A0AE"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Mar>
              <w:top w:w="0" w:type="dxa"/>
              <w:left w:w="108" w:type="dxa"/>
              <w:bottom w:w="0" w:type="dxa"/>
              <w:right w:w="108" w:type="dxa"/>
            </w:tcMar>
            <w:hideMark/>
          </w:tcPr>
          <w:p w14:paraId="05DF00C4" w14:textId="77777777" w:rsidR="008C62A9" w:rsidRPr="00362CF5" w:rsidRDefault="008C62A9" w:rsidP="00481E0D">
            <w:pPr>
              <w:spacing w:line="240" w:lineRule="auto"/>
              <w:rPr>
                <w:sz w:val="20"/>
                <w:szCs w:val="20"/>
              </w:rPr>
            </w:pPr>
          </w:p>
        </w:tc>
      </w:tr>
      <w:tr w:rsidR="008C62A9" w:rsidRPr="00362CF5" w14:paraId="43AEA50E" w14:textId="77777777" w:rsidTr="00481E0D">
        <w:tc>
          <w:tcPr>
            <w:tcW w:w="4395" w:type="dxa"/>
            <w:tcMar>
              <w:top w:w="0" w:type="dxa"/>
              <w:left w:w="108" w:type="dxa"/>
              <w:bottom w:w="0" w:type="dxa"/>
              <w:right w:w="108" w:type="dxa"/>
            </w:tcMar>
            <w:hideMark/>
          </w:tcPr>
          <w:p w14:paraId="772F8F02" w14:textId="77777777" w:rsidR="008C62A9" w:rsidRPr="00362CF5" w:rsidRDefault="008C62A9" w:rsidP="00481E0D">
            <w:pPr>
              <w:spacing w:line="240" w:lineRule="auto"/>
              <w:ind w:left="317"/>
              <w:rPr>
                <w:sz w:val="20"/>
                <w:szCs w:val="20"/>
              </w:rPr>
            </w:pPr>
            <w:r w:rsidRPr="00362CF5">
              <w:rPr>
                <w:color w:val="000000"/>
                <w:sz w:val="20"/>
                <w:szCs w:val="20"/>
              </w:rPr>
              <w:t>45 - 64</w:t>
            </w:r>
          </w:p>
        </w:tc>
        <w:tc>
          <w:tcPr>
            <w:tcW w:w="1417" w:type="dxa"/>
            <w:tcMar>
              <w:top w:w="0" w:type="dxa"/>
              <w:left w:w="108" w:type="dxa"/>
              <w:bottom w:w="0" w:type="dxa"/>
              <w:right w:w="108" w:type="dxa"/>
            </w:tcMar>
            <w:hideMark/>
          </w:tcPr>
          <w:p w14:paraId="768E4399" w14:textId="77777777" w:rsidR="008C62A9" w:rsidRPr="00362CF5" w:rsidRDefault="008C62A9" w:rsidP="00481E0D">
            <w:pPr>
              <w:spacing w:line="240" w:lineRule="auto"/>
              <w:jc w:val="center"/>
              <w:rPr>
                <w:sz w:val="20"/>
                <w:szCs w:val="20"/>
              </w:rPr>
            </w:pPr>
            <w:r w:rsidRPr="00362CF5">
              <w:rPr>
                <w:color w:val="000000"/>
                <w:sz w:val="20"/>
                <w:szCs w:val="20"/>
              </w:rPr>
              <w:t>2.821</w:t>
            </w:r>
          </w:p>
        </w:tc>
        <w:tc>
          <w:tcPr>
            <w:tcW w:w="1526" w:type="dxa"/>
            <w:tcMar>
              <w:top w:w="0" w:type="dxa"/>
              <w:left w:w="108" w:type="dxa"/>
              <w:bottom w:w="0" w:type="dxa"/>
              <w:right w:w="108" w:type="dxa"/>
            </w:tcMar>
            <w:hideMark/>
          </w:tcPr>
          <w:p w14:paraId="4AC438CC" w14:textId="77777777" w:rsidR="008C62A9" w:rsidRPr="00362CF5" w:rsidRDefault="008C62A9" w:rsidP="00481E0D">
            <w:pPr>
              <w:spacing w:line="240" w:lineRule="auto"/>
              <w:jc w:val="center"/>
              <w:rPr>
                <w:sz w:val="20"/>
                <w:szCs w:val="20"/>
              </w:rPr>
            </w:pPr>
            <w:r w:rsidRPr="00362CF5">
              <w:rPr>
                <w:color w:val="000000"/>
                <w:sz w:val="20"/>
                <w:szCs w:val="20"/>
              </w:rPr>
              <w:t>(1.614; 4.931)</w:t>
            </w:r>
          </w:p>
        </w:tc>
        <w:tc>
          <w:tcPr>
            <w:tcW w:w="1417" w:type="dxa"/>
            <w:tcMar>
              <w:top w:w="0" w:type="dxa"/>
              <w:left w:w="108" w:type="dxa"/>
              <w:bottom w:w="0" w:type="dxa"/>
              <w:right w:w="108" w:type="dxa"/>
            </w:tcMar>
            <w:hideMark/>
          </w:tcPr>
          <w:p w14:paraId="64C3B975" w14:textId="77777777" w:rsidR="008C62A9" w:rsidRPr="00362CF5" w:rsidRDefault="008C62A9" w:rsidP="00481E0D">
            <w:pPr>
              <w:spacing w:line="240" w:lineRule="auto"/>
              <w:rPr>
                <w:sz w:val="20"/>
                <w:szCs w:val="20"/>
              </w:rPr>
            </w:pPr>
          </w:p>
        </w:tc>
      </w:tr>
      <w:tr w:rsidR="008C62A9" w:rsidRPr="00362CF5" w14:paraId="340C855A" w14:textId="77777777" w:rsidTr="00481E0D">
        <w:tc>
          <w:tcPr>
            <w:tcW w:w="4395" w:type="dxa"/>
            <w:tcMar>
              <w:top w:w="0" w:type="dxa"/>
              <w:left w:w="108" w:type="dxa"/>
              <w:bottom w:w="0" w:type="dxa"/>
              <w:right w:w="108" w:type="dxa"/>
            </w:tcMar>
            <w:hideMark/>
          </w:tcPr>
          <w:p w14:paraId="1DFEE4FA" w14:textId="77777777" w:rsidR="008C62A9" w:rsidRPr="00362CF5" w:rsidRDefault="008C62A9" w:rsidP="00481E0D">
            <w:pPr>
              <w:spacing w:line="240" w:lineRule="auto"/>
              <w:ind w:left="317"/>
              <w:rPr>
                <w:sz w:val="20"/>
                <w:szCs w:val="20"/>
              </w:rPr>
            </w:pPr>
            <w:r w:rsidRPr="00362CF5">
              <w:rPr>
                <w:color w:val="000000"/>
                <w:sz w:val="20"/>
                <w:szCs w:val="20"/>
              </w:rPr>
              <w:t>≥ 65</w:t>
            </w:r>
          </w:p>
        </w:tc>
        <w:tc>
          <w:tcPr>
            <w:tcW w:w="1417" w:type="dxa"/>
            <w:tcMar>
              <w:top w:w="0" w:type="dxa"/>
              <w:left w:w="108" w:type="dxa"/>
              <w:bottom w:w="0" w:type="dxa"/>
              <w:right w:w="108" w:type="dxa"/>
            </w:tcMar>
            <w:hideMark/>
          </w:tcPr>
          <w:p w14:paraId="56A30AF5" w14:textId="77777777" w:rsidR="008C62A9" w:rsidRPr="00362CF5" w:rsidRDefault="008C62A9" w:rsidP="00481E0D">
            <w:pPr>
              <w:spacing w:line="240" w:lineRule="auto"/>
              <w:jc w:val="center"/>
              <w:rPr>
                <w:sz w:val="20"/>
                <w:szCs w:val="20"/>
              </w:rPr>
            </w:pPr>
            <w:r w:rsidRPr="00362CF5">
              <w:rPr>
                <w:color w:val="000000"/>
                <w:sz w:val="20"/>
                <w:szCs w:val="20"/>
              </w:rPr>
              <w:t>2.943</w:t>
            </w:r>
          </w:p>
        </w:tc>
        <w:tc>
          <w:tcPr>
            <w:tcW w:w="1526" w:type="dxa"/>
            <w:tcMar>
              <w:top w:w="0" w:type="dxa"/>
              <w:left w:w="108" w:type="dxa"/>
              <w:bottom w:w="0" w:type="dxa"/>
              <w:right w:w="108" w:type="dxa"/>
            </w:tcMar>
            <w:hideMark/>
          </w:tcPr>
          <w:p w14:paraId="47E8456D" w14:textId="77777777" w:rsidR="008C62A9" w:rsidRPr="00362CF5" w:rsidRDefault="008C62A9" w:rsidP="00481E0D">
            <w:pPr>
              <w:spacing w:line="240" w:lineRule="auto"/>
              <w:jc w:val="center"/>
              <w:rPr>
                <w:sz w:val="20"/>
                <w:szCs w:val="20"/>
              </w:rPr>
            </w:pPr>
            <w:r w:rsidRPr="00362CF5">
              <w:rPr>
                <w:color w:val="000000"/>
                <w:sz w:val="20"/>
                <w:szCs w:val="20"/>
              </w:rPr>
              <w:t>(1.718; 5.042)</w:t>
            </w:r>
          </w:p>
        </w:tc>
        <w:tc>
          <w:tcPr>
            <w:tcW w:w="1417" w:type="dxa"/>
            <w:tcMar>
              <w:top w:w="0" w:type="dxa"/>
              <w:left w:w="108" w:type="dxa"/>
              <w:bottom w:w="0" w:type="dxa"/>
              <w:right w:w="108" w:type="dxa"/>
            </w:tcMar>
            <w:hideMark/>
          </w:tcPr>
          <w:p w14:paraId="34BC3A12" w14:textId="77777777" w:rsidR="008C62A9" w:rsidRPr="00362CF5" w:rsidRDefault="008C62A9" w:rsidP="00481E0D">
            <w:pPr>
              <w:spacing w:line="240" w:lineRule="auto"/>
              <w:rPr>
                <w:sz w:val="20"/>
                <w:szCs w:val="20"/>
              </w:rPr>
            </w:pPr>
          </w:p>
        </w:tc>
      </w:tr>
      <w:tr w:rsidR="008C62A9" w:rsidRPr="00362CF5" w14:paraId="22DC8622" w14:textId="77777777" w:rsidTr="00481E0D">
        <w:tc>
          <w:tcPr>
            <w:tcW w:w="4395" w:type="dxa"/>
            <w:tcMar>
              <w:top w:w="0" w:type="dxa"/>
              <w:left w:w="108" w:type="dxa"/>
              <w:bottom w:w="0" w:type="dxa"/>
              <w:right w:w="108" w:type="dxa"/>
            </w:tcMar>
            <w:hideMark/>
          </w:tcPr>
          <w:p w14:paraId="5F64AC1A" w14:textId="77777777" w:rsidR="008C62A9" w:rsidRPr="00362CF5" w:rsidRDefault="008C62A9" w:rsidP="00481E0D">
            <w:pPr>
              <w:spacing w:line="240" w:lineRule="auto"/>
              <w:rPr>
                <w:sz w:val="20"/>
                <w:szCs w:val="20"/>
              </w:rPr>
            </w:pPr>
            <w:r w:rsidRPr="00362CF5">
              <w:rPr>
                <w:b/>
                <w:bCs/>
                <w:i/>
                <w:iCs/>
                <w:color w:val="000000"/>
                <w:sz w:val="20"/>
                <w:szCs w:val="20"/>
              </w:rPr>
              <w:t>Education level</w:t>
            </w:r>
          </w:p>
        </w:tc>
        <w:tc>
          <w:tcPr>
            <w:tcW w:w="1417" w:type="dxa"/>
            <w:tcMar>
              <w:top w:w="0" w:type="dxa"/>
              <w:left w:w="108" w:type="dxa"/>
              <w:bottom w:w="0" w:type="dxa"/>
              <w:right w:w="108" w:type="dxa"/>
            </w:tcMar>
            <w:hideMark/>
          </w:tcPr>
          <w:p w14:paraId="342B5C8E" w14:textId="77777777" w:rsidR="008C62A9" w:rsidRPr="00362CF5" w:rsidRDefault="008C62A9" w:rsidP="00481E0D">
            <w:pPr>
              <w:spacing w:line="240" w:lineRule="auto"/>
              <w:rPr>
                <w:sz w:val="20"/>
                <w:szCs w:val="20"/>
              </w:rPr>
            </w:pPr>
          </w:p>
        </w:tc>
        <w:tc>
          <w:tcPr>
            <w:tcW w:w="1526" w:type="dxa"/>
            <w:tcMar>
              <w:top w:w="0" w:type="dxa"/>
              <w:left w:w="108" w:type="dxa"/>
              <w:bottom w:w="0" w:type="dxa"/>
              <w:right w:w="108" w:type="dxa"/>
            </w:tcMar>
            <w:hideMark/>
          </w:tcPr>
          <w:p w14:paraId="7E8A77C4" w14:textId="77777777" w:rsidR="008C62A9" w:rsidRPr="00362CF5" w:rsidRDefault="008C62A9" w:rsidP="00481E0D">
            <w:pPr>
              <w:spacing w:line="240" w:lineRule="auto"/>
              <w:rPr>
                <w:sz w:val="20"/>
                <w:szCs w:val="20"/>
              </w:rPr>
            </w:pPr>
          </w:p>
        </w:tc>
        <w:tc>
          <w:tcPr>
            <w:tcW w:w="1417" w:type="dxa"/>
            <w:tcMar>
              <w:top w:w="0" w:type="dxa"/>
              <w:left w:w="108" w:type="dxa"/>
              <w:bottom w:w="0" w:type="dxa"/>
              <w:right w:w="108" w:type="dxa"/>
            </w:tcMar>
            <w:hideMark/>
          </w:tcPr>
          <w:p w14:paraId="2121A5A6" w14:textId="77777777" w:rsidR="008C62A9" w:rsidRPr="00362CF5" w:rsidRDefault="008C62A9" w:rsidP="00481E0D">
            <w:pPr>
              <w:spacing w:line="240" w:lineRule="auto"/>
              <w:jc w:val="center"/>
              <w:rPr>
                <w:sz w:val="20"/>
                <w:szCs w:val="20"/>
              </w:rPr>
            </w:pPr>
            <w:r w:rsidRPr="00362CF5">
              <w:rPr>
                <w:color w:val="000000"/>
                <w:sz w:val="20"/>
                <w:szCs w:val="20"/>
              </w:rPr>
              <w:t xml:space="preserve">0.234 </w:t>
            </w:r>
            <w:r w:rsidRPr="00362CF5">
              <w:rPr>
                <w:color w:val="000000"/>
                <w:sz w:val="20"/>
                <w:szCs w:val="20"/>
                <w:vertAlign w:val="superscript"/>
              </w:rPr>
              <w:t>a</w:t>
            </w:r>
          </w:p>
        </w:tc>
      </w:tr>
      <w:tr w:rsidR="008C62A9" w:rsidRPr="00362CF5" w14:paraId="35DE42B1" w14:textId="77777777" w:rsidTr="00481E0D">
        <w:tc>
          <w:tcPr>
            <w:tcW w:w="4395" w:type="dxa"/>
            <w:tcMar>
              <w:top w:w="0" w:type="dxa"/>
              <w:left w:w="108" w:type="dxa"/>
              <w:bottom w:w="0" w:type="dxa"/>
              <w:right w:w="108" w:type="dxa"/>
            </w:tcMar>
            <w:hideMark/>
          </w:tcPr>
          <w:p w14:paraId="01127C01" w14:textId="77777777" w:rsidR="008C62A9" w:rsidRPr="00362CF5" w:rsidRDefault="008C62A9" w:rsidP="00481E0D">
            <w:pPr>
              <w:spacing w:line="240" w:lineRule="auto"/>
              <w:ind w:left="317"/>
              <w:rPr>
                <w:sz w:val="20"/>
                <w:szCs w:val="20"/>
              </w:rPr>
            </w:pPr>
            <w:r w:rsidRPr="00362CF5">
              <w:rPr>
                <w:color w:val="000000"/>
                <w:sz w:val="20"/>
                <w:szCs w:val="20"/>
              </w:rPr>
              <w:t>Ill</w:t>
            </w:r>
            <w:r>
              <w:rPr>
                <w:color w:val="000000"/>
                <w:sz w:val="20"/>
                <w:szCs w:val="20"/>
              </w:rPr>
              <w:t xml:space="preserve">iterate/ Incomplete elementary </w:t>
            </w:r>
            <w:r w:rsidRPr="00362CF5">
              <w:rPr>
                <w:color w:val="000000"/>
                <w:sz w:val="20"/>
                <w:szCs w:val="20"/>
              </w:rPr>
              <w:t>school</w:t>
            </w:r>
          </w:p>
        </w:tc>
        <w:tc>
          <w:tcPr>
            <w:tcW w:w="1417" w:type="dxa"/>
            <w:tcMar>
              <w:top w:w="0" w:type="dxa"/>
              <w:left w:w="108" w:type="dxa"/>
              <w:bottom w:w="0" w:type="dxa"/>
              <w:right w:w="108" w:type="dxa"/>
            </w:tcMar>
            <w:vAlign w:val="center"/>
            <w:hideMark/>
          </w:tcPr>
          <w:p w14:paraId="3D2BE7F0"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Mar>
              <w:top w:w="0" w:type="dxa"/>
              <w:left w:w="108" w:type="dxa"/>
              <w:bottom w:w="0" w:type="dxa"/>
              <w:right w:w="108" w:type="dxa"/>
            </w:tcMar>
            <w:vAlign w:val="center"/>
            <w:hideMark/>
          </w:tcPr>
          <w:p w14:paraId="586DB728"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Mar>
              <w:top w:w="0" w:type="dxa"/>
              <w:left w:w="108" w:type="dxa"/>
              <w:bottom w:w="0" w:type="dxa"/>
              <w:right w:w="108" w:type="dxa"/>
            </w:tcMar>
            <w:hideMark/>
          </w:tcPr>
          <w:p w14:paraId="04185E17" w14:textId="77777777" w:rsidR="008C62A9" w:rsidRPr="00362CF5" w:rsidRDefault="008C62A9" w:rsidP="00481E0D">
            <w:pPr>
              <w:spacing w:line="240" w:lineRule="auto"/>
              <w:rPr>
                <w:sz w:val="20"/>
                <w:szCs w:val="20"/>
              </w:rPr>
            </w:pPr>
          </w:p>
        </w:tc>
      </w:tr>
      <w:tr w:rsidR="008C62A9" w:rsidRPr="00362CF5" w14:paraId="1AE8726E" w14:textId="77777777" w:rsidTr="00481E0D">
        <w:tc>
          <w:tcPr>
            <w:tcW w:w="4395" w:type="dxa"/>
            <w:tcMar>
              <w:top w:w="0" w:type="dxa"/>
              <w:left w:w="108" w:type="dxa"/>
              <w:bottom w:w="0" w:type="dxa"/>
              <w:right w:w="108" w:type="dxa"/>
            </w:tcMar>
            <w:hideMark/>
          </w:tcPr>
          <w:p w14:paraId="2AB14BD5" w14:textId="77777777" w:rsidR="008C62A9" w:rsidRPr="00362CF5" w:rsidRDefault="008C62A9" w:rsidP="00481E0D">
            <w:pPr>
              <w:spacing w:line="240" w:lineRule="auto"/>
              <w:ind w:left="317"/>
              <w:rPr>
                <w:sz w:val="20"/>
                <w:szCs w:val="20"/>
              </w:rPr>
            </w:pPr>
            <w:r w:rsidRPr="00362CF5">
              <w:rPr>
                <w:color w:val="000000"/>
                <w:sz w:val="20"/>
                <w:szCs w:val="20"/>
              </w:rPr>
              <w:t>Elementary school</w:t>
            </w:r>
          </w:p>
        </w:tc>
        <w:tc>
          <w:tcPr>
            <w:tcW w:w="1417" w:type="dxa"/>
            <w:tcMar>
              <w:top w:w="0" w:type="dxa"/>
              <w:left w:w="108" w:type="dxa"/>
              <w:bottom w:w="0" w:type="dxa"/>
              <w:right w:w="108" w:type="dxa"/>
            </w:tcMar>
            <w:hideMark/>
          </w:tcPr>
          <w:p w14:paraId="6EB6E173" w14:textId="77777777" w:rsidR="008C62A9" w:rsidRPr="00362CF5" w:rsidRDefault="008C62A9" w:rsidP="00481E0D">
            <w:pPr>
              <w:spacing w:line="240" w:lineRule="auto"/>
              <w:jc w:val="center"/>
              <w:rPr>
                <w:sz w:val="20"/>
                <w:szCs w:val="20"/>
              </w:rPr>
            </w:pPr>
            <w:r w:rsidRPr="00362CF5">
              <w:rPr>
                <w:color w:val="000000"/>
                <w:sz w:val="20"/>
                <w:szCs w:val="20"/>
              </w:rPr>
              <w:t>1.370</w:t>
            </w:r>
          </w:p>
        </w:tc>
        <w:tc>
          <w:tcPr>
            <w:tcW w:w="1526" w:type="dxa"/>
            <w:tcMar>
              <w:top w:w="0" w:type="dxa"/>
              <w:left w:w="108" w:type="dxa"/>
              <w:bottom w:w="0" w:type="dxa"/>
              <w:right w:w="108" w:type="dxa"/>
            </w:tcMar>
            <w:hideMark/>
          </w:tcPr>
          <w:p w14:paraId="78F3E605" w14:textId="77777777" w:rsidR="008C62A9" w:rsidRPr="00362CF5" w:rsidRDefault="008C62A9" w:rsidP="00481E0D">
            <w:pPr>
              <w:spacing w:line="240" w:lineRule="auto"/>
              <w:jc w:val="center"/>
              <w:rPr>
                <w:sz w:val="20"/>
                <w:szCs w:val="20"/>
              </w:rPr>
            </w:pPr>
            <w:r w:rsidRPr="00362CF5">
              <w:rPr>
                <w:color w:val="000000"/>
                <w:sz w:val="20"/>
                <w:szCs w:val="20"/>
              </w:rPr>
              <w:t>(0.974; 1.927)</w:t>
            </w:r>
          </w:p>
        </w:tc>
        <w:tc>
          <w:tcPr>
            <w:tcW w:w="1417" w:type="dxa"/>
            <w:tcMar>
              <w:top w:w="0" w:type="dxa"/>
              <w:left w:w="108" w:type="dxa"/>
              <w:bottom w:w="0" w:type="dxa"/>
              <w:right w:w="108" w:type="dxa"/>
            </w:tcMar>
            <w:hideMark/>
          </w:tcPr>
          <w:p w14:paraId="3FCC47BA" w14:textId="77777777" w:rsidR="008C62A9" w:rsidRPr="00362CF5" w:rsidRDefault="008C62A9" w:rsidP="00481E0D">
            <w:pPr>
              <w:spacing w:line="240" w:lineRule="auto"/>
              <w:rPr>
                <w:sz w:val="20"/>
                <w:szCs w:val="20"/>
              </w:rPr>
            </w:pPr>
          </w:p>
        </w:tc>
      </w:tr>
      <w:tr w:rsidR="008C62A9" w:rsidRPr="00362CF5" w14:paraId="505AECBD" w14:textId="77777777" w:rsidTr="00481E0D">
        <w:tc>
          <w:tcPr>
            <w:tcW w:w="4395" w:type="dxa"/>
            <w:tcMar>
              <w:top w:w="0" w:type="dxa"/>
              <w:left w:w="108" w:type="dxa"/>
              <w:bottom w:w="0" w:type="dxa"/>
              <w:right w:w="108" w:type="dxa"/>
            </w:tcMar>
            <w:hideMark/>
          </w:tcPr>
          <w:p w14:paraId="627AA0DA" w14:textId="77777777" w:rsidR="008C62A9" w:rsidRPr="00362CF5" w:rsidRDefault="008C62A9" w:rsidP="00481E0D">
            <w:pPr>
              <w:spacing w:line="240" w:lineRule="auto"/>
              <w:ind w:left="317"/>
              <w:rPr>
                <w:sz w:val="20"/>
                <w:szCs w:val="20"/>
              </w:rPr>
            </w:pPr>
            <w:r w:rsidRPr="00362CF5">
              <w:rPr>
                <w:color w:val="000000"/>
                <w:sz w:val="20"/>
                <w:szCs w:val="20"/>
              </w:rPr>
              <w:t xml:space="preserve">High school </w:t>
            </w:r>
            <w:r w:rsidRPr="00362CF5">
              <w:rPr>
                <w:color w:val="000000"/>
                <w:sz w:val="20"/>
                <w:szCs w:val="20"/>
                <w:vertAlign w:val="superscript"/>
              </w:rPr>
              <w:t>a</w:t>
            </w:r>
          </w:p>
        </w:tc>
        <w:tc>
          <w:tcPr>
            <w:tcW w:w="1417" w:type="dxa"/>
            <w:tcMar>
              <w:top w:w="0" w:type="dxa"/>
              <w:left w:w="108" w:type="dxa"/>
              <w:bottom w:w="0" w:type="dxa"/>
              <w:right w:w="108" w:type="dxa"/>
            </w:tcMar>
            <w:hideMark/>
          </w:tcPr>
          <w:p w14:paraId="1579C28F" w14:textId="77777777" w:rsidR="008C62A9" w:rsidRPr="00362CF5" w:rsidRDefault="008C62A9" w:rsidP="00481E0D">
            <w:pPr>
              <w:spacing w:line="240" w:lineRule="auto"/>
              <w:jc w:val="center"/>
              <w:rPr>
                <w:sz w:val="20"/>
                <w:szCs w:val="20"/>
              </w:rPr>
            </w:pPr>
            <w:r w:rsidRPr="00362CF5">
              <w:rPr>
                <w:color w:val="000000"/>
                <w:sz w:val="20"/>
                <w:szCs w:val="20"/>
              </w:rPr>
              <w:t>1.475</w:t>
            </w:r>
          </w:p>
        </w:tc>
        <w:tc>
          <w:tcPr>
            <w:tcW w:w="1526" w:type="dxa"/>
            <w:tcMar>
              <w:top w:w="0" w:type="dxa"/>
              <w:left w:w="108" w:type="dxa"/>
              <w:bottom w:w="0" w:type="dxa"/>
              <w:right w:w="108" w:type="dxa"/>
            </w:tcMar>
            <w:hideMark/>
          </w:tcPr>
          <w:p w14:paraId="7B29A8FC" w14:textId="77777777" w:rsidR="008C62A9" w:rsidRPr="00362CF5" w:rsidRDefault="008C62A9" w:rsidP="00481E0D">
            <w:pPr>
              <w:spacing w:line="240" w:lineRule="auto"/>
              <w:jc w:val="center"/>
              <w:rPr>
                <w:sz w:val="20"/>
                <w:szCs w:val="20"/>
              </w:rPr>
            </w:pPr>
            <w:r w:rsidRPr="00362CF5">
              <w:rPr>
                <w:color w:val="000000"/>
                <w:sz w:val="20"/>
                <w:szCs w:val="20"/>
              </w:rPr>
              <w:t>(1.022; 2.127)</w:t>
            </w:r>
          </w:p>
        </w:tc>
        <w:tc>
          <w:tcPr>
            <w:tcW w:w="1417" w:type="dxa"/>
            <w:tcMar>
              <w:top w:w="0" w:type="dxa"/>
              <w:left w:w="108" w:type="dxa"/>
              <w:bottom w:w="0" w:type="dxa"/>
              <w:right w:w="108" w:type="dxa"/>
            </w:tcMar>
            <w:hideMark/>
          </w:tcPr>
          <w:p w14:paraId="0844BEDE" w14:textId="77777777" w:rsidR="008C62A9" w:rsidRPr="00362CF5" w:rsidRDefault="008C62A9" w:rsidP="00481E0D">
            <w:pPr>
              <w:spacing w:line="240" w:lineRule="auto"/>
              <w:rPr>
                <w:sz w:val="20"/>
                <w:szCs w:val="20"/>
              </w:rPr>
            </w:pPr>
          </w:p>
        </w:tc>
      </w:tr>
      <w:tr w:rsidR="008C62A9" w:rsidRPr="00362CF5" w14:paraId="514C1669" w14:textId="77777777" w:rsidTr="00481E0D">
        <w:tc>
          <w:tcPr>
            <w:tcW w:w="4395" w:type="dxa"/>
            <w:tcMar>
              <w:top w:w="0" w:type="dxa"/>
              <w:left w:w="108" w:type="dxa"/>
              <w:bottom w:w="0" w:type="dxa"/>
              <w:right w:w="108" w:type="dxa"/>
            </w:tcMar>
            <w:hideMark/>
          </w:tcPr>
          <w:p w14:paraId="4B39014D" w14:textId="77777777" w:rsidR="008C62A9" w:rsidRPr="00362CF5" w:rsidRDefault="008C62A9" w:rsidP="00481E0D">
            <w:pPr>
              <w:spacing w:line="240" w:lineRule="auto"/>
              <w:ind w:left="317"/>
              <w:rPr>
                <w:sz w:val="20"/>
                <w:szCs w:val="20"/>
              </w:rPr>
            </w:pPr>
            <w:r w:rsidRPr="00362CF5">
              <w:rPr>
                <w:color w:val="000000"/>
                <w:sz w:val="20"/>
                <w:szCs w:val="20"/>
              </w:rPr>
              <w:t xml:space="preserve">Higher education </w:t>
            </w:r>
            <w:r w:rsidRPr="00362CF5">
              <w:rPr>
                <w:color w:val="000000"/>
                <w:sz w:val="20"/>
                <w:szCs w:val="20"/>
                <w:vertAlign w:val="superscript"/>
              </w:rPr>
              <w:t>a</w:t>
            </w:r>
          </w:p>
        </w:tc>
        <w:tc>
          <w:tcPr>
            <w:tcW w:w="1417" w:type="dxa"/>
            <w:tcMar>
              <w:top w:w="0" w:type="dxa"/>
              <w:left w:w="108" w:type="dxa"/>
              <w:bottom w:w="0" w:type="dxa"/>
              <w:right w:w="108" w:type="dxa"/>
            </w:tcMar>
            <w:hideMark/>
          </w:tcPr>
          <w:p w14:paraId="64F3BD5D" w14:textId="77777777" w:rsidR="008C62A9" w:rsidRPr="00362CF5" w:rsidRDefault="008C62A9" w:rsidP="00481E0D">
            <w:pPr>
              <w:spacing w:line="240" w:lineRule="auto"/>
              <w:jc w:val="center"/>
              <w:rPr>
                <w:sz w:val="20"/>
                <w:szCs w:val="20"/>
              </w:rPr>
            </w:pPr>
            <w:r w:rsidRPr="00362CF5">
              <w:rPr>
                <w:color w:val="000000"/>
                <w:sz w:val="20"/>
                <w:szCs w:val="20"/>
              </w:rPr>
              <w:t>2.237</w:t>
            </w:r>
          </w:p>
        </w:tc>
        <w:tc>
          <w:tcPr>
            <w:tcW w:w="1526" w:type="dxa"/>
            <w:tcMar>
              <w:top w:w="0" w:type="dxa"/>
              <w:left w:w="108" w:type="dxa"/>
              <w:bottom w:w="0" w:type="dxa"/>
              <w:right w:w="108" w:type="dxa"/>
            </w:tcMar>
            <w:hideMark/>
          </w:tcPr>
          <w:p w14:paraId="75B4832E" w14:textId="77777777" w:rsidR="008C62A9" w:rsidRPr="00362CF5" w:rsidRDefault="008C62A9" w:rsidP="00481E0D">
            <w:pPr>
              <w:spacing w:line="240" w:lineRule="auto"/>
              <w:jc w:val="center"/>
              <w:rPr>
                <w:sz w:val="20"/>
                <w:szCs w:val="20"/>
              </w:rPr>
            </w:pPr>
            <w:r w:rsidRPr="00362CF5">
              <w:rPr>
                <w:color w:val="000000"/>
                <w:sz w:val="20"/>
                <w:szCs w:val="20"/>
              </w:rPr>
              <w:t>(1.246; 4.015)</w:t>
            </w:r>
          </w:p>
        </w:tc>
        <w:tc>
          <w:tcPr>
            <w:tcW w:w="1417" w:type="dxa"/>
            <w:tcMar>
              <w:top w:w="0" w:type="dxa"/>
              <w:left w:w="108" w:type="dxa"/>
              <w:bottom w:w="0" w:type="dxa"/>
              <w:right w:w="108" w:type="dxa"/>
            </w:tcMar>
            <w:hideMark/>
          </w:tcPr>
          <w:p w14:paraId="29197938" w14:textId="77777777" w:rsidR="008C62A9" w:rsidRPr="00362CF5" w:rsidRDefault="008C62A9" w:rsidP="00481E0D">
            <w:pPr>
              <w:spacing w:line="240" w:lineRule="auto"/>
              <w:rPr>
                <w:sz w:val="20"/>
                <w:szCs w:val="20"/>
              </w:rPr>
            </w:pPr>
          </w:p>
        </w:tc>
      </w:tr>
      <w:tr w:rsidR="008C62A9" w:rsidRPr="00362CF5" w14:paraId="2451E956" w14:textId="77777777" w:rsidTr="00481E0D">
        <w:tc>
          <w:tcPr>
            <w:tcW w:w="4395" w:type="dxa"/>
            <w:tcMar>
              <w:top w:w="0" w:type="dxa"/>
              <w:left w:w="108" w:type="dxa"/>
              <w:bottom w:w="0" w:type="dxa"/>
              <w:right w:w="108" w:type="dxa"/>
            </w:tcMar>
            <w:hideMark/>
          </w:tcPr>
          <w:p w14:paraId="6F049568" w14:textId="77777777" w:rsidR="008C62A9" w:rsidRPr="00362CF5" w:rsidRDefault="008C62A9" w:rsidP="00481E0D">
            <w:pPr>
              <w:spacing w:line="240" w:lineRule="auto"/>
              <w:rPr>
                <w:sz w:val="20"/>
                <w:szCs w:val="20"/>
              </w:rPr>
            </w:pPr>
            <w:r w:rsidRPr="00362CF5">
              <w:rPr>
                <w:b/>
                <w:bCs/>
                <w:i/>
                <w:iCs/>
                <w:color w:val="000000"/>
                <w:sz w:val="20"/>
                <w:szCs w:val="20"/>
              </w:rPr>
              <w:t>Region of residence</w:t>
            </w:r>
          </w:p>
        </w:tc>
        <w:tc>
          <w:tcPr>
            <w:tcW w:w="1417" w:type="dxa"/>
            <w:tcMar>
              <w:top w:w="0" w:type="dxa"/>
              <w:left w:w="108" w:type="dxa"/>
              <w:bottom w:w="0" w:type="dxa"/>
              <w:right w:w="108" w:type="dxa"/>
            </w:tcMar>
            <w:hideMark/>
          </w:tcPr>
          <w:p w14:paraId="1DE499C4" w14:textId="77777777" w:rsidR="008C62A9" w:rsidRPr="00362CF5" w:rsidRDefault="008C62A9" w:rsidP="00481E0D">
            <w:pPr>
              <w:spacing w:line="240" w:lineRule="auto"/>
              <w:rPr>
                <w:sz w:val="20"/>
                <w:szCs w:val="20"/>
              </w:rPr>
            </w:pPr>
          </w:p>
        </w:tc>
        <w:tc>
          <w:tcPr>
            <w:tcW w:w="1526" w:type="dxa"/>
            <w:tcMar>
              <w:top w:w="0" w:type="dxa"/>
              <w:left w:w="108" w:type="dxa"/>
              <w:bottom w:w="0" w:type="dxa"/>
              <w:right w:w="108" w:type="dxa"/>
            </w:tcMar>
            <w:hideMark/>
          </w:tcPr>
          <w:p w14:paraId="65EBA5BB" w14:textId="77777777" w:rsidR="008C62A9" w:rsidRPr="00362CF5" w:rsidRDefault="008C62A9" w:rsidP="00481E0D">
            <w:pPr>
              <w:spacing w:line="240" w:lineRule="auto"/>
              <w:rPr>
                <w:sz w:val="20"/>
                <w:szCs w:val="20"/>
              </w:rPr>
            </w:pPr>
          </w:p>
        </w:tc>
        <w:tc>
          <w:tcPr>
            <w:tcW w:w="1417" w:type="dxa"/>
            <w:tcMar>
              <w:top w:w="0" w:type="dxa"/>
              <w:left w:w="108" w:type="dxa"/>
              <w:bottom w:w="0" w:type="dxa"/>
              <w:right w:w="108" w:type="dxa"/>
            </w:tcMar>
            <w:hideMark/>
          </w:tcPr>
          <w:p w14:paraId="1C41D33F" w14:textId="77777777" w:rsidR="008C62A9" w:rsidRPr="00362CF5" w:rsidRDefault="008C62A9" w:rsidP="00481E0D">
            <w:pPr>
              <w:spacing w:line="240" w:lineRule="auto"/>
              <w:jc w:val="center"/>
              <w:rPr>
                <w:sz w:val="20"/>
                <w:szCs w:val="20"/>
              </w:rPr>
            </w:pPr>
            <w:r w:rsidRPr="00362CF5">
              <w:rPr>
                <w:color w:val="000000"/>
                <w:sz w:val="20"/>
                <w:szCs w:val="20"/>
              </w:rPr>
              <w:t>0.003</w:t>
            </w:r>
          </w:p>
        </w:tc>
      </w:tr>
      <w:tr w:rsidR="008C62A9" w:rsidRPr="00362CF5" w14:paraId="72B27A91" w14:textId="77777777" w:rsidTr="00481E0D">
        <w:tc>
          <w:tcPr>
            <w:tcW w:w="4395" w:type="dxa"/>
            <w:tcMar>
              <w:top w:w="0" w:type="dxa"/>
              <w:left w:w="108" w:type="dxa"/>
              <w:bottom w:w="0" w:type="dxa"/>
              <w:right w:w="108" w:type="dxa"/>
            </w:tcMar>
            <w:hideMark/>
          </w:tcPr>
          <w:p w14:paraId="75714CB9" w14:textId="77777777" w:rsidR="008C62A9" w:rsidRPr="00362CF5" w:rsidRDefault="008C62A9" w:rsidP="00481E0D">
            <w:pPr>
              <w:spacing w:line="240" w:lineRule="auto"/>
              <w:ind w:left="317"/>
              <w:rPr>
                <w:sz w:val="20"/>
                <w:szCs w:val="20"/>
              </w:rPr>
            </w:pPr>
            <w:r w:rsidRPr="00362CF5">
              <w:rPr>
                <w:color w:val="000000"/>
                <w:sz w:val="20"/>
                <w:szCs w:val="20"/>
              </w:rPr>
              <w:t>North</w:t>
            </w:r>
          </w:p>
        </w:tc>
        <w:tc>
          <w:tcPr>
            <w:tcW w:w="1417" w:type="dxa"/>
            <w:tcMar>
              <w:top w:w="0" w:type="dxa"/>
              <w:left w:w="108" w:type="dxa"/>
              <w:bottom w:w="0" w:type="dxa"/>
              <w:right w:w="108" w:type="dxa"/>
            </w:tcMar>
            <w:hideMark/>
          </w:tcPr>
          <w:p w14:paraId="16995629"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Mar>
              <w:top w:w="0" w:type="dxa"/>
              <w:left w:w="108" w:type="dxa"/>
              <w:bottom w:w="0" w:type="dxa"/>
              <w:right w:w="108" w:type="dxa"/>
            </w:tcMar>
            <w:hideMark/>
          </w:tcPr>
          <w:p w14:paraId="138B2D9A"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Mar>
              <w:top w:w="0" w:type="dxa"/>
              <w:left w:w="108" w:type="dxa"/>
              <w:bottom w:w="0" w:type="dxa"/>
              <w:right w:w="108" w:type="dxa"/>
            </w:tcMar>
            <w:hideMark/>
          </w:tcPr>
          <w:p w14:paraId="5D612417" w14:textId="77777777" w:rsidR="008C62A9" w:rsidRPr="00362CF5" w:rsidRDefault="008C62A9" w:rsidP="00481E0D">
            <w:pPr>
              <w:spacing w:line="240" w:lineRule="auto"/>
              <w:rPr>
                <w:sz w:val="20"/>
                <w:szCs w:val="20"/>
              </w:rPr>
            </w:pPr>
          </w:p>
        </w:tc>
      </w:tr>
      <w:tr w:rsidR="008C62A9" w:rsidRPr="00362CF5" w14:paraId="325A1A82" w14:textId="77777777" w:rsidTr="00481E0D">
        <w:tc>
          <w:tcPr>
            <w:tcW w:w="4395" w:type="dxa"/>
            <w:tcMar>
              <w:top w:w="0" w:type="dxa"/>
              <w:left w:w="108" w:type="dxa"/>
              <w:bottom w:w="0" w:type="dxa"/>
              <w:right w:w="108" w:type="dxa"/>
            </w:tcMar>
            <w:hideMark/>
          </w:tcPr>
          <w:p w14:paraId="44150250" w14:textId="77777777" w:rsidR="008C62A9" w:rsidRPr="00362CF5" w:rsidRDefault="008C62A9" w:rsidP="00481E0D">
            <w:pPr>
              <w:spacing w:line="240" w:lineRule="auto"/>
              <w:ind w:left="317"/>
              <w:rPr>
                <w:sz w:val="20"/>
                <w:szCs w:val="20"/>
              </w:rPr>
            </w:pPr>
            <w:r w:rsidRPr="00362CF5">
              <w:rPr>
                <w:color w:val="000000"/>
                <w:sz w:val="20"/>
                <w:szCs w:val="20"/>
              </w:rPr>
              <w:t>Midwest</w:t>
            </w:r>
          </w:p>
        </w:tc>
        <w:tc>
          <w:tcPr>
            <w:tcW w:w="1417" w:type="dxa"/>
            <w:tcMar>
              <w:top w:w="0" w:type="dxa"/>
              <w:left w:w="108" w:type="dxa"/>
              <w:bottom w:w="0" w:type="dxa"/>
              <w:right w:w="108" w:type="dxa"/>
            </w:tcMar>
            <w:hideMark/>
          </w:tcPr>
          <w:p w14:paraId="750697CB" w14:textId="77777777" w:rsidR="008C62A9" w:rsidRPr="00362CF5" w:rsidRDefault="008C62A9" w:rsidP="00481E0D">
            <w:pPr>
              <w:spacing w:line="240" w:lineRule="auto"/>
              <w:jc w:val="center"/>
              <w:rPr>
                <w:sz w:val="20"/>
                <w:szCs w:val="20"/>
              </w:rPr>
            </w:pPr>
            <w:r w:rsidRPr="00362CF5">
              <w:rPr>
                <w:color w:val="000000"/>
                <w:sz w:val="20"/>
                <w:szCs w:val="20"/>
              </w:rPr>
              <w:t>2.227</w:t>
            </w:r>
          </w:p>
        </w:tc>
        <w:tc>
          <w:tcPr>
            <w:tcW w:w="1526" w:type="dxa"/>
            <w:tcMar>
              <w:top w:w="0" w:type="dxa"/>
              <w:left w:w="108" w:type="dxa"/>
              <w:bottom w:w="0" w:type="dxa"/>
              <w:right w:w="108" w:type="dxa"/>
            </w:tcMar>
            <w:hideMark/>
          </w:tcPr>
          <w:p w14:paraId="18FA33B2" w14:textId="77777777" w:rsidR="008C62A9" w:rsidRPr="00362CF5" w:rsidRDefault="008C62A9" w:rsidP="00481E0D">
            <w:pPr>
              <w:spacing w:line="240" w:lineRule="auto"/>
              <w:jc w:val="center"/>
              <w:rPr>
                <w:sz w:val="20"/>
                <w:szCs w:val="20"/>
              </w:rPr>
            </w:pPr>
            <w:r w:rsidRPr="00362CF5">
              <w:rPr>
                <w:color w:val="000000"/>
                <w:sz w:val="20"/>
                <w:szCs w:val="20"/>
              </w:rPr>
              <w:t>(1.073; 4.621)</w:t>
            </w:r>
          </w:p>
        </w:tc>
        <w:tc>
          <w:tcPr>
            <w:tcW w:w="1417" w:type="dxa"/>
            <w:tcMar>
              <w:top w:w="0" w:type="dxa"/>
              <w:left w:w="108" w:type="dxa"/>
              <w:bottom w:w="0" w:type="dxa"/>
              <w:right w:w="108" w:type="dxa"/>
            </w:tcMar>
            <w:hideMark/>
          </w:tcPr>
          <w:p w14:paraId="519DEB56" w14:textId="77777777" w:rsidR="008C62A9" w:rsidRPr="00362CF5" w:rsidRDefault="008C62A9" w:rsidP="00481E0D">
            <w:pPr>
              <w:spacing w:line="240" w:lineRule="auto"/>
              <w:rPr>
                <w:sz w:val="20"/>
                <w:szCs w:val="20"/>
              </w:rPr>
            </w:pPr>
          </w:p>
        </w:tc>
      </w:tr>
      <w:tr w:rsidR="008C62A9" w:rsidRPr="00362CF5" w14:paraId="2249E36A" w14:textId="77777777" w:rsidTr="00481E0D">
        <w:tc>
          <w:tcPr>
            <w:tcW w:w="4395" w:type="dxa"/>
            <w:tcMar>
              <w:top w:w="0" w:type="dxa"/>
              <w:left w:w="108" w:type="dxa"/>
              <w:bottom w:w="0" w:type="dxa"/>
              <w:right w:w="108" w:type="dxa"/>
            </w:tcMar>
            <w:hideMark/>
          </w:tcPr>
          <w:p w14:paraId="45B7C604" w14:textId="77777777" w:rsidR="008C62A9" w:rsidRPr="00362CF5" w:rsidRDefault="008C62A9" w:rsidP="00481E0D">
            <w:pPr>
              <w:spacing w:line="240" w:lineRule="auto"/>
              <w:ind w:left="317"/>
              <w:rPr>
                <w:sz w:val="20"/>
                <w:szCs w:val="20"/>
              </w:rPr>
            </w:pPr>
            <w:r w:rsidRPr="00362CF5">
              <w:rPr>
                <w:color w:val="000000"/>
                <w:sz w:val="20"/>
                <w:szCs w:val="20"/>
              </w:rPr>
              <w:t>Southeast</w:t>
            </w:r>
          </w:p>
        </w:tc>
        <w:tc>
          <w:tcPr>
            <w:tcW w:w="1417" w:type="dxa"/>
            <w:tcMar>
              <w:top w:w="0" w:type="dxa"/>
              <w:left w:w="108" w:type="dxa"/>
              <w:bottom w:w="0" w:type="dxa"/>
              <w:right w:w="108" w:type="dxa"/>
            </w:tcMar>
            <w:hideMark/>
          </w:tcPr>
          <w:p w14:paraId="36346AA9" w14:textId="77777777" w:rsidR="008C62A9" w:rsidRPr="00362CF5" w:rsidRDefault="008C62A9" w:rsidP="00481E0D">
            <w:pPr>
              <w:spacing w:line="240" w:lineRule="auto"/>
              <w:jc w:val="center"/>
              <w:rPr>
                <w:sz w:val="20"/>
                <w:szCs w:val="20"/>
              </w:rPr>
            </w:pPr>
            <w:r w:rsidRPr="00362CF5">
              <w:rPr>
                <w:color w:val="000000"/>
                <w:sz w:val="20"/>
                <w:szCs w:val="20"/>
              </w:rPr>
              <w:t>2.533</w:t>
            </w:r>
          </w:p>
        </w:tc>
        <w:tc>
          <w:tcPr>
            <w:tcW w:w="1526" w:type="dxa"/>
            <w:tcMar>
              <w:top w:w="0" w:type="dxa"/>
              <w:left w:w="108" w:type="dxa"/>
              <w:bottom w:w="0" w:type="dxa"/>
              <w:right w:w="108" w:type="dxa"/>
            </w:tcMar>
            <w:hideMark/>
          </w:tcPr>
          <w:p w14:paraId="13EC9BC1" w14:textId="77777777" w:rsidR="008C62A9" w:rsidRPr="00362CF5" w:rsidRDefault="008C62A9" w:rsidP="00481E0D">
            <w:pPr>
              <w:spacing w:line="240" w:lineRule="auto"/>
              <w:jc w:val="center"/>
              <w:rPr>
                <w:sz w:val="20"/>
                <w:szCs w:val="20"/>
              </w:rPr>
            </w:pPr>
            <w:r w:rsidRPr="00362CF5">
              <w:rPr>
                <w:color w:val="000000"/>
                <w:sz w:val="20"/>
                <w:szCs w:val="20"/>
              </w:rPr>
              <w:t>(1.263; 5.078)</w:t>
            </w:r>
          </w:p>
        </w:tc>
        <w:tc>
          <w:tcPr>
            <w:tcW w:w="1417" w:type="dxa"/>
            <w:tcMar>
              <w:top w:w="0" w:type="dxa"/>
              <w:left w:w="108" w:type="dxa"/>
              <w:bottom w:w="0" w:type="dxa"/>
              <w:right w:w="108" w:type="dxa"/>
            </w:tcMar>
            <w:hideMark/>
          </w:tcPr>
          <w:p w14:paraId="77200417" w14:textId="77777777" w:rsidR="008C62A9" w:rsidRPr="00362CF5" w:rsidRDefault="008C62A9" w:rsidP="00481E0D">
            <w:pPr>
              <w:spacing w:line="240" w:lineRule="auto"/>
              <w:rPr>
                <w:sz w:val="20"/>
                <w:szCs w:val="20"/>
              </w:rPr>
            </w:pPr>
          </w:p>
        </w:tc>
      </w:tr>
      <w:tr w:rsidR="008C62A9" w:rsidRPr="00362CF5" w14:paraId="0B2348B2" w14:textId="77777777" w:rsidTr="00481E0D">
        <w:tc>
          <w:tcPr>
            <w:tcW w:w="4395" w:type="dxa"/>
            <w:tcMar>
              <w:top w:w="0" w:type="dxa"/>
              <w:left w:w="108" w:type="dxa"/>
              <w:bottom w:w="0" w:type="dxa"/>
              <w:right w:w="108" w:type="dxa"/>
            </w:tcMar>
            <w:hideMark/>
          </w:tcPr>
          <w:p w14:paraId="07A61322" w14:textId="77777777" w:rsidR="008C62A9" w:rsidRPr="00362CF5" w:rsidRDefault="008C62A9" w:rsidP="00481E0D">
            <w:pPr>
              <w:spacing w:line="240" w:lineRule="auto"/>
              <w:ind w:left="317"/>
              <w:rPr>
                <w:sz w:val="20"/>
                <w:szCs w:val="20"/>
              </w:rPr>
            </w:pPr>
            <w:r w:rsidRPr="00362CF5">
              <w:rPr>
                <w:color w:val="000000"/>
                <w:sz w:val="20"/>
                <w:szCs w:val="20"/>
              </w:rPr>
              <w:t>Northeast</w:t>
            </w:r>
          </w:p>
        </w:tc>
        <w:tc>
          <w:tcPr>
            <w:tcW w:w="1417" w:type="dxa"/>
            <w:tcMar>
              <w:top w:w="0" w:type="dxa"/>
              <w:left w:w="108" w:type="dxa"/>
              <w:bottom w:w="0" w:type="dxa"/>
              <w:right w:w="108" w:type="dxa"/>
            </w:tcMar>
            <w:hideMark/>
          </w:tcPr>
          <w:p w14:paraId="0938A69E" w14:textId="77777777" w:rsidR="008C62A9" w:rsidRPr="00362CF5" w:rsidRDefault="008C62A9" w:rsidP="00481E0D">
            <w:pPr>
              <w:spacing w:line="240" w:lineRule="auto"/>
              <w:jc w:val="center"/>
              <w:rPr>
                <w:sz w:val="20"/>
                <w:szCs w:val="20"/>
              </w:rPr>
            </w:pPr>
            <w:r w:rsidRPr="00362CF5">
              <w:rPr>
                <w:color w:val="000000"/>
                <w:sz w:val="20"/>
                <w:szCs w:val="20"/>
              </w:rPr>
              <w:t>2.760</w:t>
            </w:r>
          </w:p>
        </w:tc>
        <w:tc>
          <w:tcPr>
            <w:tcW w:w="1526" w:type="dxa"/>
            <w:tcMar>
              <w:top w:w="0" w:type="dxa"/>
              <w:left w:w="108" w:type="dxa"/>
              <w:bottom w:w="0" w:type="dxa"/>
              <w:right w:w="108" w:type="dxa"/>
            </w:tcMar>
            <w:hideMark/>
          </w:tcPr>
          <w:p w14:paraId="5D5CB5C4" w14:textId="77777777" w:rsidR="008C62A9" w:rsidRPr="00362CF5" w:rsidRDefault="008C62A9" w:rsidP="00481E0D">
            <w:pPr>
              <w:spacing w:line="240" w:lineRule="auto"/>
              <w:jc w:val="center"/>
              <w:rPr>
                <w:sz w:val="20"/>
                <w:szCs w:val="20"/>
              </w:rPr>
            </w:pPr>
            <w:r w:rsidRPr="00362CF5">
              <w:rPr>
                <w:color w:val="000000"/>
                <w:sz w:val="20"/>
                <w:szCs w:val="20"/>
              </w:rPr>
              <w:t>(1.414; 5.386)</w:t>
            </w:r>
          </w:p>
        </w:tc>
        <w:tc>
          <w:tcPr>
            <w:tcW w:w="1417" w:type="dxa"/>
            <w:tcMar>
              <w:top w:w="0" w:type="dxa"/>
              <w:left w:w="108" w:type="dxa"/>
              <w:bottom w:w="0" w:type="dxa"/>
              <w:right w:w="108" w:type="dxa"/>
            </w:tcMar>
            <w:hideMark/>
          </w:tcPr>
          <w:p w14:paraId="48B60D26" w14:textId="77777777" w:rsidR="008C62A9" w:rsidRPr="00362CF5" w:rsidRDefault="008C62A9" w:rsidP="00481E0D">
            <w:pPr>
              <w:spacing w:line="240" w:lineRule="auto"/>
              <w:rPr>
                <w:sz w:val="20"/>
                <w:szCs w:val="20"/>
              </w:rPr>
            </w:pPr>
          </w:p>
        </w:tc>
      </w:tr>
      <w:tr w:rsidR="008C62A9" w:rsidRPr="00362CF5" w14:paraId="6623CAB4" w14:textId="77777777" w:rsidTr="00481E0D">
        <w:tc>
          <w:tcPr>
            <w:tcW w:w="4395" w:type="dxa"/>
            <w:tcMar>
              <w:top w:w="0" w:type="dxa"/>
              <w:left w:w="108" w:type="dxa"/>
              <w:bottom w:w="0" w:type="dxa"/>
              <w:right w:w="108" w:type="dxa"/>
            </w:tcMar>
            <w:hideMark/>
          </w:tcPr>
          <w:p w14:paraId="63A878A1" w14:textId="77777777" w:rsidR="008C62A9" w:rsidRPr="00362CF5" w:rsidRDefault="008C62A9" w:rsidP="00481E0D">
            <w:pPr>
              <w:spacing w:line="240" w:lineRule="auto"/>
              <w:ind w:left="317"/>
              <w:rPr>
                <w:sz w:val="20"/>
                <w:szCs w:val="20"/>
              </w:rPr>
            </w:pPr>
            <w:r w:rsidRPr="00362CF5">
              <w:rPr>
                <w:color w:val="000000"/>
                <w:sz w:val="20"/>
                <w:szCs w:val="20"/>
              </w:rPr>
              <w:t>South</w:t>
            </w:r>
          </w:p>
        </w:tc>
        <w:tc>
          <w:tcPr>
            <w:tcW w:w="1417" w:type="dxa"/>
            <w:tcMar>
              <w:top w:w="0" w:type="dxa"/>
              <w:left w:w="108" w:type="dxa"/>
              <w:bottom w:w="0" w:type="dxa"/>
              <w:right w:w="108" w:type="dxa"/>
            </w:tcMar>
            <w:hideMark/>
          </w:tcPr>
          <w:p w14:paraId="51289985" w14:textId="77777777" w:rsidR="008C62A9" w:rsidRPr="00362CF5" w:rsidRDefault="008C62A9" w:rsidP="00481E0D">
            <w:pPr>
              <w:spacing w:line="240" w:lineRule="auto"/>
              <w:jc w:val="center"/>
              <w:rPr>
                <w:sz w:val="20"/>
                <w:szCs w:val="20"/>
              </w:rPr>
            </w:pPr>
            <w:r w:rsidRPr="00362CF5">
              <w:rPr>
                <w:color w:val="000000"/>
                <w:sz w:val="20"/>
                <w:szCs w:val="20"/>
              </w:rPr>
              <w:t>3.550</w:t>
            </w:r>
          </w:p>
        </w:tc>
        <w:tc>
          <w:tcPr>
            <w:tcW w:w="1526" w:type="dxa"/>
            <w:tcMar>
              <w:top w:w="0" w:type="dxa"/>
              <w:left w:w="108" w:type="dxa"/>
              <w:bottom w:w="0" w:type="dxa"/>
              <w:right w:w="108" w:type="dxa"/>
            </w:tcMar>
            <w:hideMark/>
          </w:tcPr>
          <w:p w14:paraId="1D9665C6" w14:textId="77777777" w:rsidR="008C62A9" w:rsidRPr="00362CF5" w:rsidRDefault="008C62A9" w:rsidP="00481E0D">
            <w:pPr>
              <w:spacing w:line="240" w:lineRule="auto"/>
              <w:jc w:val="center"/>
              <w:rPr>
                <w:sz w:val="20"/>
                <w:szCs w:val="20"/>
              </w:rPr>
            </w:pPr>
            <w:r w:rsidRPr="00362CF5">
              <w:rPr>
                <w:color w:val="000000"/>
                <w:sz w:val="20"/>
                <w:szCs w:val="20"/>
              </w:rPr>
              <w:t>(1.843; 6.837)</w:t>
            </w:r>
          </w:p>
        </w:tc>
        <w:tc>
          <w:tcPr>
            <w:tcW w:w="1417" w:type="dxa"/>
            <w:tcMar>
              <w:top w:w="0" w:type="dxa"/>
              <w:left w:w="108" w:type="dxa"/>
              <w:bottom w:w="0" w:type="dxa"/>
              <w:right w:w="108" w:type="dxa"/>
            </w:tcMar>
            <w:hideMark/>
          </w:tcPr>
          <w:p w14:paraId="2DCB2A55" w14:textId="77777777" w:rsidR="008C62A9" w:rsidRPr="00362CF5" w:rsidRDefault="008C62A9" w:rsidP="00481E0D">
            <w:pPr>
              <w:spacing w:line="240" w:lineRule="auto"/>
              <w:rPr>
                <w:sz w:val="20"/>
                <w:szCs w:val="20"/>
              </w:rPr>
            </w:pPr>
          </w:p>
        </w:tc>
      </w:tr>
      <w:tr w:rsidR="008C62A9" w:rsidRPr="00362CF5" w14:paraId="620FD7D8" w14:textId="77777777" w:rsidTr="00481E0D">
        <w:tc>
          <w:tcPr>
            <w:tcW w:w="4395" w:type="dxa"/>
            <w:tcMar>
              <w:top w:w="0" w:type="dxa"/>
              <w:left w:w="108" w:type="dxa"/>
              <w:bottom w:w="0" w:type="dxa"/>
              <w:right w:w="108" w:type="dxa"/>
            </w:tcMar>
            <w:hideMark/>
          </w:tcPr>
          <w:p w14:paraId="062454B4" w14:textId="77777777" w:rsidR="008C62A9" w:rsidRPr="00362CF5" w:rsidRDefault="008C62A9" w:rsidP="00481E0D">
            <w:pPr>
              <w:spacing w:line="240" w:lineRule="auto"/>
              <w:rPr>
                <w:sz w:val="20"/>
                <w:szCs w:val="20"/>
              </w:rPr>
            </w:pPr>
            <w:r w:rsidRPr="00362CF5">
              <w:rPr>
                <w:b/>
                <w:bCs/>
                <w:i/>
                <w:iCs/>
                <w:color w:val="000000"/>
                <w:sz w:val="20"/>
                <w:szCs w:val="20"/>
              </w:rPr>
              <w:t xml:space="preserve">Metabolic diseases </w:t>
            </w:r>
            <w:r w:rsidRPr="00362CF5">
              <w:rPr>
                <w:b/>
                <w:bCs/>
                <w:i/>
                <w:iCs/>
                <w:color w:val="000000"/>
                <w:sz w:val="20"/>
                <w:szCs w:val="20"/>
                <w:vertAlign w:val="superscript"/>
              </w:rPr>
              <w:t>b</w:t>
            </w:r>
          </w:p>
        </w:tc>
        <w:tc>
          <w:tcPr>
            <w:tcW w:w="1417" w:type="dxa"/>
            <w:tcMar>
              <w:top w:w="0" w:type="dxa"/>
              <w:left w:w="108" w:type="dxa"/>
              <w:bottom w:w="0" w:type="dxa"/>
              <w:right w:w="108" w:type="dxa"/>
            </w:tcMar>
            <w:hideMark/>
          </w:tcPr>
          <w:p w14:paraId="3AD233CA" w14:textId="77777777" w:rsidR="008C62A9" w:rsidRPr="00362CF5" w:rsidRDefault="008C62A9" w:rsidP="00481E0D">
            <w:pPr>
              <w:spacing w:line="240" w:lineRule="auto"/>
              <w:rPr>
                <w:sz w:val="20"/>
                <w:szCs w:val="20"/>
              </w:rPr>
            </w:pPr>
          </w:p>
        </w:tc>
        <w:tc>
          <w:tcPr>
            <w:tcW w:w="1526" w:type="dxa"/>
            <w:tcMar>
              <w:top w:w="0" w:type="dxa"/>
              <w:left w:w="108" w:type="dxa"/>
              <w:bottom w:w="0" w:type="dxa"/>
              <w:right w:w="108" w:type="dxa"/>
            </w:tcMar>
            <w:hideMark/>
          </w:tcPr>
          <w:p w14:paraId="2D19A147" w14:textId="77777777" w:rsidR="008C62A9" w:rsidRPr="00362CF5" w:rsidRDefault="008C62A9" w:rsidP="00481E0D">
            <w:pPr>
              <w:spacing w:line="240" w:lineRule="auto"/>
              <w:rPr>
                <w:sz w:val="20"/>
                <w:szCs w:val="20"/>
              </w:rPr>
            </w:pPr>
          </w:p>
        </w:tc>
        <w:tc>
          <w:tcPr>
            <w:tcW w:w="1417" w:type="dxa"/>
            <w:tcMar>
              <w:top w:w="0" w:type="dxa"/>
              <w:left w:w="108" w:type="dxa"/>
              <w:bottom w:w="0" w:type="dxa"/>
              <w:right w:w="108" w:type="dxa"/>
            </w:tcMar>
            <w:hideMark/>
          </w:tcPr>
          <w:p w14:paraId="4B4CF2EA" w14:textId="77777777" w:rsidR="008C62A9" w:rsidRPr="00362CF5" w:rsidRDefault="008C62A9" w:rsidP="00481E0D">
            <w:pPr>
              <w:spacing w:line="240" w:lineRule="auto"/>
              <w:jc w:val="center"/>
              <w:rPr>
                <w:sz w:val="20"/>
                <w:szCs w:val="20"/>
              </w:rPr>
            </w:pPr>
            <w:r w:rsidRPr="00362CF5">
              <w:rPr>
                <w:color w:val="000000"/>
                <w:sz w:val="20"/>
                <w:szCs w:val="20"/>
              </w:rPr>
              <w:t>&lt;0.001</w:t>
            </w:r>
          </w:p>
        </w:tc>
      </w:tr>
      <w:tr w:rsidR="008C62A9" w:rsidRPr="00362CF5" w14:paraId="5ACBD228" w14:textId="77777777" w:rsidTr="00481E0D">
        <w:tc>
          <w:tcPr>
            <w:tcW w:w="4395" w:type="dxa"/>
            <w:tcMar>
              <w:top w:w="0" w:type="dxa"/>
              <w:left w:w="108" w:type="dxa"/>
              <w:bottom w:w="0" w:type="dxa"/>
              <w:right w:w="108" w:type="dxa"/>
            </w:tcMar>
            <w:hideMark/>
          </w:tcPr>
          <w:p w14:paraId="14D85555" w14:textId="77777777" w:rsidR="008C62A9" w:rsidRPr="00362CF5" w:rsidRDefault="008C62A9" w:rsidP="00481E0D">
            <w:pPr>
              <w:spacing w:line="240" w:lineRule="auto"/>
              <w:ind w:left="317"/>
              <w:rPr>
                <w:sz w:val="20"/>
                <w:szCs w:val="20"/>
              </w:rPr>
            </w:pPr>
            <w:r w:rsidRPr="00362CF5">
              <w:rPr>
                <w:color w:val="000000"/>
                <w:sz w:val="20"/>
                <w:szCs w:val="20"/>
              </w:rPr>
              <w:t>No</w:t>
            </w:r>
          </w:p>
        </w:tc>
        <w:tc>
          <w:tcPr>
            <w:tcW w:w="1417" w:type="dxa"/>
            <w:tcMar>
              <w:top w:w="0" w:type="dxa"/>
              <w:left w:w="108" w:type="dxa"/>
              <w:bottom w:w="0" w:type="dxa"/>
              <w:right w:w="108" w:type="dxa"/>
            </w:tcMar>
            <w:hideMark/>
          </w:tcPr>
          <w:p w14:paraId="4A4E6BE1"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Mar>
              <w:top w:w="0" w:type="dxa"/>
              <w:left w:w="108" w:type="dxa"/>
              <w:bottom w:w="0" w:type="dxa"/>
              <w:right w:w="108" w:type="dxa"/>
            </w:tcMar>
            <w:hideMark/>
          </w:tcPr>
          <w:p w14:paraId="3D8D73F3"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Mar>
              <w:top w:w="0" w:type="dxa"/>
              <w:left w:w="108" w:type="dxa"/>
              <w:bottom w:w="0" w:type="dxa"/>
              <w:right w:w="108" w:type="dxa"/>
            </w:tcMar>
            <w:hideMark/>
          </w:tcPr>
          <w:p w14:paraId="76A6099D" w14:textId="77777777" w:rsidR="008C62A9" w:rsidRPr="00362CF5" w:rsidRDefault="008C62A9" w:rsidP="00481E0D">
            <w:pPr>
              <w:spacing w:line="240" w:lineRule="auto"/>
              <w:rPr>
                <w:sz w:val="20"/>
                <w:szCs w:val="20"/>
              </w:rPr>
            </w:pPr>
          </w:p>
        </w:tc>
      </w:tr>
      <w:tr w:rsidR="008C62A9" w:rsidRPr="00362CF5" w14:paraId="494B29D3" w14:textId="77777777" w:rsidTr="00481E0D">
        <w:tc>
          <w:tcPr>
            <w:tcW w:w="4395" w:type="dxa"/>
            <w:tcMar>
              <w:top w:w="0" w:type="dxa"/>
              <w:left w:w="108" w:type="dxa"/>
              <w:bottom w:w="0" w:type="dxa"/>
              <w:right w:w="108" w:type="dxa"/>
            </w:tcMar>
            <w:hideMark/>
          </w:tcPr>
          <w:p w14:paraId="584A27C4" w14:textId="77777777" w:rsidR="008C62A9" w:rsidRPr="00362CF5" w:rsidRDefault="008C62A9" w:rsidP="00481E0D">
            <w:pPr>
              <w:spacing w:line="240" w:lineRule="auto"/>
              <w:ind w:left="317"/>
              <w:rPr>
                <w:sz w:val="20"/>
                <w:szCs w:val="20"/>
              </w:rPr>
            </w:pPr>
            <w:r w:rsidRPr="00362CF5">
              <w:rPr>
                <w:color w:val="000000"/>
                <w:sz w:val="20"/>
                <w:szCs w:val="20"/>
              </w:rPr>
              <w:t>Yes</w:t>
            </w:r>
          </w:p>
        </w:tc>
        <w:tc>
          <w:tcPr>
            <w:tcW w:w="1417" w:type="dxa"/>
            <w:tcMar>
              <w:top w:w="0" w:type="dxa"/>
              <w:left w:w="108" w:type="dxa"/>
              <w:bottom w:w="0" w:type="dxa"/>
              <w:right w:w="108" w:type="dxa"/>
            </w:tcMar>
            <w:hideMark/>
          </w:tcPr>
          <w:p w14:paraId="2FE45EE0" w14:textId="77777777" w:rsidR="008C62A9" w:rsidRPr="00362CF5" w:rsidRDefault="008C62A9" w:rsidP="00481E0D">
            <w:pPr>
              <w:spacing w:line="240" w:lineRule="auto"/>
              <w:jc w:val="center"/>
              <w:rPr>
                <w:sz w:val="20"/>
                <w:szCs w:val="20"/>
              </w:rPr>
            </w:pPr>
            <w:r w:rsidRPr="00362CF5">
              <w:rPr>
                <w:color w:val="000000"/>
                <w:sz w:val="20"/>
                <w:szCs w:val="20"/>
              </w:rPr>
              <w:t>9.778</w:t>
            </w:r>
          </w:p>
        </w:tc>
        <w:tc>
          <w:tcPr>
            <w:tcW w:w="1526" w:type="dxa"/>
            <w:tcMar>
              <w:top w:w="0" w:type="dxa"/>
              <w:left w:w="108" w:type="dxa"/>
              <w:bottom w:w="0" w:type="dxa"/>
              <w:right w:w="108" w:type="dxa"/>
            </w:tcMar>
            <w:hideMark/>
          </w:tcPr>
          <w:p w14:paraId="67187497" w14:textId="77777777" w:rsidR="008C62A9" w:rsidRPr="00362CF5" w:rsidRDefault="008C62A9" w:rsidP="00481E0D">
            <w:pPr>
              <w:spacing w:line="240" w:lineRule="auto"/>
              <w:jc w:val="center"/>
              <w:rPr>
                <w:sz w:val="20"/>
                <w:szCs w:val="20"/>
              </w:rPr>
            </w:pPr>
            <w:r w:rsidRPr="00362CF5">
              <w:rPr>
                <w:color w:val="000000"/>
                <w:sz w:val="20"/>
                <w:szCs w:val="20"/>
              </w:rPr>
              <w:t>(6.554; 14.587)</w:t>
            </w:r>
          </w:p>
        </w:tc>
        <w:tc>
          <w:tcPr>
            <w:tcW w:w="1417" w:type="dxa"/>
            <w:tcMar>
              <w:top w:w="0" w:type="dxa"/>
              <w:left w:w="108" w:type="dxa"/>
              <w:bottom w:w="0" w:type="dxa"/>
              <w:right w:w="108" w:type="dxa"/>
            </w:tcMar>
            <w:hideMark/>
          </w:tcPr>
          <w:p w14:paraId="303DAE0E" w14:textId="77777777" w:rsidR="008C62A9" w:rsidRPr="00362CF5" w:rsidRDefault="008C62A9" w:rsidP="00481E0D">
            <w:pPr>
              <w:spacing w:line="240" w:lineRule="auto"/>
              <w:rPr>
                <w:sz w:val="20"/>
                <w:szCs w:val="20"/>
              </w:rPr>
            </w:pPr>
          </w:p>
        </w:tc>
      </w:tr>
      <w:tr w:rsidR="008C62A9" w:rsidRPr="00362CF5" w14:paraId="4CE0075E" w14:textId="77777777" w:rsidTr="00481E0D">
        <w:tc>
          <w:tcPr>
            <w:tcW w:w="4395" w:type="dxa"/>
            <w:tcMar>
              <w:top w:w="0" w:type="dxa"/>
              <w:left w:w="108" w:type="dxa"/>
              <w:bottom w:w="0" w:type="dxa"/>
              <w:right w:w="108" w:type="dxa"/>
            </w:tcMar>
            <w:hideMark/>
          </w:tcPr>
          <w:p w14:paraId="63905C37" w14:textId="77777777" w:rsidR="008C62A9" w:rsidRPr="00362CF5" w:rsidRDefault="008C62A9" w:rsidP="00481E0D">
            <w:pPr>
              <w:spacing w:line="240" w:lineRule="auto"/>
              <w:rPr>
                <w:sz w:val="20"/>
                <w:szCs w:val="20"/>
              </w:rPr>
            </w:pPr>
            <w:r w:rsidRPr="00362CF5">
              <w:rPr>
                <w:b/>
                <w:bCs/>
                <w:i/>
                <w:iCs/>
                <w:color w:val="000000"/>
                <w:sz w:val="20"/>
                <w:szCs w:val="20"/>
              </w:rPr>
              <w:t>Heart diseases</w:t>
            </w:r>
          </w:p>
        </w:tc>
        <w:tc>
          <w:tcPr>
            <w:tcW w:w="1417" w:type="dxa"/>
            <w:tcMar>
              <w:top w:w="0" w:type="dxa"/>
              <w:left w:w="108" w:type="dxa"/>
              <w:bottom w:w="0" w:type="dxa"/>
              <w:right w:w="108" w:type="dxa"/>
            </w:tcMar>
            <w:hideMark/>
          </w:tcPr>
          <w:p w14:paraId="342E9EA5" w14:textId="77777777" w:rsidR="008C62A9" w:rsidRPr="00362CF5" w:rsidRDefault="008C62A9" w:rsidP="00481E0D">
            <w:pPr>
              <w:spacing w:line="240" w:lineRule="auto"/>
              <w:rPr>
                <w:sz w:val="20"/>
                <w:szCs w:val="20"/>
              </w:rPr>
            </w:pPr>
          </w:p>
        </w:tc>
        <w:tc>
          <w:tcPr>
            <w:tcW w:w="1526" w:type="dxa"/>
            <w:tcMar>
              <w:top w:w="0" w:type="dxa"/>
              <w:left w:w="108" w:type="dxa"/>
              <w:bottom w:w="0" w:type="dxa"/>
              <w:right w:w="108" w:type="dxa"/>
            </w:tcMar>
            <w:hideMark/>
          </w:tcPr>
          <w:p w14:paraId="7B88F2A9" w14:textId="77777777" w:rsidR="008C62A9" w:rsidRPr="00362CF5" w:rsidRDefault="008C62A9" w:rsidP="00481E0D">
            <w:pPr>
              <w:spacing w:line="240" w:lineRule="auto"/>
              <w:rPr>
                <w:sz w:val="20"/>
                <w:szCs w:val="20"/>
              </w:rPr>
            </w:pPr>
          </w:p>
        </w:tc>
        <w:tc>
          <w:tcPr>
            <w:tcW w:w="1417" w:type="dxa"/>
            <w:tcMar>
              <w:top w:w="0" w:type="dxa"/>
              <w:left w:w="108" w:type="dxa"/>
              <w:bottom w:w="0" w:type="dxa"/>
              <w:right w:w="108" w:type="dxa"/>
            </w:tcMar>
            <w:hideMark/>
          </w:tcPr>
          <w:p w14:paraId="4FD22B9D" w14:textId="77777777" w:rsidR="008C62A9" w:rsidRPr="00362CF5" w:rsidRDefault="008C62A9" w:rsidP="00481E0D">
            <w:pPr>
              <w:spacing w:line="240" w:lineRule="auto"/>
              <w:jc w:val="center"/>
              <w:rPr>
                <w:sz w:val="20"/>
                <w:szCs w:val="20"/>
              </w:rPr>
            </w:pPr>
            <w:r w:rsidRPr="00362CF5">
              <w:rPr>
                <w:color w:val="000000"/>
                <w:sz w:val="20"/>
                <w:szCs w:val="20"/>
              </w:rPr>
              <w:t>&lt;0.001</w:t>
            </w:r>
          </w:p>
        </w:tc>
      </w:tr>
      <w:tr w:rsidR="008C62A9" w:rsidRPr="00362CF5" w14:paraId="1AD67A07" w14:textId="77777777" w:rsidTr="00481E0D">
        <w:tc>
          <w:tcPr>
            <w:tcW w:w="4395" w:type="dxa"/>
            <w:tcMar>
              <w:top w:w="0" w:type="dxa"/>
              <w:left w:w="108" w:type="dxa"/>
              <w:bottom w:w="0" w:type="dxa"/>
              <w:right w:w="108" w:type="dxa"/>
            </w:tcMar>
            <w:hideMark/>
          </w:tcPr>
          <w:p w14:paraId="4987791D" w14:textId="77777777" w:rsidR="008C62A9" w:rsidRPr="00362CF5" w:rsidRDefault="008C62A9" w:rsidP="00481E0D">
            <w:pPr>
              <w:spacing w:line="240" w:lineRule="auto"/>
              <w:ind w:left="317"/>
              <w:rPr>
                <w:sz w:val="20"/>
                <w:szCs w:val="20"/>
              </w:rPr>
            </w:pPr>
            <w:r w:rsidRPr="00362CF5">
              <w:rPr>
                <w:color w:val="000000"/>
                <w:sz w:val="20"/>
                <w:szCs w:val="20"/>
              </w:rPr>
              <w:t>No</w:t>
            </w:r>
          </w:p>
        </w:tc>
        <w:tc>
          <w:tcPr>
            <w:tcW w:w="1417" w:type="dxa"/>
            <w:tcMar>
              <w:top w:w="0" w:type="dxa"/>
              <w:left w:w="108" w:type="dxa"/>
              <w:bottom w:w="0" w:type="dxa"/>
              <w:right w:w="108" w:type="dxa"/>
            </w:tcMar>
            <w:hideMark/>
          </w:tcPr>
          <w:p w14:paraId="6D3E30D0"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Mar>
              <w:top w:w="0" w:type="dxa"/>
              <w:left w:w="108" w:type="dxa"/>
              <w:bottom w:w="0" w:type="dxa"/>
              <w:right w:w="108" w:type="dxa"/>
            </w:tcMar>
            <w:hideMark/>
          </w:tcPr>
          <w:p w14:paraId="05E38F41"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Mar>
              <w:top w:w="0" w:type="dxa"/>
              <w:left w:w="108" w:type="dxa"/>
              <w:bottom w:w="0" w:type="dxa"/>
              <w:right w:w="108" w:type="dxa"/>
            </w:tcMar>
            <w:hideMark/>
          </w:tcPr>
          <w:p w14:paraId="05FB757A" w14:textId="77777777" w:rsidR="008C62A9" w:rsidRPr="00362CF5" w:rsidRDefault="008C62A9" w:rsidP="00481E0D">
            <w:pPr>
              <w:spacing w:line="240" w:lineRule="auto"/>
              <w:rPr>
                <w:sz w:val="20"/>
                <w:szCs w:val="20"/>
              </w:rPr>
            </w:pPr>
          </w:p>
        </w:tc>
      </w:tr>
      <w:tr w:rsidR="008C62A9" w:rsidRPr="00362CF5" w14:paraId="6173A253" w14:textId="77777777" w:rsidTr="00481E0D">
        <w:tc>
          <w:tcPr>
            <w:tcW w:w="4395" w:type="dxa"/>
            <w:tcMar>
              <w:top w:w="0" w:type="dxa"/>
              <w:left w:w="108" w:type="dxa"/>
              <w:bottom w:w="0" w:type="dxa"/>
              <w:right w:w="108" w:type="dxa"/>
            </w:tcMar>
            <w:hideMark/>
          </w:tcPr>
          <w:p w14:paraId="31141491" w14:textId="77777777" w:rsidR="008C62A9" w:rsidRPr="00362CF5" w:rsidRDefault="008C62A9" w:rsidP="00481E0D">
            <w:pPr>
              <w:spacing w:line="240" w:lineRule="auto"/>
              <w:ind w:left="317"/>
              <w:rPr>
                <w:sz w:val="20"/>
                <w:szCs w:val="20"/>
              </w:rPr>
            </w:pPr>
            <w:r w:rsidRPr="00362CF5">
              <w:rPr>
                <w:color w:val="000000"/>
                <w:sz w:val="20"/>
                <w:szCs w:val="20"/>
              </w:rPr>
              <w:t>Yes</w:t>
            </w:r>
          </w:p>
        </w:tc>
        <w:tc>
          <w:tcPr>
            <w:tcW w:w="1417" w:type="dxa"/>
            <w:tcMar>
              <w:top w:w="0" w:type="dxa"/>
              <w:left w:w="108" w:type="dxa"/>
              <w:bottom w:w="0" w:type="dxa"/>
              <w:right w:w="108" w:type="dxa"/>
            </w:tcMar>
            <w:hideMark/>
          </w:tcPr>
          <w:p w14:paraId="6A65D717" w14:textId="77777777" w:rsidR="008C62A9" w:rsidRPr="00362CF5" w:rsidRDefault="008C62A9" w:rsidP="00481E0D">
            <w:pPr>
              <w:spacing w:line="240" w:lineRule="auto"/>
              <w:jc w:val="center"/>
              <w:rPr>
                <w:sz w:val="20"/>
                <w:szCs w:val="20"/>
              </w:rPr>
            </w:pPr>
            <w:r w:rsidRPr="00362CF5">
              <w:rPr>
                <w:color w:val="000000"/>
                <w:sz w:val="20"/>
                <w:szCs w:val="20"/>
              </w:rPr>
              <w:t>1.570</w:t>
            </w:r>
          </w:p>
        </w:tc>
        <w:tc>
          <w:tcPr>
            <w:tcW w:w="1526" w:type="dxa"/>
            <w:tcMar>
              <w:top w:w="0" w:type="dxa"/>
              <w:left w:w="108" w:type="dxa"/>
              <w:bottom w:w="0" w:type="dxa"/>
              <w:right w:w="108" w:type="dxa"/>
            </w:tcMar>
            <w:hideMark/>
          </w:tcPr>
          <w:p w14:paraId="5FF97415" w14:textId="77777777" w:rsidR="008C62A9" w:rsidRPr="00362CF5" w:rsidRDefault="008C62A9" w:rsidP="00481E0D">
            <w:pPr>
              <w:spacing w:line="240" w:lineRule="auto"/>
              <w:jc w:val="center"/>
              <w:rPr>
                <w:sz w:val="20"/>
                <w:szCs w:val="20"/>
              </w:rPr>
            </w:pPr>
            <w:r w:rsidRPr="00362CF5">
              <w:rPr>
                <w:color w:val="000000"/>
                <w:sz w:val="20"/>
                <w:szCs w:val="20"/>
              </w:rPr>
              <w:t>(1.112; 2.218)</w:t>
            </w:r>
          </w:p>
        </w:tc>
        <w:tc>
          <w:tcPr>
            <w:tcW w:w="1417" w:type="dxa"/>
            <w:tcMar>
              <w:top w:w="0" w:type="dxa"/>
              <w:left w:w="108" w:type="dxa"/>
              <w:bottom w:w="0" w:type="dxa"/>
              <w:right w:w="108" w:type="dxa"/>
            </w:tcMar>
            <w:hideMark/>
          </w:tcPr>
          <w:p w14:paraId="7FE72497" w14:textId="77777777" w:rsidR="008C62A9" w:rsidRPr="00362CF5" w:rsidRDefault="008C62A9" w:rsidP="00481E0D">
            <w:pPr>
              <w:spacing w:line="240" w:lineRule="auto"/>
              <w:rPr>
                <w:sz w:val="20"/>
                <w:szCs w:val="20"/>
              </w:rPr>
            </w:pPr>
          </w:p>
        </w:tc>
      </w:tr>
      <w:tr w:rsidR="008C62A9" w:rsidRPr="00362CF5" w14:paraId="4069F885" w14:textId="77777777" w:rsidTr="00481E0D">
        <w:tc>
          <w:tcPr>
            <w:tcW w:w="4395" w:type="dxa"/>
            <w:tcMar>
              <w:top w:w="0" w:type="dxa"/>
              <w:left w:w="108" w:type="dxa"/>
              <w:bottom w:w="0" w:type="dxa"/>
              <w:right w:w="108" w:type="dxa"/>
            </w:tcMar>
            <w:hideMark/>
          </w:tcPr>
          <w:p w14:paraId="2C273287" w14:textId="77777777" w:rsidR="008C62A9" w:rsidRPr="00362CF5" w:rsidRDefault="008C62A9" w:rsidP="00481E0D">
            <w:pPr>
              <w:spacing w:line="240" w:lineRule="auto"/>
              <w:rPr>
                <w:sz w:val="20"/>
                <w:szCs w:val="20"/>
              </w:rPr>
            </w:pPr>
            <w:r w:rsidRPr="00362CF5">
              <w:rPr>
                <w:b/>
                <w:bCs/>
                <w:i/>
                <w:iCs/>
                <w:color w:val="000000"/>
                <w:sz w:val="20"/>
                <w:szCs w:val="20"/>
              </w:rPr>
              <w:t>Number of drugs used</w:t>
            </w:r>
          </w:p>
        </w:tc>
        <w:tc>
          <w:tcPr>
            <w:tcW w:w="1417" w:type="dxa"/>
            <w:tcMar>
              <w:top w:w="0" w:type="dxa"/>
              <w:left w:w="108" w:type="dxa"/>
              <w:bottom w:w="0" w:type="dxa"/>
              <w:right w:w="108" w:type="dxa"/>
            </w:tcMar>
            <w:hideMark/>
          </w:tcPr>
          <w:p w14:paraId="76CA3FDA" w14:textId="77777777" w:rsidR="008C62A9" w:rsidRPr="00362CF5" w:rsidRDefault="008C62A9" w:rsidP="00481E0D">
            <w:pPr>
              <w:spacing w:line="240" w:lineRule="auto"/>
              <w:rPr>
                <w:sz w:val="20"/>
                <w:szCs w:val="20"/>
              </w:rPr>
            </w:pPr>
          </w:p>
        </w:tc>
        <w:tc>
          <w:tcPr>
            <w:tcW w:w="1526" w:type="dxa"/>
            <w:tcMar>
              <w:top w:w="0" w:type="dxa"/>
              <w:left w:w="108" w:type="dxa"/>
              <w:bottom w:w="0" w:type="dxa"/>
              <w:right w:w="108" w:type="dxa"/>
            </w:tcMar>
            <w:hideMark/>
          </w:tcPr>
          <w:p w14:paraId="48009418" w14:textId="77777777" w:rsidR="008C62A9" w:rsidRPr="00362CF5" w:rsidRDefault="008C62A9" w:rsidP="00481E0D">
            <w:pPr>
              <w:spacing w:line="240" w:lineRule="auto"/>
              <w:rPr>
                <w:sz w:val="20"/>
                <w:szCs w:val="20"/>
              </w:rPr>
            </w:pPr>
          </w:p>
        </w:tc>
        <w:tc>
          <w:tcPr>
            <w:tcW w:w="1417" w:type="dxa"/>
            <w:tcMar>
              <w:top w:w="0" w:type="dxa"/>
              <w:left w:w="108" w:type="dxa"/>
              <w:bottom w:w="0" w:type="dxa"/>
              <w:right w:w="108" w:type="dxa"/>
            </w:tcMar>
            <w:hideMark/>
          </w:tcPr>
          <w:p w14:paraId="593E26F9" w14:textId="77777777" w:rsidR="008C62A9" w:rsidRPr="00362CF5" w:rsidRDefault="008C62A9" w:rsidP="00481E0D">
            <w:pPr>
              <w:spacing w:line="240" w:lineRule="auto"/>
              <w:jc w:val="center"/>
              <w:rPr>
                <w:sz w:val="20"/>
                <w:szCs w:val="20"/>
              </w:rPr>
            </w:pPr>
            <w:r w:rsidRPr="00362CF5">
              <w:rPr>
                <w:color w:val="000000"/>
                <w:sz w:val="20"/>
                <w:szCs w:val="20"/>
              </w:rPr>
              <w:t>&lt;0.001</w:t>
            </w:r>
          </w:p>
        </w:tc>
      </w:tr>
      <w:tr w:rsidR="008C62A9" w:rsidRPr="00362CF5" w14:paraId="3AA96C15" w14:textId="77777777" w:rsidTr="00481E0D">
        <w:tc>
          <w:tcPr>
            <w:tcW w:w="4395" w:type="dxa"/>
            <w:tcMar>
              <w:top w:w="0" w:type="dxa"/>
              <w:left w:w="108" w:type="dxa"/>
              <w:bottom w:w="0" w:type="dxa"/>
              <w:right w:w="108" w:type="dxa"/>
            </w:tcMar>
            <w:hideMark/>
          </w:tcPr>
          <w:p w14:paraId="3C6FECE5" w14:textId="77777777" w:rsidR="008C62A9" w:rsidRPr="00362CF5" w:rsidRDefault="008C62A9" w:rsidP="00481E0D">
            <w:pPr>
              <w:spacing w:line="240" w:lineRule="auto"/>
              <w:ind w:left="317"/>
              <w:rPr>
                <w:sz w:val="20"/>
                <w:szCs w:val="20"/>
              </w:rPr>
            </w:pPr>
            <w:r w:rsidRPr="00362CF5">
              <w:rPr>
                <w:color w:val="000000"/>
                <w:sz w:val="20"/>
                <w:szCs w:val="20"/>
              </w:rPr>
              <w:t>1</w:t>
            </w:r>
          </w:p>
        </w:tc>
        <w:tc>
          <w:tcPr>
            <w:tcW w:w="1417" w:type="dxa"/>
            <w:tcMar>
              <w:top w:w="0" w:type="dxa"/>
              <w:left w:w="108" w:type="dxa"/>
              <w:bottom w:w="0" w:type="dxa"/>
              <w:right w:w="108" w:type="dxa"/>
            </w:tcMar>
            <w:hideMark/>
          </w:tcPr>
          <w:p w14:paraId="2CDFDA38"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Mar>
              <w:top w:w="0" w:type="dxa"/>
              <w:left w:w="108" w:type="dxa"/>
              <w:bottom w:w="0" w:type="dxa"/>
              <w:right w:w="108" w:type="dxa"/>
            </w:tcMar>
            <w:hideMark/>
          </w:tcPr>
          <w:p w14:paraId="22C365B2"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Mar>
              <w:top w:w="0" w:type="dxa"/>
              <w:left w:w="108" w:type="dxa"/>
              <w:bottom w:w="0" w:type="dxa"/>
              <w:right w:w="108" w:type="dxa"/>
            </w:tcMar>
            <w:hideMark/>
          </w:tcPr>
          <w:p w14:paraId="3D211EDA" w14:textId="77777777" w:rsidR="008C62A9" w:rsidRPr="00362CF5" w:rsidRDefault="008C62A9" w:rsidP="00481E0D">
            <w:pPr>
              <w:spacing w:line="240" w:lineRule="auto"/>
              <w:rPr>
                <w:sz w:val="20"/>
                <w:szCs w:val="20"/>
              </w:rPr>
            </w:pPr>
          </w:p>
        </w:tc>
      </w:tr>
      <w:tr w:rsidR="008C62A9" w:rsidRPr="00362CF5" w14:paraId="15845108" w14:textId="77777777" w:rsidTr="00481E0D">
        <w:tc>
          <w:tcPr>
            <w:tcW w:w="4395" w:type="dxa"/>
            <w:tcMar>
              <w:top w:w="0" w:type="dxa"/>
              <w:left w:w="108" w:type="dxa"/>
              <w:bottom w:w="0" w:type="dxa"/>
              <w:right w:w="108" w:type="dxa"/>
            </w:tcMar>
            <w:hideMark/>
          </w:tcPr>
          <w:p w14:paraId="10A44822" w14:textId="77777777" w:rsidR="008C62A9" w:rsidRPr="00362CF5" w:rsidRDefault="008C62A9" w:rsidP="00481E0D">
            <w:pPr>
              <w:spacing w:line="240" w:lineRule="auto"/>
              <w:ind w:left="317"/>
              <w:rPr>
                <w:sz w:val="20"/>
                <w:szCs w:val="20"/>
              </w:rPr>
            </w:pPr>
            <w:r w:rsidRPr="00362CF5">
              <w:rPr>
                <w:color w:val="000000"/>
                <w:sz w:val="20"/>
                <w:szCs w:val="20"/>
              </w:rPr>
              <w:t>2-4</w:t>
            </w:r>
          </w:p>
        </w:tc>
        <w:tc>
          <w:tcPr>
            <w:tcW w:w="1417" w:type="dxa"/>
            <w:tcMar>
              <w:top w:w="0" w:type="dxa"/>
              <w:left w:w="108" w:type="dxa"/>
              <w:bottom w:w="0" w:type="dxa"/>
              <w:right w:w="108" w:type="dxa"/>
            </w:tcMar>
            <w:hideMark/>
          </w:tcPr>
          <w:p w14:paraId="0970066A" w14:textId="77777777" w:rsidR="008C62A9" w:rsidRPr="00362CF5" w:rsidRDefault="008C62A9" w:rsidP="00481E0D">
            <w:pPr>
              <w:spacing w:line="240" w:lineRule="auto"/>
              <w:jc w:val="center"/>
              <w:rPr>
                <w:sz w:val="20"/>
                <w:szCs w:val="20"/>
              </w:rPr>
            </w:pPr>
            <w:r w:rsidRPr="00362CF5">
              <w:rPr>
                <w:color w:val="000000"/>
                <w:sz w:val="20"/>
                <w:szCs w:val="20"/>
              </w:rPr>
              <w:t>2.805</w:t>
            </w:r>
          </w:p>
        </w:tc>
        <w:tc>
          <w:tcPr>
            <w:tcW w:w="1526" w:type="dxa"/>
            <w:tcMar>
              <w:top w:w="0" w:type="dxa"/>
              <w:left w:w="108" w:type="dxa"/>
              <w:bottom w:w="0" w:type="dxa"/>
              <w:right w:w="108" w:type="dxa"/>
            </w:tcMar>
            <w:hideMark/>
          </w:tcPr>
          <w:p w14:paraId="29B2BD9E" w14:textId="77777777" w:rsidR="008C62A9" w:rsidRPr="00362CF5" w:rsidRDefault="008C62A9" w:rsidP="00481E0D">
            <w:pPr>
              <w:spacing w:line="240" w:lineRule="auto"/>
              <w:jc w:val="center"/>
              <w:rPr>
                <w:sz w:val="20"/>
                <w:szCs w:val="20"/>
              </w:rPr>
            </w:pPr>
            <w:r w:rsidRPr="00362CF5">
              <w:rPr>
                <w:color w:val="000000"/>
                <w:sz w:val="20"/>
                <w:szCs w:val="20"/>
              </w:rPr>
              <w:t>(1.844; 4.268)</w:t>
            </w:r>
          </w:p>
        </w:tc>
        <w:tc>
          <w:tcPr>
            <w:tcW w:w="1417" w:type="dxa"/>
            <w:tcMar>
              <w:top w:w="0" w:type="dxa"/>
              <w:left w:w="108" w:type="dxa"/>
              <w:bottom w:w="0" w:type="dxa"/>
              <w:right w:w="108" w:type="dxa"/>
            </w:tcMar>
            <w:hideMark/>
          </w:tcPr>
          <w:p w14:paraId="49211736" w14:textId="77777777" w:rsidR="008C62A9" w:rsidRPr="00362CF5" w:rsidRDefault="008C62A9" w:rsidP="00481E0D">
            <w:pPr>
              <w:spacing w:line="240" w:lineRule="auto"/>
              <w:rPr>
                <w:sz w:val="20"/>
                <w:szCs w:val="20"/>
              </w:rPr>
            </w:pPr>
          </w:p>
        </w:tc>
      </w:tr>
      <w:tr w:rsidR="008C62A9" w:rsidRPr="00362CF5" w14:paraId="5DE0B19E" w14:textId="77777777" w:rsidTr="00481E0D">
        <w:tc>
          <w:tcPr>
            <w:tcW w:w="4395" w:type="dxa"/>
            <w:tcMar>
              <w:top w:w="0" w:type="dxa"/>
              <w:left w:w="108" w:type="dxa"/>
              <w:bottom w:w="0" w:type="dxa"/>
              <w:right w:w="108" w:type="dxa"/>
            </w:tcMar>
            <w:hideMark/>
          </w:tcPr>
          <w:p w14:paraId="10254E4A" w14:textId="77777777" w:rsidR="008C62A9" w:rsidRPr="00362CF5" w:rsidRDefault="008C62A9" w:rsidP="00481E0D">
            <w:pPr>
              <w:spacing w:line="240" w:lineRule="auto"/>
              <w:ind w:left="317"/>
              <w:rPr>
                <w:sz w:val="20"/>
                <w:szCs w:val="20"/>
              </w:rPr>
            </w:pPr>
            <w:r w:rsidRPr="00362CF5">
              <w:rPr>
                <w:color w:val="000000"/>
                <w:sz w:val="20"/>
                <w:szCs w:val="20"/>
              </w:rPr>
              <w:t>≥ 5 (polypharmacy)</w:t>
            </w:r>
          </w:p>
        </w:tc>
        <w:tc>
          <w:tcPr>
            <w:tcW w:w="1417" w:type="dxa"/>
            <w:tcMar>
              <w:top w:w="0" w:type="dxa"/>
              <w:left w:w="108" w:type="dxa"/>
              <w:bottom w:w="0" w:type="dxa"/>
              <w:right w:w="108" w:type="dxa"/>
            </w:tcMar>
            <w:hideMark/>
          </w:tcPr>
          <w:p w14:paraId="02393112" w14:textId="77777777" w:rsidR="008C62A9" w:rsidRPr="00362CF5" w:rsidRDefault="008C62A9" w:rsidP="00481E0D">
            <w:pPr>
              <w:spacing w:line="240" w:lineRule="auto"/>
              <w:jc w:val="center"/>
              <w:rPr>
                <w:sz w:val="20"/>
                <w:szCs w:val="20"/>
              </w:rPr>
            </w:pPr>
            <w:r w:rsidRPr="00362CF5">
              <w:rPr>
                <w:color w:val="000000"/>
                <w:sz w:val="20"/>
                <w:szCs w:val="20"/>
              </w:rPr>
              <w:t>10.077</w:t>
            </w:r>
          </w:p>
        </w:tc>
        <w:tc>
          <w:tcPr>
            <w:tcW w:w="1526" w:type="dxa"/>
            <w:tcMar>
              <w:top w:w="0" w:type="dxa"/>
              <w:left w:w="108" w:type="dxa"/>
              <w:bottom w:w="0" w:type="dxa"/>
              <w:right w:w="108" w:type="dxa"/>
            </w:tcMar>
            <w:hideMark/>
          </w:tcPr>
          <w:p w14:paraId="671C3E41" w14:textId="77777777" w:rsidR="008C62A9" w:rsidRPr="00362CF5" w:rsidRDefault="008C62A9" w:rsidP="00481E0D">
            <w:pPr>
              <w:spacing w:line="240" w:lineRule="auto"/>
              <w:jc w:val="center"/>
              <w:rPr>
                <w:sz w:val="20"/>
                <w:szCs w:val="20"/>
              </w:rPr>
            </w:pPr>
            <w:r w:rsidRPr="00362CF5">
              <w:rPr>
                <w:color w:val="000000"/>
                <w:sz w:val="20"/>
                <w:szCs w:val="20"/>
              </w:rPr>
              <w:t>(6.451; 15.739)</w:t>
            </w:r>
          </w:p>
        </w:tc>
        <w:tc>
          <w:tcPr>
            <w:tcW w:w="1417" w:type="dxa"/>
            <w:tcMar>
              <w:top w:w="0" w:type="dxa"/>
              <w:left w:w="108" w:type="dxa"/>
              <w:bottom w:w="0" w:type="dxa"/>
              <w:right w:w="108" w:type="dxa"/>
            </w:tcMar>
            <w:hideMark/>
          </w:tcPr>
          <w:p w14:paraId="418D1EBB" w14:textId="77777777" w:rsidR="008C62A9" w:rsidRPr="00362CF5" w:rsidRDefault="008C62A9" w:rsidP="00481E0D">
            <w:pPr>
              <w:spacing w:line="240" w:lineRule="auto"/>
              <w:rPr>
                <w:sz w:val="20"/>
                <w:szCs w:val="20"/>
              </w:rPr>
            </w:pPr>
          </w:p>
        </w:tc>
      </w:tr>
      <w:tr w:rsidR="008C62A9" w:rsidRPr="00362CF5" w14:paraId="76D02779" w14:textId="77777777" w:rsidTr="00481E0D">
        <w:tc>
          <w:tcPr>
            <w:tcW w:w="4395" w:type="dxa"/>
            <w:tcMar>
              <w:top w:w="0" w:type="dxa"/>
              <w:left w:w="108" w:type="dxa"/>
              <w:bottom w:w="0" w:type="dxa"/>
              <w:right w:w="108" w:type="dxa"/>
            </w:tcMar>
            <w:hideMark/>
          </w:tcPr>
          <w:p w14:paraId="100AD165" w14:textId="77777777" w:rsidR="008C62A9" w:rsidRPr="00362CF5" w:rsidRDefault="008C62A9" w:rsidP="00481E0D">
            <w:pPr>
              <w:spacing w:line="240" w:lineRule="auto"/>
              <w:rPr>
                <w:sz w:val="20"/>
                <w:szCs w:val="20"/>
              </w:rPr>
            </w:pPr>
            <w:r w:rsidRPr="00362CF5">
              <w:rPr>
                <w:b/>
                <w:bCs/>
                <w:i/>
                <w:iCs/>
                <w:color w:val="000000"/>
                <w:sz w:val="20"/>
                <w:szCs w:val="20"/>
              </w:rPr>
              <w:t>Alcohol use</w:t>
            </w:r>
          </w:p>
        </w:tc>
        <w:tc>
          <w:tcPr>
            <w:tcW w:w="1417" w:type="dxa"/>
            <w:tcMar>
              <w:top w:w="0" w:type="dxa"/>
              <w:left w:w="108" w:type="dxa"/>
              <w:bottom w:w="0" w:type="dxa"/>
              <w:right w:w="108" w:type="dxa"/>
            </w:tcMar>
            <w:hideMark/>
          </w:tcPr>
          <w:p w14:paraId="0A0FBEC0" w14:textId="77777777" w:rsidR="008C62A9" w:rsidRPr="00362CF5" w:rsidRDefault="008C62A9" w:rsidP="00481E0D">
            <w:pPr>
              <w:spacing w:line="240" w:lineRule="auto"/>
              <w:rPr>
                <w:sz w:val="20"/>
                <w:szCs w:val="20"/>
              </w:rPr>
            </w:pPr>
          </w:p>
        </w:tc>
        <w:tc>
          <w:tcPr>
            <w:tcW w:w="1526" w:type="dxa"/>
            <w:tcMar>
              <w:top w:w="0" w:type="dxa"/>
              <w:left w:w="108" w:type="dxa"/>
              <w:bottom w:w="0" w:type="dxa"/>
              <w:right w:w="108" w:type="dxa"/>
            </w:tcMar>
            <w:hideMark/>
          </w:tcPr>
          <w:p w14:paraId="191581ED" w14:textId="77777777" w:rsidR="008C62A9" w:rsidRPr="00362CF5" w:rsidRDefault="008C62A9" w:rsidP="00481E0D">
            <w:pPr>
              <w:spacing w:line="240" w:lineRule="auto"/>
              <w:rPr>
                <w:sz w:val="20"/>
                <w:szCs w:val="20"/>
              </w:rPr>
            </w:pPr>
          </w:p>
        </w:tc>
        <w:tc>
          <w:tcPr>
            <w:tcW w:w="1417" w:type="dxa"/>
            <w:tcMar>
              <w:top w:w="0" w:type="dxa"/>
              <w:left w:w="108" w:type="dxa"/>
              <w:bottom w:w="0" w:type="dxa"/>
              <w:right w:w="108" w:type="dxa"/>
            </w:tcMar>
            <w:hideMark/>
          </w:tcPr>
          <w:p w14:paraId="69262116" w14:textId="77777777" w:rsidR="008C62A9" w:rsidRPr="00362CF5" w:rsidRDefault="008C62A9" w:rsidP="00481E0D">
            <w:pPr>
              <w:spacing w:line="240" w:lineRule="auto"/>
              <w:jc w:val="center"/>
              <w:rPr>
                <w:sz w:val="20"/>
                <w:szCs w:val="20"/>
              </w:rPr>
            </w:pPr>
            <w:r w:rsidRPr="00362CF5">
              <w:rPr>
                <w:color w:val="000000"/>
                <w:sz w:val="20"/>
                <w:szCs w:val="20"/>
              </w:rPr>
              <w:t>0.005</w:t>
            </w:r>
          </w:p>
        </w:tc>
      </w:tr>
      <w:tr w:rsidR="008C62A9" w:rsidRPr="00362CF5" w14:paraId="002AD466" w14:textId="77777777" w:rsidTr="00481E0D">
        <w:tc>
          <w:tcPr>
            <w:tcW w:w="4395" w:type="dxa"/>
            <w:tcMar>
              <w:top w:w="0" w:type="dxa"/>
              <w:left w:w="108" w:type="dxa"/>
              <w:bottom w:w="0" w:type="dxa"/>
              <w:right w:w="108" w:type="dxa"/>
            </w:tcMar>
            <w:hideMark/>
          </w:tcPr>
          <w:p w14:paraId="2A874F09" w14:textId="77777777" w:rsidR="008C62A9" w:rsidRPr="00362CF5" w:rsidRDefault="008C62A9" w:rsidP="00481E0D">
            <w:pPr>
              <w:spacing w:line="240" w:lineRule="auto"/>
              <w:ind w:left="317"/>
              <w:rPr>
                <w:sz w:val="20"/>
                <w:szCs w:val="20"/>
              </w:rPr>
            </w:pPr>
            <w:r w:rsidRPr="00362CF5">
              <w:rPr>
                <w:color w:val="000000"/>
                <w:sz w:val="20"/>
                <w:szCs w:val="20"/>
              </w:rPr>
              <w:t>No</w:t>
            </w:r>
          </w:p>
        </w:tc>
        <w:tc>
          <w:tcPr>
            <w:tcW w:w="1417" w:type="dxa"/>
            <w:tcMar>
              <w:top w:w="0" w:type="dxa"/>
              <w:left w:w="108" w:type="dxa"/>
              <w:bottom w:w="0" w:type="dxa"/>
              <w:right w:w="108" w:type="dxa"/>
            </w:tcMar>
            <w:hideMark/>
          </w:tcPr>
          <w:p w14:paraId="23EFCC56"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Mar>
              <w:top w:w="0" w:type="dxa"/>
              <w:left w:w="108" w:type="dxa"/>
              <w:bottom w:w="0" w:type="dxa"/>
              <w:right w:w="108" w:type="dxa"/>
            </w:tcMar>
            <w:hideMark/>
          </w:tcPr>
          <w:p w14:paraId="417EBE55"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Mar>
              <w:top w:w="0" w:type="dxa"/>
              <w:left w:w="108" w:type="dxa"/>
              <w:bottom w:w="0" w:type="dxa"/>
              <w:right w:w="108" w:type="dxa"/>
            </w:tcMar>
            <w:hideMark/>
          </w:tcPr>
          <w:p w14:paraId="36589A79" w14:textId="77777777" w:rsidR="008C62A9" w:rsidRPr="00362CF5" w:rsidRDefault="008C62A9" w:rsidP="00481E0D">
            <w:pPr>
              <w:spacing w:line="240" w:lineRule="auto"/>
              <w:rPr>
                <w:sz w:val="20"/>
                <w:szCs w:val="20"/>
              </w:rPr>
            </w:pPr>
          </w:p>
        </w:tc>
      </w:tr>
      <w:tr w:rsidR="008C62A9" w:rsidRPr="00362CF5" w14:paraId="391B5ABE" w14:textId="77777777" w:rsidTr="00481E0D">
        <w:tc>
          <w:tcPr>
            <w:tcW w:w="4395" w:type="dxa"/>
            <w:tcMar>
              <w:top w:w="0" w:type="dxa"/>
              <w:left w:w="108" w:type="dxa"/>
              <w:bottom w:w="0" w:type="dxa"/>
              <w:right w:w="108" w:type="dxa"/>
            </w:tcMar>
            <w:hideMark/>
          </w:tcPr>
          <w:p w14:paraId="062308A0" w14:textId="77777777" w:rsidR="008C62A9" w:rsidRPr="00362CF5" w:rsidRDefault="008C62A9" w:rsidP="00481E0D">
            <w:pPr>
              <w:spacing w:line="240" w:lineRule="auto"/>
              <w:ind w:left="317"/>
              <w:rPr>
                <w:sz w:val="20"/>
                <w:szCs w:val="20"/>
              </w:rPr>
            </w:pPr>
            <w:r w:rsidRPr="00362CF5">
              <w:rPr>
                <w:color w:val="000000"/>
                <w:sz w:val="20"/>
                <w:szCs w:val="20"/>
              </w:rPr>
              <w:t>Yes</w:t>
            </w:r>
          </w:p>
        </w:tc>
        <w:tc>
          <w:tcPr>
            <w:tcW w:w="1417" w:type="dxa"/>
            <w:tcMar>
              <w:top w:w="0" w:type="dxa"/>
              <w:left w:w="108" w:type="dxa"/>
              <w:bottom w:w="0" w:type="dxa"/>
              <w:right w:w="108" w:type="dxa"/>
            </w:tcMar>
            <w:hideMark/>
          </w:tcPr>
          <w:p w14:paraId="090EA51E" w14:textId="77777777" w:rsidR="008C62A9" w:rsidRPr="00362CF5" w:rsidRDefault="008C62A9" w:rsidP="00481E0D">
            <w:pPr>
              <w:spacing w:line="240" w:lineRule="auto"/>
              <w:jc w:val="center"/>
              <w:rPr>
                <w:sz w:val="20"/>
                <w:szCs w:val="20"/>
              </w:rPr>
            </w:pPr>
            <w:r w:rsidRPr="00362CF5">
              <w:rPr>
                <w:color w:val="000000"/>
                <w:sz w:val="20"/>
                <w:szCs w:val="20"/>
              </w:rPr>
              <w:t>1.414</w:t>
            </w:r>
          </w:p>
        </w:tc>
        <w:tc>
          <w:tcPr>
            <w:tcW w:w="1526" w:type="dxa"/>
            <w:tcMar>
              <w:top w:w="0" w:type="dxa"/>
              <w:left w:w="108" w:type="dxa"/>
              <w:bottom w:w="0" w:type="dxa"/>
              <w:right w:w="108" w:type="dxa"/>
            </w:tcMar>
            <w:hideMark/>
          </w:tcPr>
          <w:p w14:paraId="11E11A39" w14:textId="77777777" w:rsidR="008C62A9" w:rsidRPr="00362CF5" w:rsidRDefault="008C62A9" w:rsidP="00481E0D">
            <w:pPr>
              <w:spacing w:line="240" w:lineRule="auto"/>
              <w:jc w:val="center"/>
              <w:rPr>
                <w:sz w:val="20"/>
                <w:szCs w:val="20"/>
              </w:rPr>
            </w:pPr>
            <w:r w:rsidRPr="00362CF5">
              <w:rPr>
                <w:color w:val="000000"/>
                <w:sz w:val="20"/>
                <w:szCs w:val="20"/>
              </w:rPr>
              <w:t>(1.010; 1.982)</w:t>
            </w:r>
          </w:p>
        </w:tc>
        <w:tc>
          <w:tcPr>
            <w:tcW w:w="1417" w:type="dxa"/>
            <w:tcMar>
              <w:top w:w="0" w:type="dxa"/>
              <w:left w:w="108" w:type="dxa"/>
              <w:bottom w:w="0" w:type="dxa"/>
              <w:right w:w="108" w:type="dxa"/>
            </w:tcMar>
            <w:hideMark/>
          </w:tcPr>
          <w:p w14:paraId="03B7B159" w14:textId="77777777" w:rsidR="008C62A9" w:rsidRPr="00362CF5" w:rsidRDefault="008C62A9" w:rsidP="00481E0D">
            <w:pPr>
              <w:spacing w:line="240" w:lineRule="auto"/>
              <w:rPr>
                <w:sz w:val="20"/>
                <w:szCs w:val="20"/>
              </w:rPr>
            </w:pPr>
          </w:p>
        </w:tc>
      </w:tr>
      <w:tr w:rsidR="008C62A9" w:rsidRPr="00362CF5" w14:paraId="79BC3754" w14:textId="77777777" w:rsidTr="00481E0D">
        <w:tc>
          <w:tcPr>
            <w:tcW w:w="4395" w:type="dxa"/>
            <w:tcMar>
              <w:top w:w="0" w:type="dxa"/>
              <w:left w:w="108" w:type="dxa"/>
              <w:bottom w:w="0" w:type="dxa"/>
              <w:right w:w="108" w:type="dxa"/>
            </w:tcMar>
            <w:hideMark/>
          </w:tcPr>
          <w:p w14:paraId="6974FE14" w14:textId="77777777" w:rsidR="008C62A9" w:rsidRPr="00362CF5" w:rsidRDefault="008C62A9" w:rsidP="00481E0D">
            <w:pPr>
              <w:spacing w:line="240" w:lineRule="auto"/>
              <w:rPr>
                <w:sz w:val="20"/>
                <w:szCs w:val="20"/>
              </w:rPr>
            </w:pPr>
            <w:r w:rsidRPr="00362CF5">
              <w:rPr>
                <w:b/>
                <w:bCs/>
                <w:i/>
                <w:iCs/>
                <w:color w:val="000000"/>
                <w:sz w:val="20"/>
                <w:szCs w:val="20"/>
              </w:rPr>
              <w:t>Emergency care</w:t>
            </w:r>
          </w:p>
        </w:tc>
        <w:tc>
          <w:tcPr>
            <w:tcW w:w="1417" w:type="dxa"/>
            <w:tcMar>
              <w:top w:w="0" w:type="dxa"/>
              <w:left w:w="108" w:type="dxa"/>
              <w:bottom w:w="0" w:type="dxa"/>
              <w:right w:w="108" w:type="dxa"/>
            </w:tcMar>
            <w:hideMark/>
          </w:tcPr>
          <w:p w14:paraId="48443FB3" w14:textId="77777777" w:rsidR="008C62A9" w:rsidRPr="00362CF5" w:rsidRDefault="008C62A9" w:rsidP="00481E0D">
            <w:pPr>
              <w:spacing w:line="240" w:lineRule="auto"/>
              <w:rPr>
                <w:sz w:val="20"/>
                <w:szCs w:val="20"/>
              </w:rPr>
            </w:pPr>
          </w:p>
        </w:tc>
        <w:tc>
          <w:tcPr>
            <w:tcW w:w="1526" w:type="dxa"/>
            <w:tcMar>
              <w:top w:w="0" w:type="dxa"/>
              <w:left w:w="108" w:type="dxa"/>
              <w:bottom w:w="0" w:type="dxa"/>
              <w:right w:w="108" w:type="dxa"/>
            </w:tcMar>
            <w:hideMark/>
          </w:tcPr>
          <w:p w14:paraId="7D4C8838" w14:textId="77777777" w:rsidR="008C62A9" w:rsidRPr="00362CF5" w:rsidRDefault="008C62A9" w:rsidP="00481E0D">
            <w:pPr>
              <w:spacing w:line="240" w:lineRule="auto"/>
              <w:rPr>
                <w:sz w:val="20"/>
                <w:szCs w:val="20"/>
              </w:rPr>
            </w:pPr>
          </w:p>
        </w:tc>
        <w:tc>
          <w:tcPr>
            <w:tcW w:w="1417" w:type="dxa"/>
            <w:tcMar>
              <w:top w:w="0" w:type="dxa"/>
              <w:left w:w="108" w:type="dxa"/>
              <w:bottom w:w="0" w:type="dxa"/>
              <w:right w:w="108" w:type="dxa"/>
            </w:tcMar>
            <w:hideMark/>
          </w:tcPr>
          <w:p w14:paraId="7C12D682" w14:textId="77777777" w:rsidR="008C62A9" w:rsidRPr="00362CF5" w:rsidRDefault="008C62A9" w:rsidP="00481E0D">
            <w:pPr>
              <w:spacing w:line="240" w:lineRule="auto"/>
              <w:jc w:val="center"/>
              <w:rPr>
                <w:sz w:val="20"/>
                <w:szCs w:val="20"/>
              </w:rPr>
            </w:pPr>
            <w:r w:rsidRPr="00362CF5">
              <w:rPr>
                <w:color w:val="000000"/>
                <w:sz w:val="20"/>
                <w:szCs w:val="20"/>
              </w:rPr>
              <w:t>&lt;0.001</w:t>
            </w:r>
          </w:p>
        </w:tc>
      </w:tr>
      <w:tr w:rsidR="008C62A9" w:rsidRPr="00362CF5" w14:paraId="604BBE08" w14:textId="77777777" w:rsidTr="00481E0D">
        <w:tc>
          <w:tcPr>
            <w:tcW w:w="4395" w:type="dxa"/>
            <w:tcMar>
              <w:top w:w="0" w:type="dxa"/>
              <w:left w:w="108" w:type="dxa"/>
              <w:bottom w:w="0" w:type="dxa"/>
              <w:right w:w="108" w:type="dxa"/>
            </w:tcMar>
            <w:hideMark/>
          </w:tcPr>
          <w:p w14:paraId="44A38654" w14:textId="77777777" w:rsidR="008C62A9" w:rsidRPr="00362CF5" w:rsidRDefault="008C62A9" w:rsidP="00481E0D">
            <w:pPr>
              <w:spacing w:line="240" w:lineRule="auto"/>
              <w:ind w:left="317"/>
              <w:rPr>
                <w:sz w:val="20"/>
                <w:szCs w:val="20"/>
              </w:rPr>
            </w:pPr>
            <w:r w:rsidRPr="00362CF5">
              <w:rPr>
                <w:color w:val="000000"/>
                <w:sz w:val="20"/>
                <w:szCs w:val="20"/>
              </w:rPr>
              <w:t>No</w:t>
            </w:r>
          </w:p>
        </w:tc>
        <w:tc>
          <w:tcPr>
            <w:tcW w:w="1417" w:type="dxa"/>
            <w:tcMar>
              <w:top w:w="0" w:type="dxa"/>
              <w:left w:w="108" w:type="dxa"/>
              <w:bottom w:w="0" w:type="dxa"/>
              <w:right w:w="108" w:type="dxa"/>
            </w:tcMar>
            <w:hideMark/>
          </w:tcPr>
          <w:p w14:paraId="5065253F" w14:textId="77777777" w:rsidR="008C62A9" w:rsidRPr="00362CF5" w:rsidRDefault="008C62A9" w:rsidP="00481E0D">
            <w:pPr>
              <w:spacing w:line="240" w:lineRule="auto"/>
              <w:jc w:val="center"/>
              <w:rPr>
                <w:sz w:val="20"/>
                <w:szCs w:val="20"/>
              </w:rPr>
            </w:pPr>
            <w:r w:rsidRPr="00362CF5">
              <w:rPr>
                <w:color w:val="000000"/>
                <w:sz w:val="20"/>
                <w:szCs w:val="20"/>
              </w:rPr>
              <w:t>1.866</w:t>
            </w:r>
          </w:p>
        </w:tc>
        <w:tc>
          <w:tcPr>
            <w:tcW w:w="1526" w:type="dxa"/>
            <w:tcMar>
              <w:top w:w="0" w:type="dxa"/>
              <w:left w:w="108" w:type="dxa"/>
              <w:bottom w:w="0" w:type="dxa"/>
              <w:right w:w="108" w:type="dxa"/>
            </w:tcMar>
            <w:hideMark/>
          </w:tcPr>
          <w:p w14:paraId="5352CED5" w14:textId="77777777" w:rsidR="008C62A9" w:rsidRPr="00362CF5" w:rsidRDefault="008C62A9" w:rsidP="00481E0D">
            <w:pPr>
              <w:spacing w:line="240" w:lineRule="auto"/>
              <w:jc w:val="center"/>
              <w:rPr>
                <w:sz w:val="20"/>
                <w:szCs w:val="20"/>
              </w:rPr>
            </w:pPr>
            <w:r w:rsidRPr="00362CF5">
              <w:rPr>
                <w:color w:val="000000"/>
                <w:sz w:val="20"/>
                <w:szCs w:val="20"/>
              </w:rPr>
              <w:t>(1.291; 2.697)</w:t>
            </w:r>
          </w:p>
        </w:tc>
        <w:tc>
          <w:tcPr>
            <w:tcW w:w="1417" w:type="dxa"/>
            <w:tcMar>
              <w:top w:w="0" w:type="dxa"/>
              <w:left w:w="108" w:type="dxa"/>
              <w:bottom w:w="0" w:type="dxa"/>
              <w:right w:w="108" w:type="dxa"/>
            </w:tcMar>
            <w:hideMark/>
          </w:tcPr>
          <w:p w14:paraId="2AD59F44" w14:textId="77777777" w:rsidR="008C62A9" w:rsidRPr="00362CF5" w:rsidRDefault="008C62A9" w:rsidP="00481E0D">
            <w:pPr>
              <w:spacing w:line="240" w:lineRule="auto"/>
              <w:rPr>
                <w:sz w:val="20"/>
                <w:szCs w:val="20"/>
              </w:rPr>
            </w:pPr>
          </w:p>
        </w:tc>
      </w:tr>
      <w:tr w:rsidR="008C62A9" w:rsidRPr="00362CF5" w14:paraId="2345390F" w14:textId="77777777" w:rsidTr="00481E0D">
        <w:tc>
          <w:tcPr>
            <w:tcW w:w="4395" w:type="dxa"/>
            <w:tcBorders>
              <w:bottom w:val="single" w:sz="4" w:space="0" w:color="000000"/>
            </w:tcBorders>
            <w:tcMar>
              <w:top w:w="0" w:type="dxa"/>
              <w:left w:w="108" w:type="dxa"/>
              <w:bottom w:w="0" w:type="dxa"/>
              <w:right w:w="108" w:type="dxa"/>
            </w:tcMar>
            <w:hideMark/>
          </w:tcPr>
          <w:p w14:paraId="54C619F0" w14:textId="77777777" w:rsidR="008C62A9" w:rsidRPr="00362CF5" w:rsidRDefault="008C62A9" w:rsidP="00481E0D">
            <w:pPr>
              <w:spacing w:line="240" w:lineRule="auto"/>
              <w:ind w:left="317"/>
              <w:rPr>
                <w:sz w:val="20"/>
                <w:szCs w:val="20"/>
              </w:rPr>
            </w:pPr>
            <w:r w:rsidRPr="00362CF5">
              <w:rPr>
                <w:color w:val="000000"/>
                <w:sz w:val="20"/>
                <w:szCs w:val="20"/>
              </w:rPr>
              <w:t>Yes</w:t>
            </w:r>
          </w:p>
        </w:tc>
        <w:tc>
          <w:tcPr>
            <w:tcW w:w="1417" w:type="dxa"/>
            <w:tcBorders>
              <w:bottom w:val="single" w:sz="4" w:space="0" w:color="000000"/>
            </w:tcBorders>
            <w:tcMar>
              <w:top w:w="0" w:type="dxa"/>
              <w:left w:w="108" w:type="dxa"/>
              <w:bottom w:w="0" w:type="dxa"/>
              <w:right w:w="108" w:type="dxa"/>
            </w:tcMar>
            <w:hideMark/>
          </w:tcPr>
          <w:p w14:paraId="4EDDEEA5"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526" w:type="dxa"/>
            <w:tcBorders>
              <w:bottom w:val="single" w:sz="4" w:space="0" w:color="000000"/>
            </w:tcBorders>
            <w:tcMar>
              <w:top w:w="0" w:type="dxa"/>
              <w:left w:w="108" w:type="dxa"/>
              <w:bottom w:w="0" w:type="dxa"/>
              <w:right w:w="108" w:type="dxa"/>
            </w:tcMar>
            <w:hideMark/>
          </w:tcPr>
          <w:p w14:paraId="3318FD58" w14:textId="77777777" w:rsidR="008C62A9" w:rsidRPr="00362CF5" w:rsidRDefault="008C62A9" w:rsidP="00481E0D">
            <w:pPr>
              <w:spacing w:line="240" w:lineRule="auto"/>
              <w:jc w:val="center"/>
              <w:rPr>
                <w:sz w:val="20"/>
                <w:szCs w:val="20"/>
              </w:rPr>
            </w:pPr>
            <w:r w:rsidRPr="00362CF5">
              <w:rPr>
                <w:color w:val="000000"/>
                <w:sz w:val="20"/>
                <w:szCs w:val="20"/>
              </w:rPr>
              <w:t>-</w:t>
            </w:r>
          </w:p>
        </w:tc>
        <w:tc>
          <w:tcPr>
            <w:tcW w:w="1417" w:type="dxa"/>
            <w:tcBorders>
              <w:bottom w:val="single" w:sz="4" w:space="0" w:color="000000"/>
            </w:tcBorders>
            <w:tcMar>
              <w:top w:w="0" w:type="dxa"/>
              <w:left w:w="108" w:type="dxa"/>
              <w:bottom w:w="0" w:type="dxa"/>
              <w:right w:w="108" w:type="dxa"/>
            </w:tcMar>
            <w:hideMark/>
          </w:tcPr>
          <w:p w14:paraId="60BBE4CB" w14:textId="77777777" w:rsidR="008C62A9" w:rsidRPr="00362CF5" w:rsidRDefault="008C62A9" w:rsidP="00481E0D">
            <w:pPr>
              <w:spacing w:line="240" w:lineRule="auto"/>
              <w:rPr>
                <w:sz w:val="20"/>
                <w:szCs w:val="20"/>
              </w:rPr>
            </w:pPr>
          </w:p>
        </w:tc>
      </w:tr>
    </w:tbl>
    <w:p w14:paraId="0A5980B2" w14:textId="6E624855" w:rsidR="008C62A9" w:rsidRPr="008C62A9" w:rsidRDefault="008C62A9" w:rsidP="008C62A9">
      <w:pPr>
        <w:spacing w:line="240" w:lineRule="auto"/>
        <w:ind w:left="284" w:hanging="1"/>
        <w:rPr>
          <w:rFonts w:ascii="Arial" w:hAnsi="Arial" w:cs="Arial"/>
          <w:sz w:val="18"/>
          <w:szCs w:val="18"/>
          <w:lang w:val="pt-BR"/>
        </w:rPr>
      </w:pPr>
      <w:r w:rsidRPr="008C62A9">
        <w:rPr>
          <w:rFonts w:ascii="Arial" w:hAnsi="Arial" w:cs="Arial"/>
          <w:color w:val="000000"/>
          <w:sz w:val="18"/>
          <w:szCs w:val="18"/>
        </w:rPr>
        <w:t xml:space="preserve">NB: </w:t>
      </w:r>
      <w:r w:rsidRPr="008C62A9">
        <w:rPr>
          <w:rFonts w:ascii="Arial" w:hAnsi="Arial" w:cs="Arial"/>
          <w:color w:val="000000"/>
          <w:sz w:val="18"/>
          <w:szCs w:val="18"/>
        </w:rPr>
        <w:t>p-value Hosmer-</w:t>
      </w:r>
      <w:proofErr w:type="spellStart"/>
      <w:r w:rsidRPr="008C62A9">
        <w:rPr>
          <w:rFonts w:ascii="Arial" w:hAnsi="Arial" w:cs="Arial"/>
          <w:color w:val="000000"/>
          <w:sz w:val="18"/>
          <w:szCs w:val="18"/>
        </w:rPr>
        <w:t>Lemeshow</w:t>
      </w:r>
      <w:proofErr w:type="spellEnd"/>
      <w:r w:rsidRPr="008C62A9">
        <w:rPr>
          <w:rFonts w:ascii="Arial" w:hAnsi="Arial" w:cs="Arial"/>
          <w:color w:val="000000"/>
          <w:sz w:val="18"/>
          <w:szCs w:val="18"/>
        </w:rPr>
        <w:t xml:space="preserve"> = 0.7197</w:t>
      </w:r>
      <w:r w:rsidRPr="008C62A9">
        <w:rPr>
          <w:rFonts w:ascii="Arial" w:hAnsi="Arial" w:cs="Arial"/>
          <w:color w:val="000000"/>
          <w:sz w:val="18"/>
          <w:szCs w:val="18"/>
        </w:rPr>
        <w:t>;</w:t>
      </w:r>
      <w:r w:rsidRPr="008C62A9">
        <w:rPr>
          <w:rFonts w:ascii="Arial" w:hAnsi="Arial" w:cs="Arial"/>
          <w:color w:val="000000"/>
          <w:sz w:val="18"/>
          <w:szCs w:val="18"/>
          <w:vertAlign w:val="superscript"/>
        </w:rPr>
        <w:t xml:space="preserve"> </w:t>
      </w:r>
      <w:r w:rsidRPr="008C62A9">
        <w:rPr>
          <w:rFonts w:ascii="Arial" w:hAnsi="Arial" w:cs="Arial"/>
          <w:color w:val="000000"/>
          <w:sz w:val="18"/>
          <w:szCs w:val="18"/>
          <w:vertAlign w:val="superscript"/>
        </w:rPr>
        <w:t xml:space="preserve">a </w:t>
      </w:r>
      <w:r w:rsidRPr="008C62A9">
        <w:rPr>
          <w:rFonts w:ascii="Arial" w:hAnsi="Arial" w:cs="Arial"/>
          <w:color w:val="000000"/>
          <w:sz w:val="18"/>
          <w:szCs w:val="18"/>
        </w:rPr>
        <w:t>p-value= 0.038 for high school and p=0.007 for higher education level</w:t>
      </w:r>
      <w:r w:rsidRPr="008C62A9">
        <w:rPr>
          <w:rFonts w:ascii="Arial" w:hAnsi="Arial" w:cs="Arial"/>
          <w:color w:val="000000"/>
          <w:sz w:val="18"/>
          <w:szCs w:val="18"/>
        </w:rPr>
        <w:t xml:space="preserve">; </w:t>
      </w:r>
      <w:r w:rsidRPr="008C62A9">
        <w:rPr>
          <w:rFonts w:ascii="Arial" w:hAnsi="Arial" w:cs="Arial"/>
          <w:color w:val="000000"/>
          <w:sz w:val="18"/>
          <w:szCs w:val="18"/>
          <w:vertAlign w:val="superscript"/>
          <w:lang w:val="pt-BR"/>
        </w:rPr>
        <w:t xml:space="preserve">b </w:t>
      </w:r>
      <w:r w:rsidRPr="008C62A9">
        <w:rPr>
          <w:rFonts w:ascii="Arial" w:hAnsi="Arial" w:cs="Arial"/>
          <w:color w:val="000000"/>
          <w:sz w:val="18"/>
          <w:szCs w:val="18"/>
          <w:lang w:val="pt-BR"/>
        </w:rPr>
        <w:t>Dyslipidemia e Diabetes mellitus</w:t>
      </w:r>
    </w:p>
    <w:p w14:paraId="3B8FD8F4" w14:textId="77777777" w:rsidR="008C62A9" w:rsidRPr="008C62A9" w:rsidRDefault="008C62A9" w:rsidP="008C62A9">
      <w:pPr>
        <w:pStyle w:val="NoSpacing"/>
        <w:rPr>
          <w:rFonts w:ascii="Arial" w:hAnsi="Arial" w:cs="Arial"/>
        </w:rPr>
      </w:pPr>
    </w:p>
    <w:p w14:paraId="0835B09A" w14:textId="5FC179BE" w:rsidR="00991055" w:rsidRPr="008C62A9" w:rsidRDefault="00991055" w:rsidP="008C62A9">
      <w:pPr>
        <w:pStyle w:val="NoSpacing"/>
        <w:rPr>
          <w:rFonts w:ascii="Arial" w:hAnsi="Arial" w:cs="Arial"/>
          <w:b/>
          <w:sz w:val="20"/>
          <w:szCs w:val="20"/>
        </w:rPr>
      </w:pPr>
      <w:r w:rsidRPr="008C62A9">
        <w:rPr>
          <w:rFonts w:ascii="Arial" w:hAnsi="Arial" w:cs="Arial"/>
          <w:b/>
          <w:sz w:val="20"/>
          <w:szCs w:val="20"/>
        </w:rPr>
        <w:t>Discussion</w:t>
      </w:r>
    </w:p>
    <w:p w14:paraId="35A6B13A" w14:textId="77777777" w:rsidR="008C62A9" w:rsidRDefault="008C62A9" w:rsidP="00EC37B0">
      <w:pPr>
        <w:pStyle w:val="NoSpacing"/>
        <w:rPr>
          <w:rFonts w:ascii="Arial" w:hAnsi="Arial" w:cs="Arial"/>
          <w:color w:val="000000"/>
          <w:sz w:val="20"/>
          <w:szCs w:val="20"/>
        </w:rPr>
      </w:pPr>
    </w:p>
    <w:p w14:paraId="0EC4B9F9" w14:textId="4F9C2E3D" w:rsidR="00991055" w:rsidRPr="00EC37B0" w:rsidRDefault="00991055" w:rsidP="00EC37B0">
      <w:pPr>
        <w:pStyle w:val="NoSpacing"/>
        <w:rPr>
          <w:rFonts w:ascii="Arial" w:hAnsi="Arial" w:cs="Arial"/>
          <w:sz w:val="20"/>
          <w:szCs w:val="20"/>
        </w:rPr>
      </w:pPr>
      <w:r w:rsidRPr="00EC37B0">
        <w:rPr>
          <w:rFonts w:ascii="Arial" w:hAnsi="Arial" w:cs="Arial"/>
          <w:color w:val="000000"/>
          <w:sz w:val="20"/>
          <w:szCs w:val="20"/>
        </w:rPr>
        <w:t xml:space="preserve">The prevalence of statin use in Brazilian primary health care </w:t>
      </w:r>
      <w:r w:rsidR="00EF1EB5" w:rsidRPr="00EC37B0">
        <w:rPr>
          <w:rFonts w:ascii="Arial" w:hAnsi="Arial" w:cs="Arial"/>
          <w:color w:val="000000"/>
          <w:sz w:val="20"/>
          <w:szCs w:val="20"/>
        </w:rPr>
        <w:t xml:space="preserve">in this study </w:t>
      </w:r>
      <w:r w:rsidRPr="00EC37B0">
        <w:rPr>
          <w:rFonts w:ascii="Arial" w:hAnsi="Arial" w:cs="Arial"/>
          <w:color w:val="000000"/>
          <w:sz w:val="20"/>
          <w:szCs w:val="20"/>
        </w:rPr>
        <w:t>(9.3%) was lower than in high income countries, such as the United Kingdom (12.8%</w:t>
      </w:r>
      <w:r w:rsidR="008A3BD8" w:rsidRPr="00EC37B0">
        <w:rPr>
          <w:rFonts w:ascii="Arial" w:hAnsi="Arial" w:cs="Arial"/>
          <w:color w:val="000000"/>
          <w:sz w:val="20"/>
          <w:szCs w:val="20"/>
        </w:rPr>
        <w:t xml:space="preserve"> of patients</w:t>
      </w:r>
      <w:r w:rsidRPr="00EC37B0">
        <w:rPr>
          <w:rFonts w:ascii="Arial" w:hAnsi="Arial" w:cs="Arial"/>
          <w:color w:val="000000"/>
          <w:sz w:val="20"/>
          <w:szCs w:val="20"/>
        </w:rPr>
        <w:t xml:space="preserve">) </w:t>
      </w:r>
      <w:hyperlink r:id="rId43" w:history="1">
        <w:r w:rsidRPr="00EC37B0">
          <w:rPr>
            <w:rFonts w:ascii="Arial" w:hAnsi="Arial" w:cs="Arial"/>
            <w:color w:val="000000"/>
            <w:sz w:val="20"/>
            <w:szCs w:val="20"/>
          </w:rPr>
          <w:t>[</w:t>
        </w:r>
        <w:r w:rsidR="00EF1EB5" w:rsidRPr="00EC37B0">
          <w:rPr>
            <w:rFonts w:ascii="Arial" w:hAnsi="Arial" w:cs="Arial"/>
            <w:color w:val="000000"/>
            <w:sz w:val="20"/>
            <w:szCs w:val="20"/>
          </w:rPr>
          <w:t>51</w:t>
        </w:r>
        <w:r w:rsidRPr="00EC37B0">
          <w:rPr>
            <w:rFonts w:ascii="Arial" w:hAnsi="Arial" w:cs="Arial"/>
            <w:color w:val="000000"/>
            <w:sz w:val="20"/>
            <w:szCs w:val="20"/>
          </w:rPr>
          <w:t>]</w:t>
        </w:r>
      </w:hyperlink>
      <w:r w:rsidRPr="00EC37B0">
        <w:rPr>
          <w:rFonts w:ascii="Arial" w:hAnsi="Arial" w:cs="Arial"/>
          <w:color w:val="000000"/>
          <w:sz w:val="20"/>
          <w:szCs w:val="20"/>
        </w:rPr>
        <w:t>, and the United States (17.2%</w:t>
      </w:r>
      <w:r w:rsidR="008A3BD8" w:rsidRPr="00EC37B0">
        <w:rPr>
          <w:rFonts w:ascii="Arial" w:hAnsi="Arial" w:cs="Arial"/>
          <w:color w:val="000000"/>
          <w:sz w:val="20"/>
          <w:szCs w:val="20"/>
        </w:rPr>
        <w:t xml:space="preserve"> of patients</w:t>
      </w:r>
      <w:r w:rsidRPr="00EC37B0">
        <w:rPr>
          <w:rFonts w:ascii="Arial" w:hAnsi="Arial" w:cs="Arial"/>
          <w:color w:val="000000"/>
          <w:sz w:val="20"/>
          <w:szCs w:val="20"/>
        </w:rPr>
        <w:t xml:space="preserve">) </w:t>
      </w:r>
      <w:hyperlink r:id="rId44" w:history="1">
        <w:r w:rsidRPr="00EC37B0">
          <w:rPr>
            <w:rFonts w:ascii="Arial" w:hAnsi="Arial" w:cs="Arial"/>
            <w:color w:val="000000"/>
            <w:sz w:val="20"/>
            <w:szCs w:val="20"/>
          </w:rPr>
          <w:t>[5</w:t>
        </w:r>
        <w:r w:rsidR="00EF1EB5" w:rsidRPr="00EC37B0">
          <w:rPr>
            <w:rFonts w:ascii="Arial" w:hAnsi="Arial" w:cs="Arial"/>
            <w:color w:val="000000"/>
            <w:sz w:val="20"/>
            <w:szCs w:val="20"/>
          </w:rPr>
          <w:t>2</w:t>
        </w:r>
        <w:r w:rsidRPr="00EC37B0">
          <w:rPr>
            <w:rFonts w:ascii="Arial" w:hAnsi="Arial" w:cs="Arial"/>
            <w:color w:val="000000"/>
            <w:sz w:val="20"/>
            <w:szCs w:val="20"/>
          </w:rPr>
          <w:t>]</w:t>
        </w:r>
      </w:hyperlink>
      <w:r w:rsidR="00EF1EB5" w:rsidRPr="00EC37B0">
        <w:rPr>
          <w:rFonts w:ascii="Arial" w:hAnsi="Arial" w:cs="Arial"/>
          <w:color w:val="000000"/>
          <w:sz w:val="20"/>
          <w:szCs w:val="20"/>
        </w:rPr>
        <w:t>; however.</w:t>
      </w:r>
      <w:r w:rsidRPr="00EC37B0">
        <w:rPr>
          <w:rFonts w:ascii="Arial" w:hAnsi="Arial" w:cs="Arial"/>
          <w:color w:val="000000"/>
          <w:sz w:val="20"/>
          <w:szCs w:val="20"/>
        </w:rPr>
        <w:t xml:space="preserve"> higher than </w:t>
      </w:r>
      <w:r w:rsidR="00EF1EB5" w:rsidRPr="00EC37B0">
        <w:rPr>
          <w:rFonts w:ascii="Arial" w:hAnsi="Arial" w:cs="Arial"/>
          <w:color w:val="000000"/>
          <w:sz w:val="20"/>
          <w:szCs w:val="20"/>
        </w:rPr>
        <w:t xml:space="preserve">seen </w:t>
      </w:r>
      <w:r w:rsidRPr="00EC37B0">
        <w:rPr>
          <w:rFonts w:ascii="Arial" w:hAnsi="Arial" w:cs="Arial"/>
          <w:color w:val="000000"/>
          <w:sz w:val="20"/>
          <w:szCs w:val="20"/>
        </w:rPr>
        <w:t xml:space="preserve">in low middle income countries (4.9%), </w:t>
      </w:r>
      <w:r w:rsidR="008A3BD8" w:rsidRPr="00EC37B0">
        <w:rPr>
          <w:rFonts w:ascii="Arial" w:hAnsi="Arial" w:cs="Arial"/>
          <w:color w:val="000000"/>
          <w:sz w:val="20"/>
          <w:szCs w:val="20"/>
        </w:rPr>
        <w:t>including</w:t>
      </w:r>
      <w:r w:rsidRPr="00EC37B0">
        <w:rPr>
          <w:rFonts w:ascii="Arial" w:hAnsi="Arial" w:cs="Arial"/>
          <w:color w:val="000000"/>
          <w:sz w:val="20"/>
          <w:szCs w:val="20"/>
        </w:rPr>
        <w:t xml:space="preserve"> China and Colombia </w:t>
      </w:r>
      <w:hyperlink r:id="rId45" w:history="1">
        <w:r w:rsidRPr="00EC37B0">
          <w:rPr>
            <w:rFonts w:ascii="Arial" w:hAnsi="Arial" w:cs="Arial"/>
            <w:color w:val="000000"/>
            <w:sz w:val="20"/>
            <w:szCs w:val="20"/>
          </w:rPr>
          <w:t>[5</w:t>
        </w:r>
        <w:r w:rsidR="00EF1EB5" w:rsidRPr="00EC37B0">
          <w:rPr>
            <w:rFonts w:ascii="Arial" w:hAnsi="Arial" w:cs="Arial"/>
            <w:color w:val="000000"/>
            <w:sz w:val="20"/>
            <w:szCs w:val="20"/>
          </w:rPr>
          <w:t>3</w:t>
        </w:r>
        <w:r w:rsidRPr="00EC37B0">
          <w:rPr>
            <w:rFonts w:ascii="Arial" w:hAnsi="Arial" w:cs="Arial"/>
            <w:color w:val="000000"/>
            <w:sz w:val="20"/>
            <w:szCs w:val="20"/>
          </w:rPr>
          <w:t>–5</w:t>
        </w:r>
        <w:r w:rsidR="00EF1EB5" w:rsidRPr="00EC37B0">
          <w:rPr>
            <w:rFonts w:ascii="Arial" w:hAnsi="Arial" w:cs="Arial"/>
            <w:color w:val="000000"/>
            <w:sz w:val="20"/>
            <w:szCs w:val="20"/>
          </w:rPr>
          <w:t>5</w:t>
        </w:r>
        <w:r w:rsidRPr="00EC37B0">
          <w:rPr>
            <w:rFonts w:ascii="Arial" w:hAnsi="Arial" w:cs="Arial"/>
            <w:color w:val="000000"/>
            <w:sz w:val="20"/>
            <w:szCs w:val="20"/>
          </w:rPr>
          <w:t>]</w:t>
        </w:r>
      </w:hyperlink>
      <w:r w:rsidRPr="00EC37B0">
        <w:rPr>
          <w:rFonts w:ascii="Arial" w:hAnsi="Arial" w:cs="Arial"/>
          <w:color w:val="000000"/>
          <w:sz w:val="20"/>
          <w:szCs w:val="20"/>
        </w:rPr>
        <w:t xml:space="preserve">. </w:t>
      </w:r>
      <w:r w:rsidR="00EF1EB5" w:rsidRPr="00EC37B0">
        <w:rPr>
          <w:rFonts w:ascii="Arial" w:hAnsi="Arial" w:cs="Arial"/>
          <w:color w:val="000000"/>
          <w:sz w:val="20"/>
          <w:szCs w:val="20"/>
        </w:rPr>
        <w:t>This prevalence rate may be explained by a</w:t>
      </w:r>
      <w:r w:rsidRPr="00EC37B0">
        <w:rPr>
          <w:rFonts w:ascii="Arial" w:hAnsi="Arial" w:cs="Arial"/>
          <w:color w:val="000000"/>
          <w:sz w:val="20"/>
          <w:szCs w:val="20"/>
        </w:rPr>
        <w:t xml:space="preserve"> </w:t>
      </w:r>
      <w:r w:rsidRPr="00EC37B0">
        <w:rPr>
          <w:rFonts w:ascii="Arial" w:hAnsi="Arial" w:cs="Arial"/>
          <w:color w:val="000000"/>
          <w:sz w:val="20"/>
          <w:szCs w:val="20"/>
        </w:rPr>
        <w:lastRenderedPageBreak/>
        <w:t>recent longitudinal study of adults’ health in Brazil (ELSA-Brazil cohort)</w:t>
      </w:r>
      <w:r w:rsidR="008A3BD8" w:rsidRPr="00EC37B0">
        <w:rPr>
          <w:rFonts w:ascii="Arial" w:hAnsi="Arial" w:cs="Arial"/>
          <w:color w:val="000000"/>
          <w:sz w:val="20"/>
          <w:szCs w:val="20"/>
        </w:rPr>
        <w:t xml:space="preserve"> </w:t>
      </w:r>
      <w:hyperlink r:id="rId46" w:history="1">
        <w:r w:rsidRPr="00EC37B0">
          <w:rPr>
            <w:rFonts w:ascii="Arial" w:hAnsi="Arial" w:cs="Arial"/>
            <w:color w:val="000000"/>
            <w:sz w:val="20"/>
            <w:szCs w:val="20"/>
          </w:rPr>
          <w:t>[56]</w:t>
        </w:r>
      </w:hyperlink>
      <w:r w:rsidRPr="00EC37B0">
        <w:rPr>
          <w:rFonts w:ascii="Arial" w:hAnsi="Arial" w:cs="Arial"/>
          <w:color w:val="000000"/>
          <w:sz w:val="20"/>
          <w:szCs w:val="20"/>
        </w:rPr>
        <w:t xml:space="preserve"> </w:t>
      </w:r>
      <w:r w:rsidRPr="00EC37B0">
        <w:rPr>
          <w:rFonts w:ascii="Arial" w:hAnsi="Arial" w:cs="Arial"/>
          <w:color w:val="231F20"/>
          <w:sz w:val="20"/>
          <w:szCs w:val="20"/>
        </w:rPr>
        <w:t>demonstrat</w:t>
      </w:r>
      <w:r w:rsidR="00EF1EB5" w:rsidRPr="00EC37B0">
        <w:rPr>
          <w:rFonts w:ascii="Arial" w:hAnsi="Arial" w:cs="Arial"/>
          <w:color w:val="231F20"/>
          <w:sz w:val="20"/>
          <w:szCs w:val="20"/>
        </w:rPr>
        <w:t>ing</w:t>
      </w:r>
      <w:r w:rsidRPr="00EC37B0">
        <w:rPr>
          <w:rFonts w:ascii="Arial" w:hAnsi="Arial" w:cs="Arial"/>
          <w:color w:val="231F20"/>
          <w:sz w:val="20"/>
          <w:szCs w:val="20"/>
        </w:rPr>
        <w:t xml:space="preserve"> that, according to the National guideline for CVD prevention, only a small fraction of eligible statins users are actually taking them. In addition, SUS has never developed clear guidelines for the use of statins in primary prevention </w:t>
      </w:r>
      <w:hyperlink r:id="rId47" w:history="1">
        <w:r w:rsidRPr="00EC37B0">
          <w:rPr>
            <w:rFonts w:ascii="Arial" w:hAnsi="Arial" w:cs="Arial"/>
            <w:color w:val="000000"/>
            <w:sz w:val="20"/>
            <w:szCs w:val="20"/>
          </w:rPr>
          <w:t>[56]</w:t>
        </w:r>
      </w:hyperlink>
      <w:r w:rsidRPr="00EC37B0">
        <w:rPr>
          <w:rFonts w:ascii="Arial" w:hAnsi="Arial" w:cs="Arial"/>
          <w:color w:val="231F20"/>
          <w:sz w:val="20"/>
          <w:szCs w:val="20"/>
        </w:rPr>
        <w:t xml:space="preserve">, which may </w:t>
      </w:r>
      <w:r w:rsidR="00EF1EB5" w:rsidRPr="00EC37B0">
        <w:rPr>
          <w:rFonts w:ascii="Arial" w:hAnsi="Arial" w:cs="Arial"/>
          <w:color w:val="231F20"/>
          <w:sz w:val="20"/>
          <w:szCs w:val="20"/>
        </w:rPr>
        <w:t xml:space="preserve">also </w:t>
      </w:r>
      <w:r w:rsidRPr="00EC37B0">
        <w:rPr>
          <w:rFonts w:ascii="Arial" w:hAnsi="Arial" w:cs="Arial"/>
          <w:color w:val="231F20"/>
          <w:sz w:val="20"/>
          <w:szCs w:val="20"/>
        </w:rPr>
        <w:t>go some way to explaining lower prevalence</w:t>
      </w:r>
      <w:r w:rsidR="008A3BD8" w:rsidRPr="00EC37B0">
        <w:rPr>
          <w:rFonts w:ascii="Arial" w:hAnsi="Arial" w:cs="Arial"/>
          <w:color w:val="231F20"/>
          <w:sz w:val="20"/>
          <w:szCs w:val="20"/>
        </w:rPr>
        <w:t xml:space="preserve"> rates</w:t>
      </w:r>
      <w:r w:rsidRPr="00EC37B0">
        <w:rPr>
          <w:rFonts w:ascii="Arial" w:hAnsi="Arial" w:cs="Arial"/>
          <w:color w:val="231F20"/>
          <w:sz w:val="20"/>
          <w:szCs w:val="20"/>
        </w:rPr>
        <w:t xml:space="preserve"> in Brazil. However, primary prevention with statins is controversial in view of the large number of patients needed to treat to prevent one cardiac event </w:t>
      </w:r>
      <w:hyperlink r:id="rId48" w:history="1">
        <w:r w:rsidRPr="00EC37B0">
          <w:rPr>
            <w:rFonts w:ascii="Arial" w:hAnsi="Arial" w:cs="Arial"/>
            <w:color w:val="000000"/>
            <w:sz w:val="20"/>
            <w:szCs w:val="20"/>
          </w:rPr>
          <w:t>[57]</w:t>
        </w:r>
      </w:hyperlink>
      <w:r w:rsidRPr="00EC37B0">
        <w:rPr>
          <w:rFonts w:ascii="Arial" w:hAnsi="Arial" w:cs="Arial"/>
          <w:color w:val="000000"/>
          <w:sz w:val="20"/>
          <w:szCs w:val="20"/>
        </w:rPr>
        <w:t>.</w:t>
      </w:r>
    </w:p>
    <w:p w14:paraId="3B799D2D" w14:textId="77777777" w:rsidR="008A3BD8"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ab/>
      </w:r>
    </w:p>
    <w:p w14:paraId="2C1F3783" w14:textId="5136D65F"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Current guidelines for CVD prevention and treatment emphasize non-pharmacological approaches</w:t>
      </w:r>
      <w:r w:rsidR="004905A2" w:rsidRPr="00EC37B0">
        <w:rPr>
          <w:rFonts w:ascii="Arial" w:hAnsi="Arial" w:cs="Arial"/>
          <w:color w:val="000000"/>
          <w:sz w:val="20"/>
          <w:szCs w:val="20"/>
        </w:rPr>
        <w:t xml:space="preserve"> including</w:t>
      </w:r>
      <w:r w:rsidRPr="00EC37B0">
        <w:rPr>
          <w:rFonts w:ascii="Arial" w:hAnsi="Arial" w:cs="Arial"/>
          <w:color w:val="000000"/>
          <w:sz w:val="20"/>
          <w:szCs w:val="20"/>
        </w:rPr>
        <w:t xml:space="preserve"> physical activity and cessation of smoking </w:t>
      </w:r>
      <w:hyperlink r:id="rId49" w:history="1">
        <w:r w:rsidRPr="00EC37B0">
          <w:rPr>
            <w:rFonts w:ascii="Arial" w:hAnsi="Arial" w:cs="Arial"/>
            <w:color w:val="000000"/>
            <w:sz w:val="20"/>
            <w:szCs w:val="20"/>
          </w:rPr>
          <w:t>[</w:t>
        </w:r>
        <w:r w:rsidR="004905A2" w:rsidRPr="00EC37B0">
          <w:rPr>
            <w:rFonts w:ascii="Arial" w:hAnsi="Arial" w:cs="Arial"/>
            <w:color w:val="000000"/>
            <w:sz w:val="20"/>
            <w:szCs w:val="20"/>
          </w:rPr>
          <w:t>6</w:t>
        </w:r>
        <w:r w:rsidRPr="00EC37B0">
          <w:rPr>
            <w:rFonts w:ascii="Arial" w:hAnsi="Arial" w:cs="Arial"/>
            <w:color w:val="000000"/>
            <w:sz w:val="20"/>
            <w:szCs w:val="20"/>
          </w:rPr>
          <w:t>,19,21,22]</w:t>
        </w:r>
      </w:hyperlink>
      <w:r w:rsidRPr="00EC37B0">
        <w:rPr>
          <w:rFonts w:ascii="Arial" w:hAnsi="Arial" w:cs="Arial"/>
          <w:color w:val="000000"/>
          <w:sz w:val="20"/>
          <w:szCs w:val="20"/>
        </w:rPr>
        <w:t>. In this study among statins users</w:t>
      </w:r>
      <w:r w:rsidR="004905A2" w:rsidRPr="00EC37B0">
        <w:rPr>
          <w:rFonts w:ascii="Arial" w:hAnsi="Arial" w:cs="Arial"/>
          <w:color w:val="000000"/>
          <w:sz w:val="20"/>
          <w:szCs w:val="20"/>
        </w:rPr>
        <w:t>,</w:t>
      </w:r>
      <w:r w:rsidRPr="00EC37B0">
        <w:rPr>
          <w:rFonts w:ascii="Arial" w:hAnsi="Arial" w:cs="Arial"/>
          <w:color w:val="000000"/>
          <w:sz w:val="20"/>
          <w:szCs w:val="20"/>
        </w:rPr>
        <w:t xml:space="preserve"> 14.4% were smokers and just 30% self-reported physical activities in the three months preceding the interview, without a significant statistical difference between </w:t>
      </w:r>
      <w:r w:rsidR="004905A2" w:rsidRPr="00EC37B0">
        <w:rPr>
          <w:rFonts w:ascii="Arial" w:hAnsi="Arial" w:cs="Arial"/>
          <w:color w:val="000000"/>
          <w:sz w:val="20"/>
          <w:szCs w:val="20"/>
        </w:rPr>
        <w:t xml:space="preserve">statin </w:t>
      </w:r>
      <w:r w:rsidRPr="00EC37B0">
        <w:rPr>
          <w:rFonts w:ascii="Arial" w:hAnsi="Arial" w:cs="Arial"/>
          <w:color w:val="000000"/>
          <w:sz w:val="20"/>
          <w:szCs w:val="20"/>
        </w:rPr>
        <w:t>users and non users of statins. The adoption of a fat reduction diet was higher (77.4%)</w:t>
      </w:r>
      <w:r w:rsidR="004905A2" w:rsidRPr="00EC37B0">
        <w:rPr>
          <w:rFonts w:ascii="Arial" w:hAnsi="Arial" w:cs="Arial"/>
          <w:color w:val="000000"/>
          <w:sz w:val="20"/>
          <w:szCs w:val="20"/>
        </w:rPr>
        <w:t>,</w:t>
      </w:r>
      <w:r w:rsidRPr="00EC37B0">
        <w:rPr>
          <w:rFonts w:ascii="Arial" w:hAnsi="Arial" w:cs="Arial"/>
          <w:color w:val="000000"/>
          <w:sz w:val="20"/>
          <w:szCs w:val="20"/>
        </w:rPr>
        <w:t xml:space="preserve"> but </w:t>
      </w:r>
      <w:r w:rsidR="004905A2" w:rsidRPr="00EC37B0">
        <w:rPr>
          <w:rFonts w:ascii="Arial" w:hAnsi="Arial" w:cs="Arial"/>
          <w:color w:val="000000"/>
          <w:sz w:val="20"/>
          <w:szCs w:val="20"/>
        </w:rPr>
        <w:t xml:space="preserve">this </w:t>
      </w:r>
      <w:r w:rsidRPr="00EC37B0">
        <w:rPr>
          <w:rFonts w:ascii="Arial" w:hAnsi="Arial" w:cs="Arial"/>
          <w:color w:val="000000"/>
          <w:sz w:val="20"/>
          <w:szCs w:val="20"/>
        </w:rPr>
        <w:t xml:space="preserve">also represents a challenge. </w:t>
      </w:r>
    </w:p>
    <w:p w14:paraId="1BC01BDD" w14:textId="635F3E7B" w:rsidR="008A3BD8" w:rsidRPr="00EC37B0" w:rsidRDefault="008A3BD8" w:rsidP="00EC37B0">
      <w:pPr>
        <w:pStyle w:val="NoSpacing"/>
        <w:rPr>
          <w:rFonts w:ascii="Arial" w:hAnsi="Arial" w:cs="Arial"/>
          <w:sz w:val="20"/>
          <w:szCs w:val="20"/>
        </w:rPr>
      </w:pPr>
    </w:p>
    <w:p w14:paraId="078D0AF0" w14:textId="08729972" w:rsidR="004905A2" w:rsidRPr="00EC37B0" w:rsidRDefault="004905A2" w:rsidP="00EC37B0">
      <w:pPr>
        <w:pStyle w:val="NoSpacing"/>
        <w:rPr>
          <w:rFonts w:ascii="Arial" w:hAnsi="Arial" w:cs="Arial"/>
          <w:sz w:val="20"/>
          <w:szCs w:val="20"/>
        </w:rPr>
      </w:pPr>
      <w:r w:rsidRPr="00EC37B0">
        <w:rPr>
          <w:rFonts w:ascii="Arial" w:hAnsi="Arial" w:cs="Arial"/>
          <w:color w:val="000000"/>
          <w:sz w:val="20"/>
          <w:szCs w:val="20"/>
        </w:rPr>
        <w:t>Not surprisingly statin use was associated with metabolic and heart diseases as diabetes itself is an independent risk factor for CVD</w:t>
      </w:r>
      <w:r w:rsidRPr="00EC37B0">
        <w:rPr>
          <w:rFonts w:ascii="Arial" w:hAnsi="Arial" w:cs="Arial"/>
          <w:color w:val="000000"/>
          <w:sz w:val="20"/>
          <w:szCs w:val="20"/>
          <w:shd w:val="clear" w:color="auto" w:fill="FFFFFF"/>
        </w:rPr>
        <w:t xml:space="preserve"> </w:t>
      </w:r>
      <w:hyperlink r:id="rId50" w:history="1">
        <w:r w:rsidRPr="00EC37B0">
          <w:rPr>
            <w:rFonts w:ascii="Arial" w:hAnsi="Arial" w:cs="Arial"/>
            <w:color w:val="000000"/>
            <w:sz w:val="20"/>
            <w:szCs w:val="20"/>
            <w:shd w:val="clear" w:color="auto" w:fill="FFFFFF"/>
          </w:rPr>
          <w:t>[27, 58,59]</w:t>
        </w:r>
      </w:hyperlink>
      <w:r w:rsidRPr="00EC37B0">
        <w:rPr>
          <w:rFonts w:ascii="Arial" w:hAnsi="Arial" w:cs="Arial"/>
          <w:color w:val="000000"/>
          <w:sz w:val="20"/>
          <w:szCs w:val="20"/>
        </w:rPr>
        <w:t xml:space="preserve">.  </w:t>
      </w:r>
      <w:r w:rsidRPr="00EC37B0">
        <w:rPr>
          <w:rFonts w:ascii="Arial" w:hAnsi="Arial" w:cs="Arial"/>
          <w:color w:val="000000"/>
          <w:sz w:val="20"/>
          <w:szCs w:val="20"/>
          <w:shd w:val="clear" w:color="auto" w:fill="FFFFFF"/>
        </w:rPr>
        <w:t xml:space="preserve">Even though concerns have been raised about the potential diabetogenic effect of statin therapy, statins </w:t>
      </w:r>
      <w:r w:rsidRPr="00EC37B0">
        <w:rPr>
          <w:rFonts w:ascii="Arial" w:hAnsi="Arial" w:cs="Arial"/>
          <w:color w:val="000000"/>
          <w:sz w:val="20"/>
          <w:szCs w:val="20"/>
        </w:rPr>
        <w:t xml:space="preserve">significantly </w:t>
      </w:r>
      <w:r w:rsidRPr="00EC37B0">
        <w:rPr>
          <w:rFonts w:ascii="Arial" w:hAnsi="Arial" w:cs="Arial"/>
          <w:color w:val="000000"/>
          <w:sz w:val="20"/>
          <w:szCs w:val="20"/>
          <w:shd w:val="clear" w:color="auto" w:fill="FFFFFF"/>
        </w:rPr>
        <w:t>reduce the risk for atherosclerotic cardiovascular disease in patients with diabete</w:t>
      </w:r>
      <w:r w:rsidRPr="00EC37B0">
        <w:rPr>
          <w:rFonts w:ascii="Arial" w:hAnsi="Arial" w:cs="Arial"/>
          <w:color w:val="000000"/>
          <w:sz w:val="20"/>
          <w:szCs w:val="20"/>
        </w:rPr>
        <w:t xml:space="preserve">s and continue to be recommended </w:t>
      </w:r>
      <w:hyperlink r:id="rId51" w:history="1">
        <w:r w:rsidRPr="00EC37B0">
          <w:rPr>
            <w:rFonts w:ascii="Arial" w:hAnsi="Arial" w:cs="Arial"/>
            <w:color w:val="000000"/>
            <w:sz w:val="20"/>
            <w:szCs w:val="20"/>
          </w:rPr>
          <w:t>[17,30, 60]</w:t>
        </w:r>
      </w:hyperlink>
      <w:r w:rsidRPr="00EC37B0">
        <w:rPr>
          <w:rFonts w:ascii="Arial" w:hAnsi="Arial" w:cs="Arial"/>
          <w:color w:val="000000"/>
          <w:sz w:val="20"/>
          <w:szCs w:val="20"/>
        </w:rPr>
        <w:t>.</w:t>
      </w:r>
    </w:p>
    <w:p w14:paraId="57ECDAF6" w14:textId="77777777" w:rsidR="004905A2" w:rsidRPr="00EC37B0" w:rsidRDefault="004905A2" w:rsidP="00EC37B0">
      <w:pPr>
        <w:pStyle w:val="NoSpacing"/>
        <w:rPr>
          <w:rFonts w:ascii="Arial" w:hAnsi="Arial" w:cs="Arial"/>
          <w:sz w:val="20"/>
          <w:szCs w:val="20"/>
        </w:rPr>
      </w:pPr>
    </w:p>
    <w:p w14:paraId="44A15CF4" w14:textId="433AD563" w:rsidR="00991055" w:rsidRPr="00EC37B0" w:rsidRDefault="004905A2" w:rsidP="00EC37B0">
      <w:pPr>
        <w:pStyle w:val="NoSpacing"/>
        <w:rPr>
          <w:rFonts w:ascii="Arial" w:hAnsi="Arial" w:cs="Arial"/>
          <w:sz w:val="20"/>
          <w:szCs w:val="20"/>
        </w:rPr>
      </w:pPr>
      <w:r w:rsidRPr="00EC37B0">
        <w:rPr>
          <w:rFonts w:ascii="Arial" w:hAnsi="Arial" w:cs="Arial"/>
          <w:color w:val="000000"/>
          <w:sz w:val="20"/>
          <w:szCs w:val="20"/>
        </w:rPr>
        <w:t>S</w:t>
      </w:r>
      <w:r w:rsidR="00991055" w:rsidRPr="00EC37B0">
        <w:rPr>
          <w:rFonts w:ascii="Arial" w:hAnsi="Arial" w:cs="Arial"/>
          <w:color w:val="000000"/>
          <w:sz w:val="20"/>
          <w:szCs w:val="20"/>
        </w:rPr>
        <w:t xml:space="preserve">tatin use was </w:t>
      </w:r>
      <w:r w:rsidRPr="00EC37B0">
        <w:rPr>
          <w:rFonts w:ascii="Arial" w:hAnsi="Arial" w:cs="Arial"/>
          <w:color w:val="000000"/>
          <w:sz w:val="20"/>
          <w:szCs w:val="20"/>
        </w:rPr>
        <w:t xml:space="preserve">also </w:t>
      </w:r>
      <w:r w:rsidR="00991055" w:rsidRPr="00EC37B0">
        <w:rPr>
          <w:rFonts w:ascii="Arial" w:hAnsi="Arial" w:cs="Arial"/>
          <w:color w:val="000000"/>
          <w:sz w:val="20"/>
          <w:szCs w:val="20"/>
        </w:rPr>
        <w:t>associated with higher schooling levels and the Brazilian region of residence, with the greatest association found in the South region. Th</w:t>
      </w:r>
      <w:r w:rsidRPr="00EC37B0">
        <w:rPr>
          <w:rFonts w:ascii="Arial" w:hAnsi="Arial" w:cs="Arial"/>
          <w:color w:val="000000"/>
          <w:sz w:val="20"/>
          <w:szCs w:val="20"/>
        </w:rPr>
        <w:t>is needs to b</w:t>
      </w:r>
      <w:r w:rsidR="00991055" w:rsidRPr="00EC37B0">
        <w:rPr>
          <w:rFonts w:ascii="Arial" w:hAnsi="Arial" w:cs="Arial"/>
          <w:color w:val="000000"/>
          <w:sz w:val="20"/>
          <w:szCs w:val="20"/>
        </w:rPr>
        <w:t xml:space="preserve">e </w:t>
      </w:r>
      <w:r w:rsidRPr="00EC37B0">
        <w:rPr>
          <w:rFonts w:ascii="Arial" w:hAnsi="Arial" w:cs="Arial"/>
          <w:color w:val="000000"/>
          <w:sz w:val="20"/>
          <w:szCs w:val="20"/>
        </w:rPr>
        <w:t xml:space="preserve">addressed with the </w:t>
      </w:r>
      <w:r w:rsidR="00991055" w:rsidRPr="00EC37B0">
        <w:rPr>
          <w:rFonts w:ascii="Arial" w:hAnsi="Arial" w:cs="Arial"/>
          <w:color w:val="000000"/>
          <w:sz w:val="20"/>
          <w:szCs w:val="20"/>
        </w:rPr>
        <w:t>prevalence of NCDs, such as hypertension, diabetes</w:t>
      </w:r>
      <w:r w:rsidRPr="00EC37B0">
        <w:rPr>
          <w:rFonts w:ascii="Arial" w:hAnsi="Arial" w:cs="Arial"/>
          <w:color w:val="000000"/>
          <w:sz w:val="20"/>
          <w:szCs w:val="20"/>
        </w:rPr>
        <w:t>,</w:t>
      </w:r>
      <w:r w:rsidR="00991055" w:rsidRPr="00EC37B0">
        <w:rPr>
          <w:rFonts w:ascii="Arial" w:hAnsi="Arial" w:cs="Arial"/>
          <w:color w:val="000000"/>
          <w:sz w:val="20"/>
          <w:szCs w:val="20"/>
        </w:rPr>
        <w:t xml:space="preserve"> and stroke higher in patients with low schooling levels (illiterate and incomplete elementary school)</w:t>
      </w:r>
      <w:r w:rsidR="00265403" w:rsidRPr="00EC37B0">
        <w:rPr>
          <w:rFonts w:ascii="Arial" w:hAnsi="Arial" w:cs="Arial"/>
          <w:color w:val="000000"/>
          <w:sz w:val="20"/>
          <w:szCs w:val="20"/>
        </w:rPr>
        <w:t>,</w:t>
      </w:r>
      <w:r w:rsidR="00991055" w:rsidRPr="00EC37B0">
        <w:rPr>
          <w:rFonts w:ascii="Arial" w:hAnsi="Arial" w:cs="Arial"/>
          <w:color w:val="000000"/>
          <w:sz w:val="20"/>
          <w:szCs w:val="20"/>
        </w:rPr>
        <w:t xml:space="preserve"> and </w:t>
      </w:r>
      <w:r w:rsidRPr="00EC37B0">
        <w:rPr>
          <w:rFonts w:ascii="Arial" w:hAnsi="Arial" w:cs="Arial"/>
          <w:color w:val="000000"/>
          <w:sz w:val="20"/>
          <w:szCs w:val="20"/>
        </w:rPr>
        <w:t>t</w:t>
      </w:r>
      <w:r w:rsidR="00991055" w:rsidRPr="00EC37B0">
        <w:rPr>
          <w:rFonts w:ascii="Arial" w:hAnsi="Arial" w:cs="Arial"/>
          <w:color w:val="000000"/>
          <w:sz w:val="20"/>
          <w:szCs w:val="20"/>
        </w:rPr>
        <w:t>he negative impact of NCDs on quality of life is</w:t>
      </w:r>
      <w:r w:rsidR="00265403" w:rsidRPr="00EC37B0">
        <w:rPr>
          <w:rFonts w:ascii="Arial" w:hAnsi="Arial" w:cs="Arial"/>
          <w:color w:val="000000"/>
          <w:sz w:val="20"/>
          <w:szCs w:val="20"/>
        </w:rPr>
        <w:t xml:space="preserve">  </w:t>
      </w:r>
      <w:r w:rsidR="00991055" w:rsidRPr="00EC37B0">
        <w:rPr>
          <w:rFonts w:ascii="Arial" w:hAnsi="Arial" w:cs="Arial"/>
          <w:color w:val="000000"/>
          <w:sz w:val="20"/>
          <w:szCs w:val="20"/>
        </w:rPr>
        <w:t>greater in the lower educational level population</w:t>
      </w:r>
      <w:r w:rsidR="008A3BD8" w:rsidRPr="00EC37B0">
        <w:rPr>
          <w:rFonts w:ascii="Arial" w:hAnsi="Arial" w:cs="Arial"/>
          <w:color w:val="000000"/>
          <w:sz w:val="20"/>
          <w:szCs w:val="20"/>
        </w:rPr>
        <w:t xml:space="preserve"> </w:t>
      </w:r>
      <w:hyperlink r:id="rId52" w:history="1">
        <w:r w:rsidR="00991055" w:rsidRPr="00EC37B0">
          <w:rPr>
            <w:rFonts w:ascii="Arial" w:hAnsi="Arial" w:cs="Arial"/>
            <w:color w:val="000000"/>
            <w:sz w:val="20"/>
            <w:szCs w:val="20"/>
          </w:rPr>
          <w:t>[15,6</w:t>
        </w:r>
        <w:r w:rsidR="00265403" w:rsidRPr="00EC37B0">
          <w:rPr>
            <w:rFonts w:ascii="Arial" w:hAnsi="Arial" w:cs="Arial"/>
            <w:color w:val="000000"/>
            <w:sz w:val="20"/>
            <w:szCs w:val="20"/>
          </w:rPr>
          <w:t>1</w:t>
        </w:r>
        <w:r w:rsidR="00991055" w:rsidRPr="00EC37B0">
          <w:rPr>
            <w:rFonts w:ascii="Arial" w:hAnsi="Arial" w:cs="Arial"/>
            <w:color w:val="000000"/>
            <w:sz w:val="20"/>
            <w:szCs w:val="20"/>
          </w:rPr>
          <w:t>]</w:t>
        </w:r>
      </w:hyperlink>
      <w:r w:rsidR="00991055" w:rsidRPr="00EC37B0">
        <w:rPr>
          <w:rFonts w:ascii="Arial" w:hAnsi="Arial" w:cs="Arial"/>
          <w:color w:val="000000"/>
          <w:sz w:val="20"/>
          <w:szCs w:val="20"/>
        </w:rPr>
        <w:t>.  </w:t>
      </w:r>
      <w:r w:rsidR="00265403" w:rsidRPr="00EC37B0">
        <w:rPr>
          <w:rFonts w:ascii="Arial" w:hAnsi="Arial" w:cs="Arial"/>
          <w:color w:val="000000"/>
          <w:sz w:val="20"/>
          <w:szCs w:val="20"/>
        </w:rPr>
        <w:t>T</w:t>
      </w:r>
      <w:r w:rsidR="00991055" w:rsidRPr="00EC37B0">
        <w:rPr>
          <w:rFonts w:ascii="Arial" w:hAnsi="Arial" w:cs="Arial"/>
          <w:color w:val="000000"/>
          <w:sz w:val="20"/>
          <w:szCs w:val="20"/>
        </w:rPr>
        <w:t>he associated factors with statins use found in th</w:t>
      </w:r>
      <w:r w:rsidR="00265403" w:rsidRPr="00EC37B0">
        <w:rPr>
          <w:rFonts w:ascii="Arial" w:hAnsi="Arial" w:cs="Arial"/>
          <w:color w:val="000000"/>
          <w:sz w:val="20"/>
          <w:szCs w:val="20"/>
        </w:rPr>
        <w:t>is</w:t>
      </w:r>
      <w:r w:rsidR="00991055" w:rsidRPr="00EC37B0">
        <w:rPr>
          <w:rFonts w:ascii="Arial" w:hAnsi="Arial" w:cs="Arial"/>
          <w:color w:val="000000"/>
          <w:sz w:val="20"/>
          <w:szCs w:val="20"/>
        </w:rPr>
        <w:t xml:space="preserve"> study reinforce previous studies </w:t>
      </w:r>
      <w:hyperlink r:id="rId53" w:history="1">
        <w:r w:rsidR="00991055" w:rsidRPr="00EC37B0">
          <w:rPr>
            <w:rFonts w:ascii="Arial" w:hAnsi="Arial" w:cs="Arial"/>
            <w:color w:val="000000"/>
            <w:sz w:val="20"/>
            <w:szCs w:val="20"/>
          </w:rPr>
          <w:t>[15,6</w:t>
        </w:r>
        <w:r w:rsidR="00265403" w:rsidRPr="00EC37B0">
          <w:rPr>
            <w:rFonts w:ascii="Arial" w:hAnsi="Arial" w:cs="Arial"/>
            <w:color w:val="000000"/>
            <w:sz w:val="20"/>
            <w:szCs w:val="20"/>
          </w:rPr>
          <w:t>1</w:t>
        </w:r>
        <w:r w:rsidR="00991055" w:rsidRPr="00EC37B0">
          <w:rPr>
            <w:rFonts w:ascii="Arial" w:hAnsi="Arial" w:cs="Arial"/>
            <w:color w:val="000000"/>
            <w:sz w:val="20"/>
            <w:szCs w:val="20"/>
          </w:rPr>
          <w:t>]</w:t>
        </w:r>
      </w:hyperlink>
      <w:r w:rsidR="00991055" w:rsidRPr="00EC37B0">
        <w:rPr>
          <w:rFonts w:ascii="Arial" w:hAnsi="Arial" w:cs="Arial"/>
          <w:color w:val="000000"/>
          <w:sz w:val="20"/>
          <w:szCs w:val="20"/>
        </w:rPr>
        <w:t xml:space="preserve">, indicating that inequalities in health care persist in Brazil, with people with high risk to CVD not using statins. </w:t>
      </w:r>
      <w:r w:rsidR="00265403" w:rsidRPr="00EC37B0">
        <w:rPr>
          <w:rFonts w:ascii="Arial" w:hAnsi="Arial" w:cs="Arial"/>
          <w:color w:val="000000"/>
          <w:sz w:val="20"/>
          <w:szCs w:val="20"/>
        </w:rPr>
        <w:t>As mentioned, t</w:t>
      </w:r>
      <w:r w:rsidR="00991055" w:rsidRPr="00EC37B0">
        <w:rPr>
          <w:rFonts w:ascii="Arial" w:hAnsi="Arial" w:cs="Arial"/>
          <w:color w:val="000000"/>
          <w:sz w:val="20"/>
          <w:szCs w:val="20"/>
        </w:rPr>
        <w:t xml:space="preserve">his needs to be urgently addressed to reduce </w:t>
      </w:r>
      <w:r w:rsidR="00265403" w:rsidRPr="00EC37B0">
        <w:rPr>
          <w:rFonts w:ascii="Arial" w:hAnsi="Arial" w:cs="Arial"/>
          <w:color w:val="000000"/>
          <w:sz w:val="20"/>
          <w:szCs w:val="20"/>
        </w:rPr>
        <w:t xml:space="preserve">the </w:t>
      </w:r>
      <w:r w:rsidR="00991055" w:rsidRPr="00EC37B0">
        <w:rPr>
          <w:rFonts w:ascii="Arial" w:hAnsi="Arial" w:cs="Arial"/>
          <w:color w:val="000000"/>
          <w:sz w:val="20"/>
          <w:szCs w:val="20"/>
        </w:rPr>
        <w:t>morbidity and mortality associated with CVD.</w:t>
      </w:r>
    </w:p>
    <w:p w14:paraId="53A488FC" w14:textId="77777777" w:rsidR="008A3BD8"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ab/>
      </w:r>
    </w:p>
    <w:p w14:paraId="79971C6A" w14:textId="4E772549"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 xml:space="preserve">The use of statins was also associated with age, and elderly people were almost three times more likely to use them. Albeit elderly people face the greatest risk and burden of CVD mortality and morbidity </w:t>
      </w:r>
      <w:hyperlink r:id="rId54" w:history="1">
        <w:r w:rsidRPr="00EC37B0">
          <w:rPr>
            <w:rFonts w:ascii="Arial" w:hAnsi="Arial" w:cs="Arial"/>
            <w:color w:val="000000"/>
            <w:sz w:val="20"/>
            <w:szCs w:val="20"/>
          </w:rPr>
          <w:t>[</w:t>
        </w:r>
        <w:r w:rsidR="00265403" w:rsidRPr="00EC37B0">
          <w:rPr>
            <w:rFonts w:ascii="Arial" w:hAnsi="Arial" w:cs="Arial"/>
            <w:color w:val="000000"/>
            <w:sz w:val="20"/>
            <w:szCs w:val="20"/>
          </w:rPr>
          <w:t>62</w:t>
        </w:r>
        <w:r w:rsidRPr="00EC37B0">
          <w:rPr>
            <w:rFonts w:ascii="Arial" w:hAnsi="Arial" w:cs="Arial"/>
            <w:color w:val="000000"/>
            <w:sz w:val="20"/>
            <w:szCs w:val="20"/>
          </w:rPr>
          <w:t>]</w:t>
        </w:r>
      </w:hyperlink>
      <w:r w:rsidRPr="00EC37B0">
        <w:rPr>
          <w:rFonts w:ascii="Arial" w:hAnsi="Arial" w:cs="Arial"/>
          <w:color w:val="000000"/>
          <w:sz w:val="20"/>
          <w:szCs w:val="20"/>
        </w:rPr>
        <w:t xml:space="preserve">, the current lack of evidence substantially challenges efforts to reach optimal health decisions for the aging population, especially for CVD primary prevention </w:t>
      </w:r>
      <w:hyperlink r:id="rId55" w:history="1">
        <w:r w:rsidRPr="00EC37B0">
          <w:rPr>
            <w:rFonts w:ascii="Arial" w:hAnsi="Arial" w:cs="Arial"/>
            <w:color w:val="000000"/>
            <w:sz w:val="20"/>
            <w:szCs w:val="20"/>
          </w:rPr>
          <w:t>[6</w:t>
        </w:r>
        <w:r w:rsidR="00265403" w:rsidRPr="00EC37B0">
          <w:rPr>
            <w:rFonts w:ascii="Arial" w:hAnsi="Arial" w:cs="Arial"/>
            <w:color w:val="000000"/>
            <w:sz w:val="20"/>
            <w:szCs w:val="20"/>
          </w:rPr>
          <w:t>3</w:t>
        </w:r>
        <w:r w:rsidRPr="00EC37B0">
          <w:rPr>
            <w:rFonts w:ascii="Arial" w:hAnsi="Arial" w:cs="Arial"/>
            <w:color w:val="000000"/>
            <w:sz w:val="20"/>
            <w:szCs w:val="20"/>
          </w:rPr>
          <w:t>]</w:t>
        </w:r>
      </w:hyperlink>
      <w:r w:rsidRPr="00EC37B0">
        <w:rPr>
          <w:rFonts w:ascii="Arial" w:hAnsi="Arial" w:cs="Arial"/>
          <w:color w:val="000000"/>
          <w:sz w:val="20"/>
          <w:szCs w:val="20"/>
        </w:rPr>
        <w:t xml:space="preserve">. </w:t>
      </w:r>
      <w:r w:rsidR="00265403" w:rsidRPr="00EC37B0">
        <w:rPr>
          <w:rFonts w:ascii="Arial" w:hAnsi="Arial" w:cs="Arial"/>
          <w:color w:val="000000"/>
          <w:sz w:val="20"/>
          <w:szCs w:val="20"/>
        </w:rPr>
        <w:t>E</w:t>
      </w:r>
      <w:r w:rsidRPr="00EC37B0">
        <w:rPr>
          <w:rFonts w:ascii="Arial" w:hAnsi="Arial" w:cs="Arial"/>
          <w:color w:val="000000"/>
          <w:sz w:val="20"/>
          <w:szCs w:val="20"/>
        </w:rPr>
        <w:t xml:space="preserve">stablishing shared decision making is crucial, balancing the benefits and the potential risks of statins use for CVD prevention involving older patients </w:t>
      </w:r>
      <w:hyperlink r:id="rId56" w:history="1">
        <w:r w:rsidRPr="00EC37B0">
          <w:rPr>
            <w:rFonts w:ascii="Arial" w:hAnsi="Arial" w:cs="Arial"/>
            <w:color w:val="000000"/>
            <w:sz w:val="20"/>
            <w:szCs w:val="20"/>
          </w:rPr>
          <w:t>[</w:t>
        </w:r>
        <w:r w:rsidR="00265403" w:rsidRPr="00EC37B0">
          <w:rPr>
            <w:rFonts w:ascii="Arial" w:hAnsi="Arial" w:cs="Arial"/>
            <w:color w:val="000000"/>
            <w:sz w:val="20"/>
            <w:szCs w:val="20"/>
          </w:rPr>
          <w:t>62</w:t>
        </w:r>
        <w:r w:rsidRPr="00EC37B0">
          <w:rPr>
            <w:rFonts w:ascii="Arial" w:hAnsi="Arial" w:cs="Arial"/>
            <w:color w:val="000000"/>
            <w:sz w:val="20"/>
            <w:szCs w:val="20"/>
          </w:rPr>
          <w:t>,6</w:t>
        </w:r>
        <w:r w:rsidR="00265403" w:rsidRPr="00EC37B0">
          <w:rPr>
            <w:rFonts w:ascii="Arial" w:hAnsi="Arial" w:cs="Arial"/>
            <w:color w:val="000000"/>
            <w:sz w:val="20"/>
            <w:szCs w:val="20"/>
          </w:rPr>
          <w:t>3</w:t>
        </w:r>
        <w:r w:rsidRPr="00EC37B0">
          <w:rPr>
            <w:rFonts w:ascii="Arial" w:hAnsi="Arial" w:cs="Arial"/>
            <w:color w:val="000000"/>
            <w:sz w:val="20"/>
            <w:szCs w:val="20"/>
          </w:rPr>
          <w:t>]</w:t>
        </w:r>
      </w:hyperlink>
      <w:r w:rsidRPr="00EC37B0">
        <w:rPr>
          <w:rFonts w:ascii="Arial" w:hAnsi="Arial" w:cs="Arial"/>
          <w:color w:val="000000"/>
          <w:sz w:val="20"/>
          <w:szCs w:val="20"/>
        </w:rPr>
        <w:t>, especially given the level of polypharmacy found in this study.</w:t>
      </w:r>
      <w:r w:rsidR="009B11F6" w:rsidRPr="00EC37B0">
        <w:rPr>
          <w:rFonts w:ascii="Arial" w:hAnsi="Arial" w:cs="Arial"/>
          <w:color w:val="000000"/>
          <w:sz w:val="20"/>
          <w:szCs w:val="20"/>
        </w:rPr>
        <w:t xml:space="preserve"> </w:t>
      </w:r>
      <w:r w:rsidRPr="00EC37B0">
        <w:rPr>
          <w:rFonts w:ascii="Arial" w:hAnsi="Arial" w:cs="Arial"/>
          <w:color w:val="000000"/>
          <w:sz w:val="20"/>
          <w:szCs w:val="20"/>
        </w:rPr>
        <w:t xml:space="preserve">Polypharmacy is increasingly common in clinical practice, </w:t>
      </w:r>
      <w:r w:rsidR="009B11F6" w:rsidRPr="00EC37B0">
        <w:rPr>
          <w:rFonts w:ascii="Arial" w:hAnsi="Arial" w:cs="Arial"/>
          <w:color w:val="000000"/>
          <w:sz w:val="20"/>
          <w:szCs w:val="20"/>
        </w:rPr>
        <w:t xml:space="preserve">and it </w:t>
      </w:r>
      <w:r w:rsidRPr="00EC37B0">
        <w:rPr>
          <w:rFonts w:ascii="Arial" w:hAnsi="Arial" w:cs="Arial"/>
          <w:color w:val="000000"/>
          <w:sz w:val="20"/>
          <w:szCs w:val="20"/>
        </w:rPr>
        <w:t xml:space="preserve">has been linked to negative health outcomes, increased morbidity and mortality, reduction of the quality of life, and increased costs of care, with </w:t>
      </w:r>
      <w:r w:rsidR="008A3BD8" w:rsidRPr="00EC37B0">
        <w:rPr>
          <w:rFonts w:ascii="Arial" w:hAnsi="Arial" w:cs="Arial"/>
          <w:color w:val="000000"/>
          <w:sz w:val="20"/>
          <w:szCs w:val="20"/>
        </w:rPr>
        <w:t>concerns</w:t>
      </w:r>
      <w:r w:rsidRPr="00EC37B0">
        <w:rPr>
          <w:rFonts w:ascii="Arial" w:hAnsi="Arial" w:cs="Arial"/>
          <w:color w:val="000000"/>
          <w:sz w:val="20"/>
          <w:szCs w:val="20"/>
        </w:rPr>
        <w:t xml:space="preserve"> to patients and healthcare systems </w:t>
      </w:r>
      <w:hyperlink r:id="rId57" w:history="1">
        <w:r w:rsidRPr="00EC37B0">
          <w:rPr>
            <w:rFonts w:ascii="Arial" w:hAnsi="Arial" w:cs="Arial"/>
            <w:color w:val="000000"/>
            <w:sz w:val="20"/>
            <w:szCs w:val="20"/>
          </w:rPr>
          <w:t>[</w:t>
        </w:r>
        <w:r w:rsidR="009B11F6" w:rsidRPr="00EC37B0">
          <w:rPr>
            <w:rFonts w:ascii="Arial" w:hAnsi="Arial" w:cs="Arial"/>
            <w:color w:val="000000"/>
            <w:sz w:val="20"/>
            <w:szCs w:val="20"/>
          </w:rPr>
          <w:t xml:space="preserve">43, </w:t>
        </w:r>
        <w:r w:rsidRPr="00EC37B0">
          <w:rPr>
            <w:rFonts w:ascii="Arial" w:hAnsi="Arial" w:cs="Arial"/>
            <w:color w:val="000000"/>
            <w:sz w:val="20"/>
            <w:szCs w:val="20"/>
          </w:rPr>
          <w:t>64]</w:t>
        </w:r>
      </w:hyperlink>
      <w:r w:rsidRPr="00EC37B0">
        <w:rPr>
          <w:rFonts w:ascii="Arial" w:hAnsi="Arial" w:cs="Arial"/>
          <w:color w:val="000000"/>
          <w:sz w:val="20"/>
          <w:szCs w:val="20"/>
        </w:rPr>
        <w:t xml:space="preserve">. Consequently, statin users need to be regularly monitored for </w:t>
      </w:r>
      <w:r w:rsidR="008A3BD8" w:rsidRPr="00EC37B0">
        <w:rPr>
          <w:rFonts w:ascii="Arial" w:hAnsi="Arial" w:cs="Arial"/>
          <w:color w:val="000000"/>
          <w:sz w:val="20"/>
          <w:szCs w:val="20"/>
        </w:rPr>
        <w:t>any</w:t>
      </w:r>
      <w:r w:rsidRPr="00EC37B0">
        <w:rPr>
          <w:rFonts w:ascii="Arial" w:hAnsi="Arial" w:cs="Arial"/>
          <w:color w:val="000000"/>
          <w:sz w:val="20"/>
          <w:szCs w:val="20"/>
        </w:rPr>
        <w:t xml:space="preserve"> occurrence of drug interactions </w:t>
      </w:r>
      <w:r w:rsidR="002D6ED3" w:rsidRPr="00EC37B0">
        <w:rPr>
          <w:rFonts w:ascii="Arial" w:hAnsi="Arial" w:cs="Arial"/>
          <w:color w:val="000000"/>
          <w:sz w:val="20"/>
          <w:szCs w:val="20"/>
        </w:rPr>
        <w:t xml:space="preserve">in addition to issues of adherence, </w:t>
      </w:r>
      <w:r w:rsidRPr="00EC37B0">
        <w:rPr>
          <w:rFonts w:ascii="Arial" w:hAnsi="Arial" w:cs="Arial"/>
          <w:color w:val="000000"/>
          <w:sz w:val="20"/>
          <w:szCs w:val="20"/>
        </w:rPr>
        <w:t>and health care team</w:t>
      </w:r>
      <w:r w:rsidR="003B0739" w:rsidRPr="00EC37B0">
        <w:rPr>
          <w:rFonts w:ascii="Arial" w:hAnsi="Arial" w:cs="Arial"/>
          <w:color w:val="000000"/>
          <w:sz w:val="20"/>
          <w:szCs w:val="20"/>
        </w:rPr>
        <w:t>s</w:t>
      </w:r>
      <w:r w:rsidRPr="00EC37B0">
        <w:rPr>
          <w:rFonts w:ascii="Arial" w:hAnsi="Arial" w:cs="Arial"/>
          <w:color w:val="000000"/>
          <w:sz w:val="20"/>
          <w:szCs w:val="20"/>
        </w:rPr>
        <w:t xml:space="preserve"> need to </w:t>
      </w:r>
      <w:r w:rsidR="002D6ED3" w:rsidRPr="00EC37B0">
        <w:rPr>
          <w:rFonts w:ascii="Arial" w:hAnsi="Arial" w:cs="Arial"/>
          <w:color w:val="000000"/>
          <w:sz w:val="20"/>
          <w:szCs w:val="20"/>
        </w:rPr>
        <w:t>undertake regular</w:t>
      </w:r>
      <w:r w:rsidRPr="00EC37B0">
        <w:rPr>
          <w:rFonts w:ascii="Arial" w:hAnsi="Arial" w:cs="Arial"/>
          <w:color w:val="000000"/>
          <w:sz w:val="20"/>
          <w:szCs w:val="20"/>
        </w:rPr>
        <w:t xml:space="preserve"> medication reviews in order to identify non-essential medicines and their potential de-prescription, customizing the treatment in people with multimorbidity </w:t>
      </w:r>
      <w:r w:rsidR="002D6ED3" w:rsidRPr="00EC37B0">
        <w:rPr>
          <w:rFonts w:ascii="Arial" w:hAnsi="Arial" w:cs="Arial"/>
          <w:color w:val="000000"/>
          <w:sz w:val="20"/>
          <w:szCs w:val="20"/>
        </w:rPr>
        <w:t>and more complex diseases</w:t>
      </w:r>
      <w:r w:rsidR="003B0739" w:rsidRPr="00EC37B0">
        <w:rPr>
          <w:rFonts w:ascii="Arial" w:hAnsi="Arial" w:cs="Arial"/>
          <w:color w:val="000000"/>
          <w:sz w:val="20"/>
          <w:szCs w:val="20"/>
        </w:rPr>
        <w:t>,</w:t>
      </w:r>
      <w:r w:rsidR="002D6ED3" w:rsidRPr="00EC37B0">
        <w:rPr>
          <w:rFonts w:ascii="Arial" w:hAnsi="Arial" w:cs="Arial"/>
          <w:color w:val="000000"/>
          <w:sz w:val="20"/>
          <w:szCs w:val="20"/>
        </w:rPr>
        <w:t xml:space="preserve"> </w:t>
      </w:r>
      <w:r w:rsidRPr="00EC37B0">
        <w:rPr>
          <w:rFonts w:ascii="Arial" w:hAnsi="Arial" w:cs="Arial"/>
          <w:color w:val="000000"/>
          <w:sz w:val="20"/>
          <w:szCs w:val="20"/>
        </w:rPr>
        <w:t xml:space="preserve">or specific vulnerability </w:t>
      </w:r>
      <w:hyperlink r:id="rId58" w:history="1">
        <w:r w:rsidRPr="00EC37B0">
          <w:rPr>
            <w:rFonts w:ascii="Arial" w:hAnsi="Arial" w:cs="Arial"/>
            <w:color w:val="000000"/>
            <w:sz w:val="20"/>
            <w:szCs w:val="20"/>
          </w:rPr>
          <w:t>[6</w:t>
        </w:r>
        <w:r w:rsidR="002D6ED3" w:rsidRPr="00EC37B0">
          <w:rPr>
            <w:rFonts w:ascii="Arial" w:hAnsi="Arial" w:cs="Arial"/>
            <w:color w:val="000000"/>
            <w:sz w:val="20"/>
            <w:szCs w:val="20"/>
          </w:rPr>
          <w:t>4</w:t>
        </w:r>
        <w:r w:rsidRPr="00EC37B0">
          <w:rPr>
            <w:rFonts w:ascii="Arial" w:hAnsi="Arial" w:cs="Arial"/>
            <w:color w:val="000000"/>
            <w:sz w:val="20"/>
            <w:szCs w:val="20"/>
          </w:rPr>
          <w:t>,65]</w:t>
        </w:r>
      </w:hyperlink>
      <w:r w:rsidR="003B0739" w:rsidRPr="00EC37B0">
        <w:rPr>
          <w:rFonts w:ascii="Arial" w:hAnsi="Arial" w:cs="Arial"/>
          <w:color w:val="000000"/>
          <w:sz w:val="20"/>
          <w:szCs w:val="20"/>
        </w:rPr>
        <w:t>,</w:t>
      </w:r>
      <w:r w:rsidRPr="00EC37B0">
        <w:rPr>
          <w:rFonts w:ascii="Arial" w:hAnsi="Arial" w:cs="Arial"/>
          <w:color w:val="000000"/>
          <w:sz w:val="20"/>
          <w:szCs w:val="20"/>
        </w:rPr>
        <w:t xml:space="preserve"> to optimise the</w:t>
      </w:r>
      <w:r w:rsidR="002D6ED3" w:rsidRPr="00EC37B0">
        <w:rPr>
          <w:rFonts w:ascii="Arial" w:hAnsi="Arial" w:cs="Arial"/>
          <w:color w:val="000000"/>
          <w:sz w:val="20"/>
          <w:szCs w:val="20"/>
        </w:rPr>
        <w:t>ir</w:t>
      </w:r>
      <w:r w:rsidRPr="00EC37B0">
        <w:rPr>
          <w:rFonts w:ascii="Arial" w:hAnsi="Arial" w:cs="Arial"/>
          <w:color w:val="000000"/>
          <w:sz w:val="20"/>
          <w:szCs w:val="20"/>
        </w:rPr>
        <w:t xml:space="preserve"> use and other essential medicines.</w:t>
      </w:r>
      <w:r w:rsidR="008A3BD8" w:rsidRPr="00EC37B0">
        <w:rPr>
          <w:rFonts w:ascii="Arial" w:hAnsi="Arial" w:cs="Arial"/>
          <w:color w:val="000000"/>
          <w:sz w:val="20"/>
          <w:szCs w:val="20"/>
        </w:rPr>
        <w:t xml:space="preserve"> </w:t>
      </w:r>
    </w:p>
    <w:p w14:paraId="763085A2" w14:textId="5198202E" w:rsidR="008A3BD8" w:rsidRPr="00EC37B0" w:rsidRDefault="008A3BD8" w:rsidP="00EC37B0">
      <w:pPr>
        <w:pStyle w:val="NoSpacing"/>
        <w:rPr>
          <w:rFonts w:ascii="Arial" w:hAnsi="Arial" w:cs="Arial"/>
          <w:color w:val="000000"/>
          <w:sz w:val="20"/>
          <w:szCs w:val="20"/>
        </w:rPr>
      </w:pPr>
    </w:p>
    <w:p w14:paraId="25F116FE" w14:textId="23161279" w:rsidR="00991055" w:rsidRPr="00EC37B0" w:rsidRDefault="00991055" w:rsidP="00EC37B0">
      <w:pPr>
        <w:pStyle w:val="NoSpacing"/>
        <w:rPr>
          <w:rFonts w:ascii="Arial" w:hAnsi="Arial" w:cs="Arial"/>
          <w:sz w:val="20"/>
          <w:szCs w:val="20"/>
        </w:rPr>
      </w:pPr>
      <w:r w:rsidRPr="00EC37B0">
        <w:rPr>
          <w:rFonts w:ascii="Arial" w:hAnsi="Arial" w:cs="Arial"/>
          <w:color w:val="000000"/>
          <w:sz w:val="20"/>
          <w:szCs w:val="20"/>
        </w:rPr>
        <w:t>Simvastatin was the most used statin in primary health care patients, followed by atorvastatin and rosuvastatin. This was expected as simvastatin is the recommended statin in primary health care</w:t>
      </w:r>
      <w:r w:rsidR="002D6ED3" w:rsidRPr="00EC37B0">
        <w:rPr>
          <w:rFonts w:ascii="Arial" w:hAnsi="Arial" w:cs="Arial"/>
          <w:color w:val="000000"/>
          <w:sz w:val="20"/>
          <w:szCs w:val="20"/>
        </w:rPr>
        <w:t>.</w:t>
      </w:r>
      <w:r w:rsidRPr="00EC37B0">
        <w:rPr>
          <w:rFonts w:ascii="Arial" w:hAnsi="Arial" w:cs="Arial"/>
          <w:color w:val="000000"/>
          <w:sz w:val="20"/>
          <w:szCs w:val="20"/>
        </w:rPr>
        <w:t xml:space="preserve"> The low use of the other statins could be related </w:t>
      </w:r>
      <w:r w:rsidR="002D6ED3" w:rsidRPr="00EC37B0">
        <w:rPr>
          <w:rFonts w:ascii="Arial" w:hAnsi="Arial" w:cs="Arial"/>
          <w:color w:val="000000"/>
          <w:sz w:val="20"/>
          <w:szCs w:val="20"/>
        </w:rPr>
        <w:t>to</w:t>
      </w:r>
      <w:r w:rsidRPr="00EC37B0">
        <w:rPr>
          <w:rFonts w:ascii="Arial" w:hAnsi="Arial" w:cs="Arial"/>
          <w:color w:val="000000"/>
          <w:sz w:val="20"/>
          <w:szCs w:val="20"/>
        </w:rPr>
        <w:t xml:space="preserve"> the pre-assessment process </w:t>
      </w:r>
      <w:hyperlink r:id="rId59" w:history="1">
        <w:r w:rsidRPr="00EC37B0">
          <w:rPr>
            <w:rFonts w:ascii="Arial" w:hAnsi="Arial" w:cs="Arial"/>
            <w:color w:val="000000"/>
            <w:sz w:val="20"/>
            <w:szCs w:val="20"/>
          </w:rPr>
          <w:t>[22]</w:t>
        </w:r>
      </w:hyperlink>
      <w:r w:rsidRPr="00EC37B0">
        <w:rPr>
          <w:rFonts w:ascii="Arial" w:hAnsi="Arial" w:cs="Arial"/>
          <w:color w:val="000000"/>
          <w:sz w:val="20"/>
          <w:szCs w:val="20"/>
        </w:rPr>
        <w:t xml:space="preserve">, which </w:t>
      </w:r>
      <w:r w:rsidR="002D6ED3" w:rsidRPr="00EC37B0">
        <w:rPr>
          <w:rFonts w:ascii="Arial" w:hAnsi="Arial" w:cs="Arial"/>
          <w:color w:val="000000"/>
          <w:sz w:val="20"/>
          <w:szCs w:val="20"/>
        </w:rPr>
        <w:t xml:space="preserve">can </w:t>
      </w:r>
      <w:r w:rsidRPr="00EC37B0">
        <w:rPr>
          <w:rFonts w:ascii="Arial" w:hAnsi="Arial" w:cs="Arial"/>
          <w:color w:val="000000"/>
          <w:sz w:val="20"/>
          <w:szCs w:val="20"/>
        </w:rPr>
        <w:t xml:space="preserve">cause a delay between prescription and authorization (or not) for dispensing the medicines. </w:t>
      </w:r>
      <w:r w:rsidR="002D6ED3" w:rsidRPr="00EC37B0">
        <w:rPr>
          <w:rFonts w:ascii="Arial" w:hAnsi="Arial" w:cs="Arial"/>
          <w:color w:val="000000"/>
          <w:sz w:val="20"/>
          <w:szCs w:val="20"/>
        </w:rPr>
        <w:t xml:space="preserve">In addition, rosuvastatin is current subject to 100% co-payment. </w:t>
      </w:r>
      <w:r w:rsidRPr="00EC37B0">
        <w:rPr>
          <w:rFonts w:ascii="Arial" w:hAnsi="Arial" w:cs="Arial"/>
          <w:color w:val="000000"/>
          <w:sz w:val="20"/>
          <w:szCs w:val="20"/>
        </w:rPr>
        <w:t xml:space="preserve">These findings are similar to other studies where prescribing restrictions have significantly affected statin use </w:t>
      </w:r>
      <w:hyperlink r:id="rId60" w:history="1">
        <w:r w:rsidRPr="00EC37B0">
          <w:rPr>
            <w:rFonts w:ascii="Arial" w:hAnsi="Arial" w:cs="Arial"/>
            <w:color w:val="000000"/>
            <w:sz w:val="20"/>
            <w:szCs w:val="20"/>
          </w:rPr>
          <w:t>[</w:t>
        </w:r>
        <w:r w:rsidR="002D6ED3" w:rsidRPr="00EC37B0">
          <w:rPr>
            <w:rFonts w:ascii="Arial" w:hAnsi="Arial" w:cs="Arial"/>
            <w:color w:val="000000"/>
            <w:sz w:val="20"/>
            <w:szCs w:val="20"/>
          </w:rPr>
          <w:t>29</w:t>
        </w:r>
        <w:r w:rsidRPr="00EC37B0">
          <w:rPr>
            <w:rFonts w:ascii="Arial" w:hAnsi="Arial" w:cs="Arial"/>
            <w:color w:val="000000"/>
            <w:sz w:val="20"/>
            <w:szCs w:val="20"/>
          </w:rPr>
          <w:t>,</w:t>
        </w:r>
        <w:r w:rsidR="002D6ED3" w:rsidRPr="00EC37B0">
          <w:rPr>
            <w:rFonts w:ascii="Arial" w:hAnsi="Arial" w:cs="Arial"/>
            <w:color w:val="000000"/>
            <w:sz w:val="20"/>
            <w:szCs w:val="20"/>
          </w:rPr>
          <w:t>66-68</w:t>
        </w:r>
        <w:r w:rsidRPr="00EC37B0">
          <w:rPr>
            <w:rFonts w:ascii="Arial" w:hAnsi="Arial" w:cs="Arial"/>
            <w:color w:val="000000"/>
            <w:sz w:val="20"/>
            <w:szCs w:val="20"/>
          </w:rPr>
          <w:t>]</w:t>
        </w:r>
      </w:hyperlink>
      <w:r w:rsidRPr="00EC37B0">
        <w:rPr>
          <w:rFonts w:ascii="Arial" w:hAnsi="Arial" w:cs="Arial"/>
          <w:color w:val="000000"/>
          <w:sz w:val="20"/>
          <w:szCs w:val="20"/>
        </w:rPr>
        <w:t>.   However, other studies focusing on the implementation of national guidelines for CVD prevention are needed to better understand these results.</w:t>
      </w:r>
    </w:p>
    <w:p w14:paraId="243116B2" w14:textId="77777777" w:rsidR="008A3BD8"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ab/>
      </w:r>
    </w:p>
    <w:p w14:paraId="1DB3065A" w14:textId="09E4EB4A" w:rsidR="004868C3" w:rsidRPr="00EC37B0" w:rsidRDefault="002D6ED3" w:rsidP="00EC37B0">
      <w:pPr>
        <w:pStyle w:val="NoSpacing"/>
        <w:rPr>
          <w:rFonts w:ascii="Arial" w:hAnsi="Arial" w:cs="Arial"/>
          <w:color w:val="000000"/>
          <w:sz w:val="20"/>
          <w:szCs w:val="20"/>
        </w:rPr>
      </w:pPr>
      <w:r w:rsidRPr="00EC37B0">
        <w:rPr>
          <w:rFonts w:ascii="Arial" w:hAnsi="Arial" w:cs="Arial"/>
          <w:color w:val="000000"/>
          <w:sz w:val="20"/>
          <w:szCs w:val="20"/>
        </w:rPr>
        <w:t xml:space="preserve">Although the self-reported adherence to statin therapy in this study was higher than the average </w:t>
      </w:r>
      <w:r w:rsidR="004868C3" w:rsidRPr="00EC37B0">
        <w:rPr>
          <w:rFonts w:ascii="Arial" w:hAnsi="Arial" w:cs="Arial"/>
          <w:color w:val="000000"/>
          <w:sz w:val="20"/>
          <w:szCs w:val="20"/>
        </w:rPr>
        <w:t>seen</w:t>
      </w:r>
      <w:r w:rsidRPr="00EC37B0">
        <w:rPr>
          <w:rFonts w:ascii="Arial" w:hAnsi="Arial" w:cs="Arial"/>
          <w:color w:val="000000"/>
          <w:sz w:val="20"/>
          <w:szCs w:val="20"/>
        </w:rPr>
        <w:t xml:space="preserve"> in other studies </w:t>
      </w:r>
      <w:hyperlink r:id="rId61" w:history="1">
        <w:r w:rsidRPr="00EC37B0">
          <w:rPr>
            <w:rFonts w:ascii="Arial" w:hAnsi="Arial" w:cs="Arial"/>
            <w:color w:val="000000"/>
            <w:sz w:val="20"/>
            <w:szCs w:val="20"/>
          </w:rPr>
          <w:t>[</w:t>
        </w:r>
        <w:r w:rsidR="004868C3" w:rsidRPr="00EC37B0">
          <w:rPr>
            <w:rFonts w:ascii="Arial" w:hAnsi="Arial" w:cs="Arial"/>
            <w:color w:val="000000"/>
            <w:sz w:val="20"/>
            <w:szCs w:val="20"/>
          </w:rPr>
          <w:t>69-71</w:t>
        </w:r>
        <w:r w:rsidRPr="00EC37B0">
          <w:rPr>
            <w:rFonts w:ascii="Arial" w:hAnsi="Arial" w:cs="Arial"/>
            <w:color w:val="000000"/>
            <w:sz w:val="20"/>
            <w:szCs w:val="20"/>
          </w:rPr>
          <w:t>]</w:t>
        </w:r>
      </w:hyperlink>
      <w:r w:rsidRPr="00EC37B0">
        <w:rPr>
          <w:rFonts w:ascii="Arial" w:hAnsi="Arial" w:cs="Arial"/>
          <w:color w:val="000000"/>
          <w:sz w:val="20"/>
          <w:szCs w:val="20"/>
        </w:rPr>
        <w:t xml:space="preserve">, this could be overestimated.  As a result, statin adherence and persistence in Brazil needs to be better understood, especially in patients on multiple medications and where there </w:t>
      </w:r>
      <w:r w:rsidR="004868C3" w:rsidRPr="00EC37B0">
        <w:rPr>
          <w:rFonts w:ascii="Arial" w:hAnsi="Arial" w:cs="Arial"/>
          <w:color w:val="000000"/>
          <w:sz w:val="20"/>
          <w:szCs w:val="20"/>
        </w:rPr>
        <w:t>could be</w:t>
      </w:r>
      <w:r w:rsidRPr="00EC37B0">
        <w:rPr>
          <w:rFonts w:ascii="Arial" w:hAnsi="Arial" w:cs="Arial"/>
          <w:color w:val="000000"/>
          <w:sz w:val="20"/>
          <w:szCs w:val="20"/>
        </w:rPr>
        <w:t xml:space="preserve"> concerns with affordability. </w:t>
      </w:r>
      <w:r w:rsidR="004868C3" w:rsidRPr="00EC37B0">
        <w:rPr>
          <w:rFonts w:ascii="Arial" w:hAnsi="Arial" w:cs="Arial"/>
          <w:color w:val="000000"/>
          <w:sz w:val="20"/>
          <w:szCs w:val="20"/>
        </w:rPr>
        <w:t>This is because p</w:t>
      </w:r>
      <w:r w:rsidR="00991055" w:rsidRPr="00EC37B0">
        <w:rPr>
          <w:rFonts w:ascii="Arial" w:hAnsi="Arial" w:cs="Arial"/>
          <w:color w:val="000000"/>
          <w:sz w:val="20"/>
          <w:szCs w:val="20"/>
        </w:rPr>
        <w:t xml:space="preserve">ublic supply is the only way to access medicines </w:t>
      </w:r>
      <w:r w:rsidR="004868C3" w:rsidRPr="00EC37B0">
        <w:rPr>
          <w:rFonts w:ascii="Arial" w:hAnsi="Arial" w:cs="Arial"/>
          <w:color w:val="000000"/>
          <w:sz w:val="20"/>
          <w:szCs w:val="20"/>
        </w:rPr>
        <w:t>among</w:t>
      </w:r>
      <w:r w:rsidR="00991055" w:rsidRPr="00EC37B0">
        <w:rPr>
          <w:rFonts w:ascii="Arial" w:hAnsi="Arial" w:cs="Arial"/>
          <w:color w:val="000000"/>
          <w:sz w:val="20"/>
          <w:szCs w:val="20"/>
        </w:rPr>
        <w:t xml:space="preserve"> low income families in Brazil </w:t>
      </w:r>
      <w:hyperlink r:id="rId62" w:history="1">
        <w:r w:rsidR="00991055" w:rsidRPr="00EC37B0">
          <w:rPr>
            <w:rFonts w:ascii="Arial" w:hAnsi="Arial" w:cs="Arial"/>
            <w:color w:val="000000"/>
            <w:sz w:val="20"/>
            <w:szCs w:val="20"/>
          </w:rPr>
          <w:t>[7</w:t>
        </w:r>
        <w:r w:rsidR="004868C3" w:rsidRPr="00EC37B0">
          <w:rPr>
            <w:rFonts w:ascii="Arial" w:hAnsi="Arial" w:cs="Arial"/>
            <w:color w:val="000000"/>
            <w:sz w:val="20"/>
            <w:szCs w:val="20"/>
          </w:rPr>
          <w:t>2</w:t>
        </w:r>
        <w:r w:rsidR="00991055" w:rsidRPr="00EC37B0">
          <w:rPr>
            <w:rFonts w:ascii="Arial" w:hAnsi="Arial" w:cs="Arial"/>
            <w:color w:val="000000"/>
            <w:sz w:val="20"/>
            <w:szCs w:val="20"/>
          </w:rPr>
          <w:t>,7</w:t>
        </w:r>
        <w:r w:rsidR="004868C3" w:rsidRPr="00EC37B0">
          <w:rPr>
            <w:rFonts w:ascii="Arial" w:hAnsi="Arial" w:cs="Arial"/>
            <w:color w:val="000000"/>
            <w:sz w:val="20"/>
            <w:szCs w:val="20"/>
          </w:rPr>
          <w:t>3</w:t>
        </w:r>
        <w:r w:rsidR="00991055" w:rsidRPr="00EC37B0">
          <w:rPr>
            <w:rFonts w:ascii="Arial" w:hAnsi="Arial" w:cs="Arial"/>
            <w:color w:val="000000"/>
            <w:sz w:val="20"/>
            <w:szCs w:val="20"/>
          </w:rPr>
          <w:t>]</w:t>
        </w:r>
      </w:hyperlink>
      <w:r w:rsidR="00991055" w:rsidRPr="00EC37B0">
        <w:rPr>
          <w:rFonts w:ascii="Arial" w:hAnsi="Arial" w:cs="Arial"/>
          <w:color w:val="000000"/>
          <w:sz w:val="20"/>
          <w:szCs w:val="20"/>
        </w:rPr>
        <w:t xml:space="preserve"> a</w:t>
      </w:r>
      <w:r w:rsidR="008A3BD8" w:rsidRPr="00EC37B0">
        <w:rPr>
          <w:rFonts w:ascii="Arial" w:hAnsi="Arial" w:cs="Arial"/>
          <w:color w:val="000000"/>
          <w:sz w:val="20"/>
          <w:szCs w:val="20"/>
        </w:rPr>
        <w:t>s</w:t>
      </w:r>
      <w:r w:rsidR="00991055" w:rsidRPr="00EC37B0">
        <w:rPr>
          <w:rFonts w:ascii="Arial" w:hAnsi="Arial" w:cs="Arial"/>
          <w:color w:val="000000"/>
          <w:sz w:val="20"/>
          <w:szCs w:val="20"/>
        </w:rPr>
        <w:t xml:space="preserve"> just 24.5% of Brazilian population currently have private health insurance </w:t>
      </w:r>
      <w:hyperlink r:id="rId63" w:history="1">
        <w:r w:rsidR="00991055" w:rsidRPr="00EC37B0">
          <w:rPr>
            <w:rFonts w:ascii="Arial" w:hAnsi="Arial" w:cs="Arial"/>
            <w:color w:val="000000"/>
            <w:sz w:val="20"/>
            <w:szCs w:val="20"/>
          </w:rPr>
          <w:t>[7</w:t>
        </w:r>
        <w:r w:rsidR="004868C3" w:rsidRPr="00EC37B0">
          <w:rPr>
            <w:rFonts w:ascii="Arial" w:hAnsi="Arial" w:cs="Arial"/>
            <w:color w:val="000000"/>
            <w:sz w:val="20"/>
            <w:szCs w:val="20"/>
          </w:rPr>
          <w:t>4</w:t>
        </w:r>
        <w:r w:rsidR="00991055" w:rsidRPr="00EC37B0">
          <w:rPr>
            <w:rFonts w:ascii="Arial" w:hAnsi="Arial" w:cs="Arial"/>
            <w:color w:val="000000"/>
            <w:sz w:val="20"/>
            <w:szCs w:val="20"/>
          </w:rPr>
          <w:t>]</w:t>
        </w:r>
      </w:hyperlink>
      <w:r w:rsidR="00991055" w:rsidRPr="00EC37B0">
        <w:rPr>
          <w:rFonts w:ascii="Arial" w:hAnsi="Arial" w:cs="Arial"/>
          <w:color w:val="000000"/>
          <w:sz w:val="20"/>
          <w:szCs w:val="20"/>
        </w:rPr>
        <w:t xml:space="preserve">. The lack of free-of-charge </w:t>
      </w:r>
      <w:r w:rsidR="00991055" w:rsidRPr="00EC37B0">
        <w:rPr>
          <w:rFonts w:ascii="Arial" w:hAnsi="Arial" w:cs="Arial"/>
          <w:color w:val="000000"/>
          <w:sz w:val="20"/>
          <w:szCs w:val="20"/>
        </w:rPr>
        <w:lastRenderedPageBreak/>
        <w:t xml:space="preserve">statin </w:t>
      </w:r>
      <w:r w:rsidR="004868C3" w:rsidRPr="00EC37B0">
        <w:rPr>
          <w:rFonts w:ascii="Arial" w:hAnsi="Arial" w:cs="Arial"/>
          <w:color w:val="000000"/>
          <w:sz w:val="20"/>
          <w:szCs w:val="20"/>
        </w:rPr>
        <w:t>in patients</w:t>
      </w:r>
      <w:r w:rsidR="00991055" w:rsidRPr="00EC37B0">
        <w:rPr>
          <w:rFonts w:ascii="Arial" w:hAnsi="Arial" w:cs="Arial"/>
          <w:color w:val="000000"/>
          <w:sz w:val="20"/>
          <w:szCs w:val="20"/>
        </w:rPr>
        <w:t xml:space="preserve"> may compromise family budgets and</w:t>
      </w:r>
      <w:r w:rsidR="008A3BD8" w:rsidRPr="00EC37B0">
        <w:rPr>
          <w:rFonts w:ascii="Arial" w:hAnsi="Arial" w:cs="Arial"/>
          <w:color w:val="000000"/>
          <w:sz w:val="20"/>
          <w:szCs w:val="20"/>
        </w:rPr>
        <w:t xml:space="preserve"> subsequent </w:t>
      </w:r>
      <w:r w:rsidR="00991055" w:rsidRPr="00EC37B0">
        <w:rPr>
          <w:rFonts w:ascii="Arial" w:hAnsi="Arial" w:cs="Arial"/>
          <w:color w:val="000000"/>
          <w:sz w:val="20"/>
          <w:szCs w:val="20"/>
        </w:rPr>
        <w:t>treatment persistence</w:t>
      </w:r>
      <w:r w:rsidR="004868C3" w:rsidRPr="00EC37B0">
        <w:rPr>
          <w:rFonts w:ascii="Arial" w:hAnsi="Arial" w:cs="Arial"/>
          <w:color w:val="000000"/>
          <w:sz w:val="20"/>
          <w:szCs w:val="20"/>
        </w:rPr>
        <w:t>. However, t</w:t>
      </w:r>
      <w:r w:rsidR="00991055" w:rsidRPr="00EC37B0">
        <w:rPr>
          <w:rFonts w:ascii="Arial" w:hAnsi="Arial" w:cs="Arial"/>
          <w:color w:val="000000"/>
          <w:sz w:val="20"/>
          <w:szCs w:val="20"/>
        </w:rPr>
        <w:t>he updating of the Popular Pharmacy Program, including statins in the “</w:t>
      </w:r>
      <w:r w:rsidR="00991055" w:rsidRPr="00EC37B0">
        <w:rPr>
          <w:rFonts w:ascii="Arial" w:hAnsi="Arial" w:cs="Arial"/>
          <w:i/>
          <w:iCs/>
          <w:color w:val="000000"/>
          <w:sz w:val="20"/>
          <w:szCs w:val="20"/>
        </w:rPr>
        <w:t>Saúde não tem preço</w:t>
      </w:r>
      <w:r w:rsidR="00991055" w:rsidRPr="00EC37B0">
        <w:rPr>
          <w:rFonts w:ascii="Arial" w:hAnsi="Arial" w:cs="Arial"/>
          <w:color w:val="000000"/>
          <w:sz w:val="20"/>
          <w:szCs w:val="20"/>
        </w:rPr>
        <w:t>” (“Health is priceless”) strategy, may contribute to increased adherence to treatment, and strengthen the prevention and control of CVD policy in Brazil.</w:t>
      </w:r>
      <w:r w:rsidR="00975B1A" w:rsidRPr="00EC37B0">
        <w:rPr>
          <w:rFonts w:ascii="Arial" w:hAnsi="Arial" w:cs="Arial"/>
          <w:color w:val="000000"/>
          <w:sz w:val="20"/>
          <w:szCs w:val="20"/>
        </w:rPr>
        <w:t xml:space="preserve"> These will be subjects of future research since o</w:t>
      </w:r>
      <w:r w:rsidR="00991055" w:rsidRPr="00EC37B0">
        <w:rPr>
          <w:rFonts w:ascii="Arial" w:hAnsi="Arial" w:cs="Arial"/>
          <w:color w:val="000000"/>
          <w:sz w:val="20"/>
          <w:szCs w:val="20"/>
        </w:rPr>
        <w:t xml:space="preserve">ne of the key challenges in CVD prevention is to improve adherence and persistence to drug treatment </w:t>
      </w:r>
      <w:hyperlink r:id="rId64" w:history="1">
        <w:r w:rsidR="00991055" w:rsidRPr="00EC37B0">
          <w:rPr>
            <w:rFonts w:ascii="Arial" w:hAnsi="Arial" w:cs="Arial"/>
            <w:color w:val="000000"/>
            <w:sz w:val="20"/>
            <w:szCs w:val="20"/>
          </w:rPr>
          <w:t>[19,</w:t>
        </w:r>
        <w:r w:rsidR="004868C3" w:rsidRPr="00EC37B0">
          <w:rPr>
            <w:rFonts w:ascii="Arial" w:hAnsi="Arial" w:cs="Arial"/>
            <w:color w:val="000000"/>
            <w:sz w:val="20"/>
            <w:szCs w:val="20"/>
          </w:rPr>
          <w:t>33</w:t>
        </w:r>
        <w:r w:rsidR="00991055" w:rsidRPr="00EC37B0">
          <w:rPr>
            <w:rFonts w:ascii="Arial" w:hAnsi="Arial" w:cs="Arial"/>
            <w:color w:val="000000"/>
            <w:sz w:val="20"/>
            <w:szCs w:val="20"/>
          </w:rPr>
          <w:t>]</w:t>
        </w:r>
      </w:hyperlink>
      <w:r w:rsidR="00991055" w:rsidRPr="00EC37B0">
        <w:rPr>
          <w:rFonts w:ascii="Arial" w:hAnsi="Arial" w:cs="Arial"/>
          <w:color w:val="000000"/>
          <w:sz w:val="20"/>
          <w:szCs w:val="20"/>
        </w:rPr>
        <w:t xml:space="preserve">. </w:t>
      </w:r>
    </w:p>
    <w:p w14:paraId="1AE2472B" w14:textId="77777777" w:rsidR="004868C3" w:rsidRPr="00EC37B0" w:rsidRDefault="004868C3" w:rsidP="00EC37B0">
      <w:pPr>
        <w:pStyle w:val="NoSpacing"/>
        <w:rPr>
          <w:rFonts w:ascii="Arial" w:hAnsi="Arial" w:cs="Arial"/>
          <w:color w:val="000000"/>
          <w:sz w:val="20"/>
          <w:szCs w:val="20"/>
        </w:rPr>
      </w:pPr>
    </w:p>
    <w:p w14:paraId="7CD65424" w14:textId="309EE993"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 xml:space="preserve">Lack of access, forgotten doses and adverse effects accounted for more than half of </w:t>
      </w:r>
      <w:r w:rsidR="00975B1A" w:rsidRPr="00EC37B0">
        <w:rPr>
          <w:rFonts w:ascii="Arial" w:hAnsi="Arial" w:cs="Arial"/>
          <w:color w:val="000000"/>
          <w:sz w:val="20"/>
          <w:szCs w:val="20"/>
        </w:rPr>
        <w:t xml:space="preserve">the reasons for </w:t>
      </w:r>
      <w:r w:rsidRPr="00EC37B0">
        <w:rPr>
          <w:rFonts w:ascii="Arial" w:hAnsi="Arial" w:cs="Arial"/>
          <w:color w:val="000000"/>
          <w:sz w:val="20"/>
          <w:szCs w:val="20"/>
        </w:rPr>
        <w:t>non-adherence in SUS primary health care</w:t>
      </w:r>
      <w:r w:rsidR="00975B1A" w:rsidRPr="00EC37B0">
        <w:rPr>
          <w:rFonts w:ascii="Arial" w:hAnsi="Arial" w:cs="Arial"/>
          <w:color w:val="000000"/>
          <w:sz w:val="20"/>
          <w:szCs w:val="20"/>
        </w:rPr>
        <w:t xml:space="preserve"> patients</w:t>
      </w:r>
      <w:r w:rsidRPr="00EC37B0">
        <w:rPr>
          <w:rFonts w:ascii="Arial" w:hAnsi="Arial" w:cs="Arial"/>
          <w:color w:val="000000"/>
          <w:sz w:val="20"/>
          <w:szCs w:val="20"/>
        </w:rPr>
        <w:t xml:space="preserve">. This is in line with other studies </w:t>
      </w:r>
      <w:hyperlink r:id="rId65" w:history="1">
        <w:r w:rsidRPr="00EC37B0">
          <w:rPr>
            <w:rFonts w:ascii="Arial" w:hAnsi="Arial" w:cs="Arial"/>
            <w:color w:val="000000"/>
            <w:sz w:val="20"/>
            <w:szCs w:val="20"/>
          </w:rPr>
          <w:t>[4,5</w:t>
        </w:r>
        <w:r w:rsidR="004868C3" w:rsidRPr="00EC37B0">
          <w:rPr>
            <w:rFonts w:ascii="Arial" w:hAnsi="Arial" w:cs="Arial"/>
            <w:color w:val="000000"/>
            <w:sz w:val="20"/>
            <w:szCs w:val="20"/>
          </w:rPr>
          <w:t>2</w:t>
        </w:r>
        <w:r w:rsidRPr="00EC37B0">
          <w:rPr>
            <w:rFonts w:ascii="Arial" w:hAnsi="Arial" w:cs="Arial"/>
            <w:color w:val="000000"/>
            <w:sz w:val="20"/>
            <w:szCs w:val="20"/>
          </w:rPr>
          <w:t>,</w:t>
        </w:r>
        <w:r w:rsidR="004868C3" w:rsidRPr="00EC37B0">
          <w:rPr>
            <w:rFonts w:ascii="Arial" w:hAnsi="Arial" w:cs="Arial"/>
            <w:color w:val="000000"/>
            <w:sz w:val="20"/>
            <w:szCs w:val="20"/>
          </w:rPr>
          <w:t>70, 71</w:t>
        </w:r>
        <w:r w:rsidRPr="00EC37B0">
          <w:rPr>
            <w:rFonts w:ascii="Arial" w:hAnsi="Arial" w:cs="Arial"/>
            <w:color w:val="000000"/>
            <w:sz w:val="20"/>
            <w:szCs w:val="20"/>
          </w:rPr>
          <w:t>]</w:t>
        </w:r>
      </w:hyperlink>
      <w:r w:rsidRPr="00EC37B0">
        <w:rPr>
          <w:rFonts w:ascii="Arial" w:hAnsi="Arial" w:cs="Arial"/>
          <w:color w:val="000000"/>
          <w:sz w:val="20"/>
          <w:szCs w:val="20"/>
        </w:rPr>
        <w:t xml:space="preserve"> in which unintentional non adherence was dominant. The lack of access could be related to the poor availability of essential medicines in Brazilian primary health care. </w:t>
      </w:r>
      <w:r w:rsidR="00975B1A" w:rsidRPr="00EC37B0">
        <w:rPr>
          <w:rFonts w:ascii="Arial" w:hAnsi="Arial" w:cs="Arial"/>
          <w:color w:val="000000"/>
          <w:sz w:val="20"/>
          <w:szCs w:val="20"/>
        </w:rPr>
        <w:t xml:space="preserve">However, </w:t>
      </w:r>
      <w:r w:rsidR="00390491" w:rsidRPr="00EC37B0">
        <w:rPr>
          <w:rFonts w:ascii="Arial" w:hAnsi="Arial" w:cs="Arial"/>
          <w:color w:val="000000"/>
          <w:sz w:val="20"/>
          <w:szCs w:val="20"/>
        </w:rPr>
        <w:t xml:space="preserve">currently limited or no co-payment for designated </w:t>
      </w:r>
      <w:r w:rsidRPr="00EC37B0">
        <w:rPr>
          <w:rFonts w:ascii="Arial" w:hAnsi="Arial" w:cs="Arial"/>
          <w:color w:val="000000"/>
          <w:sz w:val="20"/>
          <w:szCs w:val="20"/>
        </w:rPr>
        <w:t>statins in this study</w:t>
      </w:r>
      <w:r w:rsidR="00390491" w:rsidRPr="00EC37B0">
        <w:rPr>
          <w:rFonts w:ascii="Arial" w:hAnsi="Arial" w:cs="Arial"/>
          <w:color w:val="000000"/>
          <w:sz w:val="20"/>
          <w:szCs w:val="20"/>
        </w:rPr>
        <w:t xml:space="preserve"> </w:t>
      </w:r>
      <w:r w:rsidRPr="00EC37B0">
        <w:rPr>
          <w:rFonts w:ascii="Arial" w:hAnsi="Arial" w:cs="Arial"/>
          <w:color w:val="000000"/>
          <w:sz w:val="20"/>
          <w:szCs w:val="20"/>
        </w:rPr>
        <w:t xml:space="preserve">reinforce the availability of essential medicines in SUS primary health care services previously reported </w:t>
      </w:r>
      <w:hyperlink r:id="rId66" w:history="1">
        <w:r w:rsidRPr="00EC37B0">
          <w:rPr>
            <w:rFonts w:ascii="Arial" w:hAnsi="Arial" w:cs="Arial"/>
            <w:color w:val="000000"/>
            <w:sz w:val="20"/>
            <w:szCs w:val="20"/>
          </w:rPr>
          <w:t>[</w:t>
        </w:r>
        <w:r w:rsidR="00390491" w:rsidRPr="00EC37B0">
          <w:rPr>
            <w:rFonts w:ascii="Arial" w:hAnsi="Arial" w:cs="Arial"/>
            <w:color w:val="000000"/>
            <w:sz w:val="20"/>
            <w:szCs w:val="20"/>
          </w:rPr>
          <w:t>75</w:t>
        </w:r>
        <w:r w:rsidRPr="00EC37B0">
          <w:rPr>
            <w:rFonts w:ascii="Arial" w:hAnsi="Arial" w:cs="Arial"/>
            <w:color w:val="000000"/>
            <w:sz w:val="20"/>
            <w:szCs w:val="20"/>
          </w:rPr>
          <w:t>,</w:t>
        </w:r>
        <w:r w:rsidR="00390491" w:rsidRPr="00EC37B0">
          <w:rPr>
            <w:rFonts w:ascii="Arial" w:hAnsi="Arial" w:cs="Arial"/>
            <w:color w:val="000000"/>
            <w:sz w:val="20"/>
            <w:szCs w:val="20"/>
          </w:rPr>
          <w:t>76</w:t>
        </w:r>
        <w:r w:rsidRPr="00EC37B0">
          <w:rPr>
            <w:rFonts w:ascii="Arial" w:hAnsi="Arial" w:cs="Arial"/>
            <w:color w:val="000000"/>
            <w:sz w:val="20"/>
            <w:szCs w:val="20"/>
          </w:rPr>
          <w:t>]</w:t>
        </w:r>
      </w:hyperlink>
      <w:r w:rsidRPr="00EC37B0">
        <w:rPr>
          <w:rFonts w:ascii="Arial" w:hAnsi="Arial" w:cs="Arial"/>
          <w:color w:val="000000"/>
          <w:sz w:val="20"/>
          <w:szCs w:val="20"/>
        </w:rPr>
        <w:t xml:space="preserve">, highlighting that ensuring access to essential medicines is still a challenge to the Brazilian health system. According to the WHO </w:t>
      </w:r>
      <w:hyperlink r:id="rId67" w:history="1">
        <w:r w:rsidRPr="00EC37B0">
          <w:rPr>
            <w:rFonts w:ascii="Arial" w:hAnsi="Arial" w:cs="Arial"/>
            <w:color w:val="000000"/>
            <w:sz w:val="20"/>
            <w:szCs w:val="20"/>
          </w:rPr>
          <w:t>[</w:t>
        </w:r>
        <w:r w:rsidR="00162FC6" w:rsidRPr="00EC37B0">
          <w:rPr>
            <w:rFonts w:ascii="Arial" w:hAnsi="Arial" w:cs="Arial"/>
            <w:color w:val="000000"/>
            <w:sz w:val="20"/>
            <w:szCs w:val="20"/>
          </w:rPr>
          <w:t>8</w:t>
        </w:r>
        <w:r w:rsidRPr="00EC37B0">
          <w:rPr>
            <w:rFonts w:ascii="Arial" w:hAnsi="Arial" w:cs="Arial"/>
            <w:color w:val="000000"/>
            <w:sz w:val="20"/>
            <w:szCs w:val="20"/>
          </w:rPr>
          <w:t>]</w:t>
        </w:r>
      </w:hyperlink>
      <w:r w:rsidRPr="00EC37B0">
        <w:rPr>
          <w:rFonts w:ascii="Arial" w:hAnsi="Arial" w:cs="Arial"/>
          <w:color w:val="000000"/>
          <w:sz w:val="20"/>
          <w:szCs w:val="20"/>
        </w:rPr>
        <w:t xml:space="preserve">, an 80% availability of the affordable basic technologies and essential medicines, including generics, is required to treat major NCDs in both public and private facilities, which is a global target for prevention and control of these diseases. </w:t>
      </w:r>
      <w:r w:rsidR="00975B1A" w:rsidRPr="00EC37B0">
        <w:rPr>
          <w:rFonts w:ascii="Arial" w:hAnsi="Arial" w:cs="Arial"/>
          <w:color w:val="000000"/>
          <w:sz w:val="20"/>
          <w:szCs w:val="20"/>
        </w:rPr>
        <w:t xml:space="preserve">Consequently, </w:t>
      </w:r>
      <w:r w:rsidRPr="00EC37B0">
        <w:rPr>
          <w:rFonts w:ascii="Arial" w:hAnsi="Arial" w:cs="Arial"/>
          <w:color w:val="000000"/>
          <w:sz w:val="20"/>
          <w:szCs w:val="20"/>
        </w:rPr>
        <w:t xml:space="preserve">to achieve WHO goals it is necessary to better understand the lack of statin access </w:t>
      </w:r>
      <w:r w:rsidR="00975B1A" w:rsidRPr="00EC37B0">
        <w:rPr>
          <w:rFonts w:ascii="Arial" w:hAnsi="Arial" w:cs="Arial"/>
          <w:color w:val="000000"/>
          <w:sz w:val="20"/>
          <w:szCs w:val="20"/>
        </w:rPr>
        <w:t xml:space="preserve">where this occurs in Brazil </w:t>
      </w:r>
      <w:r w:rsidRPr="00EC37B0">
        <w:rPr>
          <w:rFonts w:ascii="Arial" w:hAnsi="Arial" w:cs="Arial"/>
          <w:color w:val="000000"/>
          <w:sz w:val="20"/>
          <w:szCs w:val="20"/>
        </w:rPr>
        <w:t xml:space="preserve">even when these medicines are provided </w:t>
      </w:r>
      <w:r w:rsidR="00390491" w:rsidRPr="00EC37B0">
        <w:rPr>
          <w:rFonts w:ascii="Arial" w:hAnsi="Arial" w:cs="Arial"/>
          <w:color w:val="000000"/>
          <w:sz w:val="20"/>
          <w:szCs w:val="20"/>
        </w:rPr>
        <w:t>at no or limited costs</w:t>
      </w:r>
      <w:r w:rsidRPr="00EC37B0">
        <w:rPr>
          <w:rFonts w:ascii="Arial" w:hAnsi="Arial" w:cs="Arial"/>
          <w:color w:val="000000"/>
          <w:sz w:val="20"/>
          <w:szCs w:val="20"/>
        </w:rPr>
        <w:t>.</w:t>
      </w:r>
    </w:p>
    <w:p w14:paraId="2C8B210E" w14:textId="77777777" w:rsidR="00975B1A" w:rsidRPr="00EC37B0" w:rsidRDefault="00975B1A" w:rsidP="00EC37B0">
      <w:pPr>
        <w:pStyle w:val="NoSpacing"/>
        <w:rPr>
          <w:rFonts w:ascii="Arial" w:hAnsi="Arial" w:cs="Arial"/>
          <w:sz w:val="20"/>
          <w:szCs w:val="20"/>
        </w:rPr>
      </w:pPr>
    </w:p>
    <w:p w14:paraId="4566F69E" w14:textId="63941E21" w:rsidR="00991055"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This study has important strengths, but some limitations as well. The main advantage is the nationally representative sample of the population</w:t>
      </w:r>
      <w:r w:rsidR="00FE77EC" w:rsidRPr="00EC37B0">
        <w:rPr>
          <w:rFonts w:ascii="Arial" w:hAnsi="Arial" w:cs="Arial"/>
          <w:color w:val="000000"/>
          <w:sz w:val="20"/>
          <w:szCs w:val="20"/>
        </w:rPr>
        <w:t xml:space="preserve"> with d</w:t>
      </w:r>
      <w:r w:rsidRPr="00EC37B0">
        <w:rPr>
          <w:rFonts w:ascii="Arial" w:hAnsi="Arial" w:cs="Arial"/>
          <w:color w:val="000000"/>
          <w:sz w:val="20"/>
          <w:szCs w:val="20"/>
        </w:rPr>
        <w:t>ata from health surveys constitut</w:t>
      </w:r>
      <w:r w:rsidR="00FE77EC" w:rsidRPr="00EC37B0">
        <w:rPr>
          <w:rFonts w:ascii="Arial" w:hAnsi="Arial" w:cs="Arial"/>
          <w:color w:val="000000"/>
          <w:sz w:val="20"/>
          <w:szCs w:val="20"/>
        </w:rPr>
        <w:t>ing</w:t>
      </w:r>
      <w:r w:rsidRPr="00EC37B0">
        <w:rPr>
          <w:rFonts w:ascii="Arial" w:hAnsi="Arial" w:cs="Arial"/>
          <w:color w:val="000000"/>
          <w:sz w:val="20"/>
          <w:szCs w:val="20"/>
        </w:rPr>
        <w:t xml:space="preserve"> an a</w:t>
      </w:r>
      <w:r w:rsidR="00FE77EC" w:rsidRPr="00EC37B0">
        <w:rPr>
          <w:rFonts w:ascii="Arial" w:hAnsi="Arial" w:cs="Arial"/>
          <w:color w:val="000000"/>
          <w:sz w:val="20"/>
          <w:szCs w:val="20"/>
        </w:rPr>
        <w:t>cceptable</w:t>
      </w:r>
      <w:r w:rsidRPr="00EC37B0">
        <w:rPr>
          <w:rFonts w:ascii="Arial" w:hAnsi="Arial" w:cs="Arial"/>
          <w:color w:val="000000"/>
          <w:sz w:val="20"/>
          <w:szCs w:val="20"/>
        </w:rPr>
        <w:t xml:space="preserve"> approach to estimate health needs and the prevalence of specific problems</w:t>
      </w:r>
      <w:r w:rsidR="00FE77EC" w:rsidRPr="00EC37B0">
        <w:rPr>
          <w:rFonts w:ascii="Arial" w:hAnsi="Arial" w:cs="Arial"/>
          <w:color w:val="000000"/>
          <w:sz w:val="20"/>
          <w:szCs w:val="20"/>
        </w:rPr>
        <w:t xml:space="preserve"> in a national population</w:t>
      </w:r>
      <w:r w:rsidRPr="00EC37B0">
        <w:rPr>
          <w:rFonts w:ascii="Arial" w:hAnsi="Arial" w:cs="Arial"/>
          <w:color w:val="000000"/>
          <w:sz w:val="20"/>
          <w:szCs w:val="20"/>
        </w:rPr>
        <w:t xml:space="preserve"> </w:t>
      </w:r>
      <w:hyperlink r:id="rId68" w:history="1">
        <w:r w:rsidRPr="00EC37B0">
          <w:rPr>
            <w:rFonts w:ascii="Arial" w:hAnsi="Arial" w:cs="Arial"/>
            <w:color w:val="000000"/>
            <w:sz w:val="20"/>
            <w:szCs w:val="20"/>
          </w:rPr>
          <w:t>[3</w:t>
        </w:r>
        <w:r w:rsidR="00784603" w:rsidRPr="00EC37B0">
          <w:rPr>
            <w:rFonts w:ascii="Arial" w:hAnsi="Arial" w:cs="Arial"/>
            <w:color w:val="000000"/>
            <w:sz w:val="20"/>
            <w:szCs w:val="20"/>
          </w:rPr>
          <w:t>8</w:t>
        </w:r>
        <w:r w:rsidRPr="00EC37B0">
          <w:rPr>
            <w:rFonts w:ascii="Arial" w:hAnsi="Arial" w:cs="Arial"/>
            <w:color w:val="000000"/>
            <w:sz w:val="20"/>
            <w:szCs w:val="20"/>
          </w:rPr>
          <w:t>,7</w:t>
        </w:r>
        <w:r w:rsidR="00784603" w:rsidRPr="00EC37B0">
          <w:rPr>
            <w:rFonts w:ascii="Arial" w:hAnsi="Arial" w:cs="Arial"/>
            <w:color w:val="000000"/>
            <w:sz w:val="20"/>
            <w:szCs w:val="20"/>
          </w:rPr>
          <w:t>4</w:t>
        </w:r>
        <w:r w:rsidRPr="00EC37B0">
          <w:rPr>
            <w:rFonts w:ascii="Arial" w:hAnsi="Arial" w:cs="Arial"/>
            <w:color w:val="000000"/>
            <w:sz w:val="20"/>
            <w:szCs w:val="20"/>
          </w:rPr>
          <w:t>]</w:t>
        </w:r>
      </w:hyperlink>
      <w:r w:rsidRPr="00EC37B0">
        <w:rPr>
          <w:rFonts w:ascii="Arial" w:hAnsi="Arial" w:cs="Arial"/>
          <w:color w:val="000000"/>
          <w:sz w:val="20"/>
          <w:szCs w:val="20"/>
        </w:rPr>
        <w:t xml:space="preserve">. </w:t>
      </w:r>
      <w:r w:rsidR="00162FC6" w:rsidRPr="00EC37B0">
        <w:rPr>
          <w:rFonts w:ascii="Arial" w:hAnsi="Arial" w:cs="Arial"/>
          <w:color w:val="000000"/>
          <w:sz w:val="20"/>
          <w:szCs w:val="20"/>
        </w:rPr>
        <w:t xml:space="preserve">However, </w:t>
      </w:r>
      <w:r w:rsidRPr="00EC37B0">
        <w:rPr>
          <w:rFonts w:ascii="Arial" w:hAnsi="Arial" w:cs="Arial"/>
          <w:color w:val="000000"/>
          <w:sz w:val="20"/>
          <w:szCs w:val="20"/>
        </w:rPr>
        <w:t xml:space="preserve">it was not possible to establish the temporality of the associated factors and the causality relation. In addition, the results were based on self-reported data </w:t>
      </w:r>
      <w:r w:rsidR="00162FC6" w:rsidRPr="00EC37B0">
        <w:rPr>
          <w:rFonts w:ascii="Arial" w:hAnsi="Arial" w:cs="Arial"/>
          <w:color w:val="000000"/>
          <w:sz w:val="20"/>
          <w:szCs w:val="20"/>
        </w:rPr>
        <w:t>which</w:t>
      </w:r>
      <w:r w:rsidRPr="00EC37B0">
        <w:rPr>
          <w:rFonts w:ascii="Arial" w:hAnsi="Arial" w:cs="Arial"/>
          <w:color w:val="000000"/>
          <w:sz w:val="20"/>
          <w:szCs w:val="20"/>
        </w:rPr>
        <w:t xml:space="preserve"> may be subject to recall bias. Furthermore, it wasn’t possible to evaluate primary non-adherence because questions about adherence were addressed just to medicine users.</w:t>
      </w:r>
      <w:r w:rsidR="00162FC6" w:rsidRPr="00EC37B0">
        <w:rPr>
          <w:rFonts w:ascii="Arial" w:hAnsi="Arial" w:cs="Arial"/>
          <w:color w:val="000000"/>
          <w:sz w:val="20"/>
          <w:szCs w:val="20"/>
        </w:rPr>
        <w:t xml:space="preserve"> Despite these concerns</w:t>
      </w:r>
      <w:r w:rsidRPr="00EC37B0">
        <w:rPr>
          <w:rFonts w:ascii="Arial" w:hAnsi="Arial" w:cs="Arial"/>
          <w:color w:val="000000"/>
          <w:sz w:val="20"/>
          <w:szCs w:val="20"/>
        </w:rPr>
        <w:t>, we believe the findings are robust, providing guidance for future strategies in Brazil to reduce the morbidity and mortality associated with NCDs.</w:t>
      </w:r>
    </w:p>
    <w:p w14:paraId="4410057D" w14:textId="77777777" w:rsidR="00DD7C0B" w:rsidRPr="00EC37B0" w:rsidRDefault="00DD7C0B" w:rsidP="00EC37B0">
      <w:pPr>
        <w:pStyle w:val="NoSpacing"/>
        <w:rPr>
          <w:rFonts w:ascii="Arial" w:hAnsi="Arial" w:cs="Arial"/>
          <w:bCs/>
          <w:color w:val="000000"/>
          <w:sz w:val="20"/>
          <w:szCs w:val="20"/>
        </w:rPr>
      </w:pPr>
    </w:p>
    <w:p w14:paraId="6F8C5ED0" w14:textId="0913A05C" w:rsidR="00991055" w:rsidRPr="008C62A9" w:rsidRDefault="00991055" w:rsidP="00EC37B0">
      <w:pPr>
        <w:pStyle w:val="NoSpacing"/>
        <w:rPr>
          <w:rFonts w:ascii="Arial" w:hAnsi="Arial" w:cs="Arial"/>
          <w:b/>
          <w:sz w:val="20"/>
          <w:szCs w:val="20"/>
        </w:rPr>
      </w:pPr>
      <w:r w:rsidRPr="008C62A9">
        <w:rPr>
          <w:rFonts w:ascii="Arial" w:hAnsi="Arial" w:cs="Arial"/>
          <w:b/>
          <w:bCs/>
          <w:color w:val="000000"/>
          <w:sz w:val="20"/>
          <w:szCs w:val="20"/>
        </w:rPr>
        <w:t>Conclusions</w:t>
      </w:r>
    </w:p>
    <w:p w14:paraId="083E3CA7" w14:textId="77777777" w:rsidR="008C62A9" w:rsidRDefault="008C62A9" w:rsidP="00EC37B0">
      <w:pPr>
        <w:pStyle w:val="NoSpacing"/>
        <w:rPr>
          <w:rFonts w:ascii="Arial" w:hAnsi="Arial" w:cs="Arial"/>
          <w:color w:val="000000"/>
          <w:sz w:val="20"/>
          <w:szCs w:val="20"/>
        </w:rPr>
      </w:pPr>
    </w:p>
    <w:p w14:paraId="771E37FD" w14:textId="6BBE8D43" w:rsidR="00991055" w:rsidRPr="00EC37B0" w:rsidRDefault="00991055" w:rsidP="00EC37B0">
      <w:pPr>
        <w:pStyle w:val="NoSpacing"/>
        <w:rPr>
          <w:rFonts w:ascii="Arial" w:hAnsi="Arial" w:cs="Arial"/>
          <w:sz w:val="20"/>
          <w:szCs w:val="20"/>
        </w:rPr>
      </w:pPr>
      <w:r w:rsidRPr="00EC37B0">
        <w:rPr>
          <w:rFonts w:ascii="Arial" w:hAnsi="Arial" w:cs="Arial"/>
          <w:color w:val="000000"/>
          <w:sz w:val="20"/>
          <w:szCs w:val="20"/>
        </w:rPr>
        <w:t>In Brazil, statin use was associated with age, educational level, region of residence, polypharmacy and alcohol consumption.  Non-pharmacological approaches are still challenging and policies encouraging a healthy lifestyle, in addition to investments in primary health care, need to be strengthened to address inequalities in access and use of medicines where these exist to improve statin use. However, the average number of medicines used per person</w:t>
      </w:r>
      <w:r w:rsidR="00975B1A" w:rsidRPr="00EC37B0">
        <w:rPr>
          <w:rFonts w:ascii="Arial" w:hAnsi="Arial" w:cs="Arial"/>
          <w:color w:val="000000"/>
          <w:sz w:val="20"/>
          <w:szCs w:val="20"/>
        </w:rPr>
        <w:t>,</w:t>
      </w:r>
      <w:r w:rsidRPr="00EC37B0">
        <w:rPr>
          <w:rFonts w:ascii="Arial" w:hAnsi="Arial" w:cs="Arial"/>
          <w:color w:val="000000"/>
          <w:sz w:val="20"/>
          <w:szCs w:val="20"/>
        </w:rPr>
        <w:t xml:space="preserve"> and the association between polypharmacy and statins use</w:t>
      </w:r>
      <w:r w:rsidR="00975B1A" w:rsidRPr="00EC37B0">
        <w:rPr>
          <w:rFonts w:ascii="Arial" w:hAnsi="Arial" w:cs="Arial"/>
          <w:color w:val="000000"/>
          <w:sz w:val="20"/>
          <w:szCs w:val="20"/>
        </w:rPr>
        <w:t>,</w:t>
      </w:r>
      <w:r w:rsidRPr="00EC37B0">
        <w:rPr>
          <w:rFonts w:ascii="Arial" w:hAnsi="Arial" w:cs="Arial"/>
          <w:color w:val="000000"/>
          <w:sz w:val="20"/>
          <w:szCs w:val="20"/>
        </w:rPr>
        <w:t xml:space="preserve"> may be a concern if related to </w:t>
      </w:r>
      <w:r w:rsidR="00162FC6" w:rsidRPr="00EC37B0">
        <w:rPr>
          <w:rFonts w:ascii="Arial" w:hAnsi="Arial" w:cs="Arial"/>
          <w:color w:val="000000"/>
          <w:sz w:val="20"/>
          <w:szCs w:val="20"/>
        </w:rPr>
        <w:t xml:space="preserve">the </w:t>
      </w:r>
      <w:r w:rsidRPr="00EC37B0">
        <w:rPr>
          <w:rFonts w:ascii="Arial" w:hAnsi="Arial" w:cs="Arial"/>
          <w:color w:val="000000"/>
          <w:sz w:val="20"/>
          <w:szCs w:val="20"/>
        </w:rPr>
        <w:t>inappropriate use of medicines. High adherence rates to statins is encouraging, but this could be overestimated. These factors need further evaluation as the rational use of medicines</w:t>
      </w:r>
      <w:r w:rsidR="00162FC6" w:rsidRPr="00EC37B0">
        <w:rPr>
          <w:rFonts w:ascii="Arial" w:hAnsi="Arial" w:cs="Arial"/>
          <w:color w:val="000000"/>
          <w:sz w:val="20"/>
          <w:szCs w:val="20"/>
        </w:rPr>
        <w:t>,</w:t>
      </w:r>
      <w:r w:rsidRPr="00EC37B0">
        <w:rPr>
          <w:rFonts w:ascii="Arial" w:hAnsi="Arial" w:cs="Arial"/>
          <w:color w:val="000000"/>
          <w:sz w:val="20"/>
          <w:szCs w:val="20"/>
        </w:rPr>
        <w:t xml:space="preserve"> a</w:t>
      </w:r>
      <w:r w:rsidR="00162FC6" w:rsidRPr="00EC37B0">
        <w:rPr>
          <w:rFonts w:ascii="Arial" w:hAnsi="Arial" w:cs="Arial"/>
          <w:color w:val="000000"/>
          <w:sz w:val="20"/>
          <w:szCs w:val="20"/>
        </w:rPr>
        <w:t>s well as</w:t>
      </w:r>
      <w:r w:rsidRPr="00EC37B0">
        <w:rPr>
          <w:rFonts w:ascii="Arial" w:hAnsi="Arial" w:cs="Arial"/>
          <w:color w:val="000000"/>
          <w:sz w:val="20"/>
          <w:szCs w:val="20"/>
        </w:rPr>
        <w:t xml:space="preserve"> improving adherence to statins</w:t>
      </w:r>
      <w:r w:rsidR="00162FC6" w:rsidRPr="00EC37B0">
        <w:rPr>
          <w:rFonts w:ascii="Arial" w:hAnsi="Arial" w:cs="Arial"/>
          <w:color w:val="000000"/>
          <w:sz w:val="20"/>
          <w:szCs w:val="20"/>
        </w:rPr>
        <w:t>,</w:t>
      </w:r>
      <w:r w:rsidRPr="00EC37B0">
        <w:rPr>
          <w:rFonts w:ascii="Arial" w:hAnsi="Arial" w:cs="Arial"/>
          <w:color w:val="000000"/>
          <w:sz w:val="20"/>
          <w:szCs w:val="20"/>
        </w:rPr>
        <w:t xml:space="preserve"> are key areas to help reduce cardiovascular events in patients with CVD.</w:t>
      </w:r>
    </w:p>
    <w:p w14:paraId="7FEF7351" w14:textId="77777777" w:rsidR="00975B1A" w:rsidRPr="00EC37B0" w:rsidRDefault="00991055" w:rsidP="00EC37B0">
      <w:pPr>
        <w:pStyle w:val="NoSpacing"/>
        <w:rPr>
          <w:rFonts w:ascii="Arial" w:hAnsi="Arial" w:cs="Arial"/>
          <w:color w:val="000000"/>
          <w:sz w:val="20"/>
          <w:szCs w:val="20"/>
        </w:rPr>
      </w:pPr>
      <w:r w:rsidRPr="00EC37B0">
        <w:rPr>
          <w:rFonts w:ascii="Arial" w:hAnsi="Arial" w:cs="Arial"/>
          <w:color w:val="000000"/>
          <w:sz w:val="20"/>
          <w:szCs w:val="20"/>
        </w:rPr>
        <w:tab/>
      </w:r>
    </w:p>
    <w:p w14:paraId="5D56CA70" w14:textId="52D325E3" w:rsidR="00991055" w:rsidRPr="00EC37B0" w:rsidRDefault="00162FC6" w:rsidP="00EC37B0">
      <w:pPr>
        <w:pStyle w:val="NoSpacing"/>
        <w:rPr>
          <w:rFonts w:ascii="Arial" w:hAnsi="Arial" w:cs="Arial"/>
          <w:color w:val="000000"/>
          <w:sz w:val="20"/>
          <w:szCs w:val="20"/>
        </w:rPr>
      </w:pPr>
      <w:r w:rsidRPr="00EC37B0">
        <w:rPr>
          <w:rFonts w:ascii="Arial" w:hAnsi="Arial" w:cs="Arial"/>
          <w:color w:val="000000"/>
          <w:sz w:val="20"/>
          <w:szCs w:val="20"/>
        </w:rPr>
        <w:t>Overall, t</w:t>
      </w:r>
      <w:r w:rsidR="00991055" w:rsidRPr="00EC37B0">
        <w:rPr>
          <w:rFonts w:ascii="Arial" w:hAnsi="Arial" w:cs="Arial"/>
          <w:color w:val="000000"/>
          <w:sz w:val="20"/>
          <w:szCs w:val="20"/>
        </w:rPr>
        <w:t xml:space="preserve">his study presents baseline information on statin use across Brazil and could contribute to </w:t>
      </w:r>
      <w:r w:rsidR="00975B1A" w:rsidRPr="00EC37B0">
        <w:rPr>
          <w:rFonts w:ascii="Arial" w:hAnsi="Arial" w:cs="Arial"/>
          <w:color w:val="000000"/>
          <w:sz w:val="20"/>
          <w:szCs w:val="20"/>
        </w:rPr>
        <w:t>developing future</w:t>
      </w:r>
      <w:r w:rsidR="00991055" w:rsidRPr="00EC37B0">
        <w:rPr>
          <w:rFonts w:ascii="Arial" w:hAnsi="Arial" w:cs="Arial"/>
          <w:color w:val="000000"/>
          <w:sz w:val="20"/>
          <w:szCs w:val="20"/>
        </w:rPr>
        <w:t xml:space="preserve"> programs including the planning and management of health interventions aimed at reducing morbidity</w:t>
      </w:r>
      <w:r w:rsidR="00975B1A" w:rsidRPr="00EC37B0">
        <w:rPr>
          <w:rFonts w:ascii="Arial" w:hAnsi="Arial" w:cs="Arial"/>
          <w:color w:val="000000"/>
          <w:sz w:val="20"/>
          <w:szCs w:val="20"/>
        </w:rPr>
        <w:t>,</w:t>
      </w:r>
      <w:r w:rsidR="00991055" w:rsidRPr="00EC37B0">
        <w:rPr>
          <w:rFonts w:ascii="Arial" w:hAnsi="Arial" w:cs="Arial"/>
          <w:color w:val="000000"/>
          <w:sz w:val="20"/>
          <w:szCs w:val="20"/>
        </w:rPr>
        <w:t xml:space="preserve"> mortality </w:t>
      </w:r>
      <w:r w:rsidR="00975B1A" w:rsidRPr="00EC37B0">
        <w:rPr>
          <w:rFonts w:ascii="Arial" w:hAnsi="Arial" w:cs="Arial"/>
          <w:color w:val="000000"/>
          <w:sz w:val="20"/>
          <w:szCs w:val="20"/>
        </w:rPr>
        <w:t xml:space="preserve">and costs </w:t>
      </w:r>
      <w:r w:rsidR="00991055" w:rsidRPr="00EC37B0">
        <w:rPr>
          <w:rFonts w:ascii="Arial" w:hAnsi="Arial" w:cs="Arial"/>
          <w:color w:val="000000"/>
          <w:sz w:val="20"/>
          <w:szCs w:val="20"/>
        </w:rPr>
        <w:t>due to CVD. Universal and sustainable financing, reliable supply systems, strengthening public health system</w:t>
      </w:r>
      <w:r w:rsidRPr="00EC37B0">
        <w:rPr>
          <w:rFonts w:ascii="Arial" w:hAnsi="Arial" w:cs="Arial"/>
          <w:color w:val="000000"/>
          <w:sz w:val="20"/>
          <w:szCs w:val="20"/>
        </w:rPr>
        <w:t>s</w:t>
      </w:r>
      <w:r w:rsidR="00991055" w:rsidRPr="00EC37B0">
        <w:rPr>
          <w:rFonts w:ascii="Arial" w:hAnsi="Arial" w:cs="Arial"/>
          <w:color w:val="000000"/>
          <w:sz w:val="20"/>
          <w:szCs w:val="20"/>
        </w:rPr>
        <w:t xml:space="preserve"> and high adherence to medicines are required to achieve a meaningful reduction in CVD morbidity and mortality. Eliminating simvastatin out-of-pocket costs where this exists, improving compliance with statin use recommendations</w:t>
      </w:r>
      <w:r w:rsidRPr="00EC37B0">
        <w:rPr>
          <w:rFonts w:ascii="Arial" w:hAnsi="Arial" w:cs="Arial"/>
          <w:color w:val="000000"/>
          <w:sz w:val="20"/>
          <w:szCs w:val="20"/>
        </w:rPr>
        <w:t>,</w:t>
      </w:r>
      <w:r w:rsidR="00991055" w:rsidRPr="00EC37B0">
        <w:rPr>
          <w:rFonts w:ascii="Arial" w:hAnsi="Arial" w:cs="Arial"/>
          <w:color w:val="000000"/>
          <w:sz w:val="20"/>
          <w:szCs w:val="20"/>
        </w:rPr>
        <w:t xml:space="preserve"> and addressing remaining disparities</w:t>
      </w:r>
      <w:r w:rsidR="00975B1A" w:rsidRPr="00EC37B0">
        <w:rPr>
          <w:rFonts w:ascii="Arial" w:hAnsi="Arial" w:cs="Arial"/>
          <w:color w:val="000000"/>
          <w:sz w:val="20"/>
          <w:szCs w:val="20"/>
        </w:rPr>
        <w:t>,</w:t>
      </w:r>
      <w:r w:rsidR="00991055" w:rsidRPr="00EC37B0">
        <w:rPr>
          <w:rFonts w:ascii="Arial" w:hAnsi="Arial" w:cs="Arial"/>
          <w:color w:val="000000"/>
          <w:sz w:val="20"/>
          <w:szCs w:val="20"/>
        </w:rPr>
        <w:t xml:space="preserve"> will be important steps </w:t>
      </w:r>
      <w:r w:rsidR="00975B1A" w:rsidRPr="00EC37B0">
        <w:rPr>
          <w:rFonts w:ascii="Arial" w:hAnsi="Arial" w:cs="Arial"/>
          <w:color w:val="000000"/>
          <w:sz w:val="20"/>
          <w:szCs w:val="20"/>
        </w:rPr>
        <w:t>in Brazil to</w:t>
      </w:r>
      <w:r w:rsidR="00991055" w:rsidRPr="00EC37B0">
        <w:rPr>
          <w:rFonts w:ascii="Arial" w:hAnsi="Arial" w:cs="Arial"/>
          <w:color w:val="000000"/>
          <w:sz w:val="20"/>
          <w:szCs w:val="20"/>
        </w:rPr>
        <w:t xml:space="preserve"> </w:t>
      </w:r>
      <w:r w:rsidRPr="00EC37B0">
        <w:rPr>
          <w:rFonts w:ascii="Arial" w:hAnsi="Arial" w:cs="Arial"/>
          <w:color w:val="000000"/>
          <w:sz w:val="20"/>
          <w:szCs w:val="20"/>
        </w:rPr>
        <w:t>realise</w:t>
      </w:r>
      <w:r w:rsidR="00991055" w:rsidRPr="00EC37B0">
        <w:rPr>
          <w:rFonts w:ascii="Arial" w:hAnsi="Arial" w:cs="Arial"/>
          <w:color w:val="000000"/>
          <w:sz w:val="20"/>
          <w:szCs w:val="20"/>
        </w:rPr>
        <w:t xml:space="preserve"> the </w:t>
      </w:r>
      <w:r w:rsidRPr="00EC37B0">
        <w:rPr>
          <w:rFonts w:ascii="Arial" w:hAnsi="Arial" w:cs="Arial"/>
          <w:color w:val="000000"/>
          <w:sz w:val="20"/>
          <w:szCs w:val="20"/>
        </w:rPr>
        <w:t>full</w:t>
      </w:r>
      <w:r w:rsidR="00991055" w:rsidRPr="00EC37B0">
        <w:rPr>
          <w:rFonts w:ascii="Arial" w:hAnsi="Arial" w:cs="Arial"/>
          <w:color w:val="000000"/>
          <w:sz w:val="20"/>
          <w:szCs w:val="20"/>
        </w:rPr>
        <w:t xml:space="preserve"> benefits of statin use</w:t>
      </w:r>
      <w:r w:rsidR="00975B1A" w:rsidRPr="00EC37B0">
        <w:rPr>
          <w:rFonts w:ascii="Arial" w:hAnsi="Arial" w:cs="Arial"/>
          <w:color w:val="000000"/>
          <w:sz w:val="20"/>
          <w:szCs w:val="20"/>
        </w:rPr>
        <w:t>. These are important considerations for the future.</w:t>
      </w:r>
    </w:p>
    <w:p w14:paraId="65A10952" w14:textId="77777777" w:rsidR="00991055" w:rsidRPr="00EC37B0" w:rsidRDefault="00991055" w:rsidP="00EC37B0">
      <w:pPr>
        <w:pStyle w:val="NoSpacing"/>
        <w:rPr>
          <w:rFonts w:ascii="Arial" w:hAnsi="Arial" w:cs="Arial"/>
          <w:color w:val="000000"/>
          <w:sz w:val="20"/>
          <w:szCs w:val="20"/>
        </w:rPr>
      </w:pPr>
    </w:p>
    <w:p w14:paraId="2DDAC314" w14:textId="77777777" w:rsidR="008C62A9" w:rsidRPr="00E92B89" w:rsidRDefault="008C62A9" w:rsidP="008C62A9">
      <w:pPr>
        <w:pStyle w:val="NoSpacing"/>
        <w:rPr>
          <w:rFonts w:ascii="Arial" w:hAnsi="Arial" w:cs="Arial"/>
          <w:sz w:val="20"/>
          <w:szCs w:val="20"/>
        </w:rPr>
      </w:pPr>
      <w:r w:rsidRPr="00E92B89">
        <w:rPr>
          <w:rFonts w:ascii="Arial" w:hAnsi="Arial" w:cs="Arial"/>
          <w:b/>
          <w:bCs/>
          <w:sz w:val="20"/>
          <w:szCs w:val="20"/>
        </w:rPr>
        <w:t>Authors’ Contributions:</w:t>
      </w:r>
      <w:r w:rsidRPr="00E92B89">
        <w:rPr>
          <w:rFonts w:ascii="Arial" w:hAnsi="Arial" w:cs="Arial"/>
          <w:sz w:val="20"/>
          <w:szCs w:val="20"/>
        </w:rPr>
        <w:t xml:space="preserve"> RCRMN – concept and design, data analysis and interpretation, and the manuscript draft. ICG - data analysis, interpretation and  manuscript draft. JA, FAA, and AAG Jr. - concept and design, data review and interpretation, and manuscript draft review. BG, MB and ABK critical involvement and review of the manuscript, discussion of successive drafts. All authors approved the final version and agreed to be accountable for all aspects of the work.</w:t>
      </w:r>
    </w:p>
    <w:p w14:paraId="3C7A9F19" w14:textId="77777777" w:rsidR="008C62A9" w:rsidRPr="00E92B89" w:rsidRDefault="008C62A9" w:rsidP="008C62A9">
      <w:pPr>
        <w:pStyle w:val="NoSpacing"/>
        <w:rPr>
          <w:rFonts w:ascii="Arial" w:hAnsi="Arial" w:cs="Arial"/>
          <w:sz w:val="20"/>
          <w:szCs w:val="20"/>
        </w:rPr>
      </w:pPr>
      <w:bookmarkStart w:id="1" w:name="_GoBack"/>
      <w:bookmarkEnd w:id="1"/>
    </w:p>
    <w:p w14:paraId="47364AD6" w14:textId="77777777" w:rsidR="008C62A9" w:rsidRPr="00E92B89" w:rsidRDefault="008C62A9" w:rsidP="008C62A9">
      <w:pPr>
        <w:pStyle w:val="NoSpacing"/>
        <w:rPr>
          <w:rFonts w:ascii="Arial" w:hAnsi="Arial" w:cs="Arial"/>
          <w:sz w:val="20"/>
          <w:szCs w:val="20"/>
        </w:rPr>
      </w:pPr>
      <w:r w:rsidRPr="00E92B89">
        <w:rPr>
          <w:rFonts w:ascii="Arial" w:hAnsi="Arial" w:cs="Arial"/>
          <w:b/>
          <w:bCs/>
          <w:color w:val="000000"/>
          <w:sz w:val="20"/>
          <w:szCs w:val="20"/>
        </w:rPr>
        <w:lastRenderedPageBreak/>
        <w:t>Declaration of funding</w:t>
      </w:r>
    </w:p>
    <w:p w14:paraId="08E1DBE5" w14:textId="77777777" w:rsidR="008C62A9" w:rsidRPr="00E92B89" w:rsidRDefault="008C62A9" w:rsidP="008C62A9">
      <w:pPr>
        <w:pStyle w:val="NoSpacing"/>
        <w:rPr>
          <w:rFonts w:ascii="Arial" w:hAnsi="Arial" w:cs="Arial"/>
          <w:color w:val="000000"/>
          <w:sz w:val="20"/>
          <w:szCs w:val="20"/>
        </w:rPr>
      </w:pPr>
      <w:r w:rsidRPr="00E92B89">
        <w:rPr>
          <w:rFonts w:ascii="Arial" w:hAnsi="Arial" w:cs="Arial"/>
          <w:color w:val="000000"/>
          <w:sz w:val="20"/>
          <w:szCs w:val="20"/>
        </w:rPr>
        <w:t>This study was funded by the Department for Pharmaceutical Services and Strategic Health Supplies and the Department of Science and Technology of the Secretariat of Science, Technology and Strategic Supplies of the Brazilian Ministry of Health (SCTIE/MS – Process 25000.111834/2, Decentralization of FNS Resources).</w:t>
      </w:r>
    </w:p>
    <w:p w14:paraId="5BBDA619" w14:textId="77777777" w:rsidR="008C62A9" w:rsidRPr="00E92B89" w:rsidRDefault="008C62A9" w:rsidP="008C62A9">
      <w:pPr>
        <w:pStyle w:val="NoSpacing"/>
        <w:rPr>
          <w:rFonts w:ascii="Arial" w:hAnsi="Arial" w:cs="Arial"/>
          <w:sz w:val="20"/>
          <w:szCs w:val="20"/>
        </w:rPr>
      </w:pPr>
    </w:p>
    <w:p w14:paraId="1599F8FB" w14:textId="77777777" w:rsidR="008C62A9" w:rsidRPr="00E92B89" w:rsidRDefault="008C62A9" w:rsidP="008C62A9">
      <w:pPr>
        <w:pStyle w:val="NoSpacing"/>
        <w:rPr>
          <w:rFonts w:ascii="Arial" w:hAnsi="Arial" w:cs="Arial"/>
          <w:sz w:val="20"/>
          <w:szCs w:val="20"/>
        </w:rPr>
      </w:pPr>
      <w:r w:rsidRPr="00E92B89">
        <w:rPr>
          <w:rFonts w:ascii="Arial" w:hAnsi="Arial" w:cs="Arial"/>
          <w:b/>
          <w:bCs/>
          <w:color w:val="000000"/>
          <w:sz w:val="20"/>
          <w:szCs w:val="20"/>
        </w:rPr>
        <w:t>Declaration of financial/other relationships</w:t>
      </w:r>
    </w:p>
    <w:p w14:paraId="4EF17E3D" w14:textId="77777777" w:rsidR="008C62A9" w:rsidRPr="00E92B89" w:rsidRDefault="008C62A9" w:rsidP="008C62A9">
      <w:pPr>
        <w:pStyle w:val="NoSpacing"/>
        <w:rPr>
          <w:rFonts w:ascii="Arial" w:hAnsi="Arial" w:cs="Arial"/>
          <w:color w:val="000000"/>
          <w:sz w:val="20"/>
          <w:szCs w:val="20"/>
        </w:rPr>
      </w:pPr>
      <w:r w:rsidRPr="00E92B89">
        <w:rPr>
          <w:rFonts w:ascii="Arial" w:hAnsi="Arial" w:cs="Arial"/>
          <w:color w:val="000000"/>
          <w:sz w:val="20"/>
          <w:szCs w:val="20"/>
        </w:rPr>
        <w:t>The authors declare they have no other conflicts of interest.</w:t>
      </w:r>
    </w:p>
    <w:p w14:paraId="2184C7D3" w14:textId="77777777" w:rsidR="008C62A9" w:rsidRPr="00E92B89" w:rsidRDefault="008C62A9" w:rsidP="008C62A9">
      <w:pPr>
        <w:pStyle w:val="NoSpacing"/>
        <w:rPr>
          <w:rFonts w:ascii="Arial" w:hAnsi="Arial" w:cs="Arial"/>
          <w:sz w:val="20"/>
          <w:szCs w:val="20"/>
        </w:rPr>
      </w:pPr>
    </w:p>
    <w:p w14:paraId="7DF29F13" w14:textId="77777777" w:rsidR="008C62A9" w:rsidRPr="00E92B89" w:rsidRDefault="008C62A9" w:rsidP="008C62A9">
      <w:pPr>
        <w:pStyle w:val="NoSpacing"/>
        <w:rPr>
          <w:rFonts w:ascii="Arial" w:hAnsi="Arial" w:cs="Arial"/>
          <w:sz w:val="20"/>
          <w:szCs w:val="20"/>
        </w:rPr>
      </w:pPr>
      <w:r w:rsidRPr="00E92B89">
        <w:rPr>
          <w:rFonts w:ascii="Arial" w:hAnsi="Arial" w:cs="Arial"/>
          <w:b/>
          <w:bCs/>
          <w:sz w:val="20"/>
          <w:szCs w:val="20"/>
        </w:rPr>
        <w:t>Acknowledgements:</w:t>
      </w:r>
      <w:r w:rsidRPr="00E92B89">
        <w:rPr>
          <w:rFonts w:ascii="Arial" w:hAnsi="Arial" w:cs="Arial"/>
          <w:sz w:val="20"/>
          <w:szCs w:val="20"/>
        </w:rPr>
        <w:t xml:space="preserve"> There was no assistance in the preparation of this paper.</w:t>
      </w:r>
    </w:p>
    <w:p w14:paraId="6B1909F0" w14:textId="77777777" w:rsidR="008C62A9" w:rsidRDefault="008C62A9" w:rsidP="00991055">
      <w:pPr>
        <w:spacing w:line="240" w:lineRule="auto"/>
        <w:jc w:val="both"/>
        <w:rPr>
          <w:b/>
          <w:bCs/>
          <w:color w:val="000000"/>
        </w:rPr>
      </w:pPr>
    </w:p>
    <w:p w14:paraId="71223E08" w14:textId="5FCD894C" w:rsidR="00991055" w:rsidRPr="008C62A9" w:rsidRDefault="00991055" w:rsidP="00991055">
      <w:pPr>
        <w:spacing w:line="240" w:lineRule="auto"/>
        <w:jc w:val="both"/>
        <w:rPr>
          <w:rFonts w:ascii="Arial" w:hAnsi="Arial" w:cs="Arial"/>
          <w:sz w:val="20"/>
          <w:szCs w:val="20"/>
        </w:rPr>
      </w:pPr>
      <w:r w:rsidRPr="008C62A9">
        <w:rPr>
          <w:rFonts w:ascii="Arial" w:hAnsi="Arial" w:cs="Arial"/>
          <w:b/>
          <w:bCs/>
          <w:color w:val="000000"/>
          <w:sz w:val="20"/>
          <w:szCs w:val="20"/>
        </w:rPr>
        <w:t>References</w:t>
      </w:r>
    </w:p>
    <w:bookmarkStart w:id="2" w:name="_Hlk499610897"/>
    <w:p w14:paraId="49B2AD6B" w14:textId="77777777" w:rsidR="00991055" w:rsidRPr="008C62A9" w:rsidRDefault="00991055" w:rsidP="00991055">
      <w:pPr>
        <w:spacing w:before="220" w:after="220" w:line="240" w:lineRule="auto"/>
        <w:ind w:hanging="440"/>
        <w:rPr>
          <w:rFonts w:ascii="Arial" w:hAnsi="Arial" w:cs="Arial"/>
          <w:sz w:val="20"/>
          <w:szCs w:val="20"/>
        </w:rPr>
      </w:pPr>
      <w:r w:rsidRPr="008C62A9">
        <w:rPr>
          <w:rFonts w:ascii="Arial" w:hAnsi="Arial" w:cs="Arial"/>
          <w:sz w:val="20"/>
          <w:szCs w:val="20"/>
        </w:rPr>
        <w:fldChar w:fldCharType="begin"/>
      </w:r>
      <w:r w:rsidRPr="008C62A9">
        <w:rPr>
          <w:rFonts w:ascii="Arial" w:hAnsi="Arial" w:cs="Arial"/>
          <w:sz w:val="20"/>
          <w:szCs w:val="20"/>
        </w:rPr>
        <w:instrText xml:space="preserve"> HYPERLINK "http://apps.who.int/iris/bitstream/10665/94384/1/%209789241506236_eng.pdf" </w:instrText>
      </w:r>
      <w:r w:rsidRPr="008C62A9">
        <w:rPr>
          <w:rFonts w:ascii="Arial" w:hAnsi="Arial" w:cs="Arial"/>
          <w:sz w:val="20"/>
          <w:szCs w:val="20"/>
        </w:rPr>
        <w:fldChar w:fldCharType="separate"/>
      </w:r>
      <w:r w:rsidRPr="008C62A9">
        <w:rPr>
          <w:rFonts w:ascii="Arial" w:hAnsi="Arial" w:cs="Arial"/>
          <w:color w:val="000000"/>
          <w:sz w:val="20"/>
          <w:szCs w:val="20"/>
        </w:rPr>
        <w:t xml:space="preserve">1. </w:t>
      </w:r>
      <w:r w:rsidRPr="008C62A9">
        <w:rPr>
          <w:rFonts w:ascii="Arial" w:hAnsi="Arial" w:cs="Arial"/>
          <w:color w:val="000000"/>
          <w:sz w:val="20"/>
          <w:szCs w:val="20"/>
        </w:rPr>
        <w:tab/>
      </w:r>
      <w:r w:rsidRPr="008C62A9">
        <w:rPr>
          <w:rFonts w:ascii="Arial" w:hAnsi="Arial" w:cs="Arial"/>
          <w:color w:val="000000"/>
          <w:sz w:val="20"/>
          <w:szCs w:val="20"/>
        </w:rPr>
        <w:fldChar w:fldCharType="end"/>
      </w:r>
      <w:hyperlink r:id="rId69" w:history="1">
        <w:r w:rsidRPr="008C62A9">
          <w:rPr>
            <w:rFonts w:ascii="Arial" w:hAnsi="Arial" w:cs="Arial"/>
            <w:color w:val="000000"/>
            <w:sz w:val="20"/>
            <w:szCs w:val="20"/>
          </w:rPr>
          <w:t xml:space="preserve">World Health Organization (WHO). Global Status Report on Noncommunicable Diseases 2014 [Internet]. WHO; 31 Mar 2015. Available: </w:t>
        </w:r>
      </w:hyperlink>
      <w:hyperlink r:id="rId70" w:history="1">
        <w:r w:rsidRPr="008C62A9">
          <w:rPr>
            <w:rFonts w:ascii="Arial" w:hAnsi="Arial" w:cs="Arial"/>
            <w:color w:val="000000"/>
            <w:sz w:val="20"/>
            <w:szCs w:val="20"/>
          </w:rPr>
          <w:t>https://books.google.com/books/about/Global_Status_Report_on_Noncommunicable.html?hl=&amp;id=INoOrgEACAAJ</w:t>
        </w:r>
      </w:hyperlink>
    </w:p>
    <w:p w14:paraId="66B3CD17" w14:textId="77777777" w:rsidR="00991055" w:rsidRPr="008C62A9" w:rsidRDefault="00F1052A" w:rsidP="00991055">
      <w:pPr>
        <w:spacing w:after="220" w:line="240" w:lineRule="auto"/>
        <w:ind w:hanging="440"/>
        <w:rPr>
          <w:rFonts w:ascii="Arial" w:hAnsi="Arial" w:cs="Arial"/>
          <w:sz w:val="20"/>
          <w:szCs w:val="20"/>
        </w:rPr>
      </w:pPr>
      <w:hyperlink r:id="rId71" w:history="1">
        <w:r w:rsidR="00991055" w:rsidRPr="008C62A9">
          <w:rPr>
            <w:rFonts w:ascii="Arial" w:hAnsi="Arial" w:cs="Arial"/>
            <w:color w:val="000000"/>
            <w:sz w:val="20"/>
            <w:szCs w:val="20"/>
          </w:rPr>
          <w:t xml:space="preserve">2. </w:t>
        </w:r>
        <w:r w:rsidR="00991055" w:rsidRPr="008C62A9">
          <w:rPr>
            <w:rFonts w:ascii="Arial" w:hAnsi="Arial" w:cs="Arial"/>
            <w:color w:val="000000"/>
            <w:sz w:val="20"/>
            <w:szCs w:val="20"/>
          </w:rPr>
          <w:tab/>
        </w:r>
      </w:hyperlink>
      <w:hyperlink r:id="rId72" w:history="1">
        <w:r w:rsidR="00991055" w:rsidRPr="008C62A9">
          <w:rPr>
            <w:rFonts w:ascii="Arial" w:hAnsi="Arial" w:cs="Arial"/>
            <w:color w:val="000000"/>
            <w:sz w:val="20"/>
            <w:szCs w:val="20"/>
          </w:rPr>
          <w:t xml:space="preserve">World Health Organization (WHO). Global action plan for the prevention and control of noncommunicable diseases 2013-2020. In: http://who.int/en/ [Internet]. 2013 [cited 29 Sep 2017]. Available: </w:t>
        </w:r>
      </w:hyperlink>
      <w:hyperlink r:id="rId73" w:history="1">
        <w:r w:rsidR="00991055" w:rsidRPr="008C62A9">
          <w:rPr>
            <w:rFonts w:ascii="Arial" w:hAnsi="Arial" w:cs="Arial"/>
            <w:color w:val="000000"/>
            <w:sz w:val="20"/>
            <w:szCs w:val="20"/>
          </w:rPr>
          <w:t>http://apps.who.int/iris/bitstream/10665/94384/1/9789241506236_eng.pdf</w:t>
        </w:r>
      </w:hyperlink>
    </w:p>
    <w:p w14:paraId="1ACFE8CA" w14:textId="77777777" w:rsidR="00991055" w:rsidRPr="008C62A9" w:rsidRDefault="00F1052A" w:rsidP="00991055">
      <w:pPr>
        <w:spacing w:after="220" w:line="240" w:lineRule="auto"/>
        <w:ind w:hanging="440"/>
        <w:rPr>
          <w:rFonts w:ascii="Arial" w:hAnsi="Arial" w:cs="Arial"/>
          <w:sz w:val="20"/>
          <w:szCs w:val="20"/>
        </w:rPr>
      </w:pPr>
      <w:hyperlink r:id="rId74" w:history="1">
        <w:r w:rsidR="00991055" w:rsidRPr="008C62A9">
          <w:rPr>
            <w:rFonts w:ascii="Arial" w:hAnsi="Arial" w:cs="Arial"/>
            <w:color w:val="000000"/>
            <w:sz w:val="20"/>
            <w:szCs w:val="20"/>
          </w:rPr>
          <w:t xml:space="preserve">3. </w:t>
        </w:r>
        <w:r w:rsidR="00991055" w:rsidRPr="008C62A9">
          <w:rPr>
            <w:rFonts w:ascii="Arial" w:hAnsi="Arial" w:cs="Arial"/>
            <w:color w:val="000000"/>
            <w:sz w:val="20"/>
            <w:szCs w:val="20"/>
          </w:rPr>
          <w:tab/>
        </w:r>
      </w:hyperlink>
      <w:hyperlink r:id="rId75" w:history="1">
        <w:proofErr w:type="spellStart"/>
        <w:r w:rsidR="00991055" w:rsidRPr="008C62A9">
          <w:rPr>
            <w:rFonts w:ascii="Arial" w:hAnsi="Arial" w:cs="Arial"/>
            <w:color w:val="000000"/>
            <w:sz w:val="20"/>
            <w:szCs w:val="20"/>
          </w:rPr>
          <w:t>Beaglehole</w:t>
        </w:r>
        <w:proofErr w:type="spellEnd"/>
        <w:r w:rsidR="00991055" w:rsidRPr="008C62A9">
          <w:rPr>
            <w:rFonts w:ascii="Arial" w:hAnsi="Arial" w:cs="Arial"/>
            <w:color w:val="000000"/>
            <w:sz w:val="20"/>
            <w:szCs w:val="20"/>
          </w:rPr>
          <w:t xml:space="preserve"> R, Epping-Jordan J, Patel V, Chopra M, Ebrahim S, Kidd M, et al. Improving the prevention and management of chronic disease in low-income and middle-income countries: a priority for primary health care. Lancet. 2008;372: 940–949.</w:t>
        </w:r>
      </w:hyperlink>
    </w:p>
    <w:p w14:paraId="35224368" w14:textId="77777777" w:rsidR="00991055" w:rsidRPr="008C62A9" w:rsidRDefault="00F1052A" w:rsidP="00991055">
      <w:pPr>
        <w:spacing w:after="220" w:line="240" w:lineRule="auto"/>
        <w:ind w:hanging="440"/>
        <w:rPr>
          <w:rFonts w:ascii="Arial" w:hAnsi="Arial" w:cs="Arial"/>
          <w:sz w:val="20"/>
          <w:szCs w:val="20"/>
        </w:rPr>
      </w:pPr>
      <w:hyperlink r:id="rId76" w:history="1">
        <w:r w:rsidR="00991055" w:rsidRPr="008C62A9">
          <w:rPr>
            <w:rFonts w:ascii="Arial" w:hAnsi="Arial" w:cs="Arial"/>
            <w:color w:val="000000"/>
            <w:sz w:val="20"/>
            <w:szCs w:val="20"/>
          </w:rPr>
          <w:t xml:space="preserve">4. </w:t>
        </w:r>
        <w:r w:rsidR="00991055" w:rsidRPr="008C62A9">
          <w:rPr>
            <w:rFonts w:ascii="Arial" w:hAnsi="Arial" w:cs="Arial"/>
            <w:color w:val="000000"/>
            <w:sz w:val="20"/>
            <w:szCs w:val="20"/>
          </w:rPr>
          <w:tab/>
        </w:r>
      </w:hyperlink>
      <w:hyperlink r:id="rId77" w:history="1">
        <w:r w:rsidR="00991055" w:rsidRPr="008C62A9">
          <w:rPr>
            <w:rFonts w:ascii="Arial" w:hAnsi="Arial" w:cs="Arial"/>
            <w:color w:val="000000"/>
            <w:sz w:val="20"/>
            <w:szCs w:val="20"/>
          </w:rPr>
          <w:t xml:space="preserve">Roth GA, </w:t>
        </w:r>
        <w:proofErr w:type="spellStart"/>
        <w:r w:rsidR="00991055" w:rsidRPr="008C62A9">
          <w:rPr>
            <w:rFonts w:ascii="Arial" w:hAnsi="Arial" w:cs="Arial"/>
            <w:color w:val="000000"/>
            <w:sz w:val="20"/>
            <w:szCs w:val="20"/>
          </w:rPr>
          <w:t>Forouzanfar</w:t>
        </w:r>
        <w:proofErr w:type="spellEnd"/>
        <w:r w:rsidR="00991055" w:rsidRPr="008C62A9">
          <w:rPr>
            <w:rFonts w:ascii="Arial" w:hAnsi="Arial" w:cs="Arial"/>
            <w:color w:val="000000"/>
            <w:sz w:val="20"/>
            <w:szCs w:val="20"/>
          </w:rPr>
          <w:t xml:space="preserve"> MH, Moran AE, Barber R, Nguyen G, </w:t>
        </w:r>
        <w:proofErr w:type="spellStart"/>
        <w:r w:rsidR="00991055" w:rsidRPr="008C62A9">
          <w:rPr>
            <w:rFonts w:ascii="Arial" w:hAnsi="Arial" w:cs="Arial"/>
            <w:color w:val="000000"/>
            <w:sz w:val="20"/>
            <w:szCs w:val="20"/>
          </w:rPr>
          <w:t>Feigin</w:t>
        </w:r>
        <w:proofErr w:type="spellEnd"/>
        <w:r w:rsidR="00991055" w:rsidRPr="008C62A9">
          <w:rPr>
            <w:rFonts w:ascii="Arial" w:hAnsi="Arial" w:cs="Arial"/>
            <w:color w:val="000000"/>
            <w:sz w:val="20"/>
            <w:szCs w:val="20"/>
          </w:rPr>
          <w:t xml:space="preserve"> VL, et al. Demographic and epidemiologic drivers of global cardiovascular mortality. N </w:t>
        </w:r>
        <w:proofErr w:type="spellStart"/>
        <w:r w:rsidR="00991055" w:rsidRPr="008C62A9">
          <w:rPr>
            <w:rFonts w:ascii="Arial" w:hAnsi="Arial" w:cs="Arial"/>
            <w:color w:val="000000"/>
            <w:sz w:val="20"/>
            <w:szCs w:val="20"/>
          </w:rPr>
          <w:t>Engl</w:t>
        </w:r>
        <w:proofErr w:type="spellEnd"/>
        <w:r w:rsidR="00991055" w:rsidRPr="008C62A9">
          <w:rPr>
            <w:rFonts w:ascii="Arial" w:hAnsi="Arial" w:cs="Arial"/>
            <w:color w:val="000000"/>
            <w:sz w:val="20"/>
            <w:szCs w:val="20"/>
          </w:rPr>
          <w:t xml:space="preserve"> J Med. 2015;372: 1333–1341.</w:t>
        </w:r>
      </w:hyperlink>
    </w:p>
    <w:p w14:paraId="7E80C531" w14:textId="4626E898" w:rsidR="00991055" w:rsidRPr="008C62A9" w:rsidRDefault="00F1052A" w:rsidP="00991055">
      <w:pPr>
        <w:spacing w:after="220" w:line="240" w:lineRule="auto"/>
        <w:ind w:hanging="440"/>
        <w:rPr>
          <w:rFonts w:ascii="Arial" w:hAnsi="Arial" w:cs="Arial"/>
          <w:color w:val="000000"/>
          <w:sz w:val="20"/>
          <w:szCs w:val="20"/>
        </w:rPr>
      </w:pPr>
      <w:hyperlink r:id="rId78" w:history="1">
        <w:r w:rsidR="00991055" w:rsidRPr="008C62A9">
          <w:rPr>
            <w:rFonts w:ascii="Arial" w:hAnsi="Arial" w:cs="Arial"/>
            <w:color w:val="000000"/>
            <w:sz w:val="20"/>
            <w:szCs w:val="20"/>
          </w:rPr>
          <w:t xml:space="preserve">5. </w:t>
        </w:r>
        <w:r w:rsidR="00991055" w:rsidRPr="008C62A9">
          <w:rPr>
            <w:rFonts w:ascii="Arial" w:hAnsi="Arial" w:cs="Arial"/>
            <w:color w:val="000000"/>
            <w:sz w:val="20"/>
            <w:szCs w:val="20"/>
          </w:rPr>
          <w:tab/>
        </w:r>
      </w:hyperlink>
      <w:hyperlink r:id="rId79" w:history="1">
        <w:r w:rsidR="00991055" w:rsidRPr="008C62A9">
          <w:rPr>
            <w:rFonts w:ascii="Arial" w:hAnsi="Arial" w:cs="Arial"/>
            <w:color w:val="000000"/>
            <w:sz w:val="20"/>
            <w:szCs w:val="20"/>
          </w:rPr>
          <w:t xml:space="preserve">World Health Organization (WHO). Global Status Report on Noncommunicable Diseases 2014 [Internet]. WHO; 31 Mar 2015. Available: </w:t>
        </w:r>
      </w:hyperlink>
      <w:hyperlink r:id="rId80" w:history="1">
        <w:r w:rsidR="00991055" w:rsidRPr="008C62A9">
          <w:rPr>
            <w:rFonts w:ascii="Arial" w:hAnsi="Arial" w:cs="Arial"/>
            <w:color w:val="000000"/>
            <w:sz w:val="20"/>
            <w:szCs w:val="20"/>
          </w:rPr>
          <w:t>https://books.google.com/books/about/Global_Status_Report_on_Noncommunicable.html?hl=&amp;id=INoOrgEACAAJ</w:t>
        </w:r>
      </w:hyperlink>
    </w:p>
    <w:p w14:paraId="1D65BEC6" w14:textId="4272C4FF" w:rsidR="00661E20" w:rsidRPr="008C62A9" w:rsidRDefault="00661E20" w:rsidP="00661E20">
      <w:pPr>
        <w:spacing w:after="220" w:line="240" w:lineRule="auto"/>
        <w:ind w:hanging="440"/>
        <w:rPr>
          <w:rFonts w:ascii="Arial" w:hAnsi="Arial" w:cs="Arial"/>
          <w:sz w:val="20"/>
          <w:szCs w:val="20"/>
        </w:rPr>
      </w:pPr>
      <w:r w:rsidRPr="008C62A9">
        <w:rPr>
          <w:rFonts w:ascii="Arial" w:hAnsi="Arial" w:cs="Arial"/>
          <w:sz w:val="20"/>
          <w:szCs w:val="20"/>
        </w:rPr>
        <w:t xml:space="preserve">6. </w:t>
      </w:r>
      <w:hyperlink r:id="rId81" w:history="1">
        <w:r w:rsidRPr="008C62A9">
          <w:rPr>
            <w:rStyle w:val="Hyperlink"/>
            <w:rFonts w:ascii="Arial" w:hAnsi="Arial" w:cs="Arial"/>
            <w:color w:val="auto"/>
            <w:sz w:val="20"/>
            <w:szCs w:val="20"/>
            <w:u w:val="none"/>
          </w:rPr>
          <w:t xml:space="preserve">Pan American Health Organization (PAHO). Plan of action for the prevention and control of noncommunicable diseases. In: http://www.paho.org/hq/ [Internet]. PAHO; 2014 [cited 17 Sep 2029]. Available: </w:t>
        </w:r>
      </w:hyperlink>
      <w:hyperlink r:id="rId82" w:history="1">
        <w:r w:rsidRPr="008C62A9">
          <w:rPr>
            <w:rFonts w:ascii="Arial" w:hAnsi="Arial" w:cs="Arial"/>
            <w:sz w:val="20"/>
            <w:szCs w:val="20"/>
          </w:rPr>
          <w:t>file:///C:/Users/fdb17123/Downloads/action-plan-prevention-control-ncds-americas.pdf</w:t>
        </w:r>
      </w:hyperlink>
    </w:p>
    <w:p w14:paraId="63547BA8" w14:textId="77777777" w:rsidR="00661E20" w:rsidRPr="008C62A9" w:rsidRDefault="00F1052A" w:rsidP="00661E20">
      <w:pPr>
        <w:spacing w:after="220" w:line="240" w:lineRule="auto"/>
        <w:ind w:hanging="440"/>
        <w:rPr>
          <w:rFonts w:ascii="Arial" w:hAnsi="Arial" w:cs="Arial"/>
          <w:sz w:val="20"/>
          <w:szCs w:val="20"/>
        </w:rPr>
      </w:pPr>
      <w:hyperlink r:id="rId83" w:history="1">
        <w:r w:rsidR="00661E20" w:rsidRPr="008C62A9">
          <w:rPr>
            <w:rFonts w:ascii="Arial" w:hAnsi="Arial" w:cs="Arial"/>
            <w:sz w:val="20"/>
            <w:szCs w:val="20"/>
          </w:rPr>
          <w:t xml:space="preserve">7. </w:t>
        </w:r>
        <w:r w:rsidR="00661E20" w:rsidRPr="008C62A9">
          <w:rPr>
            <w:rFonts w:ascii="Arial" w:hAnsi="Arial" w:cs="Arial"/>
            <w:sz w:val="20"/>
            <w:szCs w:val="20"/>
          </w:rPr>
          <w:tab/>
        </w:r>
      </w:hyperlink>
      <w:hyperlink r:id="rId84" w:history="1">
        <w:proofErr w:type="spellStart"/>
        <w:r w:rsidR="00661E20" w:rsidRPr="008C62A9">
          <w:rPr>
            <w:rFonts w:ascii="Arial" w:hAnsi="Arial" w:cs="Arial"/>
            <w:sz w:val="20"/>
            <w:szCs w:val="20"/>
          </w:rPr>
          <w:t>Nashilongo</w:t>
        </w:r>
        <w:proofErr w:type="spellEnd"/>
        <w:r w:rsidR="00661E20" w:rsidRPr="008C62A9">
          <w:rPr>
            <w:rFonts w:ascii="Arial" w:hAnsi="Arial" w:cs="Arial"/>
            <w:sz w:val="20"/>
            <w:szCs w:val="20"/>
          </w:rPr>
          <w:t xml:space="preserve"> MM, </w:t>
        </w:r>
        <w:proofErr w:type="spellStart"/>
        <w:r w:rsidR="00661E20" w:rsidRPr="008C62A9">
          <w:rPr>
            <w:rFonts w:ascii="Arial" w:hAnsi="Arial" w:cs="Arial"/>
            <w:sz w:val="20"/>
            <w:szCs w:val="20"/>
          </w:rPr>
          <w:t>Singu</w:t>
        </w:r>
        <w:proofErr w:type="spellEnd"/>
        <w:r w:rsidR="00661E20" w:rsidRPr="008C62A9">
          <w:rPr>
            <w:rFonts w:ascii="Arial" w:hAnsi="Arial" w:cs="Arial"/>
            <w:sz w:val="20"/>
            <w:szCs w:val="20"/>
          </w:rPr>
          <w:t xml:space="preserve"> B, </w:t>
        </w:r>
        <w:proofErr w:type="spellStart"/>
        <w:r w:rsidR="00661E20" w:rsidRPr="008C62A9">
          <w:rPr>
            <w:rFonts w:ascii="Arial" w:hAnsi="Arial" w:cs="Arial"/>
            <w:sz w:val="20"/>
            <w:szCs w:val="20"/>
          </w:rPr>
          <w:t>Kalemeera</w:t>
        </w:r>
        <w:proofErr w:type="spellEnd"/>
        <w:r w:rsidR="00661E20" w:rsidRPr="008C62A9">
          <w:rPr>
            <w:rFonts w:ascii="Arial" w:hAnsi="Arial" w:cs="Arial"/>
            <w:sz w:val="20"/>
            <w:szCs w:val="20"/>
          </w:rPr>
          <w:t xml:space="preserve"> F, </w:t>
        </w:r>
        <w:proofErr w:type="spellStart"/>
        <w:r w:rsidR="00661E20" w:rsidRPr="008C62A9">
          <w:rPr>
            <w:rFonts w:ascii="Arial" w:hAnsi="Arial" w:cs="Arial"/>
            <w:sz w:val="20"/>
            <w:szCs w:val="20"/>
          </w:rPr>
          <w:t>Mubita</w:t>
        </w:r>
        <w:proofErr w:type="spellEnd"/>
        <w:r w:rsidR="00661E20" w:rsidRPr="008C62A9">
          <w:rPr>
            <w:rFonts w:ascii="Arial" w:hAnsi="Arial" w:cs="Arial"/>
            <w:sz w:val="20"/>
            <w:szCs w:val="20"/>
          </w:rPr>
          <w:t xml:space="preserve"> M, </w:t>
        </w:r>
        <w:proofErr w:type="spellStart"/>
        <w:r w:rsidR="00661E20" w:rsidRPr="008C62A9">
          <w:rPr>
            <w:rFonts w:ascii="Arial" w:hAnsi="Arial" w:cs="Arial"/>
            <w:sz w:val="20"/>
            <w:szCs w:val="20"/>
          </w:rPr>
          <w:t>Naikaku</w:t>
        </w:r>
        <w:proofErr w:type="spellEnd"/>
        <w:r w:rsidR="00661E20" w:rsidRPr="008C62A9">
          <w:rPr>
            <w:rFonts w:ascii="Arial" w:hAnsi="Arial" w:cs="Arial"/>
            <w:sz w:val="20"/>
            <w:szCs w:val="20"/>
          </w:rPr>
          <w:t xml:space="preserve"> E, Baker A, et al. Assessing Adherence to Antihypertensive Therapy in Primary Health Care in Namibia: Findings and Implications. Cardiovasc Drugs </w:t>
        </w:r>
        <w:proofErr w:type="spellStart"/>
        <w:r w:rsidR="00661E20" w:rsidRPr="008C62A9">
          <w:rPr>
            <w:rFonts w:ascii="Arial" w:hAnsi="Arial" w:cs="Arial"/>
            <w:sz w:val="20"/>
            <w:szCs w:val="20"/>
          </w:rPr>
          <w:t>Ther</w:t>
        </w:r>
        <w:proofErr w:type="spellEnd"/>
        <w:r w:rsidR="00661E20" w:rsidRPr="008C62A9">
          <w:rPr>
            <w:rFonts w:ascii="Arial" w:hAnsi="Arial" w:cs="Arial"/>
            <w:sz w:val="20"/>
            <w:szCs w:val="20"/>
          </w:rPr>
          <w:t>. 2017; doi:</w:t>
        </w:r>
      </w:hyperlink>
      <w:hyperlink r:id="rId85" w:history="1">
        <w:r w:rsidR="00661E20" w:rsidRPr="008C62A9">
          <w:rPr>
            <w:rFonts w:ascii="Arial" w:hAnsi="Arial" w:cs="Arial"/>
            <w:sz w:val="20"/>
            <w:szCs w:val="20"/>
          </w:rPr>
          <w:t>10.1007/s10557-017-6756-8</w:t>
        </w:r>
      </w:hyperlink>
    </w:p>
    <w:p w14:paraId="3B18D20B" w14:textId="77777777" w:rsidR="00661E20" w:rsidRPr="008C62A9" w:rsidRDefault="00F1052A" w:rsidP="00661E20">
      <w:pPr>
        <w:spacing w:after="220" w:line="240" w:lineRule="auto"/>
        <w:ind w:hanging="440"/>
        <w:rPr>
          <w:rFonts w:ascii="Arial" w:hAnsi="Arial" w:cs="Arial"/>
          <w:sz w:val="20"/>
          <w:szCs w:val="20"/>
        </w:rPr>
      </w:pPr>
      <w:hyperlink r:id="rId86" w:history="1">
        <w:r w:rsidR="00661E20" w:rsidRPr="008C62A9">
          <w:rPr>
            <w:rFonts w:ascii="Arial" w:hAnsi="Arial" w:cs="Arial"/>
            <w:sz w:val="20"/>
            <w:szCs w:val="20"/>
          </w:rPr>
          <w:t xml:space="preserve">8. </w:t>
        </w:r>
        <w:r w:rsidR="00661E20" w:rsidRPr="008C62A9">
          <w:rPr>
            <w:rFonts w:ascii="Arial" w:hAnsi="Arial" w:cs="Arial"/>
            <w:sz w:val="20"/>
            <w:szCs w:val="20"/>
          </w:rPr>
          <w:tab/>
        </w:r>
      </w:hyperlink>
      <w:hyperlink r:id="rId87" w:history="1">
        <w:r w:rsidR="00661E20" w:rsidRPr="008C62A9">
          <w:rPr>
            <w:rFonts w:ascii="Arial" w:hAnsi="Arial" w:cs="Arial"/>
            <w:sz w:val="20"/>
            <w:szCs w:val="20"/>
          </w:rPr>
          <w:t xml:space="preserve">World Health Organization (WHO). Global action plan for the prevention and control of noncommunicable diseases 2013-2020. In: http://who.int/en/ [Internet]. 2013 [cited 29 Sep 2017]. Available: </w:t>
        </w:r>
      </w:hyperlink>
      <w:hyperlink r:id="rId88" w:history="1">
        <w:r w:rsidR="00661E20" w:rsidRPr="008C62A9">
          <w:rPr>
            <w:rStyle w:val="Hyperlink"/>
            <w:rFonts w:ascii="Arial" w:hAnsi="Arial" w:cs="Arial"/>
            <w:color w:val="auto"/>
            <w:sz w:val="20"/>
            <w:szCs w:val="20"/>
            <w:u w:val="none"/>
          </w:rPr>
          <w:t>http://apps.who.int/iris/bitstream/10665/94384/1/9789241506236_eng.pdf</w:t>
        </w:r>
      </w:hyperlink>
    </w:p>
    <w:p w14:paraId="423ECD0F" w14:textId="77777777" w:rsidR="00661E20" w:rsidRPr="008C62A9" w:rsidRDefault="00F1052A" w:rsidP="00661E20">
      <w:pPr>
        <w:spacing w:after="220" w:line="240" w:lineRule="auto"/>
        <w:ind w:hanging="440"/>
        <w:rPr>
          <w:rFonts w:ascii="Arial" w:hAnsi="Arial" w:cs="Arial"/>
          <w:sz w:val="20"/>
          <w:szCs w:val="20"/>
        </w:rPr>
      </w:pPr>
      <w:hyperlink r:id="rId89" w:history="1">
        <w:r w:rsidR="00661E20" w:rsidRPr="008C62A9">
          <w:rPr>
            <w:rFonts w:ascii="Arial" w:hAnsi="Arial" w:cs="Arial"/>
            <w:sz w:val="20"/>
            <w:szCs w:val="20"/>
          </w:rPr>
          <w:t xml:space="preserve">9. </w:t>
        </w:r>
        <w:r w:rsidR="00661E20" w:rsidRPr="008C62A9">
          <w:rPr>
            <w:rFonts w:ascii="Arial" w:hAnsi="Arial" w:cs="Arial"/>
            <w:sz w:val="20"/>
            <w:szCs w:val="20"/>
          </w:rPr>
          <w:tab/>
        </w:r>
      </w:hyperlink>
      <w:hyperlink r:id="rId90" w:history="1">
        <w:r w:rsidR="00661E20" w:rsidRPr="008C62A9">
          <w:rPr>
            <w:rFonts w:ascii="Arial" w:hAnsi="Arial" w:cs="Arial"/>
            <w:sz w:val="20"/>
            <w:szCs w:val="20"/>
          </w:rPr>
          <w:t xml:space="preserve">Wirtz VJ, </w:t>
        </w:r>
        <w:proofErr w:type="spellStart"/>
        <w:r w:rsidR="00661E20" w:rsidRPr="008C62A9">
          <w:rPr>
            <w:rFonts w:ascii="Arial" w:hAnsi="Arial" w:cs="Arial"/>
            <w:sz w:val="20"/>
            <w:szCs w:val="20"/>
          </w:rPr>
          <w:t>Hogerzeil</w:t>
        </w:r>
        <w:proofErr w:type="spellEnd"/>
        <w:r w:rsidR="00661E20" w:rsidRPr="008C62A9">
          <w:rPr>
            <w:rFonts w:ascii="Arial" w:hAnsi="Arial" w:cs="Arial"/>
            <w:sz w:val="20"/>
            <w:szCs w:val="20"/>
          </w:rPr>
          <w:t xml:space="preserve"> HV, </w:t>
        </w:r>
        <w:proofErr w:type="spellStart"/>
        <w:r w:rsidR="00661E20" w:rsidRPr="008C62A9">
          <w:rPr>
            <w:rFonts w:ascii="Arial" w:hAnsi="Arial" w:cs="Arial"/>
            <w:sz w:val="20"/>
            <w:szCs w:val="20"/>
          </w:rPr>
          <w:t>Gray</w:t>
        </w:r>
        <w:proofErr w:type="spellEnd"/>
        <w:r w:rsidR="00661E20" w:rsidRPr="008C62A9">
          <w:rPr>
            <w:rFonts w:ascii="Arial" w:hAnsi="Arial" w:cs="Arial"/>
            <w:sz w:val="20"/>
            <w:szCs w:val="20"/>
          </w:rPr>
          <w:t xml:space="preserve"> AL, Lancet Commission on Essential Medicines Policies. Essential medicines for universal health coverage - Authors’ reply. Lancet. 2017;389: 1881–1882.</w:t>
        </w:r>
      </w:hyperlink>
    </w:p>
    <w:p w14:paraId="7E4D82D9" w14:textId="77777777" w:rsidR="00661E20" w:rsidRPr="008C62A9" w:rsidRDefault="00F1052A" w:rsidP="00661E20">
      <w:pPr>
        <w:spacing w:after="220" w:line="240" w:lineRule="auto"/>
        <w:ind w:hanging="440"/>
        <w:rPr>
          <w:rFonts w:ascii="Arial" w:hAnsi="Arial" w:cs="Arial"/>
          <w:sz w:val="20"/>
          <w:szCs w:val="20"/>
        </w:rPr>
      </w:pPr>
      <w:hyperlink r:id="rId91" w:history="1">
        <w:r w:rsidR="00661E20" w:rsidRPr="008C62A9">
          <w:rPr>
            <w:rFonts w:ascii="Arial" w:hAnsi="Arial" w:cs="Arial"/>
            <w:sz w:val="20"/>
            <w:szCs w:val="20"/>
          </w:rPr>
          <w:t xml:space="preserve">10. </w:t>
        </w:r>
        <w:r w:rsidR="00661E20" w:rsidRPr="008C62A9">
          <w:rPr>
            <w:rFonts w:ascii="Arial" w:hAnsi="Arial" w:cs="Arial"/>
            <w:sz w:val="20"/>
            <w:szCs w:val="20"/>
          </w:rPr>
          <w:tab/>
        </w:r>
      </w:hyperlink>
      <w:hyperlink r:id="rId92" w:history="1">
        <w:proofErr w:type="spellStart"/>
        <w:r w:rsidR="00661E20" w:rsidRPr="008C62A9">
          <w:rPr>
            <w:rFonts w:ascii="Arial" w:hAnsi="Arial" w:cs="Arial"/>
            <w:sz w:val="20"/>
            <w:szCs w:val="20"/>
          </w:rPr>
          <w:t>Simoens</w:t>
        </w:r>
        <w:proofErr w:type="spellEnd"/>
        <w:r w:rsidR="00661E20" w:rsidRPr="008C62A9">
          <w:rPr>
            <w:rFonts w:ascii="Arial" w:hAnsi="Arial" w:cs="Arial"/>
            <w:sz w:val="20"/>
            <w:szCs w:val="20"/>
          </w:rPr>
          <w:t xml:space="preserve"> S, </w:t>
        </w:r>
        <w:proofErr w:type="spellStart"/>
        <w:r w:rsidR="00661E20" w:rsidRPr="008C62A9">
          <w:rPr>
            <w:rFonts w:ascii="Arial" w:hAnsi="Arial" w:cs="Arial"/>
            <w:sz w:val="20"/>
            <w:szCs w:val="20"/>
          </w:rPr>
          <w:t>Sinnaeve</w:t>
        </w:r>
        <w:proofErr w:type="spellEnd"/>
        <w:r w:rsidR="00661E20" w:rsidRPr="008C62A9">
          <w:rPr>
            <w:rFonts w:ascii="Arial" w:hAnsi="Arial" w:cs="Arial"/>
            <w:sz w:val="20"/>
            <w:szCs w:val="20"/>
          </w:rPr>
          <w:t xml:space="preserve"> PR. Patient co-payment and adherence to statins: a review and case studies. Cardiovasc Drugs </w:t>
        </w:r>
        <w:proofErr w:type="spellStart"/>
        <w:r w:rsidR="00661E20" w:rsidRPr="008C62A9">
          <w:rPr>
            <w:rFonts w:ascii="Arial" w:hAnsi="Arial" w:cs="Arial"/>
            <w:sz w:val="20"/>
            <w:szCs w:val="20"/>
          </w:rPr>
          <w:t>Ther</w:t>
        </w:r>
        <w:proofErr w:type="spellEnd"/>
        <w:r w:rsidR="00661E20" w:rsidRPr="008C62A9">
          <w:rPr>
            <w:rFonts w:ascii="Arial" w:hAnsi="Arial" w:cs="Arial"/>
            <w:sz w:val="20"/>
            <w:szCs w:val="20"/>
          </w:rPr>
          <w:t>. 2014;28: 99–109.</w:t>
        </w:r>
      </w:hyperlink>
    </w:p>
    <w:p w14:paraId="7EA1CD31" w14:textId="77777777" w:rsidR="00661E20" w:rsidRPr="008C62A9" w:rsidRDefault="00F1052A" w:rsidP="00661E20">
      <w:pPr>
        <w:spacing w:after="220" w:line="240" w:lineRule="auto"/>
        <w:ind w:hanging="440"/>
        <w:rPr>
          <w:rFonts w:ascii="Arial" w:hAnsi="Arial" w:cs="Arial"/>
          <w:sz w:val="20"/>
          <w:szCs w:val="20"/>
        </w:rPr>
      </w:pPr>
      <w:hyperlink r:id="rId93" w:history="1">
        <w:r w:rsidR="00661E20" w:rsidRPr="008C62A9">
          <w:rPr>
            <w:rFonts w:ascii="Arial" w:hAnsi="Arial" w:cs="Arial"/>
            <w:sz w:val="20"/>
            <w:szCs w:val="20"/>
          </w:rPr>
          <w:t xml:space="preserve">11. </w:t>
        </w:r>
        <w:r w:rsidR="00661E20" w:rsidRPr="008C62A9">
          <w:rPr>
            <w:rFonts w:ascii="Arial" w:hAnsi="Arial" w:cs="Arial"/>
            <w:sz w:val="20"/>
            <w:szCs w:val="20"/>
          </w:rPr>
          <w:tab/>
        </w:r>
      </w:hyperlink>
      <w:hyperlink r:id="rId94" w:history="1">
        <w:r w:rsidR="00661E20" w:rsidRPr="008C62A9">
          <w:rPr>
            <w:rFonts w:ascii="Arial" w:hAnsi="Arial" w:cs="Arial"/>
            <w:sz w:val="20"/>
            <w:szCs w:val="20"/>
          </w:rPr>
          <w:t xml:space="preserve">Sinnott SJ, Buckley C, </w:t>
        </w:r>
        <w:proofErr w:type="spellStart"/>
        <w:r w:rsidR="00661E20" w:rsidRPr="008C62A9">
          <w:rPr>
            <w:rFonts w:ascii="Arial" w:hAnsi="Arial" w:cs="Arial"/>
            <w:sz w:val="20"/>
            <w:szCs w:val="20"/>
          </w:rPr>
          <w:t>O’Riordan</w:t>
        </w:r>
        <w:proofErr w:type="spellEnd"/>
        <w:r w:rsidR="00661E20" w:rsidRPr="008C62A9">
          <w:rPr>
            <w:rFonts w:ascii="Arial" w:hAnsi="Arial" w:cs="Arial"/>
            <w:sz w:val="20"/>
            <w:szCs w:val="20"/>
          </w:rPr>
          <w:t xml:space="preserve"> D, Bradley C, </w:t>
        </w:r>
        <w:proofErr w:type="spellStart"/>
        <w:r w:rsidR="00661E20" w:rsidRPr="008C62A9">
          <w:rPr>
            <w:rFonts w:ascii="Arial" w:hAnsi="Arial" w:cs="Arial"/>
            <w:sz w:val="20"/>
            <w:szCs w:val="20"/>
          </w:rPr>
          <w:t>Whelton</w:t>
        </w:r>
        <w:proofErr w:type="spellEnd"/>
        <w:r w:rsidR="00661E20" w:rsidRPr="008C62A9">
          <w:rPr>
            <w:rFonts w:ascii="Arial" w:hAnsi="Arial" w:cs="Arial"/>
            <w:sz w:val="20"/>
            <w:szCs w:val="20"/>
          </w:rPr>
          <w:t xml:space="preserve"> H. The Effect </w:t>
        </w:r>
        <w:proofErr w:type="gramStart"/>
        <w:r w:rsidR="00661E20" w:rsidRPr="008C62A9">
          <w:rPr>
            <w:rFonts w:ascii="Arial" w:hAnsi="Arial" w:cs="Arial"/>
            <w:sz w:val="20"/>
            <w:szCs w:val="20"/>
          </w:rPr>
          <w:t>Of</w:t>
        </w:r>
        <w:proofErr w:type="gramEnd"/>
        <w:r w:rsidR="00661E20" w:rsidRPr="008C62A9">
          <w:rPr>
            <w:rFonts w:ascii="Arial" w:hAnsi="Arial" w:cs="Arial"/>
            <w:sz w:val="20"/>
            <w:szCs w:val="20"/>
          </w:rPr>
          <w:t xml:space="preserve"> </w:t>
        </w:r>
        <w:proofErr w:type="spellStart"/>
        <w:r w:rsidR="00661E20" w:rsidRPr="008C62A9">
          <w:rPr>
            <w:rFonts w:ascii="Arial" w:hAnsi="Arial" w:cs="Arial"/>
            <w:sz w:val="20"/>
            <w:szCs w:val="20"/>
          </w:rPr>
          <w:t>Copayments</w:t>
        </w:r>
        <w:proofErr w:type="spellEnd"/>
        <w:r w:rsidR="00661E20" w:rsidRPr="008C62A9">
          <w:rPr>
            <w:rFonts w:ascii="Arial" w:hAnsi="Arial" w:cs="Arial"/>
            <w:sz w:val="20"/>
            <w:szCs w:val="20"/>
          </w:rPr>
          <w:t xml:space="preserve"> For Prescriptions On Adherence To Medicines In Publicly Insured Populations: A Systematic Review And Meta-Analysis. Value Health. 2013;16: A207.</w:t>
        </w:r>
      </w:hyperlink>
    </w:p>
    <w:p w14:paraId="2049D580" w14:textId="77777777" w:rsidR="00661E20" w:rsidRPr="008C62A9" w:rsidRDefault="00F1052A" w:rsidP="00661E20">
      <w:pPr>
        <w:spacing w:after="220" w:line="240" w:lineRule="auto"/>
        <w:ind w:hanging="440"/>
        <w:rPr>
          <w:rFonts w:ascii="Arial" w:hAnsi="Arial" w:cs="Arial"/>
          <w:sz w:val="20"/>
          <w:szCs w:val="20"/>
        </w:rPr>
      </w:pPr>
      <w:hyperlink r:id="rId95" w:history="1">
        <w:r w:rsidR="00661E20" w:rsidRPr="008C62A9">
          <w:rPr>
            <w:rFonts w:ascii="Arial" w:hAnsi="Arial" w:cs="Arial"/>
            <w:sz w:val="20"/>
            <w:szCs w:val="20"/>
          </w:rPr>
          <w:t xml:space="preserve">12. </w:t>
        </w:r>
        <w:r w:rsidR="00661E20" w:rsidRPr="008C62A9">
          <w:rPr>
            <w:rFonts w:ascii="Arial" w:hAnsi="Arial" w:cs="Arial"/>
            <w:sz w:val="20"/>
            <w:szCs w:val="20"/>
          </w:rPr>
          <w:tab/>
        </w:r>
      </w:hyperlink>
      <w:hyperlink r:id="rId96" w:history="1">
        <w:r w:rsidR="00661E20" w:rsidRPr="008C62A9">
          <w:rPr>
            <w:rFonts w:ascii="Arial" w:hAnsi="Arial" w:cs="Arial"/>
            <w:sz w:val="20"/>
            <w:szCs w:val="20"/>
          </w:rPr>
          <w:t xml:space="preserve">Choudhry NK, </w:t>
        </w:r>
        <w:proofErr w:type="spellStart"/>
        <w:r w:rsidR="00661E20" w:rsidRPr="008C62A9">
          <w:rPr>
            <w:rFonts w:ascii="Arial" w:hAnsi="Arial" w:cs="Arial"/>
            <w:sz w:val="20"/>
            <w:szCs w:val="20"/>
          </w:rPr>
          <w:t>Avorn</w:t>
        </w:r>
        <w:proofErr w:type="spellEnd"/>
        <w:r w:rsidR="00661E20" w:rsidRPr="008C62A9">
          <w:rPr>
            <w:rFonts w:ascii="Arial" w:hAnsi="Arial" w:cs="Arial"/>
            <w:sz w:val="20"/>
            <w:szCs w:val="20"/>
          </w:rPr>
          <w:t xml:space="preserve"> J, Glynn RJ, Antman EM, </w:t>
        </w:r>
        <w:proofErr w:type="spellStart"/>
        <w:r w:rsidR="00661E20" w:rsidRPr="008C62A9">
          <w:rPr>
            <w:rFonts w:ascii="Arial" w:hAnsi="Arial" w:cs="Arial"/>
            <w:sz w:val="20"/>
            <w:szCs w:val="20"/>
          </w:rPr>
          <w:t>Schneeweiss</w:t>
        </w:r>
        <w:proofErr w:type="spellEnd"/>
        <w:r w:rsidR="00661E20" w:rsidRPr="008C62A9">
          <w:rPr>
            <w:rFonts w:ascii="Arial" w:hAnsi="Arial" w:cs="Arial"/>
            <w:sz w:val="20"/>
            <w:szCs w:val="20"/>
          </w:rPr>
          <w:t xml:space="preserve"> S, Toscano M, et al. Full coverage for preventive medications after myocardial infarction. N </w:t>
        </w:r>
        <w:proofErr w:type="spellStart"/>
        <w:r w:rsidR="00661E20" w:rsidRPr="008C62A9">
          <w:rPr>
            <w:rFonts w:ascii="Arial" w:hAnsi="Arial" w:cs="Arial"/>
            <w:sz w:val="20"/>
            <w:szCs w:val="20"/>
          </w:rPr>
          <w:t>Engl</w:t>
        </w:r>
        <w:proofErr w:type="spellEnd"/>
        <w:r w:rsidR="00661E20" w:rsidRPr="008C62A9">
          <w:rPr>
            <w:rFonts w:ascii="Arial" w:hAnsi="Arial" w:cs="Arial"/>
            <w:sz w:val="20"/>
            <w:szCs w:val="20"/>
          </w:rPr>
          <w:t xml:space="preserve"> J Med. 2011;365: 2088–2097.</w:t>
        </w:r>
      </w:hyperlink>
    </w:p>
    <w:p w14:paraId="4B905D5A" w14:textId="77777777" w:rsidR="00661E20" w:rsidRPr="008C62A9" w:rsidRDefault="00F1052A" w:rsidP="00661E20">
      <w:pPr>
        <w:spacing w:after="220" w:line="240" w:lineRule="auto"/>
        <w:ind w:hanging="440"/>
        <w:rPr>
          <w:rFonts w:ascii="Arial" w:hAnsi="Arial" w:cs="Arial"/>
          <w:sz w:val="20"/>
          <w:szCs w:val="20"/>
        </w:rPr>
      </w:pPr>
      <w:hyperlink r:id="rId97" w:history="1">
        <w:r w:rsidR="00661E20" w:rsidRPr="008C62A9">
          <w:rPr>
            <w:rFonts w:ascii="Arial" w:hAnsi="Arial" w:cs="Arial"/>
            <w:sz w:val="20"/>
            <w:szCs w:val="20"/>
          </w:rPr>
          <w:t xml:space="preserve">13. </w:t>
        </w:r>
        <w:r w:rsidR="00661E20" w:rsidRPr="008C62A9">
          <w:rPr>
            <w:rFonts w:ascii="Arial" w:hAnsi="Arial" w:cs="Arial"/>
            <w:sz w:val="20"/>
            <w:szCs w:val="20"/>
          </w:rPr>
          <w:tab/>
        </w:r>
      </w:hyperlink>
      <w:hyperlink r:id="rId98" w:history="1">
        <w:proofErr w:type="spellStart"/>
        <w:r w:rsidR="00661E20" w:rsidRPr="008C62A9">
          <w:rPr>
            <w:rFonts w:ascii="Arial" w:hAnsi="Arial" w:cs="Arial"/>
            <w:sz w:val="20"/>
            <w:szCs w:val="20"/>
          </w:rPr>
          <w:t>Caires</w:t>
        </w:r>
        <w:proofErr w:type="spellEnd"/>
        <w:r w:rsidR="00661E20" w:rsidRPr="008C62A9">
          <w:rPr>
            <w:rFonts w:ascii="Arial" w:hAnsi="Arial" w:cs="Arial"/>
            <w:sz w:val="20"/>
            <w:szCs w:val="20"/>
          </w:rPr>
          <w:t xml:space="preserve"> de Souza AL, de Souza ALC, de Assis </w:t>
        </w:r>
        <w:proofErr w:type="spellStart"/>
        <w:r w:rsidR="00661E20" w:rsidRPr="008C62A9">
          <w:rPr>
            <w:rFonts w:ascii="Arial" w:hAnsi="Arial" w:cs="Arial"/>
            <w:sz w:val="20"/>
            <w:szCs w:val="20"/>
          </w:rPr>
          <w:t>Acurcio</w:t>
        </w:r>
        <w:proofErr w:type="spellEnd"/>
        <w:r w:rsidR="00661E20" w:rsidRPr="008C62A9">
          <w:rPr>
            <w:rFonts w:ascii="Arial" w:hAnsi="Arial" w:cs="Arial"/>
            <w:sz w:val="20"/>
            <w:szCs w:val="20"/>
          </w:rPr>
          <w:t xml:space="preserve"> F, Júnior AAG, do Nascimento RCRM, Godman B, et al. Insulin Glargine in a Brazilian State: Should the Government Disinvest? An Assessment Based on a Systematic Review. </w:t>
        </w:r>
        <w:proofErr w:type="spellStart"/>
        <w:r w:rsidR="00661E20" w:rsidRPr="008C62A9">
          <w:rPr>
            <w:rFonts w:ascii="Arial" w:hAnsi="Arial" w:cs="Arial"/>
            <w:sz w:val="20"/>
            <w:szCs w:val="20"/>
          </w:rPr>
          <w:t>Appl</w:t>
        </w:r>
        <w:proofErr w:type="spellEnd"/>
        <w:r w:rsidR="00661E20" w:rsidRPr="008C62A9">
          <w:rPr>
            <w:rFonts w:ascii="Arial" w:hAnsi="Arial" w:cs="Arial"/>
            <w:sz w:val="20"/>
            <w:szCs w:val="20"/>
          </w:rPr>
          <w:t xml:space="preserve"> Health Econ Health Policy. 2014;12: 19–32.</w:t>
        </w:r>
      </w:hyperlink>
    </w:p>
    <w:p w14:paraId="7C5A14F7" w14:textId="77777777" w:rsidR="00661E20" w:rsidRPr="008C62A9" w:rsidRDefault="00F1052A" w:rsidP="00661E20">
      <w:pPr>
        <w:spacing w:after="220" w:line="240" w:lineRule="auto"/>
        <w:ind w:hanging="440"/>
        <w:rPr>
          <w:rFonts w:ascii="Arial" w:hAnsi="Arial" w:cs="Arial"/>
          <w:sz w:val="20"/>
          <w:szCs w:val="20"/>
        </w:rPr>
      </w:pPr>
      <w:hyperlink r:id="rId99" w:history="1">
        <w:r w:rsidR="00661E20" w:rsidRPr="008C62A9">
          <w:rPr>
            <w:rFonts w:ascii="Arial" w:hAnsi="Arial" w:cs="Arial"/>
            <w:sz w:val="20"/>
            <w:szCs w:val="20"/>
          </w:rPr>
          <w:t xml:space="preserve">14. </w:t>
        </w:r>
        <w:r w:rsidR="00661E20" w:rsidRPr="008C62A9">
          <w:rPr>
            <w:rFonts w:ascii="Arial" w:hAnsi="Arial" w:cs="Arial"/>
            <w:sz w:val="20"/>
            <w:szCs w:val="20"/>
          </w:rPr>
          <w:tab/>
        </w:r>
      </w:hyperlink>
      <w:hyperlink r:id="rId100" w:history="1">
        <w:r w:rsidR="00661E20" w:rsidRPr="008C62A9">
          <w:rPr>
            <w:rFonts w:ascii="Arial" w:hAnsi="Arial" w:cs="Arial"/>
            <w:sz w:val="20"/>
            <w:szCs w:val="20"/>
          </w:rPr>
          <w:t xml:space="preserve">Mansur A de P, de Padua Mansur A, </w:t>
        </w:r>
        <w:proofErr w:type="spellStart"/>
        <w:r w:rsidR="00661E20" w:rsidRPr="008C62A9">
          <w:rPr>
            <w:rFonts w:ascii="Arial" w:hAnsi="Arial" w:cs="Arial"/>
            <w:sz w:val="20"/>
            <w:szCs w:val="20"/>
          </w:rPr>
          <w:t>Favarato</w:t>
        </w:r>
        <w:proofErr w:type="spellEnd"/>
        <w:r w:rsidR="00661E20" w:rsidRPr="008C62A9">
          <w:rPr>
            <w:rFonts w:ascii="Arial" w:hAnsi="Arial" w:cs="Arial"/>
            <w:sz w:val="20"/>
            <w:szCs w:val="20"/>
          </w:rPr>
          <w:t xml:space="preserve"> D. Mortality due to Cardiovascular Diseases in Women and Men in the Five Brazilian Regions, 1980-2012. </w:t>
        </w:r>
        <w:proofErr w:type="spellStart"/>
        <w:r w:rsidR="00661E20" w:rsidRPr="008C62A9">
          <w:rPr>
            <w:rFonts w:ascii="Arial" w:hAnsi="Arial" w:cs="Arial"/>
            <w:sz w:val="20"/>
            <w:szCs w:val="20"/>
          </w:rPr>
          <w:t>Arq</w:t>
        </w:r>
        <w:proofErr w:type="spellEnd"/>
        <w:r w:rsidR="00661E20" w:rsidRPr="008C62A9">
          <w:rPr>
            <w:rFonts w:ascii="Arial" w:hAnsi="Arial" w:cs="Arial"/>
            <w:sz w:val="20"/>
            <w:szCs w:val="20"/>
          </w:rPr>
          <w:t xml:space="preserve"> Bras </w:t>
        </w:r>
        <w:proofErr w:type="spellStart"/>
        <w:r w:rsidR="00661E20" w:rsidRPr="008C62A9">
          <w:rPr>
            <w:rFonts w:ascii="Arial" w:hAnsi="Arial" w:cs="Arial"/>
            <w:sz w:val="20"/>
            <w:szCs w:val="20"/>
          </w:rPr>
          <w:t>Cardiol</w:t>
        </w:r>
        <w:proofErr w:type="spellEnd"/>
        <w:r w:rsidR="00661E20" w:rsidRPr="008C62A9">
          <w:rPr>
            <w:rFonts w:ascii="Arial" w:hAnsi="Arial" w:cs="Arial"/>
            <w:sz w:val="20"/>
            <w:szCs w:val="20"/>
          </w:rPr>
          <w:t>. 2016; doi:</w:t>
        </w:r>
      </w:hyperlink>
      <w:hyperlink r:id="rId101" w:history="1">
        <w:r w:rsidR="00661E20" w:rsidRPr="008C62A9">
          <w:rPr>
            <w:rFonts w:ascii="Arial" w:hAnsi="Arial" w:cs="Arial"/>
            <w:sz w:val="20"/>
            <w:szCs w:val="20"/>
          </w:rPr>
          <w:t>10.5935/abc.20160102</w:t>
        </w:r>
      </w:hyperlink>
    </w:p>
    <w:p w14:paraId="26E34EAE" w14:textId="77777777" w:rsidR="00661E20" w:rsidRPr="008C62A9" w:rsidRDefault="00F1052A" w:rsidP="00661E20">
      <w:pPr>
        <w:spacing w:after="220" w:line="240" w:lineRule="auto"/>
        <w:ind w:hanging="440"/>
        <w:rPr>
          <w:rFonts w:ascii="Arial" w:hAnsi="Arial" w:cs="Arial"/>
          <w:sz w:val="20"/>
          <w:szCs w:val="20"/>
        </w:rPr>
      </w:pPr>
      <w:hyperlink r:id="rId102" w:history="1">
        <w:r w:rsidR="00661E20" w:rsidRPr="008C62A9">
          <w:rPr>
            <w:rFonts w:ascii="Arial" w:hAnsi="Arial" w:cs="Arial"/>
            <w:sz w:val="20"/>
            <w:szCs w:val="20"/>
          </w:rPr>
          <w:t xml:space="preserve">15. </w:t>
        </w:r>
        <w:r w:rsidR="00661E20" w:rsidRPr="008C62A9">
          <w:rPr>
            <w:rFonts w:ascii="Arial" w:hAnsi="Arial" w:cs="Arial"/>
            <w:sz w:val="20"/>
            <w:szCs w:val="20"/>
          </w:rPr>
          <w:tab/>
        </w:r>
      </w:hyperlink>
      <w:hyperlink r:id="rId103" w:history="1">
        <w:r w:rsidR="00661E20" w:rsidRPr="008C62A9">
          <w:rPr>
            <w:rFonts w:ascii="Arial" w:hAnsi="Arial" w:cs="Arial"/>
            <w:sz w:val="20"/>
            <w:szCs w:val="20"/>
          </w:rPr>
          <w:t xml:space="preserve">Malta DC, Bernal RTI, de Souza M de FM, </w:t>
        </w:r>
        <w:proofErr w:type="spellStart"/>
        <w:r w:rsidR="00661E20" w:rsidRPr="008C62A9">
          <w:rPr>
            <w:rFonts w:ascii="Arial" w:hAnsi="Arial" w:cs="Arial"/>
            <w:sz w:val="20"/>
            <w:szCs w:val="20"/>
          </w:rPr>
          <w:t>Szwarcwald</w:t>
        </w:r>
        <w:proofErr w:type="spellEnd"/>
        <w:r w:rsidR="00661E20" w:rsidRPr="008C62A9">
          <w:rPr>
            <w:rFonts w:ascii="Arial" w:hAnsi="Arial" w:cs="Arial"/>
            <w:sz w:val="20"/>
            <w:szCs w:val="20"/>
          </w:rPr>
          <w:t xml:space="preserve"> CL, Lima MG, de Azevedo Barros MB. Social inequalities in the prevalence of self-reported chronic non-communicable diseases in Brazil: national health survey 2013. </w:t>
        </w:r>
        <w:proofErr w:type="spellStart"/>
        <w:r w:rsidR="00661E20" w:rsidRPr="008C62A9">
          <w:rPr>
            <w:rFonts w:ascii="Arial" w:hAnsi="Arial" w:cs="Arial"/>
            <w:sz w:val="20"/>
            <w:szCs w:val="20"/>
          </w:rPr>
          <w:t>Int</w:t>
        </w:r>
        <w:proofErr w:type="spellEnd"/>
        <w:r w:rsidR="00661E20" w:rsidRPr="008C62A9">
          <w:rPr>
            <w:rFonts w:ascii="Arial" w:hAnsi="Arial" w:cs="Arial"/>
            <w:sz w:val="20"/>
            <w:szCs w:val="20"/>
          </w:rPr>
          <w:t xml:space="preserve"> J Equity Health. 2016;15. doi:</w:t>
        </w:r>
      </w:hyperlink>
      <w:hyperlink r:id="rId104" w:history="1">
        <w:r w:rsidR="00661E20" w:rsidRPr="008C62A9">
          <w:rPr>
            <w:rFonts w:ascii="Arial" w:hAnsi="Arial" w:cs="Arial"/>
            <w:sz w:val="20"/>
            <w:szCs w:val="20"/>
          </w:rPr>
          <w:t>10.1186/s12939-016-0427-4</w:t>
        </w:r>
      </w:hyperlink>
    </w:p>
    <w:p w14:paraId="794E21EE" w14:textId="77777777" w:rsidR="00661E20" w:rsidRPr="008C62A9" w:rsidRDefault="00F1052A" w:rsidP="00661E20">
      <w:pPr>
        <w:spacing w:after="220" w:line="240" w:lineRule="auto"/>
        <w:ind w:hanging="440"/>
        <w:rPr>
          <w:rFonts w:ascii="Arial" w:hAnsi="Arial" w:cs="Arial"/>
          <w:sz w:val="20"/>
          <w:szCs w:val="20"/>
        </w:rPr>
      </w:pPr>
      <w:hyperlink r:id="rId105" w:history="1">
        <w:r w:rsidR="00661E20" w:rsidRPr="008C62A9">
          <w:rPr>
            <w:rFonts w:ascii="Arial" w:hAnsi="Arial" w:cs="Arial"/>
            <w:sz w:val="20"/>
            <w:szCs w:val="20"/>
          </w:rPr>
          <w:t xml:space="preserve">16. </w:t>
        </w:r>
        <w:r w:rsidR="00661E20" w:rsidRPr="008C62A9">
          <w:rPr>
            <w:rFonts w:ascii="Arial" w:hAnsi="Arial" w:cs="Arial"/>
            <w:sz w:val="20"/>
            <w:szCs w:val="20"/>
          </w:rPr>
          <w:tab/>
        </w:r>
      </w:hyperlink>
      <w:hyperlink r:id="rId106" w:history="1">
        <w:proofErr w:type="spellStart"/>
        <w:r w:rsidR="00661E20" w:rsidRPr="008C62A9">
          <w:rPr>
            <w:rFonts w:ascii="Arial" w:hAnsi="Arial" w:cs="Arial"/>
            <w:sz w:val="20"/>
            <w:szCs w:val="20"/>
          </w:rPr>
          <w:t>Baena</w:t>
        </w:r>
        <w:proofErr w:type="spellEnd"/>
        <w:r w:rsidR="00661E20" w:rsidRPr="008C62A9">
          <w:rPr>
            <w:rFonts w:ascii="Arial" w:hAnsi="Arial" w:cs="Arial"/>
            <w:sz w:val="20"/>
            <w:szCs w:val="20"/>
          </w:rPr>
          <w:t xml:space="preserve"> CP, Chowdhury R, </w:t>
        </w:r>
        <w:proofErr w:type="spellStart"/>
        <w:r w:rsidR="00661E20" w:rsidRPr="008C62A9">
          <w:rPr>
            <w:rFonts w:ascii="Arial" w:hAnsi="Arial" w:cs="Arial"/>
            <w:sz w:val="20"/>
            <w:szCs w:val="20"/>
          </w:rPr>
          <w:t>Schio</w:t>
        </w:r>
        <w:proofErr w:type="spellEnd"/>
        <w:r w:rsidR="00661E20" w:rsidRPr="008C62A9">
          <w:rPr>
            <w:rFonts w:ascii="Arial" w:hAnsi="Arial" w:cs="Arial"/>
            <w:sz w:val="20"/>
            <w:szCs w:val="20"/>
          </w:rPr>
          <w:t xml:space="preserve"> NA, </w:t>
        </w:r>
        <w:proofErr w:type="spellStart"/>
        <w:r w:rsidR="00661E20" w:rsidRPr="008C62A9">
          <w:rPr>
            <w:rFonts w:ascii="Arial" w:hAnsi="Arial" w:cs="Arial"/>
            <w:sz w:val="20"/>
            <w:szCs w:val="20"/>
          </w:rPr>
          <w:t>Sabbag</w:t>
        </w:r>
        <w:proofErr w:type="spellEnd"/>
        <w:r w:rsidR="00661E20" w:rsidRPr="008C62A9">
          <w:rPr>
            <w:rFonts w:ascii="Arial" w:hAnsi="Arial" w:cs="Arial"/>
            <w:sz w:val="20"/>
            <w:szCs w:val="20"/>
          </w:rPr>
          <w:t xml:space="preserve"> AE Jr, </w:t>
        </w:r>
        <w:proofErr w:type="spellStart"/>
        <w:r w:rsidR="00661E20" w:rsidRPr="008C62A9">
          <w:rPr>
            <w:rFonts w:ascii="Arial" w:hAnsi="Arial" w:cs="Arial"/>
            <w:sz w:val="20"/>
            <w:szCs w:val="20"/>
          </w:rPr>
          <w:t>Guarita</w:t>
        </w:r>
        <w:proofErr w:type="spellEnd"/>
        <w:r w:rsidR="00661E20" w:rsidRPr="008C62A9">
          <w:rPr>
            <w:rFonts w:ascii="Arial" w:hAnsi="Arial" w:cs="Arial"/>
            <w:sz w:val="20"/>
            <w:szCs w:val="20"/>
          </w:rPr>
          <w:t xml:space="preserve">-Souza LC, </w:t>
        </w:r>
        <w:proofErr w:type="spellStart"/>
        <w:r w:rsidR="00661E20" w:rsidRPr="008C62A9">
          <w:rPr>
            <w:rFonts w:ascii="Arial" w:hAnsi="Arial" w:cs="Arial"/>
            <w:sz w:val="20"/>
            <w:szCs w:val="20"/>
          </w:rPr>
          <w:t>Olandoski</w:t>
        </w:r>
        <w:proofErr w:type="spellEnd"/>
        <w:r w:rsidR="00661E20" w:rsidRPr="008C62A9">
          <w:rPr>
            <w:rFonts w:ascii="Arial" w:hAnsi="Arial" w:cs="Arial"/>
            <w:sz w:val="20"/>
            <w:szCs w:val="20"/>
          </w:rPr>
          <w:t xml:space="preserve"> M, et al. Ischaemic heart disease deaths in Brazil: current trends, regional disparities and future projections. Heart. 2013;99: 1359–1364.</w:t>
        </w:r>
      </w:hyperlink>
    </w:p>
    <w:p w14:paraId="4578948E" w14:textId="77777777" w:rsidR="00661E20" w:rsidRPr="008C62A9" w:rsidRDefault="00F1052A" w:rsidP="00661E20">
      <w:pPr>
        <w:spacing w:after="220" w:line="240" w:lineRule="auto"/>
        <w:ind w:hanging="440"/>
        <w:rPr>
          <w:rFonts w:ascii="Arial" w:hAnsi="Arial" w:cs="Arial"/>
          <w:sz w:val="20"/>
          <w:szCs w:val="20"/>
        </w:rPr>
      </w:pPr>
      <w:hyperlink r:id="rId107" w:history="1">
        <w:r w:rsidR="00661E20" w:rsidRPr="008C62A9">
          <w:rPr>
            <w:rFonts w:ascii="Arial" w:hAnsi="Arial" w:cs="Arial"/>
            <w:sz w:val="20"/>
            <w:szCs w:val="20"/>
          </w:rPr>
          <w:t xml:space="preserve">17. </w:t>
        </w:r>
        <w:r w:rsidR="00661E20" w:rsidRPr="008C62A9">
          <w:rPr>
            <w:rFonts w:ascii="Arial" w:hAnsi="Arial" w:cs="Arial"/>
            <w:sz w:val="20"/>
            <w:szCs w:val="20"/>
          </w:rPr>
          <w:tab/>
        </w:r>
      </w:hyperlink>
      <w:hyperlink r:id="rId108" w:history="1">
        <w:r w:rsidR="00661E20" w:rsidRPr="008C62A9">
          <w:rPr>
            <w:rFonts w:ascii="Arial" w:hAnsi="Arial" w:cs="Arial"/>
            <w:sz w:val="20"/>
            <w:szCs w:val="20"/>
          </w:rPr>
          <w:t>Heart Protection Study Collaborative Group. MRC/BHF Heart Protection Study of cholesterol lowering with simvastatin in 20,536 high-risk individuals: a randomised placebo-controlled trial. Lancet. 2002;360: 7–22.</w:t>
        </w:r>
      </w:hyperlink>
    </w:p>
    <w:p w14:paraId="3DE7F768" w14:textId="77777777" w:rsidR="00661E20" w:rsidRPr="008C62A9" w:rsidRDefault="00F1052A" w:rsidP="00661E20">
      <w:pPr>
        <w:spacing w:after="220" w:line="240" w:lineRule="auto"/>
        <w:ind w:hanging="440"/>
        <w:rPr>
          <w:rFonts w:ascii="Arial" w:hAnsi="Arial" w:cs="Arial"/>
          <w:sz w:val="20"/>
          <w:szCs w:val="20"/>
        </w:rPr>
      </w:pPr>
      <w:hyperlink r:id="rId109" w:history="1">
        <w:r w:rsidR="00661E20" w:rsidRPr="008C62A9">
          <w:rPr>
            <w:rFonts w:ascii="Arial" w:hAnsi="Arial" w:cs="Arial"/>
            <w:sz w:val="20"/>
            <w:szCs w:val="20"/>
          </w:rPr>
          <w:t xml:space="preserve">18. </w:t>
        </w:r>
        <w:r w:rsidR="00661E20" w:rsidRPr="008C62A9">
          <w:rPr>
            <w:rFonts w:ascii="Arial" w:hAnsi="Arial" w:cs="Arial"/>
            <w:sz w:val="20"/>
            <w:szCs w:val="20"/>
          </w:rPr>
          <w:tab/>
        </w:r>
      </w:hyperlink>
      <w:hyperlink r:id="rId110" w:history="1">
        <w:r w:rsidR="00661E20" w:rsidRPr="008C62A9">
          <w:rPr>
            <w:rFonts w:ascii="Arial" w:hAnsi="Arial" w:cs="Arial"/>
            <w:sz w:val="20"/>
            <w:szCs w:val="20"/>
          </w:rPr>
          <w:t xml:space="preserve">Choudhry NK. Improving the pathway from cardiovascular medication prescribing to longer-term adherence: new results about old issues. </w:t>
        </w:r>
        <w:proofErr w:type="spellStart"/>
        <w:r w:rsidR="00661E20" w:rsidRPr="008C62A9">
          <w:rPr>
            <w:rFonts w:ascii="Arial" w:hAnsi="Arial" w:cs="Arial"/>
            <w:sz w:val="20"/>
            <w:szCs w:val="20"/>
          </w:rPr>
          <w:t>Circ</w:t>
        </w:r>
        <w:proofErr w:type="spellEnd"/>
        <w:r w:rsidR="00661E20" w:rsidRPr="008C62A9">
          <w:rPr>
            <w:rFonts w:ascii="Arial" w:hAnsi="Arial" w:cs="Arial"/>
            <w:sz w:val="20"/>
            <w:szCs w:val="20"/>
          </w:rPr>
          <w:t xml:space="preserve"> Cardiovasc </w:t>
        </w:r>
        <w:proofErr w:type="spellStart"/>
        <w:r w:rsidR="00661E20" w:rsidRPr="008C62A9">
          <w:rPr>
            <w:rFonts w:ascii="Arial" w:hAnsi="Arial" w:cs="Arial"/>
            <w:sz w:val="20"/>
            <w:szCs w:val="20"/>
          </w:rPr>
          <w:t>Qual</w:t>
        </w:r>
        <w:proofErr w:type="spellEnd"/>
        <w:r w:rsidR="00661E20" w:rsidRPr="008C62A9">
          <w:rPr>
            <w:rFonts w:ascii="Arial" w:hAnsi="Arial" w:cs="Arial"/>
            <w:sz w:val="20"/>
            <w:szCs w:val="20"/>
          </w:rPr>
          <w:t xml:space="preserve"> Outcomes. 2010;3: 223–225.</w:t>
        </w:r>
      </w:hyperlink>
    </w:p>
    <w:p w14:paraId="070B393C" w14:textId="77777777" w:rsidR="00661E20" w:rsidRPr="008C62A9" w:rsidRDefault="00F1052A" w:rsidP="00661E20">
      <w:pPr>
        <w:spacing w:after="220" w:line="240" w:lineRule="auto"/>
        <w:ind w:hanging="440"/>
        <w:rPr>
          <w:rFonts w:ascii="Arial" w:hAnsi="Arial" w:cs="Arial"/>
          <w:sz w:val="20"/>
          <w:szCs w:val="20"/>
        </w:rPr>
      </w:pPr>
      <w:hyperlink r:id="rId111" w:history="1">
        <w:r w:rsidR="00661E20" w:rsidRPr="008C62A9">
          <w:rPr>
            <w:rFonts w:ascii="Arial" w:hAnsi="Arial" w:cs="Arial"/>
            <w:sz w:val="20"/>
            <w:szCs w:val="20"/>
          </w:rPr>
          <w:t xml:space="preserve">19. </w:t>
        </w:r>
        <w:r w:rsidR="00661E20" w:rsidRPr="008C62A9">
          <w:rPr>
            <w:rFonts w:ascii="Arial" w:hAnsi="Arial" w:cs="Arial"/>
            <w:sz w:val="20"/>
            <w:szCs w:val="20"/>
          </w:rPr>
          <w:tab/>
        </w:r>
      </w:hyperlink>
      <w:hyperlink r:id="rId112" w:history="1">
        <w:proofErr w:type="spellStart"/>
        <w:r w:rsidR="00661E20" w:rsidRPr="008C62A9">
          <w:rPr>
            <w:rFonts w:ascii="Arial" w:hAnsi="Arial" w:cs="Arial"/>
            <w:sz w:val="20"/>
            <w:szCs w:val="20"/>
          </w:rPr>
          <w:t>Rabar</w:t>
        </w:r>
        <w:proofErr w:type="spellEnd"/>
        <w:r w:rsidR="00661E20" w:rsidRPr="008C62A9">
          <w:rPr>
            <w:rFonts w:ascii="Arial" w:hAnsi="Arial" w:cs="Arial"/>
            <w:sz w:val="20"/>
            <w:szCs w:val="20"/>
          </w:rPr>
          <w:t xml:space="preserve"> S, Harker M, </w:t>
        </w:r>
        <w:proofErr w:type="spellStart"/>
        <w:r w:rsidR="00661E20" w:rsidRPr="008C62A9">
          <w:rPr>
            <w:rFonts w:ascii="Arial" w:hAnsi="Arial" w:cs="Arial"/>
            <w:sz w:val="20"/>
            <w:szCs w:val="20"/>
          </w:rPr>
          <w:t>O’Flynn</w:t>
        </w:r>
        <w:proofErr w:type="spellEnd"/>
        <w:r w:rsidR="00661E20" w:rsidRPr="008C62A9">
          <w:rPr>
            <w:rFonts w:ascii="Arial" w:hAnsi="Arial" w:cs="Arial"/>
            <w:sz w:val="20"/>
            <w:szCs w:val="20"/>
          </w:rPr>
          <w:t xml:space="preserve"> N, </w:t>
        </w:r>
        <w:proofErr w:type="spellStart"/>
        <w:r w:rsidR="00661E20" w:rsidRPr="008C62A9">
          <w:rPr>
            <w:rFonts w:ascii="Arial" w:hAnsi="Arial" w:cs="Arial"/>
            <w:sz w:val="20"/>
            <w:szCs w:val="20"/>
          </w:rPr>
          <w:t>Wierzbicki</w:t>
        </w:r>
        <w:proofErr w:type="spellEnd"/>
        <w:r w:rsidR="00661E20" w:rsidRPr="008C62A9">
          <w:rPr>
            <w:rFonts w:ascii="Arial" w:hAnsi="Arial" w:cs="Arial"/>
            <w:sz w:val="20"/>
            <w:szCs w:val="20"/>
          </w:rPr>
          <w:t xml:space="preserve"> AS, On behalf of the Guideline Development Group. Lipid modification and cardiovascular risk assessment for the primary and secondary prevention of cardiovascular disease: summary of updated NICE guidance. BMJ. 2014;349: g4356–g4356.</w:t>
        </w:r>
      </w:hyperlink>
    </w:p>
    <w:p w14:paraId="549F6E37" w14:textId="77777777" w:rsidR="00661E20" w:rsidRPr="008C62A9" w:rsidRDefault="00F1052A" w:rsidP="00661E20">
      <w:pPr>
        <w:spacing w:after="220" w:line="240" w:lineRule="auto"/>
        <w:ind w:hanging="440"/>
        <w:rPr>
          <w:rFonts w:ascii="Arial" w:hAnsi="Arial" w:cs="Arial"/>
          <w:sz w:val="20"/>
          <w:szCs w:val="20"/>
        </w:rPr>
      </w:pPr>
      <w:hyperlink r:id="rId113" w:history="1">
        <w:r w:rsidR="00661E20" w:rsidRPr="008C62A9">
          <w:rPr>
            <w:rFonts w:ascii="Arial" w:hAnsi="Arial" w:cs="Arial"/>
            <w:sz w:val="20"/>
            <w:szCs w:val="20"/>
          </w:rPr>
          <w:t xml:space="preserve">20. </w:t>
        </w:r>
        <w:r w:rsidR="00661E20" w:rsidRPr="008C62A9">
          <w:rPr>
            <w:rFonts w:ascii="Arial" w:hAnsi="Arial" w:cs="Arial"/>
            <w:sz w:val="20"/>
            <w:szCs w:val="20"/>
          </w:rPr>
          <w:tab/>
        </w:r>
      </w:hyperlink>
      <w:hyperlink r:id="rId114" w:history="1">
        <w:r w:rsidR="00661E20" w:rsidRPr="008C62A9">
          <w:rPr>
            <w:rFonts w:ascii="Arial" w:hAnsi="Arial" w:cs="Arial"/>
            <w:sz w:val="20"/>
            <w:szCs w:val="20"/>
          </w:rPr>
          <w:t xml:space="preserve">Cholesterol Treatment Trialists’ (CTT) Collaboration, Fulcher J, O’Connell R, </w:t>
        </w:r>
        <w:proofErr w:type="spellStart"/>
        <w:r w:rsidR="00661E20" w:rsidRPr="008C62A9">
          <w:rPr>
            <w:rFonts w:ascii="Arial" w:hAnsi="Arial" w:cs="Arial"/>
            <w:sz w:val="20"/>
            <w:szCs w:val="20"/>
          </w:rPr>
          <w:t>Voysey</w:t>
        </w:r>
        <w:proofErr w:type="spellEnd"/>
        <w:r w:rsidR="00661E20" w:rsidRPr="008C62A9">
          <w:rPr>
            <w:rFonts w:ascii="Arial" w:hAnsi="Arial" w:cs="Arial"/>
            <w:sz w:val="20"/>
            <w:szCs w:val="20"/>
          </w:rPr>
          <w:t xml:space="preserve"> M, </w:t>
        </w:r>
        <w:proofErr w:type="spellStart"/>
        <w:r w:rsidR="00661E20" w:rsidRPr="008C62A9">
          <w:rPr>
            <w:rFonts w:ascii="Arial" w:hAnsi="Arial" w:cs="Arial"/>
            <w:sz w:val="20"/>
            <w:szCs w:val="20"/>
          </w:rPr>
          <w:t>Emberson</w:t>
        </w:r>
        <w:proofErr w:type="spellEnd"/>
        <w:r w:rsidR="00661E20" w:rsidRPr="008C62A9">
          <w:rPr>
            <w:rFonts w:ascii="Arial" w:hAnsi="Arial" w:cs="Arial"/>
            <w:sz w:val="20"/>
            <w:szCs w:val="20"/>
          </w:rPr>
          <w:t xml:space="preserve"> J, Blackwell L, et al. Efficacy and safety of LDL-lowering therapy among men and women: meta-analysis of individual data from 174,000 participants in 27 randomised trials. Lancet. 2015;385: 1397–1405.</w:t>
        </w:r>
      </w:hyperlink>
    </w:p>
    <w:p w14:paraId="03540F66" w14:textId="77777777" w:rsidR="00661E20" w:rsidRPr="008C62A9" w:rsidRDefault="00F1052A" w:rsidP="00661E20">
      <w:pPr>
        <w:spacing w:after="220" w:line="240" w:lineRule="auto"/>
        <w:ind w:hanging="440"/>
        <w:rPr>
          <w:rFonts w:ascii="Arial" w:hAnsi="Arial" w:cs="Arial"/>
          <w:sz w:val="20"/>
          <w:szCs w:val="20"/>
        </w:rPr>
      </w:pPr>
      <w:hyperlink r:id="rId115" w:history="1">
        <w:r w:rsidR="00661E20" w:rsidRPr="008C62A9">
          <w:rPr>
            <w:rFonts w:ascii="Arial" w:hAnsi="Arial" w:cs="Arial"/>
            <w:sz w:val="20"/>
            <w:szCs w:val="20"/>
          </w:rPr>
          <w:t xml:space="preserve">21. </w:t>
        </w:r>
        <w:r w:rsidR="00661E20" w:rsidRPr="008C62A9">
          <w:rPr>
            <w:rFonts w:ascii="Arial" w:hAnsi="Arial" w:cs="Arial"/>
            <w:sz w:val="20"/>
            <w:szCs w:val="20"/>
          </w:rPr>
          <w:tab/>
        </w:r>
      </w:hyperlink>
      <w:hyperlink r:id="rId116" w:history="1">
        <w:r w:rsidR="00661E20" w:rsidRPr="008C62A9">
          <w:rPr>
            <w:rFonts w:ascii="Arial" w:hAnsi="Arial" w:cs="Arial"/>
            <w:sz w:val="20"/>
            <w:szCs w:val="20"/>
          </w:rPr>
          <w:t xml:space="preserve">Faludi AA, </w:t>
        </w:r>
        <w:proofErr w:type="spellStart"/>
        <w:r w:rsidR="00661E20" w:rsidRPr="008C62A9">
          <w:rPr>
            <w:rFonts w:ascii="Arial" w:hAnsi="Arial" w:cs="Arial"/>
            <w:sz w:val="20"/>
            <w:szCs w:val="20"/>
          </w:rPr>
          <w:t>Izar</w:t>
        </w:r>
        <w:proofErr w:type="spellEnd"/>
        <w:r w:rsidR="00661E20" w:rsidRPr="008C62A9">
          <w:rPr>
            <w:rFonts w:ascii="Arial" w:hAnsi="Arial" w:cs="Arial"/>
            <w:sz w:val="20"/>
            <w:szCs w:val="20"/>
          </w:rPr>
          <w:t xml:space="preserve"> M, Saraiva J, </w:t>
        </w:r>
        <w:proofErr w:type="spellStart"/>
        <w:r w:rsidR="00661E20" w:rsidRPr="008C62A9">
          <w:rPr>
            <w:rFonts w:ascii="Arial" w:hAnsi="Arial" w:cs="Arial"/>
            <w:sz w:val="20"/>
            <w:szCs w:val="20"/>
          </w:rPr>
          <w:t>Chacra</w:t>
        </w:r>
        <w:proofErr w:type="spellEnd"/>
        <w:r w:rsidR="00661E20" w:rsidRPr="008C62A9">
          <w:rPr>
            <w:rFonts w:ascii="Arial" w:hAnsi="Arial" w:cs="Arial"/>
            <w:sz w:val="20"/>
            <w:szCs w:val="20"/>
          </w:rPr>
          <w:t xml:space="preserve"> A, Bianco HT, </w:t>
        </w:r>
        <w:proofErr w:type="spellStart"/>
        <w:r w:rsidR="00661E20" w:rsidRPr="008C62A9">
          <w:rPr>
            <w:rFonts w:ascii="Arial" w:hAnsi="Arial" w:cs="Arial"/>
            <w:sz w:val="20"/>
            <w:szCs w:val="20"/>
          </w:rPr>
          <w:t>Afiune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Neto</w:t>
        </w:r>
        <w:proofErr w:type="spellEnd"/>
        <w:r w:rsidR="00661E20" w:rsidRPr="008C62A9">
          <w:rPr>
            <w:rFonts w:ascii="Arial" w:hAnsi="Arial" w:cs="Arial"/>
            <w:sz w:val="20"/>
            <w:szCs w:val="20"/>
          </w:rPr>
          <w:t xml:space="preserve"> A, et al. ATUALIZAÇÃO DA DIRETRIZ BRASILEIRA DE DISLIPIDEMIAS E PREVENÇÃO DA ATEROSCLEROSE - 2017. </w:t>
        </w:r>
        <w:proofErr w:type="spellStart"/>
        <w:r w:rsidR="00661E20" w:rsidRPr="008C62A9">
          <w:rPr>
            <w:rFonts w:ascii="Arial" w:hAnsi="Arial" w:cs="Arial"/>
            <w:sz w:val="20"/>
            <w:szCs w:val="20"/>
          </w:rPr>
          <w:t>Arq</w:t>
        </w:r>
        <w:proofErr w:type="spellEnd"/>
        <w:r w:rsidR="00661E20" w:rsidRPr="008C62A9">
          <w:rPr>
            <w:rFonts w:ascii="Arial" w:hAnsi="Arial" w:cs="Arial"/>
            <w:sz w:val="20"/>
            <w:szCs w:val="20"/>
          </w:rPr>
          <w:t xml:space="preserve"> Bras </w:t>
        </w:r>
        <w:proofErr w:type="spellStart"/>
        <w:r w:rsidR="00661E20" w:rsidRPr="008C62A9">
          <w:rPr>
            <w:rFonts w:ascii="Arial" w:hAnsi="Arial" w:cs="Arial"/>
            <w:sz w:val="20"/>
            <w:szCs w:val="20"/>
          </w:rPr>
          <w:t>Cardiol</w:t>
        </w:r>
        <w:proofErr w:type="spellEnd"/>
        <w:r w:rsidR="00661E20" w:rsidRPr="008C62A9">
          <w:rPr>
            <w:rFonts w:ascii="Arial" w:hAnsi="Arial" w:cs="Arial"/>
            <w:sz w:val="20"/>
            <w:szCs w:val="20"/>
          </w:rPr>
          <w:t>. 2017;109. doi:</w:t>
        </w:r>
      </w:hyperlink>
      <w:hyperlink r:id="rId117" w:history="1">
        <w:r w:rsidR="00661E20" w:rsidRPr="008C62A9">
          <w:rPr>
            <w:rFonts w:ascii="Arial" w:hAnsi="Arial" w:cs="Arial"/>
            <w:sz w:val="20"/>
            <w:szCs w:val="20"/>
          </w:rPr>
          <w:t>10.5935/abc.20170121</w:t>
        </w:r>
      </w:hyperlink>
    </w:p>
    <w:p w14:paraId="4ADF603F" w14:textId="77777777" w:rsidR="00661E20" w:rsidRPr="008C62A9" w:rsidRDefault="00F1052A" w:rsidP="00661E20">
      <w:pPr>
        <w:spacing w:after="220" w:line="240" w:lineRule="auto"/>
        <w:ind w:hanging="440"/>
        <w:rPr>
          <w:rFonts w:ascii="Arial" w:hAnsi="Arial" w:cs="Arial"/>
          <w:sz w:val="20"/>
          <w:szCs w:val="20"/>
        </w:rPr>
      </w:pPr>
      <w:hyperlink r:id="rId118" w:history="1">
        <w:r w:rsidR="00661E20" w:rsidRPr="008C62A9">
          <w:rPr>
            <w:rFonts w:ascii="Arial" w:hAnsi="Arial" w:cs="Arial"/>
            <w:sz w:val="20"/>
            <w:szCs w:val="20"/>
          </w:rPr>
          <w:t xml:space="preserve">22. </w:t>
        </w:r>
        <w:r w:rsidR="00661E20" w:rsidRPr="008C62A9">
          <w:rPr>
            <w:rFonts w:ascii="Arial" w:hAnsi="Arial" w:cs="Arial"/>
            <w:sz w:val="20"/>
            <w:szCs w:val="20"/>
          </w:rPr>
          <w:tab/>
        </w:r>
      </w:hyperlink>
      <w:hyperlink r:id="rId119" w:history="1">
        <w:r w:rsidR="00661E20" w:rsidRPr="008C62A9">
          <w:rPr>
            <w:rFonts w:ascii="Arial" w:hAnsi="Arial" w:cs="Arial"/>
            <w:sz w:val="20"/>
            <w:szCs w:val="20"/>
          </w:rPr>
          <w:t>da Saude BM. Portaria SMS n</w:t>
        </w:r>
        <w:r w:rsidR="00661E20" w:rsidRPr="008C62A9">
          <w:rPr>
            <w:rFonts w:ascii="Arial" w:hAnsi="Arial" w:cs="Arial"/>
            <w:sz w:val="20"/>
            <w:szCs w:val="20"/>
            <w:vertAlign w:val="superscript"/>
          </w:rPr>
          <w:t>o</w:t>
        </w:r>
        <w:r w:rsidR="00661E20" w:rsidRPr="008C62A9">
          <w:rPr>
            <w:rFonts w:ascii="Arial" w:hAnsi="Arial" w:cs="Arial"/>
            <w:sz w:val="20"/>
            <w:szCs w:val="20"/>
          </w:rPr>
          <w:t xml:space="preserve"> 200, de 25 de fevereiro 2013. Aprova o Protocolo Clínico e Diretrizes Terapêuticas da Dislipidemia para a prevenção de eventos cardiovasculares e pancreatite. In: http://bvsms.saude.gov.br/bvs/saudelegis [Internet]. Brasil. Ministerio da Saude; 25 Feb 2013 [cited 28 Aug 2017]. Available: </w:t>
        </w:r>
      </w:hyperlink>
      <w:hyperlink r:id="rId120" w:history="1">
        <w:r w:rsidR="00661E20" w:rsidRPr="008C62A9">
          <w:rPr>
            <w:rFonts w:ascii="Arial" w:hAnsi="Arial" w:cs="Arial"/>
            <w:sz w:val="20"/>
            <w:szCs w:val="20"/>
          </w:rPr>
          <w:t>http://bvsms.saude.gov.br/bvs/saudelegis/sas/2013/prt0200_25_02_2013.html</w:t>
        </w:r>
      </w:hyperlink>
    </w:p>
    <w:p w14:paraId="767C2076" w14:textId="77777777" w:rsidR="00661E20" w:rsidRPr="008C62A9" w:rsidRDefault="00F1052A" w:rsidP="00661E20">
      <w:pPr>
        <w:spacing w:after="220" w:line="240" w:lineRule="auto"/>
        <w:ind w:hanging="440"/>
        <w:rPr>
          <w:rFonts w:ascii="Arial" w:hAnsi="Arial" w:cs="Arial"/>
          <w:sz w:val="20"/>
          <w:szCs w:val="20"/>
        </w:rPr>
      </w:pPr>
      <w:hyperlink r:id="rId121" w:history="1">
        <w:r w:rsidR="00661E20" w:rsidRPr="008C62A9">
          <w:rPr>
            <w:rFonts w:ascii="Arial" w:hAnsi="Arial" w:cs="Arial"/>
            <w:sz w:val="20"/>
            <w:szCs w:val="20"/>
          </w:rPr>
          <w:t xml:space="preserve">23. </w:t>
        </w:r>
        <w:r w:rsidR="00661E20" w:rsidRPr="008C62A9">
          <w:rPr>
            <w:rFonts w:ascii="Arial" w:hAnsi="Arial" w:cs="Arial"/>
            <w:sz w:val="20"/>
            <w:szCs w:val="20"/>
          </w:rPr>
          <w:tab/>
        </w:r>
      </w:hyperlink>
      <w:hyperlink r:id="rId122" w:history="1">
        <w:proofErr w:type="spellStart"/>
        <w:r w:rsidR="00661E20" w:rsidRPr="008C62A9">
          <w:rPr>
            <w:rFonts w:ascii="Arial" w:hAnsi="Arial" w:cs="Arial"/>
            <w:sz w:val="20"/>
            <w:szCs w:val="20"/>
          </w:rPr>
          <w:t>Nédó</w:t>
        </w:r>
        <w:proofErr w:type="spellEnd"/>
        <w:r w:rsidR="00661E20" w:rsidRPr="008C62A9">
          <w:rPr>
            <w:rFonts w:ascii="Arial" w:hAnsi="Arial" w:cs="Arial"/>
            <w:sz w:val="20"/>
            <w:szCs w:val="20"/>
          </w:rPr>
          <w:t xml:space="preserve"> E, </w:t>
        </w:r>
        <w:proofErr w:type="spellStart"/>
        <w:r w:rsidR="00661E20" w:rsidRPr="008C62A9">
          <w:rPr>
            <w:rFonts w:ascii="Arial" w:hAnsi="Arial" w:cs="Arial"/>
            <w:sz w:val="20"/>
            <w:szCs w:val="20"/>
          </w:rPr>
          <w:t>Paulik</w:t>
        </w:r>
        <w:proofErr w:type="spellEnd"/>
        <w:r w:rsidR="00661E20" w:rsidRPr="008C62A9">
          <w:rPr>
            <w:rFonts w:ascii="Arial" w:hAnsi="Arial" w:cs="Arial"/>
            <w:sz w:val="20"/>
            <w:szCs w:val="20"/>
          </w:rPr>
          <w:t xml:space="preserve"> E. Association of smoking, physical activity, and dietary habits with socioeconomic variables: a cross-sectional study in adults on both sides of the Hungarian-Romanian border. BMC Public Health. BioMed Central; 2012;12: 60.</w:t>
        </w:r>
      </w:hyperlink>
    </w:p>
    <w:p w14:paraId="12F63BF7" w14:textId="77777777" w:rsidR="00661E20" w:rsidRPr="008C62A9" w:rsidRDefault="00F1052A" w:rsidP="00661E20">
      <w:pPr>
        <w:spacing w:after="220" w:line="240" w:lineRule="auto"/>
        <w:ind w:hanging="440"/>
        <w:rPr>
          <w:rFonts w:ascii="Arial" w:hAnsi="Arial" w:cs="Arial"/>
          <w:sz w:val="20"/>
          <w:szCs w:val="20"/>
        </w:rPr>
      </w:pPr>
      <w:hyperlink r:id="rId123" w:history="1">
        <w:r w:rsidR="00661E20" w:rsidRPr="008C62A9">
          <w:rPr>
            <w:rFonts w:ascii="Arial" w:hAnsi="Arial" w:cs="Arial"/>
            <w:sz w:val="20"/>
            <w:szCs w:val="20"/>
          </w:rPr>
          <w:t xml:space="preserve">24. </w:t>
        </w:r>
        <w:r w:rsidR="00661E20" w:rsidRPr="008C62A9">
          <w:rPr>
            <w:rFonts w:ascii="Arial" w:hAnsi="Arial" w:cs="Arial"/>
            <w:sz w:val="20"/>
            <w:szCs w:val="20"/>
          </w:rPr>
          <w:tab/>
        </w:r>
      </w:hyperlink>
      <w:hyperlink r:id="rId124" w:history="1">
        <w:proofErr w:type="spellStart"/>
        <w:r w:rsidR="00661E20" w:rsidRPr="008C62A9">
          <w:rPr>
            <w:rFonts w:ascii="Arial" w:hAnsi="Arial" w:cs="Arial"/>
            <w:sz w:val="20"/>
            <w:szCs w:val="20"/>
          </w:rPr>
          <w:t>Pampel</w:t>
        </w:r>
        <w:proofErr w:type="spellEnd"/>
        <w:r w:rsidR="00661E20" w:rsidRPr="008C62A9">
          <w:rPr>
            <w:rFonts w:ascii="Arial" w:hAnsi="Arial" w:cs="Arial"/>
            <w:sz w:val="20"/>
            <w:szCs w:val="20"/>
          </w:rPr>
          <w:t xml:space="preserve"> FC, Krueger PM, Denney JT. Socioeconomic Disparities in Health </w:t>
        </w:r>
        <w:proofErr w:type="spellStart"/>
        <w:r w:rsidR="00661E20" w:rsidRPr="008C62A9">
          <w:rPr>
            <w:rFonts w:ascii="Arial" w:hAnsi="Arial" w:cs="Arial"/>
            <w:sz w:val="20"/>
            <w:szCs w:val="20"/>
          </w:rPr>
          <w:t>Behaviors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Annu</w:t>
        </w:r>
        <w:proofErr w:type="spellEnd"/>
        <w:r w:rsidR="00661E20" w:rsidRPr="008C62A9">
          <w:rPr>
            <w:rFonts w:ascii="Arial" w:hAnsi="Arial" w:cs="Arial"/>
            <w:sz w:val="20"/>
            <w:szCs w:val="20"/>
          </w:rPr>
          <w:t xml:space="preserve"> Rev </w:t>
        </w:r>
        <w:proofErr w:type="spellStart"/>
        <w:r w:rsidR="00661E20" w:rsidRPr="008C62A9">
          <w:rPr>
            <w:rFonts w:ascii="Arial" w:hAnsi="Arial" w:cs="Arial"/>
            <w:sz w:val="20"/>
            <w:szCs w:val="20"/>
          </w:rPr>
          <w:t>Sociol</w:t>
        </w:r>
        <w:proofErr w:type="spellEnd"/>
        <w:r w:rsidR="00661E20" w:rsidRPr="008C62A9">
          <w:rPr>
            <w:rFonts w:ascii="Arial" w:hAnsi="Arial" w:cs="Arial"/>
            <w:sz w:val="20"/>
            <w:szCs w:val="20"/>
          </w:rPr>
          <w:t>. NIH Public Access; 2010;36: 349.</w:t>
        </w:r>
      </w:hyperlink>
    </w:p>
    <w:p w14:paraId="0B673831" w14:textId="77777777" w:rsidR="00661E20" w:rsidRPr="008C62A9" w:rsidRDefault="00F1052A" w:rsidP="00661E20">
      <w:pPr>
        <w:spacing w:after="220" w:line="240" w:lineRule="auto"/>
        <w:ind w:hanging="440"/>
        <w:rPr>
          <w:rFonts w:ascii="Arial" w:hAnsi="Arial" w:cs="Arial"/>
          <w:sz w:val="20"/>
          <w:szCs w:val="20"/>
        </w:rPr>
      </w:pPr>
      <w:hyperlink r:id="rId125" w:history="1">
        <w:r w:rsidR="00661E20" w:rsidRPr="008C62A9">
          <w:rPr>
            <w:rFonts w:ascii="Arial" w:hAnsi="Arial" w:cs="Arial"/>
            <w:sz w:val="20"/>
            <w:szCs w:val="20"/>
          </w:rPr>
          <w:t xml:space="preserve">25. </w:t>
        </w:r>
        <w:r w:rsidR="00661E20" w:rsidRPr="008C62A9">
          <w:rPr>
            <w:rFonts w:ascii="Arial" w:hAnsi="Arial" w:cs="Arial"/>
            <w:sz w:val="20"/>
            <w:szCs w:val="20"/>
          </w:rPr>
          <w:tab/>
        </w:r>
      </w:hyperlink>
      <w:hyperlink r:id="rId126" w:history="1">
        <w:r w:rsidR="00661E20" w:rsidRPr="008C62A9">
          <w:rPr>
            <w:rFonts w:ascii="Arial" w:hAnsi="Arial" w:cs="Arial"/>
            <w:sz w:val="20"/>
            <w:szCs w:val="20"/>
          </w:rPr>
          <w:t xml:space="preserve">Weng T-C, Yang Y-HK, Lin S-J, Tai S-H. A systematic review and meta-analysis on the therapeutic equivalence of statins. J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Pharm </w:t>
        </w:r>
        <w:proofErr w:type="spellStart"/>
        <w:r w:rsidR="00661E20" w:rsidRPr="008C62A9">
          <w:rPr>
            <w:rFonts w:ascii="Arial" w:hAnsi="Arial" w:cs="Arial"/>
            <w:sz w:val="20"/>
            <w:szCs w:val="20"/>
          </w:rPr>
          <w:t>Ther</w:t>
        </w:r>
        <w:proofErr w:type="spellEnd"/>
        <w:r w:rsidR="00661E20" w:rsidRPr="008C62A9">
          <w:rPr>
            <w:rFonts w:ascii="Arial" w:hAnsi="Arial" w:cs="Arial"/>
            <w:sz w:val="20"/>
            <w:szCs w:val="20"/>
          </w:rPr>
          <w:t>. 2010;35: 139–151.</w:t>
        </w:r>
      </w:hyperlink>
    </w:p>
    <w:p w14:paraId="11E371E4" w14:textId="77777777" w:rsidR="00661E20" w:rsidRPr="008C62A9" w:rsidRDefault="00F1052A" w:rsidP="00661E20">
      <w:pPr>
        <w:spacing w:after="220" w:line="240" w:lineRule="auto"/>
        <w:ind w:hanging="440"/>
        <w:rPr>
          <w:rFonts w:ascii="Arial" w:hAnsi="Arial" w:cs="Arial"/>
          <w:sz w:val="20"/>
          <w:szCs w:val="20"/>
        </w:rPr>
      </w:pPr>
      <w:hyperlink r:id="rId127" w:history="1">
        <w:r w:rsidR="00661E20" w:rsidRPr="008C62A9">
          <w:rPr>
            <w:rFonts w:ascii="Arial" w:hAnsi="Arial" w:cs="Arial"/>
            <w:sz w:val="20"/>
            <w:szCs w:val="20"/>
          </w:rPr>
          <w:t xml:space="preserve">26. </w:t>
        </w:r>
        <w:r w:rsidR="00661E20" w:rsidRPr="008C62A9">
          <w:rPr>
            <w:rFonts w:ascii="Arial" w:hAnsi="Arial" w:cs="Arial"/>
            <w:sz w:val="20"/>
            <w:szCs w:val="20"/>
          </w:rPr>
          <w:tab/>
        </w:r>
      </w:hyperlink>
      <w:hyperlink r:id="rId128" w:history="1">
        <w:proofErr w:type="spellStart"/>
        <w:r w:rsidR="00661E20" w:rsidRPr="008C62A9">
          <w:rPr>
            <w:rFonts w:ascii="Arial" w:hAnsi="Arial" w:cs="Arial"/>
            <w:sz w:val="20"/>
            <w:szCs w:val="20"/>
          </w:rPr>
          <w:t>DiNicolantonio</w:t>
        </w:r>
        <w:proofErr w:type="spellEnd"/>
        <w:r w:rsidR="00661E20" w:rsidRPr="008C62A9">
          <w:rPr>
            <w:rFonts w:ascii="Arial" w:hAnsi="Arial" w:cs="Arial"/>
            <w:sz w:val="20"/>
            <w:szCs w:val="20"/>
          </w:rPr>
          <w:t xml:space="preserve"> JJ, </w:t>
        </w:r>
        <w:proofErr w:type="spellStart"/>
        <w:r w:rsidR="00661E20" w:rsidRPr="008C62A9">
          <w:rPr>
            <w:rFonts w:ascii="Arial" w:hAnsi="Arial" w:cs="Arial"/>
            <w:sz w:val="20"/>
            <w:szCs w:val="20"/>
          </w:rPr>
          <w:t>Lavie</w:t>
        </w:r>
        <w:proofErr w:type="spellEnd"/>
        <w:r w:rsidR="00661E20" w:rsidRPr="008C62A9">
          <w:rPr>
            <w:rFonts w:ascii="Arial" w:hAnsi="Arial" w:cs="Arial"/>
            <w:sz w:val="20"/>
            <w:szCs w:val="20"/>
          </w:rPr>
          <w:t xml:space="preserve"> CJ, </w:t>
        </w:r>
        <w:proofErr w:type="spellStart"/>
        <w:r w:rsidR="00661E20" w:rsidRPr="008C62A9">
          <w:rPr>
            <w:rFonts w:ascii="Arial" w:hAnsi="Arial" w:cs="Arial"/>
            <w:sz w:val="20"/>
            <w:szCs w:val="20"/>
          </w:rPr>
          <w:t>Serebruany</w:t>
        </w:r>
        <w:proofErr w:type="spellEnd"/>
        <w:r w:rsidR="00661E20" w:rsidRPr="008C62A9">
          <w:rPr>
            <w:rFonts w:ascii="Arial" w:hAnsi="Arial" w:cs="Arial"/>
            <w:sz w:val="20"/>
            <w:szCs w:val="20"/>
          </w:rPr>
          <w:t xml:space="preserve"> VL, O’Keefe JH. Statin Wars: The Heavyweight Match-Atorvastatin versus Rosuvastatin for the Treatment of Atherosclerosis, Heart Failure, and Chronic Kidney Disease. Postgrad Med. 2013;125: 7–16.</w:t>
        </w:r>
      </w:hyperlink>
    </w:p>
    <w:p w14:paraId="5D94F33F" w14:textId="77777777" w:rsidR="00661E20" w:rsidRPr="008C62A9" w:rsidRDefault="00F1052A" w:rsidP="00661E20">
      <w:pPr>
        <w:spacing w:after="220" w:line="240" w:lineRule="auto"/>
        <w:ind w:hanging="440"/>
        <w:rPr>
          <w:rFonts w:ascii="Arial" w:hAnsi="Arial" w:cs="Arial"/>
          <w:sz w:val="20"/>
          <w:szCs w:val="20"/>
        </w:rPr>
      </w:pPr>
      <w:hyperlink r:id="rId129" w:history="1">
        <w:r w:rsidR="00661E20" w:rsidRPr="008C62A9">
          <w:rPr>
            <w:rFonts w:ascii="Arial" w:hAnsi="Arial" w:cs="Arial"/>
            <w:sz w:val="20"/>
            <w:szCs w:val="20"/>
          </w:rPr>
          <w:t xml:space="preserve">27. </w:t>
        </w:r>
        <w:r w:rsidR="00661E20" w:rsidRPr="008C62A9">
          <w:rPr>
            <w:rFonts w:ascii="Arial" w:hAnsi="Arial" w:cs="Arial"/>
            <w:sz w:val="20"/>
            <w:szCs w:val="20"/>
          </w:rPr>
          <w:tab/>
        </w:r>
      </w:hyperlink>
      <w:hyperlink r:id="rId130" w:history="1">
        <w:r w:rsidR="00661E20" w:rsidRPr="008C62A9">
          <w:rPr>
            <w:rFonts w:ascii="Arial" w:hAnsi="Arial" w:cs="Arial"/>
            <w:sz w:val="20"/>
            <w:szCs w:val="20"/>
          </w:rPr>
          <w:t xml:space="preserve">Godman B, Shrank W, Andersen M, Berg C, Bishop I, Burkhardt T, et al. Comparing policies to enhance prescribing efficiency in Europe through increasing generic utilization: changes seen and global implications. Expert Rev </w:t>
        </w:r>
        <w:proofErr w:type="spellStart"/>
        <w:r w:rsidR="00661E20" w:rsidRPr="008C62A9">
          <w:rPr>
            <w:rFonts w:ascii="Arial" w:hAnsi="Arial" w:cs="Arial"/>
            <w:sz w:val="20"/>
            <w:szCs w:val="20"/>
          </w:rPr>
          <w:t>Pharmacoecon</w:t>
        </w:r>
        <w:proofErr w:type="spellEnd"/>
        <w:r w:rsidR="00661E20" w:rsidRPr="008C62A9">
          <w:rPr>
            <w:rFonts w:ascii="Arial" w:hAnsi="Arial" w:cs="Arial"/>
            <w:sz w:val="20"/>
            <w:szCs w:val="20"/>
          </w:rPr>
          <w:t xml:space="preserve"> Outcomes Res. 2010;10: 707–722.</w:t>
        </w:r>
      </w:hyperlink>
    </w:p>
    <w:p w14:paraId="3644934D" w14:textId="77777777" w:rsidR="00661E20" w:rsidRPr="008C62A9" w:rsidRDefault="00F1052A" w:rsidP="00661E20">
      <w:pPr>
        <w:spacing w:after="220" w:line="240" w:lineRule="auto"/>
        <w:ind w:hanging="440"/>
        <w:rPr>
          <w:rFonts w:ascii="Arial" w:hAnsi="Arial" w:cs="Arial"/>
          <w:sz w:val="20"/>
          <w:szCs w:val="20"/>
        </w:rPr>
      </w:pPr>
      <w:hyperlink r:id="rId131" w:history="1">
        <w:r w:rsidR="00661E20" w:rsidRPr="008C62A9">
          <w:rPr>
            <w:rFonts w:ascii="Arial" w:hAnsi="Arial" w:cs="Arial"/>
            <w:sz w:val="20"/>
            <w:szCs w:val="20"/>
          </w:rPr>
          <w:t xml:space="preserve">28. </w:t>
        </w:r>
        <w:r w:rsidR="00661E20" w:rsidRPr="008C62A9">
          <w:rPr>
            <w:rFonts w:ascii="Arial" w:hAnsi="Arial" w:cs="Arial"/>
            <w:sz w:val="20"/>
            <w:szCs w:val="20"/>
          </w:rPr>
          <w:tab/>
        </w:r>
      </w:hyperlink>
      <w:hyperlink r:id="rId132" w:history="1">
        <w:r w:rsidR="00661E20" w:rsidRPr="008C62A9">
          <w:rPr>
            <w:rFonts w:ascii="Arial" w:hAnsi="Arial" w:cs="Arial"/>
            <w:sz w:val="20"/>
            <w:szCs w:val="20"/>
          </w:rPr>
          <w:t xml:space="preserve">Godman B, Burkhardt T, </w:t>
        </w:r>
        <w:proofErr w:type="spellStart"/>
        <w:r w:rsidR="00661E20" w:rsidRPr="008C62A9">
          <w:rPr>
            <w:rFonts w:ascii="Arial" w:hAnsi="Arial" w:cs="Arial"/>
            <w:sz w:val="20"/>
            <w:szCs w:val="20"/>
          </w:rPr>
          <w:t>Bucsics</w:t>
        </w:r>
        <w:proofErr w:type="spellEnd"/>
        <w:r w:rsidR="00661E20" w:rsidRPr="008C62A9">
          <w:rPr>
            <w:rFonts w:ascii="Arial" w:hAnsi="Arial" w:cs="Arial"/>
            <w:sz w:val="20"/>
            <w:szCs w:val="20"/>
          </w:rPr>
          <w:t xml:space="preserve"> A, </w:t>
        </w:r>
        <w:proofErr w:type="spellStart"/>
        <w:r w:rsidR="00661E20" w:rsidRPr="008C62A9">
          <w:rPr>
            <w:rFonts w:ascii="Arial" w:hAnsi="Arial" w:cs="Arial"/>
            <w:sz w:val="20"/>
            <w:szCs w:val="20"/>
          </w:rPr>
          <w:t>Wettermark</w:t>
        </w:r>
        <w:proofErr w:type="spellEnd"/>
        <w:r w:rsidR="00661E20" w:rsidRPr="008C62A9">
          <w:rPr>
            <w:rFonts w:ascii="Arial" w:hAnsi="Arial" w:cs="Arial"/>
            <w:sz w:val="20"/>
            <w:szCs w:val="20"/>
          </w:rPr>
          <w:t xml:space="preserve"> B, </w:t>
        </w:r>
        <w:proofErr w:type="spellStart"/>
        <w:r w:rsidR="00661E20" w:rsidRPr="008C62A9">
          <w:rPr>
            <w:rFonts w:ascii="Arial" w:hAnsi="Arial" w:cs="Arial"/>
            <w:sz w:val="20"/>
            <w:szCs w:val="20"/>
          </w:rPr>
          <w:t>Wieninger</w:t>
        </w:r>
        <w:proofErr w:type="spellEnd"/>
        <w:r w:rsidR="00661E20" w:rsidRPr="008C62A9">
          <w:rPr>
            <w:rFonts w:ascii="Arial" w:hAnsi="Arial" w:cs="Arial"/>
            <w:sz w:val="20"/>
            <w:szCs w:val="20"/>
          </w:rPr>
          <w:t xml:space="preserve"> P. Impact of recent reforms in Austria on utilization and expenditure of PPIs and lipid-lowering drugs: implications for the future. Expert Rev </w:t>
        </w:r>
        <w:proofErr w:type="spellStart"/>
        <w:r w:rsidR="00661E20" w:rsidRPr="008C62A9">
          <w:rPr>
            <w:rFonts w:ascii="Arial" w:hAnsi="Arial" w:cs="Arial"/>
            <w:sz w:val="20"/>
            <w:szCs w:val="20"/>
          </w:rPr>
          <w:t>Pharmacoecon</w:t>
        </w:r>
        <w:proofErr w:type="spellEnd"/>
        <w:r w:rsidR="00661E20" w:rsidRPr="008C62A9">
          <w:rPr>
            <w:rFonts w:ascii="Arial" w:hAnsi="Arial" w:cs="Arial"/>
            <w:sz w:val="20"/>
            <w:szCs w:val="20"/>
          </w:rPr>
          <w:t xml:space="preserve"> Outcomes Res. 2009;9: 475–484.</w:t>
        </w:r>
      </w:hyperlink>
    </w:p>
    <w:p w14:paraId="7FD3BB86" w14:textId="77777777" w:rsidR="00661E20" w:rsidRPr="008C62A9" w:rsidRDefault="00F1052A" w:rsidP="00661E20">
      <w:pPr>
        <w:spacing w:after="220" w:line="240" w:lineRule="auto"/>
        <w:ind w:hanging="440"/>
        <w:rPr>
          <w:rFonts w:ascii="Arial" w:hAnsi="Arial" w:cs="Arial"/>
          <w:sz w:val="20"/>
          <w:szCs w:val="20"/>
        </w:rPr>
      </w:pPr>
      <w:hyperlink r:id="rId133" w:history="1">
        <w:r w:rsidR="00661E20" w:rsidRPr="008C62A9">
          <w:rPr>
            <w:rFonts w:ascii="Arial" w:hAnsi="Arial" w:cs="Arial"/>
            <w:sz w:val="20"/>
            <w:szCs w:val="20"/>
          </w:rPr>
          <w:t xml:space="preserve">29. </w:t>
        </w:r>
        <w:r w:rsidR="00661E20" w:rsidRPr="008C62A9">
          <w:rPr>
            <w:rFonts w:ascii="Arial" w:hAnsi="Arial" w:cs="Arial"/>
            <w:sz w:val="20"/>
            <w:szCs w:val="20"/>
          </w:rPr>
          <w:tab/>
        </w:r>
      </w:hyperlink>
      <w:hyperlink r:id="rId134" w:history="1">
        <w:proofErr w:type="spellStart"/>
        <w:r w:rsidR="00661E20" w:rsidRPr="008C62A9">
          <w:rPr>
            <w:rFonts w:ascii="Arial" w:hAnsi="Arial" w:cs="Arial"/>
            <w:sz w:val="20"/>
            <w:szCs w:val="20"/>
          </w:rPr>
          <w:t>Sakshaug</w:t>
        </w:r>
        <w:proofErr w:type="spellEnd"/>
        <w:r w:rsidR="00661E20" w:rsidRPr="008C62A9">
          <w:rPr>
            <w:rFonts w:ascii="Arial" w:hAnsi="Arial" w:cs="Arial"/>
            <w:sz w:val="20"/>
            <w:szCs w:val="20"/>
          </w:rPr>
          <w:t xml:space="preserve"> S, </w:t>
        </w:r>
        <w:proofErr w:type="spellStart"/>
        <w:r w:rsidR="00661E20" w:rsidRPr="008C62A9">
          <w:rPr>
            <w:rFonts w:ascii="Arial" w:hAnsi="Arial" w:cs="Arial"/>
            <w:sz w:val="20"/>
            <w:szCs w:val="20"/>
          </w:rPr>
          <w:t>Furu</w:t>
        </w:r>
        <w:proofErr w:type="spellEnd"/>
        <w:r w:rsidR="00661E20" w:rsidRPr="008C62A9">
          <w:rPr>
            <w:rFonts w:ascii="Arial" w:hAnsi="Arial" w:cs="Arial"/>
            <w:sz w:val="20"/>
            <w:szCs w:val="20"/>
          </w:rPr>
          <w:t xml:space="preserve"> K, Karlstad Ø, </w:t>
        </w:r>
        <w:proofErr w:type="spellStart"/>
        <w:r w:rsidR="00661E20" w:rsidRPr="008C62A9">
          <w:rPr>
            <w:rFonts w:ascii="Arial" w:hAnsi="Arial" w:cs="Arial"/>
            <w:sz w:val="20"/>
            <w:szCs w:val="20"/>
          </w:rPr>
          <w:t>Rønning</w:t>
        </w:r>
        <w:proofErr w:type="spellEnd"/>
        <w:r w:rsidR="00661E20" w:rsidRPr="008C62A9">
          <w:rPr>
            <w:rFonts w:ascii="Arial" w:hAnsi="Arial" w:cs="Arial"/>
            <w:sz w:val="20"/>
            <w:szCs w:val="20"/>
          </w:rPr>
          <w:t xml:space="preserve"> M, </w:t>
        </w:r>
        <w:proofErr w:type="spellStart"/>
        <w:r w:rsidR="00661E20" w:rsidRPr="008C62A9">
          <w:rPr>
            <w:rFonts w:ascii="Arial" w:hAnsi="Arial" w:cs="Arial"/>
            <w:sz w:val="20"/>
            <w:szCs w:val="20"/>
          </w:rPr>
          <w:t>Skurtveit</w:t>
        </w:r>
        <w:proofErr w:type="spellEnd"/>
        <w:r w:rsidR="00661E20" w:rsidRPr="008C62A9">
          <w:rPr>
            <w:rFonts w:ascii="Arial" w:hAnsi="Arial" w:cs="Arial"/>
            <w:sz w:val="20"/>
            <w:szCs w:val="20"/>
          </w:rPr>
          <w:t xml:space="preserve"> S. Switching statins in Norway after new reimbursement policy: a nationwide prescription study. Br J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Pharmacol</w:t>
        </w:r>
        <w:proofErr w:type="spellEnd"/>
        <w:r w:rsidR="00661E20" w:rsidRPr="008C62A9">
          <w:rPr>
            <w:rFonts w:ascii="Arial" w:hAnsi="Arial" w:cs="Arial"/>
            <w:sz w:val="20"/>
            <w:szCs w:val="20"/>
          </w:rPr>
          <w:t>. 2007;64: 476–481.</w:t>
        </w:r>
      </w:hyperlink>
    </w:p>
    <w:p w14:paraId="78CDF99D" w14:textId="77777777" w:rsidR="00661E20" w:rsidRPr="008C62A9" w:rsidRDefault="00F1052A" w:rsidP="00661E20">
      <w:pPr>
        <w:spacing w:after="220" w:line="240" w:lineRule="auto"/>
        <w:ind w:hanging="440"/>
        <w:rPr>
          <w:rFonts w:ascii="Arial" w:hAnsi="Arial" w:cs="Arial"/>
          <w:sz w:val="20"/>
          <w:szCs w:val="20"/>
        </w:rPr>
      </w:pPr>
      <w:hyperlink r:id="rId135" w:history="1">
        <w:r w:rsidR="00661E20" w:rsidRPr="008C62A9">
          <w:rPr>
            <w:rFonts w:ascii="Arial" w:hAnsi="Arial" w:cs="Arial"/>
            <w:sz w:val="20"/>
            <w:szCs w:val="20"/>
          </w:rPr>
          <w:t xml:space="preserve">30. </w:t>
        </w:r>
        <w:r w:rsidR="00661E20" w:rsidRPr="008C62A9">
          <w:rPr>
            <w:rFonts w:ascii="Arial" w:hAnsi="Arial" w:cs="Arial"/>
            <w:sz w:val="20"/>
            <w:szCs w:val="20"/>
          </w:rPr>
          <w:tab/>
        </w:r>
      </w:hyperlink>
      <w:hyperlink r:id="rId136" w:history="1">
        <w:r w:rsidR="00661E20" w:rsidRPr="008C62A9">
          <w:rPr>
            <w:rFonts w:ascii="Arial" w:hAnsi="Arial" w:cs="Arial"/>
            <w:sz w:val="20"/>
            <w:szCs w:val="20"/>
          </w:rPr>
          <w:t xml:space="preserve">Bennie M, Godman B, Bishop I, Campbell S. Multiple initiatives continue to enhance the prescribing efficiency for the proton pump inhibitors and statins in Scotland. Expert Rev </w:t>
        </w:r>
        <w:proofErr w:type="spellStart"/>
        <w:r w:rsidR="00661E20" w:rsidRPr="008C62A9">
          <w:rPr>
            <w:rFonts w:ascii="Arial" w:hAnsi="Arial" w:cs="Arial"/>
            <w:sz w:val="20"/>
            <w:szCs w:val="20"/>
          </w:rPr>
          <w:t>Pharmacoecon</w:t>
        </w:r>
        <w:proofErr w:type="spellEnd"/>
        <w:r w:rsidR="00661E20" w:rsidRPr="008C62A9">
          <w:rPr>
            <w:rFonts w:ascii="Arial" w:hAnsi="Arial" w:cs="Arial"/>
            <w:sz w:val="20"/>
            <w:szCs w:val="20"/>
          </w:rPr>
          <w:t xml:space="preserve"> Outcomes Res. 2012;12: 125–130.</w:t>
        </w:r>
      </w:hyperlink>
    </w:p>
    <w:p w14:paraId="10EDF8A5" w14:textId="77777777" w:rsidR="00661E20" w:rsidRPr="008C62A9" w:rsidRDefault="00F1052A" w:rsidP="00661E20">
      <w:pPr>
        <w:spacing w:after="220" w:line="240" w:lineRule="auto"/>
        <w:ind w:hanging="440"/>
        <w:rPr>
          <w:rFonts w:ascii="Arial" w:hAnsi="Arial" w:cs="Arial"/>
          <w:sz w:val="20"/>
          <w:szCs w:val="20"/>
        </w:rPr>
      </w:pPr>
      <w:hyperlink r:id="rId137" w:history="1">
        <w:r w:rsidR="00661E20" w:rsidRPr="008C62A9">
          <w:rPr>
            <w:rFonts w:ascii="Arial" w:hAnsi="Arial" w:cs="Arial"/>
            <w:sz w:val="20"/>
            <w:szCs w:val="20"/>
          </w:rPr>
          <w:t xml:space="preserve">31. </w:t>
        </w:r>
        <w:r w:rsidR="00661E20" w:rsidRPr="008C62A9">
          <w:rPr>
            <w:rFonts w:ascii="Arial" w:hAnsi="Arial" w:cs="Arial"/>
            <w:sz w:val="20"/>
            <w:szCs w:val="20"/>
          </w:rPr>
          <w:tab/>
        </w:r>
      </w:hyperlink>
      <w:hyperlink r:id="rId138" w:history="1">
        <w:proofErr w:type="spellStart"/>
        <w:r w:rsidR="00661E20" w:rsidRPr="008C62A9">
          <w:rPr>
            <w:rFonts w:ascii="Arial" w:hAnsi="Arial" w:cs="Arial"/>
            <w:sz w:val="20"/>
            <w:szCs w:val="20"/>
          </w:rPr>
          <w:t>Yamauti</w:t>
        </w:r>
        <w:proofErr w:type="spellEnd"/>
        <w:r w:rsidR="00661E20" w:rsidRPr="008C62A9">
          <w:rPr>
            <w:rFonts w:ascii="Arial" w:hAnsi="Arial" w:cs="Arial"/>
            <w:sz w:val="20"/>
            <w:szCs w:val="20"/>
          </w:rPr>
          <w:t xml:space="preserve"> SM, </w:t>
        </w:r>
        <w:proofErr w:type="spellStart"/>
        <w:r w:rsidR="00661E20" w:rsidRPr="008C62A9">
          <w:rPr>
            <w:rFonts w:ascii="Arial" w:hAnsi="Arial" w:cs="Arial"/>
            <w:sz w:val="20"/>
            <w:szCs w:val="20"/>
          </w:rPr>
          <w:t>Barberato</w:t>
        </w:r>
        <w:proofErr w:type="spellEnd"/>
        <w:r w:rsidR="00661E20" w:rsidRPr="008C62A9">
          <w:rPr>
            <w:rFonts w:ascii="Arial" w:hAnsi="Arial" w:cs="Arial"/>
            <w:sz w:val="20"/>
            <w:szCs w:val="20"/>
          </w:rPr>
          <w:t xml:space="preserve">-Filho S, Lopes LC. </w:t>
        </w:r>
        <w:proofErr w:type="spellStart"/>
        <w:r w:rsidR="00661E20" w:rsidRPr="008C62A9">
          <w:rPr>
            <w:rFonts w:ascii="Arial" w:hAnsi="Arial" w:cs="Arial"/>
            <w:sz w:val="20"/>
            <w:szCs w:val="20"/>
          </w:rPr>
          <w:t>Elenco</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medicamentos</w:t>
        </w:r>
        <w:proofErr w:type="spellEnd"/>
        <w:r w:rsidR="00661E20" w:rsidRPr="008C62A9">
          <w:rPr>
            <w:rFonts w:ascii="Arial" w:hAnsi="Arial" w:cs="Arial"/>
            <w:sz w:val="20"/>
            <w:szCs w:val="20"/>
          </w:rPr>
          <w:t xml:space="preserve"> do </w:t>
        </w:r>
        <w:proofErr w:type="spellStart"/>
        <w:r w:rsidR="00661E20" w:rsidRPr="008C62A9">
          <w:rPr>
            <w:rFonts w:ascii="Arial" w:hAnsi="Arial" w:cs="Arial"/>
            <w:sz w:val="20"/>
            <w:szCs w:val="20"/>
          </w:rPr>
          <w:t>Programa</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Farmácia</w:t>
        </w:r>
        <w:proofErr w:type="spellEnd"/>
        <w:r w:rsidR="00661E20" w:rsidRPr="008C62A9">
          <w:rPr>
            <w:rFonts w:ascii="Arial" w:hAnsi="Arial" w:cs="Arial"/>
            <w:sz w:val="20"/>
            <w:szCs w:val="20"/>
          </w:rPr>
          <w:t xml:space="preserve"> Popular do </w:t>
        </w:r>
        <w:proofErr w:type="spellStart"/>
        <w:r w:rsidR="00661E20" w:rsidRPr="008C62A9">
          <w:rPr>
            <w:rFonts w:ascii="Arial" w:hAnsi="Arial" w:cs="Arial"/>
            <w:sz w:val="20"/>
            <w:szCs w:val="20"/>
          </w:rPr>
          <w:t>Brasil</w:t>
        </w:r>
        <w:proofErr w:type="spellEnd"/>
        <w:r w:rsidR="00661E20" w:rsidRPr="008C62A9">
          <w:rPr>
            <w:rFonts w:ascii="Arial" w:hAnsi="Arial" w:cs="Arial"/>
            <w:sz w:val="20"/>
            <w:szCs w:val="20"/>
          </w:rPr>
          <w:t xml:space="preserve"> e a </w:t>
        </w:r>
        <w:proofErr w:type="spellStart"/>
        <w:r w:rsidR="00661E20" w:rsidRPr="008C62A9">
          <w:rPr>
            <w:rFonts w:ascii="Arial" w:hAnsi="Arial" w:cs="Arial"/>
            <w:sz w:val="20"/>
            <w:szCs w:val="20"/>
          </w:rPr>
          <w:t>Política</w:t>
        </w:r>
        <w:proofErr w:type="spellEnd"/>
        <w:r w:rsidR="00661E20" w:rsidRPr="008C62A9">
          <w:rPr>
            <w:rFonts w:ascii="Arial" w:hAnsi="Arial" w:cs="Arial"/>
            <w:sz w:val="20"/>
            <w:szCs w:val="20"/>
          </w:rPr>
          <w:t xml:space="preserve"> de Nacional </w:t>
        </w:r>
        <w:proofErr w:type="spellStart"/>
        <w:r w:rsidR="00661E20" w:rsidRPr="008C62A9">
          <w:rPr>
            <w:rFonts w:ascii="Arial" w:hAnsi="Arial" w:cs="Arial"/>
            <w:sz w:val="20"/>
            <w:szCs w:val="20"/>
          </w:rPr>
          <w:t>Assistência</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Farmacêutica</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Cadernos</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Saúde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Pública</w:t>
        </w:r>
        <w:proofErr w:type="spellEnd"/>
        <w:r w:rsidR="00661E20" w:rsidRPr="008C62A9">
          <w:rPr>
            <w:rFonts w:ascii="Arial" w:hAnsi="Arial" w:cs="Arial"/>
            <w:sz w:val="20"/>
            <w:szCs w:val="20"/>
          </w:rPr>
          <w:t>. 2015;31: 1648–1662.</w:t>
        </w:r>
      </w:hyperlink>
    </w:p>
    <w:p w14:paraId="1468881E" w14:textId="77777777" w:rsidR="00661E20" w:rsidRPr="008C62A9" w:rsidRDefault="00F1052A" w:rsidP="00661E20">
      <w:pPr>
        <w:spacing w:after="220" w:line="240" w:lineRule="auto"/>
        <w:ind w:hanging="440"/>
        <w:rPr>
          <w:rFonts w:ascii="Arial" w:hAnsi="Arial" w:cs="Arial"/>
          <w:sz w:val="20"/>
          <w:szCs w:val="20"/>
        </w:rPr>
      </w:pPr>
      <w:hyperlink r:id="rId139" w:history="1">
        <w:r w:rsidR="00661E20" w:rsidRPr="008C62A9">
          <w:rPr>
            <w:rFonts w:ascii="Arial" w:hAnsi="Arial" w:cs="Arial"/>
            <w:sz w:val="20"/>
            <w:szCs w:val="20"/>
          </w:rPr>
          <w:t xml:space="preserve">32. </w:t>
        </w:r>
        <w:r w:rsidR="00661E20" w:rsidRPr="008C62A9">
          <w:rPr>
            <w:rFonts w:ascii="Arial" w:hAnsi="Arial" w:cs="Arial"/>
            <w:sz w:val="20"/>
            <w:szCs w:val="20"/>
          </w:rPr>
          <w:tab/>
        </w:r>
      </w:hyperlink>
      <w:hyperlink r:id="rId140" w:history="1">
        <w:r w:rsidR="00661E20" w:rsidRPr="008C62A9">
          <w:rPr>
            <w:rFonts w:ascii="Arial" w:hAnsi="Arial" w:cs="Arial"/>
            <w:sz w:val="20"/>
            <w:szCs w:val="20"/>
          </w:rPr>
          <w:t xml:space="preserve">Ribeiro RA, Duncan BB, </w:t>
        </w:r>
        <w:proofErr w:type="spellStart"/>
        <w:r w:rsidR="00661E20" w:rsidRPr="008C62A9">
          <w:rPr>
            <w:rFonts w:ascii="Arial" w:hAnsi="Arial" w:cs="Arial"/>
            <w:sz w:val="20"/>
            <w:szCs w:val="20"/>
          </w:rPr>
          <w:t>Ziegelmann</w:t>
        </w:r>
        <w:proofErr w:type="spellEnd"/>
        <w:r w:rsidR="00661E20" w:rsidRPr="008C62A9">
          <w:rPr>
            <w:rFonts w:ascii="Arial" w:hAnsi="Arial" w:cs="Arial"/>
            <w:sz w:val="20"/>
            <w:szCs w:val="20"/>
          </w:rPr>
          <w:t xml:space="preserve"> PK, Stella SF, da Costa Vieira JL, </w:t>
        </w:r>
        <w:proofErr w:type="spellStart"/>
        <w:r w:rsidR="00661E20" w:rsidRPr="008C62A9">
          <w:rPr>
            <w:rFonts w:ascii="Arial" w:hAnsi="Arial" w:cs="Arial"/>
            <w:sz w:val="20"/>
            <w:szCs w:val="20"/>
          </w:rPr>
          <w:t>Restelatto</w:t>
        </w:r>
        <w:proofErr w:type="spellEnd"/>
        <w:r w:rsidR="00661E20" w:rsidRPr="008C62A9">
          <w:rPr>
            <w:rFonts w:ascii="Arial" w:hAnsi="Arial" w:cs="Arial"/>
            <w:sz w:val="20"/>
            <w:szCs w:val="20"/>
          </w:rPr>
          <w:t xml:space="preserve"> LMF, et al. Cost-Effectiveness of High, Moderate and Low-Dose Statins in the Prevention of Vascular Events in the Brazilian Public Health System. </w:t>
        </w:r>
        <w:proofErr w:type="spellStart"/>
        <w:r w:rsidR="00661E20" w:rsidRPr="008C62A9">
          <w:rPr>
            <w:rFonts w:ascii="Arial" w:hAnsi="Arial" w:cs="Arial"/>
            <w:sz w:val="20"/>
            <w:szCs w:val="20"/>
          </w:rPr>
          <w:t>Arq</w:t>
        </w:r>
        <w:proofErr w:type="spellEnd"/>
        <w:r w:rsidR="00661E20" w:rsidRPr="008C62A9">
          <w:rPr>
            <w:rFonts w:ascii="Arial" w:hAnsi="Arial" w:cs="Arial"/>
            <w:sz w:val="20"/>
            <w:szCs w:val="20"/>
          </w:rPr>
          <w:t xml:space="preserve"> Bras </w:t>
        </w:r>
        <w:proofErr w:type="spellStart"/>
        <w:r w:rsidR="00661E20" w:rsidRPr="008C62A9">
          <w:rPr>
            <w:rFonts w:ascii="Arial" w:hAnsi="Arial" w:cs="Arial"/>
            <w:sz w:val="20"/>
            <w:szCs w:val="20"/>
          </w:rPr>
          <w:t>Cardiol</w:t>
        </w:r>
        <w:proofErr w:type="spellEnd"/>
        <w:r w:rsidR="00661E20" w:rsidRPr="008C62A9">
          <w:rPr>
            <w:rFonts w:ascii="Arial" w:hAnsi="Arial" w:cs="Arial"/>
            <w:sz w:val="20"/>
            <w:szCs w:val="20"/>
          </w:rPr>
          <w:t>. 2014; doi:</w:t>
        </w:r>
      </w:hyperlink>
      <w:hyperlink r:id="rId141" w:history="1">
        <w:r w:rsidR="00661E20" w:rsidRPr="008C62A9">
          <w:rPr>
            <w:rFonts w:ascii="Arial" w:hAnsi="Arial" w:cs="Arial"/>
            <w:sz w:val="20"/>
            <w:szCs w:val="20"/>
          </w:rPr>
          <w:t>10.5935/abc.20140173</w:t>
        </w:r>
      </w:hyperlink>
    </w:p>
    <w:p w14:paraId="093AA6E4" w14:textId="77777777" w:rsidR="00661E20" w:rsidRPr="008C62A9" w:rsidRDefault="00F1052A" w:rsidP="00661E20">
      <w:pPr>
        <w:spacing w:after="220" w:line="240" w:lineRule="auto"/>
        <w:ind w:hanging="440"/>
        <w:rPr>
          <w:rFonts w:ascii="Arial" w:hAnsi="Arial" w:cs="Arial"/>
          <w:sz w:val="20"/>
          <w:szCs w:val="20"/>
        </w:rPr>
      </w:pPr>
      <w:hyperlink r:id="rId142" w:history="1">
        <w:r w:rsidR="00661E20" w:rsidRPr="008C62A9">
          <w:rPr>
            <w:rFonts w:ascii="Arial" w:hAnsi="Arial" w:cs="Arial"/>
            <w:sz w:val="20"/>
            <w:szCs w:val="20"/>
          </w:rPr>
          <w:t xml:space="preserve">33. </w:t>
        </w:r>
        <w:r w:rsidR="00661E20" w:rsidRPr="008C62A9">
          <w:rPr>
            <w:rFonts w:ascii="Arial" w:hAnsi="Arial" w:cs="Arial"/>
            <w:sz w:val="20"/>
            <w:szCs w:val="20"/>
          </w:rPr>
          <w:tab/>
        </w:r>
      </w:hyperlink>
      <w:hyperlink r:id="rId143" w:history="1">
        <w:r w:rsidR="00661E20" w:rsidRPr="008C62A9">
          <w:rPr>
            <w:rFonts w:ascii="Arial" w:hAnsi="Arial" w:cs="Arial"/>
            <w:sz w:val="20"/>
            <w:szCs w:val="20"/>
          </w:rPr>
          <w:t xml:space="preserve">Cramer JA, Benedict A, </w:t>
        </w:r>
        <w:proofErr w:type="spellStart"/>
        <w:r w:rsidR="00661E20" w:rsidRPr="008C62A9">
          <w:rPr>
            <w:rFonts w:ascii="Arial" w:hAnsi="Arial" w:cs="Arial"/>
            <w:sz w:val="20"/>
            <w:szCs w:val="20"/>
          </w:rPr>
          <w:t>Muszbek</w:t>
        </w:r>
        <w:proofErr w:type="spellEnd"/>
        <w:r w:rsidR="00661E20" w:rsidRPr="008C62A9">
          <w:rPr>
            <w:rFonts w:ascii="Arial" w:hAnsi="Arial" w:cs="Arial"/>
            <w:sz w:val="20"/>
            <w:szCs w:val="20"/>
          </w:rPr>
          <w:t xml:space="preserve"> N, </w:t>
        </w:r>
        <w:proofErr w:type="spellStart"/>
        <w:r w:rsidR="00661E20" w:rsidRPr="008C62A9">
          <w:rPr>
            <w:rFonts w:ascii="Arial" w:hAnsi="Arial" w:cs="Arial"/>
            <w:sz w:val="20"/>
            <w:szCs w:val="20"/>
          </w:rPr>
          <w:t>Keskinaslan</w:t>
        </w:r>
        <w:proofErr w:type="spellEnd"/>
        <w:r w:rsidR="00661E20" w:rsidRPr="008C62A9">
          <w:rPr>
            <w:rFonts w:ascii="Arial" w:hAnsi="Arial" w:cs="Arial"/>
            <w:sz w:val="20"/>
            <w:szCs w:val="20"/>
          </w:rPr>
          <w:t xml:space="preserve"> A, Khan ZM. The significance of compliance and persistence in the treatment of diabetes, hypertension and dyslipidaemia: a review. </w:t>
        </w:r>
        <w:proofErr w:type="spellStart"/>
        <w:r w:rsidR="00661E20" w:rsidRPr="008C62A9">
          <w:rPr>
            <w:rFonts w:ascii="Arial" w:hAnsi="Arial" w:cs="Arial"/>
            <w:sz w:val="20"/>
            <w:szCs w:val="20"/>
          </w:rPr>
          <w:t>Int</w:t>
        </w:r>
        <w:proofErr w:type="spellEnd"/>
        <w:r w:rsidR="00661E20" w:rsidRPr="008C62A9">
          <w:rPr>
            <w:rFonts w:ascii="Arial" w:hAnsi="Arial" w:cs="Arial"/>
            <w:sz w:val="20"/>
            <w:szCs w:val="20"/>
          </w:rPr>
          <w:t xml:space="preserve"> J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Pract</w:t>
        </w:r>
        <w:proofErr w:type="spellEnd"/>
        <w:r w:rsidR="00661E20" w:rsidRPr="008C62A9">
          <w:rPr>
            <w:rFonts w:ascii="Arial" w:hAnsi="Arial" w:cs="Arial"/>
            <w:sz w:val="20"/>
            <w:szCs w:val="20"/>
          </w:rPr>
          <w:t>. 2008;62: 76–87.</w:t>
        </w:r>
      </w:hyperlink>
    </w:p>
    <w:p w14:paraId="2A2130F3" w14:textId="77777777" w:rsidR="00661E20" w:rsidRPr="008C62A9" w:rsidRDefault="00661E20" w:rsidP="00661E20">
      <w:pPr>
        <w:pStyle w:val="CommentText"/>
        <w:ind w:hanging="426"/>
        <w:rPr>
          <w:rFonts w:ascii="Arial" w:hAnsi="Arial" w:cs="Arial"/>
          <w:sz w:val="20"/>
          <w:szCs w:val="20"/>
        </w:rPr>
      </w:pPr>
      <w:r w:rsidRPr="008C62A9">
        <w:rPr>
          <w:rFonts w:ascii="Arial" w:hAnsi="Arial" w:cs="Arial"/>
          <w:noProof/>
          <w:sz w:val="20"/>
          <w:szCs w:val="20"/>
        </w:rPr>
        <w:t>34.  Colantonio LD, Huang L, Monda KL, Bittner V, Serban MC, Taylor B, et al. Adherence to High-Intensity Statins Following a Myocardial Infarction Hospitalization Among Medicare Beneficiaries. JAMA cardiology. 2017;2(8):890-5</w:t>
      </w:r>
    </w:p>
    <w:p w14:paraId="565FB5FD" w14:textId="77777777" w:rsidR="00661E20" w:rsidRPr="008C62A9" w:rsidRDefault="00661E20" w:rsidP="00661E20">
      <w:pPr>
        <w:pStyle w:val="CommentText"/>
        <w:ind w:hanging="426"/>
        <w:rPr>
          <w:rFonts w:ascii="Arial" w:hAnsi="Arial" w:cs="Arial"/>
          <w:noProof/>
          <w:sz w:val="20"/>
          <w:szCs w:val="20"/>
        </w:rPr>
      </w:pPr>
      <w:r w:rsidRPr="008C62A9">
        <w:rPr>
          <w:rFonts w:ascii="Arial" w:hAnsi="Arial" w:cs="Arial"/>
          <w:noProof/>
          <w:sz w:val="20"/>
          <w:szCs w:val="20"/>
        </w:rPr>
        <w:t>35. Herttua K, Martikainen P, Batty GD, Kivimäki M. Poor Adherence to Statin and Antihypertensive Therapies as Risk Factors for Fatal Stroke. Journal of the American College of Cardiology. 2016;67(13):1507-15</w:t>
      </w:r>
    </w:p>
    <w:p w14:paraId="30D59157" w14:textId="77777777" w:rsidR="00661E20" w:rsidRPr="008C62A9" w:rsidRDefault="00661E20" w:rsidP="00661E20">
      <w:pPr>
        <w:pStyle w:val="CommentText"/>
        <w:ind w:hanging="426"/>
        <w:rPr>
          <w:rStyle w:val="Hyperlink"/>
          <w:rFonts w:ascii="Arial" w:hAnsi="Arial" w:cs="Arial"/>
          <w:noProof/>
          <w:color w:val="auto"/>
          <w:sz w:val="20"/>
          <w:szCs w:val="20"/>
          <w:u w:val="none"/>
        </w:rPr>
      </w:pPr>
      <w:r w:rsidRPr="008C62A9">
        <w:rPr>
          <w:rFonts w:ascii="Arial" w:hAnsi="Arial" w:cs="Arial"/>
          <w:noProof/>
          <w:sz w:val="20"/>
          <w:szCs w:val="20"/>
        </w:rPr>
        <w:t xml:space="preserve">36. Gomez J. InterMountain Healthcare. Heart Attack and Stroke Patients Prescribed Statin Medication Upon Discharge Have Better Long-Term Outcomes. 2017. Available at URL: </w:t>
      </w:r>
      <w:hyperlink r:id="rId144" w:history="1">
        <w:r w:rsidRPr="008C62A9">
          <w:rPr>
            <w:rStyle w:val="Hyperlink"/>
            <w:rFonts w:ascii="Arial" w:hAnsi="Arial" w:cs="Arial"/>
            <w:noProof/>
            <w:color w:val="auto"/>
            <w:sz w:val="20"/>
            <w:szCs w:val="20"/>
            <w:u w:val="none"/>
          </w:rPr>
          <w:t>https://intermountainhealthcare.org/news/2017/10/heart-attack-stroke-patients-prescribed-statin-medication-have-better-outcomes/</w:t>
        </w:r>
      </w:hyperlink>
    </w:p>
    <w:p w14:paraId="0C3575B3" w14:textId="77777777" w:rsidR="00661E20" w:rsidRPr="008C62A9" w:rsidRDefault="00661E20" w:rsidP="00661E20">
      <w:pPr>
        <w:pStyle w:val="CommentText"/>
        <w:ind w:hanging="426"/>
        <w:rPr>
          <w:rFonts w:ascii="Arial" w:hAnsi="Arial" w:cs="Arial"/>
          <w:sz w:val="20"/>
          <w:szCs w:val="20"/>
        </w:rPr>
      </w:pPr>
      <w:r w:rsidRPr="008C62A9">
        <w:rPr>
          <w:rFonts w:ascii="Arial" w:hAnsi="Arial" w:cs="Arial"/>
          <w:sz w:val="20"/>
          <w:szCs w:val="20"/>
        </w:rPr>
        <w:t xml:space="preserve">37. </w:t>
      </w:r>
      <w:proofErr w:type="spellStart"/>
      <w:r w:rsidRPr="008C62A9">
        <w:rPr>
          <w:rFonts w:ascii="Arial" w:hAnsi="Arial" w:cs="Arial"/>
          <w:sz w:val="20"/>
          <w:szCs w:val="20"/>
        </w:rPr>
        <w:t>Bitton</w:t>
      </w:r>
      <w:proofErr w:type="spellEnd"/>
      <w:r w:rsidRPr="008C62A9">
        <w:rPr>
          <w:rFonts w:ascii="Arial" w:hAnsi="Arial" w:cs="Arial"/>
          <w:sz w:val="20"/>
          <w:szCs w:val="20"/>
        </w:rPr>
        <w:t xml:space="preserve"> A, Choudhry NK, Matlin OS, Swanton K, Shrank WH. The impact of medication adherence on coronary artery disease costs and outcomes: a systematic review. The American journal of medicine. 2013;126(4):357 e7- e27 + 20,21</w:t>
      </w:r>
    </w:p>
    <w:p w14:paraId="79F10541" w14:textId="77777777" w:rsidR="00661E20" w:rsidRPr="008C62A9" w:rsidRDefault="00F1052A" w:rsidP="00661E20">
      <w:pPr>
        <w:spacing w:after="220" w:line="240" w:lineRule="auto"/>
        <w:ind w:hanging="440"/>
        <w:rPr>
          <w:rFonts w:ascii="Arial" w:hAnsi="Arial" w:cs="Arial"/>
          <w:sz w:val="20"/>
          <w:szCs w:val="20"/>
        </w:rPr>
      </w:pPr>
      <w:hyperlink r:id="rId145" w:history="1">
        <w:r w:rsidR="00661E20" w:rsidRPr="008C62A9">
          <w:rPr>
            <w:rFonts w:ascii="Arial" w:hAnsi="Arial" w:cs="Arial"/>
            <w:sz w:val="20"/>
            <w:szCs w:val="20"/>
          </w:rPr>
          <w:t xml:space="preserve">38. </w:t>
        </w:r>
        <w:r w:rsidR="00661E20" w:rsidRPr="008C62A9">
          <w:rPr>
            <w:rFonts w:ascii="Arial" w:hAnsi="Arial" w:cs="Arial"/>
            <w:sz w:val="20"/>
            <w:szCs w:val="20"/>
          </w:rPr>
          <w:tab/>
        </w:r>
      </w:hyperlink>
      <w:hyperlink r:id="rId146" w:history="1">
        <w:r w:rsidR="00661E20" w:rsidRPr="008C62A9">
          <w:rPr>
            <w:rFonts w:ascii="Arial" w:hAnsi="Arial" w:cs="Arial"/>
            <w:sz w:val="20"/>
            <w:szCs w:val="20"/>
          </w:rPr>
          <w:t xml:space="preserve">Malta DC, </w:t>
        </w:r>
        <w:proofErr w:type="spellStart"/>
        <w:r w:rsidR="00661E20" w:rsidRPr="008C62A9">
          <w:rPr>
            <w:rFonts w:ascii="Arial" w:hAnsi="Arial" w:cs="Arial"/>
            <w:sz w:val="20"/>
            <w:szCs w:val="20"/>
          </w:rPr>
          <w:t>Szwarcwald</w:t>
        </w:r>
        <w:proofErr w:type="spellEnd"/>
        <w:r w:rsidR="00661E20" w:rsidRPr="008C62A9">
          <w:rPr>
            <w:rFonts w:ascii="Arial" w:hAnsi="Arial" w:cs="Arial"/>
            <w:sz w:val="20"/>
            <w:szCs w:val="20"/>
          </w:rPr>
          <w:t xml:space="preserve"> CL. Population-based surveys and monitoring of noncommunicable diseases. </w:t>
        </w:r>
        <w:proofErr w:type="spellStart"/>
        <w:r w:rsidR="00661E20" w:rsidRPr="008C62A9">
          <w:rPr>
            <w:rFonts w:ascii="Arial" w:hAnsi="Arial" w:cs="Arial"/>
            <w:sz w:val="20"/>
            <w:szCs w:val="20"/>
          </w:rPr>
          <w:t>Revista</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Saúde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Pública</w:t>
        </w:r>
        <w:proofErr w:type="spellEnd"/>
        <w:r w:rsidR="00661E20" w:rsidRPr="008C62A9">
          <w:rPr>
            <w:rFonts w:ascii="Arial" w:hAnsi="Arial" w:cs="Arial"/>
            <w:sz w:val="20"/>
            <w:szCs w:val="20"/>
          </w:rPr>
          <w:t>. 2017;51. doi:</w:t>
        </w:r>
      </w:hyperlink>
      <w:hyperlink r:id="rId147" w:history="1">
        <w:r w:rsidR="00661E20" w:rsidRPr="008C62A9">
          <w:rPr>
            <w:rFonts w:ascii="Arial" w:hAnsi="Arial" w:cs="Arial"/>
            <w:sz w:val="20"/>
            <w:szCs w:val="20"/>
          </w:rPr>
          <w:t>10.1590/s1518-8787.201705100supl1ap</w:t>
        </w:r>
      </w:hyperlink>
    </w:p>
    <w:p w14:paraId="2E63756B" w14:textId="77777777" w:rsidR="00661E20" w:rsidRPr="008C62A9" w:rsidRDefault="00F1052A" w:rsidP="00661E20">
      <w:pPr>
        <w:spacing w:after="220" w:line="240" w:lineRule="auto"/>
        <w:ind w:hanging="440"/>
        <w:rPr>
          <w:rFonts w:ascii="Arial" w:hAnsi="Arial" w:cs="Arial"/>
          <w:sz w:val="20"/>
          <w:szCs w:val="20"/>
        </w:rPr>
      </w:pPr>
      <w:hyperlink r:id="rId148" w:history="1">
        <w:r w:rsidR="00661E20" w:rsidRPr="008C62A9">
          <w:rPr>
            <w:rFonts w:ascii="Arial" w:hAnsi="Arial" w:cs="Arial"/>
            <w:sz w:val="20"/>
            <w:szCs w:val="20"/>
          </w:rPr>
          <w:t xml:space="preserve">39. </w:t>
        </w:r>
        <w:r w:rsidR="00661E20" w:rsidRPr="008C62A9">
          <w:rPr>
            <w:rFonts w:ascii="Arial" w:hAnsi="Arial" w:cs="Arial"/>
            <w:sz w:val="20"/>
            <w:szCs w:val="20"/>
          </w:rPr>
          <w:tab/>
        </w:r>
      </w:hyperlink>
      <w:hyperlink r:id="rId149" w:history="1">
        <w:proofErr w:type="spellStart"/>
        <w:r w:rsidR="00661E20" w:rsidRPr="008C62A9">
          <w:rPr>
            <w:rFonts w:ascii="Arial" w:hAnsi="Arial" w:cs="Arial"/>
            <w:sz w:val="20"/>
            <w:szCs w:val="20"/>
          </w:rPr>
          <w:t>Álvares</w:t>
        </w:r>
        <w:proofErr w:type="spellEnd"/>
        <w:r w:rsidR="00661E20" w:rsidRPr="008C62A9">
          <w:rPr>
            <w:rFonts w:ascii="Arial" w:hAnsi="Arial" w:cs="Arial"/>
            <w:sz w:val="20"/>
            <w:szCs w:val="20"/>
          </w:rPr>
          <w:t xml:space="preserve"> J, Maria Cecilia </w:t>
        </w:r>
        <w:proofErr w:type="spellStart"/>
        <w:r w:rsidR="00661E20" w:rsidRPr="008C62A9">
          <w:rPr>
            <w:rFonts w:ascii="Arial" w:hAnsi="Arial" w:cs="Arial"/>
            <w:sz w:val="20"/>
            <w:szCs w:val="20"/>
          </w:rPr>
          <w:t>Goi</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Loureiro</w:t>
        </w:r>
        <w:proofErr w:type="spellEnd"/>
        <w:r w:rsidR="00661E20" w:rsidRPr="008C62A9">
          <w:rPr>
            <w:rFonts w:ascii="Arial" w:hAnsi="Arial" w:cs="Arial"/>
            <w:sz w:val="20"/>
            <w:szCs w:val="20"/>
          </w:rPr>
          <w:t xml:space="preserve"> MM, Almeida AM, </w:t>
        </w:r>
        <w:proofErr w:type="spellStart"/>
        <w:r w:rsidR="00661E20" w:rsidRPr="008C62A9">
          <w:rPr>
            <w:rFonts w:ascii="Arial" w:hAnsi="Arial" w:cs="Arial"/>
            <w:sz w:val="20"/>
            <w:szCs w:val="20"/>
          </w:rPr>
          <w:t>Izidoro</w:t>
        </w:r>
        <w:proofErr w:type="spellEnd"/>
        <w:r w:rsidR="00661E20" w:rsidRPr="008C62A9">
          <w:rPr>
            <w:rFonts w:ascii="Arial" w:hAnsi="Arial" w:cs="Arial"/>
            <w:sz w:val="20"/>
            <w:szCs w:val="20"/>
          </w:rPr>
          <w:t xml:space="preserve"> JB, Guerra AA, et al. National Survey on Access, Use and Promotion of Rational Use of Medicines: methods. Rev </w:t>
        </w:r>
        <w:proofErr w:type="spellStart"/>
        <w:r w:rsidR="00661E20" w:rsidRPr="008C62A9">
          <w:rPr>
            <w:rFonts w:ascii="Arial" w:hAnsi="Arial" w:cs="Arial"/>
            <w:sz w:val="20"/>
            <w:szCs w:val="20"/>
          </w:rPr>
          <w:t>Saude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Publica</w:t>
        </w:r>
        <w:proofErr w:type="spellEnd"/>
        <w:r w:rsidR="00661E20" w:rsidRPr="008C62A9">
          <w:rPr>
            <w:rFonts w:ascii="Arial" w:hAnsi="Arial" w:cs="Arial"/>
            <w:sz w:val="20"/>
            <w:szCs w:val="20"/>
          </w:rPr>
          <w:t>. 2017;51: 4s.</w:t>
        </w:r>
      </w:hyperlink>
    </w:p>
    <w:p w14:paraId="389C4571" w14:textId="77777777" w:rsidR="00661E20" w:rsidRPr="008C62A9" w:rsidRDefault="00F1052A" w:rsidP="00661E20">
      <w:pPr>
        <w:spacing w:after="220" w:line="240" w:lineRule="auto"/>
        <w:ind w:hanging="440"/>
        <w:rPr>
          <w:rFonts w:ascii="Arial" w:hAnsi="Arial" w:cs="Arial"/>
          <w:sz w:val="20"/>
          <w:szCs w:val="20"/>
        </w:rPr>
      </w:pPr>
      <w:hyperlink r:id="rId150" w:history="1">
        <w:r w:rsidR="00661E20" w:rsidRPr="008C62A9">
          <w:rPr>
            <w:rFonts w:ascii="Arial" w:hAnsi="Arial" w:cs="Arial"/>
            <w:sz w:val="20"/>
            <w:szCs w:val="20"/>
          </w:rPr>
          <w:t xml:space="preserve">40. </w:t>
        </w:r>
        <w:r w:rsidR="00661E20" w:rsidRPr="008C62A9">
          <w:rPr>
            <w:rFonts w:ascii="Arial" w:hAnsi="Arial" w:cs="Arial"/>
            <w:sz w:val="20"/>
            <w:szCs w:val="20"/>
          </w:rPr>
          <w:tab/>
        </w:r>
      </w:hyperlink>
      <w:hyperlink r:id="rId151" w:history="1">
        <w:r w:rsidR="00661E20" w:rsidRPr="008C62A9">
          <w:rPr>
            <w:rFonts w:ascii="Arial" w:hAnsi="Arial" w:cs="Arial"/>
            <w:sz w:val="20"/>
            <w:szCs w:val="20"/>
          </w:rPr>
          <w:t>Schmidt MI, Duncan BB, Azevedo e Silva G, Menezes AM, Monteiro CA, Barreto SM, et al. Chronic non-communicable diseases in Brazil: burden and current challenges. Lancet. 2011;377: 1949–1961.</w:t>
        </w:r>
      </w:hyperlink>
    </w:p>
    <w:p w14:paraId="5E20C309" w14:textId="77777777" w:rsidR="00661E20" w:rsidRPr="008C62A9" w:rsidRDefault="00F1052A" w:rsidP="00661E20">
      <w:pPr>
        <w:spacing w:after="220" w:line="240" w:lineRule="auto"/>
        <w:ind w:hanging="440"/>
        <w:rPr>
          <w:rFonts w:ascii="Arial" w:hAnsi="Arial" w:cs="Arial"/>
          <w:sz w:val="20"/>
          <w:szCs w:val="20"/>
        </w:rPr>
      </w:pPr>
      <w:hyperlink r:id="rId152" w:history="1">
        <w:r w:rsidR="00661E20" w:rsidRPr="008C62A9">
          <w:rPr>
            <w:rFonts w:ascii="Arial" w:hAnsi="Arial" w:cs="Arial"/>
            <w:sz w:val="20"/>
            <w:szCs w:val="20"/>
          </w:rPr>
          <w:t xml:space="preserve">41. </w:t>
        </w:r>
        <w:r w:rsidR="00661E20" w:rsidRPr="008C62A9">
          <w:rPr>
            <w:rFonts w:ascii="Arial" w:hAnsi="Arial" w:cs="Arial"/>
            <w:sz w:val="20"/>
            <w:szCs w:val="20"/>
          </w:rPr>
          <w:tab/>
        </w:r>
      </w:hyperlink>
      <w:hyperlink r:id="rId153" w:history="1">
        <w:r w:rsidR="00661E20" w:rsidRPr="008C62A9">
          <w:rPr>
            <w:rFonts w:ascii="Arial" w:hAnsi="Arial" w:cs="Arial"/>
            <w:sz w:val="20"/>
            <w:szCs w:val="20"/>
          </w:rPr>
          <w:t xml:space="preserve">ABEP- Brazilian Market Research Association. Brazilian Criteria 2015 and social class distribution update for 2016. In: ABEP - Associação Brasileira de Empresas de Pesquisa [Internet]. 2016 [cited 28 Aug 2017]. Available: </w:t>
        </w:r>
      </w:hyperlink>
      <w:hyperlink r:id="rId154" w:history="1">
        <w:r w:rsidR="00661E20" w:rsidRPr="008C62A9">
          <w:rPr>
            <w:rFonts w:ascii="Arial" w:hAnsi="Arial" w:cs="Arial"/>
            <w:sz w:val="20"/>
            <w:szCs w:val="20"/>
          </w:rPr>
          <w:t>file:///C:/Users/fdb17123/Downloads/01_cceb_2016_11-04-16_Eng-US%20(2).pdf</w:t>
        </w:r>
      </w:hyperlink>
    </w:p>
    <w:p w14:paraId="29E718F2" w14:textId="77777777" w:rsidR="00661E20" w:rsidRPr="008C62A9" w:rsidRDefault="00F1052A" w:rsidP="00661E20">
      <w:pPr>
        <w:spacing w:after="220" w:line="240" w:lineRule="auto"/>
        <w:ind w:hanging="440"/>
        <w:rPr>
          <w:rFonts w:ascii="Arial" w:hAnsi="Arial" w:cs="Arial"/>
          <w:sz w:val="20"/>
          <w:szCs w:val="20"/>
        </w:rPr>
      </w:pPr>
      <w:hyperlink r:id="rId155" w:history="1">
        <w:r w:rsidR="00661E20" w:rsidRPr="008C62A9">
          <w:rPr>
            <w:rFonts w:ascii="Arial" w:hAnsi="Arial" w:cs="Arial"/>
            <w:sz w:val="20"/>
            <w:szCs w:val="20"/>
          </w:rPr>
          <w:t xml:space="preserve">42. </w:t>
        </w:r>
        <w:r w:rsidR="00661E20" w:rsidRPr="008C62A9">
          <w:rPr>
            <w:rFonts w:ascii="Arial" w:hAnsi="Arial" w:cs="Arial"/>
            <w:sz w:val="20"/>
            <w:szCs w:val="20"/>
          </w:rPr>
          <w:tab/>
        </w:r>
      </w:hyperlink>
      <w:hyperlink r:id="rId156" w:history="1">
        <w:r w:rsidR="00661E20" w:rsidRPr="008C62A9">
          <w:rPr>
            <w:rFonts w:ascii="Arial" w:hAnsi="Arial" w:cs="Arial"/>
            <w:sz w:val="20"/>
            <w:szCs w:val="20"/>
          </w:rPr>
          <w:t xml:space="preserve">WHO Collaborating Centre for Drug Statistics Methodology. Anatomical Therapeutic Chemical (ATC) Classification Index 2016. In: WHO [Internet]. 2016 [cited 5 Oct 2017]. Available: </w:t>
        </w:r>
      </w:hyperlink>
      <w:hyperlink r:id="rId157" w:history="1">
        <w:r w:rsidR="00661E20" w:rsidRPr="008C62A9">
          <w:rPr>
            <w:rFonts w:ascii="Arial" w:hAnsi="Arial" w:cs="Arial"/>
            <w:sz w:val="20"/>
            <w:szCs w:val="20"/>
          </w:rPr>
          <w:t>http://www.whocc.no/atc_ddd_index/</w:t>
        </w:r>
      </w:hyperlink>
    </w:p>
    <w:p w14:paraId="21B4CC3D" w14:textId="77777777" w:rsidR="00661E20" w:rsidRPr="008C62A9" w:rsidRDefault="00661E20" w:rsidP="00661E20">
      <w:pPr>
        <w:spacing w:after="220" w:line="240" w:lineRule="auto"/>
        <w:ind w:hanging="440"/>
        <w:rPr>
          <w:rFonts w:ascii="Arial" w:hAnsi="Arial" w:cs="Arial"/>
          <w:sz w:val="20"/>
          <w:szCs w:val="20"/>
        </w:rPr>
      </w:pPr>
      <w:r w:rsidRPr="008C62A9">
        <w:rPr>
          <w:rFonts w:ascii="Arial" w:hAnsi="Arial" w:cs="Arial"/>
          <w:noProof/>
          <w:sz w:val="20"/>
          <w:szCs w:val="20"/>
        </w:rPr>
        <w:lastRenderedPageBreak/>
        <w:t>43. Patterson SM, Cadogan CA, Kerse N, Cardwell CR, Bradley MC, Ryan C, et al. Interventions to improve the appropriate use of polypharmacy for older people. The Cochrane database of systematic reviews. 2014(10):Cd008165</w:t>
      </w:r>
    </w:p>
    <w:p w14:paraId="300C0F36" w14:textId="77777777" w:rsidR="00661E20" w:rsidRPr="008C62A9" w:rsidRDefault="00F1052A" w:rsidP="00661E20">
      <w:pPr>
        <w:spacing w:after="220" w:line="240" w:lineRule="auto"/>
        <w:ind w:hanging="440"/>
        <w:rPr>
          <w:rFonts w:ascii="Arial" w:hAnsi="Arial" w:cs="Arial"/>
          <w:sz w:val="20"/>
          <w:szCs w:val="20"/>
        </w:rPr>
      </w:pPr>
      <w:hyperlink r:id="rId158" w:history="1">
        <w:r w:rsidR="00661E20" w:rsidRPr="008C62A9">
          <w:rPr>
            <w:rFonts w:ascii="Arial" w:hAnsi="Arial" w:cs="Arial"/>
            <w:sz w:val="20"/>
            <w:szCs w:val="20"/>
          </w:rPr>
          <w:t xml:space="preserve">44. </w:t>
        </w:r>
        <w:r w:rsidR="00661E20" w:rsidRPr="008C62A9">
          <w:rPr>
            <w:rFonts w:ascii="Arial" w:hAnsi="Arial" w:cs="Arial"/>
            <w:sz w:val="20"/>
            <w:szCs w:val="20"/>
          </w:rPr>
          <w:tab/>
        </w:r>
      </w:hyperlink>
      <w:hyperlink r:id="rId159" w:history="1">
        <w:r w:rsidR="00661E20" w:rsidRPr="008C62A9">
          <w:rPr>
            <w:rFonts w:ascii="Arial" w:hAnsi="Arial" w:cs="Arial"/>
            <w:sz w:val="20"/>
            <w:szCs w:val="20"/>
          </w:rPr>
          <w:t xml:space="preserve">Guthrie B, </w:t>
        </w:r>
        <w:proofErr w:type="spellStart"/>
        <w:r w:rsidR="00661E20" w:rsidRPr="008C62A9">
          <w:rPr>
            <w:rFonts w:ascii="Arial" w:hAnsi="Arial" w:cs="Arial"/>
            <w:sz w:val="20"/>
            <w:szCs w:val="20"/>
          </w:rPr>
          <w:t>Makubate</w:t>
        </w:r>
        <w:proofErr w:type="spellEnd"/>
        <w:r w:rsidR="00661E20" w:rsidRPr="008C62A9">
          <w:rPr>
            <w:rFonts w:ascii="Arial" w:hAnsi="Arial" w:cs="Arial"/>
            <w:sz w:val="20"/>
            <w:szCs w:val="20"/>
          </w:rPr>
          <w:t xml:space="preserve"> B, Hernandez-Santiago V, </w:t>
        </w:r>
        <w:proofErr w:type="spellStart"/>
        <w:r w:rsidR="00661E20" w:rsidRPr="008C62A9">
          <w:rPr>
            <w:rFonts w:ascii="Arial" w:hAnsi="Arial" w:cs="Arial"/>
            <w:sz w:val="20"/>
            <w:szCs w:val="20"/>
          </w:rPr>
          <w:t>Dreischulte</w:t>
        </w:r>
        <w:proofErr w:type="spellEnd"/>
        <w:r w:rsidR="00661E20" w:rsidRPr="008C62A9">
          <w:rPr>
            <w:rFonts w:ascii="Arial" w:hAnsi="Arial" w:cs="Arial"/>
            <w:sz w:val="20"/>
            <w:szCs w:val="20"/>
          </w:rPr>
          <w:t xml:space="preserve"> T. The rising tide of polypharmacy and drug-drug interactions: population database analysis 1995-2010. BMC Med. 2015;13: 74.</w:t>
        </w:r>
      </w:hyperlink>
    </w:p>
    <w:p w14:paraId="59B0564B" w14:textId="77777777" w:rsidR="00661E20" w:rsidRPr="008C62A9" w:rsidRDefault="00F1052A" w:rsidP="00661E20">
      <w:pPr>
        <w:spacing w:after="220" w:line="240" w:lineRule="auto"/>
        <w:ind w:hanging="440"/>
        <w:rPr>
          <w:rFonts w:ascii="Arial" w:hAnsi="Arial" w:cs="Arial"/>
          <w:sz w:val="20"/>
          <w:szCs w:val="20"/>
        </w:rPr>
      </w:pPr>
      <w:hyperlink r:id="rId160" w:history="1">
        <w:r w:rsidR="00661E20" w:rsidRPr="008C62A9">
          <w:rPr>
            <w:rFonts w:ascii="Arial" w:hAnsi="Arial" w:cs="Arial"/>
            <w:sz w:val="20"/>
            <w:szCs w:val="20"/>
          </w:rPr>
          <w:t xml:space="preserve">45. </w:t>
        </w:r>
        <w:r w:rsidR="00661E20" w:rsidRPr="008C62A9">
          <w:rPr>
            <w:rFonts w:ascii="Arial" w:hAnsi="Arial" w:cs="Arial"/>
            <w:sz w:val="20"/>
            <w:szCs w:val="20"/>
          </w:rPr>
          <w:tab/>
        </w:r>
      </w:hyperlink>
      <w:hyperlink r:id="rId161" w:history="1">
        <w:proofErr w:type="spellStart"/>
        <w:r w:rsidR="00661E20" w:rsidRPr="008C62A9">
          <w:rPr>
            <w:rFonts w:ascii="Arial" w:hAnsi="Arial" w:cs="Arial"/>
            <w:sz w:val="20"/>
            <w:szCs w:val="20"/>
          </w:rPr>
          <w:t>Marković-Peković</w:t>
        </w:r>
        <w:proofErr w:type="spellEnd"/>
        <w:r w:rsidR="00661E20" w:rsidRPr="008C62A9">
          <w:rPr>
            <w:rFonts w:ascii="Arial" w:hAnsi="Arial" w:cs="Arial"/>
            <w:sz w:val="20"/>
            <w:szCs w:val="20"/>
          </w:rPr>
          <w:t xml:space="preserve"> V, </w:t>
        </w:r>
        <w:proofErr w:type="spellStart"/>
        <w:r w:rsidR="00661E20" w:rsidRPr="008C62A9">
          <w:rPr>
            <w:rFonts w:ascii="Arial" w:hAnsi="Arial" w:cs="Arial"/>
            <w:sz w:val="20"/>
            <w:szCs w:val="20"/>
          </w:rPr>
          <w:t>Škrbić</w:t>
        </w:r>
        <w:proofErr w:type="spellEnd"/>
        <w:r w:rsidR="00661E20" w:rsidRPr="008C62A9">
          <w:rPr>
            <w:rFonts w:ascii="Arial" w:hAnsi="Arial" w:cs="Arial"/>
            <w:sz w:val="20"/>
            <w:szCs w:val="20"/>
          </w:rPr>
          <w:t xml:space="preserve"> R, </w:t>
        </w:r>
        <w:proofErr w:type="spellStart"/>
        <w:r w:rsidR="00661E20" w:rsidRPr="008C62A9">
          <w:rPr>
            <w:rFonts w:ascii="Arial" w:hAnsi="Arial" w:cs="Arial"/>
            <w:sz w:val="20"/>
            <w:szCs w:val="20"/>
          </w:rPr>
          <w:t>Petrović</w:t>
        </w:r>
        <w:proofErr w:type="spellEnd"/>
        <w:r w:rsidR="00661E20" w:rsidRPr="008C62A9">
          <w:rPr>
            <w:rFonts w:ascii="Arial" w:hAnsi="Arial" w:cs="Arial"/>
            <w:sz w:val="20"/>
            <w:szCs w:val="20"/>
          </w:rPr>
          <w:t xml:space="preserve"> A, </w:t>
        </w:r>
        <w:proofErr w:type="spellStart"/>
        <w:r w:rsidR="00661E20" w:rsidRPr="008C62A9">
          <w:rPr>
            <w:rFonts w:ascii="Arial" w:hAnsi="Arial" w:cs="Arial"/>
            <w:sz w:val="20"/>
            <w:szCs w:val="20"/>
          </w:rPr>
          <w:t>Vlahović-Palčevski</w:t>
        </w:r>
        <w:proofErr w:type="spellEnd"/>
        <w:r w:rsidR="00661E20" w:rsidRPr="008C62A9">
          <w:rPr>
            <w:rFonts w:ascii="Arial" w:hAnsi="Arial" w:cs="Arial"/>
            <w:sz w:val="20"/>
            <w:szCs w:val="20"/>
          </w:rPr>
          <w:t xml:space="preserve"> V, </w:t>
        </w:r>
        <w:proofErr w:type="spellStart"/>
        <w:r w:rsidR="00661E20" w:rsidRPr="008C62A9">
          <w:rPr>
            <w:rFonts w:ascii="Arial" w:hAnsi="Arial" w:cs="Arial"/>
            <w:sz w:val="20"/>
            <w:szCs w:val="20"/>
          </w:rPr>
          <w:t>Mrak</w:t>
        </w:r>
        <w:proofErr w:type="spellEnd"/>
        <w:r w:rsidR="00661E20" w:rsidRPr="008C62A9">
          <w:rPr>
            <w:rFonts w:ascii="Arial" w:hAnsi="Arial" w:cs="Arial"/>
            <w:sz w:val="20"/>
            <w:szCs w:val="20"/>
          </w:rPr>
          <w:t xml:space="preserve"> J, Bennie M, et al. Polypharmacy among the elderly in the Republic of </w:t>
        </w:r>
        <w:proofErr w:type="spellStart"/>
        <w:r w:rsidR="00661E20" w:rsidRPr="008C62A9">
          <w:rPr>
            <w:rFonts w:ascii="Arial" w:hAnsi="Arial" w:cs="Arial"/>
            <w:sz w:val="20"/>
            <w:szCs w:val="20"/>
          </w:rPr>
          <w:t>Srpska</w:t>
        </w:r>
        <w:proofErr w:type="spellEnd"/>
        <w:r w:rsidR="00661E20" w:rsidRPr="008C62A9">
          <w:rPr>
            <w:rFonts w:ascii="Arial" w:hAnsi="Arial" w:cs="Arial"/>
            <w:sz w:val="20"/>
            <w:szCs w:val="20"/>
          </w:rPr>
          <w:t xml:space="preserve">: extent and implications for the future. Expert Rev </w:t>
        </w:r>
        <w:proofErr w:type="spellStart"/>
        <w:r w:rsidR="00661E20" w:rsidRPr="008C62A9">
          <w:rPr>
            <w:rFonts w:ascii="Arial" w:hAnsi="Arial" w:cs="Arial"/>
            <w:sz w:val="20"/>
            <w:szCs w:val="20"/>
          </w:rPr>
          <w:t>Pharmacoecon</w:t>
        </w:r>
        <w:proofErr w:type="spellEnd"/>
        <w:r w:rsidR="00661E20" w:rsidRPr="008C62A9">
          <w:rPr>
            <w:rFonts w:ascii="Arial" w:hAnsi="Arial" w:cs="Arial"/>
            <w:sz w:val="20"/>
            <w:szCs w:val="20"/>
          </w:rPr>
          <w:t xml:space="preserve"> Outcomes Res. 2016;16: 609–618.</w:t>
        </w:r>
      </w:hyperlink>
    </w:p>
    <w:p w14:paraId="5CEB669E" w14:textId="77777777" w:rsidR="00661E20" w:rsidRPr="008C62A9" w:rsidRDefault="00F1052A" w:rsidP="00661E20">
      <w:pPr>
        <w:spacing w:after="220" w:line="240" w:lineRule="auto"/>
        <w:ind w:hanging="440"/>
        <w:rPr>
          <w:rFonts w:ascii="Arial" w:hAnsi="Arial" w:cs="Arial"/>
          <w:sz w:val="20"/>
          <w:szCs w:val="20"/>
        </w:rPr>
      </w:pPr>
      <w:hyperlink r:id="rId162" w:history="1">
        <w:r w:rsidR="00661E20" w:rsidRPr="008C62A9">
          <w:rPr>
            <w:rFonts w:ascii="Arial" w:hAnsi="Arial" w:cs="Arial"/>
            <w:sz w:val="20"/>
            <w:szCs w:val="20"/>
          </w:rPr>
          <w:t xml:space="preserve">46. </w:t>
        </w:r>
        <w:r w:rsidR="00661E20" w:rsidRPr="008C62A9">
          <w:rPr>
            <w:rFonts w:ascii="Arial" w:hAnsi="Arial" w:cs="Arial"/>
            <w:sz w:val="20"/>
            <w:szCs w:val="20"/>
          </w:rPr>
          <w:tab/>
        </w:r>
      </w:hyperlink>
      <w:hyperlink r:id="rId163" w:history="1">
        <w:r w:rsidR="00661E20" w:rsidRPr="008C62A9">
          <w:rPr>
            <w:rFonts w:ascii="Arial" w:hAnsi="Arial" w:cs="Arial"/>
            <w:sz w:val="20"/>
            <w:szCs w:val="20"/>
          </w:rPr>
          <w:t xml:space="preserve">Nascimento RCRM, </w:t>
        </w:r>
        <w:proofErr w:type="spellStart"/>
        <w:r w:rsidR="00661E20" w:rsidRPr="008C62A9">
          <w:rPr>
            <w:rFonts w:ascii="Arial" w:hAnsi="Arial" w:cs="Arial"/>
            <w:sz w:val="20"/>
            <w:szCs w:val="20"/>
          </w:rPr>
          <w:t>Álvares</w:t>
        </w:r>
        <w:proofErr w:type="spellEnd"/>
        <w:r w:rsidR="00661E20" w:rsidRPr="008C62A9">
          <w:rPr>
            <w:rFonts w:ascii="Arial" w:hAnsi="Arial" w:cs="Arial"/>
            <w:sz w:val="20"/>
            <w:szCs w:val="20"/>
          </w:rPr>
          <w:t xml:space="preserve"> J, Guerra AA, Gomes IC, Silveira MR, Costa EA, et al. Polypharmacy: a challenge for the primary health care of the Brazilian Unified Health System. Rev </w:t>
        </w:r>
        <w:proofErr w:type="spellStart"/>
        <w:r w:rsidR="00661E20" w:rsidRPr="008C62A9">
          <w:rPr>
            <w:rFonts w:ascii="Arial" w:hAnsi="Arial" w:cs="Arial"/>
            <w:sz w:val="20"/>
            <w:szCs w:val="20"/>
          </w:rPr>
          <w:t>Saúde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Pública</w:t>
        </w:r>
        <w:proofErr w:type="spellEnd"/>
        <w:r w:rsidR="00661E20" w:rsidRPr="008C62A9">
          <w:rPr>
            <w:rFonts w:ascii="Arial" w:hAnsi="Arial" w:cs="Arial"/>
            <w:sz w:val="20"/>
            <w:szCs w:val="20"/>
          </w:rPr>
          <w:t>. 2017;51: 19s.</w:t>
        </w:r>
      </w:hyperlink>
    </w:p>
    <w:p w14:paraId="4DCCA067" w14:textId="77777777" w:rsidR="00661E20" w:rsidRPr="008C62A9" w:rsidRDefault="00F1052A" w:rsidP="00661E20">
      <w:pPr>
        <w:spacing w:after="220" w:line="240" w:lineRule="auto"/>
        <w:ind w:hanging="440"/>
        <w:rPr>
          <w:rFonts w:ascii="Arial" w:hAnsi="Arial" w:cs="Arial"/>
          <w:sz w:val="20"/>
          <w:szCs w:val="20"/>
        </w:rPr>
      </w:pPr>
      <w:hyperlink r:id="rId164" w:history="1">
        <w:r w:rsidR="00661E20" w:rsidRPr="008C62A9">
          <w:rPr>
            <w:rFonts w:ascii="Arial" w:hAnsi="Arial" w:cs="Arial"/>
            <w:sz w:val="20"/>
            <w:szCs w:val="20"/>
          </w:rPr>
          <w:t xml:space="preserve">47. </w:t>
        </w:r>
        <w:r w:rsidR="00661E20" w:rsidRPr="008C62A9">
          <w:rPr>
            <w:rFonts w:ascii="Arial" w:hAnsi="Arial" w:cs="Arial"/>
            <w:sz w:val="20"/>
            <w:szCs w:val="20"/>
          </w:rPr>
          <w:tab/>
        </w:r>
      </w:hyperlink>
      <w:hyperlink r:id="rId165" w:history="1">
        <w:r w:rsidR="00661E20" w:rsidRPr="008C62A9">
          <w:rPr>
            <w:rFonts w:ascii="Arial" w:hAnsi="Arial" w:cs="Arial"/>
            <w:sz w:val="20"/>
            <w:szCs w:val="20"/>
          </w:rPr>
          <w:t xml:space="preserve">Lehmann A, </w:t>
        </w:r>
        <w:proofErr w:type="spellStart"/>
        <w:r w:rsidR="00661E20" w:rsidRPr="008C62A9">
          <w:rPr>
            <w:rFonts w:ascii="Arial" w:hAnsi="Arial" w:cs="Arial"/>
            <w:sz w:val="20"/>
            <w:szCs w:val="20"/>
          </w:rPr>
          <w:t>Aslani</w:t>
        </w:r>
        <w:proofErr w:type="spellEnd"/>
        <w:r w:rsidR="00661E20" w:rsidRPr="008C62A9">
          <w:rPr>
            <w:rFonts w:ascii="Arial" w:hAnsi="Arial" w:cs="Arial"/>
            <w:sz w:val="20"/>
            <w:szCs w:val="20"/>
          </w:rPr>
          <w:t xml:space="preserve"> P, Ahmed R, </w:t>
        </w:r>
        <w:proofErr w:type="spellStart"/>
        <w:r w:rsidR="00661E20" w:rsidRPr="008C62A9">
          <w:rPr>
            <w:rFonts w:ascii="Arial" w:hAnsi="Arial" w:cs="Arial"/>
            <w:sz w:val="20"/>
            <w:szCs w:val="20"/>
          </w:rPr>
          <w:t>Celio</w:t>
        </w:r>
        <w:proofErr w:type="spellEnd"/>
        <w:r w:rsidR="00661E20" w:rsidRPr="008C62A9">
          <w:rPr>
            <w:rFonts w:ascii="Arial" w:hAnsi="Arial" w:cs="Arial"/>
            <w:sz w:val="20"/>
            <w:szCs w:val="20"/>
          </w:rPr>
          <w:t xml:space="preserve"> J, </w:t>
        </w:r>
        <w:proofErr w:type="spellStart"/>
        <w:r w:rsidR="00661E20" w:rsidRPr="008C62A9">
          <w:rPr>
            <w:rFonts w:ascii="Arial" w:hAnsi="Arial" w:cs="Arial"/>
            <w:sz w:val="20"/>
            <w:szCs w:val="20"/>
          </w:rPr>
          <w:t>Gauchet</w:t>
        </w:r>
        <w:proofErr w:type="spellEnd"/>
        <w:r w:rsidR="00661E20" w:rsidRPr="008C62A9">
          <w:rPr>
            <w:rFonts w:ascii="Arial" w:hAnsi="Arial" w:cs="Arial"/>
            <w:sz w:val="20"/>
            <w:szCs w:val="20"/>
          </w:rPr>
          <w:t xml:space="preserve"> A, </w:t>
        </w:r>
        <w:proofErr w:type="spellStart"/>
        <w:r w:rsidR="00661E20" w:rsidRPr="008C62A9">
          <w:rPr>
            <w:rFonts w:ascii="Arial" w:hAnsi="Arial" w:cs="Arial"/>
            <w:sz w:val="20"/>
            <w:szCs w:val="20"/>
          </w:rPr>
          <w:t>Bedouch</w:t>
        </w:r>
        <w:proofErr w:type="spellEnd"/>
        <w:r w:rsidR="00661E20" w:rsidRPr="008C62A9">
          <w:rPr>
            <w:rFonts w:ascii="Arial" w:hAnsi="Arial" w:cs="Arial"/>
            <w:sz w:val="20"/>
            <w:szCs w:val="20"/>
          </w:rPr>
          <w:t xml:space="preserve"> P, et al. Assessing medication adherence: options to consider. </w:t>
        </w:r>
        <w:proofErr w:type="spellStart"/>
        <w:r w:rsidR="00661E20" w:rsidRPr="008C62A9">
          <w:rPr>
            <w:rFonts w:ascii="Arial" w:hAnsi="Arial" w:cs="Arial"/>
            <w:sz w:val="20"/>
            <w:szCs w:val="20"/>
          </w:rPr>
          <w:t>Int</w:t>
        </w:r>
        <w:proofErr w:type="spellEnd"/>
        <w:r w:rsidR="00661E20" w:rsidRPr="008C62A9">
          <w:rPr>
            <w:rFonts w:ascii="Arial" w:hAnsi="Arial" w:cs="Arial"/>
            <w:sz w:val="20"/>
            <w:szCs w:val="20"/>
          </w:rPr>
          <w:t xml:space="preserve"> J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Pharm. 2014;36: 55–69.</w:t>
        </w:r>
      </w:hyperlink>
    </w:p>
    <w:p w14:paraId="3E326390" w14:textId="77777777" w:rsidR="00661E20" w:rsidRPr="008C62A9" w:rsidRDefault="00F1052A" w:rsidP="00661E20">
      <w:pPr>
        <w:spacing w:after="220" w:line="240" w:lineRule="auto"/>
        <w:ind w:hanging="440"/>
        <w:rPr>
          <w:rFonts w:ascii="Arial" w:hAnsi="Arial" w:cs="Arial"/>
          <w:sz w:val="20"/>
          <w:szCs w:val="20"/>
        </w:rPr>
      </w:pPr>
      <w:hyperlink r:id="rId166" w:history="1">
        <w:r w:rsidR="00661E20" w:rsidRPr="008C62A9">
          <w:rPr>
            <w:rFonts w:ascii="Arial" w:hAnsi="Arial" w:cs="Arial"/>
            <w:sz w:val="20"/>
            <w:szCs w:val="20"/>
          </w:rPr>
          <w:t xml:space="preserve">48. </w:t>
        </w:r>
        <w:r w:rsidR="00661E20" w:rsidRPr="008C62A9">
          <w:rPr>
            <w:rFonts w:ascii="Arial" w:hAnsi="Arial" w:cs="Arial"/>
            <w:sz w:val="20"/>
            <w:szCs w:val="20"/>
          </w:rPr>
          <w:tab/>
        </w:r>
      </w:hyperlink>
      <w:hyperlink r:id="rId167" w:history="1">
        <w:r w:rsidR="00661E20" w:rsidRPr="008C62A9">
          <w:rPr>
            <w:rFonts w:ascii="Arial" w:hAnsi="Arial" w:cs="Arial"/>
            <w:sz w:val="20"/>
            <w:szCs w:val="20"/>
          </w:rPr>
          <w:t xml:space="preserve">Garfield S, Clifford S, Eliasson L, Barber N, </w:t>
        </w:r>
        <w:proofErr w:type="spellStart"/>
        <w:r w:rsidR="00661E20" w:rsidRPr="008C62A9">
          <w:rPr>
            <w:rFonts w:ascii="Arial" w:hAnsi="Arial" w:cs="Arial"/>
            <w:sz w:val="20"/>
            <w:szCs w:val="20"/>
          </w:rPr>
          <w:t>Willson</w:t>
        </w:r>
        <w:proofErr w:type="spellEnd"/>
        <w:r w:rsidR="00661E20" w:rsidRPr="008C62A9">
          <w:rPr>
            <w:rFonts w:ascii="Arial" w:hAnsi="Arial" w:cs="Arial"/>
            <w:sz w:val="20"/>
            <w:szCs w:val="20"/>
          </w:rPr>
          <w:t xml:space="preserve"> A. Suitability of measures of self-reported medication adherence for routine clinical use: a systematic review. BMC Med Res </w:t>
        </w:r>
        <w:proofErr w:type="spellStart"/>
        <w:r w:rsidR="00661E20" w:rsidRPr="008C62A9">
          <w:rPr>
            <w:rFonts w:ascii="Arial" w:hAnsi="Arial" w:cs="Arial"/>
            <w:sz w:val="20"/>
            <w:szCs w:val="20"/>
          </w:rPr>
          <w:t>Methodol</w:t>
        </w:r>
        <w:proofErr w:type="spellEnd"/>
        <w:r w:rsidR="00661E20" w:rsidRPr="008C62A9">
          <w:rPr>
            <w:rFonts w:ascii="Arial" w:hAnsi="Arial" w:cs="Arial"/>
            <w:sz w:val="20"/>
            <w:szCs w:val="20"/>
          </w:rPr>
          <w:t>. 2011;11: 149.</w:t>
        </w:r>
      </w:hyperlink>
    </w:p>
    <w:p w14:paraId="2E22647B" w14:textId="77777777" w:rsidR="00661E20" w:rsidRPr="008C62A9" w:rsidRDefault="00F1052A" w:rsidP="00661E20">
      <w:pPr>
        <w:spacing w:after="220" w:line="240" w:lineRule="auto"/>
        <w:ind w:hanging="440"/>
        <w:rPr>
          <w:rFonts w:ascii="Arial" w:hAnsi="Arial" w:cs="Arial"/>
          <w:sz w:val="20"/>
          <w:szCs w:val="20"/>
        </w:rPr>
      </w:pPr>
      <w:hyperlink r:id="rId168" w:history="1">
        <w:r w:rsidR="00661E20" w:rsidRPr="008C62A9">
          <w:rPr>
            <w:rFonts w:ascii="Arial" w:hAnsi="Arial" w:cs="Arial"/>
            <w:sz w:val="20"/>
            <w:szCs w:val="20"/>
          </w:rPr>
          <w:t xml:space="preserve">49. </w:t>
        </w:r>
        <w:r w:rsidR="00661E20" w:rsidRPr="008C62A9">
          <w:rPr>
            <w:rFonts w:ascii="Arial" w:hAnsi="Arial" w:cs="Arial"/>
            <w:sz w:val="20"/>
            <w:szCs w:val="20"/>
          </w:rPr>
          <w:tab/>
        </w:r>
      </w:hyperlink>
      <w:hyperlink r:id="rId169" w:history="1">
        <w:proofErr w:type="spellStart"/>
        <w:r w:rsidR="00661E20" w:rsidRPr="008C62A9">
          <w:rPr>
            <w:rFonts w:ascii="Arial" w:hAnsi="Arial" w:cs="Arial"/>
            <w:sz w:val="20"/>
            <w:szCs w:val="20"/>
          </w:rPr>
          <w:t>Schedlbauer</w:t>
        </w:r>
        <w:proofErr w:type="spellEnd"/>
        <w:r w:rsidR="00661E20" w:rsidRPr="008C62A9">
          <w:rPr>
            <w:rFonts w:ascii="Arial" w:hAnsi="Arial" w:cs="Arial"/>
            <w:sz w:val="20"/>
            <w:szCs w:val="20"/>
          </w:rPr>
          <w:t xml:space="preserve"> A, Davies P, Fahey T. Interventions to improve adherence to lipid lowering medication. Cochrane Database of Systematic Reviews. 2010.</w:t>
        </w:r>
      </w:hyperlink>
    </w:p>
    <w:p w14:paraId="78757C00" w14:textId="77777777" w:rsidR="00661E20" w:rsidRPr="008C62A9" w:rsidRDefault="00F1052A" w:rsidP="00661E20">
      <w:pPr>
        <w:spacing w:after="220" w:line="240" w:lineRule="auto"/>
        <w:ind w:hanging="440"/>
        <w:rPr>
          <w:rFonts w:ascii="Arial" w:hAnsi="Arial" w:cs="Arial"/>
          <w:sz w:val="20"/>
          <w:szCs w:val="20"/>
        </w:rPr>
      </w:pPr>
      <w:hyperlink r:id="rId170" w:history="1">
        <w:r w:rsidR="00661E20" w:rsidRPr="008C62A9">
          <w:rPr>
            <w:rFonts w:ascii="Arial" w:hAnsi="Arial" w:cs="Arial"/>
            <w:sz w:val="20"/>
            <w:szCs w:val="20"/>
          </w:rPr>
          <w:t xml:space="preserve">50. </w:t>
        </w:r>
        <w:r w:rsidR="00661E20" w:rsidRPr="008C62A9">
          <w:rPr>
            <w:rFonts w:ascii="Arial" w:hAnsi="Arial" w:cs="Arial"/>
            <w:sz w:val="20"/>
            <w:szCs w:val="20"/>
          </w:rPr>
          <w:tab/>
        </w:r>
      </w:hyperlink>
      <w:hyperlink r:id="rId171" w:history="1">
        <w:r w:rsidR="00661E20" w:rsidRPr="008C62A9">
          <w:rPr>
            <w:rFonts w:ascii="Arial" w:hAnsi="Arial" w:cs="Arial"/>
            <w:sz w:val="20"/>
            <w:szCs w:val="20"/>
          </w:rPr>
          <w:t>Montgomery DC. Introduction to Linear Regression Analysis, Fifth Edition Set. Wiley; 2013.</w:t>
        </w:r>
      </w:hyperlink>
    </w:p>
    <w:p w14:paraId="4E230A7A" w14:textId="77777777" w:rsidR="00661E20" w:rsidRPr="008C62A9" w:rsidRDefault="00F1052A" w:rsidP="00661E20">
      <w:pPr>
        <w:spacing w:after="220" w:line="240" w:lineRule="auto"/>
        <w:ind w:hanging="440"/>
        <w:rPr>
          <w:rFonts w:ascii="Arial" w:hAnsi="Arial" w:cs="Arial"/>
          <w:sz w:val="20"/>
          <w:szCs w:val="20"/>
        </w:rPr>
      </w:pPr>
      <w:hyperlink r:id="rId172" w:history="1">
        <w:r w:rsidR="00661E20" w:rsidRPr="008C62A9">
          <w:rPr>
            <w:rFonts w:ascii="Arial" w:hAnsi="Arial" w:cs="Arial"/>
            <w:sz w:val="20"/>
            <w:szCs w:val="20"/>
          </w:rPr>
          <w:t xml:space="preserve">51. </w:t>
        </w:r>
        <w:r w:rsidR="00661E20" w:rsidRPr="008C62A9">
          <w:rPr>
            <w:rFonts w:ascii="Arial" w:hAnsi="Arial" w:cs="Arial"/>
            <w:sz w:val="20"/>
            <w:szCs w:val="20"/>
          </w:rPr>
          <w:tab/>
        </w:r>
      </w:hyperlink>
      <w:hyperlink r:id="rId173" w:history="1">
        <w:r w:rsidR="00661E20" w:rsidRPr="008C62A9">
          <w:rPr>
            <w:rFonts w:ascii="Arial" w:hAnsi="Arial" w:cs="Arial"/>
            <w:sz w:val="20"/>
            <w:szCs w:val="20"/>
          </w:rPr>
          <w:t xml:space="preserve">O’Keeffe AG, Nazareth I, Petersen I. Time trends in the prescription of statins for the primary prevention of cardiovascular disease in the United Kingdom: a cohort study using The Health Improvement Network primary care data.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Epidemiol. 2016;8: 123–132.</w:t>
        </w:r>
      </w:hyperlink>
    </w:p>
    <w:p w14:paraId="3155DB8A" w14:textId="77777777" w:rsidR="00661E20" w:rsidRPr="008C62A9" w:rsidRDefault="00F1052A" w:rsidP="00661E20">
      <w:pPr>
        <w:spacing w:after="220" w:line="240" w:lineRule="auto"/>
        <w:ind w:hanging="440"/>
        <w:rPr>
          <w:rFonts w:ascii="Arial" w:hAnsi="Arial" w:cs="Arial"/>
          <w:sz w:val="20"/>
          <w:szCs w:val="20"/>
        </w:rPr>
      </w:pPr>
      <w:hyperlink r:id="rId174" w:history="1">
        <w:r w:rsidR="00661E20" w:rsidRPr="008C62A9">
          <w:rPr>
            <w:rFonts w:ascii="Arial" w:hAnsi="Arial" w:cs="Arial"/>
            <w:sz w:val="20"/>
            <w:szCs w:val="20"/>
          </w:rPr>
          <w:t xml:space="preserve">52. </w:t>
        </w:r>
        <w:r w:rsidR="00661E20" w:rsidRPr="008C62A9">
          <w:rPr>
            <w:rFonts w:ascii="Arial" w:hAnsi="Arial" w:cs="Arial"/>
            <w:sz w:val="20"/>
            <w:szCs w:val="20"/>
          </w:rPr>
          <w:tab/>
        </w:r>
      </w:hyperlink>
      <w:hyperlink r:id="rId175" w:history="1">
        <w:proofErr w:type="spellStart"/>
        <w:r w:rsidR="00661E20" w:rsidRPr="008C62A9">
          <w:rPr>
            <w:rFonts w:ascii="Arial" w:hAnsi="Arial" w:cs="Arial"/>
            <w:sz w:val="20"/>
            <w:szCs w:val="20"/>
          </w:rPr>
          <w:t>Adedinsewo</w:t>
        </w:r>
        <w:proofErr w:type="spellEnd"/>
        <w:r w:rsidR="00661E20" w:rsidRPr="008C62A9">
          <w:rPr>
            <w:rFonts w:ascii="Arial" w:hAnsi="Arial" w:cs="Arial"/>
            <w:sz w:val="20"/>
            <w:szCs w:val="20"/>
          </w:rPr>
          <w:t xml:space="preserve"> D, Taka N, </w:t>
        </w:r>
        <w:proofErr w:type="spellStart"/>
        <w:r w:rsidR="00661E20" w:rsidRPr="008C62A9">
          <w:rPr>
            <w:rFonts w:ascii="Arial" w:hAnsi="Arial" w:cs="Arial"/>
            <w:sz w:val="20"/>
            <w:szCs w:val="20"/>
          </w:rPr>
          <w:t>Agasthi</w:t>
        </w:r>
        <w:proofErr w:type="spellEnd"/>
        <w:r w:rsidR="00661E20" w:rsidRPr="008C62A9">
          <w:rPr>
            <w:rFonts w:ascii="Arial" w:hAnsi="Arial" w:cs="Arial"/>
            <w:sz w:val="20"/>
            <w:szCs w:val="20"/>
          </w:rPr>
          <w:t xml:space="preserve"> P, Sachdeva R, Rust G, </w:t>
        </w:r>
        <w:proofErr w:type="spellStart"/>
        <w:r w:rsidR="00661E20" w:rsidRPr="008C62A9">
          <w:rPr>
            <w:rFonts w:ascii="Arial" w:hAnsi="Arial" w:cs="Arial"/>
            <w:sz w:val="20"/>
            <w:szCs w:val="20"/>
          </w:rPr>
          <w:t>Onwuanyi</w:t>
        </w:r>
        <w:proofErr w:type="spellEnd"/>
        <w:r w:rsidR="00661E20" w:rsidRPr="008C62A9">
          <w:rPr>
            <w:rFonts w:ascii="Arial" w:hAnsi="Arial" w:cs="Arial"/>
            <w:sz w:val="20"/>
            <w:szCs w:val="20"/>
          </w:rPr>
          <w:t xml:space="preserve"> A. Prevalence and Factors Associated </w:t>
        </w:r>
        <w:proofErr w:type="gramStart"/>
        <w:r w:rsidR="00661E20" w:rsidRPr="008C62A9">
          <w:rPr>
            <w:rFonts w:ascii="Arial" w:hAnsi="Arial" w:cs="Arial"/>
            <w:sz w:val="20"/>
            <w:szCs w:val="20"/>
          </w:rPr>
          <w:t>With</w:t>
        </w:r>
        <w:proofErr w:type="gramEnd"/>
        <w:r w:rsidR="00661E20" w:rsidRPr="008C62A9">
          <w:rPr>
            <w:rFonts w:ascii="Arial" w:hAnsi="Arial" w:cs="Arial"/>
            <w:sz w:val="20"/>
            <w:szCs w:val="20"/>
          </w:rPr>
          <w:t xml:space="preserve"> Statin Use Among a Nationally Representative Sample of US Adults: National Health and Nutrition Examination Survey, 2011-2012.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Cardiol</w:t>
        </w:r>
        <w:proofErr w:type="spellEnd"/>
        <w:r w:rsidR="00661E20" w:rsidRPr="008C62A9">
          <w:rPr>
            <w:rFonts w:ascii="Arial" w:hAnsi="Arial" w:cs="Arial"/>
            <w:sz w:val="20"/>
            <w:szCs w:val="20"/>
          </w:rPr>
          <w:t>. 2016;39: 491–496.</w:t>
        </w:r>
      </w:hyperlink>
    </w:p>
    <w:p w14:paraId="45D40237" w14:textId="77777777" w:rsidR="00661E20" w:rsidRPr="008C62A9" w:rsidRDefault="00F1052A" w:rsidP="00661E20">
      <w:pPr>
        <w:spacing w:after="220" w:line="240" w:lineRule="auto"/>
        <w:ind w:hanging="440"/>
        <w:rPr>
          <w:rFonts w:ascii="Arial" w:hAnsi="Arial" w:cs="Arial"/>
          <w:sz w:val="20"/>
          <w:szCs w:val="20"/>
        </w:rPr>
      </w:pPr>
      <w:hyperlink r:id="rId176" w:history="1">
        <w:r w:rsidR="00661E20" w:rsidRPr="008C62A9">
          <w:rPr>
            <w:rFonts w:ascii="Arial" w:hAnsi="Arial" w:cs="Arial"/>
            <w:sz w:val="20"/>
            <w:szCs w:val="20"/>
          </w:rPr>
          <w:t xml:space="preserve">53. </w:t>
        </w:r>
        <w:r w:rsidR="00661E20" w:rsidRPr="008C62A9">
          <w:rPr>
            <w:rFonts w:ascii="Arial" w:hAnsi="Arial" w:cs="Arial"/>
            <w:sz w:val="20"/>
            <w:szCs w:val="20"/>
          </w:rPr>
          <w:tab/>
        </w:r>
      </w:hyperlink>
      <w:hyperlink r:id="rId177" w:history="1">
        <w:r w:rsidR="00661E20" w:rsidRPr="008C62A9">
          <w:rPr>
            <w:rFonts w:ascii="Arial" w:hAnsi="Arial" w:cs="Arial"/>
            <w:sz w:val="20"/>
            <w:szCs w:val="20"/>
          </w:rPr>
          <w:t xml:space="preserve">Yusuf S, Islam S, Chow CK, </w:t>
        </w:r>
        <w:proofErr w:type="spellStart"/>
        <w:r w:rsidR="00661E20" w:rsidRPr="008C62A9">
          <w:rPr>
            <w:rFonts w:ascii="Arial" w:hAnsi="Arial" w:cs="Arial"/>
            <w:sz w:val="20"/>
            <w:szCs w:val="20"/>
          </w:rPr>
          <w:t>Rangarajan</w:t>
        </w:r>
        <w:proofErr w:type="spellEnd"/>
        <w:r w:rsidR="00661E20" w:rsidRPr="008C62A9">
          <w:rPr>
            <w:rFonts w:ascii="Arial" w:hAnsi="Arial" w:cs="Arial"/>
            <w:sz w:val="20"/>
            <w:szCs w:val="20"/>
          </w:rPr>
          <w:t xml:space="preserve"> S, </w:t>
        </w:r>
        <w:proofErr w:type="spellStart"/>
        <w:r w:rsidR="00661E20" w:rsidRPr="008C62A9">
          <w:rPr>
            <w:rFonts w:ascii="Arial" w:hAnsi="Arial" w:cs="Arial"/>
            <w:sz w:val="20"/>
            <w:szCs w:val="20"/>
          </w:rPr>
          <w:t>Dagenais</w:t>
        </w:r>
        <w:proofErr w:type="spellEnd"/>
        <w:r w:rsidR="00661E20" w:rsidRPr="008C62A9">
          <w:rPr>
            <w:rFonts w:ascii="Arial" w:hAnsi="Arial" w:cs="Arial"/>
            <w:sz w:val="20"/>
            <w:szCs w:val="20"/>
          </w:rPr>
          <w:t xml:space="preserve"> G, Diaz R, et al. Use of secondary prevention drugs for cardiovascular disease in the community in high-income, middle-income, and low-income countries (the PURE Study): a prospective epidemiological survey. Lancet. 2011;378: 1231–1243.</w:t>
        </w:r>
      </w:hyperlink>
    </w:p>
    <w:p w14:paraId="7165E3F3" w14:textId="77777777" w:rsidR="00661E20" w:rsidRPr="008C62A9" w:rsidRDefault="00F1052A" w:rsidP="00661E20">
      <w:pPr>
        <w:spacing w:after="220" w:line="240" w:lineRule="auto"/>
        <w:ind w:hanging="440"/>
        <w:rPr>
          <w:rFonts w:ascii="Arial" w:hAnsi="Arial" w:cs="Arial"/>
          <w:sz w:val="20"/>
          <w:szCs w:val="20"/>
        </w:rPr>
      </w:pPr>
      <w:hyperlink r:id="rId178" w:history="1">
        <w:r w:rsidR="00661E20" w:rsidRPr="008C62A9">
          <w:rPr>
            <w:rFonts w:ascii="Arial" w:hAnsi="Arial" w:cs="Arial"/>
            <w:sz w:val="20"/>
            <w:szCs w:val="20"/>
          </w:rPr>
          <w:t xml:space="preserve">54. </w:t>
        </w:r>
        <w:r w:rsidR="00661E20" w:rsidRPr="008C62A9">
          <w:rPr>
            <w:rFonts w:ascii="Arial" w:hAnsi="Arial" w:cs="Arial"/>
            <w:sz w:val="20"/>
            <w:szCs w:val="20"/>
          </w:rPr>
          <w:tab/>
        </w:r>
      </w:hyperlink>
      <w:hyperlink r:id="rId179" w:history="1">
        <w:proofErr w:type="spellStart"/>
        <w:r w:rsidR="00661E20" w:rsidRPr="008C62A9">
          <w:rPr>
            <w:rFonts w:ascii="Arial" w:hAnsi="Arial" w:cs="Arial"/>
            <w:sz w:val="20"/>
            <w:szCs w:val="20"/>
          </w:rPr>
          <w:t>Farzadfar</w:t>
        </w:r>
        <w:proofErr w:type="spellEnd"/>
        <w:r w:rsidR="00661E20" w:rsidRPr="008C62A9">
          <w:rPr>
            <w:rFonts w:ascii="Arial" w:hAnsi="Arial" w:cs="Arial"/>
            <w:sz w:val="20"/>
            <w:szCs w:val="20"/>
          </w:rPr>
          <w:t xml:space="preserve"> F, Finucane MM, </w:t>
        </w:r>
        <w:proofErr w:type="spellStart"/>
        <w:r w:rsidR="00661E20" w:rsidRPr="008C62A9">
          <w:rPr>
            <w:rFonts w:ascii="Arial" w:hAnsi="Arial" w:cs="Arial"/>
            <w:sz w:val="20"/>
            <w:szCs w:val="20"/>
          </w:rPr>
          <w:t>Danaei</w:t>
        </w:r>
        <w:proofErr w:type="spellEnd"/>
        <w:r w:rsidR="00661E20" w:rsidRPr="008C62A9">
          <w:rPr>
            <w:rFonts w:ascii="Arial" w:hAnsi="Arial" w:cs="Arial"/>
            <w:sz w:val="20"/>
            <w:szCs w:val="20"/>
          </w:rPr>
          <w:t xml:space="preserve"> G, </w:t>
        </w:r>
        <w:proofErr w:type="spellStart"/>
        <w:r w:rsidR="00661E20" w:rsidRPr="008C62A9">
          <w:rPr>
            <w:rFonts w:ascii="Arial" w:hAnsi="Arial" w:cs="Arial"/>
            <w:sz w:val="20"/>
            <w:szCs w:val="20"/>
          </w:rPr>
          <w:t>Pelizzari</w:t>
        </w:r>
        <w:proofErr w:type="spellEnd"/>
        <w:r w:rsidR="00661E20" w:rsidRPr="008C62A9">
          <w:rPr>
            <w:rFonts w:ascii="Arial" w:hAnsi="Arial" w:cs="Arial"/>
            <w:sz w:val="20"/>
            <w:szCs w:val="20"/>
          </w:rPr>
          <w:t xml:space="preserve"> PM, Cowan MJ, </w:t>
        </w:r>
        <w:proofErr w:type="spellStart"/>
        <w:r w:rsidR="00661E20" w:rsidRPr="008C62A9">
          <w:rPr>
            <w:rFonts w:ascii="Arial" w:hAnsi="Arial" w:cs="Arial"/>
            <w:sz w:val="20"/>
            <w:szCs w:val="20"/>
          </w:rPr>
          <w:t>Paciorek</w:t>
        </w:r>
        <w:proofErr w:type="spellEnd"/>
        <w:r w:rsidR="00661E20" w:rsidRPr="008C62A9">
          <w:rPr>
            <w:rFonts w:ascii="Arial" w:hAnsi="Arial" w:cs="Arial"/>
            <w:sz w:val="20"/>
            <w:szCs w:val="20"/>
          </w:rPr>
          <w:t xml:space="preserve"> CJ, et al. National, regional, and global trends in serum total cholesterol since 1980: systematic analysis of health examination surveys and epidemiological studies with 321 country-years and 3·0 million participants. Lancet. 2011;377: 578–586.</w:t>
        </w:r>
      </w:hyperlink>
    </w:p>
    <w:p w14:paraId="6CE6D7A9" w14:textId="77777777" w:rsidR="00661E20" w:rsidRPr="008C62A9" w:rsidRDefault="00F1052A" w:rsidP="00661E20">
      <w:pPr>
        <w:spacing w:after="220" w:line="240" w:lineRule="auto"/>
        <w:ind w:hanging="440"/>
        <w:rPr>
          <w:rFonts w:ascii="Arial" w:hAnsi="Arial" w:cs="Arial"/>
          <w:sz w:val="20"/>
          <w:szCs w:val="20"/>
        </w:rPr>
      </w:pPr>
      <w:hyperlink r:id="rId180" w:history="1">
        <w:r w:rsidR="00661E20" w:rsidRPr="008C62A9">
          <w:rPr>
            <w:rFonts w:ascii="Arial" w:hAnsi="Arial" w:cs="Arial"/>
            <w:sz w:val="20"/>
            <w:szCs w:val="20"/>
          </w:rPr>
          <w:t xml:space="preserve">55. </w:t>
        </w:r>
        <w:r w:rsidR="00661E20" w:rsidRPr="008C62A9">
          <w:rPr>
            <w:rFonts w:ascii="Arial" w:hAnsi="Arial" w:cs="Arial"/>
            <w:sz w:val="20"/>
            <w:szCs w:val="20"/>
          </w:rPr>
          <w:tab/>
        </w:r>
      </w:hyperlink>
      <w:hyperlink r:id="rId181" w:history="1">
        <w:proofErr w:type="spellStart"/>
        <w:r w:rsidR="00661E20" w:rsidRPr="008C62A9">
          <w:rPr>
            <w:rFonts w:ascii="Arial" w:hAnsi="Arial" w:cs="Arial"/>
            <w:sz w:val="20"/>
            <w:szCs w:val="20"/>
          </w:rPr>
          <w:t>Tolonen</w:t>
        </w:r>
        <w:proofErr w:type="spellEnd"/>
        <w:r w:rsidR="00661E20" w:rsidRPr="008C62A9">
          <w:rPr>
            <w:rFonts w:ascii="Arial" w:hAnsi="Arial" w:cs="Arial"/>
            <w:sz w:val="20"/>
            <w:szCs w:val="20"/>
          </w:rPr>
          <w:t xml:space="preserve"> H, </w:t>
        </w:r>
        <w:proofErr w:type="spellStart"/>
        <w:r w:rsidR="00661E20" w:rsidRPr="008C62A9">
          <w:rPr>
            <w:rFonts w:ascii="Arial" w:hAnsi="Arial" w:cs="Arial"/>
            <w:sz w:val="20"/>
            <w:szCs w:val="20"/>
          </w:rPr>
          <w:t>Keil</w:t>
        </w:r>
        <w:proofErr w:type="spellEnd"/>
        <w:r w:rsidR="00661E20" w:rsidRPr="008C62A9">
          <w:rPr>
            <w:rFonts w:ascii="Arial" w:hAnsi="Arial" w:cs="Arial"/>
            <w:sz w:val="20"/>
            <w:szCs w:val="20"/>
          </w:rPr>
          <w:t xml:space="preserve"> U, </w:t>
        </w:r>
        <w:proofErr w:type="spellStart"/>
        <w:r w:rsidR="00661E20" w:rsidRPr="008C62A9">
          <w:rPr>
            <w:rFonts w:ascii="Arial" w:hAnsi="Arial" w:cs="Arial"/>
            <w:sz w:val="20"/>
            <w:szCs w:val="20"/>
          </w:rPr>
          <w:t>Ferrario</w:t>
        </w:r>
        <w:proofErr w:type="spellEnd"/>
        <w:r w:rsidR="00661E20" w:rsidRPr="008C62A9">
          <w:rPr>
            <w:rFonts w:ascii="Arial" w:hAnsi="Arial" w:cs="Arial"/>
            <w:sz w:val="20"/>
            <w:szCs w:val="20"/>
          </w:rPr>
          <w:t xml:space="preserve"> M, Evans A, WHO MONICA Project. Prevalence, awareness and treatment of hypercholesterolaemia in 32 populations: results from the WHO MONICA Project. </w:t>
        </w:r>
        <w:proofErr w:type="spellStart"/>
        <w:r w:rsidR="00661E20" w:rsidRPr="008C62A9">
          <w:rPr>
            <w:rFonts w:ascii="Arial" w:hAnsi="Arial" w:cs="Arial"/>
            <w:sz w:val="20"/>
            <w:szCs w:val="20"/>
          </w:rPr>
          <w:t>Int</w:t>
        </w:r>
        <w:proofErr w:type="spellEnd"/>
        <w:r w:rsidR="00661E20" w:rsidRPr="008C62A9">
          <w:rPr>
            <w:rFonts w:ascii="Arial" w:hAnsi="Arial" w:cs="Arial"/>
            <w:sz w:val="20"/>
            <w:szCs w:val="20"/>
          </w:rPr>
          <w:t xml:space="preserve"> J Epidemiol. 2005;34: 181–192.</w:t>
        </w:r>
      </w:hyperlink>
    </w:p>
    <w:p w14:paraId="6EEC6E4B" w14:textId="77777777" w:rsidR="00661E20" w:rsidRPr="008C62A9" w:rsidRDefault="00F1052A" w:rsidP="00661E20">
      <w:pPr>
        <w:spacing w:after="220" w:line="240" w:lineRule="auto"/>
        <w:ind w:hanging="440"/>
        <w:rPr>
          <w:rFonts w:ascii="Arial" w:hAnsi="Arial" w:cs="Arial"/>
          <w:sz w:val="20"/>
          <w:szCs w:val="20"/>
        </w:rPr>
      </w:pPr>
      <w:hyperlink r:id="rId182" w:history="1">
        <w:r w:rsidR="00661E20" w:rsidRPr="008C62A9">
          <w:rPr>
            <w:rFonts w:ascii="Arial" w:hAnsi="Arial" w:cs="Arial"/>
            <w:sz w:val="20"/>
            <w:szCs w:val="20"/>
          </w:rPr>
          <w:t xml:space="preserve">56. </w:t>
        </w:r>
        <w:r w:rsidR="00661E20" w:rsidRPr="008C62A9">
          <w:rPr>
            <w:rFonts w:ascii="Arial" w:hAnsi="Arial" w:cs="Arial"/>
            <w:sz w:val="20"/>
            <w:szCs w:val="20"/>
          </w:rPr>
          <w:tab/>
        </w:r>
      </w:hyperlink>
      <w:hyperlink r:id="rId183" w:history="1">
        <w:proofErr w:type="spellStart"/>
        <w:r w:rsidR="00661E20" w:rsidRPr="008C62A9">
          <w:rPr>
            <w:rFonts w:ascii="Arial" w:hAnsi="Arial" w:cs="Arial"/>
            <w:sz w:val="20"/>
            <w:szCs w:val="20"/>
          </w:rPr>
          <w:t>Bittencourt</w:t>
        </w:r>
        <w:proofErr w:type="spellEnd"/>
        <w:r w:rsidR="00661E20" w:rsidRPr="008C62A9">
          <w:rPr>
            <w:rFonts w:ascii="Arial" w:hAnsi="Arial" w:cs="Arial"/>
            <w:sz w:val="20"/>
            <w:szCs w:val="20"/>
          </w:rPr>
          <w:t xml:space="preserve"> MS, </w:t>
        </w:r>
        <w:proofErr w:type="spellStart"/>
        <w:r w:rsidR="00661E20" w:rsidRPr="008C62A9">
          <w:rPr>
            <w:rFonts w:ascii="Arial" w:hAnsi="Arial" w:cs="Arial"/>
            <w:sz w:val="20"/>
            <w:szCs w:val="20"/>
          </w:rPr>
          <w:t>Staniak</w:t>
        </w:r>
        <w:proofErr w:type="spellEnd"/>
        <w:r w:rsidR="00661E20" w:rsidRPr="008C62A9">
          <w:rPr>
            <w:rFonts w:ascii="Arial" w:hAnsi="Arial" w:cs="Arial"/>
            <w:sz w:val="20"/>
            <w:szCs w:val="20"/>
          </w:rPr>
          <w:t xml:space="preserve"> HL, Pereira AC, Santos IS, Duncan BB, Santos RD, et al. Implications of the New US Cholesterol Guidelines in the Brazilian Longitudinal Study of Adult Health (ELSA-</w:t>
        </w:r>
        <w:proofErr w:type="spellStart"/>
        <w:r w:rsidR="00661E20" w:rsidRPr="008C62A9">
          <w:rPr>
            <w:rFonts w:ascii="Arial" w:hAnsi="Arial" w:cs="Arial"/>
            <w:sz w:val="20"/>
            <w:szCs w:val="20"/>
          </w:rPr>
          <w:t>Brasil</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Cardiol</w:t>
        </w:r>
        <w:proofErr w:type="spellEnd"/>
        <w:r w:rsidR="00661E20" w:rsidRPr="008C62A9">
          <w:rPr>
            <w:rFonts w:ascii="Arial" w:hAnsi="Arial" w:cs="Arial"/>
            <w:sz w:val="20"/>
            <w:szCs w:val="20"/>
          </w:rPr>
          <w:t>. 2016;39: 215–222.</w:t>
        </w:r>
      </w:hyperlink>
    </w:p>
    <w:p w14:paraId="7F5035D8" w14:textId="77777777" w:rsidR="00661E20" w:rsidRPr="008C62A9" w:rsidRDefault="00F1052A" w:rsidP="00661E20">
      <w:pPr>
        <w:spacing w:after="220" w:line="240" w:lineRule="auto"/>
        <w:ind w:hanging="440"/>
        <w:rPr>
          <w:rFonts w:ascii="Arial" w:hAnsi="Arial" w:cs="Arial"/>
          <w:sz w:val="20"/>
          <w:szCs w:val="20"/>
        </w:rPr>
      </w:pPr>
      <w:hyperlink r:id="rId184" w:history="1">
        <w:r w:rsidR="00661E20" w:rsidRPr="008C62A9">
          <w:rPr>
            <w:rFonts w:ascii="Arial" w:hAnsi="Arial" w:cs="Arial"/>
            <w:sz w:val="20"/>
            <w:szCs w:val="20"/>
          </w:rPr>
          <w:t xml:space="preserve">57. </w:t>
        </w:r>
        <w:r w:rsidR="00661E20" w:rsidRPr="008C62A9">
          <w:rPr>
            <w:rFonts w:ascii="Arial" w:hAnsi="Arial" w:cs="Arial"/>
            <w:sz w:val="20"/>
            <w:szCs w:val="20"/>
          </w:rPr>
          <w:tab/>
        </w:r>
      </w:hyperlink>
      <w:hyperlink r:id="rId185" w:history="1">
        <w:r w:rsidR="00661E20" w:rsidRPr="008C62A9">
          <w:rPr>
            <w:rFonts w:ascii="Arial" w:hAnsi="Arial" w:cs="Arial"/>
            <w:sz w:val="20"/>
            <w:szCs w:val="20"/>
          </w:rPr>
          <w:t>Taylor F, Huffman MD, Macedo AF, Moore THM, Burke M, Smith GD, et al. Statins for the primary prevention of cardiovascular disease. Cochrane Database of Systematic Reviews. 2013.</w:t>
        </w:r>
      </w:hyperlink>
    </w:p>
    <w:p w14:paraId="432E9063" w14:textId="77777777" w:rsidR="00661E20" w:rsidRPr="008C62A9" w:rsidRDefault="00F1052A" w:rsidP="00661E20">
      <w:pPr>
        <w:spacing w:after="220" w:line="240" w:lineRule="auto"/>
        <w:ind w:hanging="440"/>
        <w:rPr>
          <w:rFonts w:ascii="Arial" w:hAnsi="Arial" w:cs="Arial"/>
          <w:sz w:val="20"/>
          <w:szCs w:val="20"/>
        </w:rPr>
      </w:pPr>
      <w:hyperlink r:id="rId186" w:history="1">
        <w:r w:rsidR="00661E20" w:rsidRPr="008C62A9">
          <w:rPr>
            <w:rFonts w:ascii="Arial" w:hAnsi="Arial" w:cs="Arial"/>
            <w:sz w:val="20"/>
            <w:szCs w:val="20"/>
          </w:rPr>
          <w:t xml:space="preserve">58. </w:t>
        </w:r>
        <w:r w:rsidR="00661E20" w:rsidRPr="008C62A9">
          <w:rPr>
            <w:rFonts w:ascii="Arial" w:hAnsi="Arial" w:cs="Arial"/>
            <w:sz w:val="20"/>
            <w:szCs w:val="20"/>
          </w:rPr>
          <w:tab/>
        </w:r>
      </w:hyperlink>
      <w:hyperlink r:id="rId187" w:history="1">
        <w:proofErr w:type="spellStart"/>
        <w:r w:rsidR="00661E20" w:rsidRPr="008C62A9">
          <w:rPr>
            <w:rFonts w:ascii="Arial" w:hAnsi="Arial" w:cs="Arial"/>
            <w:sz w:val="20"/>
            <w:szCs w:val="20"/>
          </w:rPr>
          <w:t>Pavanello</w:t>
        </w:r>
        <w:proofErr w:type="spellEnd"/>
        <w:r w:rsidR="00661E20" w:rsidRPr="008C62A9">
          <w:rPr>
            <w:rFonts w:ascii="Arial" w:hAnsi="Arial" w:cs="Arial"/>
            <w:sz w:val="20"/>
            <w:szCs w:val="20"/>
          </w:rPr>
          <w:t xml:space="preserve"> C, </w:t>
        </w:r>
        <w:proofErr w:type="spellStart"/>
        <w:r w:rsidR="00661E20" w:rsidRPr="008C62A9">
          <w:rPr>
            <w:rFonts w:ascii="Arial" w:hAnsi="Arial" w:cs="Arial"/>
            <w:sz w:val="20"/>
            <w:szCs w:val="20"/>
          </w:rPr>
          <w:t>Mombelli</w:t>
        </w:r>
        <w:proofErr w:type="spellEnd"/>
        <w:r w:rsidR="00661E20" w:rsidRPr="008C62A9">
          <w:rPr>
            <w:rFonts w:ascii="Arial" w:hAnsi="Arial" w:cs="Arial"/>
            <w:sz w:val="20"/>
            <w:szCs w:val="20"/>
          </w:rPr>
          <w:t xml:space="preserve"> G. Considering gender in prescribing statins: what do physicians need to know?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Lipidol</w:t>
        </w:r>
        <w:proofErr w:type="spellEnd"/>
        <w:r w:rsidR="00661E20" w:rsidRPr="008C62A9">
          <w:rPr>
            <w:rFonts w:ascii="Arial" w:hAnsi="Arial" w:cs="Arial"/>
            <w:sz w:val="20"/>
            <w:szCs w:val="20"/>
          </w:rPr>
          <w:t>. 2015;10: 499–512.</w:t>
        </w:r>
      </w:hyperlink>
    </w:p>
    <w:p w14:paraId="6C65F59C" w14:textId="77777777" w:rsidR="00661E20" w:rsidRPr="008C62A9" w:rsidRDefault="00F1052A" w:rsidP="00661E20">
      <w:pPr>
        <w:spacing w:after="220" w:line="240" w:lineRule="auto"/>
        <w:ind w:hanging="440"/>
        <w:rPr>
          <w:rFonts w:ascii="Arial" w:hAnsi="Arial" w:cs="Arial"/>
          <w:sz w:val="20"/>
          <w:szCs w:val="20"/>
        </w:rPr>
      </w:pPr>
      <w:hyperlink r:id="rId188" w:history="1">
        <w:r w:rsidR="00661E20" w:rsidRPr="008C62A9">
          <w:rPr>
            <w:rFonts w:ascii="Arial" w:hAnsi="Arial" w:cs="Arial"/>
            <w:sz w:val="20"/>
            <w:szCs w:val="20"/>
          </w:rPr>
          <w:t xml:space="preserve">59. </w:t>
        </w:r>
        <w:r w:rsidR="00661E20" w:rsidRPr="008C62A9">
          <w:rPr>
            <w:rFonts w:ascii="Arial" w:hAnsi="Arial" w:cs="Arial"/>
            <w:sz w:val="20"/>
            <w:szCs w:val="20"/>
          </w:rPr>
          <w:tab/>
        </w:r>
      </w:hyperlink>
      <w:hyperlink r:id="rId189" w:history="1">
        <w:r w:rsidR="00661E20" w:rsidRPr="008C62A9">
          <w:rPr>
            <w:rFonts w:ascii="Arial" w:hAnsi="Arial" w:cs="Arial"/>
            <w:sz w:val="20"/>
            <w:szCs w:val="20"/>
          </w:rPr>
          <w:t xml:space="preserve">Sattar N. Revisiting the links between glycaemia, diabetes and cardiovascular disease. </w:t>
        </w:r>
        <w:proofErr w:type="spellStart"/>
        <w:r w:rsidR="00661E20" w:rsidRPr="008C62A9">
          <w:rPr>
            <w:rFonts w:ascii="Arial" w:hAnsi="Arial" w:cs="Arial"/>
            <w:sz w:val="20"/>
            <w:szCs w:val="20"/>
          </w:rPr>
          <w:t>Diabetologia</w:t>
        </w:r>
        <w:proofErr w:type="spellEnd"/>
        <w:r w:rsidR="00661E20" w:rsidRPr="008C62A9">
          <w:rPr>
            <w:rFonts w:ascii="Arial" w:hAnsi="Arial" w:cs="Arial"/>
            <w:sz w:val="20"/>
            <w:szCs w:val="20"/>
          </w:rPr>
          <w:t>. 2013;56: 686–695.</w:t>
        </w:r>
      </w:hyperlink>
    </w:p>
    <w:p w14:paraId="1E8C6519" w14:textId="77777777" w:rsidR="00661E20" w:rsidRPr="008C62A9" w:rsidRDefault="00F1052A" w:rsidP="00661E20">
      <w:pPr>
        <w:spacing w:after="220" w:line="240" w:lineRule="auto"/>
        <w:ind w:hanging="440"/>
        <w:rPr>
          <w:rFonts w:ascii="Arial" w:hAnsi="Arial" w:cs="Arial"/>
          <w:sz w:val="20"/>
          <w:szCs w:val="20"/>
        </w:rPr>
      </w:pPr>
      <w:hyperlink r:id="rId190" w:history="1">
        <w:r w:rsidR="00661E20" w:rsidRPr="008C62A9">
          <w:rPr>
            <w:rFonts w:ascii="Arial" w:hAnsi="Arial" w:cs="Arial"/>
            <w:sz w:val="20"/>
            <w:szCs w:val="20"/>
          </w:rPr>
          <w:t xml:space="preserve">60. </w:t>
        </w:r>
        <w:r w:rsidR="00661E20" w:rsidRPr="008C62A9">
          <w:rPr>
            <w:rFonts w:ascii="Arial" w:hAnsi="Arial" w:cs="Arial"/>
            <w:sz w:val="20"/>
            <w:szCs w:val="20"/>
          </w:rPr>
          <w:tab/>
        </w:r>
      </w:hyperlink>
      <w:hyperlink r:id="rId191" w:history="1">
        <w:r w:rsidR="00661E20" w:rsidRPr="008C62A9">
          <w:rPr>
            <w:rFonts w:ascii="Arial" w:hAnsi="Arial" w:cs="Arial"/>
            <w:sz w:val="20"/>
            <w:szCs w:val="20"/>
          </w:rPr>
          <w:t xml:space="preserve">Mortensen MB, </w:t>
        </w:r>
        <w:proofErr w:type="spellStart"/>
        <w:r w:rsidR="00661E20" w:rsidRPr="008C62A9">
          <w:rPr>
            <w:rFonts w:ascii="Arial" w:hAnsi="Arial" w:cs="Arial"/>
            <w:sz w:val="20"/>
            <w:szCs w:val="20"/>
          </w:rPr>
          <w:t>Kulenovic</w:t>
        </w:r>
        <w:proofErr w:type="spellEnd"/>
        <w:r w:rsidR="00661E20" w:rsidRPr="008C62A9">
          <w:rPr>
            <w:rFonts w:ascii="Arial" w:hAnsi="Arial" w:cs="Arial"/>
            <w:sz w:val="20"/>
            <w:szCs w:val="20"/>
          </w:rPr>
          <w:t xml:space="preserve"> I, Falk E. Statin use and cardiovascular risk factors in diabetic patients developing a first myocardial infarction. Cardiovasc </w:t>
        </w:r>
        <w:proofErr w:type="spellStart"/>
        <w:r w:rsidR="00661E20" w:rsidRPr="008C62A9">
          <w:rPr>
            <w:rFonts w:ascii="Arial" w:hAnsi="Arial" w:cs="Arial"/>
            <w:sz w:val="20"/>
            <w:szCs w:val="20"/>
          </w:rPr>
          <w:t>Diabetol</w:t>
        </w:r>
        <w:proofErr w:type="spellEnd"/>
        <w:r w:rsidR="00661E20" w:rsidRPr="008C62A9">
          <w:rPr>
            <w:rFonts w:ascii="Arial" w:hAnsi="Arial" w:cs="Arial"/>
            <w:sz w:val="20"/>
            <w:szCs w:val="20"/>
          </w:rPr>
          <w:t>. BioMed Central; 2016;15: 81.</w:t>
        </w:r>
      </w:hyperlink>
    </w:p>
    <w:p w14:paraId="0B0F3AA4" w14:textId="77777777" w:rsidR="00661E20" w:rsidRPr="008C62A9" w:rsidRDefault="00F1052A" w:rsidP="00661E20">
      <w:pPr>
        <w:spacing w:after="220" w:line="240" w:lineRule="auto"/>
        <w:ind w:hanging="440"/>
        <w:rPr>
          <w:rFonts w:ascii="Arial" w:hAnsi="Arial" w:cs="Arial"/>
          <w:sz w:val="20"/>
          <w:szCs w:val="20"/>
        </w:rPr>
      </w:pPr>
      <w:hyperlink r:id="rId192" w:history="1">
        <w:r w:rsidR="00661E20" w:rsidRPr="008C62A9">
          <w:rPr>
            <w:rFonts w:ascii="Arial" w:hAnsi="Arial" w:cs="Arial"/>
            <w:sz w:val="20"/>
            <w:szCs w:val="20"/>
          </w:rPr>
          <w:t xml:space="preserve">61. </w:t>
        </w:r>
        <w:r w:rsidR="00661E20" w:rsidRPr="008C62A9">
          <w:rPr>
            <w:rFonts w:ascii="Arial" w:hAnsi="Arial" w:cs="Arial"/>
            <w:sz w:val="20"/>
            <w:szCs w:val="20"/>
          </w:rPr>
          <w:tab/>
        </w:r>
      </w:hyperlink>
      <w:hyperlink r:id="rId193" w:history="1">
        <w:proofErr w:type="spellStart"/>
        <w:r w:rsidR="00661E20" w:rsidRPr="008C62A9">
          <w:rPr>
            <w:rFonts w:ascii="Arial" w:hAnsi="Arial" w:cs="Arial"/>
            <w:sz w:val="20"/>
            <w:szCs w:val="20"/>
          </w:rPr>
          <w:t>Guimarães</w:t>
        </w:r>
        <w:proofErr w:type="spellEnd"/>
        <w:r w:rsidR="00661E20" w:rsidRPr="008C62A9">
          <w:rPr>
            <w:rFonts w:ascii="Arial" w:hAnsi="Arial" w:cs="Arial"/>
            <w:sz w:val="20"/>
            <w:szCs w:val="20"/>
          </w:rPr>
          <w:t xml:space="preserve"> RM, Andrade SSC de A, Machado EL, Bahia CA, Oliveira MM de, Jacques FVL. [Regional differences in cardiovascular mortality transition in Brazil, 1980 to 2012]. Rev </w:t>
        </w:r>
        <w:proofErr w:type="spellStart"/>
        <w:r w:rsidR="00661E20" w:rsidRPr="008C62A9">
          <w:rPr>
            <w:rFonts w:ascii="Arial" w:hAnsi="Arial" w:cs="Arial"/>
            <w:sz w:val="20"/>
            <w:szCs w:val="20"/>
          </w:rPr>
          <w:t>Panam</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Salud</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Publica</w:t>
        </w:r>
        <w:proofErr w:type="spellEnd"/>
        <w:r w:rsidR="00661E20" w:rsidRPr="008C62A9">
          <w:rPr>
            <w:rFonts w:ascii="Arial" w:hAnsi="Arial" w:cs="Arial"/>
            <w:sz w:val="20"/>
            <w:szCs w:val="20"/>
          </w:rPr>
          <w:t>. 2015;37: 83–89.</w:t>
        </w:r>
      </w:hyperlink>
    </w:p>
    <w:p w14:paraId="62494EC9" w14:textId="77777777" w:rsidR="00661E20" w:rsidRPr="008C62A9" w:rsidRDefault="00F1052A" w:rsidP="00661E20">
      <w:pPr>
        <w:spacing w:after="220" w:line="240" w:lineRule="auto"/>
        <w:ind w:hanging="440"/>
        <w:rPr>
          <w:rFonts w:ascii="Arial" w:hAnsi="Arial" w:cs="Arial"/>
          <w:sz w:val="20"/>
          <w:szCs w:val="20"/>
        </w:rPr>
      </w:pPr>
      <w:hyperlink r:id="rId194" w:history="1">
        <w:r w:rsidR="00661E20" w:rsidRPr="008C62A9">
          <w:rPr>
            <w:rFonts w:ascii="Arial" w:hAnsi="Arial" w:cs="Arial"/>
            <w:sz w:val="20"/>
            <w:szCs w:val="20"/>
          </w:rPr>
          <w:t xml:space="preserve">62. </w:t>
        </w:r>
        <w:r w:rsidR="00661E20" w:rsidRPr="008C62A9">
          <w:rPr>
            <w:rFonts w:ascii="Arial" w:hAnsi="Arial" w:cs="Arial"/>
            <w:sz w:val="20"/>
            <w:szCs w:val="20"/>
          </w:rPr>
          <w:tab/>
        </w:r>
      </w:hyperlink>
      <w:hyperlink r:id="rId195" w:history="1">
        <w:r w:rsidR="00661E20" w:rsidRPr="008C62A9">
          <w:rPr>
            <w:rFonts w:ascii="Arial" w:hAnsi="Arial" w:cs="Arial"/>
            <w:sz w:val="20"/>
            <w:szCs w:val="20"/>
          </w:rPr>
          <w:t>Pedro-</w:t>
        </w:r>
        <w:proofErr w:type="spellStart"/>
        <w:r w:rsidR="00661E20" w:rsidRPr="008C62A9">
          <w:rPr>
            <w:rFonts w:ascii="Arial" w:hAnsi="Arial" w:cs="Arial"/>
            <w:sz w:val="20"/>
            <w:szCs w:val="20"/>
          </w:rPr>
          <w:t>Botet</w:t>
        </w:r>
        <w:proofErr w:type="spellEnd"/>
        <w:r w:rsidR="00661E20" w:rsidRPr="008C62A9">
          <w:rPr>
            <w:rFonts w:ascii="Arial" w:hAnsi="Arial" w:cs="Arial"/>
            <w:sz w:val="20"/>
            <w:szCs w:val="20"/>
          </w:rPr>
          <w:t xml:space="preserve"> J, </w:t>
        </w:r>
        <w:proofErr w:type="spellStart"/>
        <w:r w:rsidR="00661E20" w:rsidRPr="008C62A9">
          <w:rPr>
            <w:rFonts w:ascii="Arial" w:hAnsi="Arial" w:cs="Arial"/>
            <w:sz w:val="20"/>
            <w:szCs w:val="20"/>
          </w:rPr>
          <w:t>Climent</w:t>
        </w:r>
        <w:proofErr w:type="spellEnd"/>
        <w:r w:rsidR="00661E20" w:rsidRPr="008C62A9">
          <w:rPr>
            <w:rFonts w:ascii="Arial" w:hAnsi="Arial" w:cs="Arial"/>
            <w:sz w:val="20"/>
            <w:szCs w:val="20"/>
          </w:rPr>
          <w:t xml:space="preserve"> E, </w:t>
        </w:r>
        <w:proofErr w:type="spellStart"/>
        <w:r w:rsidR="00661E20" w:rsidRPr="008C62A9">
          <w:rPr>
            <w:rFonts w:ascii="Arial" w:hAnsi="Arial" w:cs="Arial"/>
            <w:sz w:val="20"/>
            <w:szCs w:val="20"/>
          </w:rPr>
          <w:t>Chillarón</w:t>
        </w:r>
        <w:proofErr w:type="spellEnd"/>
        <w:r w:rsidR="00661E20" w:rsidRPr="008C62A9">
          <w:rPr>
            <w:rFonts w:ascii="Arial" w:hAnsi="Arial" w:cs="Arial"/>
            <w:sz w:val="20"/>
            <w:szCs w:val="20"/>
          </w:rPr>
          <w:t xml:space="preserve"> JJ, Toro R, </w:t>
        </w:r>
        <w:proofErr w:type="spellStart"/>
        <w:r w:rsidR="00661E20" w:rsidRPr="008C62A9">
          <w:rPr>
            <w:rFonts w:ascii="Arial" w:hAnsi="Arial" w:cs="Arial"/>
            <w:sz w:val="20"/>
            <w:szCs w:val="20"/>
          </w:rPr>
          <w:t>Benaiges</w:t>
        </w:r>
        <w:proofErr w:type="spellEnd"/>
        <w:r w:rsidR="00661E20" w:rsidRPr="008C62A9">
          <w:rPr>
            <w:rFonts w:ascii="Arial" w:hAnsi="Arial" w:cs="Arial"/>
            <w:sz w:val="20"/>
            <w:szCs w:val="20"/>
          </w:rPr>
          <w:t xml:space="preserve"> D, Flores-Le Roux JA. Statins for primary cardiovascular prevention in the elderly. J </w:t>
        </w:r>
        <w:proofErr w:type="spellStart"/>
        <w:r w:rsidR="00661E20" w:rsidRPr="008C62A9">
          <w:rPr>
            <w:rFonts w:ascii="Arial" w:hAnsi="Arial" w:cs="Arial"/>
            <w:sz w:val="20"/>
            <w:szCs w:val="20"/>
          </w:rPr>
          <w:t>Geriatr</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Cardiol</w:t>
        </w:r>
        <w:proofErr w:type="spellEnd"/>
        <w:r w:rsidR="00661E20" w:rsidRPr="008C62A9">
          <w:rPr>
            <w:rFonts w:ascii="Arial" w:hAnsi="Arial" w:cs="Arial"/>
            <w:sz w:val="20"/>
            <w:szCs w:val="20"/>
          </w:rPr>
          <w:t>. 2015;12: 431–438.</w:t>
        </w:r>
      </w:hyperlink>
    </w:p>
    <w:p w14:paraId="3160717A" w14:textId="77777777" w:rsidR="00661E20" w:rsidRPr="008C62A9" w:rsidRDefault="00F1052A" w:rsidP="00661E20">
      <w:pPr>
        <w:spacing w:after="220" w:line="240" w:lineRule="auto"/>
        <w:ind w:hanging="440"/>
        <w:rPr>
          <w:rFonts w:ascii="Arial" w:hAnsi="Arial" w:cs="Arial"/>
          <w:sz w:val="20"/>
          <w:szCs w:val="20"/>
        </w:rPr>
      </w:pPr>
      <w:hyperlink r:id="rId196" w:history="1">
        <w:r w:rsidR="00661E20" w:rsidRPr="008C62A9">
          <w:rPr>
            <w:rFonts w:ascii="Arial" w:hAnsi="Arial" w:cs="Arial"/>
            <w:sz w:val="20"/>
            <w:szCs w:val="20"/>
          </w:rPr>
          <w:t xml:space="preserve">63. </w:t>
        </w:r>
        <w:r w:rsidR="00661E20" w:rsidRPr="008C62A9">
          <w:rPr>
            <w:rFonts w:ascii="Arial" w:hAnsi="Arial" w:cs="Arial"/>
            <w:sz w:val="20"/>
            <w:szCs w:val="20"/>
          </w:rPr>
          <w:tab/>
        </w:r>
      </w:hyperlink>
      <w:hyperlink r:id="rId197" w:history="1">
        <w:proofErr w:type="spellStart"/>
        <w:r w:rsidR="00661E20" w:rsidRPr="008C62A9">
          <w:rPr>
            <w:rFonts w:ascii="Arial" w:hAnsi="Arial" w:cs="Arial"/>
            <w:sz w:val="20"/>
            <w:szCs w:val="20"/>
          </w:rPr>
          <w:t>Gurwitz</w:t>
        </w:r>
        <w:proofErr w:type="spellEnd"/>
        <w:r w:rsidR="00661E20" w:rsidRPr="008C62A9">
          <w:rPr>
            <w:rFonts w:ascii="Arial" w:hAnsi="Arial" w:cs="Arial"/>
            <w:sz w:val="20"/>
            <w:szCs w:val="20"/>
          </w:rPr>
          <w:t xml:space="preserve"> JH, Go AS, </w:t>
        </w:r>
        <w:proofErr w:type="spellStart"/>
        <w:r w:rsidR="00661E20" w:rsidRPr="008C62A9">
          <w:rPr>
            <w:rFonts w:ascii="Arial" w:hAnsi="Arial" w:cs="Arial"/>
            <w:sz w:val="20"/>
            <w:szCs w:val="20"/>
          </w:rPr>
          <w:t>Fortmann</w:t>
        </w:r>
        <w:proofErr w:type="spellEnd"/>
        <w:r w:rsidR="00661E20" w:rsidRPr="008C62A9">
          <w:rPr>
            <w:rFonts w:ascii="Arial" w:hAnsi="Arial" w:cs="Arial"/>
            <w:sz w:val="20"/>
            <w:szCs w:val="20"/>
          </w:rPr>
          <w:t xml:space="preserve"> SP. Statins for Primary Prevention in Older Adults. JAMA. 2016;316: 1971.</w:t>
        </w:r>
      </w:hyperlink>
    </w:p>
    <w:p w14:paraId="5BEE23D8" w14:textId="77777777" w:rsidR="00661E20" w:rsidRPr="008C62A9" w:rsidRDefault="00F1052A" w:rsidP="00661E20">
      <w:pPr>
        <w:spacing w:after="220" w:line="240" w:lineRule="auto"/>
        <w:ind w:hanging="440"/>
        <w:rPr>
          <w:rFonts w:ascii="Arial" w:hAnsi="Arial" w:cs="Arial"/>
          <w:sz w:val="20"/>
          <w:szCs w:val="20"/>
        </w:rPr>
      </w:pPr>
      <w:hyperlink r:id="rId198" w:history="1">
        <w:r w:rsidR="00661E20" w:rsidRPr="008C62A9">
          <w:rPr>
            <w:rFonts w:ascii="Arial" w:hAnsi="Arial" w:cs="Arial"/>
            <w:sz w:val="20"/>
            <w:szCs w:val="20"/>
          </w:rPr>
          <w:t xml:space="preserve">64. </w:t>
        </w:r>
        <w:r w:rsidR="00661E20" w:rsidRPr="008C62A9">
          <w:rPr>
            <w:rFonts w:ascii="Arial" w:hAnsi="Arial" w:cs="Arial"/>
            <w:sz w:val="20"/>
            <w:szCs w:val="20"/>
          </w:rPr>
          <w:tab/>
        </w:r>
      </w:hyperlink>
      <w:hyperlink r:id="rId199" w:history="1">
        <w:proofErr w:type="spellStart"/>
        <w:r w:rsidR="00661E20" w:rsidRPr="008C62A9">
          <w:rPr>
            <w:rFonts w:ascii="Arial" w:hAnsi="Arial" w:cs="Arial"/>
            <w:sz w:val="20"/>
            <w:szCs w:val="20"/>
          </w:rPr>
          <w:t>Cadogan</w:t>
        </w:r>
        <w:proofErr w:type="spellEnd"/>
        <w:r w:rsidR="00661E20" w:rsidRPr="008C62A9">
          <w:rPr>
            <w:rFonts w:ascii="Arial" w:hAnsi="Arial" w:cs="Arial"/>
            <w:sz w:val="20"/>
            <w:szCs w:val="20"/>
          </w:rPr>
          <w:t xml:space="preserve"> CA, Ryan C, Hughes CM. Appropriate Polypharmacy and Medicine Safety: When Many is not Too Many. Drug </w:t>
        </w:r>
        <w:proofErr w:type="spellStart"/>
        <w:r w:rsidR="00661E20" w:rsidRPr="008C62A9">
          <w:rPr>
            <w:rFonts w:ascii="Arial" w:hAnsi="Arial" w:cs="Arial"/>
            <w:sz w:val="20"/>
            <w:szCs w:val="20"/>
          </w:rPr>
          <w:t>Saf</w:t>
        </w:r>
        <w:proofErr w:type="spellEnd"/>
        <w:r w:rsidR="00661E20" w:rsidRPr="008C62A9">
          <w:rPr>
            <w:rFonts w:ascii="Arial" w:hAnsi="Arial" w:cs="Arial"/>
            <w:sz w:val="20"/>
            <w:szCs w:val="20"/>
          </w:rPr>
          <w:t>. 2016;39: 109–116.</w:t>
        </w:r>
      </w:hyperlink>
    </w:p>
    <w:p w14:paraId="59E1FD18" w14:textId="77777777" w:rsidR="00661E20" w:rsidRPr="008C62A9" w:rsidRDefault="00F1052A" w:rsidP="00661E20">
      <w:pPr>
        <w:spacing w:after="220" w:line="240" w:lineRule="auto"/>
        <w:ind w:hanging="440"/>
        <w:rPr>
          <w:rFonts w:ascii="Arial" w:hAnsi="Arial" w:cs="Arial"/>
          <w:sz w:val="20"/>
          <w:szCs w:val="20"/>
        </w:rPr>
      </w:pPr>
      <w:hyperlink r:id="rId200" w:history="1">
        <w:r w:rsidR="00661E20" w:rsidRPr="008C62A9">
          <w:rPr>
            <w:rFonts w:ascii="Arial" w:hAnsi="Arial" w:cs="Arial"/>
            <w:sz w:val="20"/>
            <w:szCs w:val="20"/>
          </w:rPr>
          <w:t xml:space="preserve">65. </w:t>
        </w:r>
        <w:r w:rsidR="00661E20" w:rsidRPr="008C62A9">
          <w:rPr>
            <w:rFonts w:ascii="Arial" w:hAnsi="Arial" w:cs="Arial"/>
            <w:sz w:val="20"/>
            <w:szCs w:val="20"/>
          </w:rPr>
          <w:tab/>
        </w:r>
      </w:hyperlink>
      <w:hyperlink r:id="rId201" w:history="1">
        <w:proofErr w:type="spellStart"/>
        <w:r w:rsidR="00661E20" w:rsidRPr="008C62A9">
          <w:rPr>
            <w:rFonts w:ascii="Arial" w:hAnsi="Arial" w:cs="Arial"/>
            <w:sz w:val="20"/>
            <w:szCs w:val="20"/>
          </w:rPr>
          <w:t>Secoli</w:t>
        </w:r>
        <w:proofErr w:type="spellEnd"/>
        <w:r w:rsidR="00661E20" w:rsidRPr="008C62A9">
          <w:rPr>
            <w:rFonts w:ascii="Arial" w:hAnsi="Arial" w:cs="Arial"/>
            <w:sz w:val="20"/>
            <w:szCs w:val="20"/>
          </w:rPr>
          <w:t xml:space="preserve"> S, Danzi N, Lima F, Filho G, Cesar L. Drug interactions in patients with coronary artery disease. Rev Bras </w:t>
        </w:r>
        <w:proofErr w:type="spellStart"/>
        <w:r w:rsidR="00661E20" w:rsidRPr="008C62A9">
          <w:rPr>
            <w:rFonts w:ascii="Arial" w:hAnsi="Arial" w:cs="Arial"/>
            <w:sz w:val="20"/>
            <w:szCs w:val="20"/>
          </w:rPr>
          <w:t>Cardiol</w:t>
        </w:r>
        <w:proofErr w:type="spellEnd"/>
        <w:r w:rsidR="00661E20" w:rsidRPr="008C62A9">
          <w:rPr>
            <w:rFonts w:ascii="Arial" w:hAnsi="Arial" w:cs="Arial"/>
            <w:sz w:val="20"/>
            <w:szCs w:val="20"/>
          </w:rPr>
          <w:t>. International Journal of Cardiovascular Sciences; 2011;25: 11–18.</w:t>
        </w:r>
      </w:hyperlink>
    </w:p>
    <w:p w14:paraId="4DB76393" w14:textId="77777777" w:rsidR="00661E20" w:rsidRPr="008C62A9" w:rsidRDefault="00661E20" w:rsidP="00661E20">
      <w:pPr>
        <w:spacing w:after="220" w:line="240" w:lineRule="auto"/>
        <w:ind w:hanging="440"/>
        <w:rPr>
          <w:rFonts w:ascii="Arial" w:hAnsi="Arial" w:cs="Arial"/>
          <w:sz w:val="20"/>
          <w:szCs w:val="20"/>
        </w:rPr>
      </w:pPr>
      <w:r w:rsidRPr="008C62A9">
        <w:rPr>
          <w:rFonts w:ascii="Arial" w:hAnsi="Arial" w:cs="Arial"/>
          <w:sz w:val="20"/>
          <w:szCs w:val="20"/>
        </w:rPr>
        <w:t xml:space="preserve">66. </w:t>
      </w:r>
      <w:r w:rsidRPr="008C62A9">
        <w:rPr>
          <w:rFonts w:ascii="Arial" w:hAnsi="Arial" w:cs="Arial"/>
          <w:noProof/>
          <w:sz w:val="20"/>
          <w:szCs w:val="20"/>
        </w:rPr>
        <w:t>Garuoliene K, Godman B, Gulbinovic J, Schiffers K, Wettermark B. Differences in utilization rates between commercial and administrative databases: implications for future health-economic and cross-national studies. Expert review of pharmacoeconomics &amp; outcomes research. 2016;16(2):149-52</w:t>
      </w:r>
    </w:p>
    <w:p w14:paraId="0F73E0C9" w14:textId="77777777" w:rsidR="00661E20" w:rsidRPr="008C62A9" w:rsidRDefault="00F1052A" w:rsidP="00661E20">
      <w:pPr>
        <w:spacing w:after="220" w:line="240" w:lineRule="auto"/>
        <w:ind w:hanging="440"/>
        <w:rPr>
          <w:rFonts w:ascii="Arial" w:hAnsi="Arial" w:cs="Arial"/>
          <w:sz w:val="20"/>
          <w:szCs w:val="20"/>
        </w:rPr>
      </w:pPr>
      <w:hyperlink r:id="rId202" w:history="1">
        <w:r w:rsidR="00661E20" w:rsidRPr="008C62A9">
          <w:rPr>
            <w:rFonts w:ascii="Arial" w:hAnsi="Arial" w:cs="Arial"/>
            <w:sz w:val="20"/>
            <w:szCs w:val="20"/>
          </w:rPr>
          <w:t xml:space="preserve">67. </w:t>
        </w:r>
        <w:r w:rsidR="00661E20" w:rsidRPr="008C62A9">
          <w:rPr>
            <w:rFonts w:ascii="Arial" w:hAnsi="Arial" w:cs="Arial"/>
            <w:sz w:val="20"/>
            <w:szCs w:val="20"/>
          </w:rPr>
          <w:tab/>
        </w:r>
      </w:hyperlink>
      <w:r w:rsidR="00661E20" w:rsidRPr="008C62A9">
        <w:rPr>
          <w:rFonts w:ascii="Arial" w:hAnsi="Arial" w:cs="Arial"/>
          <w:noProof/>
          <w:sz w:val="20"/>
          <w:szCs w:val="20"/>
        </w:rPr>
        <w:t>Godman B, Sakshaug S, Berg C, Wettermark B, Haycox A. Combination of prescribing restrictions and policies to engineer low prices to reduce reimbursement costs. Expert review of pharmacoeconomics &amp; outcomes research. 2011;11(1):121-9.</w:t>
      </w:r>
    </w:p>
    <w:p w14:paraId="6B834573" w14:textId="77777777" w:rsidR="00661E20" w:rsidRPr="008C62A9" w:rsidRDefault="00F1052A" w:rsidP="00661E20">
      <w:pPr>
        <w:spacing w:after="220" w:line="240" w:lineRule="auto"/>
        <w:ind w:hanging="440"/>
        <w:rPr>
          <w:rFonts w:ascii="Arial" w:hAnsi="Arial" w:cs="Arial"/>
          <w:sz w:val="20"/>
          <w:szCs w:val="20"/>
        </w:rPr>
      </w:pPr>
      <w:hyperlink r:id="rId203" w:history="1">
        <w:r w:rsidR="00661E20" w:rsidRPr="008C62A9">
          <w:rPr>
            <w:rFonts w:ascii="Arial" w:hAnsi="Arial" w:cs="Arial"/>
            <w:sz w:val="20"/>
            <w:szCs w:val="20"/>
          </w:rPr>
          <w:t xml:space="preserve">68. </w:t>
        </w:r>
        <w:r w:rsidR="00661E20" w:rsidRPr="008C62A9">
          <w:rPr>
            <w:rFonts w:ascii="Arial" w:hAnsi="Arial" w:cs="Arial"/>
            <w:sz w:val="20"/>
            <w:szCs w:val="20"/>
          </w:rPr>
          <w:tab/>
        </w:r>
      </w:hyperlink>
      <w:hyperlink r:id="rId204" w:history="1">
        <w:r w:rsidR="00661E20" w:rsidRPr="008C62A9">
          <w:rPr>
            <w:rFonts w:ascii="Arial" w:hAnsi="Arial" w:cs="Arial"/>
            <w:sz w:val="20"/>
            <w:szCs w:val="20"/>
          </w:rPr>
          <w:t xml:space="preserve">Godman B, </w:t>
        </w:r>
        <w:proofErr w:type="spellStart"/>
        <w:r w:rsidR="00661E20" w:rsidRPr="008C62A9">
          <w:rPr>
            <w:rFonts w:ascii="Arial" w:hAnsi="Arial" w:cs="Arial"/>
            <w:sz w:val="20"/>
            <w:szCs w:val="20"/>
          </w:rPr>
          <w:t>Wettermark</w:t>
        </w:r>
        <w:proofErr w:type="spellEnd"/>
        <w:r w:rsidR="00661E20" w:rsidRPr="008C62A9">
          <w:rPr>
            <w:rFonts w:ascii="Arial" w:hAnsi="Arial" w:cs="Arial"/>
            <w:sz w:val="20"/>
            <w:szCs w:val="20"/>
          </w:rPr>
          <w:t xml:space="preserve"> B, van </w:t>
        </w:r>
        <w:proofErr w:type="spellStart"/>
        <w:r w:rsidR="00661E20" w:rsidRPr="008C62A9">
          <w:rPr>
            <w:rFonts w:ascii="Arial" w:hAnsi="Arial" w:cs="Arial"/>
            <w:sz w:val="20"/>
            <w:szCs w:val="20"/>
          </w:rPr>
          <w:t>Woerkom</w:t>
        </w:r>
        <w:proofErr w:type="spellEnd"/>
        <w:r w:rsidR="00661E20" w:rsidRPr="008C62A9">
          <w:rPr>
            <w:rFonts w:ascii="Arial" w:hAnsi="Arial" w:cs="Arial"/>
            <w:sz w:val="20"/>
            <w:szCs w:val="20"/>
          </w:rPr>
          <w:t xml:space="preserve"> M, </w:t>
        </w:r>
        <w:proofErr w:type="spellStart"/>
        <w:r w:rsidR="00661E20" w:rsidRPr="008C62A9">
          <w:rPr>
            <w:rFonts w:ascii="Arial" w:hAnsi="Arial" w:cs="Arial"/>
            <w:sz w:val="20"/>
            <w:szCs w:val="20"/>
          </w:rPr>
          <w:t>Fraeyman</w:t>
        </w:r>
        <w:proofErr w:type="spellEnd"/>
        <w:r w:rsidR="00661E20" w:rsidRPr="008C62A9">
          <w:rPr>
            <w:rFonts w:ascii="Arial" w:hAnsi="Arial" w:cs="Arial"/>
            <w:sz w:val="20"/>
            <w:szCs w:val="20"/>
          </w:rPr>
          <w:t xml:space="preserve"> J, Alvarez-</w:t>
        </w:r>
        <w:proofErr w:type="spellStart"/>
        <w:r w:rsidR="00661E20" w:rsidRPr="008C62A9">
          <w:rPr>
            <w:rFonts w:ascii="Arial" w:hAnsi="Arial" w:cs="Arial"/>
            <w:sz w:val="20"/>
            <w:szCs w:val="20"/>
          </w:rPr>
          <w:t>Madrazo</w:t>
        </w:r>
        <w:proofErr w:type="spellEnd"/>
        <w:r w:rsidR="00661E20" w:rsidRPr="008C62A9">
          <w:rPr>
            <w:rFonts w:ascii="Arial" w:hAnsi="Arial" w:cs="Arial"/>
            <w:sz w:val="20"/>
            <w:szCs w:val="20"/>
          </w:rPr>
          <w:t xml:space="preserve"> S, Berg C, et al. Multiple policies to enhance prescribing efficiency for established medicines in Europe with a particular focus on demand-side measures: findings and future implications. Front </w:t>
        </w:r>
        <w:proofErr w:type="spellStart"/>
        <w:r w:rsidR="00661E20" w:rsidRPr="008C62A9">
          <w:rPr>
            <w:rFonts w:ascii="Arial" w:hAnsi="Arial" w:cs="Arial"/>
            <w:sz w:val="20"/>
            <w:szCs w:val="20"/>
          </w:rPr>
          <w:t>Pharmacol</w:t>
        </w:r>
        <w:proofErr w:type="spellEnd"/>
        <w:r w:rsidR="00661E20" w:rsidRPr="008C62A9">
          <w:rPr>
            <w:rFonts w:ascii="Arial" w:hAnsi="Arial" w:cs="Arial"/>
            <w:sz w:val="20"/>
            <w:szCs w:val="20"/>
          </w:rPr>
          <w:t>. 2014;5: 106.</w:t>
        </w:r>
      </w:hyperlink>
    </w:p>
    <w:p w14:paraId="260C4317" w14:textId="77777777" w:rsidR="00661E20" w:rsidRPr="008C62A9" w:rsidRDefault="00F1052A" w:rsidP="00661E20">
      <w:pPr>
        <w:spacing w:after="220" w:line="240" w:lineRule="auto"/>
        <w:ind w:hanging="440"/>
        <w:rPr>
          <w:rFonts w:ascii="Arial" w:hAnsi="Arial" w:cs="Arial"/>
          <w:sz w:val="20"/>
          <w:szCs w:val="20"/>
        </w:rPr>
      </w:pPr>
      <w:hyperlink r:id="rId205" w:history="1">
        <w:r w:rsidR="00661E20" w:rsidRPr="008C62A9">
          <w:rPr>
            <w:rFonts w:ascii="Arial" w:hAnsi="Arial" w:cs="Arial"/>
            <w:sz w:val="20"/>
            <w:szCs w:val="20"/>
          </w:rPr>
          <w:t xml:space="preserve">69. </w:t>
        </w:r>
        <w:r w:rsidR="00661E20" w:rsidRPr="008C62A9">
          <w:rPr>
            <w:rFonts w:ascii="Arial" w:hAnsi="Arial" w:cs="Arial"/>
            <w:sz w:val="20"/>
            <w:szCs w:val="20"/>
          </w:rPr>
          <w:tab/>
        </w:r>
      </w:hyperlink>
      <w:hyperlink r:id="rId206" w:history="1">
        <w:r w:rsidR="00661E20" w:rsidRPr="008C62A9">
          <w:rPr>
            <w:rFonts w:ascii="Arial" w:hAnsi="Arial" w:cs="Arial"/>
            <w:sz w:val="20"/>
            <w:szCs w:val="20"/>
          </w:rPr>
          <w:t xml:space="preserve">Deshpande S, Quek RGW, Forbes CA, de </w:t>
        </w:r>
        <w:proofErr w:type="spellStart"/>
        <w:r w:rsidR="00661E20" w:rsidRPr="008C62A9">
          <w:rPr>
            <w:rFonts w:ascii="Arial" w:hAnsi="Arial" w:cs="Arial"/>
            <w:sz w:val="20"/>
            <w:szCs w:val="20"/>
          </w:rPr>
          <w:t>Kock</w:t>
        </w:r>
        <w:proofErr w:type="spellEnd"/>
        <w:r w:rsidR="00661E20" w:rsidRPr="008C62A9">
          <w:rPr>
            <w:rFonts w:ascii="Arial" w:hAnsi="Arial" w:cs="Arial"/>
            <w:sz w:val="20"/>
            <w:szCs w:val="20"/>
          </w:rPr>
          <w:t xml:space="preserve"> S, </w:t>
        </w:r>
        <w:proofErr w:type="spellStart"/>
        <w:r w:rsidR="00661E20" w:rsidRPr="008C62A9">
          <w:rPr>
            <w:rFonts w:ascii="Arial" w:hAnsi="Arial" w:cs="Arial"/>
            <w:sz w:val="20"/>
            <w:szCs w:val="20"/>
          </w:rPr>
          <w:t>Kleijnen</w:t>
        </w:r>
        <w:proofErr w:type="spellEnd"/>
        <w:r w:rsidR="00661E20" w:rsidRPr="008C62A9">
          <w:rPr>
            <w:rFonts w:ascii="Arial" w:hAnsi="Arial" w:cs="Arial"/>
            <w:sz w:val="20"/>
            <w:szCs w:val="20"/>
          </w:rPr>
          <w:t xml:space="preserve"> J, </w:t>
        </w:r>
        <w:proofErr w:type="spellStart"/>
        <w:r w:rsidR="00661E20" w:rsidRPr="008C62A9">
          <w:rPr>
            <w:rFonts w:ascii="Arial" w:hAnsi="Arial" w:cs="Arial"/>
            <w:sz w:val="20"/>
            <w:szCs w:val="20"/>
          </w:rPr>
          <w:t>Gandra</w:t>
        </w:r>
        <w:proofErr w:type="spellEnd"/>
        <w:r w:rsidR="00661E20" w:rsidRPr="008C62A9">
          <w:rPr>
            <w:rFonts w:ascii="Arial" w:hAnsi="Arial" w:cs="Arial"/>
            <w:sz w:val="20"/>
            <w:szCs w:val="20"/>
          </w:rPr>
          <w:t xml:space="preserve"> SR, et al. A systematic review to assess adherence and persistence with statins. </w:t>
        </w:r>
        <w:proofErr w:type="spellStart"/>
        <w:r w:rsidR="00661E20" w:rsidRPr="008C62A9">
          <w:rPr>
            <w:rFonts w:ascii="Arial" w:hAnsi="Arial" w:cs="Arial"/>
            <w:sz w:val="20"/>
            <w:szCs w:val="20"/>
          </w:rPr>
          <w:t>Curr</w:t>
        </w:r>
        <w:proofErr w:type="spellEnd"/>
        <w:r w:rsidR="00661E20" w:rsidRPr="008C62A9">
          <w:rPr>
            <w:rFonts w:ascii="Arial" w:hAnsi="Arial" w:cs="Arial"/>
            <w:sz w:val="20"/>
            <w:szCs w:val="20"/>
          </w:rPr>
          <w:t xml:space="preserve"> Med Res </w:t>
        </w:r>
        <w:proofErr w:type="spellStart"/>
        <w:r w:rsidR="00661E20" w:rsidRPr="008C62A9">
          <w:rPr>
            <w:rFonts w:ascii="Arial" w:hAnsi="Arial" w:cs="Arial"/>
            <w:sz w:val="20"/>
            <w:szCs w:val="20"/>
          </w:rPr>
          <w:t>Opin</w:t>
        </w:r>
        <w:proofErr w:type="spellEnd"/>
        <w:r w:rsidR="00661E20" w:rsidRPr="008C62A9">
          <w:rPr>
            <w:rFonts w:ascii="Arial" w:hAnsi="Arial" w:cs="Arial"/>
            <w:sz w:val="20"/>
            <w:szCs w:val="20"/>
          </w:rPr>
          <w:t>. 2017;33: 769–778.</w:t>
        </w:r>
      </w:hyperlink>
    </w:p>
    <w:p w14:paraId="3F769C00" w14:textId="77777777" w:rsidR="00661E20" w:rsidRPr="008C62A9" w:rsidRDefault="00F1052A" w:rsidP="00661E20">
      <w:pPr>
        <w:spacing w:after="220" w:line="240" w:lineRule="auto"/>
        <w:ind w:hanging="440"/>
        <w:rPr>
          <w:rFonts w:ascii="Arial" w:hAnsi="Arial" w:cs="Arial"/>
          <w:sz w:val="20"/>
          <w:szCs w:val="20"/>
        </w:rPr>
      </w:pPr>
      <w:hyperlink r:id="rId207" w:history="1">
        <w:r w:rsidR="00661E20" w:rsidRPr="008C62A9">
          <w:rPr>
            <w:rFonts w:ascii="Arial" w:hAnsi="Arial" w:cs="Arial"/>
            <w:sz w:val="20"/>
            <w:szCs w:val="20"/>
          </w:rPr>
          <w:t xml:space="preserve">70. </w:t>
        </w:r>
        <w:r w:rsidR="00661E20" w:rsidRPr="008C62A9">
          <w:rPr>
            <w:rFonts w:ascii="Arial" w:hAnsi="Arial" w:cs="Arial"/>
            <w:sz w:val="20"/>
            <w:szCs w:val="20"/>
          </w:rPr>
          <w:tab/>
        </w:r>
      </w:hyperlink>
      <w:hyperlink r:id="rId208" w:history="1">
        <w:r w:rsidR="00661E20" w:rsidRPr="008C62A9">
          <w:rPr>
            <w:rFonts w:ascii="Arial" w:hAnsi="Arial" w:cs="Arial"/>
            <w:sz w:val="20"/>
            <w:szCs w:val="20"/>
          </w:rPr>
          <w:t xml:space="preserve">Wei MY, Ito MK, Cohen JD, Brinton EA, Jacobson TA. Predictors of statin adherence, switching, and discontinuation in the USAGE survey: understanding the use of statins in America and gaps in patient education. J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Lipidol</w:t>
        </w:r>
        <w:proofErr w:type="spellEnd"/>
        <w:r w:rsidR="00661E20" w:rsidRPr="008C62A9">
          <w:rPr>
            <w:rFonts w:ascii="Arial" w:hAnsi="Arial" w:cs="Arial"/>
            <w:sz w:val="20"/>
            <w:szCs w:val="20"/>
          </w:rPr>
          <w:t>. 2013;7: 472–483.</w:t>
        </w:r>
      </w:hyperlink>
    </w:p>
    <w:p w14:paraId="444B9340" w14:textId="77777777" w:rsidR="00661E20" w:rsidRPr="008C62A9" w:rsidRDefault="00F1052A" w:rsidP="00661E20">
      <w:pPr>
        <w:spacing w:after="220" w:line="240" w:lineRule="auto"/>
        <w:ind w:hanging="440"/>
        <w:rPr>
          <w:rFonts w:ascii="Arial" w:hAnsi="Arial" w:cs="Arial"/>
          <w:sz w:val="20"/>
          <w:szCs w:val="20"/>
        </w:rPr>
      </w:pPr>
      <w:hyperlink r:id="rId209" w:history="1">
        <w:r w:rsidR="00661E20" w:rsidRPr="008C62A9">
          <w:rPr>
            <w:rFonts w:ascii="Arial" w:hAnsi="Arial" w:cs="Arial"/>
            <w:sz w:val="20"/>
            <w:szCs w:val="20"/>
          </w:rPr>
          <w:t xml:space="preserve">71. </w:t>
        </w:r>
        <w:r w:rsidR="00661E20" w:rsidRPr="008C62A9">
          <w:rPr>
            <w:rFonts w:ascii="Arial" w:hAnsi="Arial" w:cs="Arial"/>
            <w:sz w:val="20"/>
            <w:szCs w:val="20"/>
          </w:rPr>
          <w:tab/>
        </w:r>
      </w:hyperlink>
      <w:hyperlink r:id="rId210" w:history="1">
        <w:proofErr w:type="spellStart"/>
        <w:r w:rsidR="00661E20" w:rsidRPr="008C62A9">
          <w:rPr>
            <w:rFonts w:ascii="Arial" w:hAnsi="Arial" w:cs="Arial"/>
            <w:sz w:val="20"/>
            <w:szCs w:val="20"/>
          </w:rPr>
          <w:t>Silvennoinen</w:t>
        </w:r>
        <w:proofErr w:type="spellEnd"/>
        <w:r w:rsidR="00661E20" w:rsidRPr="008C62A9">
          <w:rPr>
            <w:rFonts w:ascii="Arial" w:hAnsi="Arial" w:cs="Arial"/>
            <w:sz w:val="20"/>
            <w:szCs w:val="20"/>
          </w:rPr>
          <w:t xml:space="preserve"> R, </w:t>
        </w:r>
        <w:proofErr w:type="spellStart"/>
        <w:r w:rsidR="00661E20" w:rsidRPr="008C62A9">
          <w:rPr>
            <w:rFonts w:ascii="Arial" w:hAnsi="Arial" w:cs="Arial"/>
            <w:sz w:val="20"/>
            <w:szCs w:val="20"/>
          </w:rPr>
          <w:t>Turunen</w:t>
        </w:r>
        <w:proofErr w:type="spellEnd"/>
        <w:r w:rsidR="00661E20" w:rsidRPr="008C62A9">
          <w:rPr>
            <w:rFonts w:ascii="Arial" w:hAnsi="Arial" w:cs="Arial"/>
            <w:sz w:val="20"/>
            <w:szCs w:val="20"/>
          </w:rPr>
          <w:t xml:space="preserve"> JH, </w:t>
        </w:r>
        <w:proofErr w:type="spellStart"/>
        <w:r w:rsidR="00661E20" w:rsidRPr="008C62A9">
          <w:rPr>
            <w:rFonts w:ascii="Arial" w:hAnsi="Arial" w:cs="Arial"/>
            <w:sz w:val="20"/>
            <w:szCs w:val="20"/>
          </w:rPr>
          <w:t>Kovanen</w:t>
        </w:r>
        <w:proofErr w:type="spellEnd"/>
        <w:r w:rsidR="00661E20" w:rsidRPr="008C62A9">
          <w:rPr>
            <w:rFonts w:ascii="Arial" w:hAnsi="Arial" w:cs="Arial"/>
            <w:sz w:val="20"/>
            <w:szCs w:val="20"/>
          </w:rPr>
          <w:t xml:space="preserve"> PT, </w:t>
        </w:r>
        <w:proofErr w:type="spellStart"/>
        <w:r w:rsidR="00661E20" w:rsidRPr="008C62A9">
          <w:rPr>
            <w:rFonts w:ascii="Arial" w:hAnsi="Arial" w:cs="Arial"/>
            <w:sz w:val="20"/>
            <w:szCs w:val="20"/>
          </w:rPr>
          <w:t>Syvänne</w:t>
        </w:r>
        <w:proofErr w:type="spellEnd"/>
        <w:r w:rsidR="00661E20" w:rsidRPr="008C62A9">
          <w:rPr>
            <w:rFonts w:ascii="Arial" w:hAnsi="Arial" w:cs="Arial"/>
            <w:sz w:val="20"/>
            <w:szCs w:val="20"/>
          </w:rPr>
          <w:t xml:space="preserve"> M, </w:t>
        </w:r>
        <w:proofErr w:type="spellStart"/>
        <w:r w:rsidR="00661E20" w:rsidRPr="008C62A9">
          <w:rPr>
            <w:rFonts w:ascii="Arial" w:hAnsi="Arial" w:cs="Arial"/>
            <w:sz w:val="20"/>
            <w:szCs w:val="20"/>
          </w:rPr>
          <w:t>Tikkanen</w:t>
        </w:r>
        <w:proofErr w:type="spellEnd"/>
        <w:r w:rsidR="00661E20" w:rsidRPr="008C62A9">
          <w:rPr>
            <w:rFonts w:ascii="Arial" w:hAnsi="Arial" w:cs="Arial"/>
            <w:sz w:val="20"/>
            <w:szCs w:val="20"/>
          </w:rPr>
          <w:t xml:space="preserve"> MJ. Attitudes and actions: A survey to assess statin use among Finnish patients with increased risk for cardiovascular events. J </w:t>
        </w:r>
        <w:proofErr w:type="spellStart"/>
        <w:r w:rsidR="00661E20" w:rsidRPr="008C62A9">
          <w:rPr>
            <w:rFonts w:ascii="Arial" w:hAnsi="Arial" w:cs="Arial"/>
            <w:sz w:val="20"/>
            <w:szCs w:val="20"/>
          </w:rPr>
          <w:t>Clin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Lipidol</w:t>
        </w:r>
        <w:proofErr w:type="spellEnd"/>
        <w:r w:rsidR="00661E20" w:rsidRPr="008C62A9">
          <w:rPr>
            <w:rFonts w:ascii="Arial" w:hAnsi="Arial" w:cs="Arial"/>
            <w:sz w:val="20"/>
            <w:szCs w:val="20"/>
          </w:rPr>
          <w:t>. 2017;11: 485–494.</w:t>
        </w:r>
      </w:hyperlink>
    </w:p>
    <w:p w14:paraId="225CE3A1" w14:textId="77777777" w:rsidR="00661E20" w:rsidRPr="008C62A9" w:rsidRDefault="00F1052A" w:rsidP="00661E20">
      <w:pPr>
        <w:spacing w:after="220" w:line="240" w:lineRule="auto"/>
        <w:ind w:hanging="440"/>
        <w:rPr>
          <w:rFonts w:ascii="Arial" w:hAnsi="Arial" w:cs="Arial"/>
          <w:sz w:val="20"/>
          <w:szCs w:val="20"/>
        </w:rPr>
      </w:pPr>
      <w:hyperlink r:id="rId211" w:history="1">
        <w:r w:rsidR="00661E20" w:rsidRPr="008C62A9">
          <w:rPr>
            <w:rFonts w:ascii="Arial" w:hAnsi="Arial" w:cs="Arial"/>
            <w:sz w:val="20"/>
            <w:szCs w:val="20"/>
          </w:rPr>
          <w:t xml:space="preserve">72. </w:t>
        </w:r>
        <w:r w:rsidR="00661E20" w:rsidRPr="008C62A9">
          <w:rPr>
            <w:rFonts w:ascii="Arial" w:hAnsi="Arial" w:cs="Arial"/>
            <w:sz w:val="20"/>
            <w:szCs w:val="20"/>
          </w:rPr>
          <w:tab/>
        </w:r>
      </w:hyperlink>
      <w:hyperlink r:id="rId212" w:history="1">
        <w:r w:rsidR="00661E20" w:rsidRPr="008C62A9">
          <w:rPr>
            <w:rFonts w:ascii="Arial" w:hAnsi="Arial" w:cs="Arial"/>
            <w:sz w:val="20"/>
            <w:szCs w:val="20"/>
          </w:rPr>
          <w:t xml:space="preserve">Barreto MNS de C, de Carvalho Barreto MNS, </w:t>
        </w:r>
        <w:proofErr w:type="spellStart"/>
        <w:r w:rsidR="00661E20" w:rsidRPr="008C62A9">
          <w:rPr>
            <w:rFonts w:ascii="Arial" w:hAnsi="Arial" w:cs="Arial"/>
            <w:sz w:val="20"/>
            <w:szCs w:val="20"/>
          </w:rPr>
          <w:t>Cesse</w:t>
        </w:r>
        <w:proofErr w:type="spellEnd"/>
        <w:r w:rsidR="00661E20" w:rsidRPr="008C62A9">
          <w:rPr>
            <w:rFonts w:ascii="Arial" w:hAnsi="Arial" w:cs="Arial"/>
            <w:sz w:val="20"/>
            <w:szCs w:val="20"/>
          </w:rPr>
          <w:t xml:space="preserve"> EÂP, Lima RF, da Silva </w:t>
        </w:r>
        <w:proofErr w:type="spellStart"/>
        <w:r w:rsidR="00661E20" w:rsidRPr="008C62A9">
          <w:rPr>
            <w:rFonts w:ascii="Arial" w:hAnsi="Arial" w:cs="Arial"/>
            <w:sz w:val="20"/>
            <w:szCs w:val="20"/>
          </w:rPr>
          <w:t>Marinho</w:t>
        </w:r>
        <w:proofErr w:type="spellEnd"/>
        <w:r w:rsidR="00661E20" w:rsidRPr="008C62A9">
          <w:rPr>
            <w:rFonts w:ascii="Arial" w:hAnsi="Arial" w:cs="Arial"/>
            <w:sz w:val="20"/>
            <w:szCs w:val="20"/>
          </w:rPr>
          <w:t xml:space="preserve"> MG, da Silva Specht Y, et al. Analysis of access to hypertensive and diabetic drugs in the Family Health Strategy, State of Pernambuco, Brazil. Rev Bras Epidemiol. 2015;18: 413–424.</w:t>
        </w:r>
      </w:hyperlink>
    </w:p>
    <w:p w14:paraId="6095681C" w14:textId="77777777" w:rsidR="00661E20" w:rsidRPr="008C62A9" w:rsidRDefault="00F1052A" w:rsidP="00661E20">
      <w:pPr>
        <w:spacing w:after="220" w:line="240" w:lineRule="auto"/>
        <w:ind w:hanging="440"/>
        <w:rPr>
          <w:rFonts w:ascii="Arial" w:hAnsi="Arial" w:cs="Arial"/>
          <w:sz w:val="20"/>
          <w:szCs w:val="20"/>
        </w:rPr>
      </w:pPr>
      <w:hyperlink r:id="rId213" w:history="1">
        <w:r w:rsidR="00661E20" w:rsidRPr="008C62A9">
          <w:rPr>
            <w:rFonts w:ascii="Arial" w:hAnsi="Arial" w:cs="Arial"/>
            <w:sz w:val="20"/>
            <w:szCs w:val="20"/>
          </w:rPr>
          <w:t xml:space="preserve">73. </w:t>
        </w:r>
        <w:r w:rsidR="00661E20" w:rsidRPr="008C62A9">
          <w:rPr>
            <w:rFonts w:ascii="Arial" w:hAnsi="Arial" w:cs="Arial"/>
            <w:sz w:val="20"/>
            <w:szCs w:val="20"/>
          </w:rPr>
          <w:tab/>
        </w:r>
      </w:hyperlink>
      <w:hyperlink r:id="rId214" w:history="1">
        <w:r w:rsidR="00661E20" w:rsidRPr="008C62A9">
          <w:rPr>
            <w:rFonts w:ascii="Arial" w:hAnsi="Arial" w:cs="Arial"/>
            <w:sz w:val="20"/>
            <w:szCs w:val="20"/>
          </w:rPr>
          <w:t xml:space="preserve">Helfer AP, Camargo AL, Tavares NUL, Kanavos P, </w:t>
        </w:r>
        <w:proofErr w:type="spellStart"/>
        <w:r w:rsidR="00661E20" w:rsidRPr="008C62A9">
          <w:rPr>
            <w:rFonts w:ascii="Arial" w:hAnsi="Arial" w:cs="Arial"/>
            <w:sz w:val="20"/>
            <w:szCs w:val="20"/>
          </w:rPr>
          <w:t>Bertoldi</w:t>
        </w:r>
        <w:proofErr w:type="spellEnd"/>
        <w:r w:rsidR="00661E20" w:rsidRPr="008C62A9">
          <w:rPr>
            <w:rFonts w:ascii="Arial" w:hAnsi="Arial" w:cs="Arial"/>
            <w:sz w:val="20"/>
            <w:szCs w:val="20"/>
          </w:rPr>
          <w:t xml:space="preserve"> AD. </w:t>
        </w:r>
        <w:proofErr w:type="spellStart"/>
        <w:r w:rsidR="00661E20" w:rsidRPr="008C62A9">
          <w:rPr>
            <w:rFonts w:ascii="Arial" w:hAnsi="Arial" w:cs="Arial"/>
            <w:sz w:val="20"/>
            <w:szCs w:val="20"/>
          </w:rPr>
          <w:t>Capacidade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aquisitiva</w:t>
        </w:r>
        <w:proofErr w:type="spellEnd"/>
        <w:r w:rsidR="00661E20" w:rsidRPr="008C62A9">
          <w:rPr>
            <w:rFonts w:ascii="Arial" w:hAnsi="Arial" w:cs="Arial"/>
            <w:sz w:val="20"/>
            <w:szCs w:val="20"/>
          </w:rPr>
          <w:t xml:space="preserve"> e </w:t>
        </w:r>
        <w:proofErr w:type="spellStart"/>
        <w:r w:rsidR="00661E20" w:rsidRPr="008C62A9">
          <w:rPr>
            <w:rFonts w:ascii="Arial" w:hAnsi="Arial" w:cs="Arial"/>
            <w:sz w:val="20"/>
            <w:szCs w:val="20"/>
          </w:rPr>
          <w:t>disponibilidade</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medicamentos</w:t>
        </w:r>
        <w:proofErr w:type="spellEnd"/>
        <w:r w:rsidR="00661E20" w:rsidRPr="008C62A9">
          <w:rPr>
            <w:rFonts w:ascii="Arial" w:hAnsi="Arial" w:cs="Arial"/>
            <w:sz w:val="20"/>
            <w:szCs w:val="20"/>
          </w:rPr>
          <w:t xml:space="preserve"> para </w:t>
        </w:r>
        <w:proofErr w:type="spellStart"/>
        <w:r w:rsidR="00661E20" w:rsidRPr="008C62A9">
          <w:rPr>
            <w:rFonts w:ascii="Arial" w:hAnsi="Arial" w:cs="Arial"/>
            <w:sz w:val="20"/>
            <w:szCs w:val="20"/>
          </w:rPr>
          <w:t>doenças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crônicas</w:t>
        </w:r>
        <w:proofErr w:type="spellEnd"/>
        <w:r w:rsidR="00661E20" w:rsidRPr="008C62A9">
          <w:rPr>
            <w:rFonts w:ascii="Arial" w:hAnsi="Arial" w:cs="Arial"/>
            <w:sz w:val="20"/>
            <w:szCs w:val="20"/>
          </w:rPr>
          <w:t xml:space="preserve"> no </w:t>
        </w:r>
        <w:proofErr w:type="spellStart"/>
        <w:r w:rsidR="00661E20" w:rsidRPr="008C62A9">
          <w:rPr>
            <w:rFonts w:ascii="Arial" w:hAnsi="Arial" w:cs="Arial"/>
            <w:sz w:val="20"/>
            <w:szCs w:val="20"/>
          </w:rPr>
          <w:t>setor</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público</w:t>
        </w:r>
        <w:proofErr w:type="spellEnd"/>
        <w:r w:rsidR="00661E20" w:rsidRPr="008C62A9">
          <w:rPr>
            <w:rFonts w:ascii="Arial" w:hAnsi="Arial" w:cs="Arial"/>
            <w:sz w:val="20"/>
            <w:szCs w:val="20"/>
          </w:rPr>
          <w:t xml:space="preserve">. Rev </w:t>
        </w:r>
        <w:proofErr w:type="spellStart"/>
        <w:r w:rsidR="00661E20" w:rsidRPr="008C62A9">
          <w:rPr>
            <w:rFonts w:ascii="Arial" w:hAnsi="Arial" w:cs="Arial"/>
            <w:sz w:val="20"/>
            <w:szCs w:val="20"/>
          </w:rPr>
          <w:t>Panam</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Salud</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Publica</w:t>
        </w:r>
        <w:proofErr w:type="spellEnd"/>
        <w:r w:rsidR="00661E20" w:rsidRPr="008C62A9">
          <w:rPr>
            <w:rFonts w:ascii="Arial" w:hAnsi="Arial" w:cs="Arial"/>
            <w:sz w:val="20"/>
            <w:szCs w:val="20"/>
          </w:rPr>
          <w:t>. 2012;31: 225–232.</w:t>
        </w:r>
      </w:hyperlink>
    </w:p>
    <w:p w14:paraId="5EC7E518" w14:textId="77777777" w:rsidR="00661E20" w:rsidRPr="008C62A9" w:rsidRDefault="00F1052A" w:rsidP="00661E20">
      <w:pPr>
        <w:spacing w:after="220" w:line="240" w:lineRule="auto"/>
        <w:ind w:hanging="440"/>
        <w:rPr>
          <w:rFonts w:ascii="Arial" w:hAnsi="Arial" w:cs="Arial"/>
          <w:sz w:val="20"/>
          <w:szCs w:val="20"/>
        </w:rPr>
      </w:pPr>
      <w:hyperlink r:id="rId215" w:history="1">
        <w:r w:rsidR="00661E20" w:rsidRPr="008C62A9">
          <w:rPr>
            <w:rFonts w:ascii="Arial" w:hAnsi="Arial" w:cs="Arial"/>
            <w:sz w:val="20"/>
            <w:szCs w:val="20"/>
          </w:rPr>
          <w:t xml:space="preserve">74. </w:t>
        </w:r>
        <w:r w:rsidR="00661E20" w:rsidRPr="008C62A9">
          <w:rPr>
            <w:rFonts w:ascii="Arial" w:hAnsi="Arial" w:cs="Arial"/>
            <w:sz w:val="20"/>
            <w:szCs w:val="20"/>
          </w:rPr>
          <w:tab/>
        </w:r>
      </w:hyperlink>
      <w:hyperlink r:id="rId216" w:history="1">
        <w:proofErr w:type="spellStart"/>
        <w:r w:rsidR="00661E20" w:rsidRPr="008C62A9">
          <w:rPr>
            <w:rFonts w:ascii="Arial" w:hAnsi="Arial" w:cs="Arial"/>
            <w:sz w:val="20"/>
            <w:szCs w:val="20"/>
          </w:rPr>
          <w:t>Viacava</w:t>
        </w:r>
        <w:proofErr w:type="spellEnd"/>
        <w:r w:rsidR="00661E20" w:rsidRPr="008C62A9">
          <w:rPr>
            <w:rFonts w:ascii="Arial" w:hAnsi="Arial" w:cs="Arial"/>
            <w:sz w:val="20"/>
            <w:szCs w:val="20"/>
          </w:rPr>
          <w:t xml:space="preserve"> F, </w:t>
        </w:r>
        <w:proofErr w:type="spellStart"/>
        <w:r w:rsidR="00661E20" w:rsidRPr="008C62A9">
          <w:rPr>
            <w:rFonts w:ascii="Arial" w:hAnsi="Arial" w:cs="Arial"/>
            <w:sz w:val="20"/>
            <w:szCs w:val="20"/>
          </w:rPr>
          <w:t>Bellido</w:t>
        </w:r>
        <w:proofErr w:type="spellEnd"/>
        <w:r w:rsidR="00661E20" w:rsidRPr="008C62A9">
          <w:rPr>
            <w:rFonts w:ascii="Arial" w:hAnsi="Arial" w:cs="Arial"/>
            <w:sz w:val="20"/>
            <w:szCs w:val="20"/>
          </w:rPr>
          <w:t xml:space="preserve"> JG. </w:t>
        </w:r>
        <w:proofErr w:type="spellStart"/>
        <w:r w:rsidR="00661E20" w:rsidRPr="008C62A9">
          <w:rPr>
            <w:rFonts w:ascii="Arial" w:hAnsi="Arial" w:cs="Arial"/>
            <w:sz w:val="20"/>
            <w:szCs w:val="20"/>
          </w:rPr>
          <w:t>Condições</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saúde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acesso</w:t>
        </w:r>
        <w:proofErr w:type="spellEnd"/>
        <w:r w:rsidR="00661E20" w:rsidRPr="008C62A9">
          <w:rPr>
            <w:rFonts w:ascii="Arial" w:hAnsi="Arial" w:cs="Arial"/>
            <w:sz w:val="20"/>
            <w:szCs w:val="20"/>
          </w:rPr>
          <w:t xml:space="preserve"> a </w:t>
        </w:r>
        <w:proofErr w:type="spellStart"/>
        <w:r w:rsidR="00661E20" w:rsidRPr="008C62A9">
          <w:rPr>
            <w:rFonts w:ascii="Arial" w:hAnsi="Arial" w:cs="Arial"/>
            <w:sz w:val="20"/>
            <w:szCs w:val="20"/>
          </w:rPr>
          <w:t>serviços</w:t>
        </w:r>
        <w:proofErr w:type="spellEnd"/>
        <w:r w:rsidR="00661E20" w:rsidRPr="008C62A9">
          <w:rPr>
            <w:rFonts w:ascii="Arial" w:hAnsi="Arial" w:cs="Arial"/>
            <w:sz w:val="20"/>
            <w:szCs w:val="20"/>
          </w:rPr>
          <w:t xml:space="preserve"> e </w:t>
        </w:r>
        <w:proofErr w:type="spellStart"/>
        <w:r w:rsidR="00661E20" w:rsidRPr="008C62A9">
          <w:rPr>
            <w:rFonts w:ascii="Arial" w:hAnsi="Arial" w:cs="Arial"/>
            <w:sz w:val="20"/>
            <w:szCs w:val="20"/>
          </w:rPr>
          <w:t>fontes</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pagamento</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segundo</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inquéritos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domiciliares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Cien</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Saude</w:t>
        </w:r>
        <w:proofErr w:type="spellEnd"/>
        <w:r w:rsidR="00661E20" w:rsidRPr="008C62A9">
          <w:rPr>
            <w:rFonts w:ascii="Arial" w:hAnsi="Arial" w:cs="Arial"/>
            <w:sz w:val="20"/>
            <w:szCs w:val="20"/>
          </w:rPr>
          <w:t xml:space="preserve"> Colet. 2016;21: 351–370.</w:t>
        </w:r>
      </w:hyperlink>
    </w:p>
    <w:p w14:paraId="35ACAB47" w14:textId="77777777" w:rsidR="00661E20" w:rsidRPr="008C62A9" w:rsidRDefault="00F1052A" w:rsidP="00661E20">
      <w:pPr>
        <w:spacing w:after="220" w:line="240" w:lineRule="auto"/>
        <w:ind w:hanging="440"/>
        <w:rPr>
          <w:rFonts w:ascii="Arial" w:hAnsi="Arial" w:cs="Arial"/>
          <w:sz w:val="20"/>
          <w:szCs w:val="20"/>
        </w:rPr>
      </w:pPr>
      <w:hyperlink r:id="rId217" w:history="1">
        <w:r w:rsidR="00661E20" w:rsidRPr="008C62A9">
          <w:rPr>
            <w:rFonts w:ascii="Arial" w:hAnsi="Arial" w:cs="Arial"/>
            <w:sz w:val="20"/>
            <w:szCs w:val="20"/>
          </w:rPr>
          <w:t xml:space="preserve">75. </w:t>
        </w:r>
        <w:r w:rsidR="00661E20" w:rsidRPr="008C62A9">
          <w:rPr>
            <w:rFonts w:ascii="Arial" w:hAnsi="Arial" w:cs="Arial"/>
            <w:sz w:val="20"/>
            <w:szCs w:val="20"/>
          </w:rPr>
          <w:tab/>
        </w:r>
      </w:hyperlink>
      <w:hyperlink r:id="rId218" w:history="1">
        <w:r w:rsidR="00661E20" w:rsidRPr="008C62A9">
          <w:rPr>
            <w:rFonts w:ascii="Arial" w:hAnsi="Arial" w:cs="Arial"/>
            <w:sz w:val="20"/>
            <w:szCs w:val="20"/>
          </w:rPr>
          <w:t xml:space="preserve">Mendes LV, Campos MR, </w:t>
        </w:r>
        <w:proofErr w:type="spellStart"/>
        <w:r w:rsidR="00661E20" w:rsidRPr="008C62A9">
          <w:rPr>
            <w:rFonts w:ascii="Arial" w:hAnsi="Arial" w:cs="Arial"/>
            <w:sz w:val="20"/>
            <w:szCs w:val="20"/>
          </w:rPr>
          <w:t>Chaves</w:t>
        </w:r>
        <w:proofErr w:type="spellEnd"/>
        <w:r w:rsidR="00661E20" w:rsidRPr="008C62A9">
          <w:rPr>
            <w:rFonts w:ascii="Arial" w:hAnsi="Arial" w:cs="Arial"/>
            <w:sz w:val="20"/>
            <w:szCs w:val="20"/>
          </w:rPr>
          <w:t xml:space="preserve"> GC, da Silva RM, da Silva Freitas P, Costa KS, et al. </w:t>
        </w:r>
        <w:proofErr w:type="spellStart"/>
        <w:r w:rsidR="00661E20" w:rsidRPr="008C62A9">
          <w:rPr>
            <w:rFonts w:ascii="Arial" w:hAnsi="Arial" w:cs="Arial"/>
            <w:sz w:val="20"/>
            <w:szCs w:val="20"/>
          </w:rPr>
          <w:t>Disponibilidade</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medicamentos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nas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unidades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básicas</w:t>
        </w:r>
        <w:proofErr w:type="spellEnd"/>
        <w:r w:rsidR="00661E20" w:rsidRPr="008C62A9">
          <w:rPr>
            <w:rFonts w:ascii="Arial" w:hAnsi="Arial" w:cs="Arial"/>
            <w:sz w:val="20"/>
            <w:szCs w:val="20"/>
          </w:rPr>
          <w:t xml:space="preserve"> de </w:t>
        </w:r>
        <w:proofErr w:type="spellStart"/>
        <w:r w:rsidR="00661E20" w:rsidRPr="008C62A9">
          <w:rPr>
            <w:rFonts w:ascii="Arial" w:hAnsi="Arial" w:cs="Arial"/>
            <w:sz w:val="20"/>
            <w:szCs w:val="20"/>
          </w:rPr>
          <w:t>saúde</w:t>
        </w:r>
        <w:proofErr w:type="spellEnd"/>
        <w:r w:rsidR="00661E20" w:rsidRPr="008C62A9">
          <w:rPr>
            <w:rFonts w:ascii="Arial" w:hAnsi="Arial" w:cs="Arial"/>
            <w:sz w:val="20"/>
            <w:szCs w:val="20"/>
          </w:rPr>
          <w:t xml:space="preserve"> e </w:t>
        </w:r>
        <w:proofErr w:type="spellStart"/>
        <w:r w:rsidR="00661E20" w:rsidRPr="008C62A9">
          <w:rPr>
            <w:rFonts w:ascii="Arial" w:hAnsi="Arial" w:cs="Arial"/>
            <w:sz w:val="20"/>
            <w:szCs w:val="20"/>
          </w:rPr>
          <w:t>fatores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relacionados</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uma</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abordagem</w:t>
        </w:r>
        <w:proofErr w:type="spellEnd"/>
        <w:r w:rsidR="00661E20" w:rsidRPr="008C62A9">
          <w:rPr>
            <w:rFonts w:ascii="Arial" w:hAnsi="Arial" w:cs="Arial"/>
            <w:sz w:val="20"/>
            <w:szCs w:val="20"/>
          </w:rPr>
          <w:t xml:space="preserve"> transversal. </w:t>
        </w:r>
        <w:proofErr w:type="spellStart"/>
        <w:r w:rsidR="00661E20" w:rsidRPr="008C62A9">
          <w:rPr>
            <w:rFonts w:ascii="Arial" w:hAnsi="Arial" w:cs="Arial"/>
            <w:sz w:val="20"/>
            <w:szCs w:val="20"/>
          </w:rPr>
          <w:t>Saúde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em</w:t>
        </w:r>
        <w:proofErr w:type="spellEnd"/>
        <w:r w:rsidR="00661E20" w:rsidRPr="008C62A9">
          <w:rPr>
            <w:rFonts w:ascii="Arial" w:hAnsi="Arial" w:cs="Arial"/>
            <w:sz w:val="20"/>
            <w:szCs w:val="20"/>
          </w:rPr>
          <w:t xml:space="preserve"> Debate. 2014;38. doi:</w:t>
        </w:r>
      </w:hyperlink>
      <w:hyperlink r:id="rId219" w:history="1">
        <w:r w:rsidR="00661E20" w:rsidRPr="008C62A9">
          <w:rPr>
            <w:rFonts w:ascii="Arial" w:hAnsi="Arial" w:cs="Arial"/>
            <w:sz w:val="20"/>
            <w:szCs w:val="20"/>
          </w:rPr>
          <w:t>10.5935/0103-1104.2014s009</w:t>
        </w:r>
      </w:hyperlink>
    </w:p>
    <w:p w14:paraId="3C33894D" w14:textId="77777777" w:rsidR="00661E20" w:rsidRPr="008C62A9" w:rsidRDefault="00F1052A" w:rsidP="00661E20">
      <w:pPr>
        <w:spacing w:after="220" w:line="240" w:lineRule="auto"/>
        <w:ind w:hanging="440"/>
        <w:rPr>
          <w:rFonts w:ascii="Arial" w:hAnsi="Arial" w:cs="Arial"/>
          <w:sz w:val="20"/>
          <w:szCs w:val="20"/>
        </w:rPr>
      </w:pPr>
      <w:hyperlink r:id="rId220" w:history="1">
        <w:r w:rsidR="00661E20" w:rsidRPr="008C62A9">
          <w:rPr>
            <w:rFonts w:ascii="Arial" w:hAnsi="Arial" w:cs="Arial"/>
            <w:sz w:val="20"/>
            <w:szCs w:val="20"/>
          </w:rPr>
          <w:t xml:space="preserve">76. </w:t>
        </w:r>
        <w:r w:rsidR="00661E20" w:rsidRPr="008C62A9">
          <w:rPr>
            <w:rFonts w:ascii="Arial" w:hAnsi="Arial" w:cs="Arial"/>
            <w:sz w:val="20"/>
            <w:szCs w:val="20"/>
          </w:rPr>
          <w:tab/>
        </w:r>
      </w:hyperlink>
      <w:hyperlink r:id="rId221" w:history="1">
        <w:r w:rsidR="00661E20" w:rsidRPr="008C62A9">
          <w:rPr>
            <w:rFonts w:ascii="Arial" w:hAnsi="Arial" w:cs="Arial"/>
            <w:sz w:val="20"/>
            <w:szCs w:val="20"/>
          </w:rPr>
          <w:t xml:space="preserve">Nascimento RCRM, </w:t>
        </w:r>
        <w:proofErr w:type="spellStart"/>
        <w:r w:rsidR="00661E20" w:rsidRPr="008C62A9">
          <w:rPr>
            <w:rFonts w:ascii="Arial" w:hAnsi="Arial" w:cs="Arial"/>
            <w:sz w:val="20"/>
            <w:szCs w:val="20"/>
          </w:rPr>
          <w:t>Álvares</w:t>
        </w:r>
        <w:proofErr w:type="spellEnd"/>
        <w:r w:rsidR="00661E20" w:rsidRPr="008C62A9">
          <w:rPr>
            <w:rFonts w:ascii="Arial" w:hAnsi="Arial" w:cs="Arial"/>
            <w:sz w:val="20"/>
            <w:szCs w:val="20"/>
          </w:rPr>
          <w:t xml:space="preserve"> J, Guerra AA, Gomes IC, Costa EA, </w:t>
        </w:r>
        <w:proofErr w:type="spellStart"/>
        <w:r w:rsidR="00661E20" w:rsidRPr="008C62A9">
          <w:rPr>
            <w:rFonts w:ascii="Arial" w:hAnsi="Arial" w:cs="Arial"/>
            <w:sz w:val="20"/>
            <w:szCs w:val="20"/>
          </w:rPr>
          <w:t>Leite</w:t>
        </w:r>
        <w:proofErr w:type="spellEnd"/>
        <w:r w:rsidR="00661E20" w:rsidRPr="008C62A9">
          <w:rPr>
            <w:rFonts w:ascii="Arial" w:hAnsi="Arial" w:cs="Arial"/>
            <w:sz w:val="20"/>
            <w:szCs w:val="20"/>
          </w:rPr>
          <w:t xml:space="preserve"> SN, et al. Availability of essential medicines in primary health care of the Brazilian Unified Health System. Rev </w:t>
        </w:r>
        <w:proofErr w:type="spellStart"/>
        <w:r w:rsidR="00661E20" w:rsidRPr="008C62A9">
          <w:rPr>
            <w:rFonts w:ascii="Arial" w:hAnsi="Arial" w:cs="Arial"/>
            <w:sz w:val="20"/>
            <w:szCs w:val="20"/>
          </w:rPr>
          <w:t>Saúde</w:t>
        </w:r>
        <w:proofErr w:type="spellEnd"/>
        <w:r w:rsidR="00661E20" w:rsidRPr="008C62A9">
          <w:rPr>
            <w:rFonts w:ascii="Arial" w:hAnsi="Arial" w:cs="Arial"/>
            <w:sz w:val="20"/>
            <w:szCs w:val="20"/>
          </w:rPr>
          <w:t xml:space="preserve"> </w:t>
        </w:r>
        <w:proofErr w:type="spellStart"/>
        <w:r w:rsidR="00661E20" w:rsidRPr="008C62A9">
          <w:rPr>
            <w:rFonts w:ascii="Arial" w:hAnsi="Arial" w:cs="Arial"/>
            <w:sz w:val="20"/>
            <w:szCs w:val="20"/>
          </w:rPr>
          <w:t>Pública</w:t>
        </w:r>
        <w:proofErr w:type="spellEnd"/>
        <w:r w:rsidR="00661E20" w:rsidRPr="008C62A9">
          <w:rPr>
            <w:rFonts w:ascii="Arial" w:hAnsi="Arial" w:cs="Arial"/>
            <w:sz w:val="20"/>
            <w:szCs w:val="20"/>
          </w:rPr>
          <w:t>. 2017;51: 10s.</w:t>
        </w:r>
      </w:hyperlink>
    </w:p>
    <w:p w14:paraId="5DB5DA38" w14:textId="77777777" w:rsidR="00661E20" w:rsidRPr="00991055" w:rsidRDefault="00661E20" w:rsidP="00991055">
      <w:pPr>
        <w:spacing w:after="220" w:line="240" w:lineRule="auto"/>
        <w:ind w:hanging="440"/>
      </w:pPr>
    </w:p>
    <w:bookmarkEnd w:id="2"/>
    <w:p w14:paraId="48C544A5" w14:textId="1943617C" w:rsidR="00991055" w:rsidRDefault="00991055" w:rsidP="00507CAB">
      <w:pPr>
        <w:rPr>
          <w:rFonts w:ascii="Calibri" w:hAnsi="Calibri"/>
          <w:b/>
          <w:bCs/>
          <w:color w:val="000000"/>
          <w:sz w:val="20"/>
          <w:szCs w:val="20"/>
        </w:rPr>
      </w:pPr>
    </w:p>
    <w:sectPr w:rsidR="00991055" w:rsidSect="00165A21">
      <w:headerReference w:type="even" r:id="rId222"/>
      <w:headerReference w:type="default" r:id="rId223"/>
      <w:footerReference w:type="even" r:id="rId224"/>
      <w:footerReference w:type="default" r:id="rId225"/>
      <w:headerReference w:type="first" r:id="rId226"/>
      <w:footerReference w:type="first" r:id="rId22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9868C" w14:textId="77777777" w:rsidR="00493ADE" w:rsidRDefault="00493ADE" w:rsidP="00AF2C92">
      <w:r>
        <w:separator/>
      </w:r>
    </w:p>
  </w:endnote>
  <w:endnote w:type="continuationSeparator" w:id="0">
    <w:p w14:paraId="1641DEB4" w14:textId="77777777" w:rsidR="00493ADE" w:rsidRDefault="00493AD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943A" w14:textId="77777777" w:rsidR="00F1052A" w:rsidRDefault="00F10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60575"/>
      <w:docPartObj>
        <w:docPartGallery w:val="Page Numbers (Bottom of Page)"/>
        <w:docPartUnique/>
      </w:docPartObj>
    </w:sdtPr>
    <w:sdtEndPr>
      <w:rPr>
        <w:rFonts w:ascii="Arial" w:hAnsi="Arial" w:cs="Arial"/>
        <w:noProof/>
        <w:sz w:val="18"/>
        <w:szCs w:val="18"/>
      </w:rPr>
    </w:sdtEndPr>
    <w:sdtContent>
      <w:p w14:paraId="73EF8E46" w14:textId="597955FA" w:rsidR="00F1052A" w:rsidRPr="00F1052A" w:rsidRDefault="00F1052A">
        <w:pPr>
          <w:pStyle w:val="Footer"/>
          <w:jc w:val="right"/>
          <w:rPr>
            <w:rFonts w:ascii="Arial" w:hAnsi="Arial" w:cs="Arial"/>
            <w:sz w:val="18"/>
            <w:szCs w:val="18"/>
          </w:rPr>
        </w:pPr>
        <w:r w:rsidRPr="00F1052A">
          <w:rPr>
            <w:rFonts w:ascii="Arial" w:hAnsi="Arial" w:cs="Arial"/>
            <w:sz w:val="18"/>
            <w:szCs w:val="18"/>
          </w:rPr>
          <w:fldChar w:fldCharType="begin"/>
        </w:r>
        <w:r w:rsidRPr="00F1052A">
          <w:rPr>
            <w:rFonts w:ascii="Arial" w:hAnsi="Arial" w:cs="Arial"/>
            <w:sz w:val="18"/>
            <w:szCs w:val="18"/>
          </w:rPr>
          <w:instrText xml:space="preserve"> PAGE   \* MERGEFORMAT </w:instrText>
        </w:r>
        <w:r w:rsidRPr="00F1052A">
          <w:rPr>
            <w:rFonts w:ascii="Arial" w:hAnsi="Arial" w:cs="Arial"/>
            <w:sz w:val="18"/>
            <w:szCs w:val="18"/>
          </w:rPr>
          <w:fldChar w:fldCharType="separate"/>
        </w:r>
        <w:r w:rsidRPr="00F1052A">
          <w:rPr>
            <w:rFonts w:ascii="Arial" w:hAnsi="Arial" w:cs="Arial"/>
            <w:noProof/>
            <w:sz w:val="18"/>
            <w:szCs w:val="18"/>
          </w:rPr>
          <w:t>8</w:t>
        </w:r>
        <w:r w:rsidRPr="00F1052A">
          <w:rPr>
            <w:rFonts w:ascii="Arial" w:hAnsi="Arial" w:cs="Arial"/>
            <w:noProof/>
            <w:sz w:val="18"/>
            <w:szCs w:val="18"/>
          </w:rPr>
          <w:fldChar w:fldCharType="end"/>
        </w:r>
      </w:p>
    </w:sdtContent>
  </w:sdt>
  <w:p w14:paraId="05BBE816" w14:textId="77777777" w:rsidR="00F1052A" w:rsidRDefault="00F10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F74F" w14:textId="77777777" w:rsidR="00F1052A" w:rsidRDefault="00F1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0C60" w14:textId="77777777" w:rsidR="00493ADE" w:rsidRDefault="00493ADE" w:rsidP="00AF2C92">
      <w:r>
        <w:separator/>
      </w:r>
    </w:p>
  </w:footnote>
  <w:footnote w:type="continuationSeparator" w:id="0">
    <w:p w14:paraId="4AE338E2" w14:textId="77777777" w:rsidR="00493ADE" w:rsidRDefault="00493ADE" w:rsidP="00AF2C92">
      <w:r>
        <w:continuationSeparator/>
      </w:r>
    </w:p>
  </w:footnote>
  <w:footnote w:id="1">
    <w:p w14:paraId="1EA57A0E" w14:textId="16EA9698" w:rsidR="00F1052A" w:rsidRPr="00570793" w:rsidRDefault="00F1052A" w:rsidP="00320A85">
      <w:pPr>
        <w:spacing w:line="240" w:lineRule="auto"/>
        <w:jc w:val="both"/>
        <w:rPr>
          <w:sz w:val="19"/>
          <w:szCs w:val="19"/>
        </w:rPr>
      </w:pPr>
      <w:r w:rsidRPr="00570793">
        <w:rPr>
          <w:rStyle w:val="FootnoteReference"/>
          <w:sz w:val="19"/>
          <w:szCs w:val="19"/>
        </w:rPr>
        <w:footnoteRef/>
      </w:r>
      <w:r w:rsidRPr="00570793">
        <w:rPr>
          <w:sz w:val="19"/>
          <w:szCs w:val="19"/>
        </w:rPr>
        <w:t xml:space="preserve"> </w:t>
      </w:r>
      <w:r w:rsidRPr="00570793">
        <w:rPr>
          <w:color w:val="000000"/>
          <w:sz w:val="19"/>
          <w:szCs w:val="19"/>
        </w:rPr>
        <w:t xml:space="preserve">The Popular Pharmacy Program is a partnership between the Brazilian Ministry of Health and the private pharmaceutical retail sector. In addition to the free-of-charge medicines for hypertension, diabetes and asthma, </w:t>
      </w:r>
      <w:r>
        <w:rPr>
          <w:color w:val="000000"/>
          <w:sz w:val="19"/>
          <w:szCs w:val="19"/>
        </w:rPr>
        <w:t xml:space="preserve">under </w:t>
      </w:r>
      <w:r w:rsidRPr="00570793">
        <w:rPr>
          <w:color w:val="000000"/>
          <w:sz w:val="19"/>
          <w:szCs w:val="19"/>
        </w:rPr>
        <w:t>the “</w:t>
      </w:r>
      <w:proofErr w:type="spellStart"/>
      <w:r w:rsidRPr="00570793">
        <w:rPr>
          <w:color w:val="000000"/>
          <w:sz w:val="19"/>
          <w:szCs w:val="19"/>
        </w:rPr>
        <w:t>Saúde</w:t>
      </w:r>
      <w:proofErr w:type="spellEnd"/>
      <w:r w:rsidRPr="00570793">
        <w:rPr>
          <w:color w:val="000000"/>
          <w:sz w:val="19"/>
          <w:szCs w:val="19"/>
        </w:rPr>
        <w:t xml:space="preserve"> </w:t>
      </w:r>
      <w:proofErr w:type="spellStart"/>
      <w:r w:rsidRPr="00570793">
        <w:rPr>
          <w:color w:val="000000"/>
          <w:sz w:val="19"/>
          <w:szCs w:val="19"/>
        </w:rPr>
        <w:t>não</w:t>
      </w:r>
      <w:proofErr w:type="spellEnd"/>
      <w:r w:rsidRPr="00570793">
        <w:rPr>
          <w:color w:val="000000"/>
          <w:sz w:val="19"/>
          <w:szCs w:val="19"/>
        </w:rPr>
        <w:t xml:space="preserve"> </w:t>
      </w:r>
      <w:proofErr w:type="spellStart"/>
      <w:r w:rsidRPr="00570793">
        <w:rPr>
          <w:color w:val="000000"/>
          <w:sz w:val="19"/>
          <w:szCs w:val="19"/>
        </w:rPr>
        <w:t>tem</w:t>
      </w:r>
      <w:proofErr w:type="spellEnd"/>
      <w:r w:rsidRPr="00570793">
        <w:rPr>
          <w:color w:val="000000"/>
          <w:sz w:val="19"/>
          <w:szCs w:val="19"/>
        </w:rPr>
        <w:t xml:space="preserve"> </w:t>
      </w:r>
      <w:proofErr w:type="spellStart"/>
      <w:r w:rsidRPr="00570793">
        <w:rPr>
          <w:color w:val="000000"/>
          <w:sz w:val="19"/>
          <w:szCs w:val="19"/>
        </w:rPr>
        <w:t>preço</w:t>
      </w:r>
      <w:proofErr w:type="spellEnd"/>
      <w:r w:rsidRPr="00570793">
        <w:rPr>
          <w:color w:val="000000"/>
          <w:sz w:val="19"/>
          <w:szCs w:val="19"/>
        </w:rPr>
        <w:t xml:space="preserve">” (“Health is priceless”) strategy, the program provides </w:t>
      </w:r>
      <w:r>
        <w:rPr>
          <w:color w:val="000000"/>
          <w:sz w:val="19"/>
          <w:szCs w:val="19"/>
        </w:rPr>
        <w:t>statins</w:t>
      </w:r>
      <w:r w:rsidRPr="00570793">
        <w:rPr>
          <w:color w:val="000000"/>
          <w:sz w:val="19"/>
          <w:szCs w:val="19"/>
        </w:rPr>
        <w:t xml:space="preserve"> </w:t>
      </w:r>
      <w:r>
        <w:rPr>
          <w:color w:val="000000"/>
          <w:sz w:val="19"/>
          <w:szCs w:val="19"/>
        </w:rPr>
        <w:t>for</w:t>
      </w:r>
      <w:r w:rsidRPr="00570793">
        <w:rPr>
          <w:color w:val="000000"/>
          <w:sz w:val="19"/>
          <w:szCs w:val="19"/>
        </w:rPr>
        <w:t xml:space="preserve"> </w:t>
      </w:r>
      <w:proofErr w:type="spellStart"/>
      <w:r w:rsidRPr="00570793">
        <w:rPr>
          <w:color w:val="000000"/>
          <w:sz w:val="19"/>
          <w:szCs w:val="19"/>
        </w:rPr>
        <w:t>dyslipidemia</w:t>
      </w:r>
      <w:proofErr w:type="spellEnd"/>
      <w:r>
        <w:rPr>
          <w:color w:val="000000"/>
          <w:sz w:val="19"/>
          <w:szCs w:val="19"/>
        </w:rPr>
        <w:t xml:space="preserve"> with t</w:t>
      </w:r>
      <w:r w:rsidRPr="00570793">
        <w:rPr>
          <w:color w:val="000000"/>
          <w:sz w:val="19"/>
          <w:szCs w:val="19"/>
        </w:rPr>
        <w:t>he Ministry of Health fund</w:t>
      </w:r>
      <w:r>
        <w:rPr>
          <w:color w:val="000000"/>
          <w:sz w:val="19"/>
          <w:szCs w:val="19"/>
        </w:rPr>
        <w:t>ing</w:t>
      </w:r>
      <w:r w:rsidRPr="00570793">
        <w:rPr>
          <w:color w:val="000000"/>
          <w:sz w:val="19"/>
          <w:szCs w:val="19"/>
        </w:rPr>
        <w:t xml:space="preserve"> 90% of the</w:t>
      </w:r>
      <w:r>
        <w:rPr>
          <w:color w:val="000000"/>
          <w:sz w:val="19"/>
          <w:szCs w:val="19"/>
        </w:rPr>
        <w:t xml:space="preserve"> medicine’s price 34-</w:t>
      </w:r>
      <w:r w:rsidRPr="00570793">
        <w:rPr>
          <w:color w:val="000000"/>
          <w:sz w:val="19"/>
          <w:szCs w:val="19"/>
        </w:rPr>
        <w:t xml:space="preserve">and the patient </w:t>
      </w:r>
      <w:r>
        <w:rPr>
          <w:color w:val="000000"/>
          <w:sz w:val="19"/>
          <w:szCs w:val="19"/>
        </w:rPr>
        <w:t>10%</w:t>
      </w:r>
      <w:r w:rsidRPr="00570793">
        <w:rPr>
          <w:color w:val="000000"/>
          <w:sz w:val="19"/>
          <w:szCs w:val="19"/>
        </w:rPr>
        <w:t>.</w:t>
      </w:r>
    </w:p>
    <w:p w14:paraId="4D481C2A" w14:textId="77777777" w:rsidR="00F1052A" w:rsidRPr="00507156" w:rsidRDefault="00F1052A" w:rsidP="00320A8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BE27" w14:textId="77777777" w:rsidR="00F1052A" w:rsidRDefault="00F10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803A" w14:textId="77777777" w:rsidR="00F1052A" w:rsidRDefault="00F10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EA0B" w14:textId="77777777" w:rsidR="00F1052A" w:rsidRDefault="00F10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CD"/>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6716C"/>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0EEC"/>
    <w:rsid w:val="000B0EFD"/>
    <w:rsid w:val="000B1661"/>
    <w:rsid w:val="000B2E88"/>
    <w:rsid w:val="000B4603"/>
    <w:rsid w:val="000C09BE"/>
    <w:rsid w:val="000C1380"/>
    <w:rsid w:val="000C554F"/>
    <w:rsid w:val="000C5DE5"/>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1AE9"/>
    <w:rsid w:val="00116023"/>
    <w:rsid w:val="00134A51"/>
    <w:rsid w:val="00140727"/>
    <w:rsid w:val="001522C2"/>
    <w:rsid w:val="00160628"/>
    <w:rsid w:val="00161344"/>
    <w:rsid w:val="00162195"/>
    <w:rsid w:val="00162FC6"/>
    <w:rsid w:val="0016322A"/>
    <w:rsid w:val="00165A21"/>
    <w:rsid w:val="001705CE"/>
    <w:rsid w:val="001710B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9E0"/>
    <w:rsid w:val="001E7DCB"/>
    <w:rsid w:val="001F166A"/>
    <w:rsid w:val="001F3411"/>
    <w:rsid w:val="001F4287"/>
    <w:rsid w:val="001F4DBA"/>
    <w:rsid w:val="00203C27"/>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5403"/>
    <w:rsid w:val="00265FB4"/>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6ED3"/>
    <w:rsid w:val="002D7AB6"/>
    <w:rsid w:val="002E06D0"/>
    <w:rsid w:val="002E3C27"/>
    <w:rsid w:val="002E403A"/>
    <w:rsid w:val="002E7F3A"/>
    <w:rsid w:val="002F4EDB"/>
    <w:rsid w:val="002F6054"/>
    <w:rsid w:val="00315713"/>
    <w:rsid w:val="0031686C"/>
    <w:rsid w:val="00316FE0"/>
    <w:rsid w:val="003204D2"/>
    <w:rsid w:val="00320A85"/>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2CF5"/>
    <w:rsid w:val="003634A5"/>
    <w:rsid w:val="00366868"/>
    <w:rsid w:val="00367506"/>
    <w:rsid w:val="00370085"/>
    <w:rsid w:val="003744A7"/>
    <w:rsid w:val="00376235"/>
    <w:rsid w:val="00381FB6"/>
    <w:rsid w:val="003836D3"/>
    <w:rsid w:val="00383A52"/>
    <w:rsid w:val="00390491"/>
    <w:rsid w:val="00391652"/>
    <w:rsid w:val="0039507F"/>
    <w:rsid w:val="003A1260"/>
    <w:rsid w:val="003A295F"/>
    <w:rsid w:val="003A41DD"/>
    <w:rsid w:val="003A7033"/>
    <w:rsid w:val="003B0739"/>
    <w:rsid w:val="003B47FE"/>
    <w:rsid w:val="003B5673"/>
    <w:rsid w:val="003B62C9"/>
    <w:rsid w:val="003C7176"/>
    <w:rsid w:val="003D0929"/>
    <w:rsid w:val="003D2177"/>
    <w:rsid w:val="003D4729"/>
    <w:rsid w:val="003D7DD6"/>
    <w:rsid w:val="003E5AAF"/>
    <w:rsid w:val="003E600D"/>
    <w:rsid w:val="003E64DF"/>
    <w:rsid w:val="003E6A5D"/>
    <w:rsid w:val="003F193A"/>
    <w:rsid w:val="003F4207"/>
    <w:rsid w:val="003F5C46"/>
    <w:rsid w:val="003F7CBB"/>
    <w:rsid w:val="003F7D34"/>
    <w:rsid w:val="00412C8E"/>
    <w:rsid w:val="0041518D"/>
    <w:rsid w:val="0041708E"/>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69A6"/>
    <w:rsid w:val="00477A97"/>
    <w:rsid w:val="00481343"/>
    <w:rsid w:val="004833CA"/>
    <w:rsid w:val="00483796"/>
    <w:rsid w:val="0048549E"/>
    <w:rsid w:val="004868C3"/>
    <w:rsid w:val="004905A2"/>
    <w:rsid w:val="00490726"/>
    <w:rsid w:val="00493347"/>
    <w:rsid w:val="00493ADE"/>
    <w:rsid w:val="00496092"/>
    <w:rsid w:val="004973A0"/>
    <w:rsid w:val="004A08DB"/>
    <w:rsid w:val="004A25D0"/>
    <w:rsid w:val="004A37E8"/>
    <w:rsid w:val="004A7549"/>
    <w:rsid w:val="004B09D4"/>
    <w:rsid w:val="004B2BDB"/>
    <w:rsid w:val="004B330A"/>
    <w:rsid w:val="004B7C8E"/>
    <w:rsid w:val="004C2306"/>
    <w:rsid w:val="004D0EDC"/>
    <w:rsid w:val="004D1220"/>
    <w:rsid w:val="004D14B3"/>
    <w:rsid w:val="004D1529"/>
    <w:rsid w:val="004D2253"/>
    <w:rsid w:val="004D3761"/>
    <w:rsid w:val="004D3E63"/>
    <w:rsid w:val="004D5514"/>
    <w:rsid w:val="004D56C3"/>
    <w:rsid w:val="004D7CF8"/>
    <w:rsid w:val="004E0338"/>
    <w:rsid w:val="004E4FF3"/>
    <w:rsid w:val="004E56A8"/>
    <w:rsid w:val="004F3B55"/>
    <w:rsid w:val="004F4E46"/>
    <w:rsid w:val="004F6B7D"/>
    <w:rsid w:val="005015F6"/>
    <w:rsid w:val="005030C4"/>
    <w:rsid w:val="005031C5"/>
    <w:rsid w:val="00504FDC"/>
    <w:rsid w:val="00507CAB"/>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545C"/>
    <w:rsid w:val="005476FA"/>
    <w:rsid w:val="0055595E"/>
    <w:rsid w:val="00557988"/>
    <w:rsid w:val="00562C49"/>
    <w:rsid w:val="00562DEF"/>
    <w:rsid w:val="00563A35"/>
    <w:rsid w:val="00566596"/>
    <w:rsid w:val="00570793"/>
    <w:rsid w:val="005741E9"/>
    <w:rsid w:val="005748CF"/>
    <w:rsid w:val="00584263"/>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4DC8"/>
    <w:rsid w:val="00605A69"/>
    <w:rsid w:val="0060621B"/>
    <w:rsid w:val="00606C54"/>
    <w:rsid w:val="00614375"/>
    <w:rsid w:val="00615B0A"/>
    <w:rsid w:val="006168CF"/>
    <w:rsid w:val="0062011B"/>
    <w:rsid w:val="00626DE0"/>
    <w:rsid w:val="00630901"/>
    <w:rsid w:val="00631F8E"/>
    <w:rsid w:val="00636EE9"/>
    <w:rsid w:val="00640950"/>
    <w:rsid w:val="00641AE7"/>
    <w:rsid w:val="00642629"/>
    <w:rsid w:val="00647114"/>
    <w:rsid w:val="0065293D"/>
    <w:rsid w:val="00653EFC"/>
    <w:rsid w:val="00654021"/>
    <w:rsid w:val="00661045"/>
    <w:rsid w:val="00661E20"/>
    <w:rsid w:val="00666DA8"/>
    <w:rsid w:val="00671057"/>
    <w:rsid w:val="00675AAF"/>
    <w:rsid w:val="0068031A"/>
    <w:rsid w:val="00681B2F"/>
    <w:rsid w:val="0068335F"/>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4690"/>
    <w:rsid w:val="006E6C02"/>
    <w:rsid w:val="006F03EA"/>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84603"/>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31A50"/>
    <w:rsid w:val="00831B3C"/>
    <w:rsid w:val="00831C89"/>
    <w:rsid w:val="00832114"/>
    <w:rsid w:val="00833C8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2A89"/>
    <w:rsid w:val="00893636"/>
    <w:rsid w:val="00893B94"/>
    <w:rsid w:val="00896E9D"/>
    <w:rsid w:val="00896F11"/>
    <w:rsid w:val="008A1049"/>
    <w:rsid w:val="008A1C98"/>
    <w:rsid w:val="008A322D"/>
    <w:rsid w:val="008A3BD8"/>
    <w:rsid w:val="008A4D72"/>
    <w:rsid w:val="008A6285"/>
    <w:rsid w:val="008A63B2"/>
    <w:rsid w:val="008B345D"/>
    <w:rsid w:val="008B5D39"/>
    <w:rsid w:val="008C1FC2"/>
    <w:rsid w:val="008C2980"/>
    <w:rsid w:val="008C5AFB"/>
    <w:rsid w:val="008C62A9"/>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37CCB"/>
    <w:rsid w:val="009418F4"/>
    <w:rsid w:val="00942BBC"/>
    <w:rsid w:val="00944180"/>
    <w:rsid w:val="00944AA0"/>
    <w:rsid w:val="00947DA2"/>
    <w:rsid w:val="00951177"/>
    <w:rsid w:val="009535A4"/>
    <w:rsid w:val="009673E8"/>
    <w:rsid w:val="00974DB8"/>
    <w:rsid w:val="00975B1A"/>
    <w:rsid w:val="00980661"/>
    <w:rsid w:val="0098093B"/>
    <w:rsid w:val="009876D4"/>
    <w:rsid w:val="00991055"/>
    <w:rsid w:val="009914A5"/>
    <w:rsid w:val="0099548E"/>
    <w:rsid w:val="00996456"/>
    <w:rsid w:val="00996A12"/>
    <w:rsid w:val="00997B0F"/>
    <w:rsid w:val="009A1CAD"/>
    <w:rsid w:val="009A3440"/>
    <w:rsid w:val="009A5832"/>
    <w:rsid w:val="009A6838"/>
    <w:rsid w:val="009B11F6"/>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2321"/>
    <w:rsid w:val="00A53742"/>
    <w:rsid w:val="00A557A1"/>
    <w:rsid w:val="00A63059"/>
    <w:rsid w:val="00A63AE3"/>
    <w:rsid w:val="00A651A4"/>
    <w:rsid w:val="00A6722C"/>
    <w:rsid w:val="00A71361"/>
    <w:rsid w:val="00A746E2"/>
    <w:rsid w:val="00A77409"/>
    <w:rsid w:val="00A81FF2"/>
    <w:rsid w:val="00A83904"/>
    <w:rsid w:val="00A90A79"/>
    <w:rsid w:val="00A96B30"/>
    <w:rsid w:val="00AA59B5"/>
    <w:rsid w:val="00AA7777"/>
    <w:rsid w:val="00AA7B84"/>
    <w:rsid w:val="00AC0B4C"/>
    <w:rsid w:val="00AC1164"/>
    <w:rsid w:val="00AC206A"/>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07D5"/>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77BE8"/>
    <w:rsid w:val="00C80924"/>
    <w:rsid w:val="00C8286B"/>
    <w:rsid w:val="00C91ACD"/>
    <w:rsid w:val="00C947F8"/>
    <w:rsid w:val="00C9515F"/>
    <w:rsid w:val="00C963C5"/>
    <w:rsid w:val="00C96946"/>
    <w:rsid w:val="00CA030C"/>
    <w:rsid w:val="00CA1F41"/>
    <w:rsid w:val="00CA32EE"/>
    <w:rsid w:val="00CA6A1A"/>
    <w:rsid w:val="00CC1E75"/>
    <w:rsid w:val="00CC2E0E"/>
    <w:rsid w:val="00CC361C"/>
    <w:rsid w:val="00CC474B"/>
    <w:rsid w:val="00CC658C"/>
    <w:rsid w:val="00CC67BF"/>
    <w:rsid w:val="00CD0843"/>
    <w:rsid w:val="00CD31B8"/>
    <w:rsid w:val="00CD3BFB"/>
    <w:rsid w:val="00CD5A78"/>
    <w:rsid w:val="00CD7345"/>
    <w:rsid w:val="00CE372E"/>
    <w:rsid w:val="00CF0A1B"/>
    <w:rsid w:val="00CF19F6"/>
    <w:rsid w:val="00CF1DAD"/>
    <w:rsid w:val="00CF1DFC"/>
    <w:rsid w:val="00CF2F4F"/>
    <w:rsid w:val="00CF536D"/>
    <w:rsid w:val="00D00AC7"/>
    <w:rsid w:val="00D05C2F"/>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0D6B"/>
    <w:rsid w:val="00DD27D7"/>
    <w:rsid w:val="00DD458C"/>
    <w:rsid w:val="00DD72E9"/>
    <w:rsid w:val="00DD7605"/>
    <w:rsid w:val="00DD7C0B"/>
    <w:rsid w:val="00DE2020"/>
    <w:rsid w:val="00DE3476"/>
    <w:rsid w:val="00DF5B84"/>
    <w:rsid w:val="00DF6D5B"/>
    <w:rsid w:val="00DF771B"/>
    <w:rsid w:val="00DF7EE2"/>
    <w:rsid w:val="00E01BAA"/>
    <w:rsid w:val="00E0282A"/>
    <w:rsid w:val="00E07E14"/>
    <w:rsid w:val="00E14F94"/>
    <w:rsid w:val="00E17336"/>
    <w:rsid w:val="00E17D15"/>
    <w:rsid w:val="00E22B95"/>
    <w:rsid w:val="00E257FE"/>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5D6B"/>
    <w:rsid w:val="00E97E4E"/>
    <w:rsid w:val="00EA1CC2"/>
    <w:rsid w:val="00EA2D76"/>
    <w:rsid w:val="00EA4644"/>
    <w:rsid w:val="00EA758A"/>
    <w:rsid w:val="00EB199F"/>
    <w:rsid w:val="00EB27C4"/>
    <w:rsid w:val="00EB5387"/>
    <w:rsid w:val="00EB5C10"/>
    <w:rsid w:val="00EB7322"/>
    <w:rsid w:val="00EC0FE9"/>
    <w:rsid w:val="00EC37B0"/>
    <w:rsid w:val="00EC426D"/>
    <w:rsid w:val="00EC571B"/>
    <w:rsid w:val="00EC57D7"/>
    <w:rsid w:val="00EC6385"/>
    <w:rsid w:val="00ED1DE9"/>
    <w:rsid w:val="00ED23D4"/>
    <w:rsid w:val="00ED5E0B"/>
    <w:rsid w:val="00EE37B6"/>
    <w:rsid w:val="00EE62B6"/>
    <w:rsid w:val="00EF0F45"/>
    <w:rsid w:val="00EF1EB5"/>
    <w:rsid w:val="00EF7463"/>
    <w:rsid w:val="00F002EF"/>
    <w:rsid w:val="00F01EE9"/>
    <w:rsid w:val="00F02F94"/>
    <w:rsid w:val="00F04900"/>
    <w:rsid w:val="00F065A4"/>
    <w:rsid w:val="00F1052A"/>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E77EC"/>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451FD"/>
  <w15:docId w15:val="{FDB25F58-53FA-4CD6-ABAE-DAEC378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BalloonTextChar">
    <w:name w:val="Balloon Text Char"/>
    <w:basedOn w:val="DefaultParagraphFont"/>
    <w:link w:val="BalloonText"/>
    <w:uiPriority w:val="99"/>
    <w:rsid w:val="00991055"/>
    <w:rPr>
      <w:rFonts w:ascii="Segoe UI" w:eastAsiaTheme="minorHAnsi" w:hAnsi="Segoe UI" w:cs="Segoe UI"/>
      <w:sz w:val="18"/>
      <w:szCs w:val="18"/>
      <w:lang w:eastAsia="en-US"/>
    </w:rPr>
  </w:style>
  <w:style w:type="paragraph" w:styleId="BalloonText">
    <w:name w:val="Balloon Text"/>
    <w:basedOn w:val="Normal"/>
    <w:link w:val="BalloonTextChar"/>
    <w:uiPriority w:val="99"/>
    <w:unhideWhenUsed/>
    <w:rsid w:val="00991055"/>
    <w:pPr>
      <w:spacing w:line="240" w:lineRule="auto"/>
    </w:pPr>
    <w:rPr>
      <w:rFonts w:ascii="Segoe UI" w:eastAsiaTheme="minorHAnsi" w:hAnsi="Segoe UI" w:cs="Segoe UI"/>
      <w:sz w:val="18"/>
      <w:szCs w:val="18"/>
      <w:lang w:eastAsia="en-US"/>
    </w:rPr>
  </w:style>
  <w:style w:type="character" w:customStyle="1" w:styleId="CommentTextChar">
    <w:name w:val="Comment Text Char"/>
    <w:basedOn w:val="DefaultParagraphFont"/>
    <w:link w:val="CommentText"/>
    <w:uiPriority w:val="99"/>
    <w:rsid w:val="00991055"/>
    <w:rPr>
      <w:rFonts w:asciiTheme="minorHAnsi" w:eastAsiaTheme="minorHAnsi" w:hAnsiTheme="minorHAnsi" w:cstheme="minorBidi"/>
      <w:sz w:val="24"/>
      <w:szCs w:val="24"/>
      <w:lang w:eastAsia="en-US"/>
    </w:rPr>
  </w:style>
  <w:style w:type="paragraph" w:styleId="CommentText">
    <w:name w:val="annotation text"/>
    <w:basedOn w:val="Normal"/>
    <w:link w:val="CommentTextChar"/>
    <w:uiPriority w:val="99"/>
    <w:unhideWhenUsed/>
    <w:rsid w:val="00991055"/>
    <w:pPr>
      <w:spacing w:after="160" w:line="240" w:lineRule="auto"/>
    </w:pPr>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rsid w:val="00991055"/>
    <w:rPr>
      <w:rFonts w:asciiTheme="minorHAnsi" w:eastAsiaTheme="minorHAnsi" w:hAnsiTheme="minorHAnsi" w:cstheme="minorBidi"/>
      <w:b/>
      <w:bCs/>
      <w:sz w:val="24"/>
      <w:szCs w:val="24"/>
      <w:lang w:eastAsia="en-US"/>
    </w:rPr>
  </w:style>
  <w:style w:type="paragraph" w:styleId="CommentSubject">
    <w:name w:val="annotation subject"/>
    <w:basedOn w:val="CommentText"/>
    <w:next w:val="CommentText"/>
    <w:link w:val="CommentSubjectChar"/>
    <w:uiPriority w:val="99"/>
    <w:unhideWhenUsed/>
    <w:rsid w:val="00991055"/>
    <w:rPr>
      <w:b/>
      <w:bCs/>
      <w:sz w:val="20"/>
      <w:szCs w:val="20"/>
    </w:rPr>
  </w:style>
  <w:style w:type="character" w:styleId="Hyperlink">
    <w:name w:val="Hyperlink"/>
    <w:basedOn w:val="DefaultParagraphFont"/>
    <w:uiPriority w:val="99"/>
    <w:unhideWhenUsed/>
    <w:rsid w:val="00661E20"/>
    <w:rPr>
      <w:color w:val="0000FF" w:themeColor="hyperlink"/>
      <w:u w:val="single"/>
    </w:rPr>
  </w:style>
  <w:style w:type="paragraph" w:styleId="NoSpacing">
    <w:name w:val="No Spacing"/>
    <w:link w:val="NoSpacingChar"/>
    <w:uiPriority w:val="1"/>
    <w:qFormat/>
    <w:rsid w:val="00EC37B0"/>
    <w:pPr>
      <w:suppressAutoHyphens/>
    </w:pPr>
    <w:rPr>
      <w:rFonts w:ascii="Calibri" w:eastAsia="Lucida Sans Unicode" w:hAnsi="Calibri" w:cs="Calibri"/>
      <w:kern w:val="1"/>
      <w:sz w:val="22"/>
      <w:szCs w:val="22"/>
      <w:lang w:val="pt-BR" w:eastAsia="ar-SA"/>
    </w:rPr>
  </w:style>
  <w:style w:type="character" w:customStyle="1" w:styleId="NoSpacingChar">
    <w:name w:val="No Spacing Char"/>
    <w:link w:val="NoSpacing"/>
    <w:uiPriority w:val="1"/>
    <w:rsid w:val="00EC37B0"/>
    <w:rPr>
      <w:rFonts w:ascii="Calibri" w:eastAsia="Lucida Sans Unicode" w:hAnsi="Calibri" w:cs="Calibri"/>
      <w:kern w:val="1"/>
      <w:sz w:val="22"/>
      <w:szCs w:val="22"/>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5935/abc.20170121" TargetMode="External"/><Relationship Id="rId21" Type="http://schemas.openxmlformats.org/officeDocument/2006/relationships/hyperlink" Target="https://paperpile.com/c/1wdYXm/9RDFk" TargetMode="External"/><Relationship Id="rId42" Type="http://schemas.openxmlformats.org/officeDocument/2006/relationships/hyperlink" Target="https://paperpile.com/c/1wdYXm/t1Kj5" TargetMode="External"/><Relationship Id="rId63" Type="http://schemas.openxmlformats.org/officeDocument/2006/relationships/hyperlink" Target="https://paperpile.com/c/1wdYXm/DCpRp" TargetMode="External"/><Relationship Id="rId84" Type="http://schemas.openxmlformats.org/officeDocument/2006/relationships/hyperlink" Target="http://paperpile.com/b/1wdYXm/rJXGa" TargetMode="External"/><Relationship Id="rId138" Type="http://schemas.openxmlformats.org/officeDocument/2006/relationships/hyperlink" Target="http://paperpile.com/b/1wdYXm/PgCjR" TargetMode="External"/><Relationship Id="rId159" Type="http://schemas.openxmlformats.org/officeDocument/2006/relationships/hyperlink" Target="http://paperpile.com/b/1wdYXm/57OKC" TargetMode="External"/><Relationship Id="rId170" Type="http://schemas.openxmlformats.org/officeDocument/2006/relationships/hyperlink" Target="http://apps.who.int/iris/bitstream/10665/94384/1/%209789241506236_eng.pdf" TargetMode="External"/><Relationship Id="rId191" Type="http://schemas.openxmlformats.org/officeDocument/2006/relationships/hyperlink" Target="http://paperpile.com/b/1wdYXm/XujYN" TargetMode="External"/><Relationship Id="rId205" Type="http://schemas.openxmlformats.org/officeDocument/2006/relationships/hyperlink" Target="http://apps.who.int/iris/bitstream/10665/94384/1/%209789241506236_eng.pdf" TargetMode="External"/><Relationship Id="rId226" Type="http://schemas.openxmlformats.org/officeDocument/2006/relationships/header" Target="header3.xml"/><Relationship Id="rId107" Type="http://schemas.openxmlformats.org/officeDocument/2006/relationships/hyperlink" Target="http://apps.who.int/iris/bitstream/10665/94384/1/%209789241506236_eng.pdf" TargetMode="External"/><Relationship Id="rId11" Type="http://schemas.openxmlformats.org/officeDocument/2006/relationships/hyperlink" Target="mailto:icgomes04@yahoo.com.br" TargetMode="External"/><Relationship Id="rId32" Type="http://schemas.openxmlformats.org/officeDocument/2006/relationships/hyperlink" Target="https://paperpile.com/c/1wdYXm/QOFl2" TargetMode="External"/><Relationship Id="rId53" Type="http://schemas.openxmlformats.org/officeDocument/2006/relationships/hyperlink" Target="https://paperpile.com/c/1wdYXm/OJoih+oSdc5" TargetMode="External"/><Relationship Id="rId74" Type="http://schemas.openxmlformats.org/officeDocument/2006/relationships/hyperlink" Target="http://apps.who.int/iris/bitstream/10665/94384/1/%209789241506236_eng.pdf" TargetMode="External"/><Relationship Id="rId128" Type="http://schemas.openxmlformats.org/officeDocument/2006/relationships/hyperlink" Target="http://paperpile.com/b/1wdYXm/7kWtP" TargetMode="External"/><Relationship Id="rId149" Type="http://schemas.openxmlformats.org/officeDocument/2006/relationships/hyperlink" Target="http://paperpile.com/b/1wdYXm/wKznZ" TargetMode="External"/><Relationship Id="rId5" Type="http://schemas.openxmlformats.org/officeDocument/2006/relationships/webSettings" Target="webSettings.xml"/><Relationship Id="rId95" Type="http://schemas.openxmlformats.org/officeDocument/2006/relationships/hyperlink" Target="http://apps.who.int/iris/bitstream/10665/94384/1/%209789241506236_eng.pdf" TargetMode="External"/><Relationship Id="rId160" Type="http://schemas.openxmlformats.org/officeDocument/2006/relationships/hyperlink" Target="http://apps.who.int/iris/bitstream/10665/94384/1/%209789241506236_eng.pdf" TargetMode="External"/><Relationship Id="rId181" Type="http://schemas.openxmlformats.org/officeDocument/2006/relationships/hyperlink" Target="http://paperpile.com/b/1wdYXm/dLgew" TargetMode="External"/><Relationship Id="rId216" Type="http://schemas.openxmlformats.org/officeDocument/2006/relationships/hyperlink" Target="http://paperpile.com/b/1wdYXm/DCpRp" TargetMode="External"/><Relationship Id="rId22" Type="http://schemas.openxmlformats.org/officeDocument/2006/relationships/hyperlink" Target="https://paperpile.com/c/1wdYXm/vjons+OJoih+UT4aI" TargetMode="External"/><Relationship Id="rId27" Type="http://schemas.openxmlformats.org/officeDocument/2006/relationships/hyperlink" Target="https://paperpile.com/c/1wdYXm/qMp9R+AbHr6+tGeJl+b1479+My61n" TargetMode="External"/><Relationship Id="rId43" Type="http://schemas.openxmlformats.org/officeDocument/2006/relationships/hyperlink" Target="https://paperpile.com/c/1wdYXm/srgxd" TargetMode="External"/><Relationship Id="rId48" Type="http://schemas.openxmlformats.org/officeDocument/2006/relationships/hyperlink" Target="https://paperpile.com/c/1wdYXm/94R3P" TargetMode="External"/><Relationship Id="rId64" Type="http://schemas.openxmlformats.org/officeDocument/2006/relationships/hyperlink" Target="https://paperpile.com/c/1wdYXm/ewG8t+tGeJl" TargetMode="External"/><Relationship Id="rId69" Type="http://schemas.openxmlformats.org/officeDocument/2006/relationships/hyperlink" Target="http://paperpile.com/b/1wdYXm/24DM" TargetMode="External"/><Relationship Id="rId113" Type="http://schemas.openxmlformats.org/officeDocument/2006/relationships/hyperlink" Target="http://apps.who.int/iris/bitstream/10665/94384/1/%209789241506236_eng.pdf" TargetMode="External"/><Relationship Id="rId118" Type="http://schemas.openxmlformats.org/officeDocument/2006/relationships/hyperlink" Target="http://apps.who.int/iris/bitstream/10665/94384/1/%209789241506236_eng.pdf" TargetMode="External"/><Relationship Id="rId134" Type="http://schemas.openxmlformats.org/officeDocument/2006/relationships/hyperlink" Target="http://paperpile.com/b/1wdYXm/ip95T" TargetMode="External"/><Relationship Id="rId139" Type="http://schemas.openxmlformats.org/officeDocument/2006/relationships/hyperlink" Target="http://apps.who.int/iris/bitstream/10665/94384/1/%209789241506236_eng.pdf" TargetMode="External"/><Relationship Id="rId80" Type="http://schemas.openxmlformats.org/officeDocument/2006/relationships/hyperlink" Target="https://books.google.com/books/about/Global_Status_Report_on_Noncommunicable.html?hl=&amp;id=INoOrgEACAAJ" TargetMode="External"/><Relationship Id="rId85" Type="http://schemas.openxmlformats.org/officeDocument/2006/relationships/hyperlink" Target="http://dx.doi.org/10.1007/s10557-017-6756-8" TargetMode="External"/><Relationship Id="rId150" Type="http://schemas.openxmlformats.org/officeDocument/2006/relationships/hyperlink" Target="http://apps.who.int/iris/bitstream/10665/94384/1/%209789241506236_eng.pdf" TargetMode="External"/><Relationship Id="rId155" Type="http://schemas.openxmlformats.org/officeDocument/2006/relationships/hyperlink" Target="http://apps.who.int/iris/bitstream/10665/94384/1/%209789241506236_eng.pdf" TargetMode="External"/><Relationship Id="rId171" Type="http://schemas.openxmlformats.org/officeDocument/2006/relationships/hyperlink" Target="http://paperpile.com/b/1wdYXm/t1Kj5" TargetMode="External"/><Relationship Id="rId176" Type="http://schemas.openxmlformats.org/officeDocument/2006/relationships/hyperlink" Target="http://apps.who.int/iris/bitstream/10665/94384/1/%209789241506236_eng.pdf" TargetMode="External"/><Relationship Id="rId192" Type="http://schemas.openxmlformats.org/officeDocument/2006/relationships/hyperlink" Target="http://apps.who.int/iris/bitstream/10665/94384/1/%209789241506236_eng.pdf" TargetMode="External"/><Relationship Id="rId197" Type="http://schemas.openxmlformats.org/officeDocument/2006/relationships/hyperlink" Target="http://paperpile.com/b/1wdYXm/8L2uc" TargetMode="External"/><Relationship Id="rId206" Type="http://schemas.openxmlformats.org/officeDocument/2006/relationships/hyperlink" Target="http://paperpile.com/b/1wdYXm/Pm7Yc" TargetMode="External"/><Relationship Id="rId227" Type="http://schemas.openxmlformats.org/officeDocument/2006/relationships/footer" Target="footer3.xml"/><Relationship Id="rId201" Type="http://schemas.openxmlformats.org/officeDocument/2006/relationships/hyperlink" Target="http://paperpile.com/b/1wdYXm/YIokE" TargetMode="External"/><Relationship Id="rId222" Type="http://schemas.openxmlformats.org/officeDocument/2006/relationships/header" Target="header1.xml"/><Relationship Id="rId12" Type="http://schemas.openxmlformats.org/officeDocument/2006/relationships/hyperlink" Target="mailto:Brian.Godman@strath.ac.uk" TargetMode="External"/><Relationship Id="rId17" Type="http://schemas.openxmlformats.org/officeDocument/2006/relationships/hyperlink" Target="https://paperpile.com/c/1wdYXm/pKm5M" TargetMode="External"/><Relationship Id="rId33" Type="http://schemas.openxmlformats.org/officeDocument/2006/relationships/hyperlink" Target="https://paperpile.com/c/1wdYXm/RReBD" TargetMode="External"/><Relationship Id="rId38" Type="http://schemas.openxmlformats.org/officeDocument/2006/relationships/hyperlink" Target="https://paperpile.com/c/1wdYXm/e8JpK" TargetMode="External"/><Relationship Id="rId59" Type="http://schemas.openxmlformats.org/officeDocument/2006/relationships/hyperlink" Target="https://paperpile.com/c/1wdYXm/QOFl2" TargetMode="External"/><Relationship Id="rId103" Type="http://schemas.openxmlformats.org/officeDocument/2006/relationships/hyperlink" Target="http://paperpile.com/b/1wdYXm/OJoih" TargetMode="External"/><Relationship Id="rId108" Type="http://schemas.openxmlformats.org/officeDocument/2006/relationships/hyperlink" Target="http://paperpile.com/b/1wdYXm/My61n" TargetMode="External"/><Relationship Id="rId124" Type="http://schemas.openxmlformats.org/officeDocument/2006/relationships/hyperlink" Target="http://paperpile.com/b/1wdYXm/JPJVI" TargetMode="External"/><Relationship Id="rId129" Type="http://schemas.openxmlformats.org/officeDocument/2006/relationships/hyperlink" Target="http://apps.who.int/iris/bitstream/10665/94384/1/%209789241506236_eng.pdf" TargetMode="External"/><Relationship Id="rId54" Type="http://schemas.openxmlformats.org/officeDocument/2006/relationships/hyperlink" Target="https://paperpile.com/c/1wdYXm/BBl8e" TargetMode="External"/><Relationship Id="rId70" Type="http://schemas.openxmlformats.org/officeDocument/2006/relationships/hyperlink" Target="https://books.google.com/books/about/Global_Status_Report_on_Noncommunicable.html?hl=&amp;id=INoOrgEACAAJ" TargetMode="External"/><Relationship Id="rId75" Type="http://schemas.openxmlformats.org/officeDocument/2006/relationships/hyperlink" Target="http://paperpile.com/b/1wdYXm/YE3uI" TargetMode="External"/><Relationship Id="rId91" Type="http://schemas.openxmlformats.org/officeDocument/2006/relationships/hyperlink" Target="http://apps.who.int/iris/bitstream/10665/94384/1/%209789241506236_eng.pdf" TargetMode="External"/><Relationship Id="rId96" Type="http://schemas.openxmlformats.org/officeDocument/2006/relationships/hyperlink" Target="http://paperpile.com/b/1wdYXm/Zln7b" TargetMode="External"/><Relationship Id="rId140" Type="http://schemas.openxmlformats.org/officeDocument/2006/relationships/hyperlink" Target="http://paperpile.com/b/1wdYXm/RReBD" TargetMode="External"/><Relationship Id="rId145" Type="http://schemas.openxmlformats.org/officeDocument/2006/relationships/hyperlink" Target="http://apps.who.int/iris/bitstream/10665/94384/1/%209789241506236_eng.pdf" TargetMode="External"/><Relationship Id="rId161" Type="http://schemas.openxmlformats.org/officeDocument/2006/relationships/hyperlink" Target="http://paperpile.com/b/1wdYXm/FCUZe" TargetMode="External"/><Relationship Id="rId166" Type="http://schemas.openxmlformats.org/officeDocument/2006/relationships/hyperlink" Target="http://apps.who.int/iris/bitstream/10665/94384/1/%209789241506236_eng.pdf" TargetMode="External"/><Relationship Id="rId182" Type="http://schemas.openxmlformats.org/officeDocument/2006/relationships/hyperlink" Target="http://apps.who.int/iris/bitstream/10665/94384/1/%209789241506236_eng.pdf" TargetMode="External"/><Relationship Id="rId187" Type="http://schemas.openxmlformats.org/officeDocument/2006/relationships/hyperlink" Target="http://paperpile.com/b/1wdYXm/je7A1" TargetMode="External"/><Relationship Id="rId217" Type="http://schemas.openxmlformats.org/officeDocument/2006/relationships/hyperlink" Target="http://apps.who.int/iris/bitstream/10665/94384/1/%209789241506236_eng.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aperpile.com/b/1wdYXm/daaUK" TargetMode="External"/><Relationship Id="rId23" Type="http://schemas.openxmlformats.org/officeDocument/2006/relationships/hyperlink" Target="https://paperpile.com/c/1wdYXm/tGeJl+qMp9R" TargetMode="External"/><Relationship Id="rId28" Type="http://schemas.openxmlformats.org/officeDocument/2006/relationships/hyperlink" Target="https://paperpile.com/c/1wdYXm/7kWtP+AbHr6" TargetMode="External"/><Relationship Id="rId49" Type="http://schemas.openxmlformats.org/officeDocument/2006/relationships/hyperlink" Target="https://paperpile.com/c/1wdYXm/HKJnc+qMp9R+tGeJl+QOFl2" TargetMode="External"/><Relationship Id="rId114" Type="http://schemas.openxmlformats.org/officeDocument/2006/relationships/hyperlink" Target="http://paperpile.com/b/1wdYXm/b1479" TargetMode="External"/><Relationship Id="rId119" Type="http://schemas.openxmlformats.org/officeDocument/2006/relationships/hyperlink" Target="http://paperpile.com/b/1wdYXm/QOFl2" TargetMode="External"/><Relationship Id="rId44" Type="http://schemas.openxmlformats.org/officeDocument/2006/relationships/hyperlink" Target="https://paperpile.com/c/1wdYXm/wGgLQ" TargetMode="External"/><Relationship Id="rId60" Type="http://schemas.openxmlformats.org/officeDocument/2006/relationships/hyperlink" Target="https://paperpile.com/c/1wdYXm/ip95T+diqpK+UHZPV" TargetMode="External"/><Relationship Id="rId65" Type="http://schemas.openxmlformats.org/officeDocument/2006/relationships/hyperlink" Target="https://paperpile.com/c/1wdYXm/ECnwr+lE4AO+nW3Oe+wGgLQ" TargetMode="External"/><Relationship Id="rId81" Type="http://schemas.openxmlformats.org/officeDocument/2006/relationships/hyperlink" Target="file://C:\Users\mail\Desktop\My%20documents\Ongoing%20papers\Brazil%20and%20statins\Submission%20CMRO\Re-submission\Pan%20American%20Health%20Organization%20(PAHO).%20Plan%20of%20action%20for%20the%20prevention%20and%20control%20of%20noncommunicable%20diseases.%20In:%20http:\www.paho.org\hq\%20%5bInternet%5d.%20PAHO;%202014%20%5bcited%2017%20Sep%202029%5d.%20Available:" TargetMode="External"/><Relationship Id="rId86" Type="http://schemas.openxmlformats.org/officeDocument/2006/relationships/hyperlink" Target="http://apps.who.int/iris/bitstream/10665/94384/1/%209789241506236_eng.pdf" TargetMode="External"/><Relationship Id="rId130" Type="http://schemas.openxmlformats.org/officeDocument/2006/relationships/hyperlink" Target="http://paperpile.com/b/1wdYXm/7GoaM" TargetMode="External"/><Relationship Id="rId135" Type="http://schemas.openxmlformats.org/officeDocument/2006/relationships/hyperlink" Target="http://apps.who.int/iris/bitstream/10665/94384/1/%209789241506236_eng.pdf" TargetMode="External"/><Relationship Id="rId151" Type="http://schemas.openxmlformats.org/officeDocument/2006/relationships/hyperlink" Target="http://paperpile.com/b/1wdYXm/CvNYc" TargetMode="External"/><Relationship Id="rId156" Type="http://schemas.openxmlformats.org/officeDocument/2006/relationships/hyperlink" Target="http://paperpile.com/b/1wdYXm/2ExpE" TargetMode="External"/><Relationship Id="rId177" Type="http://schemas.openxmlformats.org/officeDocument/2006/relationships/hyperlink" Target="http://paperpile.com/b/1wdYXm/xGdn" TargetMode="External"/><Relationship Id="rId198" Type="http://schemas.openxmlformats.org/officeDocument/2006/relationships/hyperlink" Target="http://apps.who.int/iris/bitstream/10665/94384/1/%209789241506236_eng.pdf" TargetMode="External"/><Relationship Id="rId172" Type="http://schemas.openxmlformats.org/officeDocument/2006/relationships/hyperlink" Target="http://apps.who.int/iris/bitstream/10665/94384/1/%209789241506236_eng.pdf" TargetMode="External"/><Relationship Id="rId193" Type="http://schemas.openxmlformats.org/officeDocument/2006/relationships/hyperlink" Target="http://paperpile.com/b/1wdYXm/oSdc5" TargetMode="External"/><Relationship Id="rId202" Type="http://schemas.openxmlformats.org/officeDocument/2006/relationships/hyperlink" Target="http://apps.who.int/iris/bitstream/10665/94384/1/%209789241506236_eng.pdf" TargetMode="External"/><Relationship Id="rId207" Type="http://schemas.openxmlformats.org/officeDocument/2006/relationships/hyperlink" Target="http://apps.who.int/iris/bitstream/10665/94384/1/%209789241506236_eng.pdf" TargetMode="External"/><Relationship Id="rId223" Type="http://schemas.openxmlformats.org/officeDocument/2006/relationships/header" Target="header2.xml"/><Relationship Id="rId228" Type="http://schemas.openxmlformats.org/officeDocument/2006/relationships/fontTable" Target="fontTable.xml"/><Relationship Id="rId13" Type="http://schemas.openxmlformats.org/officeDocument/2006/relationships/hyperlink" Target="mailto:marion.bennie@strath.ac.uk" TargetMode="External"/><Relationship Id="rId18" Type="http://schemas.openxmlformats.org/officeDocument/2006/relationships/hyperlink" Target="https://paperpile.com/c/1wdYXm/HKJnc" TargetMode="External"/><Relationship Id="rId39" Type="http://schemas.openxmlformats.org/officeDocument/2006/relationships/hyperlink" Target="https://paperpile.com/c/1wdYXm/2ExpE" TargetMode="External"/><Relationship Id="rId109" Type="http://schemas.openxmlformats.org/officeDocument/2006/relationships/hyperlink" Target="http://apps.who.int/iris/bitstream/10665/94384/1/%209789241506236_eng.pdf" TargetMode="External"/><Relationship Id="rId34" Type="http://schemas.openxmlformats.org/officeDocument/2006/relationships/hyperlink" Target="https://paperpile.com/c/1wdYXm/wKznZ" TargetMode="External"/><Relationship Id="rId50" Type="http://schemas.openxmlformats.org/officeDocument/2006/relationships/hyperlink" Target="https://paperpile.com/c/1wdYXm/je7A1+wC3yX" TargetMode="External"/><Relationship Id="rId55" Type="http://schemas.openxmlformats.org/officeDocument/2006/relationships/hyperlink" Target="https://paperpile.com/c/1wdYXm/8L2uc" TargetMode="External"/><Relationship Id="rId76" Type="http://schemas.openxmlformats.org/officeDocument/2006/relationships/hyperlink" Target="http://apps.who.int/iris/bitstream/10665/94384/1/%209789241506236_eng.pdf" TargetMode="External"/><Relationship Id="rId97" Type="http://schemas.openxmlformats.org/officeDocument/2006/relationships/hyperlink" Target="http://apps.who.int/iris/bitstream/10665/94384/1/%209789241506236_eng.pdf" TargetMode="External"/><Relationship Id="rId104" Type="http://schemas.openxmlformats.org/officeDocument/2006/relationships/hyperlink" Target="http://dx.doi.org/10.1186/s12939-016-0427-4" TargetMode="External"/><Relationship Id="rId120" Type="http://schemas.openxmlformats.org/officeDocument/2006/relationships/hyperlink" Target="http://bvsms.saude.gov.br/bvs/saudelegis/sas/2013/prt0200_25_02_2013.html" TargetMode="External"/><Relationship Id="rId125" Type="http://schemas.openxmlformats.org/officeDocument/2006/relationships/hyperlink" Target="http://apps.who.int/iris/bitstream/10665/94384/1/%209789241506236_eng.pdf" TargetMode="External"/><Relationship Id="rId141" Type="http://schemas.openxmlformats.org/officeDocument/2006/relationships/hyperlink" Target="http://dx.doi.org/10.5935/abc.20140173" TargetMode="External"/><Relationship Id="rId146" Type="http://schemas.openxmlformats.org/officeDocument/2006/relationships/hyperlink" Target="http://paperpile.com/b/1wdYXm/6qdbm" TargetMode="External"/><Relationship Id="rId167" Type="http://schemas.openxmlformats.org/officeDocument/2006/relationships/hyperlink" Target="http://paperpile.com/b/1wdYXm/BNnx2" TargetMode="External"/><Relationship Id="rId188" Type="http://schemas.openxmlformats.org/officeDocument/2006/relationships/hyperlink" Target="http://apps.who.int/iris/bitstream/10665/94384/1/%209789241506236_eng.pdf" TargetMode="External"/><Relationship Id="rId7" Type="http://schemas.openxmlformats.org/officeDocument/2006/relationships/endnotes" Target="endnotes.xml"/><Relationship Id="rId71" Type="http://schemas.openxmlformats.org/officeDocument/2006/relationships/hyperlink" Target="http://apps.who.int/iris/bitstream/10665/94384/1/%209789241506236_eng.pdf" TargetMode="External"/><Relationship Id="rId92" Type="http://schemas.openxmlformats.org/officeDocument/2006/relationships/hyperlink" Target="http://paperpile.com/b/1wdYXm/uLdMn" TargetMode="External"/><Relationship Id="rId162" Type="http://schemas.openxmlformats.org/officeDocument/2006/relationships/hyperlink" Target="http://apps.who.int/iris/bitstream/10665/94384/1/%209789241506236_eng.pdf" TargetMode="External"/><Relationship Id="rId183" Type="http://schemas.openxmlformats.org/officeDocument/2006/relationships/hyperlink" Target="http://paperpile.com/b/1wdYXm/iIQGT" TargetMode="External"/><Relationship Id="rId213" Type="http://schemas.openxmlformats.org/officeDocument/2006/relationships/hyperlink" Target="http://apps.who.int/iris/bitstream/10665/94384/1/%209789241506236_eng.pdf" TargetMode="External"/><Relationship Id="rId218" Type="http://schemas.openxmlformats.org/officeDocument/2006/relationships/hyperlink" Target="http://paperpile.com/b/1wdYXm/xrkbD" TargetMode="External"/><Relationship Id="rId2" Type="http://schemas.openxmlformats.org/officeDocument/2006/relationships/numbering" Target="numbering.xml"/><Relationship Id="rId29" Type="http://schemas.openxmlformats.org/officeDocument/2006/relationships/hyperlink" Target="https://paperpile.com/c/1wdYXm/7GoaM+H4eSB+ip95T+VRHzs" TargetMode="External"/><Relationship Id="rId24" Type="http://schemas.openxmlformats.org/officeDocument/2006/relationships/hyperlink" Target="https://paperpile.com/c/1wdYXm/tGeJl" TargetMode="External"/><Relationship Id="rId40" Type="http://schemas.openxmlformats.org/officeDocument/2006/relationships/hyperlink" Target="https://paperpile.com/c/1wdYXm/57OKC+FCUZe+SwLGC" TargetMode="External"/><Relationship Id="rId45" Type="http://schemas.openxmlformats.org/officeDocument/2006/relationships/hyperlink" Target="https://paperpile.com/c/1wdYXm/xGdn+KLu7w+dLgew" TargetMode="External"/><Relationship Id="rId66" Type="http://schemas.openxmlformats.org/officeDocument/2006/relationships/hyperlink" Target="https://paperpile.com/c/1wdYXm/xrkbD+7TUUu" TargetMode="External"/><Relationship Id="rId87" Type="http://schemas.openxmlformats.org/officeDocument/2006/relationships/hyperlink" Target="http://paperpile.com/b/1wdYXm/95JWt" TargetMode="External"/><Relationship Id="rId110" Type="http://schemas.openxmlformats.org/officeDocument/2006/relationships/hyperlink" Target="http://paperpile.com/b/1wdYXm/EPgeF" TargetMode="External"/><Relationship Id="rId115" Type="http://schemas.openxmlformats.org/officeDocument/2006/relationships/hyperlink" Target="http://apps.who.int/iris/bitstream/10665/94384/1/%209789241506236_eng.pdf" TargetMode="External"/><Relationship Id="rId131" Type="http://schemas.openxmlformats.org/officeDocument/2006/relationships/hyperlink" Target="http://apps.who.int/iris/bitstream/10665/94384/1/%209789241506236_eng.pdf" TargetMode="External"/><Relationship Id="rId136" Type="http://schemas.openxmlformats.org/officeDocument/2006/relationships/hyperlink" Target="http://paperpile.com/b/1wdYXm/VRHzs" TargetMode="External"/><Relationship Id="rId157" Type="http://schemas.openxmlformats.org/officeDocument/2006/relationships/hyperlink" Target="http://www.whocc.no/atc_ddd_index/" TargetMode="External"/><Relationship Id="rId178" Type="http://schemas.openxmlformats.org/officeDocument/2006/relationships/hyperlink" Target="http://apps.who.int/iris/bitstream/10665/94384/1/%209789241506236_eng.pdf" TargetMode="External"/><Relationship Id="rId61" Type="http://schemas.openxmlformats.org/officeDocument/2006/relationships/hyperlink" Target="https://paperpile.com/c/1wdYXm/ECnwr+Pm7Yc+nW3Oe" TargetMode="External"/><Relationship Id="rId82" Type="http://schemas.openxmlformats.org/officeDocument/2006/relationships/hyperlink" Target="about:blank" TargetMode="External"/><Relationship Id="rId152" Type="http://schemas.openxmlformats.org/officeDocument/2006/relationships/hyperlink" Target="http://apps.who.int/iris/bitstream/10665/94384/1/%209789241506236_eng.pdf" TargetMode="External"/><Relationship Id="rId173" Type="http://schemas.openxmlformats.org/officeDocument/2006/relationships/hyperlink" Target="http://paperpile.com/b/1wdYXm/srgxd" TargetMode="External"/><Relationship Id="rId194" Type="http://schemas.openxmlformats.org/officeDocument/2006/relationships/hyperlink" Target="http://apps.who.int/iris/bitstream/10665/94384/1/%209789241506236_eng.pdf" TargetMode="External"/><Relationship Id="rId199" Type="http://schemas.openxmlformats.org/officeDocument/2006/relationships/hyperlink" Target="http://paperpile.com/b/1wdYXm/cMbJG" TargetMode="External"/><Relationship Id="rId203" Type="http://schemas.openxmlformats.org/officeDocument/2006/relationships/hyperlink" Target="http://apps.who.int/iris/bitstream/10665/94384/1/%209789241506236_eng.pdf" TargetMode="External"/><Relationship Id="rId208" Type="http://schemas.openxmlformats.org/officeDocument/2006/relationships/hyperlink" Target="http://paperpile.com/b/1wdYXm/ECnwr" TargetMode="External"/><Relationship Id="rId229" Type="http://schemas.openxmlformats.org/officeDocument/2006/relationships/theme" Target="theme/theme1.xml"/><Relationship Id="rId19" Type="http://schemas.openxmlformats.org/officeDocument/2006/relationships/hyperlink" Target="https://paperpile.com/c/1wdYXm/95JWt+pnhO3" TargetMode="External"/><Relationship Id="rId224" Type="http://schemas.openxmlformats.org/officeDocument/2006/relationships/footer" Target="footer1.xml"/><Relationship Id="rId14" Type="http://schemas.openxmlformats.org/officeDocument/2006/relationships/hyperlink" Target="mailto:amanj.baker@strath.ac.uk" TargetMode="External"/><Relationship Id="rId30" Type="http://schemas.openxmlformats.org/officeDocument/2006/relationships/image" Target="media/image1.png"/><Relationship Id="rId35" Type="http://schemas.openxmlformats.org/officeDocument/2006/relationships/hyperlink" Target="https://paperpile.com/c/1wdYXm/wKznZ" TargetMode="External"/><Relationship Id="rId56" Type="http://schemas.openxmlformats.org/officeDocument/2006/relationships/hyperlink" Target="https://paperpile.com/c/1wdYXm/BBl8e+8L2uc" TargetMode="External"/><Relationship Id="rId77" Type="http://schemas.openxmlformats.org/officeDocument/2006/relationships/hyperlink" Target="http://paperpile.com/b/1wdYXm/lE4AO" TargetMode="External"/><Relationship Id="rId100" Type="http://schemas.openxmlformats.org/officeDocument/2006/relationships/hyperlink" Target="http://paperpile.com/b/1wdYXm/vjons" TargetMode="External"/><Relationship Id="rId105" Type="http://schemas.openxmlformats.org/officeDocument/2006/relationships/hyperlink" Target="http://apps.who.int/iris/bitstream/10665/94384/1/%209789241506236_eng.pdf" TargetMode="External"/><Relationship Id="rId126" Type="http://schemas.openxmlformats.org/officeDocument/2006/relationships/hyperlink" Target="http://paperpile.com/b/1wdYXm/AbHr6" TargetMode="External"/><Relationship Id="rId147" Type="http://schemas.openxmlformats.org/officeDocument/2006/relationships/hyperlink" Target="http://dx.doi.org/10.1590/s1518-8787.201705100supl1ap" TargetMode="External"/><Relationship Id="rId168" Type="http://schemas.openxmlformats.org/officeDocument/2006/relationships/hyperlink" Target="http://apps.who.int/iris/bitstream/10665/94384/1/%209789241506236_eng.pdf" TargetMode="External"/><Relationship Id="rId8" Type="http://schemas.openxmlformats.org/officeDocument/2006/relationships/hyperlink" Target="mailto:recmacedo@gmail.com" TargetMode="External"/><Relationship Id="rId51" Type="http://schemas.openxmlformats.org/officeDocument/2006/relationships/hyperlink" Target="https://paperpile.com/c/1wdYXm/XujYN+My61n" TargetMode="External"/><Relationship Id="rId72" Type="http://schemas.openxmlformats.org/officeDocument/2006/relationships/hyperlink" Target="http://paperpile.com/b/1wdYXm/JEj9" TargetMode="External"/><Relationship Id="rId93" Type="http://schemas.openxmlformats.org/officeDocument/2006/relationships/hyperlink" Target="http://apps.who.int/iris/bitstream/10665/94384/1/%209789241506236_eng.pdf" TargetMode="External"/><Relationship Id="rId98" Type="http://schemas.openxmlformats.org/officeDocument/2006/relationships/hyperlink" Target="http://paperpile.com/b/1wdYXm/9RDFk" TargetMode="External"/><Relationship Id="rId121" Type="http://schemas.openxmlformats.org/officeDocument/2006/relationships/hyperlink" Target="http://apps.who.int/iris/bitstream/10665/94384/1/%209789241506236_eng.pdf" TargetMode="External"/><Relationship Id="rId142" Type="http://schemas.openxmlformats.org/officeDocument/2006/relationships/hyperlink" Target="http://apps.who.int/iris/bitstream/10665/94384/1/%209789241506236_eng.pdf" TargetMode="External"/><Relationship Id="rId163" Type="http://schemas.openxmlformats.org/officeDocument/2006/relationships/hyperlink" Target="http://paperpile.com/b/1wdYXm/SwLGC" TargetMode="External"/><Relationship Id="rId184" Type="http://schemas.openxmlformats.org/officeDocument/2006/relationships/hyperlink" Target="http://apps.who.int/iris/bitstream/10665/94384/1/%209789241506236_eng.pdf" TargetMode="External"/><Relationship Id="rId189" Type="http://schemas.openxmlformats.org/officeDocument/2006/relationships/hyperlink" Target="http://paperpile.com/b/1wdYXm/wC3yX" TargetMode="External"/><Relationship Id="rId219" Type="http://schemas.openxmlformats.org/officeDocument/2006/relationships/hyperlink" Target="http://dx.doi.org/10.5935/0103-1104.2014s009" TargetMode="External"/><Relationship Id="rId3" Type="http://schemas.openxmlformats.org/officeDocument/2006/relationships/styles" Target="styles.xml"/><Relationship Id="rId214" Type="http://schemas.openxmlformats.org/officeDocument/2006/relationships/hyperlink" Target="http://paperpile.com/b/1wdYXm/ooPB4" TargetMode="External"/><Relationship Id="rId25" Type="http://schemas.openxmlformats.org/officeDocument/2006/relationships/hyperlink" Target="https://paperpile.com/c/1wdYXm/vjons" TargetMode="External"/><Relationship Id="rId46" Type="http://schemas.openxmlformats.org/officeDocument/2006/relationships/hyperlink" Target="https://paperpile.com/c/1wdYXm/iIQGT" TargetMode="External"/><Relationship Id="rId67" Type="http://schemas.openxmlformats.org/officeDocument/2006/relationships/hyperlink" Target="https://paperpile.com/c/1wdYXm/95JWt" TargetMode="External"/><Relationship Id="rId116" Type="http://schemas.openxmlformats.org/officeDocument/2006/relationships/hyperlink" Target="http://paperpile.com/b/1wdYXm/qMp9R" TargetMode="External"/><Relationship Id="rId137" Type="http://schemas.openxmlformats.org/officeDocument/2006/relationships/hyperlink" Target="http://apps.who.int/iris/bitstream/10665/94384/1/%209789241506236_eng.pdf" TargetMode="External"/><Relationship Id="rId158" Type="http://schemas.openxmlformats.org/officeDocument/2006/relationships/hyperlink" Target="http://apps.who.int/iris/bitstream/10665/94384/1/%209789241506236_eng.pdf" TargetMode="External"/><Relationship Id="rId20" Type="http://schemas.openxmlformats.org/officeDocument/2006/relationships/hyperlink" Target="https://paperpile.com/c/1wdYXm/uLdMn+OC8m6+Zln7b" TargetMode="External"/><Relationship Id="rId41" Type="http://schemas.openxmlformats.org/officeDocument/2006/relationships/hyperlink" Target="https://paperpile.com/c/1wdYXm/4vmnj+BNnx2+yN00a" TargetMode="External"/><Relationship Id="rId62" Type="http://schemas.openxmlformats.org/officeDocument/2006/relationships/hyperlink" Target="https://paperpile.com/c/1wdYXm/daaUK+ooPB4" TargetMode="External"/><Relationship Id="rId83" Type="http://schemas.openxmlformats.org/officeDocument/2006/relationships/hyperlink" Target="http://apps.who.int/iris/bitstream/10665/94384/1/%209789241506236_eng.pdf" TargetMode="External"/><Relationship Id="rId88" Type="http://schemas.openxmlformats.org/officeDocument/2006/relationships/hyperlink" Target="http://apps.who.int/iris/bitstream/10665/94384/1/9789241506236_eng.pdf" TargetMode="External"/><Relationship Id="rId111" Type="http://schemas.openxmlformats.org/officeDocument/2006/relationships/hyperlink" Target="http://apps.who.int/iris/bitstream/10665/94384/1/%209789241506236_eng.pdf" TargetMode="External"/><Relationship Id="rId132" Type="http://schemas.openxmlformats.org/officeDocument/2006/relationships/hyperlink" Target="http://paperpile.com/b/1wdYXm/H4eSB" TargetMode="External"/><Relationship Id="rId153" Type="http://schemas.openxmlformats.org/officeDocument/2006/relationships/hyperlink" Target="http://paperpile.com/b/1wdYXm/e8JpK" TargetMode="External"/><Relationship Id="rId174" Type="http://schemas.openxmlformats.org/officeDocument/2006/relationships/hyperlink" Target="http://apps.who.int/iris/bitstream/10665/94384/1/%209789241506236_eng.pdf" TargetMode="External"/><Relationship Id="rId179" Type="http://schemas.openxmlformats.org/officeDocument/2006/relationships/hyperlink" Target="http://paperpile.com/b/1wdYXm/KLu7w" TargetMode="External"/><Relationship Id="rId195" Type="http://schemas.openxmlformats.org/officeDocument/2006/relationships/hyperlink" Target="http://paperpile.com/b/1wdYXm/BBl8e" TargetMode="External"/><Relationship Id="rId209" Type="http://schemas.openxmlformats.org/officeDocument/2006/relationships/hyperlink" Target="http://apps.who.int/iris/bitstream/10665/94384/1/%209789241506236_eng.pdf" TargetMode="External"/><Relationship Id="rId190" Type="http://schemas.openxmlformats.org/officeDocument/2006/relationships/hyperlink" Target="http://apps.who.int/iris/bitstream/10665/94384/1/%209789241506236_eng.pdf" TargetMode="External"/><Relationship Id="rId204" Type="http://schemas.openxmlformats.org/officeDocument/2006/relationships/hyperlink" Target="http://paperpile.com/b/1wdYXm/UHZPV" TargetMode="External"/><Relationship Id="rId220" Type="http://schemas.openxmlformats.org/officeDocument/2006/relationships/hyperlink" Target="http://apps.who.int/iris/bitstream/10665/94384/1/%209789241506236_eng.pdf" TargetMode="External"/><Relationship Id="rId225" Type="http://schemas.openxmlformats.org/officeDocument/2006/relationships/footer" Target="footer2.xml"/><Relationship Id="rId15" Type="http://schemas.openxmlformats.org/officeDocument/2006/relationships/hyperlink" Target="https://paperpile.com/c/1wdYXm/24DM+JEj9" TargetMode="External"/><Relationship Id="rId36" Type="http://schemas.openxmlformats.org/officeDocument/2006/relationships/image" Target="media/image2.png"/><Relationship Id="rId57" Type="http://schemas.openxmlformats.org/officeDocument/2006/relationships/hyperlink" Target="https://paperpile.com/c/1wdYXm/cMbJG" TargetMode="External"/><Relationship Id="rId106" Type="http://schemas.openxmlformats.org/officeDocument/2006/relationships/hyperlink" Target="http://paperpile.com/b/1wdYXm/UT4aI" TargetMode="External"/><Relationship Id="rId127" Type="http://schemas.openxmlformats.org/officeDocument/2006/relationships/hyperlink" Target="http://apps.who.int/iris/bitstream/10665/94384/1/%209789241506236_eng.pdf" TargetMode="External"/><Relationship Id="rId10" Type="http://schemas.openxmlformats.org/officeDocument/2006/relationships/hyperlink" Target="mailto:jualvares@gmail.com" TargetMode="External"/><Relationship Id="rId31" Type="http://schemas.openxmlformats.org/officeDocument/2006/relationships/hyperlink" Target="https://paperpile.com/c/1wdYXm/PgCjR" TargetMode="External"/><Relationship Id="rId52" Type="http://schemas.openxmlformats.org/officeDocument/2006/relationships/hyperlink" Target="https://paperpile.com/c/1wdYXm/OJoih+oSdc5" TargetMode="External"/><Relationship Id="rId73" Type="http://schemas.openxmlformats.org/officeDocument/2006/relationships/hyperlink" Target="http://apps.who.int/iris/bitstream/10665/94384/1/9789241506236_eng.pdf" TargetMode="External"/><Relationship Id="rId78" Type="http://schemas.openxmlformats.org/officeDocument/2006/relationships/hyperlink" Target="http://apps.who.int/iris/bitstream/10665/94384/1/%209789241506236_eng.pdf" TargetMode="External"/><Relationship Id="rId94" Type="http://schemas.openxmlformats.org/officeDocument/2006/relationships/hyperlink" Target="http://paperpile.com/b/1wdYXm/OC8m6" TargetMode="External"/><Relationship Id="rId99" Type="http://schemas.openxmlformats.org/officeDocument/2006/relationships/hyperlink" Target="http://apps.who.int/iris/bitstream/10665/94384/1/%209789241506236_eng.pdf" TargetMode="External"/><Relationship Id="rId101" Type="http://schemas.openxmlformats.org/officeDocument/2006/relationships/hyperlink" Target="http://dx.doi.org/10.5935/abc.20160102" TargetMode="External"/><Relationship Id="rId122" Type="http://schemas.openxmlformats.org/officeDocument/2006/relationships/hyperlink" Target="http://paperpile.com/b/1wdYXm/YRCMB" TargetMode="External"/><Relationship Id="rId143" Type="http://schemas.openxmlformats.org/officeDocument/2006/relationships/hyperlink" Target="http://paperpile.com/b/1wdYXm/ewG8t" TargetMode="External"/><Relationship Id="rId148" Type="http://schemas.openxmlformats.org/officeDocument/2006/relationships/hyperlink" Target="http://apps.who.int/iris/bitstream/10665/94384/1/%209789241506236_eng.pdf" TargetMode="External"/><Relationship Id="rId164" Type="http://schemas.openxmlformats.org/officeDocument/2006/relationships/hyperlink" Target="http://apps.who.int/iris/bitstream/10665/94384/1/%209789241506236_eng.pdf" TargetMode="External"/><Relationship Id="rId169" Type="http://schemas.openxmlformats.org/officeDocument/2006/relationships/hyperlink" Target="http://paperpile.com/b/1wdYXm/yN00a" TargetMode="External"/><Relationship Id="rId185" Type="http://schemas.openxmlformats.org/officeDocument/2006/relationships/hyperlink" Target="http://paperpile.com/b/1wdYXm/94R3P" TargetMode="External"/><Relationship Id="rId4" Type="http://schemas.openxmlformats.org/officeDocument/2006/relationships/settings" Target="settings.xml"/><Relationship Id="rId9" Type="http://schemas.openxmlformats.org/officeDocument/2006/relationships/hyperlink" Target="mailto:augustoguerramg@gmail.com" TargetMode="External"/><Relationship Id="rId180" Type="http://schemas.openxmlformats.org/officeDocument/2006/relationships/hyperlink" Target="http://apps.who.int/iris/bitstream/10665/94384/1/%209789241506236_eng.pdf" TargetMode="External"/><Relationship Id="rId210" Type="http://schemas.openxmlformats.org/officeDocument/2006/relationships/hyperlink" Target="http://paperpile.com/b/1wdYXm/nW3Oe" TargetMode="External"/><Relationship Id="rId215" Type="http://schemas.openxmlformats.org/officeDocument/2006/relationships/hyperlink" Target="http://apps.who.int/iris/bitstream/10665/94384/1/%209789241506236_eng.pdf" TargetMode="External"/><Relationship Id="rId26" Type="http://schemas.openxmlformats.org/officeDocument/2006/relationships/hyperlink" Target="https://paperpile.com/c/1wdYXm/YRCMB+JPJVI" TargetMode="External"/><Relationship Id="rId47" Type="http://schemas.openxmlformats.org/officeDocument/2006/relationships/hyperlink" Target="https://paperpile.com/c/1wdYXm/iIQGT" TargetMode="External"/><Relationship Id="rId68" Type="http://schemas.openxmlformats.org/officeDocument/2006/relationships/hyperlink" Target="https://paperpile.com/c/1wdYXm/6qdbm+DCpRp" TargetMode="External"/><Relationship Id="rId89" Type="http://schemas.openxmlformats.org/officeDocument/2006/relationships/hyperlink" Target="http://apps.who.int/iris/bitstream/10665/94384/1/%209789241506236_eng.pdf" TargetMode="External"/><Relationship Id="rId112" Type="http://schemas.openxmlformats.org/officeDocument/2006/relationships/hyperlink" Target="http://paperpile.com/b/1wdYXm/tGeJl" TargetMode="External"/><Relationship Id="rId133" Type="http://schemas.openxmlformats.org/officeDocument/2006/relationships/hyperlink" Target="http://apps.who.int/iris/bitstream/10665/94384/1/%209789241506236_eng.pdf" TargetMode="External"/><Relationship Id="rId154" Type="http://schemas.openxmlformats.org/officeDocument/2006/relationships/hyperlink" Target="about:blank" TargetMode="External"/><Relationship Id="rId175" Type="http://schemas.openxmlformats.org/officeDocument/2006/relationships/hyperlink" Target="http://paperpile.com/b/1wdYXm/wGgLQ" TargetMode="External"/><Relationship Id="rId196" Type="http://schemas.openxmlformats.org/officeDocument/2006/relationships/hyperlink" Target="http://apps.who.int/iris/bitstream/10665/94384/1/%209789241506236_eng.pdf" TargetMode="External"/><Relationship Id="rId200" Type="http://schemas.openxmlformats.org/officeDocument/2006/relationships/hyperlink" Target="http://apps.who.int/iris/bitstream/10665/94384/1/%209789241506236_eng.pdf" TargetMode="External"/><Relationship Id="rId16" Type="http://schemas.openxmlformats.org/officeDocument/2006/relationships/hyperlink" Target="https://paperpile.com/c/1wdYXm/YE3uI+lE4AO+pKm5M" TargetMode="External"/><Relationship Id="rId221" Type="http://schemas.openxmlformats.org/officeDocument/2006/relationships/hyperlink" Target="http://paperpile.com/b/1wdYXm/7TUUu" TargetMode="External"/><Relationship Id="rId37" Type="http://schemas.openxmlformats.org/officeDocument/2006/relationships/hyperlink" Target="https://paperpile.com/c/1wdYXm/e8JpK" TargetMode="External"/><Relationship Id="rId58" Type="http://schemas.openxmlformats.org/officeDocument/2006/relationships/hyperlink" Target="https://paperpile.com/c/1wdYXm/YIokE+cMbJG" TargetMode="External"/><Relationship Id="rId79" Type="http://schemas.openxmlformats.org/officeDocument/2006/relationships/hyperlink" Target="http://paperpile.com/b/1wdYXm/pKm5M" TargetMode="External"/><Relationship Id="rId102" Type="http://schemas.openxmlformats.org/officeDocument/2006/relationships/hyperlink" Target="http://apps.who.int/iris/bitstream/10665/94384/1/%209789241506236_eng.pdf" TargetMode="External"/><Relationship Id="rId123" Type="http://schemas.openxmlformats.org/officeDocument/2006/relationships/hyperlink" Target="http://apps.who.int/iris/bitstream/10665/94384/1/%209789241506236_eng.pdf" TargetMode="External"/><Relationship Id="rId144" Type="http://schemas.openxmlformats.org/officeDocument/2006/relationships/hyperlink" Target="https://intermountainhealthcare.org/news/2017/10/heart-attack-stroke-patients-prescribed-statin-medication-have-better-outcomes/" TargetMode="External"/><Relationship Id="rId90" Type="http://schemas.openxmlformats.org/officeDocument/2006/relationships/hyperlink" Target="http://paperpile.com/b/1wdYXm/pnhO3" TargetMode="External"/><Relationship Id="rId165" Type="http://schemas.openxmlformats.org/officeDocument/2006/relationships/hyperlink" Target="http://paperpile.com/b/1wdYXm/4vmnj" TargetMode="External"/><Relationship Id="rId186" Type="http://schemas.openxmlformats.org/officeDocument/2006/relationships/hyperlink" Target="http://apps.who.int/iris/bitstream/10665/94384/1/%209789241506236_eng.pdf" TargetMode="External"/><Relationship Id="rId211" Type="http://schemas.openxmlformats.org/officeDocument/2006/relationships/hyperlink" Target="http://apps.who.int/iris/bitstream/10665/94384/1/%209789241506236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9070-5AFA-40F2-8A82-ABBE3A9D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10076</Words>
  <Characters>57437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67379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Renata Nascimento</dc:creator>
  <cp:keywords/>
  <dc:description/>
  <cp:lastModifiedBy>Brian Godman</cp:lastModifiedBy>
  <cp:revision>4</cp:revision>
  <cp:lastPrinted>2011-07-22T14:54:00Z</cp:lastPrinted>
  <dcterms:created xsi:type="dcterms:W3CDTF">2018-03-08T13:25:00Z</dcterms:created>
  <dcterms:modified xsi:type="dcterms:W3CDTF">2018-03-08T13:48:00Z</dcterms:modified>
  <cp:category/>
</cp:coreProperties>
</file>