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BA8FFD" w14:textId="4FA0D73D" w:rsidR="00BC6215" w:rsidRPr="00CC63F8" w:rsidRDefault="00EC1A7D" w:rsidP="00CC63F8">
      <w:pPr>
        <w:spacing w:line="276" w:lineRule="auto"/>
        <w:jc w:val="center"/>
        <w:rPr>
          <w:rFonts w:ascii="Garamond" w:hAnsi="Garamond"/>
          <w:b/>
          <w:sz w:val="24"/>
          <w:szCs w:val="24"/>
        </w:rPr>
      </w:pPr>
      <w:r w:rsidRPr="00CC63F8">
        <w:rPr>
          <w:rFonts w:ascii="Garamond" w:hAnsi="Garamond"/>
          <w:b/>
          <w:sz w:val="24"/>
          <w:szCs w:val="24"/>
        </w:rPr>
        <w:t>Allies or opponents?</w:t>
      </w:r>
      <w:r w:rsidR="00A52270" w:rsidRPr="00CC63F8">
        <w:rPr>
          <w:rFonts w:ascii="Garamond" w:hAnsi="Garamond"/>
          <w:b/>
          <w:sz w:val="24"/>
          <w:szCs w:val="24"/>
        </w:rPr>
        <w:t>: p</w:t>
      </w:r>
      <w:r w:rsidR="004A0318" w:rsidRPr="00CC63F8">
        <w:rPr>
          <w:rFonts w:ascii="Garamond" w:hAnsi="Garamond"/>
          <w:b/>
          <w:sz w:val="24"/>
          <w:szCs w:val="24"/>
        </w:rPr>
        <w:t>ower-sharing, civil society and gender</w:t>
      </w:r>
    </w:p>
    <w:p w14:paraId="46276270" w14:textId="77777777" w:rsidR="00942907" w:rsidRPr="00CC63F8" w:rsidRDefault="00942907" w:rsidP="00CC63F8">
      <w:pPr>
        <w:spacing w:line="276" w:lineRule="auto"/>
        <w:jc w:val="both"/>
        <w:rPr>
          <w:rFonts w:ascii="Garamond" w:hAnsi="Garamond"/>
          <w:b/>
          <w:sz w:val="24"/>
          <w:szCs w:val="24"/>
        </w:rPr>
      </w:pPr>
      <w:r w:rsidRPr="00CC63F8">
        <w:rPr>
          <w:rFonts w:ascii="Garamond" w:hAnsi="Garamond"/>
          <w:b/>
          <w:sz w:val="24"/>
          <w:szCs w:val="24"/>
        </w:rPr>
        <w:t>Abstract:</w:t>
      </w:r>
    </w:p>
    <w:p w14:paraId="7EF5B148" w14:textId="464DEE27" w:rsidR="004A0318" w:rsidRDefault="004A0318" w:rsidP="00CC63F8">
      <w:pPr>
        <w:spacing w:line="276" w:lineRule="auto"/>
        <w:jc w:val="both"/>
        <w:rPr>
          <w:rFonts w:ascii="Garamond" w:hAnsi="Garamond"/>
          <w:sz w:val="24"/>
          <w:szCs w:val="24"/>
        </w:rPr>
      </w:pPr>
      <w:r w:rsidRPr="006741F9">
        <w:rPr>
          <w:rFonts w:ascii="Garamond" w:hAnsi="Garamond"/>
          <w:sz w:val="24"/>
          <w:szCs w:val="24"/>
        </w:rPr>
        <w:t xml:space="preserve">A developing body of literature is emerging to consider the gendered implications of power-sharing (consociational) governance. This literature argues that the structures inherent within power-sharing governance privilege ethnic/ethno-national identity, and thus impede </w:t>
      </w:r>
      <w:r w:rsidR="00F45B3C" w:rsidRPr="006741F9">
        <w:rPr>
          <w:rFonts w:ascii="Garamond" w:hAnsi="Garamond"/>
          <w:sz w:val="24"/>
          <w:szCs w:val="24"/>
        </w:rPr>
        <w:t xml:space="preserve">the </w:t>
      </w:r>
      <w:r w:rsidRPr="006741F9">
        <w:rPr>
          <w:rFonts w:ascii="Garamond" w:hAnsi="Garamond"/>
          <w:sz w:val="24"/>
          <w:szCs w:val="24"/>
        </w:rPr>
        <w:t>argument for greater women’s descriptive and substantive political representation. This paper extends these arguments to consider how consociational theory addresses (or does not address) the role of civil society in post-conflict environments, and the gendered effects that this has on women’s political voice in post-conflict society. Drawing on the conceptual literature on both consociational theory and women’s political activism in conflict and post-conflict societies, it argues that power-sharing is overly concerned with formal representation to the detriment of an understanding of the role that civil society can play in peacebuilding</w:t>
      </w:r>
      <w:r w:rsidR="00BE2BC0">
        <w:rPr>
          <w:rFonts w:ascii="Garamond" w:hAnsi="Garamond"/>
          <w:sz w:val="24"/>
          <w:szCs w:val="24"/>
        </w:rPr>
        <w:t xml:space="preserve">. </w:t>
      </w:r>
      <w:r w:rsidR="00A81E5D">
        <w:rPr>
          <w:rFonts w:ascii="Garamond" w:hAnsi="Garamond"/>
          <w:sz w:val="24"/>
          <w:szCs w:val="24"/>
        </w:rPr>
        <w:t>Whilst we acknowledge the importance of civil society retaining a critical distance from political institutions, we suggest several mechanisms for incorporating civil society into power-sharing arrangements</w:t>
      </w:r>
      <w:r w:rsidR="00A81E5D" w:rsidRPr="006741F9">
        <w:rPr>
          <w:rFonts w:ascii="Garamond" w:hAnsi="Garamond"/>
          <w:sz w:val="24"/>
          <w:szCs w:val="24"/>
        </w:rPr>
        <w:t xml:space="preserve">. </w:t>
      </w:r>
      <w:r w:rsidR="00A81E5D">
        <w:rPr>
          <w:rFonts w:ascii="Garamond" w:hAnsi="Garamond"/>
          <w:sz w:val="24"/>
          <w:szCs w:val="24"/>
        </w:rPr>
        <w:t xml:space="preserve">We argue throughout that a consideration of power-sharing and civil society helps to highlight the gendered issues that </w:t>
      </w:r>
      <w:r w:rsidR="00EC1A7D">
        <w:rPr>
          <w:rFonts w:ascii="Garamond" w:hAnsi="Garamond"/>
          <w:sz w:val="24"/>
          <w:szCs w:val="24"/>
        </w:rPr>
        <w:t>remain</w:t>
      </w:r>
      <w:r w:rsidR="00A81E5D">
        <w:rPr>
          <w:rFonts w:ascii="Garamond" w:hAnsi="Garamond"/>
          <w:sz w:val="24"/>
          <w:szCs w:val="24"/>
        </w:rPr>
        <w:t xml:space="preserve"> relatively ignored</w:t>
      </w:r>
      <w:r w:rsidR="00EC1A7D">
        <w:rPr>
          <w:rFonts w:ascii="Garamond" w:hAnsi="Garamond"/>
          <w:sz w:val="24"/>
          <w:szCs w:val="24"/>
        </w:rPr>
        <w:t xml:space="preserve"> in post-conflict settings</w:t>
      </w:r>
      <w:r w:rsidR="00A81E5D">
        <w:rPr>
          <w:rFonts w:ascii="Garamond" w:hAnsi="Garamond"/>
          <w:sz w:val="24"/>
          <w:szCs w:val="24"/>
        </w:rPr>
        <w:t xml:space="preserve">, and </w:t>
      </w:r>
      <w:r w:rsidR="004536BF">
        <w:rPr>
          <w:rFonts w:ascii="Garamond" w:hAnsi="Garamond"/>
          <w:sz w:val="24"/>
          <w:szCs w:val="24"/>
        </w:rPr>
        <w:t xml:space="preserve">conclude </w:t>
      </w:r>
      <w:r w:rsidR="00A81E5D">
        <w:rPr>
          <w:rFonts w:ascii="Garamond" w:hAnsi="Garamond"/>
          <w:sz w:val="24"/>
          <w:szCs w:val="24"/>
        </w:rPr>
        <w:t xml:space="preserve">that a broader understanding of both ‘politics’ and ‘conflict’ is required for power-sharing to be more equitable to women’s descriptive and substantive </w:t>
      </w:r>
      <w:r w:rsidR="005F45F5">
        <w:rPr>
          <w:rFonts w:ascii="Garamond" w:hAnsi="Garamond"/>
          <w:sz w:val="24"/>
          <w:szCs w:val="24"/>
        </w:rPr>
        <w:t>representation</w:t>
      </w:r>
      <w:r w:rsidR="00A81E5D">
        <w:rPr>
          <w:rFonts w:ascii="Garamond" w:hAnsi="Garamond"/>
          <w:sz w:val="24"/>
          <w:szCs w:val="24"/>
        </w:rPr>
        <w:t>.</w:t>
      </w:r>
    </w:p>
    <w:p w14:paraId="1E7BBFCC" w14:textId="326B5A05" w:rsidR="006545FC" w:rsidRDefault="006545FC" w:rsidP="00CC63F8">
      <w:pPr>
        <w:spacing w:line="276" w:lineRule="auto"/>
        <w:jc w:val="both"/>
        <w:rPr>
          <w:rFonts w:ascii="Garamond" w:hAnsi="Garamond"/>
          <w:sz w:val="24"/>
          <w:szCs w:val="24"/>
        </w:rPr>
      </w:pPr>
      <w:r w:rsidRPr="00EF5664">
        <w:rPr>
          <w:rFonts w:ascii="Garamond" w:hAnsi="Garamond"/>
          <w:b/>
          <w:sz w:val="24"/>
          <w:szCs w:val="24"/>
        </w:rPr>
        <w:t>Dr Claire Pierson</w:t>
      </w:r>
      <w:r w:rsidR="004536BF">
        <w:rPr>
          <w:rFonts w:ascii="Garamond" w:hAnsi="Garamond"/>
          <w:sz w:val="24"/>
          <w:szCs w:val="24"/>
        </w:rPr>
        <w:t xml:space="preserve"> is a Lecturer in Politics at the University of Liverpool. Her work focuses on conflict transformation from a feminist perspective, in particular reproductive rights and activism.</w:t>
      </w:r>
    </w:p>
    <w:p w14:paraId="35892DE9" w14:textId="638FBD65" w:rsidR="006545FC" w:rsidRDefault="006545FC" w:rsidP="00CC63F8">
      <w:pPr>
        <w:spacing w:line="276" w:lineRule="auto"/>
        <w:jc w:val="both"/>
        <w:rPr>
          <w:rFonts w:ascii="Garamond" w:hAnsi="Garamond"/>
          <w:sz w:val="24"/>
          <w:szCs w:val="24"/>
        </w:rPr>
      </w:pPr>
      <w:r w:rsidRPr="00EF5664">
        <w:rPr>
          <w:rFonts w:ascii="Garamond" w:hAnsi="Garamond"/>
          <w:b/>
          <w:sz w:val="24"/>
          <w:szCs w:val="24"/>
        </w:rPr>
        <w:t>Dr Jennifer Thomson</w:t>
      </w:r>
      <w:r>
        <w:rPr>
          <w:rFonts w:ascii="Garamond" w:hAnsi="Garamond"/>
          <w:sz w:val="24"/>
          <w:szCs w:val="24"/>
        </w:rPr>
        <w:t xml:space="preserve"> is </w:t>
      </w:r>
      <w:r w:rsidR="00EF5664">
        <w:rPr>
          <w:rFonts w:ascii="Garamond" w:hAnsi="Garamond"/>
          <w:sz w:val="24"/>
          <w:szCs w:val="24"/>
        </w:rPr>
        <w:t xml:space="preserve">a Lecturer in Comparative Politics at the University of Bath. Her work focuses on gender in post-conflict settings. </w:t>
      </w:r>
    </w:p>
    <w:p w14:paraId="5BEDDFBC" w14:textId="18DF760A" w:rsidR="006545FC" w:rsidRPr="006741F9" w:rsidRDefault="006545FC" w:rsidP="00CC63F8">
      <w:pPr>
        <w:spacing w:line="276" w:lineRule="auto"/>
        <w:jc w:val="both"/>
        <w:rPr>
          <w:rFonts w:ascii="Garamond" w:hAnsi="Garamond"/>
          <w:sz w:val="24"/>
          <w:szCs w:val="24"/>
        </w:rPr>
      </w:pPr>
      <w:r w:rsidRPr="00EF5664">
        <w:rPr>
          <w:rFonts w:ascii="Garamond" w:hAnsi="Garamond"/>
          <w:b/>
          <w:sz w:val="24"/>
          <w:szCs w:val="24"/>
        </w:rPr>
        <w:t>Acknowledgements</w:t>
      </w:r>
      <w:r>
        <w:rPr>
          <w:rFonts w:ascii="Garamond" w:hAnsi="Garamond"/>
          <w:sz w:val="24"/>
          <w:szCs w:val="24"/>
        </w:rPr>
        <w:t xml:space="preserve"> – Both authors would like to thank Siobhan Byrne and Allison McCulloch for their invitation to contribute to this journal; the two anonymous reviewers for their helpful and insightful comments; and Siobhan, Allison and Timofey Agarin for organising the </w:t>
      </w:r>
      <w:r w:rsidR="00EF5664">
        <w:rPr>
          <w:rFonts w:ascii="Garamond" w:hAnsi="Garamond"/>
          <w:sz w:val="24"/>
          <w:szCs w:val="24"/>
        </w:rPr>
        <w:t xml:space="preserve">workshop at Queen’s University, Belfast, which this edited collected emanates from. </w:t>
      </w:r>
    </w:p>
    <w:p w14:paraId="329F0620" w14:textId="77777777" w:rsidR="00301897" w:rsidRPr="006B4852" w:rsidRDefault="00301897" w:rsidP="00CC63F8">
      <w:pPr>
        <w:spacing w:line="276" w:lineRule="auto"/>
        <w:rPr>
          <w:rFonts w:ascii="Garamond" w:hAnsi="Garamond"/>
          <w:sz w:val="24"/>
          <w:szCs w:val="24"/>
        </w:rPr>
      </w:pPr>
      <w:r w:rsidRPr="006B4852">
        <w:rPr>
          <w:rFonts w:ascii="Garamond" w:hAnsi="Garamond"/>
          <w:sz w:val="24"/>
          <w:szCs w:val="24"/>
        </w:rPr>
        <w:br w:type="page"/>
      </w:r>
    </w:p>
    <w:p w14:paraId="19BAD3EB" w14:textId="77777777" w:rsidR="00301897" w:rsidRPr="006B4852" w:rsidRDefault="00301897" w:rsidP="00CC63F8">
      <w:pPr>
        <w:spacing w:line="276" w:lineRule="auto"/>
        <w:jc w:val="both"/>
        <w:rPr>
          <w:rFonts w:ascii="Garamond" w:hAnsi="Garamond"/>
          <w:sz w:val="24"/>
          <w:szCs w:val="24"/>
          <w:u w:val="single"/>
        </w:rPr>
      </w:pPr>
      <w:r w:rsidRPr="006B4852">
        <w:rPr>
          <w:rFonts w:ascii="Garamond" w:hAnsi="Garamond"/>
          <w:sz w:val="24"/>
          <w:szCs w:val="24"/>
          <w:u w:val="single"/>
        </w:rPr>
        <w:lastRenderedPageBreak/>
        <w:t>Introduction</w:t>
      </w:r>
    </w:p>
    <w:p w14:paraId="2612EBA7" w14:textId="594D391B" w:rsidR="00301897" w:rsidRPr="006B4852" w:rsidRDefault="00301897" w:rsidP="00CC63F8">
      <w:pPr>
        <w:spacing w:line="276" w:lineRule="auto"/>
        <w:jc w:val="both"/>
        <w:rPr>
          <w:rFonts w:ascii="Garamond" w:hAnsi="Garamond"/>
          <w:sz w:val="24"/>
          <w:szCs w:val="24"/>
        </w:rPr>
      </w:pPr>
      <w:r w:rsidRPr="006B4852">
        <w:rPr>
          <w:rFonts w:ascii="Garamond" w:hAnsi="Garamond"/>
          <w:sz w:val="24"/>
          <w:szCs w:val="24"/>
        </w:rPr>
        <w:t>Consociational power-sharing is an increa</w:t>
      </w:r>
      <w:r w:rsidR="002371F4">
        <w:rPr>
          <w:rFonts w:ascii="Garamond" w:hAnsi="Garamond"/>
          <w:sz w:val="24"/>
          <w:szCs w:val="24"/>
        </w:rPr>
        <w:t xml:space="preserve">singly accepted method </w:t>
      </w:r>
      <w:r w:rsidR="005F45F5">
        <w:rPr>
          <w:rFonts w:ascii="Garamond" w:hAnsi="Garamond"/>
          <w:sz w:val="24"/>
          <w:szCs w:val="24"/>
        </w:rPr>
        <w:t>of promoting</w:t>
      </w:r>
      <w:r w:rsidR="002371F4">
        <w:rPr>
          <w:rFonts w:ascii="Garamond" w:hAnsi="Garamond"/>
          <w:sz w:val="24"/>
          <w:szCs w:val="24"/>
        </w:rPr>
        <w:t xml:space="preserve"> equality of representation in</w:t>
      </w:r>
      <w:r w:rsidRPr="006B4852">
        <w:rPr>
          <w:rFonts w:ascii="Garamond" w:hAnsi="Garamond"/>
          <w:sz w:val="24"/>
          <w:szCs w:val="24"/>
        </w:rPr>
        <w:t xml:space="preserve"> post-confl</w:t>
      </w:r>
      <w:r w:rsidR="006C0413" w:rsidRPr="006B4852">
        <w:rPr>
          <w:rFonts w:ascii="Garamond" w:hAnsi="Garamond"/>
          <w:sz w:val="24"/>
          <w:szCs w:val="24"/>
        </w:rPr>
        <w:t>i</w:t>
      </w:r>
      <w:r w:rsidRPr="006B4852">
        <w:rPr>
          <w:rFonts w:ascii="Garamond" w:hAnsi="Garamond"/>
          <w:sz w:val="24"/>
          <w:szCs w:val="24"/>
        </w:rPr>
        <w:t>ct governance</w:t>
      </w:r>
      <w:r w:rsidR="007963FA">
        <w:rPr>
          <w:rFonts w:ascii="Garamond" w:hAnsi="Garamond"/>
          <w:sz w:val="24"/>
          <w:szCs w:val="24"/>
        </w:rPr>
        <w:t xml:space="preserve"> following ethnically/e</w:t>
      </w:r>
      <w:r w:rsidR="00942907">
        <w:rPr>
          <w:rFonts w:ascii="Garamond" w:hAnsi="Garamond"/>
          <w:sz w:val="24"/>
          <w:szCs w:val="24"/>
        </w:rPr>
        <w:t>thno-nationally divided conflict.</w:t>
      </w:r>
      <w:r w:rsidR="002304B7">
        <w:rPr>
          <w:rFonts w:ascii="Garamond" w:hAnsi="Garamond"/>
          <w:sz w:val="24"/>
          <w:szCs w:val="24"/>
        </w:rPr>
        <w:t xml:space="preserve"> It is</w:t>
      </w:r>
      <w:r w:rsidR="00A81E5D">
        <w:rPr>
          <w:rFonts w:ascii="Garamond" w:hAnsi="Garamond"/>
          <w:sz w:val="24"/>
          <w:szCs w:val="24"/>
        </w:rPr>
        <w:t xml:space="preserve"> employed variously in Northern Ireland, Macedonia, Bosnia-Herzegovina and Burundi, amongst other</w:t>
      </w:r>
      <w:r w:rsidR="00EC1A7D">
        <w:rPr>
          <w:rFonts w:ascii="Garamond" w:hAnsi="Garamond"/>
          <w:sz w:val="24"/>
          <w:szCs w:val="24"/>
        </w:rPr>
        <w:t>s</w:t>
      </w:r>
      <w:r w:rsidRPr="006B4852">
        <w:rPr>
          <w:rFonts w:ascii="Garamond" w:hAnsi="Garamond"/>
          <w:sz w:val="24"/>
          <w:szCs w:val="24"/>
        </w:rPr>
        <w:t>. However, it has now been argued extensively</w:t>
      </w:r>
      <w:r w:rsidR="00DA40A3">
        <w:rPr>
          <w:rStyle w:val="EndnoteReference"/>
          <w:rFonts w:ascii="Garamond" w:hAnsi="Garamond"/>
          <w:sz w:val="24"/>
          <w:szCs w:val="24"/>
        </w:rPr>
        <w:endnoteReference w:id="1"/>
      </w:r>
      <w:r w:rsidR="00003C22">
        <w:rPr>
          <w:rFonts w:ascii="Garamond" w:hAnsi="Garamond"/>
          <w:sz w:val="24"/>
          <w:szCs w:val="24"/>
        </w:rPr>
        <w:t xml:space="preserve"> that </w:t>
      </w:r>
      <w:r w:rsidRPr="006B4852">
        <w:rPr>
          <w:rFonts w:ascii="Garamond" w:hAnsi="Garamond"/>
          <w:sz w:val="24"/>
          <w:szCs w:val="24"/>
        </w:rPr>
        <w:t xml:space="preserve">by focusing </w:t>
      </w:r>
      <w:r w:rsidR="00A81E5D">
        <w:rPr>
          <w:rFonts w:ascii="Garamond" w:hAnsi="Garamond"/>
          <w:sz w:val="24"/>
          <w:szCs w:val="24"/>
        </w:rPr>
        <w:t xml:space="preserve">overtly </w:t>
      </w:r>
      <w:r w:rsidRPr="006B4852">
        <w:rPr>
          <w:rFonts w:ascii="Garamond" w:hAnsi="Garamond"/>
          <w:sz w:val="24"/>
          <w:szCs w:val="24"/>
        </w:rPr>
        <w:t xml:space="preserve">on </w:t>
      </w:r>
      <w:r w:rsidR="00A81E5D">
        <w:rPr>
          <w:rFonts w:ascii="Garamond" w:hAnsi="Garamond"/>
          <w:sz w:val="24"/>
          <w:szCs w:val="24"/>
        </w:rPr>
        <w:t>ethnic/</w:t>
      </w:r>
      <w:r w:rsidRPr="006B4852">
        <w:rPr>
          <w:rFonts w:ascii="Garamond" w:hAnsi="Garamond"/>
          <w:sz w:val="24"/>
          <w:szCs w:val="24"/>
        </w:rPr>
        <w:t>ethno-national identities,</w:t>
      </w:r>
      <w:r w:rsidR="006C0413" w:rsidRPr="006B4852">
        <w:rPr>
          <w:rFonts w:ascii="Garamond" w:hAnsi="Garamond"/>
          <w:sz w:val="24"/>
          <w:szCs w:val="24"/>
        </w:rPr>
        <w:t xml:space="preserve"> </w:t>
      </w:r>
      <w:r w:rsidR="008C6E14">
        <w:rPr>
          <w:rFonts w:ascii="Garamond" w:hAnsi="Garamond"/>
          <w:sz w:val="24"/>
          <w:szCs w:val="24"/>
        </w:rPr>
        <w:t xml:space="preserve">consociationalism </w:t>
      </w:r>
      <w:r w:rsidR="006C0413" w:rsidRPr="006B4852">
        <w:rPr>
          <w:rFonts w:ascii="Garamond" w:hAnsi="Garamond"/>
          <w:sz w:val="24"/>
          <w:szCs w:val="24"/>
        </w:rPr>
        <w:t>does little to pr</w:t>
      </w:r>
      <w:r w:rsidRPr="006B4852">
        <w:rPr>
          <w:rFonts w:ascii="Garamond" w:hAnsi="Garamond"/>
          <w:sz w:val="24"/>
          <w:szCs w:val="24"/>
        </w:rPr>
        <w:t xml:space="preserve">omote women’s rights or representation in post-conflict </w:t>
      </w:r>
      <w:r w:rsidR="006C0413" w:rsidRPr="006B4852">
        <w:rPr>
          <w:rFonts w:ascii="Garamond" w:hAnsi="Garamond"/>
          <w:sz w:val="24"/>
          <w:szCs w:val="24"/>
        </w:rPr>
        <w:t>structures</w:t>
      </w:r>
      <w:r w:rsidRPr="006B4852">
        <w:rPr>
          <w:rFonts w:ascii="Garamond" w:hAnsi="Garamond"/>
          <w:sz w:val="24"/>
          <w:szCs w:val="24"/>
        </w:rPr>
        <w:t xml:space="preserve"> – and that, indeed, it may impede attempts to do so.</w:t>
      </w:r>
      <w:r w:rsidR="007E1870">
        <w:rPr>
          <w:rFonts w:ascii="Garamond" w:hAnsi="Garamond"/>
          <w:sz w:val="24"/>
          <w:szCs w:val="24"/>
        </w:rPr>
        <w:t xml:space="preserve"> </w:t>
      </w:r>
      <w:r w:rsidR="007963FA">
        <w:rPr>
          <w:rFonts w:ascii="Garamond" w:hAnsi="Garamond"/>
          <w:sz w:val="24"/>
          <w:szCs w:val="24"/>
        </w:rPr>
        <w:t>This literature</w:t>
      </w:r>
      <w:r w:rsidR="007E1870">
        <w:rPr>
          <w:rFonts w:ascii="Garamond" w:hAnsi="Garamond"/>
          <w:sz w:val="24"/>
          <w:szCs w:val="24"/>
        </w:rPr>
        <w:t xml:space="preserve"> reasons that consociationalism creates an exclusionary form of citizenship based solely on ethnicity to the detriment of alternative identity markers</w:t>
      </w:r>
      <w:r w:rsidR="006236EE">
        <w:rPr>
          <w:rFonts w:ascii="Garamond" w:hAnsi="Garamond"/>
          <w:sz w:val="24"/>
          <w:szCs w:val="24"/>
        </w:rPr>
        <w:t>,</w:t>
      </w:r>
      <w:r w:rsidR="00EF5664">
        <w:rPr>
          <w:rStyle w:val="EndnoteReference"/>
          <w:rFonts w:ascii="Garamond" w:hAnsi="Garamond"/>
          <w:sz w:val="24"/>
          <w:szCs w:val="24"/>
        </w:rPr>
        <w:endnoteReference w:id="2"/>
      </w:r>
      <w:r w:rsidR="00EF5664">
        <w:rPr>
          <w:rFonts w:ascii="Garamond" w:hAnsi="Garamond"/>
          <w:sz w:val="24"/>
          <w:szCs w:val="24"/>
        </w:rPr>
        <w:t xml:space="preserve"> </w:t>
      </w:r>
      <w:r w:rsidR="00BC0835">
        <w:rPr>
          <w:rFonts w:ascii="Garamond" w:hAnsi="Garamond"/>
          <w:sz w:val="24"/>
          <w:szCs w:val="24"/>
        </w:rPr>
        <w:t>such as gender</w:t>
      </w:r>
      <w:r w:rsidR="00A81E5D">
        <w:rPr>
          <w:rFonts w:ascii="Garamond" w:hAnsi="Garamond"/>
          <w:sz w:val="24"/>
          <w:szCs w:val="24"/>
        </w:rPr>
        <w:t xml:space="preserve"> or sexuality</w:t>
      </w:r>
      <w:r w:rsidR="007E1870">
        <w:rPr>
          <w:rFonts w:ascii="Garamond" w:hAnsi="Garamond"/>
          <w:sz w:val="24"/>
          <w:szCs w:val="24"/>
        </w:rPr>
        <w:t>.</w:t>
      </w:r>
    </w:p>
    <w:p w14:paraId="1D7C7086" w14:textId="2D6BAE3A" w:rsidR="00A12D29" w:rsidRDefault="00380D55" w:rsidP="00CC63F8">
      <w:pPr>
        <w:spacing w:line="276" w:lineRule="auto"/>
        <w:jc w:val="both"/>
        <w:rPr>
          <w:rFonts w:ascii="Garamond" w:hAnsi="Garamond"/>
          <w:sz w:val="24"/>
          <w:szCs w:val="24"/>
        </w:rPr>
      </w:pPr>
      <w:r>
        <w:rPr>
          <w:rFonts w:ascii="Garamond" w:hAnsi="Garamond"/>
          <w:sz w:val="24"/>
          <w:szCs w:val="24"/>
        </w:rPr>
        <w:t xml:space="preserve">Whilst women also identify with ethnic and national </w:t>
      </w:r>
      <w:r w:rsidR="0078656B">
        <w:rPr>
          <w:rFonts w:ascii="Garamond" w:hAnsi="Garamond"/>
          <w:sz w:val="24"/>
          <w:szCs w:val="24"/>
        </w:rPr>
        <w:t xml:space="preserve">identity </w:t>
      </w:r>
      <w:r>
        <w:rPr>
          <w:rFonts w:ascii="Garamond" w:hAnsi="Garamond"/>
          <w:sz w:val="24"/>
          <w:szCs w:val="24"/>
        </w:rPr>
        <w:t xml:space="preserve">markers, there are </w:t>
      </w:r>
      <w:r w:rsidR="003A4149">
        <w:rPr>
          <w:rFonts w:ascii="Garamond" w:hAnsi="Garamond"/>
          <w:sz w:val="24"/>
          <w:szCs w:val="24"/>
        </w:rPr>
        <w:t xml:space="preserve">experiences and </w:t>
      </w:r>
      <w:r w:rsidR="00057649">
        <w:rPr>
          <w:rFonts w:ascii="Garamond" w:hAnsi="Garamond"/>
          <w:sz w:val="24"/>
          <w:szCs w:val="24"/>
        </w:rPr>
        <w:t>rights</w:t>
      </w:r>
      <w:r w:rsidR="003A4149">
        <w:rPr>
          <w:rFonts w:ascii="Garamond" w:hAnsi="Garamond"/>
          <w:sz w:val="24"/>
          <w:szCs w:val="24"/>
        </w:rPr>
        <w:t xml:space="preserve"> which are explicitly gendered and cross ethno-national divides. </w:t>
      </w:r>
      <w:r w:rsidR="00BC0835">
        <w:rPr>
          <w:rFonts w:ascii="Garamond" w:hAnsi="Garamond"/>
          <w:sz w:val="24"/>
          <w:szCs w:val="24"/>
        </w:rPr>
        <w:t>Gender analyses have become increasingly prominent in literature scrutinizing both the causes and outcomes of conflict</w:t>
      </w:r>
      <w:r w:rsidR="003C3F8B">
        <w:rPr>
          <w:rFonts w:ascii="Garamond" w:hAnsi="Garamond"/>
          <w:sz w:val="24"/>
          <w:szCs w:val="24"/>
        </w:rPr>
        <w:t>.</w:t>
      </w:r>
      <w:r w:rsidR="006236EE">
        <w:rPr>
          <w:rStyle w:val="EndnoteReference"/>
          <w:rFonts w:ascii="Garamond" w:hAnsi="Garamond"/>
          <w:sz w:val="24"/>
          <w:szCs w:val="24"/>
        </w:rPr>
        <w:endnoteReference w:id="3"/>
      </w:r>
      <w:r w:rsidR="00EC1A7D">
        <w:rPr>
          <w:rFonts w:ascii="Garamond" w:hAnsi="Garamond"/>
          <w:sz w:val="24"/>
          <w:szCs w:val="24"/>
        </w:rPr>
        <w:t xml:space="preserve"> Yet</w:t>
      </w:r>
      <w:r w:rsidR="00BC0835">
        <w:rPr>
          <w:rFonts w:ascii="Garamond" w:hAnsi="Garamond"/>
          <w:sz w:val="24"/>
          <w:szCs w:val="24"/>
        </w:rPr>
        <w:t xml:space="preserve"> this developing awareness of women’s differential experiences of conflict rarely plays out in formal peace negotiations which continue to be male dominated spaces</w:t>
      </w:r>
      <w:r w:rsidR="003C3F8B">
        <w:rPr>
          <w:rFonts w:ascii="Garamond" w:hAnsi="Garamond"/>
          <w:sz w:val="24"/>
          <w:szCs w:val="24"/>
        </w:rPr>
        <w:t>.</w:t>
      </w:r>
      <w:r w:rsidR="003C3F8B">
        <w:rPr>
          <w:rStyle w:val="EndnoteReference"/>
          <w:rFonts w:ascii="Garamond" w:hAnsi="Garamond"/>
          <w:sz w:val="24"/>
          <w:szCs w:val="24"/>
        </w:rPr>
        <w:endnoteReference w:id="4"/>
      </w:r>
      <w:r w:rsidR="003C3F8B">
        <w:rPr>
          <w:rFonts w:ascii="Garamond" w:hAnsi="Garamond"/>
          <w:sz w:val="24"/>
          <w:szCs w:val="24"/>
        </w:rPr>
        <w:t xml:space="preserve"> </w:t>
      </w:r>
      <w:r w:rsidR="00BC0835">
        <w:rPr>
          <w:rFonts w:ascii="Garamond" w:hAnsi="Garamond"/>
          <w:sz w:val="24"/>
          <w:szCs w:val="24"/>
        </w:rPr>
        <w:t xml:space="preserve"> </w:t>
      </w:r>
    </w:p>
    <w:p w14:paraId="3EE73624" w14:textId="615FD8CD" w:rsidR="00301897" w:rsidRDefault="00A12D29" w:rsidP="00CC63F8">
      <w:pPr>
        <w:spacing w:line="276" w:lineRule="auto"/>
        <w:jc w:val="both"/>
        <w:rPr>
          <w:rFonts w:ascii="Garamond" w:hAnsi="Garamond"/>
          <w:sz w:val="24"/>
          <w:szCs w:val="24"/>
        </w:rPr>
      </w:pPr>
      <w:r>
        <w:rPr>
          <w:rFonts w:ascii="Garamond" w:hAnsi="Garamond"/>
          <w:sz w:val="24"/>
          <w:szCs w:val="24"/>
        </w:rPr>
        <w:t>The UN Security Council’s sui</w:t>
      </w:r>
      <w:r w:rsidR="003C3F8B">
        <w:rPr>
          <w:rFonts w:ascii="Garamond" w:hAnsi="Garamond"/>
          <w:sz w:val="24"/>
          <w:szCs w:val="24"/>
        </w:rPr>
        <w:t>te of r</w:t>
      </w:r>
      <w:r>
        <w:rPr>
          <w:rFonts w:ascii="Garamond" w:hAnsi="Garamond"/>
          <w:sz w:val="24"/>
          <w:szCs w:val="24"/>
        </w:rPr>
        <w:t>esolutions on ‘Women, Peace and Security</w:t>
      </w:r>
      <w:r w:rsidR="003C3F8B">
        <w:rPr>
          <w:rFonts w:ascii="Garamond" w:hAnsi="Garamond"/>
          <w:sz w:val="24"/>
          <w:szCs w:val="24"/>
        </w:rPr>
        <w:t>’, developed since the initial r</w:t>
      </w:r>
      <w:r>
        <w:rPr>
          <w:rFonts w:ascii="Garamond" w:hAnsi="Garamond"/>
          <w:sz w:val="24"/>
          <w:szCs w:val="24"/>
        </w:rPr>
        <w:t>esolution 1325 in 2000 have consistently emphasised the participation of women in post-conflict institutions as integral to peace-building. Despite growing international awareness an</w:t>
      </w:r>
      <w:r w:rsidR="003C3F8B">
        <w:rPr>
          <w:rFonts w:ascii="Garamond" w:hAnsi="Garamond"/>
          <w:sz w:val="24"/>
          <w:szCs w:val="24"/>
        </w:rPr>
        <w:t>d implementation plans for the r</w:t>
      </w:r>
      <w:r>
        <w:rPr>
          <w:rFonts w:ascii="Garamond" w:hAnsi="Garamond"/>
          <w:sz w:val="24"/>
          <w:szCs w:val="24"/>
        </w:rPr>
        <w:t>esolutions, women remain l</w:t>
      </w:r>
      <w:r w:rsidR="003A4149">
        <w:rPr>
          <w:rFonts w:ascii="Garamond" w:hAnsi="Garamond"/>
          <w:sz w:val="24"/>
          <w:szCs w:val="24"/>
        </w:rPr>
        <w:t>argely excluded from the elite political arena</w:t>
      </w:r>
      <w:r w:rsidR="0078656B">
        <w:rPr>
          <w:rFonts w:ascii="Garamond" w:hAnsi="Garamond"/>
          <w:sz w:val="24"/>
          <w:szCs w:val="24"/>
        </w:rPr>
        <w:t>,</w:t>
      </w:r>
      <w:r w:rsidR="003A4149">
        <w:rPr>
          <w:rFonts w:ascii="Garamond" w:hAnsi="Garamond"/>
          <w:sz w:val="24"/>
          <w:szCs w:val="24"/>
        </w:rPr>
        <w:t xml:space="preserve"> both in </w:t>
      </w:r>
      <w:r w:rsidR="00A81E5D">
        <w:rPr>
          <w:rFonts w:ascii="Garamond" w:hAnsi="Garamond"/>
          <w:sz w:val="24"/>
          <w:szCs w:val="24"/>
        </w:rPr>
        <w:t xml:space="preserve">descriptive </w:t>
      </w:r>
      <w:r w:rsidR="003A4149">
        <w:rPr>
          <w:rFonts w:ascii="Garamond" w:hAnsi="Garamond"/>
          <w:sz w:val="24"/>
          <w:szCs w:val="24"/>
        </w:rPr>
        <w:t xml:space="preserve">and substantive representation, </w:t>
      </w:r>
      <w:r>
        <w:rPr>
          <w:rFonts w:ascii="Garamond" w:hAnsi="Garamond"/>
          <w:sz w:val="24"/>
          <w:szCs w:val="24"/>
        </w:rPr>
        <w:t xml:space="preserve">with </w:t>
      </w:r>
      <w:r w:rsidR="003C3F8B">
        <w:rPr>
          <w:rFonts w:ascii="Garamond" w:hAnsi="Garamond"/>
          <w:sz w:val="24"/>
          <w:szCs w:val="24"/>
        </w:rPr>
        <w:t>women’s movements</w:t>
      </w:r>
      <w:r w:rsidR="003A4149">
        <w:rPr>
          <w:rFonts w:ascii="Garamond" w:hAnsi="Garamond"/>
          <w:sz w:val="24"/>
          <w:szCs w:val="24"/>
        </w:rPr>
        <w:t xml:space="preserve"> almost </w:t>
      </w:r>
      <w:r w:rsidR="00826A57">
        <w:rPr>
          <w:rFonts w:ascii="Garamond" w:hAnsi="Garamond"/>
          <w:sz w:val="24"/>
          <w:szCs w:val="24"/>
        </w:rPr>
        <w:t>solely</w:t>
      </w:r>
      <w:r w:rsidR="003A4149">
        <w:rPr>
          <w:rFonts w:ascii="Garamond" w:hAnsi="Garamond"/>
          <w:sz w:val="24"/>
          <w:szCs w:val="24"/>
        </w:rPr>
        <w:t xml:space="preserve"> located in grassroots and civil society.</w:t>
      </w:r>
      <w:r w:rsidR="00380D55">
        <w:rPr>
          <w:rFonts w:ascii="Garamond" w:hAnsi="Garamond"/>
          <w:sz w:val="24"/>
          <w:szCs w:val="24"/>
        </w:rPr>
        <w:t xml:space="preserve">  We argue here, </w:t>
      </w:r>
      <w:r w:rsidR="008C6E14">
        <w:rPr>
          <w:rFonts w:ascii="Garamond" w:hAnsi="Garamond"/>
          <w:sz w:val="24"/>
          <w:szCs w:val="24"/>
        </w:rPr>
        <w:t>as other</w:t>
      </w:r>
      <w:r w:rsidR="00380D55">
        <w:rPr>
          <w:rFonts w:ascii="Garamond" w:hAnsi="Garamond"/>
          <w:sz w:val="24"/>
          <w:szCs w:val="24"/>
        </w:rPr>
        <w:t>s have done</w:t>
      </w:r>
      <w:r w:rsidR="006236EE">
        <w:rPr>
          <w:rStyle w:val="EndnoteReference"/>
          <w:rFonts w:ascii="Garamond" w:hAnsi="Garamond"/>
          <w:sz w:val="24"/>
          <w:szCs w:val="24"/>
        </w:rPr>
        <w:endnoteReference w:id="5"/>
      </w:r>
      <w:r w:rsidR="006236EE">
        <w:rPr>
          <w:rFonts w:ascii="Garamond" w:hAnsi="Garamond"/>
          <w:sz w:val="24"/>
          <w:szCs w:val="24"/>
        </w:rPr>
        <w:t xml:space="preserve"> </w:t>
      </w:r>
      <w:r w:rsidR="00301897" w:rsidRPr="006B4852">
        <w:rPr>
          <w:rFonts w:ascii="Garamond" w:hAnsi="Garamond"/>
          <w:sz w:val="24"/>
          <w:szCs w:val="24"/>
        </w:rPr>
        <w:t>that consociationalism’</w:t>
      </w:r>
      <w:r w:rsidR="006C0413" w:rsidRPr="006B4852">
        <w:rPr>
          <w:rFonts w:ascii="Garamond" w:hAnsi="Garamond"/>
          <w:sz w:val="24"/>
          <w:szCs w:val="24"/>
        </w:rPr>
        <w:t>s focus on elite struc</w:t>
      </w:r>
      <w:r w:rsidR="00301897" w:rsidRPr="006B4852">
        <w:rPr>
          <w:rFonts w:ascii="Garamond" w:hAnsi="Garamond"/>
          <w:sz w:val="24"/>
          <w:szCs w:val="24"/>
        </w:rPr>
        <w:t xml:space="preserve">tural </w:t>
      </w:r>
      <w:r w:rsidR="00771686" w:rsidRPr="006B4852">
        <w:rPr>
          <w:rFonts w:ascii="Garamond" w:hAnsi="Garamond"/>
          <w:sz w:val="24"/>
          <w:szCs w:val="24"/>
        </w:rPr>
        <w:t>design</w:t>
      </w:r>
      <w:r w:rsidR="00301897" w:rsidRPr="006B4852">
        <w:rPr>
          <w:rFonts w:ascii="Garamond" w:hAnsi="Garamond"/>
          <w:sz w:val="24"/>
          <w:szCs w:val="24"/>
        </w:rPr>
        <w:t xml:space="preserve"> </w:t>
      </w:r>
      <w:r w:rsidR="00B53898" w:rsidRPr="006B4852">
        <w:rPr>
          <w:rFonts w:ascii="Garamond" w:hAnsi="Garamond"/>
          <w:sz w:val="24"/>
          <w:szCs w:val="24"/>
        </w:rPr>
        <w:t xml:space="preserve">would benefit from greater emphasis on the role that civil society can play in post-conflict settings – and that, as the majority of women’s activism and political movement tends to occur in grassroots organisations, NGOs and civil society </w:t>
      </w:r>
      <w:r w:rsidR="00AE75B4" w:rsidRPr="006B4852">
        <w:rPr>
          <w:rFonts w:ascii="Garamond" w:hAnsi="Garamond"/>
          <w:sz w:val="24"/>
          <w:szCs w:val="24"/>
        </w:rPr>
        <w:t>b</w:t>
      </w:r>
      <w:r w:rsidR="00B53898" w:rsidRPr="006B4852">
        <w:rPr>
          <w:rFonts w:ascii="Garamond" w:hAnsi="Garamond"/>
          <w:sz w:val="24"/>
          <w:szCs w:val="24"/>
        </w:rPr>
        <w:t>odies, such a focus would a</w:t>
      </w:r>
      <w:r w:rsidR="00AE75B4" w:rsidRPr="006B4852">
        <w:rPr>
          <w:rFonts w:ascii="Garamond" w:hAnsi="Garamond"/>
          <w:sz w:val="24"/>
          <w:szCs w:val="24"/>
        </w:rPr>
        <w:t>l</w:t>
      </w:r>
      <w:r w:rsidR="00B53898" w:rsidRPr="006B4852">
        <w:rPr>
          <w:rFonts w:ascii="Garamond" w:hAnsi="Garamond"/>
          <w:sz w:val="24"/>
          <w:szCs w:val="24"/>
        </w:rPr>
        <w:t>so have an additional gendered benefit.</w:t>
      </w:r>
    </w:p>
    <w:p w14:paraId="3C5A91C6" w14:textId="066FF481" w:rsidR="00643EA6" w:rsidRDefault="002371F4" w:rsidP="00CC63F8">
      <w:pPr>
        <w:spacing w:line="276" w:lineRule="auto"/>
        <w:jc w:val="both"/>
        <w:rPr>
          <w:rFonts w:ascii="Garamond" w:hAnsi="Garamond"/>
          <w:sz w:val="24"/>
          <w:szCs w:val="24"/>
        </w:rPr>
      </w:pPr>
      <w:r w:rsidRPr="002371F4">
        <w:rPr>
          <w:rFonts w:ascii="Garamond" w:hAnsi="Garamond"/>
          <w:sz w:val="24"/>
          <w:szCs w:val="24"/>
        </w:rPr>
        <w:t>The purpose of this art</w:t>
      </w:r>
      <w:r w:rsidR="007963FA">
        <w:rPr>
          <w:rFonts w:ascii="Garamond" w:hAnsi="Garamond"/>
          <w:sz w:val="24"/>
          <w:szCs w:val="24"/>
        </w:rPr>
        <w:t>icle is not to intervene in the</w:t>
      </w:r>
      <w:r w:rsidRPr="002371F4">
        <w:rPr>
          <w:rFonts w:ascii="Garamond" w:hAnsi="Garamond"/>
          <w:sz w:val="24"/>
          <w:szCs w:val="24"/>
        </w:rPr>
        <w:t xml:space="preserve"> broader debate on the merits of consociationalism</w:t>
      </w:r>
      <w:r w:rsidR="00857B47">
        <w:rPr>
          <w:rFonts w:ascii="Garamond" w:hAnsi="Garamond"/>
          <w:sz w:val="24"/>
          <w:szCs w:val="24"/>
        </w:rPr>
        <w:t xml:space="preserve"> </w:t>
      </w:r>
      <w:r w:rsidR="00EC1A7D">
        <w:rPr>
          <w:rFonts w:ascii="Garamond" w:hAnsi="Garamond"/>
          <w:sz w:val="24"/>
          <w:szCs w:val="24"/>
        </w:rPr>
        <w:t>as a tool fo</w:t>
      </w:r>
      <w:r w:rsidR="006236EE">
        <w:rPr>
          <w:rFonts w:ascii="Garamond" w:hAnsi="Garamond"/>
          <w:sz w:val="24"/>
          <w:szCs w:val="24"/>
        </w:rPr>
        <w:t>r post-conflict politics per se</w:t>
      </w:r>
      <w:r w:rsidR="0038335E">
        <w:rPr>
          <w:rFonts w:ascii="Garamond" w:hAnsi="Garamond"/>
          <w:sz w:val="24"/>
          <w:szCs w:val="24"/>
        </w:rPr>
        <w:t>.</w:t>
      </w:r>
      <w:r w:rsidR="006236EE">
        <w:rPr>
          <w:rStyle w:val="EndnoteReference"/>
          <w:rFonts w:ascii="Garamond" w:hAnsi="Garamond"/>
          <w:sz w:val="24"/>
          <w:szCs w:val="24"/>
        </w:rPr>
        <w:endnoteReference w:id="6"/>
      </w:r>
      <w:r w:rsidR="0038335E">
        <w:rPr>
          <w:rFonts w:ascii="Garamond" w:hAnsi="Garamond"/>
          <w:sz w:val="24"/>
          <w:szCs w:val="24"/>
        </w:rPr>
        <w:t xml:space="preserve"> R</w:t>
      </w:r>
      <w:r w:rsidRPr="002371F4">
        <w:rPr>
          <w:rFonts w:ascii="Garamond" w:hAnsi="Garamond"/>
          <w:sz w:val="24"/>
          <w:szCs w:val="24"/>
        </w:rPr>
        <w:t xml:space="preserve">ather, we are interested to consider one particular feature of </w:t>
      </w:r>
      <w:r w:rsidR="00BC0835">
        <w:rPr>
          <w:rFonts w:ascii="Garamond" w:hAnsi="Garamond"/>
          <w:sz w:val="24"/>
          <w:szCs w:val="24"/>
        </w:rPr>
        <w:t xml:space="preserve">the </w:t>
      </w:r>
      <w:r w:rsidRPr="002371F4">
        <w:rPr>
          <w:rFonts w:ascii="Garamond" w:hAnsi="Garamond"/>
          <w:sz w:val="24"/>
          <w:szCs w:val="24"/>
        </w:rPr>
        <w:t xml:space="preserve">post-conflict </w:t>
      </w:r>
      <w:r w:rsidR="00057649">
        <w:rPr>
          <w:rFonts w:ascii="Garamond" w:hAnsi="Garamond"/>
          <w:sz w:val="24"/>
          <w:szCs w:val="24"/>
        </w:rPr>
        <w:t>context</w:t>
      </w:r>
      <w:r w:rsidRPr="002371F4">
        <w:rPr>
          <w:rFonts w:ascii="Garamond" w:hAnsi="Garamond"/>
          <w:sz w:val="24"/>
          <w:szCs w:val="24"/>
        </w:rPr>
        <w:t>, civil society, and how its relative absence from discussion in consociational post-conflict frameworks affects women’s political space.</w:t>
      </w:r>
      <w:r w:rsidR="005547D2">
        <w:rPr>
          <w:rFonts w:ascii="Garamond" w:hAnsi="Garamond"/>
          <w:sz w:val="24"/>
          <w:szCs w:val="24"/>
        </w:rPr>
        <w:t xml:space="preserve"> </w:t>
      </w:r>
      <w:r w:rsidR="00A81E5D">
        <w:rPr>
          <w:rFonts w:ascii="Garamond" w:hAnsi="Garamond"/>
          <w:sz w:val="24"/>
          <w:szCs w:val="24"/>
        </w:rPr>
        <w:t xml:space="preserve">We illustrate how, across disparate contexts, women have organised </w:t>
      </w:r>
      <w:r w:rsidR="00E642E0">
        <w:rPr>
          <w:rFonts w:ascii="Garamond" w:hAnsi="Garamond"/>
          <w:sz w:val="24"/>
          <w:szCs w:val="24"/>
        </w:rPr>
        <w:t>on gendered concerns</w:t>
      </w:r>
      <w:r w:rsidR="00EC1A7D">
        <w:rPr>
          <w:rFonts w:ascii="Garamond" w:hAnsi="Garamond"/>
          <w:sz w:val="24"/>
          <w:szCs w:val="24"/>
        </w:rPr>
        <w:t xml:space="preserve"> </w:t>
      </w:r>
      <w:r w:rsidR="00A81E5D">
        <w:rPr>
          <w:rFonts w:ascii="Garamond" w:hAnsi="Garamond"/>
          <w:sz w:val="24"/>
          <w:szCs w:val="24"/>
        </w:rPr>
        <w:t>in civil society spaces</w:t>
      </w:r>
      <w:r w:rsidR="00EC1A7D">
        <w:rPr>
          <w:rFonts w:ascii="Garamond" w:hAnsi="Garamond"/>
          <w:sz w:val="24"/>
          <w:szCs w:val="24"/>
        </w:rPr>
        <w:t xml:space="preserve"> </w:t>
      </w:r>
      <w:r w:rsidR="00A81E5D">
        <w:rPr>
          <w:rFonts w:ascii="Garamond" w:hAnsi="Garamond"/>
          <w:sz w:val="24"/>
          <w:szCs w:val="24"/>
        </w:rPr>
        <w:t xml:space="preserve">both during and after conflict. </w:t>
      </w:r>
      <w:r w:rsidR="005547D2">
        <w:rPr>
          <w:rFonts w:ascii="Garamond" w:hAnsi="Garamond"/>
          <w:sz w:val="24"/>
          <w:szCs w:val="24"/>
        </w:rPr>
        <w:t>Consequently, we</w:t>
      </w:r>
      <w:r w:rsidR="0078656B">
        <w:rPr>
          <w:rFonts w:ascii="Garamond" w:hAnsi="Garamond"/>
          <w:sz w:val="24"/>
          <w:szCs w:val="24"/>
        </w:rPr>
        <w:t xml:space="preserve"> </w:t>
      </w:r>
      <w:r w:rsidR="005547D2">
        <w:rPr>
          <w:rFonts w:ascii="Garamond" w:hAnsi="Garamond"/>
          <w:sz w:val="24"/>
          <w:szCs w:val="24"/>
        </w:rPr>
        <w:t>investigate</w:t>
      </w:r>
      <w:r>
        <w:rPr>
          <w:rFonts w:ascii="Garamond" w:hAnsi="Garamond"/>
          <w:sz w:val="24"/>
          <w:szCs w:val="24"/>
        </w:rPr>
        <w:t xml:space="preserve"> whether the theoretical framework of consociationalism can be extended to include civil society</w:t>
      </w:r>
      <w:r w:rsidR="00EC1A7D">
        <w:rPr>
          <w:rFonts w:ascii="Garamond" w:hAnsi="Garamond"/>
          <w:sz w:val="24"/>
          <w:szCs w:val="24"/>
        </w:rPr>
        <w:t xml:space="preserve"> (and thus amplify women’s voices)</w:t>
      </w:r>
      <w:r>
        <w:rPr>
          <w:rFonts w:ascii="Garamond" w:hAnsi="Garamond"/>
          <w:sz w:val="24"/>
          <w:szCs w:val="24"/>
        </w:rPr>
        <w:t xml:space="preserve"> and</w:t>
      </w:r>
      <w:r w:rsidR="00BC0835">
        <w:rPr>
          <w:rFonts w:ascii="Garamond" w:hAnsi="Garamond"/>
          <w:sz w:val="24"/>
          <w:szCs w:val="24"/>
        </w:rPr>
        <w:t xml:space="preserve"> </w:t>
      </w:r>
      <w:r w:rsidR="00B525F2">
        <w:rPr>
          <w:rFonts w:ascii="Garamond" w:hAnsi="Garamond"/>
          <w:sz w:val="24"/>
          <w:szCs w:val="24"/>
        </w:rPr>
        <w:t xml:space="preserve">suggest </w:t>
      </w:r>
      <w:r w:rsidR="00A81E5D">
        <w:rPr>
          <w:rFonts w:ascii="Garamond" w:hAnsi="Garamond"/>
          <w:sz w:val="24"/>
          <w:szCs w:val="24"/>
        </w:rPr>
        <w:t xml:space="preserve">some </w:t>
      </w:r>
      <w:r w:rsidR="00B525F2">
        <w:rPr>
          <w:rFonts w:ascii="Garamond" w:hAnsi="Garamond"/>
          <w:sz w:val="24"/>
          <w:szCs w:val="24"/>
        </w:rPr>
        <w:t>potential mechanisms for such incorporation</w:t>
      </w:r>
      <w:r w:rsidR="005547D2">
        <w:rPr>
          <w:rFonts w:ascii="Garamond" w:hAnsi="Garamond"/>
          <w:sz w:val="24"/>
          <w:szCs w:val="24"/>
        </w:rPr>
        <w:t xml:space="preserve">. </w:t>
      </w:r>
      <w:r w:rsidR="00BC0835">
        <w:rPr>
          <w:rFonts w:ascii="Garamond" w:hAnsi="Garamond"/>
          <w:sz w:val="24"/>
          <w:szCs w:val="24"/>
        </w:rPr>
        <w:t xml:space="preserve">We conclude by arguing that a consideration of civil society and power-sharing illustrates the conservative understandings of ‘conflict’ and ‘politics’ that consociationalism works from. </w:t>
      </w:r>
      <w:r w:rsidR="00486F57">
        <w:rPr>
          <w:rFonts w:ascii="Garamond" w:hAnsi="Garamond"/>
          <w:sz w:val="24"/>
          <w:szCs w:val="24"/>
        </w:rPr>
        <w:t>Firstly</w:t>
      </w:r>
      <w:r w:rsidR="00003C22">
        <w:rPr>
          <w:rFonts w:ascii="Garamond" w:hAnsi="Garamond"/>
          <w:sz w:val="24"/>
          <w:szCs w:val="24"/>
        </w:rPr>
        <w:t xml:space="preserve"> however</w:t>
      </w:r>
      <w:r w:rsidR="00486F57">
        <w:rPr>
          <w:rFonts w:ascii="Garamond" w:hAnsi="Garamond"/>
          <w:sz w:val="24"/>
          <w:szCs w:val="24"/>
        </w:rPr>
        <w:t>, we begin with an overview of the key features of consociational theory, its development and its role in post-conflict structures.</w:t>
      </w:r>
    </w:p>
    <w:p w14:paraId="79972B6C" w14:textId="77777777" w:rsidR="001C5663" w:rsidRPr="006B4852" w:rsidRDefault="001C5663" w:rsidP="00CC63F8">
      <w:pPr>
        <w:spacing w:line="276" w:lineRule="auto"/>
        <w:jc w:val="both"/>
        <w:rPr>
          <w:rFonts w:ascii="Garamond" w:hAnsi="Garamond"/>
          <w:sz w:val="24"/>
          <w:szCs w:val="24"/>
          <w:u w:val="single"/>
        </w:rPr>
      </w:pPr>
      <w:r w:rsidRPr="006B4852">
        <w:rPr>
          <w:rFonts w:ascii="Garamond" w:hAnsi="Garamond"/>
          <w:sz w:val="24"/>
          <w:szCs w:val="24"/>
          <w:u w:val="single"/>
        </w:rPr>
        <w:t>Consociational power-sharing and post-conflict governance</w:t>
      </w:r>
    </w:p>
    <w:p w14:paraId="3769CDEA" w14:textId="41CB4057" w:rsidR="006B4852" w:rsidRPr="006B4852" w:rsidRDefault="006B4852" w:rsidP="00CC63F8">
      <w:pPr>
        <w:pStyle w:val="Normal1"/>
        <w:jc w:val="both"/>
        <w:rPr>
          <w:rFonts w:ascii="Garamond" w:hAnsi="Garamond" w:cs="Times New Roman"/>
          <w:sz w:val="24"/>
          <w:szCs w:val="24"/>
        </w:rPr>
      </w:pPr>
      <w:r>
        <w:rPr>
          <w:rFonts w:ascii="Garamond" w:eastAsia="Times New Roman" w:hAnsi="Garamond" w:cs="Times New Roman"/>
          <w:sz w:val="24"/>
          <w:szCs w:val="24"/>
        </w:rPr>
        <w:t>Consociation</w:t>
      </w:r>
      <w:r w:rsidR="00B8656B">
        <w:rPr>
          <w:rFonts w:ascii="Garamond" w:eastAsia="Times New Roman" w:hAnsi="Garamond" w:cs="Times New Roman"/>
          <w:sz w:val="24"/>
          <w:szCs w:val="24"/>
        </w:rPr>
        <w:t>a</w:t>
      </w:r>
      <w:r>
        <w:rPr>
          <w:rFonts w:ascii="Garamond" w:eastAsia="Times New Roman" w:hAnsi="Garamond" w:cs="Times New Roman"/>
          <w:sz w:val="24"/>
          <w:szCs w:val="24"/>
        </w:rPr>
        <w:t xml:space="preserve">l theory is largely </w:t>
      </w:r>
      <w:r w:rsidR="00F70D69">
        <w:rPr>
          <w:rFonts w:ascii="Garamond" w:eastAsia="Times New Roman" w:hAnsi="Garamond" w:cs="Times New Roman"/>
          <w:sz w:val="24"/>
          <w:szCs w:val="24"/>
        </w:rPr>
        <w:t>accred</w:t>
      </w:r>
      <w:r w:rsidR="00F82C0C">
        <w:rPr>
          <w:rFonts w:ascii="Garamond" w:eastAsia="Times New Roman" w:hAnsi="Garamond" w:cs="Times New Roman"/>
          <w:sz w:val="24"/>
          <w:szCs w:val="24"/>
        </w:rPr>
        <w:t>ited in its original form to the work of</w:t>
      </w:r>
      <w:r w:rsidRPr="006B4852">
        <w:rPr>
          <w:rFonts w:ascii="Garamond" w:eastAsia="Times New Roman" w:hAnsi="Garamond" w:cs="Times New Roman"/>
          <w:sz w:val="24"/>
          <w:szCs w:val="24"/>
        </w:rPr>
        <w:t xml:space="preserve"> </w:t>
      </w:r>
      <w:r w:rsidR="008C6E14">
        <w:rPr>
          <w:rFonts w:ascii="Garamond" w:eastAsia="Times New Roman" w:hAnsi="Garamond" w:cs="Times New Roman"/>
          <w:sz w:val="24"/>
          <w:szCs w:val="24"/>
        </w:rPr>
        <w:t xml:space="preserve">political scientist </w:t>
      </w:r>
      <w:r w:rsidRPr="006B4852">
        <w:rPr>
          <w:rFonts w:ascii="Garamond" w:eastAsia="Times New Roman" w:hAnsi="Garamond" w:cs="Times New Roman"/>
          <w:sz w:val="24"/>
          <w:szCs w:val="24"/>
        </w:rPr>
        <w:t>Arend Lijphart</w:t>
      </w:r>
      <w:r w:rsidR="00F82C0C">
        <w:rPr>
          <w:rFonts w:ascii="Garamond" w:eastAsia="Times New Roman" w:hAnsi="Garamond" w:cs="Times New Roman"/>
          <w:sz w:val="24"/>
          <w:szCs w:val="24"/>
        </w:rPr>
        <w:t xml:space="preserve">. </w:t>
      </w:r>
      <w:r w:rsidRPr="006B4852">
        <w:rPr>
          <w:rFonts w:ascii="Garamond" w:eastAsia="Times New Roman" w:hAnsi="Garamond" w:cs="Times New Roman"/>
          <w:sz w:val="24"/>
          <w:szCs w:val="24"/>
        </w:rPr>
        <w:t xml:space="preserve"> </w:t>
      </w:r>
      <w:r w:rsidR="00F70D69">
        <w:rPr>
          <w:rFonts w:ascii="Garamond" w:eastAsia="Times New Roman" w:hAnsi="Garamond" w:cs="Times New Roman"/>
          <w:sz w:val="24"/>
          <w:szCs w:val="24"/>
        </w:rPr>
        <w:t xml:space="preserve">Lijphart wrote originally </w:t>
      </w:r>
      <w:r w:rsidRPr="006B4852">
        <w:rPr>
          <w:rFonts w:ascii="Garamond" w:eastAsia="Times New Roman" w:hAnsi="Garamond" w:cs="Times New Roman"/>
          <w:sz w:val="24"/>
          <w:szCs w:val="24"/>
        </w:rPr>
        <w:t>in consideration of his native Netherlands</w:t>
      </w:r>
      <w:r w:rsidR="006236EE">
        <w:rPr>
          <w:rFonts w:ascii="Garamond" w:eastAsia="Times New Roman" w:hAnsi="Garamond" w:cs="Times New Roman"/>
          <w:sz w:val="24"/>
          <w:szCs w:val="24"/>
        </w:rPr>
        <w:t>,</w:t>
      </w:r>
      <w:r w:rsidR="006236EE">
        <w:rPr>
          <w:rStyle w:val="EndnoteReference"/>
          <w:rFonts w:ascii="Garamond" w:eastAsia="Times New Roman" w:hAnsi="Garamond" w:cs="Times New Roman"/>
          <w:sz w:val="24"/>
          <w:szCs w:val="24"/>
        </w:rPr>
        <w:endnoteReference w:id="7"/>
      </w:r>
      <w:r w:rsidR="00F70D69">
        <w:rPr>
          <w:rFonts w:ascii="Garamond" w:eastAsia="Times New Roman" w:hAnsi="Garamond" w:cs="Times New Roman"/>
          <w:sz w:val="24"/>
          <w:szCs w:val="24"/>
        </w:rPr>
        <w:t xml:space="preserve"> looking at the ways in which </w:t>
      </w:r>
      <w:r w:rsidR="008C6E14">
        <w:rPr>
          <w:rFonts w:ascii="Garamond" w:eastAsia="Times New Roman" w:hAnsi="Garamond" w:cs="Times New Roman"/>
          <w:sz w:val="24"/>
          <w:szCs w:val="24"/>
        </w:rPr>
        <w:t>cleavages</w:t>
      </w:r>
      <w:r w:rsidR="00F70D69">
        <w:rPr>
          <w:rFonts w:ascii="Garamond" w:eastAsia="Times New Roman" w:hAnsi="Garamond" w:cs="Times New Roman"/>
          <w:sz w:val="24"/>
          <w:szCs w:val="24"/>
        </w:rPr>
        <w:t xml:space="preserve"> such as religious and linguistic difference could be accommodated </w:t>
      </w:r>
      <w:r w:rsidR="00F70D69">
        <w:rPr>
          <w:rFonts w:ascii="Garamond" w:eastAsia="Times New Roman" w:hAnsi="Garamond" w:cs="Times New Roman"/>
          <w:sz w:val="24"/>
          <w:szCs w:val="24"/>
        </w:rPr>
        <w:lastRenderedPageBreak/>
        <w:t>with one nation</w:t>
      </w:r>
      <w:r w:rsidR="006236EE">
        <w:rPr>
          <w:rFonts w:ascii="Garamond" w:eastAsia="Times New Roman" w:hAnsi="Garamond" w:cs="Times New Roman"/>
          <w:sz w:val="24"/>
          <w:szCs w:val="24"/>
        </w:rPr>
        <w:t>.</w:t>
      </w:r>
      <w:r w:rsidR="006236EE">
        <w:rPr>
          <w:rStyle w:val="EndnoteReference"/>
          <w:rFonts w:ascii="Garamond" w:eastAsia="Times New Roman" w:hAnsi="Garamond" w:cs="Times New Roman"/>
          <w:sz w:val="24"/>
          <w:szCs w:val="24"/>
        </w:rPr>
        <w:endnoteReference w:id="8"/>
      </w:r>
      <w:r w:rsidRPr="006B4852">
        <w:rPr>
          <w:rFonts w:ascii="Garamond" w:eastAsia="Times New Roman" w:hAnsi="Garamond" w:cs="Times New Roman"/>
          <w:sz w:val="24"/>
          <w:szCs w:val="24"/>
        </w:rPr>
        <w:t xml:space="preserve">  According to his </w:t>
      </w:r>
      <w:r w:rsidR="00F70D69">
        <w:rPr>
          <w:rFonts w:ascii="Garamond" w:eastAsia="Times New Roman" w:hAnsi="Garamond" w:cs="Times New Roman"/>
          <w:sz w:val="24"/>
          <w:szCs w:val="24"/>
        </w:rPr>
        <w:t xml:space="preserve">original </w:t>
      </w:r>
      <w:r w:rsidRPr="006B4852">
        <w:rPr>
          <w:rFonts w:ascii="Garamond" w:eastAsia="Times New Roman" w:hAnsi="Garamond" w:cs="Times New Roman"/>
          <w:sz w:val="24"/>
          <w:szCs w:val="24"/>
        </w:rPr>
        <w:t>definition, consociationalist democracies vary, but follow four basic principles:</w:t>
      </w:r>
    </w:p>
    <w:p w14:paraId="710D5143" w14:textId="77777777" w:rsidR="006B4852" w:rsidRPr="006B4852" w:rsidRDefault="006B4852" w:rsidP="00CC63F8">
      <w:pPr>
        <w:pStyle w:val="Normal1"/>
        <w:ind w:left="720"/>
        <w:jc w:val="both"/>
        <w:rPr>
          <w:rFonts w:ascii="Garamond" w:hAnsi="Garamond" w:cs="Times New Roman"/>
          <w:sz w:val="24"/>
          <w:szCs w:val="24"/>
        </w:rPr>
      </w:pPr>
      <w:r w:rsidRPr="006B4852">
        <w:rPr>
          <w:rFonts w:ascii="Garamond" w:eastAsia="Times New Roman" w:hAnsi="Garamond" w:cs="Times New Roman"/>
          <w:sz w:val="24"/>
          <w:szCs w:val="24"/>
        </w:rPr>
        <w:t xml:space="preserve">1. </w:t>
      </w:r>
      <w:r w:rsidRPr="006B4852">
        <w:rPr>
          <w:rFonts w:ascii="Garamond" w:eastAsia="Times New Roman" w:hAnsi="Garamond" w:cs="Times New Roman"/>
          <w:i/>
          <w:sz w:val="24"/>
          <w:szCs w:val="24"/>
        </w:rPr>
        <w:t>Executive power-sharing (EPS)</w:t>
      </w:r>
      <w:r w:rsidRPr="006B4852">
        <w:rPr>
          <w:rFonts w:ascii="Garamond" w:eastAsia="Times New Roman" w:hAnsi="Garamond" w:cs="Times New Roman"/>
          <w:sz w:val="24"/>
          <w:szCs w:val="24"/>
        </w:rPr>
        <w:t>. Each of the main communities share power, in an executive chosen in accordance with the principles of representative government.</w:t>
      </w:r>
    </w:p>
    <w:p w14:paraId="26F36D94" w14:textId="77777777" w:rsidR="006B4852" w:rsidRPr="006B4852" w:rsidRDefault="006B4852" w:rsidP="00CC63F8">
      <w:pPr>
        <w:pStyle w:val="Normal1"/>
        <w:ind w:left="720"/>
        <w:jc w:val="both"/>
        <w:rPr>
          <w:rFonts w:ascii="Garamond" w:hAnsi="Garamond" w:cs="Times New Roman"/>
          <w:sz w:val="24"/>
          <w:szCs w:val="24"/>
        </w:rPr>
      </w:pPr>
      <w:r w:rsidRPr="006B4852">
        <w:rPr>
          <w:rFonts w:ascii="Garamond" w:eastAsia="Times New Roman" w:hAnsi="Garamond" w:cs="Times New Roman"/>
          <w:sz w:val="24"/>
          <w:szCs w:val="24"/>
        </w:rPr>
        <w:t xml:space="preserve">2. </w:t>
      </w:r>
      <w:r w:rsidRPr="006B4852">
        <w:rPr>
          <w:rFonts w:ascii="Garamond" w:eastAsia="Times New Roman" w:hAnsi="Garamond" w:cs="Times New Roman"/>
          <w:i/>
          <w:sz w:val="24"/>
          <w:szCs w:val="24"/>
        </w:rPr>
        <w:t>Autonomy or Self-government.</w:t>
      </w:r>
      <w:r w:rsidRPr="006B4852">
        <w:rPr>
          <w:rFonts w:ascii="Garamond" w:eastAsia="Times New Roman" w:hAnsi="Garamond" w:cs="Times New Roman"/>
          <w:sz w:val="24"/>
          <w:szCs w:val="24"/>
        </w:rPr>
        <w:t xml:space="preserve"> Each enjoys some distinct measure of autonomy, particularly self-government in matters of cultural concern.</w:t>
      </w:r>
    </w:p>
    <w:p w14:paraId="63BF9284" w14:textId="77777777" w:rsidR="006B4852" w:rsidRPr="006B4852" w:rsidRDefault="006B4852" w:rsidP="00CC63F8">
      <w:pPr>
        <w:pStyle w:val="Normal1"/>
        <w:ind w:left="720"/>
        <w:jc w:val="both"/>
        <w:rPr>
          <w:rFonts w:ascii="Garamond" w:hAnsi="Garamond" w:cs="Times New Roman"/>
          <w:sz w:val="24"/>
          <w:szCs w:val="24"/>
        </w:rPr>
      </w:pPr>
      <w:r w:rsidRPr="006B4852">
        <w:rPr>
          <w:rFonts w:ascii="Garamond" w:eastAsia="Times New Roman" w:hAnsi="Garamond" w:cs="Times New Roman"/>
          <w:sz w:val="24"/>
          <w:szCs w:val="24"/>
        </w:rPr>
        <w:t xml:space="preserve">3. </w:t>
      </w:r>
      <w:r w:rsidRPr="006B4852">
        <w:rPr>
          <w:rFonts w:ascii="Garamond" w:eastAsia="Times New Roman" w:hAnsi="Garamond" w:cs="Times New Roman"/>
          <w:i/>
          <w:sz w:val="24"/>
          <w:szCs w:val="24"/>
        </w:rPr>
        <w:t>Proportionality.</w:t>
      </w:r>
      <w:r w:rsidRPr="006B4852">
        <w:rPr>
          <w:rFonts w:ascii="Garamond" w:eastAsia="Times New Roman" w:hAnsi="Garamond" w:cs="Times New Roman"/>
          <w:sz w:val="24"/>
          <w:szCs w:val="24"/>
        </w:rPr>
        <w:t xml:space="preserve"> Each is represented proportionately in key public institutions and is a proportional beneficiary of public resources and expenditures. </w:t>
      </w:r>
    </w:p>
    <w:p w14:paraId="4764C44B" w14:textId="159BE0E9" w:rsidR="006B4852" w:rsidRPr="006B4852" w:rsidRDefault="006B4852" w:rsidP="00CC63F8">
      <w:pPr>
        <w:pStyle w:val="Normal1"/>
        <w:ind w:left="720"/>
        <w:jc w:val="both"/>
        <w:rPr>
          <w:rFonts w:ascii="Garamond" w:eastAsia="Times New Roman" w:hAnsi="Garamond" w:cs="Times New Roman"/>
          <w:sz w:val="24"/>
          <w:szCs w:val="24"/>
        </w:rPr>
      </w:pPr>
      <w:r w:rsidRPr="006B4852">
        <w:rPr>
          <w:rFonts w:ascii="Garamond" w:eastAsia="Times New Roman" w:hAnsi="Garamond" w:cs="Times New Roman"/>
          <w:sz w:val="24"/>
          <w:szCs w:val="24"/>
        </w:rPr>
        <w:t xml:space="preserve">4. </w:t>
      </w:r>
      <w:r w:rsidRPr="006B4852">
        <w:rPr>
          <w:rFonts w:ascii="Garamond" w:eastAsia="Times New Roman" w:hAnsi="Garamond" w:cs="Times New Roman"/>
          <w:i/>
          <w:sz w:val="24"/>
          <w:szCs w:val="24"/>
        </w:rPr>
        <w:t>Veto-rights</w:t>
      </w:r>
      <w:r w:rsidRPr="006B4852">
        <w:rPr>
          <w:rFonts w:ascii="Garamond" w:eastAsia="Times New Roman" w:hAnsi="Garamond" w:cs="Times New Roman"/>
          <w:sz w:val="24"/>
          <w:szCs w:val="24"/>
        </w:rPr>
        <w:t>. Each is able to prevent changes that adversely affect their vital interests.</w:t>
      </w:r>
      <w:r w:rsidR="006236EE">
        <w:rPr>
          <w:rStyle w:val="EndnoteReference"/>
          <w:rFonts w:ascii="Garamond" w:eastAsia="Times New Roman" w:hAnsi="Garamond" w:cs="Times New Roman"/>
          <w:sz w:val="24"/>
          <w:szCs w:val="24"/>
        </w:rPr>
        <w:endnoteReference w:id="9"/>
      </w:r>
    </w:p>
    <w:p w14:paraId="55F95A1F" w14:textId="4E85415B" w:rsidR="003C3F8B" w:rsidRDefault="003C3F8B" w:rsidP="00CC63F8">
      <w:pPr>
        <w:pStyle w:val="Normal1"/>
        <w:jc w:val="both"/>
        <w:rPr>
          <w:rFonts w:ascii="Garamond" w:hAnsi="Garamond" w:cs="Times New Roman"/>
          <w:sz w:val="24"/>
          <w:szCs w:val="24"/>
        </w:rPr>
      </w:pPr>
      <w:r>
        <w:rPr>
          <w:rFonts w:ascii="Garamond" w:hAnsi="Garamond" w:cs="Times New Roman"/>
          <w:sz w:val="24"/>
          <w:szCs w:val="24"/>
        </w:rPr>
        <w:t>Following this prescription, consociational democracies reify ethno-national identity as the defining feature of representation, with little consideration for the ro</w:t>
      </w:r>
      <w:r w:rsidR="00816D03">
        <w:rPr>
          <w:rFonts w:ascii="Garamond" w:hAnsi="Garamond" w:cs="Times New Roman"/>
          <w:sz w:val="24"/>
          <w:szCs w:val="24"/>
        </w:rPr>
        <w:t>les that other forms of politic</w:t>
      </w:r>
      <w:r w:rsidR="00DA7D7C">
        <w:rPr>
          <w:rFonts w:ascii="Garamond" w:hAnsi="Garamond" w:cs="Times New Roman"/>
          <w:sz w:val="24"/>
          <w:szCs w:val="24"/>
        </w:rPr>
        <w:t>al</w:t>
      </w:r>
      <w:r>
        <w:rPr>
          <w:rFonts w:ascii="Garamond" w:hAnsi="Garamond" w:cs="Times New Roman"/>
          <w:sz w:val="24"/>
          <w:szCs w:val="24"/>
        </w:rPr>
        <w:t xml:space="preserve"> identity might take. </w:t>
      </w:r>
      <w:r w:rsidR="004B2F83">
        <w:rPr>
          <w:rFonts w:ascii="Garamond" w:hAnsi="Garamond" w:cs="Times New Roman"/>
          <w:sz w:val="24"/>
          <w:szCs w:val="24"/>
        </w:rPr>
        <w:t>In this way, c</w:t>
      </w:r>
      <w:r w:rsidR="007A7FEB">
        <w:rPr>
          <w:rFonts w:ascii="Garamond" w:hAnsi="Garamond" w:cs="Times New Roman"/>
          <w:sz w:val="24"/>
          <w:szCs w:val="24"/>
        </w:rPr>
        <w:t>onsociationalism understands ethno-national identity as fixed, permanent and the primary prism through which politics must be undertaken.</w:t>
      </w:r>
      <w:r w:rsidR="00BF0450">
        <w:rPr>
          <w:rFonts w:ascii="Garamond" w:hAnsi="Garamond" w:cs="Times New Roman"/>
          <w:sz w:val="24"/>
          <w:szCs w:val="24"/>
        </w:rPr>
        <w:t xml:space="preserve"> </w:t>
      </w:r>
    </w:p>
    <w:p w14:paraId="6BA73362" w14:textId="77777777" w:rsidR="003C3F8B" w:rsidRDefault="003C3F8B" w:rsidP="00CC63F8">
      <w:pPr>
        <w:pStyle w:val="Normal1"/>
        <w:jc w:val="both"/>
        <w:rPr>
          <w:rFonts w:ascii="Garamond" w:hAnsi="Garamond" w:cs="Times New Roman"/>
          <w:sz w:val="24"/>
          <w:szCs w:val="24"/>
        </w:rPr>
      </w:pPr>
    </w:p>
    <w:p w14:paraId="7FCB5220" w14:textId="5432F351" w:rsidR="00B314EC" w:rsidRDefault="00F70D69" w:rsidP="00CC63F8">
      <w:pPr>
        <w:pStyle w:val="Normal1"/>
        <w:jc w:val="both"/>
        <w:rPr>
          <w:rFonts w:ascii="Garamond" w:eastAsia="Times New Roman" w:hAnsi="Garamond" w:cs="Times New Roman"/>
          <w:sz w:val="24"/>
          <w:szCs w:val="24"/>
        </w:rPr>
      </w:pPr>
      <w:r>
        <w:rPr>
          <w:rFonts w:ascii="Garamond" w:hAnsi="Garamond" w:cs="Times New Roman"/>
          <w:sz w:val="24"/>
          <w:szCs w:val="24"/>
        </w:rPr>
        <w:t xml:space="preserve">Lijphart’s work has been extensively built upon by scholars of post-conflict societies, </w:t>
      </w:r>
      <w:r w:rsidR="008C6E14">
        <w:rPr>
          <w:rFonts w:ascii="Garamond" w:hAnsi="Garamond" w:cs="Times New Roman"/>
          <w:sz w:val="24"/>
          <w:szCs w:val="24"/>
        </w:rPr>
        <w:t>especially John</w:t>
      </w:r>
      <w:r>
        <w:rPr>
          <w:rFonts w:ascii="Garamond" w:hAnsi="Garamond" w:cs="Times New Roman"/>
          <w:sz w:val="24"/>
          <w:szCs w:val="24"/>
        </w:rPr>
        <w:t xml:space="preserve"> McGarry and Brendan O’Leary. </w:t>
      </w:r>
      <w:r w:rsidR="00A1718A">
        <w:rPr>
          <w:rFonts w:ascii="Garamond" w:hAnsi="Garamond" w:cs="Times New Roman"/>
          <w:sz w:val="24"/>
          <w:szCs w:val="24"/>
        </w:rPr>
        <w:t xml:space="preserve">They argue that the long-established consociational basis of Western democracies such as Belgium could be extended to ethno-nationally divided post-conflict polities. </w:t>
      </w:r>
      <w:r w:rsidR="00857B47">
        <w:rPr>
          <w:rFonts w:ascii="Garamond" w:hAnsi="Garamond" w:cs="Times New Roman"/>
          <w:sz w:val="24"/>
          <w:szCs w:val="24"/>
        </w:rPr>
        <w:t xml:space="preserve">This argument fundamentally shifted </w:t>
      </w:r>
      <w:r w:rsidR="00B314EC">
        <w:rPr>
          <w:rFonts w:ascii="Garamond" w:hAnsi="Garamond" w:cs="Times New Roman"/>
          <w:sz w:val="24"/>
          <w:szCs w:val="24"/>
        </w:rPr>
        <w:t>consociational</w:t>
      </w:r>
      <w:r w:rsidR="00857B47">
        <w:rPr>
          <w:rFonts w:ascii="Garamond" w:hAnsi="Garamond" w:cs="Times New Roman"/>
          <w:sz w:val="24"/>
          <w:szCs w:val="24"/>
        </w:rPr>
        <w:t xml:space="preserve"> thinking from a means of understanding established</w:t>
      </w:r>
      <w:r w:rsidR="00486F57">
        <w:rPr>
          <w:rFonts w:ascii="Garamond" w:hAnsi="Garamond" w:cs="Times New Roman"/>
          <w:sz w:val="24"/>
          <w:szCs w:val="24"/>
        </w:rPr>
        <w:t>, long-existen</w:t>
      </w:r>
      <w:r w:rsidR="00A567FA">
        <w:rPr>
          <w:rFonts w:ascii="Garamond" w:hAnsi="Garamond" w:cs="Times New Roman"/>
          <w:sz w:val="24"/>
          <w:szCs w:val="24"/>
        </w:rPr>
        <w:t>t</w:t>
      </w:r>
      <w:r w:rsidR="00857B47">
        <w:rPr>
          <w:rFonts w:ascii="Garamond" w:hAnsi="Garamond" w:cs="Times New Roman"/>
          <w:sz w:val="24"/>
          <w:szCs w:val="24"/>
        </w:rPr>
        <w:t xml:space="preserve"> Western </w:t>
      </w:r>
      <w:r w:rsidR="00486F57">
        <w:rPr>
          <w:rFonts w:ascii="Garamond" w:hAnsi="Garamond" w:cs="Times New Roman"/>
          <w:sz w:val="24"/>
          <w:szCs w:val="24"/>
        </w:rPr>
        <w:t>societies, to a tool which could be used in</w:t>
      </w:r>
      <w:r w:rsidR="00857B47">
        <w:rPr>
          <w:rFonts w:ascii="Garamond" w:hAnsi="Garamond" w:cs="Times New Roman"/>
          <w:sz w:val="24"/>
          <w:szCs w:val="24"/>
        </w:rPr>
        <w:t xml:space="preserve"> post-</w:t>
      </w:r>
      <w:r w:rsidR="00B314EC">
        <w:rPr>
          <w:rFonts w:ascii="Garamond" w:hAnsi="Garamond" w:cs="Times New Roman"/>
          <w:sz w:val="24"/>
          <w:szCs w:val="24"/>
        </w:rPr>
        <w:t>conflict</w:t>
      </w:r>
      <w:r w:rsidR="00486F57">
        <w:rPr>
          <w:rFonts w:ascii="Garamond" w:hAnsi="Garamond" w:cs="Times New Roman"/>
          <w:sz w:val="24"/>
          <w:szCs w:val="24"/>
        </w:rPr>
        <w:t xml:space="preserve"> peacebuilding practice to build new structures.</w:t>
      </w:r>
      <w:r w:rsidR="00857B47">
        <w:rPr>
          <w:rFonts w:ascii="Garamond" w:hAnsi="Garamond" w:cs="Times New Roman"/>
          <w:sz w:val="24"/>
          <w:szCs w:val="24"/>
        </w:rPr>
        <w:t xml:space="preserve"> </w:t>
      </w:r>
      <w:r w:rsidR="00B314EC">
        <w:rPr>
          <w:rFonts w:ascii="Garamond" w:eastAsia="Times New Roman" w:hAnsi="Garamond" w:cs="Times New Roman"/>
          <w:sz w:val="24"/>
          <w:szCs w:val="24"/>
        </w:rPr>
        <w:t xml:space="preserve">Their key contribution </w:t>
      </w:r>
      <w:r w:rsidR="00826A57">
        <w:rPr>
          <w:rFonts w:ascii="Garamond" w:eastAsia="Times New Roman" w:hAnsi="Garamond" w:cs="Times New Roman"/>
          <w:sz w:val="24"/>
          <w:szCs w:val="24"/>
        </w:rPr>
        <w:t>to consoci</w:t>
      </w:r>
      <w:r w:rsidR="00486F57">
        <w:rPr>
          <w:rFonts w:ascii="Garamond" w:eastAsia="Times New Roman" w:hAnsi="Garamond" w:cs="Times New Roman"/>
          <w:sz w:val="24"/>
          <w:szCs w:val="24"/>
        </w:rPr>
        <w:t xml:space="preserve">ational theory </w:t>
      </w:r>
      <w:r w:rsidR="00B314EC">
        <w:rPr>
          <w:rFonts w:ascii="Garamond" w:eastAsia="Times New Roman" w:hAnsi="Garamond" w:cs="Times New Roman"/>
          <w:sz w:val="24"/>
          <w:szCs w:val="24"/>
        </w:rPr>
        <w:t xml:space="preserve">remains a distinction between liberal and corporate consociational systems. </w:t>
      </w:r>
      <w:r w:rsidR="0041700B">
        <w:rPr>
          <w:rFonts w:ascii="Garamond" w:eastAsia="Times New Roman" w:hAnsi="Garamond" w:cs="Times New Roman"/>
          <w:sz w:val="24"/>
          <w:szCs w:val="24"/>
        </w:rPr>
        <w:t>L</w:t>
      </w:r>
      <w:r w:rsidR="00B314EC">
        <w:rPr>
          <w:rFonts w:ascii="Garamond" w:eastAsia="Times New Roman" w:hAnsi="Garamond" w:cs="Times New Roman"/>
          <w:sz w:val="24"/>
          <w:szCs w:val="24"/>
        </w:rPr>
        <w:t>iberal consociation argues that the key groups to be involved in power-sharing can emerge t</w:t>
      </w:r>
      <w:r w:rsidR="000A523B">
        <w:rPr>
          <w:rFonts w:ascii="Garamond" w:eastAsia="Times New Roman" w:hAnsi="Garamond" w:cs="Times New Roman"/>
          <w:sz w:val="24"/>
          <w:szCs w:val="24"/>
        </w:rPr>
        <w:t>hrough a process of self-ident</w:t>
      </w:r>
      <w:r w:rsidR="00B314EC">
        <w:rPr>
          <w:rFonts w:ascii="Garamond" w:eastAsia="Times New Roman" w:hAnsi="Garamond" w:cs="Times New Roman"/>
          <w:sz w:val="24"/>
          <w:szCs w:val="24"/>
        </w:rPr>
        <w:t xml:space="preserve">ification, rather than being prescribed from the </w:t>
      </w:r>
      <w:r w:rsidR="00486F57">
        <w:rPr>
          <w:rFonts w:ascii="Garamond" w:eastAsia="Times New Roman" w:hAnsi="Garamond" w:cs="Times New Roman"/>
          <w:sz w:val="24"/>
          <w:szCs w:val="24"/>
        </w:rPr>
        <w:t>centre (corporate consociation)</w:t>
      </w:r>
      <w:r w:rsidR="00B314EC" w:rsidRPr="004C53C9">
        <w:rPr>
          <w:rFonts w:ascii="Garamond" w:eastAsia="Times New Roman" w:hAnsi="Garamond" w:cs="Times New Roman"/>
          <w:sz w:val="24"/>
          <w:szCs w:val="24"/>
        </w:rPr>
        <w:t xml:space="preserve">. </w:t>
      </w:r>
      <w:r w:rsidR="003C3F8B">
        <w:rPr>
          <w:rFonts w:ascii="Garamond" w:eastAsia="Times New Roman" w:hAnsi="Garamond" w:cs="Times New Roman"/>
          <w:sz w:val="24"/>
          <w:szCs w:val="24"/>
        </w:rPr>
        <w:t>In this way, liberal consoc</w:t>
      </w:r>
      <w:r w:rsidR="007A7FEB">
        <w:rPr>
          <w:rFonts w:ascii="Garamond" w:eastAsia="Times New Roman" w:hAnsi="Garamond" w:cs="Times New Roman"/>
          <w:sz w:val="24"/>
          <w:szCs w:val="24"/>
        </w:rPr>
        <w:t>i</w:t>
      </w:r>
      <w:r w:rsidR="003C3F8B">
        <w:rPr>
          <w:rFonts w:ascii="Garamond" w:eastAsia="Times New Roman" w:hAnsi="Garamond" w:cs="Times New Roman"/>
          <w:sz w:val="24"/>
          <w:szCs w:val="24"/>
        </w:rPr>
        <w:t>ation attempts to avoid the trap of pre-prescribed identity, and to allow for other political identities to emerge</w:t>
      </w:r>
      <w:r w:rsidR="004B2F83">
        <w:rPr>
          <w:rFonts w:ascii="Garamond" w:eastAsia="Times New Roman" w:hAnsi="Garamond" w:cs="Times New Roman"/>
          <w:sz w:val="24"/>
          <w:szCs w:val="24"/>
        </w:rPr>
        <w:t xml:space="preserve"> within power-sharing governments</w:t>
      </w:r>
      <w:r w:rsidR="003C3F8B">
        <w:rPr>
          <w:rFonts w:ascii="Garamond" w:eastAsia="Times New Roman" w:hAnsi="Garamond" w:cs="Times New Roman"/>
          <w:sz w:val="24"/>
          <w:szCs w:val="24"/>
        </w:rPr>
        <w:t xml:space="preserve">. Yet it is telling that in liberal consociational set-ups, such optimism regarding the potential fluidity of identity within the </w:t>
      </w:r>
      <w:r w:rsidR="007A7FEB">
        <w:rPr>
          <w:rFonts w:ascii="Garamond" w:eastAsia="Times New Roman" w:hAnsi="Garamond" w:cs="Times New Roman"/>
          <w:sz w:val="24"/>
          <w:szCs w:val="24"/>
        </w:rPr>
        <w:t xml:space="preserve">political structures has failed to emerge, with ethno-national identity still </w:t>
      </w:r>
      <w:r w:rsidR="002E2C3B">
        <w:rPr>
          <w:rFonts w:ascii="Garamond" w:eastAsia="Times New Roman" w:hAnsi="Garamond" w:cs="Times New Roman"/>
          <w:sz w:val="24"/>
          <w:szCs w:val="24"/>
        </w:rPr>
        <w:t xml:space="preserve">entrenched and </w:t>
      </w:r>
      <w:r w:rsidR="007A7FEB">
        <w:rPr>
          <w:rFonts w:ascii="Garamond" w:eastAsia="Times New Roman" w:hAnsi="Garamond" w:cs="Times New Roman"/>
          <w:sz w:val="24"/>
          <w:szCs w:val="24"/>
        </w:rPr>
        <w:t>dominant.</w:t>
      </w:r>
      <w:r w:rsidR="007A7FEB">
        <w:rPr>
          <w:rStyle w:val="EndnoteReference"/>
          <w:rFonts w:ascii="Garamond" w:eastAsia="Times New Roman" w:hAnsi="Garamond" w:cs="Times New Roman"/>
          <w:sz w:val="24"/>
          <w:szCs w:val="24"/>
        </w:rPr>
        <w:endnoteReference w:id="10"/>
      </w:r>
      <w:r w:rsidR="00816D03">
        <w:rPr>
          <w:rFonts w:ascii="Garamond" w:eastAsia="Times New Roman" w:hAnsi="Garamond" w:cs="Times New Roman"/>
          <w:sz w:val="24"/>
          <w:szCs w:val="24"/>
        </w:rPr>
        <w:t xml:space="preserve"> </w:t>
      </w:r>
    </w:p>
    <w:p w14:paraId="15E19102" w14:textId="6DC3507B" w:rsidR="00BF0450" w:rsidRDefault="00BF0450" w:rsidP="00CC63F8">
      <w:pPr>
        <w:pStyle w:val="Normal1"/>
        <w:jc w:val="both"/>
        <w:rPr>
          <w:rFonts w:ascii="Garamond" w:eastAsia="Times New Roman" w:hAnsi="Garamond" w:cs="Times New Roman"/>
          <w:sz w:val="24"/>
          <w:szCs w:val="24"/>
        </w:rPr>
      </w:pPr>
    </w:p>
    <w:p w14:paraId="78F37FA2" w14:textId="39D425A9" w:rsidR="00BF0450" w:rsidRPr="004C53C9" w:rsidRDefault="00690A0B" w:rsidP="00CC63F8">
      <w:pPr>
        <w:pStyle w:val="Normal1"/>
        <w:jc w:val="both"/>
        <w:rPr>
          <w:rFonts w:ascii="Garamond" w:eastAsia="Times New Roman" w:hAnsi="Garamond" w:cs="Times New Roman"/>
          <w:sz w:val="24"/>
          <w:szCs w:val="24"/>
        </w:rPr>
      </w:pPr>
      <w:r>
        <w:rPr>
          <w:rFonts w:ascii="Garamond" w:eastAsia="Times New Roman" w:hAnsi="Garamond" w:cs="Times New Roman"/>
          <w:sz w:val="24"/>
          <w:szCs w:val="24"/>
        </w:rPr>
        <w:t xml:space="preserve">Further to this, feminist analysis of conflict and post-conflict peacebuilding illustrates how the roots of conflict are tied up in </w:t>
      </w:r>
      <w:r w:rsidR="00377299">
        <w:rPr>
          <w:rFonts w:ascii="Garamond" w:eastAsia="Times New Roman" w:hAnsi="Garamond" w:cs="Times New Roman"/>
          <w:sz w:val="24"/>
          <w:szCs w:val="24"/>
        </w:rPr>
        <w:t xml:space="preserve">conservative notions of gender identity and militarized masculinities and the </w:t>
      </w:r>
      <w:r w:rsidR="002E2C3B">
        <w:rPr>
          <w:rFonts w:ascii="Garamond" w:eastAsia="Times New Roman" w:hAnsi="Garamond" w:cs="Times New Roman"/>
          <w:sz w:val="24"/>
          <w:szCs w:val="24"/>
        </w:rPr>
        <w:t>justification of</w:t>
      </w:r>
      <w:r w:rsidR="00377299">
        <w:rPr>
          <w:rFonts w:ascii="Garamond" w:eastAsia="Times New Roman" w:hAnsi="Garamond" w:cs="Times New Roman"/>
          <w:sz w:val="24"/>
          <w:szCs w:val="24"/>
        </w:rPr>
        <w:t xml:space="preserve"> violence for the supposed protection of women and children (Ni Aolain, 2006). Ignoring alternative identity explanations for conflict and </w:t>
      </w:r>
      <w:r w:rsidR="002E2C3B">
        <w:rPr>
          <w:rFonts w:ascii="Garamond" w:eastAsia="Times New Roman" w:hAnsi="Garamond" w:cs="Times New Roman"/>
          <w:sz w:val="24"/>
          <w:szCs w:val="24"/>
        </w:rPr>
        <w:t>reifying</w:t>
      </w:r>
      <w:r w:rsidR="00377299">
        <w:rPr>
          <w:rFonts w:ascii="Garamond" w:eastAsia="Times New Roman" w:hAnsi="Garamond" w:cs="Times New Roman"/>
          <w:sz w:val="24"/>
          <w:szCs w:val="24"/>
        </w:rPr>
        <w:t xml:space="preserve"> ethno-national identity</w:t>
      </w:r>
      <w:r w:rsidR="002E2C3B">
        <w:rPr>
          <w:rFonts w:ascii="Garamond" w:eastAsia="Times New Roman" w:hAnsi="Garamond" w:cs="Times New Roman"/>
          <w:sz w:val="24"/>
          <w:szCs w:val="24"/>
        </w:rPr>
        <w:t xml:space="preserve"> in peace-building</w:t>
      </w:r>
      <w:r w:rsidR="00377299">
        <w:rPr>
          <w:rFonts w:ascii="Garamond" w:eastAsia="Times New Roman" w:hAnsi="Garamond" w:cs="Times New Roman"/>
          <w:sz w:val="24"/>
          <w:szCs w:val="24"/>
        </w:rPr>
        <w:t xml:space="preserve"> is problematic and leaves fundamental aspects of conflict unresolved. </w:t>
      </w:r>
      <w:r w:rsidR="002E2C3B">
        <w:rPr>
          <w:rFonts w:ascii="Garamond" w:eastAsia="Times New Roman" w:hAnsi="Garamond" w:cs="Times New Roman"/>
          <w:sz w:val="24"/>
          <w:szCs w:val="24"/>
        </w:rPr>
        <w:t xml:space="preserve">Accordingly, a feminist understanding of peace-building sees the inclusion of women not just as a tool to encourage gender equality but one fundamental to achieve peace. </w:t>
      </w:r>
    </w:p>
    <w:p w14:paraId="48F65617" w14:textId="46860B29" w:rsidR="004C53C9" w:rsidRDefault="004C53C9" w:rsidP="00CC63F8">
      <w:pPr>
        <w:pStyle w:val="Normal1"/>
        <w:jc w:val="both"/>
        <w:rPr>
          <w:rFonts w:ascii="Garamond" w:eastAsia="Times New Roman" w:hAnsi="Garamond" w:cs="Times New Roman"/>
          <w:sz w:val="24"/>
          <w:szCs w:val="24"/>
        </w:rPr>
      </w:pPr>
    </w:p>
    <w:p w14:paraId="2D518A59" w14:textId="215175DE" w:rsidR="00B14F7B" w:rsidRDefault="004B2F83" w:rsidP="00CC63F8">
      <w:pPr>
        <w:pStyle w:val="Normal1"/>
        <w:jc w:val="both"/>
        <w:rPr>
          <w:rFonts w:ascii="Garamond" w:eastAsia="Times New Roman" w:hAnsi="Garamond" w:cs="Times New Roman"/>
          <w:sz w:val="24"/>
          <w:szCs w:val="24"/>
        </w:rPr>
      </w:pPr>
      <w:r>
        <w:rPr>
          <w:rFonts w:ascii="Garamond" w:eastAsia="Times New Roman" w:hAnsi="Garamond" w:cs="Times New Roman"/>
          <w:sz w:val="24"/>
          <w:szCs w:val="24"/>
        </w:rPr>
        <w:t xml:space="preserve">Examples of consociation in practice abound. </w:t>
      </w:r>
      <w:r w:rsidR="006B301E" w:rsidRPr="00B8656B">
        <w:rPr>
          <w:rFonts w:ascii="Garamond" w:eastAsia="Times New Roman" w:hAnsi="Garamond" w:cs="Times New Roman"/>
          <w:sz w:val="24"/>
          <w:szCs w:val="24"/>
        </w:rPr>
        <w:t>The 1998 Good Friday Agreement in Northern Ireland</w:t>
      </w:r>
      <w:r w:rsidR="006B301E">
        <w:rPr>
          <w:rFonts w:ascii="Garamond" w:eastAsia="Times New Roman" w:hAnsi="Garamond" w:cs="Times New Roman"/>
          <w:sz w:val="24"/>
          <w:szCs w:val="24"/>
        </w:rPr>
        <w:t xml:space="preserve"> remains one of the most well-known and most celebrated examples of </w:t>
      </w:r>
      <w:r w:rsidR="00D456CB">
        <w:rPr>
          <w:rFonts w:ascii="Garamond" w:eastAsia="Times New Roman" w:hAnsi="Garamond" w:cs="Times New Roman"/>
          <w:sz w:val="24"/>
          <w:szCs w:val="24"/>
        </w:rPr>
        <w:t xml:space="preserve">a peace agreement </w:t>
      </w:r>
      <w:r w:rsidR="005F45F5">
        <w:rPr>
          <w:rFonts w:ascii="Garamond" w:eastAsia="Times New Roman" w:hAnsi="Garamond" w:cs="Times New Roman"/>
          <w:sz w:val="24"/>
          <w:szCs w:val="24"/>
        </w:rPr>
        <w:t>constituted</w:t>
      </w:r>
      <w:r w:rsidR="00D456CB">
        <w:rPr>
          <w:rFonts w:ascii="Garamond" w:eastAsia="Times New Roman" w:hAnsi="Garamond" w:cs="Times New Roman"/>
          <w:sz w:val="24"/>
          <w:szCs w:val="24"/>
        </w:rPr>
        <w:t xml:space="preserve"> around </w:t>
      </w:r>
      <w:r w:rsidR="007811AE">
        <w:rPr>
          <w:rFonts w:ascii="Garamond" w:eastAsia="Times New Roman" w:hAnsi="Garamond" w:cs="Times New Roman"/>
          <w:sz w:val="24"/>
          <w:szCs w:val="24"/>
        </w:rPr>
        <w:t>consociational power-sharing</w:t>
      </w:r>
      <w:r w:rsidR="006B301E">
        <w:rPr>
          <w:rFonts w:ascii="Garamond" w:eastAsia="Times New Roman" w:hAnsi="Garamond" w:cs="Times New Roman"/>
          <w:sz w:val="24"/>
          <w:szCs w:val="24"/>
        </w:rPr>
        <w:t xml:space="preserve">. </w:t>
      </w:r>
      <w:r w:rsidR="004C53C9">
        <w:rPr>
          <w:rFonts w:ascii="Garamond" w:eastAsia="Times New Roman" w:hAnsi="Garamond" w:cs="Times New Roman"/>
          <w:sz w:val="24"/>
          <w:szCs w:val="24"/>
        </w:rPr>
        <w:t>Bosnia-Herzegovina adopted a particularly complex consociational set-up followin</w:t>
      </w:r>
      <w:r w:rsidR="00B314EC">
        <w:rPr>
          <w:rFonts w:ascii="Garamond" w:eastAsia="Times New Roman" w:hAnsi="Garamond" w:cs="Times New Roman"/>
          <w:sz w:val="24"/>
          <w:szCs w:val="24"/>
        </w:rPr>
        <w:t>g the Balkan w</w:t>
      </w:r>
      <w:r w:rsidR="00B654A7">
        <w:rPr>
          <w:rFonts w:ascii="Garamond" w:eastAsia="Times New Roman" w:hAnsi="Garamond" w:cs="Times New Roman"/>
          <w:sz w:val="24"/>
          <w:szCs w:val="24"/>
        </w:rPr>
        <w:t>ars of the 1990s</w:t>
      </w:r>
      <w:r w:rsidR="00061C30">
        <w:rPr>
          <w:rFonts w:ascii="Garamond" w:eastAsia="Times New Roman" w:hAnsi="Garamond" w:cs="Times New Roman"/>
          <w:sz w:val="24"/>
          <w:szCs w:val="24"/>
        </w:rPr>
        <w:t>.</w:t>
      </w:r>
      <w:r w:rsidR="00061C30">
        <w:rPr>
          <w:rStyle w:val="EndnoteReference"/>
          <w:rFonts w:ascii="Garamond" w:eastAsia="Times New Roman" w:hAnsi="Garamond" w:cs="Times New Roman"/>
          <w:sz w:val="24"/>
          <w:szCs w:val="24"/>
        </w:rPr>
        <w:endnoteReference w:id="11"/>
      </w:r>
      <w:r w:rsidR="006B301E">
        <w:rPr>
          <w:rFonts w:ascii="Garamond" w:eastAsia="Times New Roman" w:hAnsi="Garamond" w:cs="Times New Roman"/>
          <w:sz w:val="24"/>
          <w:szCs w:val="24"/>
        </w:rPr>
        <w:t xml:space="preserve"> </w:t>
      </w:r>
      <w:r w:rsidR="00B8656B" w:rsidRPr="00B8656B">
        <w:rPr>
          <w:rFonts w:ascii="Garamond" w:eastAsia="Times New Roman" w:hAnsi="Garamond" w:cs="Times New Roman"/>
          <w:sz w:val="24"/>
          <w:szCs w:val="24"/>
        </w:rPr>
        <w:t>The Ohrid Framework</w:t>
      </w:r>
      <w:r w:rsidR="00B21DBB">
        <w:rPr>
          <w:rFonts w:ascii="Garamond" w:eastAsia="Times New Roman" w:hAnsi="Garamond" w:cs="Times New Roman"/>
          <w:sz w:val="24"/>
          <w:szCs w:val="24"/>
        </w:rPr>
        <w:t xml:space="preserve"> Agreement </w:t>
      </w:r>
      <w:r w:rsidR="001262D9">
        <w:rPr>
          <w:rFonts w:ascii="Garamond" w:eastAsia="Times New Roman" w:hAnsi="Garamond" w:cs="Times New Roman"/>
          <w:sz w:val="24"/>
          <w:szCs w:val="24"/>
        </w:rPr>
        <w:t xml:space="preserve">signed in 2001 </w:t>
      </w:r>
      <w:r w:rsidR="00B21DBB">
        <w:rPr>
          <w:rFonts w:ascii="Garamond" w:eastAsia="Times New Roman" w:hAnsi="Garamond" w:cs="Times New Roman"/>
          <w:sz w:val="24"/>
          <w:szCs w:val="24"/>
        </w:rPr>
        <w:t>ended the brief conflict in Macedonia which displaced over 100</w:t>
      </w:r>
      <w:r w:rsidR="001262D9">
        <w:rPr>
          <w:rFonts w:ascii="Garamond" w:eastAsia="Times New Roman" w:hAnsi="Garamond" w:cs="Times New Roman"/>
          <w:sz w:val="24"/>
          <w:szCs w:val="24"/>
        </w:rPr>
        <w:t>,</w:t>
      </w:r>
      <w:r w:rsidR="00B21DBB">
        <w:rPr>
          <w:rFonts w:ascii="Garamond" w:eastAsia="Times New Roman" w:hAnsi="Garamond" w:cs="Times New Roman"/>
          <w:sz w:val="24"/>
          <w:szCs w:val="24"/>
        </w:rPr>
        <w:t xml:space="preserve">000 people. </w:t>
      </w:r>
      <w:r w:rsidR="00F10A66">
        <w:rPr>
          <w:rFonts w:ascii="Garamond" w:eastAsia="Times New Roman" w:hAnsi="Garamond" w:cs="Times New Roman"/>
          <w:sz w:val="24"/>
          <w:szCs w:val="24"/>
        </w:rPr>
        <w:t>In a similar manner to Bosnia-Herzegovina, Macedonia has a complex consociational set-up based around devolving power to regions where minority groups are a majority, and consolidating power-sharing between var</w:t>
      </w:r>
      <w:r w:rsidR="00061C30">
        <w:rPr>
          <w:rFonts w:ascii="Garamond" w:eastAsia="Times New Roman" w:hAnsi="Garamond" w:cs="Times New Roman"/>
          <w:sz w:val="24"/>
          <w:szCs w:val="24"/>
        </w:rPr>
        <w:t>ious ethno-national identities</w:t>
      </w:r>
      <w:r w:rsidR="00F10A66">
        <w:rPr>
          <w:rFonts w:ascii="Garamond" w:eastAsia="Times New Roman" w:hAnsi="Garamond" w:cs="Times New Roman"/>
          <w:sz w:val="24"/>
          <w:szCs w:val="24"/>
        </w:rPr>
        <w:t>.</w:t>
      </w:r>
      <w:r w:rsidR="00061C30">
        <w:rPr>
          <w:rStyle w:val="EndnoteReference"/>
          <w:rFonts w:ascii="Garamond" w:eastAsia="Times New Roman" w:hAnsi="Garamond" w:cs="Times New Roman"/>
          <w:sz w:val="24"/>
          <w:szCs w:val="24"/>
        </w:rPr>
        <w:endnoteReference w:id="12"/>
      </w:r>
      <w:r w:rsidR="00F10A66">
        <w:rPr>
          <w:rFonts w:ascii="Garamond" w:eastAsia="Times New Roman" w:hAnsi="Garamond" w:cs="Times New Roman"/>
          <w:sz w:val="24"/>
          <w:szCs w:val="24"/>
        </w:rPr>
        <w:t xml:space="preserve"> The Arusha </w:t>
      </w:r>
      <w:r w:rsidR="00B14F7B">
        <w:rPr>
          <w:rFonts w:ascii="Garamond" w:eastAsia="Times New Roman" w:hAnsi="Garamond" w:cs="Times New Roman"/>
          <w:sz w:val="24"/>
          <w:szCs w:val="24"/>
        </w:rPr>
        <w:t xml:space="preserve">Peace and </w:t>
      </w:r>
      <w:r w:rsidR="00B14F7B">
        <w:rPr>
          <w:rFonts w:ascii="Garamond" w:eastAsia="Times New Roman" w:hAnsi="Garamond" w:cs="Times New Roman"/>
          <w:sz w:val="24"/>
          <w:szCs w:val="24"/>
        </w:rPr>
        <w:lastRenderedPageBreak/>
        <w:t>Reconciliation Agreement</w:t>
      </w:r>
      <w:r w:rsidR="00F10A66">
        <w:rPr>
          <w:rFonts w:ascii="Garamond" w:eastAsia="Times New Roman" w:hAnsi="Garamond" w:cs="Times New Roman"/>
          <w:sz w:val="24"/>
          <w:szCs w:val="24"/>
        </w:rPr>
        <w:t xml:space="preserve">, </w:t>
      </w:r>
      <w:r w:rsidR="00B14F7B">
        <w:rPr>
          <w:rFonts w:ascii="Garamond" w:eastAsia="Times New Roman" w:hAnsi="Garamond" w:cs="Times New Roman"/>
          <w:sz w:val="24"/>
          <w:szCs w:val="24"/>
        </w:rPr>
        <w:t>of</w:t>
      </w:r>
      <w:r w:rsidR="00F10A66">
        <w:rPr>
          <w:rFonts w:ascii="Garamond" w:eastAsia="Times New Roman" w:hAnsi="Garamond" w:cs="Times New Roman"/>
          <w:sz w:val="24"/>
          <w:szCs w:val="24"/>
        </w:rPr>
        <w:t xml:space="preserve"> </w:t>
      </w:r>
      <w:r w:rsidR="00B14F7B">
        <w:rPr>
          <w:rFonts w:ascii="Garamond" w:eastAsia="Times New Roman" w:hAnsi="Garamond" w:cs="Times New Roman"/>
          <w:sz w:val="24"/>
          <w:szCs w:val="24"/>
        </w:rPr>
        <w:t>2000, which slowly began to bring an end to Burundi’s 12 year Civil War, is firmly consociational in nature, requiring a Hutu and a Tutsi Vice-President, and outline</w:t>
      </w:r>
      <w:r w:rsidR="00B3727B">
        <w:rPr>
          <w:rFonts w:ascii="Garamond" w:eastAsia="Times New Roman" w:hAnsi="Garamond" w:cs="Times New Roman"/>
          <w:sz w:val="24"/>
          <w:szCs w:val="24"/>
        </w:rPr>
        <w:t>s</w:t>
      </w:r>
      <w:r w:rsidR="00B14F7B">
        <w:rPr>
          <w:rFonts w:ascii="Garamond" w:eastAsia="Times New Roman" w:hAnsi="Garamond" w:cs="Times New Roman"/>
          <w:sz w:val="24"/>
          <w:szCs w:val="24"/>
        </w:rPr>
        <w:t xml:space="preserve"> key ethnic quotas for national and local government and secur</w:t>
      </w:r>
      <w:r w:rsidR="00061C30">
        <w:rPr>
          <w:rFonts w:ascii="Garamond" w:eastAsia="Times New Roman" w:hAnsi="Garamond" w:cs="Times New Roman"/>
          <w:sz w:val="24"/>
          <w:szCs w:val="24"/>
        </w:rPr>
        <w:t>ity forces</w:t>
      </w:r>
      <w:r w:rsidR="00B14F7B">
        <w:rPr>
          <w:rFonts w:ascii="Garamond" w:eastAsia="Times New Roman" w:hAnsi="Garamond" w:cs="Times New Roman"/>
          <w:sz w:val="24"/>
          <w:szCs w:val="24"/>
        </w:rPr>
        <w:t>.</w:t>
      </w:r>
      <w:r w:rsidR="00061C30">
        <w:rPr>
          <w:rStyle w:val="EndnoteReference"/>
          <w:rFonts w:ascii="Garamond" w:eastAsia="Times New Roman" w:hAnsi="Garamond" w:cs="Times New Roman"/>
          <w:sz w:val="24"/>
          <w:szCs w:val="24"/>
        </w:rPr>
        <w:endnoteReference w:id="13"/>
      </w:r>
      <w:r w:rsidR="00B14F7B">
        <w:rPr>
          <w:rFonts w:ascii="Garamond" w:eastAsia="Times New Roman" w:hAnsi="Garamond" w:cs="Times New Roman"/>
          <w:sz w:val="24"/>
          <w:szCs w:val="24"/>
        </w:rPr>
        <w:t xml:space="preserve"> Post-war Iraq also saw several elements of consociational democracy in the transitional peri</w:t>
      </w:r>
      <w:r w:rsidR="00061C30">
        <w:rPr>
          <w:rFonts w:ascii="Garamond" w:eastAsia="Times New Roman" w:hAnsi="Garamond" w:cs="Times New Roman"/>
          <w:sz w:val="24"/>
          <w:szCs w:val="24"/>
        </w:rPr>
        <w:t>od from 2003-2010</w:t>
      </w:r>
      <w:r w:rsidR="00B14F7B">
        <w:rPr>
          <w:rFonts w:ascii="Garamond" w:eastAsia="Times New Roman" w:hAnsi="Garamond" w:cs="Times New Roman"/>
          <w:sz w:val="24"/>
          <w:szCs w:val="24"/>
        </w:rPr>
        <w:t>.</w:t>
      </w:r>
      <w:r w:rsidR="00061C30">
        <w:rPr>
          <w:rStyle w:val="EndnoteReference"/>
          <w:rFonts w:ascii="Garamond" w:eastAsia="Times New Roman" w:hAnsi="Garamond" w:cs="Times New Roman"/>
          <w:sz w:val="24"/>
          <w:szCs w:val="24"/>
        </w:rPr>
        <w:endnoteReference w:id="14"/>
      </w:r>
      <w:r w:rsidR="00B14F7B">
        <w:rPr>
          <w:rFonts w:ascii="Garamond" w:eastAsia="Times New Roman" w:hAnsi="Garamond" w:cs="Times New Roman"/>
          <w:sz w:val="24"/>
          <w:szCs w:val="24"/>
        </w:rPr>
        <w:t xml:space="preserve"> </w:t>
      </w:r>
      <w:r w:rsidR="00826A57">
        <w:rPr>
          <w:rFonts w:ascii="Garamond" w:eastAsia="Times New Roman" w:hAnsi="Garamond" w:cs="Times New Roman"/>
          <w:sz w:val="24"/>
          <w:szCs w:val="24"/>
        </w:rPr>
        <w:t>More recently, power sharing h</w:t>
      </w:r>
      <w:r w:rsidR="00486F57">
        <w:rPr>
          <w:rFonts w:ascii="Garamond" w:eastAsia="Times New Roman" w:hAnsi="Garamond" w:cs="Times New Roman"/>
          <w:sz w:val="24"/>
          <w:szCs w:val="24"/>
        </w:rPr>
        <w:t>as been suggested as a means to cement peace in Sudan.</w:t>
      </w:r>
      <w:r w:rsidR="00486F57">
        <w:rPr>
          <w:rStyle w:val="EndnoteReference"/>
          <w:rFonts w:ascii="Garamond" w:eastAsia="Times New Roman" w:hAnsi="Garamond" w:cs="Times New Roman"/>
          <w:sz w:val="24"/>
          <w:szCs w:val="24"/>
        </w:rPr>
        <w:endnoteReference w:id="15"/>
      </w:r>
      <w:r w:rsidR="00486F57">
        <w:rPr>
          <w:rFonts w:ascii="Garamond" w:eastAsia="Times New Roman" w:hAnsi="Garamond" w:cs="Times New Roman"/>
          <w:sz w:val="24"/>
          <w:szCs w:val="24"/>
        </w:rPr>
        <w:t xml:space="preserve"> </w:t>
      </w:r>
      <w:r w:rsidR="00F71339">
        <w:rPr>
          <w:rFonts w:ascii="Garamond" w:eastAsia="Times New Roman" w:hAnsi="Garamond" w:cs="Times New Roman"/>
          <w:sz w:val="24"/>
          <w:szCs w:val="24"/>
        </w:rPr>
        <w:t>Consociationalism has thus seen wide-spread deployment in the last twenty years as a key mechanism in building post-conflict institutions and government.</w:t>
      </w:r>
      <w:r w:rsidR="00816D03">
        <w:rPr>
          <w:rFonts w:ascii="Garamond" w:eastAsia="Times New Roman" w:hAnsi="Garamond" w:cs="Times New Roman"/>
          <w:sz w:val="24"/>
          <w:szCs w:val="24"/>
        </w:rPr>
        <w:t xml:space="preserve"> </w:t>
      </w:r>
      <w:r>
        <w:rPr>
          <w:rFonts w:ascii="Garamond" w:eastAsia="Times New Roman" w:hAnsi="Garamond" w:cs="Times New Roman"/>
          <w:sz w:val="24"/>
          <w:szCs w:val="24"/>
        </w:rPr>
        <w:t>In the adoption of power-sharing agreements, e</w:t>
      </w:r>
      <w:r w:rsidR="00816D03">
        <w:rPr>
          <w:rFonts w:ascii="Garamond" w:eastAsia="Times New Roman" w:hAnsi="Garamond" w:cs="Times New Roman"/>
          <w:sz w:val="24"/>
          <w:szCs w:val="24"/>
        </w:rPr>
        <w:t xml:space="preserve">thno-nationalism has </w:t>
      </w:r>
      <w:r>
        <w:rPr>
          <w:rFonts w:ascii="Garamond" w:eastAsia="Times New Roman" w:hAnsi="Garamond" w:cs="Times New Roman"/>
          <w:sz w:val="24"/>
          <w:szCs w:val="24"/>
        </w:rPr>
        <w:t xml:space="preserve">thus </w:t>
      </w:r>
      <w:r w:rsidR="00816D03">
        <w:rPr>
          <w:rFonts w:ascii="Garamond" w:eastAsia="Times New Roman" w:hAnsi="Garamond" w:cs="Times New Roman"/>
          <w:sz w:val="24"/>
          <w:szCs w:val="24"/>
        </w:rPr>
        <w:t>been cemented as the primary political identity in all of these post-conflict contexts.</w:t>
      </w:r>
    </w:p>
    <w:p w14:paraId="2C353194" w14:textId="77777777" w:rsidR="006B4852" w:rsidRDefault="00B21DBB" w:rsidP="00CC63F8">
      <w:pPr>
        <w:pStyle w:val="Normal1"/>
        <w:jc w:val="both"/>
        <w:rPr>
          <w:rFonts w:ascii="Garamond" w:eastAsia="Times New Roman" w:hAnsi="Garamond" w:cs="Times New Roman"/>
          <w:sz w:val="24"/>
          <w:szCs w:val="24"/>
        </w:rPr>
      </w:pPr>
      <w:r>
        <w:rPr>
          <w:rFonts w:ascii="Garamond" w:eastAsia="Times New Roman" w:hAnsi="Garamond" w:cs="Times New Roman"/>
          <w:sz w:val="24"/>
          <w:szCs w:val="24"/>
        </w:rPr>
        <w:t xml:space="preserve"> </w:t>
      </w:r>
    </w:p>
    <w:p w14:paraId="0FBBCBEB" w14:textId="6681C50B" w:rsidR="004C282D" w:rsidRPr="00AB2E7C" w:rsidRDefault="00B8656B" w:rsidP="00CC63F8">
      <w:pPr>
        <w:spacing w:line="276" w:lineRule="auto"/>
        <w:jc w:val="both"/>
        <w:rPr>
          <w:rFonts w:ascii="Garamond" w:eastAsia="Times New Roman" w:hAnsi="Garamond" w:cs="Times New Roman"/>
          <w:sz w:val="24"/>
          <w:szCs w:val="24"/>
        </w:rPr>
      </w:pPr>
      <w:r w:rsidRPr="00AB2E7C">
        <w:rPr>
          <w:rFonts w:ascii="Garamond" w:hAnsi="Garamond"/>
          <w:sz w:val="24"/>
          <w:szCs w:val="24"/>
        </w:rPr>
        <w:t xml:space="preserve">In spite of this proliferation of consociationalism as a part of post-conflict political arrangements, </w:t>
      </w:r>
      <w:r w:rsidR="00D456CB">
        <w:rPr>
          <w:rFonts w:ascii="Garamond" w:hAnsi="Garamond"/>
          <w:sz w:val="24"/>
          <w:szCs w:val="24"/>
        </w:rPr>
        <w:t>it</w:t>
      </w:r>
      <w:r w:rsidR="003C1A23" w:rsidRPr="00AB2E7C">
        <w:rPr>
          <w:rFonts w:ascii="Garamond" w:hAnsi="Garamond"/>
          <w:sz w:val="24"/>
          <w:szCs w:val="24"/>
        </w:rPr>
        <w:t xml:space="preserve"> is not without </w:t>
      </w:r>
      <w:r w:rsidR="00D765D5">
        <w:rPr>
          <w:rFonts w:ascii="Garamond" w:hAnsi="Garamond"/>
          <w:sz w:val="24"/>
          <w:szCs w:val="24"/>
        </w:rPr>
        <w:t>its critics</w:t>
      </w:r>
      <w:r w:rsidR="003C1A23" w:rsidRPr="00AB2E7C">
        <w:rPr>
          <w:rFonts w:ascii="Garamond" w:hAnsi="Garamond"/>
          <w:sz w:val="24"/>
          <w:szCs w:val="24"/>
        </w:rPr>
        <w:t xml:space="preserve">. For </w:t>
      </w:r>
      <w:r w:rsidR="00D765D5">
        <w:rPr>
          <w:rFonts w:ascii="Garamond" w:hAnsi="Garamond"/>
          <w:sz w:val="24"/>
          <w:szCs w:val="24"/>
        </w:rPr>
        <w:t>those who argue against it</w:t>
      </w:r>
      <w:r w:rsidR="00AB2E7C" w:rsidRPr="00AB2E7C">
        <w:rPr>
          <w:rFonts w:ascii="Garamond" w:hAnsi="Garamond"/>
          <w:sz w:val="24"/>
          <w:szCs w:val="24"/>
        </w:rPr>
        <w:t>, consociationalism provides</w:t>
      </w:r>
      <w:r w:rsidR="004C282D" w:rsidRPr="00AB2E7C">
        <w:rPr>
          <w:rFonts w:ascii="Garamond" w:eastAsia="Times New Roman" w:hAnsi="Garamond" w:cs="Times New Roman"/>
          <w:sz w:val="24"/>
          <w:szCs w:val="24"/>
        </w:rPr>
        <w:t xml:space="preserve"> an essentialist understanding of human identity, in that it creates </w:t>
      </w:r>
      <w:r w:rsidR="00E30ADE">
        <w:rPr>
          <w:rFonts w:ascii="Garamond" w:eastAsia="Times New Roman" w:hAnsi="Garamond" w:cs="Times New Roman"/>
          <w:sz w:val="24"/>
          <w:szCs w:val="24"/>
        </w:rPr>
        <w:t>institutions</w:t>
      </w:r>
      <w:r w:rsidR="004C282D" w:rsidRPr="00AB2E7C">
        <w:rPr>
          <w:rFonts w:ascii="Garamond" w:eastAsia="Times New Roman" w:hAnsi="Garamond" w:cs="Times New Roman"/>
          <w:sz w:val="24"/>
          <w:szCs w:val="24"/>
        </w:rPr>
        <w:t xml:space="preserve"> where people are defined by their ethnic identity alone (</w:t>
      </w:r>
      <w:r w:rsidR="004C282D" w:rsidRPr="001F378E">
        <w:rPr>
          <w:rFonts w:ascii="Garamond" w:eastAsia="Times New Roman" w:hAnsi="Garamond" w:cs="Times New Roman"/>
          <w:sz w:val="24"/>
          <w:szCs w:val="24"/>
        </w:rPr>
        <w:t>Oberschall and Pal</w:t>
      </w:r>
      <w:r w:rsidR="001F378E" w:rsidRPr="001F378E">
        <w:rPr>
          <w:rFonts w:ascii="Garamond" w:eastAsia="Times New Roman" w:hAnsi="Garamond" w:cs="Times New Roman"/>
          <w:sz w:val="24"/>
          <w:szCs w:val="24"/>
        </w:rPr>
        <w:t>mer</w:t>
      </w:r>
      <w:r w:rsidR="004C282D" w:rsidRPr="001F378E">
        <w:rPr>
          <w:rFonts w:ascii="Garamond" w:eastAsia="Times New Roman" w:hAnsi="Garamond" w:cs="Times New Roman"/>
          <w:sz w:val="24"/>
          <w:szCs w:val="24"/>
        </w:rPr>
        <w:t>, 2005).</w:t>
      </w:r>
      <w:r w:rsidR="004C282D" w:rsidRPr="00AB2E7C">
        <w:rPr>
          <w:rFonts w:ascii="Garamond" w:eastAsia="Times New Roman" w:hAnsi="Garamond" w:cs="Times New Roman"/>
          <w:sz w:val="24"/>
          <w:szCs w:val="24"/>
        </w:rPr>
        <w:t xml:space="preserve"> Critiques of consociationalism argue that it solidifies identity around ethnic categories: reducing “cultural practices and political attitudes to taken-for-granted ethno-national ‘communities’”</w:t>
      </w:r>
      <w:r w:rsidR="00061C30">
        <w:rPr>
          <w:rStyle w:val="EndnoteReference"/>
          <w:rFonts w:ascii="Garamond" w:eastAsia="Times New Roman" w:hAnsi="Garamond" w:cs="Times New Roman"/>
          <w:sz w:val="24"/>
          <w:szCs w:val="24"/>
        </w:rPr>
        <w:endnoteReference w:id="16"/>
      </w:r>
      <w:r w:rsidR="004C282D" w:rsidRPr="00AB2E7C">
        <w:rPr>
          <w:rFonts w:ascii="Garamond" w:eastAsia="Times New Roman" w:hAnsi="Garamond" w:cs="Times New Roman"/>
          <w:sz w:val="24"/>
          <w:szCs w:val="24"/>
        </w:rPr>
        <w:t xml:space="preserve">. In doing so, it thus fails to allow for real </w:t>
      </w:r>
      <w:r w:rsidR="00D70FB1">
        <w:rPr>
          <w:rFonts w:ascii="Garamond" w:eastAsia="Times New Roman" w:hAnsi="Garamond" w:cs="Times New Roman"/>
          <w:sz w:val="24"/>
          <w:szCs w:val="24"/>
        </w:rPr>
        <w:t xml:space="preserve">conflict </w:t>
      </w:r>
      <w:r w:rsidR="004C282D" w:rsidRPr="00AB2E7C">
        <w:rPr>
          <w:rFonts w:ascii="Garamond" w:eastAsia="Times New Roman" w:hAnsi="Garamond" w:cs="Times New Roman"/>
          <w:sz w:val="24"/>
          <w:szCs w:val="24"/>
        </w:rPr>
        <w:t>transformation. Because identities have been fixed within the political system, a form of “mental partition”</w:t>
      </w:r>
      <w:r w:rsidR="00061C30">
        <w:rPr>
          <w:rStyle w:val="EndnoteReference"/>
          <w:rFonts w:ascii="Garamond" w:eastAsia="Times New Roman" w:hAnsi="Garamond" w:cs="Times New Roman"/>
          <w:sz w:val="24"/>
          <w:szCs w:val="24"/>
        </w:rPr>
        <w:endnoteReference w:id="17"/>
      </w:r>
      <w:r w:rsidR="004C282D" w:rsidRPr="00AB2E7C">
        <w:rPr>
          <w:rFonts w:ascii="Garamond" w:eastAsia="Times New Roman" w:hAnsi="Garamond" w:cs="Times New Roman"/>
          <w:sz w:val="24"/>
          <w:szCs w:val="24"/>
        </w:rPr>
        <w:t xml:space="preserve"> occurs in which there is no way for them to be transcended and for common ground to be established. As such, it merely provides a temporary halt to violence rather than permanently overcoming the identity issues at the </w:t>
      </w:r>
      <w:r w:rsidR="005F45F5">
        <w:rPr>
          <w:rFonts w:ascii="Garamond" w:eastAsia="Times New Roman" w:hAnsi="Garamond" w:cs="Times New Roman"/>
          <w:sz w:val="24"/>
          <w:szCs w:val="24"/>
        </w:rPr>
        <w:t xml:space="preserve">root of </w:t>
      </w:r>
      <w:r w:rsidR="004C282D" w:rsidRPr="00AB2E7C">
        <w:rPr>
          <w:rFonts w:ascii="Garamond" w:eastAsia="Times New Roman" w:hAnsi="Garamond" w:cs="Times New Roman"/>
          <w:sz w:val="24"/>
          <w:szCs w:val="24"/>
        </w:rPr>
        <w:t xml:space="preserve">conflict. </w:t>
      </w:r>
    </w:p>
    <w:p w14:paraId="6F4FE300" w14:textId="6F8E41FC" w:rsidR="001F378E" w:rsidRDefault="00B21DBB" w:rsidP="00CC63F8">
      <w:pPr>
        <w:pStyle w:val="Normal1"/>
        <w:jc w:val="both"/>
        <w:rPr>
          <w:rFonts w:ascii="Garamond" w:eastAsia="Times New Roman" w:hAnsi="Garamond" w:cs="Times New Roman"/>
          <w:sz w:val="24"/>
          <w:szCs w:val="24"/>
        </w:rPr>
      </w:pPr>
      <w:r w:rsidRPr="00B21DBB">
        <w:rPr>
          <w:rFonts w:ascii="Garamond" w:eastAsia="Times New Roman" w:hAnsi="Garamond" w:cs="Times New Roman"/>
          <w:sz w:val="24"/>
          <w:szCs w:val="24"/>
        </w:rPr>
        <w:t>Furthermore, t</w:t>
      </w:r>
      <w:r w:rsidR="004C282D" w:rsidRPr="00B21DBB">
        <w:rPr>
          <w:rFonts w:ascii="Garamond" w:eastAsia="Times New Roman" w:hAnsi="Garamond" w:cs="Times New Roman"/>
          <w:sz w:val="24"/>
          <w:szCs w:val="24"/>
        </w:rPr>
        <w:t xml:space="preserve">he anti-consociationalists’ lasting critique is that </w:t>
      </w:r>
      <w:r w:rsidR="00AB2E7C" w:rsidRPr="00B21DBB">
        <w:rPr>
          <w:rFonts w:ascii="Garamond" w:eastAsia="Times New Roman" w:hAnsi="Garamond" w:cs="Times New Roman"/>
          <w:sz w:val="24"/>
          <w:szCs w:val="24"/>
        </w:rPr>
        <w:t>consociational pol</w:t>
      </w:r>
      <w:r>
        <w:rPr>
          <w:rFonts w:ascii="Garamond" w:eastAsia="Times New Roman" w:hAnsi="Garamond" w:cs="Times New Roman"/>
          <w:sz w:val="24"/>
          <w:szCs w:val="24"/>
        </w:rPr>
        <w:t>i</w:t>
      </w:r>
      <w:r w:rsidR="00AB2E7C" w:rsidRPr="00B21DBB">
        <w:rPr>
          <w:rFonts w:ascii="Garamond" w:eastAsia="Times New Roman" w:hAnsi="Garamond" w:cs="Times New Roman"/>
          <w:sz w:val="24"/>
          <w:szCs w:val="24"/>
        </w:rPr>
        <w:t>tical settlements do not have a strong track record of successfully bringing about a lasting, stable peace</w:t>
      </w:r>
      <w:r w:rsidR="004C282D" w:rsidRPr="00B21DBB">
        <w:rPr>
          <w:rFonts w:ascii="Garamond" w:eastAsia="Times New Roman" w:hAnsi="Garamond" w:cs="Times New Roman"/>
          <w:sz w:val="24"/>
          <w:szCs w:val="24"/>
        </w:rPr>
        <w:t xml:space="preserve">. </w:t>
      </w:r>
      <w:r>
        <w:rPr>
          <w:rFonts w:ascii="Garamond" w:eastAsia="Times New Roman" w:hAnsi="Garamond" w:cs="Times New Roman"/>
          <w:sz w:val="24"/>
          <w:szCs w:val="24"/>
        </w:rPr>
        <w:t>In Northern Ireland,</w:t>
      </w:r>
      <w:r w:rsidR="0041700B">
        <w:rPr>
          <w:rFonts w:ascii="Garamond" w:eastAsia="Times New Roman" w:hAnsi="Garamond" w:cs="Times New Roman"/>
          <w:sz w:val="24"/>
          <w:szCs w:val="24"/>
        </w:rPr>
        <w:t xml:space="preserve"> </w:t>
      </w:r>
      <w:r w:rsidR="00E30ADE">
        <w:rPr>
          <w:rFonts w:ascii="Garamond" w:eastAsia="Times New Roman" w:hAnsi="Garamond" w:cs="Times New Roman"/>
          <w:sz w:val="24"/>
          <w:szCs w:val="24"/>
        </w:rPr>
        <w:t xml:space="preserve">the Agreement has acted more as a tool </w:t>
      </w:r>
      <w:r w:rsidR="00AF514F">
        <w:rPr>
          <w:rFonts w:ascii="Garamond" w:eastAsia="Times New Roman" w:hAnsi="Garamond" w:cs="Times New Roman"/>
          <w:sz w:val="24"/>
          <w:szCs w:val="24"/>
        </w:rPr>
        <w:t>of</w:t>
      </w:r>
      <w:r w:rsidR="00E30ADE">
        <w:rPr>
          <w:rFonts w:ascii="Garamond" w:eastAsia="Times New Roman" w:hAnsi="Garamond" w:cs="Times New Roman"/>
          <w:sz w:val="24"/>
          <w:szCs w:val="24"/>
        </w:rPr>
        <w:t xml:space="preserve"> conflict management than </w:t>
      </w:r>
      <w:r w:rsidR="00AF514F">
        <w:rPr>
          <w:rFonts w:ascii="Garamond" w:eastAsia="Times New Roman" w:hAnsi="Garamond" w:cs="Times New Roman"/>
          <w:sz w:val="24"/>
          <w:szCs w:val="24"/>
        </w:rPr>
        <w:t>of</w:t>
      </w:r>
      <w:r w:rsidR="00E30ADE">
        <w:rPr>
          <w:rFonts w:ascii="Garamond" w:eastAsia="Times New Roman" w:hAnsi="Garamond" w:cs="Times New Roman"/>
          <w:sz w:val="24"/>
          <w:szCs w:val="24"/>
        </w:rPr>
        <w:t xml:space="preserve"> conflict transformation</w:t>
      </w:r>
      <w:r w:rsidR="004C282D" w:rsidRPr="00B21DBB">
        <w:rPr>
          <w:rFonts w:ascii="Garamond" w:eastAsia="Times New Roman" w:hAnsi="Garamond" w:cs="Times New Roman"/>
          <w:sz w:val="24"/>
          <w:szCs w:val="24"/>
        </w:rPr>
        <w:t>. As Taylor describes, whilst it has signal</w:t>
      </w:r>
      <w:r w:rsidR="001F378E">
        <w:rPr>
          <w:rFonts w:ascii="Garamond" w:eastAsia="Times New Roman" w:hAnsi="Garamond" w:cs="Times New Roman"/>
          <w:sz w:val="24"/>
          <w:szCs w:val="24"/>
        </w:rPr>
        <w:t>l</w:t>
      </w:r>
      <w:r w:rsidR="004C282D" w:rsidRPr="00B21DBB">
        <w:rPr>
          <w:rFonts w:ascii="Garamond" w:eastAsia="Times New Roman" w:hAnsi="Garamond" w:cs="Times New Roman"/>
          <w:sz w:val="24"/>
          <w:szCs w:val="24"/>
        </w:rPr>
        <w:t>ed a period of much reduced paramilitary violence and political accommodation, “the Agreement has not marked the birth of a ‘post</w:t>
      </w:r>
      <w:r w:rsidR="00061C30">
        <w:rPr>
          <w:rFonts w:ascii="Garamond" w:eastAsia="Times New Roman" w:hAnsi="Garamond" w:cs="Times New Roman"/>
          <w:sz w:val="24"/>
          <w:szCs w:val="24"/>
        </w:rPr>
        <w:t>-conflict’, non-sectarian era”</w:t>
      </w:r>
      <w:r w:rsidR="00061C30">
        <w:rPr>
          <w:rStyle w:val="EndnoteReference"/>
          <w:rFonts w:ascii="Garamond" w:eastAsia="Times New Roman" w:hAnsi="Garamond" w:cs="Times New Roman"/>
          <w:sz w:val="24"/>
          <w:szCs w:val="24"/>
        </w:rPr>
        <w:endnoteReference w:id="18"/>
      </w:r>
      <w:r w:rsidR="004C282D" w:rsidRPr="00B21DBB">
        <w:rPr>
          <w:rFonts w:ascii="Garamond" w:eastAsia="Times New Roman" w:hAnsi="Garamond" w:cs="Times New Roman"/>
          <w:sz w:val="24"/>
          <w:szCs w:val="24"/>
        </w:rPr>
        <w:t xml:space="preserve">. </w:t>
      </w:r>
      <w:r w:rsidR="00B1616F">
        <w:rPr>
          <w:rFonts w:ascii="Garamond" w:eastAsia="Times New Roman" w:hAnsi="Garamond" w:cs="Times New Roman"/>
          <w:sz w:val="24"/>
          <w:szCs w:val="24"/>
        </w:rPr>
        <w:t xml:space="preserve">Whilst </w:t>
      </w:r>
      <w:r w:rsidR="0033320B">
        <w:rPr>
          <w:rFonts w:ascii="Garamond" w:eastAsia="Times New Roman" w:hAnsi="Garamond" w:cs="Times New Roman"/>
          <w:sz w:val="24"/>
          <w:szCs w:val="24"/>
        </w:rPr>
        <w:t>paramilitary violence has decreased, paramilitarism endures and has in some spheres morphed into organized crime. In addition, paramilitary intimidation continues, in particular towards young people.</w:t>
      </w:r>
      <w:r w:rsidR="0033320B">
        <w:rPr>
          <w:rStyle w:val="EndnoteReference"/>
          <w:rFonts w:ascii="Garamond" w:eastAsia="Times New Roman" w:hAnsi="Garamond" w:cs="Times New Roman"/>
          <w:sz w:val="24"/>
          <w:szCs w:val="24"/>
        </w:rPr>
        <w:endnoteReference w:id="19"/>
      </w:r>
      <w:r w:rsidR="0033320B">
        <w:rPr>
          <w:rFonts w:ascii="Garamond" w:eastAsia="Times New Roman" w:hAnsi="Garamond" w:cs="Times New Roman"/>
          <w:sz w:val="24"/>
          <w:szCs w:val="24"/>
        </w:rPr>
        <w:t xml:space="preserve"> </w:t>
      </w:r>
      <w:r w:rsidRPr="00F71339">
        <w:rPr>
          <w:rFonts w:ascii="Garamond" w:eastAsia="Times New Roman" w:hAnsi="Garamond" w:cs="Times New Roman"/>
          <w:sz w:val="24"/>
          <w:szCs w:val="24"/>
        </w:rPr>
        <w:t>In Bosnia-Herzegovina, the convoluted system of government brought about by the consociational design has led to legislative grid lock</w:t>
      </w:r>
      <w:r w:rsidR="00F71339">
        <w:rPr>
          <w:rFonts w:ascii="Garamond" w:eastAsia="Times New Roman" w:hAnsi="Garamond" w:cs="Times New Roman"/>
          <w:sz w:val="24"/>
          <w:szCs w:val="24"/>
        </w:rPr>
        <w:t xml:space="preserve">, with the 2014 protest movement hinged around citizens’ perceived problems of government failure: “widespread poverty, </w:t>
      </w:r>
      <w:r w:rsidR="00F71339" w:rsidRPr="00F80249">
        <w:rPr>
          <w:rFonts w:ascii="Garamond" w:eastAsia="Times New Roman" w:hAnsi="Garamond" w:cs="Times New Roman"/>
          <w:sz w:val="24"/>
          <w:szCs w:val="24"/>
        </w:rPr>
        <w:t>unemployment … political co</w:t>
      </w:r>
      <w:r w:rsidR="00061C30">
        <w:rPr>
          <w:rFonts w:ascii="Garamond" w:eastAsia="Times New Roman" w:hAnsi="Garamond" w:cs="Times New Roman"/>
          <w:sz w:val="24"/>
          <w:szCs w:val="24"/>
        </w:rPr>
        <w:t>rruption and unaccountability”</w:t>
      </w:r>
      <w:r w:rsidR="00061C30">
        <w:rPr>
          <w:rStyle w:val="EndnoteReference"/>
          <w:rFonts w:ascii="Garamond" w:eastAsia="Times New Roman" w:hAnsi="Garamond" w:cs="Times New Roman"/>
          <w:sz w:val="24"/>
          <w:szCs w:val="24"/>
        </w:rPr>
        <w:endnoteReference w:id="20"/>
      </w:r>
      <w:r w:rsidRPr="00F80249">
        <w:rPr>
          <w:rFonts w:ascii="Garamond" w:eastAsia="Times New Roman" w:hAnsi="Garamond" w:cs="Times New Roman"/>
          <w:sz w:val="24"/>
          <w:szCs w:val="24"/>
        </w:rPr>
        <w:t xml:space="preserve">. In Macedonia, </w:t>
      </w:r>
      <w:r w:rsidR="00F80249" w:rsidRPr="00F80249">
        <w:rPr>
          <w:rFonts w:ascii="Garamond" w:eastAsia="Times New Roman" w:hAnsi="Garamond" w:cs="Times New Roman"/>
          <w:sz w:val="24"/>
          <w:szCs w:val="24"/>
        </w:rPr>
        <w:t>local-level</w:t>
      </w:r>
      <w:r w:rsidR="00F71339" w:rsidRPr="00F80249">
        <w:rPr>
          <w:rFonts w:ascii="Garamond" w:eastAsia="Times New Roman" w:hAnsi="Garamond" w:cs="Times New Roman"/>
          <w:sz w:val="24"/>
          <w:szCs w:val="24"/>
        </w:rPr>
        <w:t xml:space="preserve"> political bodies remain open to “hijacking”</w:t>
      </w:r>
      <w:r w:rsidRPr="00F80249">
        <w:rPr>
          <w:rFonts w:ascii="Garamond" w:eastAsia="Times New Roman" w:hAnsi="Garamond" w:cs="Times New Roman"/>
          <w:sz w:val="24"/>
          <w:szCs w:val="24"/>
        </w:rPr>
        <w:t xml:space="preserve"> </w:t>
      </w:r>
      <w:r w:rsidR="00F80249" w:rsidRPr="00F80249">
        <w:rPr>
          <w:rFonts w:ascii="Garamond" w:eastAsia="Times New Roman" w:hAnsi="Garamond" w:cs="Times New Roman"/>
          <w:sz w:val="24"/>
          <w:szCs w:val="24"/>
        </w:rPr>
        <w:t>and “</w:t>
      </w:r>
      <w:r w:rsidR="00F80249" w:rsidRPr="00F80249">
        <w:rPr>
          <w:rFonts w:ascii="Garamond" w:hAnsi="Garamond"/>
          <w:sz w:val="24"/>
          <w:szCs w:val="24"/>
        </w:rPr>
        <w:t>the rules of participation remain controlled by local political elites”, with smaller ethnic g</w:t>
      </w:r>
      <w:r w:rsidR="00F80249">
        <w:rPr>
          <w:rFonts w:ascii="Garamond" w:hAnsi="Garamond"/>
          <w:sz w:val="24"/>
          <w:szCs w:val="24"/>
        </w:rPr>
        <w:t>roupings st</w:t>
      </w:r>
      <w:r w:rsidR="00142BEE">
        <w:rPr>
          <w:rFonts w:ascii="Garamond" w:hAnsi="Garamond"/>
          <w:sz w:val="24"/>
          <w:szCs w:val="24"/>
        </w:rPr>
        <w:t>ruggling to be heard</w:t>
      </w:r>
      <w:r w:rsidR="007811AE">
        <w:rPr>
          <w:rFonts w:ascii="Garamond" w:hAnsi="Garamond"/>
          <w:sz w:val="24"/>
          <w:szCs w:val="24"/>
        </w:rPr>
        <w:t>,</w:t>
      </w:r>
      <w:r w:rsidR="00142BEE">
        <w:rPr>
          <w:rStyle w:val="EndnoteReference"/>
          <w:rFonts w:ascii="Garamond" w:hAnsi="Garamond"/>
          <w:sz w:val="24"/>
          <w:szCs w:val="24"/>
        </w:rPr>
        <w:endnoteReference w:id="21"/>
      </w:r>
      <w:r w:rsidR="007811AE">
        <w:rPr>
          <w:rFonts w:ascii="Garamond" w:hAnsi="Garamond"/>
          <w:sz w:val="24"/>
          <w:szCs w:val="24"/>
        </w:rPr>
        <w:t xml:space="preserve"> which was witnessed dramatically in the violent events in the Macedonian Parliament in April 2017</w:t>
      </w:r>
      <w:r w:rsidR="00F80249">
        <w:rPr>
          <w:rFonts w:ascii="Garamond" w:hAnsi="Garamond"/>
          <w:sz w:val="24"/>
          <w:szCs w:val="24"/>
        </w:rPr>
        <w:t>.</w:t>
      </w:r>
      <w:r w:rsidR="00F80249" w:rsidRPr="00F80249">
        <w:rPr>
          <w:rFonts w:ascii="Garamond" w:hAnsi="Garamond"/>
          <w:sz w:val="24"/>
          <w:szCs w:val="24"/>
        </w:rPr>
        <w:t xml:space="preserve"> </w:t>
      </w:r>
      <w:r w:rsidR="000460B9">
        <w:rPr>
          <w:rFonts w:ascii="Garamond" w:hAnsi="Garamond"/>
          <w:sz w:val="24"/>
          <w:szCs w:val="24"/>
        </w:rPr>
        <w:t>Burundi’</w:t>
      </w:r>
      <w:r w:rsidR="00C866B3">
        <w:rPr>
          <w:rFonts w:ascii="Garamond" w:hAnsi="Garamond"/>
          <w:sz w:val="24"/>
          <w:szCs w:val="24"/>
        </w:rPr>
        <w:t xml:space="preserve">s post-conflict state structures have </w:t>
      </w:r>
      <w:r w:rsidR="00142BEE">
        <w:rPr>
          <w:rFonts w:ascii="Garamond" w:hAnsi="Garamond"/>
          <w:sz w:val="24"/>
          <w:szCs w:val="24"/>
        </w:rPr>
        <w:t xml:space="preserve">all but fallen apart. In 2015, </w:t>
      </w:r>
      <w:r w:rsidR="000460B9">
        <w:rPr>
          <w:rFonts w:ascii="Garamond" w:hAnsi="Garamond"/>
          <w:sz w:val="24"/>
          <w:szCs w:val="24"/>
        </w:rPr>
        <w:t xml:space="preserve">President </w:t>
      </w:r>
      <w:r w:rsidR="00142BEE">
        <w:rPr>
          <w:rFonts w:ascii="Garamond" w:hAnsi="Garamond"/>
          <w:sz w:val="24"/>
          <w:szCs w:val="24"/>
        </w:rPr>
        <w:t>Pierre Nkurunziza’s declaration</w:t>
      </w:r>
      <w:r w:rsidR="00C866B3">
        <w:rPr>
          <w:rFonts w:ascii="Garamond" w:hAnsi="Garamond"/>
          <w:sz w:val="24"/>
          <w:szCs w:val="24"/>
        </w:rPr>
        <w:t xml:space="preserve"> </w:t>
      </w:r>
      <w:r w:rsidR="000460B9">
        <w:rPr>
          <w:rFonts w:ascii="Garamond" w:hAnsi="Garamond"/>
          <w:sz w:val="24"/>
          <w:szCs w:val="24"/>
        </w:rPr>
        <w:t xml:space="preserve">that he would seek a third term in office </w:t>
      </w:r>
      <w:r w:rsidR="00142BEE">
        <w:rPr>
          <w:rFonts w:ascii="Garamond" w:hAnsi="Garamond"/>
          <w:sz w:val="24"/>
          <w:szCs w:val="24"/>
        </w:rPr>
        <w:t xml:space="preserve">was </w:t>
      </w:r>
      <w:r w:rsidR="000460B9">
        <w:rPr>
          <w:rFonts w:ascii="Garamond" w:hAnsi="Garamond"/>
          <w:sz w:val="24"/>
          <w:szCs w:val="24"/>
        </w:rPr>
        <w:t>met with violence, hundreds dead and state repression of media and human rights activists.</w:t>
      </w:r>
      <w:r w:rsidR="00F10A66" w:rsidRPr="00F80249">
        <w:rPr>
          <w:rStyle w:val="EndnoteReference"/>
          <w:rFonts w:ascii="Garamond" w:eastAsia="Times New Roman" w:hAnsi="Garamond" w:cs="Times New Roman"/>
          <w:sz w:val="24"/>
          <w:szCs w:val="24"/>
        </w:rPr>
        <w:endnoteReference w:id="22"/>
      </w:r>
      <w:r w:rsidR="00F80249">
        <w:rPr>
          <w:rFonts w:ascii="Garamond" w:hAnsi="Garamond"/>
          <w:sz w:val="24"/>
          <w:szCs w:val="24"/>
        </w:rPr>
        <w:t xml:space="preserve"> </w:t>
      </w:r>
      <w:r w:rsidR="004C282D" w:rsidRPr="00F80249">
        <w:rPr>
          <w:rFonts w:ascii="Garamond" w:eastAsia="Times New Roman" w:hAnsi="Garamond" w:cs="Times New Roman"/>
          <w:sz w:val="24"/>
          <w:szCs w:val="24"/>
        </w:rPr>
        <w:t>It is</w:t>
      </w:r>
      <w:r w:rsidR="004C282D" w:rsidRPr="00B21DBB">
        <w:rPr>
          <w:rFonts w:ascii="Garamond" w:eastAsia="Times New Roman" w:hAnsi="Garamond" w:cs="Times New Roman"/>
          <w:sz w:val="24"/>
          <w:szCs w:val="24"/>
        </w:rPr>
        <w:t xml:space="preserve"> on these facts, anti-consociationalists</w:t>
      </w:r>
      <w:r>
        <w:rPr>
          <w:rFonts w:ascii="Garamond" w:eastAsia="Times New Roman" w:hAnsi="Garamond" w:cs="Times New Roman"/>
          <w:sz w:val="24"/>
          <w:szCs w:val="24"/>
        </w:rPr>
        <w:t xml:space="preserve"> argue, that </w:t>
      </w:r>
      <w:r w:rsidR="00546FBA">
        <w:rPr>
          <w:rFonts w:ascii="Garamond" w:eastAsia="Times New Roman" w:hAnsi="Garamond" w:cs="Times New Roman"/>
          <w:sz w:val="24"/>
          <w:szCs w:val="24"/>
        </w:rPr>
        <w:t>consociational power-sharing should be judged.</w:t>
      </w:r>
    </w:p>
    <w:p w14:paraId="177A55F5" w14:textId="77777777" w:rsidR="001F378E" w:rsidRDefault="001F378E" w:rsidP="00CC63F8">
      <w:pPr>
        <w:pStyle w:val="Normal1"/>
        <w:jc w:val="both"/>
        <w:rPr>
          <w:rFonts w:ascii="Garamond" w:eastAsia="Times New Roman" w:hAnsi="Garamond" w:cs="Times New Roman"/>
          <w:sz w:val="24"/>
          <w:szCs w:val="24"/>
        </w:rPr>
      </w:pPr>
    </w:p>
    <w:p w14:paraId="77446FB9" w14:textId="50B53DE5" w:rsidR="00DB7923" w:rsidRDefault="004C282D" w:rsidP="00CC63F8">
      <w:pPr>
        <w:pStyle w:val="Normal1"/>
        <w:jc w:val="both"/>
        <w:rPr>
          <w:rFonts w:ascii="Garamond" w:eastAsia="Times New Roman" w:hAnsi="Garamond" w:cs="Times New Roman"/>
          <w:sz w:val="24"/>
          <w:szCs w:val="24"/>
        </w:rPr>
      </w:pPr>
      <w:r w:rsidRPr="00B8656B">
        <w:rPr>
          <w:rFonts w:ascii="Garamond" w:eastAsia="Times New Roman" w:hAnsi="Garamond" w:cs="Times New Roman"/>
          <w:sz w:val="24"/>
          <w:szCs w:val="24"/>
        </w:rPr>
        <w:t xml:space="preserve">More recently, </w:t>
      </w:r>
      <w:r w:rsidR="00C4518C">
        <w:rPr>
          <w:rFonts w:ascii="Garamond" w:eastAsia="Times New Roman" w:hAnsi="Garamond" w:cs="Times New Roman"/>
          <w:sz w:val="24"/>
          <w:szCs w:val="24"/>
        </w:rPr>
        <w:t>in addition to the above arguments against power</w:t>
      </w:r>
      <w:r w:rsidR="00CD41E5">
        <w:rPr>
          <w:rFonts w:ascii="Garamond" w:eastAsia="Times New Roman" w:hAnsi="Garamond" w:cs="Times New Roman"/>
          <w:sz w:val="24"/>
          <w:szCs w:val="24"/>
        </w:rPr>
        <w:t>-</w:t>
      </w:r>
      <w:r w:rsidR="00C4518C">
        <w:rPr>
          <w:rFonts w:ascii="Garamond" w:eastAsia="Times New Roman" w:hAnsi="Garamond" w:cs="Times New Roman"/>
          <w:sz w:val="24"/>
          <w:szCs w:val="24"/>
        </w:rPr>
        <w:t xml:space="preserve">sharing, </w:t>
      </w:r>
      <w:r w:rsidRPr="00B8656B">
        <w:rPr>
          <w:rFonts w:ascii="Garamond" w:eastAsia="Times New Roman" w:hAnsi="Garamond" w:cs="Times New Roman"/>
          <w:sz w:val="24"/>
          <w:szCs w:val="24"/>
        </w:rPr>
        <w:t xml:space="preserve">there has been a developing feminist and gendered </w:t>
      </w:r>
      <w:r>
        <w:rPr>
          <w:rFonts w:ascii="Garamond" w:eastAsia="Times New Roman" w:hAnsi="Garamond" w:cs="Times New Roman"/>
          <w:sz w:val="24"/>
          <w:szCs w:val="24"/>
        </w:rPr>
        <w:t>critique of</w:t>
      </w:r>
      <w:r w:rsidRPr="00B8656B">
        <w:rPr>
          <w:rFonts w:ascii="Garamond" w:eastAsia="Times New Roman" w:hAnsi="Garamond" w:cs="Times New Roman"/>
          <w:sz w:val="24"/>
          <w:szCs w:val="24"/>
        </w:rPr>
        <w:t xml:space="preserve"> consociational theory. </w:t>
      </w:r>
      <w:r w:rsidR="0041700B">
        <w:rPr>
          <w:rFonts w:ascii="Garamond" w:eastAsia="Times New Roman" w:hAnsi="Garamond" w:cs="Times New Roman"/>
          <w:sz w:val="24"/>
          <w:szCs w:val="24"/>
        </w:rPr>
        <w:t xml:space="preserve">This critique acknowledges that women retain ethnic/ethno-national identifiers, but that they </w:t>
      </w:r>
      <w:r w:rsidR="00A567FA">
        <w:rPr>
          <w:rFonts w:ascii="Garamond" w:eastAsia="Times New Roman" w:hAnsi="Garamond" w:cs="Times New Roman"/>
          <w:sz w:val="24"/>
          <w:szCs w:val="24"/>
        </w:rPr>
        <w:t xml:space="preserve">also </w:t>
      </w:r>
      <w:r w:rsidR="0041700B">
        <w:rPr>
          <w:rFonts w:ascii="Garamond" w:eastAsia="Times New Roman" w:hAnsi="Garamond" w:cs="Times New Roman"/>
          <w:sz w:val="24"/>
          <w:szCs w:val="24"/>
        </w:rPr>
        <w:t xml:space="preserve">have a political identity </w:t>
      </w:r>
      <w:r w:rsidR="0041700B" w:rsidRPr="00D8250F">
        <w:rPr>
          <w:rFonts w:ascii="Garamond" w:eastAsia="Times New Roman" w:hAnsi="Garamond" w:cs="Times New Roman"/>
          <w:i/>
          <w:sz w:val="24"/>
          <w:szCs w:val="24"/>
        </w:rPr>
        <w:t xml:space="preserve">as </w:t>
      </w:r>
      <w:r w:rsidR="0041700B" w:rsidRPr="00D8250F">
        <w:rPr>
          <w:rFonts w:ascii="Garamond" w:eastAsia="Times New Roman" w:hAnsi="Garamond" w:cs="Times New Roman"/>
          <w:i/>
          <w:sz w:val="24"/>
          <w:szCs w:val="24"/>
        </w:rPr>
        <w:lastRenderedPageBreak/>
        <w:t>women,</w:t>
      </w:r>
      <w:r w:rsidR="0041700B">
        <w:rPr>
          <w:rFonts w:ascii="Garamond" w:eastAsia="Times New Roman" w:hAnsi="Garamond" w:cs="Times New Roman"/>
          <w:sz w:val="24"/>
          <w:szCs w:val="24"/>
        </w:rPr>
        <w:t xml:space="preserve"> and require acknowledged rights </w:t>
      </w:r>
      <w:r w:rsidR="0041700B" w:rsidRPr="00D8250F">
        <w:rPr>
          <w:rFonts w:ascii="Garamond" w:eastAsia="Times New Roman" w:hAnsi="Garamond" w:cs="Times New Roman"/>
          <w:i/>
          <w:sz w:val="24"/>
          <w:szCs w:val="24"/>
        </w:rPr>
        <w:t>as women</w:t>
      </w:r>
      <w:r w:rsidR="0041700B">
        <w:rPr>
          <w:rFonts w:ascii="Garamond" w:eastAsia="Times New Roman" w:hAnsi="Garamond" w:cs="Times New Roman"/>
          <w:sz w:val="24"/>
          <w:szCs w:val="24"/>
        </w:rPr>
        <w:t xml:space="preserve">. </w:t>
      </w:r>
      <w:r w:rsidR="00546FBA">
        <w:rPr>
          <w:rFonts w:ascii="Garamond" w:eastAsia="Times New Roman" w:hAnsi="Garamond" w:cs="Times New Roman"/>
          <w:sz w:val="24"/>
          <w:szCs w:val="24"/>
        </w:rPr>
        <w:t xml:space="preserve">Byrne and McCulloch argue that </w:t>
      </w:r>
      <w:r w:rsidR="00F80249">
        <w:rPr>
          <w:rFonts w:ascii="Garamond" w:eastAsia="Times New Roman" w:hAnsi="Garamond" w:cs="Times New Roman"/>
          <w:sz w:val="24"/>
          <w:szCs w:val="24"/>
        </w:rPr>
        <w:t>power-sharing pacts award ethno-national elites, the bulk of which te</w:t>
      </w:r>
      <w:r w:rsidR="00C4518C">
        <w:rPr>
          <w:rFonts w:ascii="Garamond" w:eastAsia="Times New Roman" w:hAnsi="Garamond" w:cs="Times New Roman"/>
          <w:sz w:val="24"/>
          <w:szCs w:val="24"/>
        </w:rPr>
        <w:t>nd to be overwhelmi</w:t>
      </w:r>
      <w:r w:rsidR="00F80249">
        <w:rPr>
          <w:rFonts w:ascii="Garamond" w:eastAsia="Times New Roman" w:hAnsi="Garamond" w:cs="Times New Roman"/>
          <w:sz w:val="24"/>
          <w:szCs w:val="24"/>
        </w:rPr>
        <w:t>ngly male. In doing so, “such pacts miss opportunities to build a more inclusive mode</w:t>
      </w:r>
      <w:r w:rsidR="00142BEE">
        <w:rPr>
          <w:rFonts w:ascii="Garamond" w:eastAsia="Times New Roman" w:hAnsi="Garamond" w:cs="Times New Roman"/>
          <w:sz w:val="24"/>
          <w:szCs w:val="24"/>
        </w:rPr>
        <w:t>l of post-conflict governance”</w:t>
      </w:r>
      <w:r w:rsidR="00F80249">
        <w:rPr>
          <w:rFonts w:ascii="Garamond" w:eastAsia="Times New Roman" w:hAnsi="Garamond" w:cs="Times New Roman"/>
          <w:sz w:val="24"/>
          <w:szCs w:val="24"/>
        </w:rPr>
        <w:t>.</w:t>
      </w:r>
      <w:r w:rsidR="00142BEE">
        <w:rPr>
          <w:rStyle w:val="EndnoteReference"/>
          <w:rFonts w:ascii="Garamond" w:eastAsia="Times New Roman" w:hAnsi="Garamond" w:cs="Times New Roman"/>
          <w:sz w:val="24"/>
          <w:szCs w:val="24"/>
        </w:rPr>
        <w:endnoteReference w:id="23"/>
      </w:r>
      <w:r w:rsidR="00F80249">
        <w:rPr>
          <w:rFonts w:ascii="Garamond" w:eastAsia="Times New Roman" w:hAnsi="Garamond" w:cs="Times New Roman"/>
          <w:sz w:val="24"/>
          <w:szCs w:val="24"/>
        </w:rPr>
        <w:t xml:space="preserve"> Furthermore, when women try to organize as a political grouping to counteract this, their mobilization is often viewed as dangerous to both the resulting institutions and ethno-</w:t>
      </w:r>
      <w:r w:rsidR="00142BEE">
        <w:rPr>
          <w:rFonts w:ascii="Garamond" w:eastAsia="Times New Roman" w:hAnsi="Garamond" w:cs="Times New Roman"/>
          <w:sz w:val="24"/>
          <w:szCs w:val="24"/>
        </w:rPr>
        <w:t>national identities</w:t>
      </w:r>
      <w:r w:rsidR="00F80249">
        <w:rPr>
          <w:rFonts w:ascii="Garamond" w:eastAsia="Times New Roman" w:hAnsi="Garamond" w:cs="Times New Roman"/>
          <w:sz w:val="24"/>
          <w:szCs w:val="24"/>
        </w:rPr>
        <w:t>.</w:t>
      </w:r>
      <w:r w:rsidR="00142BEE">
        <w:rPr>
          <w:rStyle w:val="EndnoteReference"/>
          <w:rFonts w:ascii="Garamond" w:eastAsia="Times New Roman" w:hAnsi="Garamond" w:cs="Times New Roman"/>
          <w:sz w:val="24"/>
          <w:szCs w:val="24"/>
        </w:rPr>
        <w:endnoteReference w:id="24"/>
      </w:r>
      <w:r w:rsidR="00DB7923">
        <w:rPr>
          <w:rFonts w:ascii="Garamond" w:eastAsia="Times New Roman" w:hAnsi="Garamond" w:cs="Times New Roman"/>
          <w:sz w:val="24"/>
          <w:szCs w:val="24"/>
        </w:rPr>
        <w:t xml:space="preserve"> Indeed, Korac</w:t>
      </w:r>
      <w:r w:rsidR="00E5581B">
        <w:rPr>
          <w:rStyle w:val="EndnoteReference"/>
          <w:rFonts w:ascii="Garamond" w:eastAsia="Times New Roman" w:hAnsi="Garamond" w:cs="Times New Roman"/>
          <w:sz w:val="24"/>
          <w:szCs w:val="24"/>
        </w:rPr>
        <w:endnoteReference w:id="25"/>
      </w:r>
      <w:r w:rsidR="007811AE">
        <w:rPr>
          <w:rFonts w:ascii="Garamond" w:eastAsia="Times New Roman" w:hAnsi="Garamond" w:cs="Times New Roman"/>
          <w:sz w:val="24"/>
          <w:szCs w:val="24"/>
        </w:rPr>
        <w:t xml:space="preserve"> and Deiana</w:t>
      </w:r>
      <w:r w:rsidR="00E5581B">
        <w:rPr>
          <w:rStyle w:val="EndnoteReference"/>
          <w:rFonts w:ascii="Garamond" w:eastAsia="Times New Roman" w:hAnsi="Garamond" w:cs="Times New Roman"/>
          <w:sz w:val="24"/>
          <w:szCs w:val="24"/>
        </w:rPr>
        <w:endnoteReference w:id="26"/>
      </w:r>
      <w:r w:rsidR="007811AE">
        <w:rPr>
          <w:rFonts w:ascii="Garamond" w:eastAsia="Times New Roman" w:hAnsi="Garamond" w:cs="Times New Roman"/>
          <w:sz w:val="24"/>
          <w:szCs w:val="24"/>
        </w:rPr>
        <w:t xml:space="preserve"> highlight</w:t>
      </w:r>
      <w:r w:rsidR="00DB7923">
        <w:rPr>
          <w:rFonts w:ascii="Garamond" w:eastAsia="Times New Roman" w:hAnsi="Garamond" w:cs="Times New Roman"/>
          <w:sz w:val="24"/>
          <w:szCs w:val="24"/>
        </w:rPr>
        <w:t xml:space="preserve"> the ways in which women’s organizing in Bosnia-Herzegovina </w:t>
      </w:r>
      <w:r w:rsidR="00D456CB">
        <w:rPr>
          <w:rFonts w:ascii="Garamond" w:eastAsia="Times New Roman" w:hAnsi="Garamond" w:cs="Times New Roman"/>
          <w:sz w:val="24"/>
          <w:szCs w:val="24"/>
        </w:rPr>
        <w:t>has been</w:t>
      </w:r>
      <w:r w:rsidR="00DB7923">
        <w:rPr>
          <w:rFonts w:ascii="Garamond" w:eastAsia="Times New Roman" w:hAnsi="Garamond" w:cs="Times New Roman"/>
          <w:sz w:val="24"/>
          <w:szCs w:val="24"/>
        </w:rPr>
        <w:t xml:space="preserve"> presented by political elites as treacherous.</w:t>
      </w:r>
      <w:r w:rsidR="00F80249">
        <w:rPr>
          <w:rFonts w:ascii="Garamond" w:eastAsia="Times New Roman" w:hAnsi="Garamond" w:cs="Times New Roman"/>
          <w:sz w:val="24"/>
          <w:szCs w:val="24"/>
        </w:rPr>
        <w:t xml:space="preserve"> </w:t>
      </w:r>
      <w:r w:rsidR="00DB7923">
        <w:rPr>
          <w:rFonts w:ascii="Garamond" w:eastAsia="Times New Roman" w:hAnsi="Garamond" w:cs="Times New Roman"/>
          <w:sz w:val="24"/>
          <w:szCs w:val="24"/>
        </w:rPr>
        <w:t xml:space="preserve">Elsewhere </w:t>
      </w:r>
      <w:r w:rsidR="00E5581B">
        <w:rPr>
          <w:rFonts w:ascii="Garamond" w:eastAsia="Times New Roman" w:hAnsi="Garamond" w:cs="Times New Roman"/>
          <w:sz w:val="24"/>
          <w:szCs w:val="24"/>
        </w:rPr>
        <w:t xml:space="preserve">Kennedy et al </w:t>
      </w:r>
      <w:r w:rsidR="00F80249">
        <w:rPr>
          <w:rFonts w:ascii="Garamond" w:eastAsia="Times New Roman" w:hAnsi="Garamond" w:cs="Times New Roman"/>
          <w:sz w:val="24"/>
          <w:szCs w:val="24"/>
        </w:rPr>
        <w:t xml:space="preserve">illustrate </w:t>
      </w:r>
      <w:r w:rsidR="00E75174">
        <w:rPr>
          <w:rFonts w:ascii="Garamond" w:eastAsia="Times New Roman" w:hAnsi="Garamond" w:cs="Times New Roman"/>
          <w:sz w:val="24"/>
          <w:szCs w:val="24"/>
        </w:rPr>
        <w:t>the “conceptual misalignment”</w:t>
      </w:r>
      <w:r w:rsidR="00E5581B">
        <w:rPr>
          <w:rStyle w:val="EndnoteReference"/>
          <w:rFonts w:ascii="Garamond" w:eastAsia="Times New Roman" w:hAnsi="Garamond" w:cs="Times New Roman"/>
          <w:sz w:val="24"/>
          <w:szCs w:val="24"/>
        </w:rPr>
        <w:endnoteReference w:id="27"/>
      </w:r>
      <w:r w:rsidR="00E75174">
        <w:rPr>
          <w:rFonts w:ascii="Garamond" w:eastAsia="Times New Roman" w:hAnsi="Garamond" w:cs="Times New Roman"/>
          <w:sz w:val="24"/>
          <w:szCs w:val="24"/>
        </w:rPr>
        <w:t xml:space="preserve"> between </w:t>
      </w:r>
      <w:r w:rsidR="00C4518C">
        <w:rPr>
          <w:rFonts w:ascii="Garamond" w:eastAsia="Times New Roman" w:hAnsi="Garamond" w:cs="Times New Roman"/>
          <w:sz w:val="24"/>
          <w:szCs w:val="24"/>
        </w:rPr>
        <w:t xml:space="preserve">long held feminist </w:t>
      </w:r>
      <w:r w:rsidR="004B2F83">
        <w:rPr>
          <w:rFonts w:ascii="Garamond" w:eastAsia="Times New Roman" w:hAnsi="Garamond" w:cs="Times New Roman"/>
          <w:sz w:val="24"/>
          <w:szCs w:val="24"/>
        </w:rPr>
        <w:t xml:space="preserve">and </w:t>
      </w:r>
      <w:r w:rsidR="00E75174">
        <w:rPr>
          <w:rFonts w:ascii="Garamond" w:eastAsia="Times New Roman" w:hAnsi="Garamond" w:cs="Times New Roman"/>
          <w:sz w:val="24"/>
          <w:szCs w:val="24"/>
        </w:rPr>
        <w:t>gendered understandings of conflict and consociational ones</w:t>
      </w:r>
      <w:r w:rsidR="00C4518C">
        <w:rPr>
          <w:rFonts w:ascii="Garamond" w:eastAsia="Times New Roman" w:hAnsi="Garamond" w:cs="Times New Roman"/>
          <w:sz w:val="24"/>
          <w:szCs w:val="24"/>
        </w:rPr>
        <w:t xml:space="preserve">. </w:t>
      </w:r>
      <w:r w:rsidR="00E75174">
        <w:rPr>
          <w:rFonts w:ascii="Garamond" w:eastAsia="Times New Roman" w:hAnsi="Garamond" w:cs="Times New Roman"/>
          <w:sz w:val="24"/>
          <w:szCs w:val="24"/>
        </w:rPr>
        <w:t xml:space="preserve">Whilst </w:t>
      </w:r>
      <w:r w:rsidR="00B3727B">
        <w:rPr>
          <w:rFonts w:ascii="Garamond" w:eastAsia="Times New Roman" w:hAnsi="Garamond" w:cs="Times New Roman"/>
          <w:sz w:val="24"/>
          <w:szCs w:val="24"/>
        </w:rPr>
        <w:t>consociationalism</w:t>
      </w:r>
      <w:r w:rsidR="00C4518C">
        <w:rPr>
          <w:rFonts w:ascii="Garamond" w:eastAsia="Times New Roman" w:hAnsi="Garamond" w:cs="Times New Roman"/>
          <w:sz w:val="24"/>
          <w:szCs w:val="24"/>
        </w:rPr>
        <w:t xml:space="preserve"> views ethnic/</w:t>
      </w:r>
      <w:r w:rsidR="00E75174">
        <w:rPr>
          <w:rFonts w:ascii="Garamond" w:eastAsia="Times New Roman" w:hAnsi="Garamond" w:cs="Times New Roman"/>
          <w:sz w:val="24"/>
          <w:szCs w:val="24"/>
        </w:rPr>
        <w:t xml:space="preserve">ethno-national difference as the fundamental problem in divided societies, feminist and gendered work places greater emphasis on the </w:t>
      </w:r>
      <w:r w:rsidR="00D765D5">
        <w:rPr>
          <w:rFonts w:ascii="Garamond" w:eastAsia="Times New Roman" w:hAnsi="Garamond" w:cs="Times New Roman"/>
          <w:sz w:val="24"/>
          <w:szCs w:val="24"/>
        </w:rPr>
        <w:t>role</w:t>
      </w:r>
      <w:r w:rsidR="00E75174">
        <w:rPr>
          <w:rFonts w:ascii="Garamond" w:eastAsia="Times New Roman" w:hAnsi="Garamond" w:cs="Times New Roman"/>
          <w:sz w:val="24"/>
          <w:szCs w:val="24"/>
        </w:rPr>
        <w:t xml:space="preserve"> that gender plays in all conflict (including ethno-national </w:t>
      </w:r>
      <w:r w:rsidR="00D765D5">
        <w:rPr>
          <w:rFonts w:ascii="Garamond" w:eastAsia="Times New Roman" w:hAnsi="Garamond" w:cs="Times New Roman"/>
          <w:sz w:val="24"/>
          <w:szCs w:val="24"/>
        </w:rPr>
        <w:t>conflict</w:t>
      </w:r>
      <w:r w:rsidR="00E75174">
        <w:rPr>
          <w:rFonts w:ascii="Garamond" w:eastAsia="Times New Roman" w:hAnsi="Garamond" w:cs="Times New Roman"/>
          <w:sz w:val="24"/>
          <w:szCs w:val="24"/>
        </w:rPr>
        <w:t xml:space="preserve">) and the disproportionate effect that conflicts can have on women and gender roles. Such feminist work emphasizes the difficulties that consociational democracies face in attempting to accommodate ‘other’ forms of difference </w:t>
      </w:r>
      <w:r w:rsidR="00C4518C">
        <w:rPr>
          <w:rFonts w:ascii="Garamond" w:eastAsia="Times New Roman" w:hAnsi="Garamond" w:cs="Times New Roman"/>
          <w:sz w:val="24"/>
          <w:szCs w:val="24"/>
        </w:rPr>
        <w:t>out with</w:t>
      </w:r>
      <w:r w:rsidR="00E75174">
        <w:rPr>
          <w:rFonts w:ascii="Garamond" w:eastAsia="Times New Roman" w:hAnsi="Garamond" w:cs="Times New Roman"/>
          <w:sz w:val="24"/>
          <w:szCs w:val="24"/>
        </w:rPr>
        <w:t xml:space="preserve"> the ethno-national paradigm – most especially minority communities (the non-white community in Northern Ireland or Vlachs in Macedonia</w:t>
      </w:r>
      <w:r w:rsidR="00142BEE">
        <w:rPr>
          <w:rStyle w:val="EndnoteReference"/>
          <w:rFonts w:ascii="Garamond" w:eastAsia="Times New Roman" w:hAnsi="Garamond" w:cs="Times New Roman"/>
          <w:sz w:val="24"/>
          <w:szCs w:val="24"/>
        </w:rPr>
        <w:endnoteReference w:id="28"/>
      </w:r>
      <w:r w:rsidR="00E75174">
        <w:rPr>
          <w:rFonts w:ascii="Garamond" w:eastAsia="Times New Roman" w:hAnsi="Garamond" w:cs="Times New Roman"/>
          <w:sz w:val="24"/>
          <w:szCs w:val="24"/>
        </w:rPr>
        <w:t xml:space="preserve"> </w:t>
      </w:r>
      <w:r w:rsidR="00C4518C">
        <w:rPr>
          <w:rFonts w:ascii="Garamond" w:eastAsia="Times New Roman" w:hAnsi="Garamond" w:cs="Times New Roman"/>
          <w:sz w:val="24"/>
          <w:szCs w:val="24"/>
        </w:rPr>
        <w:t>or communities which</w:t>
      </w:r>
      <w:r w:rsidR="00E75174">
        <w:rPr>
          <w:rFonts w:ascii="Garamond" w:eastAsia="Times New Roman" w:hAnsi="Garamond" w:cs="Times New Roman"/>
          <w:sz w:val="24"/>
          <w:szCs w:val="24"/>
        </w:rPr>
        <w:t xml:space="preserve"> cut across the ethno-national divide</w:t>
      </w:r>
      <w:r w:rsidR="00CD41E5">
        <w:rPr>
          <w:rFonts w:ascii="Garamond" w:eastAsia="Times New Roman" w:hAnsi="Garamond" w:cs="Times New Roman"/>
          <w:sz w:val="24"/>
          <w:szCs w:val="24"/>
        </w:rPr>
        <w:t>, including women and the LGBTQ communities</w:t>
      </w:r>
      <w:r w:rsidR="00E75174">
        <w:rPr>
          <w:rFonts w:ascii="Garamond" w:eastAsia="Times New Roman" w:hAnsi="Garamond" w:cs="Times New Roman"/>
          <w:sz w:val="24"/>
          <w:szCs w:val="24"/>
        </w:rPr>
        <w:t xml:space="preserve">. </w:t>
      </w:r>
      <w:r w:rsidR="00DB7923" w:rsidRPr="008365AB">
        <w:rPr>
          <w:rFonts w:ascii="Garamond" w:eastAsia="Times New Roman" w:hAnsi="Garamond" w:cs="Times New Roman"/>
          <w:sz w:val="24"/>
          <w:szCs w:val="24"/>
        </w:rPr>
        <w:t>Indeed, across a variety of contexts, the level of women’</w:t>
      </w:r>
      <w:r w:rsidR="00D456CB" w:rsidRPr="008365AB">
        <w:rPr>
          <w:rFonts w:ascii="Garamond" w:eastAsia="Times New Roman" w:hAnsi="Garamond" w:cs="Times New Roman"/>
          <w:sz w:val="24"/>
          <w:szCs w:val="24"/>
        </w:rPr>
        <w:t>s representation in consoci</w:t>
      </w:r>
      <w:r w:rsidR="008365AB">
        <w:rPr>
          <w:rFonts w:ascii="Garamond" w:eastAsia="Times New Roman" w:hAnsi="Garamond" w:cs="Times New Roman"/>
          <w:sz w:val="24"/>
          <w:szCs w:val="24"/>
        </w:rPr>
        <w:t>ational democracies is much less than that of men</w:t>
      </w:r>
      <w:r w:rsidR="004B2F83">
        <w:rPr>
          <w:rFonts w:ascii="Garamond" w:eastAsia="Times New Roman" w:hAnsi="Garamond" w:cs="Times New Roman"/>
          <w:sz w:val="24"/>
          <w:szCs w:val="24"/>
        </w:rPr>
        <w:t>.</w:t>
      </w:r>
      <w:r w:rsidR="004B2F83">
        <w:rPr>
          <w:rStyle w:val="EndnoteReference"/>
          <w:rFonts w:ascii="Garamond" w:eastAsia="Times New Roman" w:hAnsi="Garamond" w:cs="Times New Roman"/>
          <w:sz w:val="24"/>
          <w:szCs w:val="24"/>
        </w:rPr>
        <w:endnoteReference w:id="29"/>
      </w:r>
      <w:r w:rsidR="007811AE">
        <w:rPr>
          <w:rFonts w:ascii="Garamond" w:eastAsia="Times New Roman" w:hAnsi="Garamond" w:cs="Times New Roman"/>
          <w:sz w:val="24"/>
          <w:szCs w:val="24"/>
        </w:rPr>
        <w:t xml:space="preserve"> As Christine </w:t>
      </w:r>
      <w:r w:rsidR="00576D78">
        <w:rPr>
          <w:rFonts w:ascii="Garamond" w:eastAsia="Times New Roman" w:hAnsi="Garamond" w:cs="Times New Roman"/>
          <w:sz w:val="24"/>
          <w:szCs w:val="24"/>
        </w:rPr>
        <w:t xml:space="preserve">Bell </w:t>
      </w:r>
      <w:r w:rsidR="007811AE">
        <w:rPr>
          <w:rFonts w:ascii="Garamond" w:eastAsia="Times New Roman" w:hAnsi="Garamond" w:cs="Times New Roman"/>
          <w:sz w:val="24"/>
          <w:szCs w:val="24"/>
        </w:rPr>
        <w:t>illustrates,</w:t>
      </w:r>
      <w:r w:rsidR="00576D78">
        <w:rPr>
          <w:rFonts w:ascii="Garamond" w:eastAsia="Times New Roman" w:hAnsi="Garamond" w:cs="Times New Roman"/>
          <w:sz w:val="24"/>
          <w:szCs w:val="24"/>
        </w:rPr>
        <w:t xml:space="preserve"> </w:t>
      </w:r>
      <w:r w:rsidR="008365AB">
        <w:rPr>
          <w:rFonts w:ascii="Garamond" w:eastAsia="Times New Roman" w:hAnsi="Garamond" w:cs="Times New Roman"/>
          <w:sz w:val="24"/>
          <w:szCs w:val="24"/>
        </w:rPr>
        <w:t xml:space="preserve">in peace settlements </w:t>
      </w:r>
      <w:r w:rsidR="00576D78">
        <w:rPr>
          <w:rFonts w:ascii="Garamond" w:eastAsia="Times New Roman" w:hAnsi="Garamond" w:cs="Times New Roman"/>
          <w:sz w:val="24"/>
          <w:szCs w:val="24"/>
        </w:rPr>
        <w:t>wher</w:t>
      </w:r>
      <w:r w:rsidR="007811AE">
        <w:rPr>
          <w:rFonts w:ascii="Garamond" w:eastAsia="Times New Roman" w:hAnsi="Garamond" w:cs="Times New Roman"/>
          <w:sz w:val="24"/>
          <w:szCs w:val="24"/>
        </w:rPr>
        <w:t>e there are no specific call</w:t>
      </w:r>
      <w:r w:rsidR="00576D78">
        <w:rPr>
          <w:rFonts w:ascii="Garamond" w:eastAsia="Times New Roman" w:hAnsi="Garamond" w:cs="Times New Roman"/>
          <w:sz w:val="24"/>
          <w:szCs w:val="24"/>
        </w:rPr>
        <w:t xml:space="preserve">s to include women in power-sharing </w:t>
      </w:r>
      <w:r w:rsidR="008365AB">
        <w:rPr>
          <w:rFonts w:ascii="Garamond" w:eastAsia="Times New Roman" w:hAnsi="Garamond" w:cs="Times New Roman"/>
          <w:sz w:val="24"/>
          <w:szCs w:val="24"/>
        </w:rPr>
        <w:t>institutions (normally via use of legislative quotas)</w:t>
      </w:r>
      <w:r w:rsidR="00576D78">
        <w:rPr>
          <w:rFonts w:ascii="Garamond" w:eastAsia="Times New Roman" w:hAnsi="Garamond" w:cs="Times New Roman"/>
          <w:sz w:val="24"/>
          <w:szCs w:val="24"/>
        </w:rPr>
        <w:t xml:space="preserve"> women’s </w:t>
      </w:r>
      <w:r w:rsidR="007811AE">
        <w:rPr>
          <w:rFonts w:ascii="Garamond" w:eastAsia="Times New Roman" w:hAnsi="Garamond" w:cs="Times New Roman"/>
          <w:sz w:val="24"/>
          <w:szCs w:val="24"/>
        </w:rPr>
        <w:t xml:space="preserve">elected </w:t>
      </w:r>
      <w:r w:rsidR="00576D78">
        <w:rPr>
          <w:rFonts w:ascii="Garamond" w:eastAsia="Times New Roman" w:hAnsi="Garamond" w:cs="Times New Roman"/>
          <w:sz w:val="24"/>
          <w:szCs w:val="24"/>
        </w:rPr>
        <w:t xml:space="preserve">representation is </w:t>
      </w:r>
      <w:r w:rsidR="00142BEE">
        <w:rPr>
          <w:rFonts w:ascii="Garamond" w:eastAsia="Times New Roman" w:hAnsi="Garamond" w:cs="Times New Roman"/>
          <w:sz w:val="24"/>
          <w:szCs w:val="24"/>
        </w:rPr>
        <w:t>“unusually low”</w:t>
      </w:r>
      <w:r w:rsidR="00142BEE">
        <w:rPr>
          <w:rStyle w:val="EndnoteReference"/>
          <w:rFonts w:ascii="Garamond" w:eastAsia="Times New Roman" w:hAnsi="Garamond" w:cs="Times New Roman"/>
          <w:sz w:val="24"/>
          <w:szCs w:val="24"/>
        </w:rPr>
        <w:endnoteReference w:id="30"/>
      </w:r>
      <w:r w:rsidR="008365AB">
        <w:rPr>
          <w:rFonts w:ascii="Garamond" w:eastAsia="Times New Roman" w:hAnsi="Garamond" w:cs="Times New Roman"/>
          <w:sz w:val="24"/>
          <w:szCs w:val="24"/>
        </w:rPr>
        <w:t>.</w:t>
      </w:r>
    </w:p>
    <w:p w14:paraId="7335A76F" w14:textId="77777777" w:rsidR="00E75174" w:rsidRDefault="00E75174" w:rsidP="00CC63F8">
      <w:pPr>
        <w:pStyle w:val="Normal1"/>
        <w:jc w:val="both"/>
        <w:rPr>
          <w:rFonts w:ascii="Garamond" w:eastAsia="Times New Roman" w:hAnsi="Garamond" w:cs="Times New Roman"/>
          <w:sz w:val="24"/>
          <w:szCs w:val="24"/>
        </w:rPr>
      </w:pPr>
    </w:p>
    <w:p w14:paraId="6C654B5A" w14:textId="40F27E52" w:rsidR="00E75174" w:rsidRDefault="00925119" w:rsidP="00CC63F8">
      <w:pPr>
        <w:pStyle w:val="Normal1"/>
        <w:jc w:val="both"/>
        <w:rPr>
          <w:rFonts w:ascii="Garamond" w:eastAsia="Times New Roman" w:hAnsi="Garamond" w:cs="Times New Roman"/>
          <w:sz w:val="24"/>
          <w:szCs w:val="24"/>
        </w:rPr>
      </w:pPr>
      <w:r>
        <w:rPr>
          <w:rFonts w:ascii="Garamond" w:eastAsia="Times New Roman" w:hAnsi="Garamond" w:cs="Times New Roman"/>
          <w:sz w:val="24"/>
          <w:szCs w:val="24"/>
        </w:rPr>
        <w:t>There is therefore a developing appreciation within the literature on power-sharing that</w:t>
      </w:r>
      <w:r w:rsidR="00C4518C">
        <w:rPr>
          <w:rFonts w:ascii="Garamond" w:eastAsia="Times New Roman" w:hAnsi="Garamond" w:cs="Times New Roman"/>
          <w:sz w:val="24"/>
          <w:szCs w:val="24"/>
        </w:rPr>
        <w:t xml:space="preserve"> c</w:t>
      </w:r>
      <w:r w:rsidR="00E5581B">
        <w:rPr>
          <w:rFonts w:ascii="Garamond" w:eastAsia="Times New Roman" w:hAnsi="Garamond" w:cs="Times New Roman"/>
          <w:sz w:val="24"/>
          <w:szCs w:val="24"/>
        </w:rPr>
        <w:t>onsociational democracies</w:t>
      </w:r>
      <w:r w:rsidR="00C4518C">
        <w:rPr>
          <w:rFonts w:ascii="Garamond" w:eastAsia="Times New Roman" w:hAnsi="Garamond" w:cs="Times New Roman"/>
          <w:sz w:val="24"/>
          <w:szCs w:val="24"/>
        </w:rPr>
        <w:t xml:space="preserve"> struggle</w:t>
      </w:r>
      <w:r w:rsidR="00826A57">
        <w:rPr>
          <w:rFonts w:ascii="Garamond" w:eastAsia="Times New Roman" w:hAnsi="Garamond" w:cs="Times New Roman"/>
          <w:sz w:val="24"/>
          <w:szCs w:val="24"/>
        </w:rPr>
        <w:t>s</w:t>
      </w:r>
      <w:r w:rsidR="00C4518C">
        <w:rPr>
          <w:rFonts w:ascii="Garamond" w:eastAsia="Times New Roman" w:hAnsi="Garamond" w:cs="Times New Roman"/>
          <w:sz w:val="24"/>
          <w:szCs w:val="24"/>
        </w:rPr>
        <w:t xml:space="preserve"> to include women and gender</w:t>
      </w:r>
      <w:r w:rsidR="00816D03">
        <w:rPr>
          <w:rFonts w:ascii="Garamond" w:eastAsia="Times New Roman" w:hAnsi="Garamond" w:cs="Times New Roman"/>
          <w:sz w:val="24"/>
          <w:szCs w:val="24"/>
        </w:rPr>
        <w:t>-balanced</w:t>
      </w:r>
      <w:r w:rsidR="00C4518C">
        <w:rPr>
          <w:rFonts w:ascii="Garamond" w:eastAsia="Times New Roman" w:hAnsi="Garamond" w:cs="Times New Roman"/>
          <w:sz w:val="24"/>
          <w:szCs w:val="24"/>
        </w:rPr>
        <w:t xml:space="preserve"> representation. </w:t>
      </w:r>
      <w:r w:rsidR="00E75174">
        <w:rPr>
          <w:rFonts w:ascii="Garamond" w:eastAsia="Times New Roman" w:hAnsi="Garamond" w:cs="Times New Roman"/>
          <w:sz w:val="24"/>
          <w:szCs w:val="24"/>
        </w:rPr>
        <w:t xml:space="preserve">How then, might </w:t>
      </w:r>
      <w:r w:rsidR="00826A57">
        <w:rPr>
          <w:rFonts w:ascii="Garamond" w:eastAsia="Times New Roman" w:hAnsi="Garamond" w:cs="Times New Roman"/>
          <w:sz w:val="24"/>
          <w:szCs w:val="24"/>
        </w:rPr>
        <w:t>these systems</w:t>
      </w:r>
      <w:r w:rsidR="00E75174">
        <w:rPr>
          <w:rFonts w:ascii="Garamond" w:eastAsia="Times New Roman" w:hAnsi="Garamond" w:cs="Times New Roman"/>
          <w:sz w:val="24"/>
          <w:szCs w:val="24"/>
        </w:rPr>
        <w:t xml:space="preserve"> be made more inclusive and more attentive to gendered difference? How might they address the issue of women’s descriptive and substantive representation?</w:t>
      </w:r>
      <w:r w:rsidR="006757E9">
        <w:rPr>
          <w:rFonts w:ascii="Garamond" w:eastAsia="Times New Roman" w:hAnsi="Garamond" w:cs="Times New Roman"/>
          <w:sz w:val="24"/>
          <w:szCs w:val="24"/>
        </w:rPr>
        <w:t xml:space="preserve"> As </w:t>
      </w:r>
      <w:r w:rsidR="00C4518C">
        <w:rPr>
          <w:rFonts w:ascii="Garamond" w:eastAsia="Times New Roman" w:hAnsi="Garamond" w:cs="Times New Roman"/>
          <w:sz w:val="24"/>
          <w:szCs w:val="24"/>
        </w:rPr>
        <w:t xml:space="preserve">is </w:t>
      </w:r>
      <w:r w:rsidR="006757E9">
        <w:rPr>
          <w:rFonts w:ascii="Garamond" w:eastAsia="Times New Roman" w:hAnsi="Garamond" w:cs="Times New Roman"/>
          <w:sz w:val="24"/>
          <w:szCs w:val="24"/>
        </w:rPr>
        <w:t xml:space="preserve">illustrated </w:t>
      </w:r>
      <w:r w:rsidR="00C4518C">
        <w:rPr>
          <w:rFonts w:ascii="Garamond" w:eastAsia="Times New Roman" w:hAnsi="Garamond" w:cs="Times New Roman"/>
          <w:sz w:val="24"/>
          <w:szCs w:val="24"/>
        </w:rPr>
        <w:t>in greater detail below</w:t>
      </w:r>
      <w:r w:rsidR="006757E9">
        <w:rPr>
          <w:rFonts w:ascii="Garamond" w:eastAsia="Times New Roman" w:hAnsi="Garamond" w:cs="Times New Roman"/>
          <w:sz w:val="24"/>
          <w:szCs w:val="24"/>
        </w:rPr>
        <w:t xml:space="preserve">, across continents, civil society has </w:t>
      </w:r>
      <w:r w:rsidR="00D765D5">
        <w:rPr>
          <w:rFonts w:ascii="Garamond" w:eastAsia="Times New Roman" w:hAnsi="Garamond" w:cs="Times New Roman"/>
          <w:sz w:val="24"/>
          <w:szCs w:val="24"/>
        </w:rPr>
        <w:t xml:space="preserve">seen a flourishing of women’s groups and activism in pre- and post-conflict situations, </w:t>
      </w:r>
      <w:r w:rsidR="005566A3">
        <w:rPr>
          <w:rFonts w:ascii="Garamond" w:eastAsia="Times New Roman" w:hAnsi="Garamond" w:cs="Times New Roman"/>
          <w:sz w:val="24"/>
          <w:szCs w:val="24"/>
        </w:rPr>
        <w:t>where</w:t>
      </w:r>
      <w:r w:rsidR="006757E9">
        <w:rPr>
          <w:rFonts w:ascii="Garamond" w:eastAsia="Times New Roman" w:hAnsi="Garamond" w:cs="Times New Roman"/>
          <w:sz w:val="24"/>
          <w:szCs w:val="24"/>
        </w:rPr>
        <w:t xml:space="preserve"> </w:t>
      </w:r>
      <w:r w:rsidR="005566A3">
        <w:rPr>
          <w:rFonts w:ascii="Garamond" w:eastAsia="Times New Roman" w:hAnsi="Garamond" w:cs="Times New Roman"/>
          <w:sz w:val="24"/>
          <w:szCs w:val="24"/>
        </w:rPr>
        <w:t>women</w:t>
      </w:r>
      <w:r w:rsidR="00DB7923">
        <w:rPr>
          <w:rFonts w:ascii="Garamond" w:eastAsia="Times New Roman" w:hAnsi="Garamond" w:cs="Times New Roman"/>
          <w:sz w:val="24"/>
          <w:szCs w:val="24"/>
        </w:rPr>
        <w:t xml:space="preserve"> </w:t>
      </w:r>
      <w:r w:rsidR="006757E9">
        <w:rPr>
          <w:rFonts w:ascii="Garamond" w:eastAsia="Times New Roman" w:hAnsi="Garamond" w:cs="Times New Roman"/>
          <w:sz w:val="24"/>
          <w:szCs w:val="24"/>
        </w:rPr>
        <w:t>organi</w:t>
      </w:r>
      <w:r w:rsidR="00142BEE">
        <w:rPr>
          <w:rFonts w:ascii="Garamond" w:eastAsia="Times New Roman" w:hAnsi="Garamond" w:cs="Times New Roman"/>
          <w:sz w:val="24"/>
          <w:szCs w:val="24"/>
        </w:rPr>
        <w:t>z</w:t>
      </w:r>
      <w:r w:rsidR="006757E9">
        <w:rPr>
          <w:rFonts w:ascii="Garamond" w:eastAsia="Times New Roman" w:hAnsi="Garamond" w:cs="Times New Roman"/>
          <w:sz w:val="24"/>
          <w:szCs w:val="24"/>
        </w:rPr>
        <w:t>e political</w:t>
      </w:r>
      <w:r w:rsidR="00D765D5">
        <w:rPr>
          <w:rFonts w:ascii="Garamond" w:eastAsia="Times New Roman" w:hAnsi="Garamond" w:cs="Times New Roman"/>
          <w:sz w:val="24"/>
          <w:szCs w:val="24"/>
        </w:rPr>
        <w:t>ly</w:t>
      </w:r>
      <w:r w:rsidR="006757E9">
        <w:rPr>
          <w:rFonts w:ascii="Garamond" w:eastAsia="Times New Roman" w:hAnsi="Garamond" w:cs="Times New Roman"/>
          <w:sz w:val="24"/>
          <w:szCs w:val="24"/>
        </w:rPr>
        <w:t xml:space="preserve"> as women. Encouraging civil society’s participation in consociational democracies might then provide a means to counteract male-dominance of post-conflict institutions</w:t>
      </w:r>
      <w:r w:rsidR="00E30ADE">
        <w:rPr>
          <w:rFonts w:ascii="Garamond" w:eastAsia="Times New Roman" w:hAnsi="Garamond" w:cs="Times New Roman"/>
          <w:sz w:val="24"/>
          <w:szCs w:val="24"/>
        </w:rPr>
        <w:t xml:space="preserve"> and the hegemony of ethnicity as </w:t>
      </w:r>
      <w:r w:rsidR="00D456CB">
        <w:rPr>
          <w:rFonts w:ascii="Garamond" w:eastAsia="Times New Roman" w:hAnsi="Garamond" w:cs="Times New Roman"/>
          <w:sz w:val="24"/>
          <w:szCs w:val="24"/>
        </w:rPr>
        <w:t>the</w:t>
      </w:r>
      <w:r w:rsidR="00E30ADE">
        <w:rPr>
          <w:rFonts w:ascii="Garamond" w:eastAsia="Times New Roman" w:hAnsi="Garamond" w:cs="Times New Roman"/>
          <w:sz w:val="24"/>
          <w:szCs w:val="24"/>
        </w:rPr>
        <w:t xml:space="preserve"> defining political identity</w:t>
      </w:r>
      <w:r w:rsidR="006757E9">
        <w:rPr>
          <w:rFonts w:ascii="Garamond" w:eastAsia="Times New Roman" w:hAnsi="Garamond" w:cs="Times New Roman"/>
          <w:sz w:val="24"/>
          <w:szCs w:val="24"/>
        </w:rPr>
        <w:t xml:space="preserve">. </w:t>
      </w:r>
    </w:p>
    <w:p w14:paraId="7B4CB03F" w14:textId="77777777" w:rsidR="00826A57" w:rsidRDefault="00826A57" w:rsidP="00CC63F8">
      <w:pPr>
        <w:pStyle w:val="Normal1"/>
        <w:jc w:val="both"/>
        <w:rPr>
          <w:rFonts w:ascii="Garamond" w:eastAsia="Times New Roman" w:hAnsi="Garamond" w:cs="Times New Roman"/>
          <w:sz w:val="24"/>
          <w:szCs w:val="24"/>
        </w:rPr>
      </w:pPr>
    </w:p>
    <w:p w14:paraId="68CD49E8" w14:textId="1A86A32D" w:rsidR="00C4518C" w:rsidRPr="006700D6" w:rsidRDefault="00C4518C" w:rsidP="00CC63F8">
      <w:pPr>
        <w:spacing w:line="276" w:lineRule="auto"/>
        <w:jc w:val="both"/>
        <w:rPr>
          <w:rFonts w:ascii="Garamond" w:hAnsi="Garamond"/>
          <w:sz w:val="24"/>
          <w:szCs w:val="24"/>
          <w:u w:val="single"/>
        </w:rPr>
      </w:pPr>
      <w:r w:rsidRPr="006700D6">
        <w:rPr>
          <w:rFonts w:ascii="Garamond" w:hAnsi="Garamond"/>
          <w:sz w:val="24"/>
          <w:szCs w:val="24"/>
          <w:u w:val="single"/>
        </w:rPr>
        <w:t>Gender</w:t>
      </w:r>
      <w:r w:rsidR="00A567FA">
        <w:rPr>
          <w:rFonts w:ascii="Garamond" w:hAnsi="Garamond"/>
          <w:sz w:val="24"/>
          <w:szCs w:val="24"/>
          <w:u w:val="single"/>
        </w:rPr>
        <w:t xml:space="preserve"> </w:t>
      </w:r>
      <w:r w:rsidRPr="006700D6">
        <w:rPr>
          <w:rFonts w:ascii="Garamond" w:hAnsi="Garamond"/>
          <w:sz w:val="24"/>
          <w:szCs w:val="24"/>
          <w:u w:val="single"/>
        </w:rPr>
        <w:t>and civil society</w:t>
      </w:r>
    </w:p>
    <w:p w14:paraId="269949EF" w14:textId="07F33391" w:rsidR="00C4518C" w:rsidRPr="006700D6" w:rsidRDefault="0072767E" w:rsidP="00CC63F8">
      <w:pPr>
        <w:spacing w:line="276" w:lineRule="auto"/>
        <w:jc w:val="both"/>
        <w:rPr>
          <w:rFonts w:ascii="Garamond" w:hAnsi="Garamond"/>
          <w:sz w:val="24"/>
          <w:szCs w:val="24"/>
        </w:rPr>
      </w:pPr>
      <w:r>
        <w:rPr>
          <w:rFonts w:ascii="Garamond" w:hAnsi="Garamond"/>
          <w:sz w:val="24"/>
          <w:szCs w:val="24"/>
        </w:rPr>
        <w:t>Civil society has been an important site for women’s activism and rights across many conflict and post-conflict contexts.</w:t>
      </w:r>
      <w:r w:rsidR="00C4518C">
        <w:rPr>
          <w:rFonts w:ascii="Garamond" w:hAnsi="Garamond"/>
          <w:sz w:val="24"/>
          <w:szCs w:val="24"/>
        </w:rPr>
        <w:t xml:space="preserve"> </w:t>
      </w:r>
      <w:r w:rsidR="00C4518C" w:rsidRPr="002371F4">
        <w:rPr>
          <w:rFonts w:ascii="Garamond" w:hAnsi="Garamond"/>
          <w:sz w:val="24"/>
          <w:szCs w:val="24"/>
        </w:rPr>
        <w:t xml:space="preserve"> Women are </w:t>
      </w:r>
      <w:r>
        <w:rPr>
          <w:rFonts w:ascii="Garamond" w:hAnsi="Garamond"/>
          <w:sz w:val="24"/>
          <w:szCs w:val="24"/>
        </w:rPr>
        <w:t xml:space="preserve">often </w:t>
      </w:r>
      <w:r w:rsidR="00C4518C" w:rsidRPr="002371F4">
        <w:rPr>
          <w:rFonts w:ascii="Garamond" w:hAnsi="Garamond"/>
          <w:sz w:val="24"/>
          <w:szCs w:val="24"/>
        </w:rPr>
        <w:t>pushed out of formal politics</w:t>
      </w:r>
      <w:r>
        <w:rPr>
          <w:rFonts w:ascii="Garamond" w:hAnsi="Garamond"/>
          <w:sz w:val="24"/>
          <w:szCs w:val="24"/>
        </w:rPr>
        <w:t xml:space="preserve"> in</w:t>
      </w:r>
      <w:r w:rsidR="00BF105E">
        <w:rPr>
          <w:rFonts w:ascii="Garamond" w:hAnsi="Garamond"/>
          <w:sz w:val="24"/>
          <w:szCs w:val="24"/>
        </w:rPr>
        <w:t xml:space="preserve"> conflict/post-conflict settings</w:t>
      </w:r>
      <w:r w:rsidR="00C4518C" w:rsidRPr="002371F4">
        <w:rPr>
          <w:rFonts w:ascii="Garamond" w:hAnsi="Garamond"/>
          <w:sz w:val="24"/>
          <w:szCs w:val="24"/>
        </w:rPr>
        <w:t>, so their work tends to be within civil society instead in largely grassroots organisations</w:t>
      </w:r>
      <w:r w:rsidR="004B2F83">
        <w:rPr>
          <w:rFonts w:ascii="Garamond" w:hAnsi="Garamond"/>
          <w:sz w:val="24"/>
          <w:szCs w:val="24"/>
        </w:rPr>
        <w:t>.</w:t>
      </w:r>
      <w:r w:rsidR="00142BEE">
        <w:rPr>
          <w:rStyle w:val="EndnoteReference"/>
          <w:rFonts w:ascii="Garamond" w:hAnsi="Garamond"/>
          <w:sz w:val="24"/>
          <w:szCs w:val="24"/>
        </w:rPr>
        <w:endnoteReference w:id="31"/>
      </w:r>
      <w:r w:rsidR="00C4518C" w:rsidRPr="002371F4">
        <w:rPr>
          <w:rFonts w:ascii="Garamond" w:hAnsi="Garamond"/>
          <w:sz w:val="24"/>
          <w:szCs w:val="24"/>
        </w:rPr>
        <w:t xml:space="preserve"> </w:t>
      </w:r>
      <w:r w:rsidR="00C4518C">
        <w:rPr>
          <w:rFonts w:ascii="Garamond" w:hAnsi="Garamond"/>
          <w:sz w:val="24"/>
          <w:szCs w:val="24"/>
        </w:rPr>
        <w:t>Despite t</w:t>
      </w:r>
      <w:r w:rsidR="00C4518C" w:rsidRPr="006700D6">
        <w:rPr>
          <w:rFonts w:ascii="Garamond" w:hAnsi="Garamond"/>
          <w:sz w:val="24"/>
          <w:szCs w:val="24"/>
        </w:rPr>
        <w:t>he obvious losses</w:t>
      </w:r>
      <w:r w:rsidR="00BF105E">
        <w:rPr>
          <w:rFonts w:ascii="Garamond" w:hAnsi="Garamond"/>
          <w:sz w:val="24"/>
          <w:szCs w:val="24"/>
        </w:rPr>
        <w:t>,</w:t>
      </w:r>
      <w:r w:rsidR="00C4518C" w:rsidRPr="006700D6">
        <w:rPr>
          <w:rFonts w:ascii="Garamond" w:hAnsi="Garamond"/>
          <w:sz w:val="24"/>
          <w:szCs w:val="24"/>
        </w:rPr>
        <w:t xml:space="preserve"> and </w:t>
      </w:r>
      <w:r w:rsidR="00BF105E">
        <w:rPr>
          <w:rFonts w:ascii="Garamond" w:hAnsi="Garamond"/>
          <w:sz w:val="24"/>
          <w:szCs w:val="24"/>
        </w:rPr>
        <w:t xml:space="preserve">the </w:t>
      </w:r>
      <w:r w:rsidR="00C4518C" w:rsidRPr="006700D6">
        <w:rPr>
          <w:rFonts w:ascii="Garamond" w:hAnsi="Garamond"/>
          <w:sz w:val="24"/>
          <w:szCs w:val="24"/>
        </w:rPr>
        <w:t>consequences of violence experienced during conflict,</w:t>
      </w:r>
      <w:r w:rsidR="00C4518C">
        <w:rPr>
          <w:rFonts w:ascii="Garamond" w:hAnsi="Garamond"/>
          <w:sz w:val="24"/>
          <w:szCs w:val="24"/>
        </w:rPr>
        <w:t xml:space="preserve"> feminist academic thought has detailed </w:t>
      </w:r>
      <w:r>
        <w:rPr>
          <w:rFonts w:ascii="Garamond" w:hAnsi="Garamond"/>
          <w:sz w:val="24"/>
          <w:szCs w:val="24"/>
        </w:rPr>
        <w:t xml:space="preserve">the ways in which </w:t>
      </w:r>
      <w:r w:rsidR="00C4518C" w:rsidRPr="006700D6">
        <w:rPr>
          <w:rFonts w:ascii="Garamond" w:hAnsi="Garamond"/>
          <w:sz w:val="24"/>
          <w:szCs w:val="24"/>
        </w:rPr>
        <w:t xml:space="preserve">space may be opened up for </w:t>
      </w:r>
      <w:r>
        <w:rPr>
          <w:rFonts w:ascii="Garamond" w:hAnsi="Garamond"/>
          <w:sz w:val="24"/>
          <w:szCs w:val="24"/>
        </w:rPr>
        <w:t xml:space="preserve">women’s </w:t>
      </w:r>
      <w:r w:rsidR="00C4518C" w:rsidRPr="006700D6">
        <w:rPr>
          <w:rFonts w:ascii="Garamond" w:hAnsi="Garamond"/>
          <w:sz w:val="24"/>
          <w:szCs w:val="24"/>
        </w:rPr>
        <w:t>empowermen</w:t>
      </w:r>
      <w:r>
        <w:rPr>
          <w:rFonts w:ascii="Garamond" w:hAnsi="Garamond"/>
          <w:sz w:val="24"/>
          <w:szCs w:val="24"/>
        </w:rPr>
        <w:t xml:space="preserve">t, </w:t>
      </w:r>
      <w:r w:rsidR="00C4518C">
        <w:rPr>
          <w:rFonts w:ascii="Garamond" w:hAnsi="Garamond"/>
          <w:sz w:val="24"/>
          <w:szCs w:val="24"/>
        </w:rPr>
        <w:t xml:space="preserve">and </w:t>
      </w:r>
      <w:r>
        <w:rPr>
          <w:rFonts w:ascii="Garamond" w:hAnsi="Garamond"/>
          <w:sz w:val="24"/>
          <w:szCs w:val="24"/>
        </w:rPr>
        <w:t xml:space="preserve">their </w:t>
      </w:r>
      <w:r w:rsidR="00C4518C">
        <w:rPr>
          <w:rFonts w:ascii="Garamond" w:hAnsi="Garamond"/>
          <w:sz w:val="24"/>
          <w:szCs w:val="24"/>
        </w:rPr>
        <w:t xml:space="preserve">participation in </w:t>
      </w:r>
      <w:r>
        <w:rPr>
          <w:rFonts w:ascii="Garamond" w:hAnsi="Garamond"/>
          <w:sz w:val="24"/>
          <w:szCs w:val="24"/>
        </w:rPr>
        <w:t xml:space="preserve">post-conflict </w:t>
      </w:r>
      <w:r w:rsidR="00C4518C">
        <w:rPr>
          <w:rFonts w:ascii="Garamond" w:hAnsi="Garamond"/>
          <w:sz w:val="24"/>
          <w:szCs w:val="24"/>
        </w:rPr>
        <w:t>social transformation:</w:t>
      </w:r>
    </w:p>
    <w:p w14:paraId="054F3D26" w14:textId="025A58D5" w:rsidR="00C4518C" w:rsidRDefault="00C4518C" w:rsidP="00CC63F8">
      <w:pPr>
        <w:spacing w:line="276" w:lineRule="auto"/>
        <w:jc w:val="both"/>
        <w:rPr>
          <w:rFonts w:ascii="Garamond" w:hAnsi="Garamond"/>
          <w:sz w:val="24"/>
          <w:szCs w:val="24"/>
        </w:rPr>
      </w:pPr>
      <w:r>
        <w:rPr>
          <w:rFonts w:ascii="Garamond" w:hAnsi="Garamond"/>
          <w:sz w:val="24"/>
          <w:szCs w:val="24"/>
        </w:rPr>
        <w:t xml:space="preserve">Sharoni details the </w:t>
      </w:r>
      <w:r w:rsidRPr="006F24AE">
        <w:rPr>
          <w:rFonts w:ascii="Garamond" w:hAnsi="Garamond"/>
          <w:sz w:val="24"/>
          <w:szCs w:val="24"/>
        </w:rPr>
        <w:t>literacy programmes and skill-training courses</w:t>
      </w:r>
      <w:r>
        <w:rPr>
          <w:rFonts w:ascii="Garamond" w:hAnsi="Garamond"/>
          <w:sz w:val="24"/>
          <w:szCs w:val="24"/>
        </w:rPr>
        <w:t xml:space="preserve"> led by Palestinian women during the intifada and the mobilisation against British Army curfews by Catholic/Nationalist women in Belfast during The Troubles as examples of women’s legitimate movement into political activism, in part facilitated through</w:t>
      </w:r>
      <w:r w:rsidR="00142BEE">
        <w:rPr>
          <w:rFonts w:ascii="Garamond" w:hAnsi="Garamond"/>
          <w:sz w:val="24"/>
          <w:szCs w:val="24"/>
        </w:rPr>
        <w:t xml:space="preserve"> men’s involvement in conflict</w:t>
      </w:r>
      <w:r>
        <w:rPr>
          <w:rFonts w:ascii="Garamond" w:hAnsi="Garamond"/>
          <w:sz w:val="24"/>
          <w:szCs w:val="24"/>
        </w:rPr>
        <w:t>.</w:t>
      </w:r>
      <w:r w:rsidR="00142BEE">
        <w:rPr>
          <w:rStyle w:val="EndnoteReference"/>
          <w:rFonts w:ascii="Garamond" w:hAnsi="Garamond"/>
          <w:sz w:val="24"/>
          <w:szCs w:val="24"/>
        </w:rPr>
        <w:endnoteReference w:id="32"/>
      </w:r>
      <w:r>
        <w:rPr>
          <w:rFonts w:ascii="Garamond" w:hAnsi="Garamond"/>
          <w:sz w:val="24"/>
          <w:szCs w:val="24"/>
        </w:rPr>
        <w:t xml:space="preserve"> </w:t>
      </w:r>
      <w:r w:rsidR="009157AE">
        <w:rPr>
          <w:rFonts w:ascii="Garamond" w:hAnsi="Garamond"/>
          <w:sz w:val="24"/>
          <w:szCs w:val="24"/>
        </w:rPr>
        <w:t xml:space="preserve"> </w:t>
      </w:r>
      <w:r w:rsidR="00AF514F" w:rsidRPr="00AF514F">
        <w:rPr>
          <w:rFonts w:ascii="Garamond" w:hAnsi="Garamond"/>
          <w:sz w:val="24"/>
          <w:szCs w:val="24"/>
        </w:rPr>
        <w:t xml:space="preserve">Women’s civil society peace activism has been a visible component of multiple conflict contexts, and has often </w:t>
      </w:r>
      <w:r w:rsidR="00AF514F" w:rsidRPr="00AF514F">
        <w:rPr>
          <w:rFonts w:ascii="Garamond" w:hAnsi="Garamond"/>
          <w:sz w:val="24"/>
          <w:szCs w:val="24"/>
        </w:rPr>
        <w:lastRenderedPageBreak/>
        <w:t>consciously rea</w:t>
      </w:r>
      <w:r w:rsidR="00142BEE">
        <w:rPr>
          <w:rFonts w:ascii="Garamond" w:hAnsi="Garamond"/>
          <w:sz w:val="24"/>
          <w:szCs w:val="24"/>
        </w:rPr>
        <w:t>ched across societal divisions</w:t>
      </w:r>
      <w:r w:rsidR="00AF514F" w:rsidRPr="00AF514F">
        <w:rPr>
          <w:rFonts w:ascii="Garamond" w:hAnsi="Garamond"/>
          <w:sz w:val="24"/>
          <w:szCs w:val="24"/>
        </w:rPr>
        <w:t>.</w:t>
      </w:r>
      <w:r w:rsidR="00142BEE">
        <w:rPr>
          <w:rStyle w:val="EndnoteReference"/>
          <w:rFonts w:ascii="Garamond" w:hAnsi="Garamond"/>
          <w:sz w:val="24"/>
          <w:szCs w:val="24"/>
        </w:rPr>
        <w:endnoteReference w:id="33"/>
      </w:r>
      <w:r w:rsidR="00AF514F" w:rsidRPr="00AF514F">
        <w:rPr>
          <w:rFonts w:ascii="Garamond" w:hAnsi="Garamond"/>
          <w:sz w:val="24"/>
          <w:szCs w:val="24"/>
        </w:rPr>
        <w:t xml:space="preserve"> </w:t>
      </w:r>
      <w:r w:rsidR="00AF514F">
        <w:rPr>
          <w:rFonts w:ascii="Garamond" w:hAnsi="Garamond"/>
          <w:sz w:val="24"/>
          <w:szCs w:val="24"/>
        </w:rPr>
        <w:t>An example of this is t</w:t>
      </w:r>
      <w:r>
        <w:rPr>
          <w:rFonts w:ascii="Garamond" w:hAnsi="Garamond"/>
          <w:sz w:val="24"/>
          <w:szCs w:val="24"/>
        </w:rPr>
        <w:t xml:space="preserve">he </w:t>
      </w:r>
      <w:r w:rsidRPr="00987395">
        <w:rPr>
          <w:rFonts w:ascii="Garamond" w:hAnsi="Garamond"/>
          <w:sz w:val="24"/>
          <w:szCs w:val="24"/>
        </w:rPr>
        <w:t>Mothers of the Plaza de Mayo</w:t>
      </w:r>
      <w:r>
        <w:rPr>
          <w:rFonts w:ascii="Garamond" w:hAnsi="Garamond"/>
          <w:sz w:val="24"/>
          <w:szCs w:val="24"/>
        </w:rPr>
        <w:t xml:space="preserve">, </w:t>
      </w:r>
      <w:r w:rsidRPr="00987395">
        <w:rPr>
          <w:rFonts w:ascii="Garamond" w:hAnsi="Garamond"/>
          <w:sz w:val="24"/>
          <w:szCs w:val="24"/>
        </w:rPr>
        <w:t>an association of Argenti</w:t>
      </w:r>
      <w:r>
        <w:rPr>
          <w:rFonts w:ascii="Garamond" w:hAnsi="Garamond"/>
          <w:sz w:val="24"/>
          <w:szCs w:val="24"/>
        </w:rPr>
        <w:t xml:space="preserve">ne mothers whose children were ‘disappeared’ by the government </w:t>
      </w:r>
      <w:r w:rsidRPr="00987395">
        <w:rPr>
          <w:rFonts w:ascii="Garamond" w:hAnsi="Garamond"/>
          <w:sz w:val="24"/>
          <w:szCs w:val="24"/>
        </w:rPr>
        <w:t>between 1976 and 1983</w:t>
      </w:r>
      <w:r>
        <w:rPr>
          <w:rFonts w:ascii="Garamond" w:hAnsi="Garamond"/>
          <w:sz w:val="24"/>
          <w:szCs w:val="24"/>
        </w:rPr>
        <w:t>. These women, strategically utilising conservative and traditional discourses and the exaltation of motherhood, were able to highlight human rights violations and the need for an end to co</w:t>
      </w:r>
      <w:r w:rsidR="00142BEE">
        <w:rPr>
          <w:rFonts w:ascii="Garamond" w:hAnsi="Garamond"/>
          <w:sz w:val="24"/>
          <w:szCs w:val="24"/>
        </w:rPr>
        <w:t>nflict in a non-threatening way</w:t>
      </w:r>
      <w:r w:rsidRPr="00F341EF">
        <w:rPr>
          <w:rFonts w:ascii="Garamond" w:hAnsi="Garamond"/>
          <w:sz w:val="24"/>
          <w:szCs w:val="24"/>
        </w:rPr>
        <w:t>.</w:t>
      </w:r>
      <w:r w:rsidR="00142BEE">
        <w:rPr>
          <w:rStyle w:val="EndnoteReference"/>
          <w:rFonts w:ascii="Garamond" w:hAnsi="Garamond"/>
          <w:sz w:val="24"/>
          <w:szCs w:val="24"/>
        </w:rPr>
        <w:endnoteReference w:id="34"/>
      </w:r>
      <w:r>
        <w:rPr>
          <w:rFonts w:ascii="Garamond" w:hAnsi="Garamond"/>
          <w:sz w:val="24"/>
          <w:szCs w:val="24"/>
        </w:rPr>
        <w:t xml:space="preserve"> Anderson</w:t>
      </w:r>
      <w:r w:rsidR="00E5581B">
        <w:rPr>
          <w:rStyle w:val="EndnoteReference"/>
          <w:rFonts w:ascii="Garamond" w:hAnsi="Garamond"/>
          <w:sz w:val="24"/>
          <w:szCs w:val="24"/>
        </w:rPr>
        <w:endnoteReference w:id="35"/>
      </w:r>
      <w:r>
        <w:rPr>
          <w:rFonts w:ascii="Garamond" w:hAnsi="Garamond"/>
          <w:sz w:val="24"/>
          <w:szCs w:val="24"/>
        </w:rPr>
        <w:t xml:space="preserve"> also notes women’s strategic use of maternal identity in Burundi as a means of being heard and included in peace negotiations and the final peace agreement.  </w:t>
      </w:r>
    </w:p>
    <w:p w14:paraId="2A6D690D" w14:textId="0B34CAF3" w:rsidR="009157AE" w:rsidRDefault="00BF105E" w:rsidP="00CC63F8">
      <w:pPr>
        <w:spacing w:line="276" w:lineRule="auto"/>
        <w:jc w:val="both"/>
        <w:rPr>
          <w:rFonts w:ascii="Garamond" w:hAnsi="Garamond"/>
          <w:sz w:val="24"/>
          <w:szCs w:val="24"/>
        </w:rPr>
      </w:pPr>
      <w:r>
        <w:rPr>
          <w:rFonts w:ascii="Garamond" w:hAnsi="Garamond"/>
          <w:sz w:val="24"/>
          <w:szCs w:val="24"/>
        </w:rPr>
        <w:t xml:space="preserve">Indeed, </w:t>
      </w:r>
      <w:r w:rsidR="00D456CB">
        <w:rPr>
          <w:rFonts w:ascii="Garamond" w:hAnsi="Garamond"/>
          <w:sz w:val="24"/>
          <w:szCs w:val="24"/>
        </w:rPr>
        <w:t>w</w:t>
      </w:r>
      <w:r w:rsidR="009157AE">
        <w:rPr>
          <w:rFonts w:ascii="Garamond" w:hAnsi="Garamond"/>
          <w:sz w:val="24"/>
          <w:szCs w:val="24"/>
        </w:rPr>
        <w:t xml:space="preserve">omen have often united </w:t>
      </w:r>
      <w:r w:rsidR="009157AE" w:rsidRPr="00D8250F">
        <w:rPr>
          <w:rFonts w:ascii="Garamond" w:hAnsi="Garamond"/>
          <w:i/>
          <w:sz w:val="24"/>
          <w:szCs w:val="24"/>
        </w:rPr>
        <w:t>as women</w:t>
      </w:r>
      <w:r w:rsidR="009157AE">
        <w:rPr>
          <w:rFonts w:ascii="Garamond" w:hAnsi="Garamond"/>
          <w:sz w:val="24"/>
          <w:szCs w:val="24"/>
        </w:rPr>
        <w:t xml:space="preserve"> in ethnic or ethno-nationally divided societies.</w:t>
      </w:r>
      <w:r w:rsidR="00AF514F">
        <w:rPr>
          <w:rFonts w:ascii="Garamond" w:hAnsi="Garamond"/>
          <w:sz w:val="24"/>
          <w:szCs w:val="24"/>
        </w:rPr>
        <w:t xml:space="preserve"> </w:t>
      </w:r>
      <w:r w:rsidR="00FC439D">
        <w:rPr>
          <w:rFonts w:ascii="Garamond" w:hAnsi="Garamond"/>
          <w:sz w:val="24"/>
          <w:szCs w:val="24"/>
        </w:rPr>
        <w:t>Such</w:t>
      </w:r>
      <w:r w:rsidR="00AF514F">
        <w:rPr>
          <w:rFonts w:ascii="Garamond" w:hAnsi="Garamond"/>
          <w:sz w:val="24"/>
          <w:szCs w:val="24"/>
        </w:rPr>
        <w:t xml:space="preserve"> </w:t>
      </w:r>
      <w:r w:rsidR="00FC439D">
        <w:rPr>
          <w:rFonts w:ascii="Garamond" w:hAnsi="Garamond"/>
          <w:sz w:val="24"/>
          <w:szCs w:val="24"/>
        </w:rPr>
        <w:t>organising has been presented as</w:t>
      </w:r>
      <w:r w:rsidR="00AF514F">
        <w:rPr>
          <w:rFonts w:ascii="Garamond" w:hAnsi="Garamond"/>
          <w:sz w:val="24"/>
          <w:szCs w:val="24"/>
        </w:rPr>
        <w:t xml:space="preserve"> cross</w:t>
      </w:r>
      <w:r w:rsidR="00FC439D">
        <w:rPr>
          <w:rFonts w:ascii="Garamond" w:hAnsi="Garamond"/>
          <w:sz w:val="24"/>
          <w:szCs w:val="24"/>
        </w:rPr>
        <w:t>ing</w:t>
      </w:r>
      <w:r w:rsidR="00AF514F">
        <w:rPr>
          <w:rFonts w:ascii="Garamond" w:hAnsi="Garamond"/>
          <w:sz w:val="24"/>
          <w:szCs w:val="24"/>
        </w:rPr>
        <w:t xml:space="preserve"> divides and employ</w:t>
      </w:r>
      <w:r w:rsidR="00FC439D">
        <w:rPr>
          <w:rFonts w:ascii="Garamond" w:hAnsi="Garamond"/>
          <w:sz w:val="24"/>
          <w:szCs w:val="24"/>
        </w:rPr>
        <w:t>ing</w:t>
      </w:r>
      <w:r w:rsidR="00AF514F">
        <w:rPr>
          <w:rFonts w:ascii="Garamond" w:hAnsi="Garamond"/>
          <w:sz w:val="24"/>
          <w:szCs w:val="24"/>
        </w:rPr>
        <w:t xml:space="preserve"> methods of strategic essentialism to</w:t>
      </w:r>
      <w:r w:rsidR="00FC439D">
        <w:rPr>
          <w:rFonts w:ascii="Garamond" w:hAnsi="Garamond"/>
          <w:sz w:val="24"/>
          <w:szCs w:val="24"/>
        </w:rPr>
        <w:t xml:space="preserve"> </w:t>
      </w:r>
      <w:r w:rsidR="008365AB">
        <w:rPr>
          <w:rFonts w:ascii="Garamond" w:hAnsi="Garamond"/>
          <w:sz w:val="24"/>
          <w:szCs w:val="24"/>
        </w:rPr>
        <w:t>aid</w:t>
      </w:r>
      <w:r w:rsidR="00FC439D">
        <w:rPr>
          <w:rFonts w:ascii="Garamond" w:hAnsi="Garamond"/>
          <w:sz w:val="24"/>
          <w:szCs w:val="24"/>
        </w:rPr>
        <w:t xml:space="preserve"> agreement or reconciliation.</w:t>
      </w:r>
      <w:r w:rsidR="00AF514F">
        <w:rPr>
          <w:rFonts w:ascii="Garamond" w:hAnsi="Garamond"/>
          <w:sz w:val="24"/>
          <w:szCs w:val="24"/>
        </w:rPr>
        <w:t xml:space="preserve"> </w:t>
      </w:r>
      <w:r w:rsidR="009157AE">
        <w:rPr>
          <w:rFonts w:ascii="Garamond" w:hAnsi="Garamond"/>
          <w:sz w:val="24"/>
          <w:szCs w:val="24"/>
        </w:rPr>
        <w:t xml:space="preserve"> </w:t>
      </w:r>
      <w:r w:rsidR="002B2B02">
        <w:rPr>
          <w:rFonts w:ascii="Garamond" w:hAnsi="Garamond"/>
          <w:sz w:val="24"/>
          <w:szCs w:val="24"/>
        </w:rPr>
        <w:t>Cynthia Cockburn’s examination of</w:t>
      </w:r>
      <w:r w:rsidR="002B2B02" w:rsidRPr="006700D6">
        <w:rPr>
          <w:rFonts w:ascii="Garamond" w:hAnsi="Garamond"/>
          <w:sz w:val="24"/>
          <w:szCs w:val="24"/>
        </w:rPr>
        <w:t xml:space="preserve"> transversal dialogue </w:t>
      </w:r>
      <w:r w:rsidR="00F76729">
        <w:rPr>
          <w:rFonts w:ascii="Garamond" w:hAnsi="Garamond"/>
          <w:sz w:val="24"/>
          <w:szCs w:val="24"/>
        </w:rPr>
        <w:t xml:space="preserve">amongst women in Northern Ireland, Israel/Palestine and Bosnia-Herzegovina </w:t>
      </w:r>
      <w:r w:rsidR="0038371D">
        <w:rPr>
          <w:rFonts w:ascii="Garamond" w:hAnsi="Garamond"/>
          <w:sz w:val="24"/>
          <w:szCs w:val="24"/>
        </w:rPr>
        <w:t>illustrates</w:t>
      </w:r>
      <w:r w:rsidR="002B2B02">
        <w:rPr>
          <w:rFonts w:ascii="Garamond" w:hAnsi="Garamond"/>
          <w:sz w:val="24"/>
          <w:szCs w:val="24"/>
        </w:rPr>
        <w:t xml:space="preserve"> how such</w:t>
      </w:r>
      <w:r w:rsidR="002B2B02" w:rsidRPr="006700D6">
        <w:rPr>
          <w:rFonts w:ascii="Garamond" w:hAnsi="Garamond"/>
          <w:sz w:val="24"/>
          <w:szCs w:val="24"/>
        </w:rPr>
        <w:t xml:space="preserve"> dialogue is viewed as a feature of how women’s groups</w:t>
      </w:r>
      <w:r w:rsidR="002B2B02" w:rsidRPr="006700D6">
        <w:t xml:space="preserve"> </w:t>
      </w:r>
      <w:r w:rsidR="002B2B02" w:rsidRPr="006700D6">
        <w:rPr>
          <w:rFonts w:ascii="Garamond" w:hAnsi="Garamond"/>
          <w:sz w:val="24"/>
          <w:szCs w:val="24"/>
        </w:rPr>
        <w:t>comm</w:t>
      </w:r>
      <w:r w:rsidR="002B2B02">
        <w:rPr>
          <w:rFonts w:ascii="Garamond" w:hAnsi="Garamond"/>
          <w:sz w:val="24"/>
          <w:szCs w:val="24"/>
        </w:rPr>
        <w:t>uni</w:t>
      </w:r>
      <w:r w:rsidR="00142BEE">
        <w:rPr>
          <w:rFonts w:ascii="Garamond" w:hAnsi="Garamond"/>
          <w:sz w:val="24"/>
          <w:szCs w:val="24"/>
        </w:rPr>
        <w:t>cate in a divided society</w:t>
      </w:r>
      <w:r w:rsidR="002B2B02">
        <w:rPr>
          <w:rFonts w:ascii="Garamond" w:hAnsi="Garamond"/>
          <w:sz w:val="24"/>
          <w:szCs w:val="24"/>
        </w:rPr>
        <w:t>.</w:t>
      </w:r>
      <w:r w:rsidR="00142BEE">
        <w:rPr>
          <w:rStyle w:val="EndnoteReference"/>
          <w:rFonts w:ascii="Garamond" w:hAnsi="Garamond"/>
          <w:sz w:val="24"/>
          <w:szCs w:val="24"/>
        </w:rPr>
        <w:endnoteReference w:id="36"/>
      </w:r>
      <w:r w:rsidR="002B2B02" w:rsidRPr="006700D6">
        <w:rPr>
          <w:rFonts w:ascii="Garamond" w:hAnsi="Garamond"/>
          <w:sz w:val="24"/>
          <w:szCs w:val="24"/>
        </w:rPr>
        <w:t xml:space="preserve"> </w:t>
      </w:r>
      <w:r w:rsidR="00F76729">
        <w:rPr>
          <w:rFonts w:ascii="Garamond" w:hAnsi="Garamond"/>
          <w:sz w:val="24"/>
          <w:szCs w:val="24"/>
        </w:rPr>
        <w:t xml:space="preserve">She describes how women’s groups </w:t>
      </w:r>
      <w:r w:rsidR="00015B60">
        <w:rPr>
          <w:rFonts w:ascii="Garamond" w:hAnsi="Garamond"/>
          <w:sz w:val="24"/>
          <w:szCs w:val="24"/>
        </w:rPr>
        <w:t>in Northern Ireland and Bosnia-</w:t>
      </w:r>
      <w:r w:rsidR="00F76729">
        <w:rPr>
          <w:rFonts w:ascii="Garamond" w:hAnsi="Garamond"/>
          <w:sz w:val="24"/>
          <w:szCs w:val="24"/>
        </w:rPr>
        <w:t xml:space="preserve">Herzegovina not only acknowledged ethnic difference but also </w:t>
      </w:r>
      <w:r w:rsidR="002B3EE7">
        <w:rPr>
          <w:rFonts w:ascii="Garamond" w:hAnsi="Garamond"/>
          <w:sz w:val="24"/>
          <w:szCs w:val="24"/>
        </w:rPr>
        <w:t>placed a “positive value”</w:t>
      </w:r>
      <w:r w:rsidR="002B3EE7">
        <w:rPr>
          <w:rStyle w:val="EndnoteReference"/>
          <w:rFonts w:ascii="Garamond" w:hAnsi="Garamond"/>
          <w:sz w:val="24"/>
          <w:szCs w:val="24"/>
        </w:rPr>
        <w:endnoteReference w:id="37"/>
      </w:r>
      <w:r w:rsidR="00015B60">
        <w:rPr>
          <w:rFonts w:ascii="Garamond" w:hAnsi="Garamond"/>
          <w:sz w:val="24"/>
          <w:szCs w:val="24"/>
        </w:rPr>
        <w:t xml:space="preserve"> on its </w:t>
      </w:r>
      <w:r w:rsidR="006E01B3">
        <w:rPr>
          <w:rFonts w:ascii="Garamond" w:hAnsi="Garamond"/>
          <w:sz w:val="24"/>
          <w:szCs w:val="24"/>
        </w:rPr>
        <w:t>place in their organisations</w:t>
      </w:r>
      <w:r w:rsidR="00015B60">
        <w:rPr>
          <w:rFonts w:ascii="Garamond" w:hAnsi="Garamond"/>
          <w:sz w:val="24"/>
          <w:szCs w:val="24"/>
        </w:rPr>
        <w:t xml:space="preserve">. </w:t>
      </w:r>
      <w:r w:rsidR="001F51F7">
        <w:rPr>
          <w:rFonts w:ascii="Garamond" w:hAnsi="Garamond"/>
          <w:sz w:val="24"/>
          <w:szCs w:val="24"/>
        </w:rPr>
        <w:t>Strategic essentialism, whilst allowing women to find a place in politics, may limit the reach of their voices to particular issues (Ashe, 2006).</w:t>
      </w:r>
      <w:r w:rsidR="001F51F7">
        <w:rPr>
          <w:rStyle w:val="EndnoteReference"/>
          <w:rFonts w:ascii="Garamond" w:hAnsi="Garamond"/>
          <w:sz w:val="24"/>
          <w:szCs w:val="24"/>
        </w:rPr>
        <w:endnoteReference w:id="38"/>
      </w:r>
    </w:p>
    <w:p w14:paraId="4BE99E3D" w14:textId="75EEF9B2" w:rsidR="00C4518C" w:rsidRDefault="0072767E" w:rsidP="00CC63F8">
      <w:pPr>
        <w:spacing w:line="276" w:lineRule="auto"/>
        <w:jc w:val="both"/>
        <w:rPr>
          <w:rFonts w:ascii="Garamond" w:hAnsi="Garamond"/>
          <w:sz w:val="24"/>
          <w:szCs w:val="24"/>
        </w:rPr>
      </w:pPr>
      <w:r>
        <w:rPr>
          <w:rFonts w:ascii="Garamond" w:hAnsi="Garamond"/>
          <w:sz w:val="24"/>
          <w:szCs w:val="24"/>
        </w:rPr>
        <w:t xml:space="preserve">Furthermore, women’s civic activism </w:t>
      </w:r>
      <w:r w:rsidR="00A567FA">
        <w:rPr>
          <w:rFonts w:ascii="Garamond" w:hAnsi="Garamond"/>
          <w:sz w:val="24"/>
          <w:szCs w:val="24"/>
        </w:rPr>
        <w:t xml:space="preserve">in divided societies </w:t>
      </w:r>
      <w:r>
        <w:rPr>
          <w:rFonts w:ascii="Garamond" w:hAnsi="Garamond"/>
          <w:sz w:val="24"/>
          <w:szCs w:val="24"/>
        </w:rPr>
        <w:t xml:space="preserve">has </w:t>
      </w:r>
      <w:r w:rsidR="007B1C7D">
        <w:rPr>
          <w:rFonts w:ascii="Garamond" w:hAnsi="Garamond"/>
          <w:sz w:val="24"/>
          <w:szCs w:val="24"/>
        </w:rPr>
        <w:t xml:space="preserve">also </w:t>
      </w:r>
      <w:r>
        <w:rPr>
          <w:rFonts w:ascii="Garamond" w:hAnsi="Garamond"/>
          <w:sz w:val="24"/>
          <w:szCs w:val="24"/>
        </w:rPr>
        <w:t xml:space="preserve">helped to ensure a greater role </w:t>
      </w:r>
      <w:r w:rsidR="007B1C7D">
        <w:rPr>
          <w:rFonts w:ascii="Garamond" w:hAnsi="Garamond"/>
          <w:sz w:val="24"/>
          <w:szCs w:val="24"/>
        </w:rPr>
        <w:t>for women</w:t>
      </w:r>
      <w:r w:rsidR="00FC439D">
        <w:rPr>
          <w:rFonts w:ascii="Garamond" w:hAnsi="Garamond"/>
          <w:sz w:val="24"/>
          <w:szCs w:val="24"/>
        </w:rPr>
        <w:t xml:space="preserve"> and the consideration of gendered issues</w:t>
      </w:r>
      <w:r w:rsidR="007B1C7D">
        <w:rPr>
          <w:rFonts w:ascii="Garamond" w:hAnsi="Garamond"/>
          <w:sz w:val="24"/>
          <w:szCs w:val="24"/>
        </w:rPr>
        <w:t xml:space="preserve"> </w:t>
      </w:r>
      <w:r>
        <w:rPr>
          <w:rFonts w:ascii="Garamond" w:hAnsi="Garamond"/>
          <w:sz w:val="24"/>
          <w:szCs w:val="24"/>
        </w:rPr>
        <w:t xml:space="preserve">in formal politics. </w:t>
      </w:r>
      <w:r w:rsidR="00AA3100">
        <w:rPr>
          <w:rFonts w:ascii="Garamond" w:hAnsi="Garamond"/>
          <w:sz w:val="24"/>
          <w:szCs w:val="24"/>
        </w:rPr>
        <w:t>The work of women in civil society ensured that UN Security Council Resolution 1325 on ‘Women, Peace and Security’ was considered by the Security Council</w:t>
      </w:r>
      <w:r w:rsidR="00706A01">
        <w:rPr>
          <w:rFonts w:ascii="Garamond" w:hAnsi="Garamond"/>
          <w:sz w:val="24"/>
          <w:szCs w:val="24"/>
        </w:rPr>
        <w:t xml:space="preserve"> and marked a landmark achievement on the first debate considering women, peace and conflict in the Security Council</w:t>
      </w:r>
      <w:r w:rsidR="002B3EE7">
        <w:rPr>
          <w:rStyle w:val="EndnoteReference"/>
          <w:rFonts w:ascii="Garamond" w:hAnsi="Garamond"/>
          <w:sz w:val="24"/>
          <w:szCs w:val="24"/>
        </w:rPr>
        <w:endnoteReference w:id="39"/>
      </w:r>
      <w:r w:rsidR="00AA3100">
        <w:rPr>
          <w:rFonts w:ascii="Garamond" w:hAnsi="Garamond"/>
          <w:sz w:val="24"/>
          <w:szCs w:val="24"/>
        </w:rPr>
        <w:t xml:space="preserve"> (Cockburn, 20</w:t>
      </w:r>
      <w:r w:rsidR="001F51F7">
        <w:rPr>
          <w:rFonts w:ascii="Garamond" w:hAnsi="Garamond"/>
          <w:sz w:val="24"/>
          <w:szCs w:val="24"/>
        </w:rPr>
        <w:t>07)</w:t>
      </w:r>
      <w:r w:rsidR="00AA3100">
        <w:rPr>
          <w:rFonts w:ascii="Garamond" w:hAnsi="Garamond"/>
          <w:sz w:val="24"/>
          <w:szCs w:val="24"/>
        </w:rPr>
        <w:t>.</w:t>
      </w:r>
      <w:r w:rsidR="001F51F7">
        <w:rPr>
          <w:rStyle w:val="EndnoteReference"/>
          <w:rFonts w:ascii="Garamond" w:hAnsi="Garamond"/>
          <w:sz w:val="24"/>
          <w:szCs w:val="24"/>
        </w:rPr>
        <w:endnoteReference w:id="40"/>
      </w:r>
      <w:r w:rsidR="00AA3100">
        <w:rPr>
          <w:rFonts w:ascii="Garamond" w:hAnsi="Garamond"/>
          <w:sz w:val="24"/>
          <w:szCs w:val="24"/>
        </w:rPr>
        <w:t xml:space="preserve"> </w:t>
      </w:r>
      <w:r w:rsidR="00C4518C" w:rsidRPr="00643EA6">
        <w:rPr>
          <w:rFonts w:ascii="Garamond" w:hAnsi="Garamond"/>
          <w:sz w:val="24"/>
          <w:szCs w:val="24"/>
        </w:rPr>
        <w:t>Although women’s participation</w:t>
      </w:r>
      <w:r w:rsidR="00C4518C">
        <w:rPr>
          <w:rFonts w:ascii="Garamond" w:hAnsi="Garamond"/>
          <w:sz w:val="24"/>
          <w:szCs w:val="24"/>
        </w:rPr>
        <w:t xml:space="preserve"> in peace agreemen</w:t>
      </w:r>
      <w:r w:rsidR="00E5581B">
        <w:rPr>
          <w:rFonts w:ascii="Garamond" w:hAnsi="Garamond"/>
          <w:sz w:val="24"/>
          <w:szCs w:val="24"/>
        </w:rPr>
        <w:t>ts is low</w:t>
      </w:r>
      <w:r w:rsidR="00C4518C">
        <w:rPr>
          <w:rFonts w:ascii="Garamond" w:hAnsi="Garamond"/>
          <w:sz w:val="24"/>
          <w:szCs w:val="24"/>
        </w:rPr>
        <w:t>,</w:t>
      </w:r>
      <w:r w:rsidR="00E5581B">
        <w:rPr>
          <w:rStyle w:val="EndnoteReference"/>
          <w:rFonts w:ascii="Garamond" w:hAnsi="Garamond"/>
          <w:sz w:val="24"/>
          <w:szCs w:val="24"/>
        </w:rPr>
        <w:endnoteReference w:id="41"/>
      </w:r>
      <w:r w:rsidR="00C4518C" w:rsidRPr="00643EA6">
        <w:rPr>
          <w:rFonts w:ascii="Garamond" w:hAnsi="Garamond"/>
          <w:sz w:val="24"/>
          <w:szCs w:val="24"/>
        </w:rPr>
        <w:t xml:space="preserve"> civil society organising has enabled women to have their voices and perspectives included in formal decision making. In Northern Ireland, the Northern Ireland Women’s Coalition</w:t>
      </w:r>
      <w:r w:rsidR="007B5DC4">
        <w:rPr>
          <w:rFonts w:ascii="Garamond" w:hAnsi="Garamond"/>
          <w:sz w:val="24"/>
          <w:szCs w:val="24"/>
        </w:rPr>
        <w:t xml:space="preserve"> (NIWC)</w:t>
      </w:r>
      <w:r w:rsidR="00C4518C" w:rsidRPr="00643EA6">
        <w:rPr>
          <w:rFonts w:ascii="Garamond" w:hAnsi="Garamond"/>
          <w:sz w:val="24"/>
          <w:szCs w:val="24"/>
        </w:rPr>
        <w:t xml:space="preserve"> emerged from strateg</w:t>
      </w:r>
      <w:r w:rsidR="00596771">
        <w:rPr>
          <w:rFonts w:ascii="Garamond" w:hAnsi="Garamond"/>
          <w:sz w:val="24"/>
          <w:szCs w:val="24"/>
        </w:rPr>
        <w:t xml:space="preserve">ic cross-community organisation. It </w:t>
      </w:r>
      <w:r w:rsidR="00C4518C" w:rsidRPr="00643EA6">
        <w:rPr>
          <w:rFonts w:ascii="Garamond" w:hAnsi="Garamond"/>
          <w:sz w:val="24"/>
          <w:szCs w:val="24"/>
        </w:rPr>
        <w:t xml:space="preserve">was able to send </w:t>
      </w:r>
      <w:r w:rsidR="00596771">
        <w:rPr>
          <w:rFonts w:ascii="Garamond" w:hAnsi="Garamond"/>
          <w:sz w:val="24"/>
          <w:szCs w:val="24"/>
        </w:rPr>
        <w:t xml:space="preserve">a delegation to the peace talks and </w:t>
      </w:r>
      <w:r w:rsidR="00C4518C" w:rsidRPr="00643EA6">
        <w:rPr>
          <w:rFonts w:ascii="Garamond" w:hAnsi="Garamond"/>
          <w:sz w:val="24"/>
          <w:szCs w:val="24"/>
        </w:rPr>
        <w:t>influence the peace agreement through the inclusion of a statement on</w:t>
      </w:r>
      <w:r w:rsidR="00596771">
        <w:rPr>
          <w:rFonts w:ascii="Garamond" w:hAnsi="Garamond"/>
          <w:sz w:val="24"/>
          <w:szCs w:val="24"/>
        </w:rPr>
        <w:t xml:space="preserve"> women’s political participatio</w:t>
      </w:r>
      <w:r w:rsidR="001F51F7">
        <w:rPr>
          <w:rFonts w:ascii="Garamond" w:hAnsi="Garamond"/>
          <w:sz w:val="24"/>
          <w:szCs w:val="24"/>
        </w:rPr>
        <w:t>n</w:t>
      </w:r>
      <w:r w:rsidR="00596771">
        <w:rPr>
          <w:rFonts w:ascii="Garamond" w:hAnsi="Garamond"/>
          <w:sz w:val="24"/>
          <w:szCs w:val="24"/>
        </w:rPr>
        <w:t>,</w:t>
      </w:r>
      <w:r w:rsidR="00C4518C" w:rsidRPr="00643EA6">
        <w:rPr>
          <w:rFonts w:ascii="Garamond" w:hAnsi="Garamond"/>
          <w:sz w:val="24"/>
          <w:szCs w:val="24"/>
        </w:rPr>
        <w:t xml:space="preserve"> and the </w:t>
      </w:r>
      <w:r w:rsidR="007B5DC4">
        <w:rPr>
          <w:rFonts w:ascii="Garamond" w:hAnsi="Garamond"/>
          <w:sz w:val="24"/>
          <w:szCs w:val="24"/>
        </w:rPr>
        <w:t>development of a Civic F</w:t>
      </w:r>
      <w:r w:rsidR="00C4518C" w:rsidRPr="00643EA6">
        <w:rPr>
          <w:rFonts w:ascii="Garamond" w:hAnsi="Garamond"/>
          <w:sz w:val="24"/>
          <w:szCs w:val="24"/>
        </w:rPr>
        <w:t>orum</w:t>
      </w:r>
      <w:r w:rsidR="00596771">
        <w:rPr>
          <w:rFonts w:ascii="Garamond" w:hAnsi="Garamond"/>
          <w:sz w:val="24"/>
          <w:szCs w:val="24"/>
        </w:rPr>
        <w:t>,</w:t>
      </w:r>
      <w:r w:rsidR="00C4518C" w:rsidRPr="00643EA6">
        <w:rPr>
          <w:rFonts w:ascii="Garamond" w:hAnsi="Garamond"/>
          <w:sz w:val="24"/>
          <w:szCs w:val="24"/>
        </w:rPr>
        <w:t xml:space="preserve"> intended to ensure civil society voices were heard in formal politi</w:t>
      </w:r>
      <w:r w:rsidR="00C4518C">
        <w:rPr>
          <w:rFonts w:ascii="Garamond" w:hAnsi="Garamond"/>
          <w:sz w:val="24"/>
          <w:szCs w:val="24"/>
        </w:rPr>
        <w:t xml:space="preserve">cal decision making. </w:t>
      </w:r>
      <w:r w:rsidR="005F45F5">
        <w:rPr>
          <w:rFonts w:ascii="Garamond" w:hAnsi="Garamond"/>
          <w:sz w:val="24"/>
          <w:szCs w:val="24"/>
        </w:rPr>
        <w:t xml:space="preserve"> Members of the NIWC went on to form an organisation ‘Women Into Politics’, to train women in skills of political engagement. </w:t>
      </w:r>
      <w:r w:rsidR="00F76729">
        <w:rPr>
          <w:rFonts w:ascii="Garamond" w:hAnsi="Garamond"/>
          <w:sz w:val="24"/>
          <w:szCs w:val="24"/>
        </w:rPr>
        <w:t>In the early 1990s in what would</w:t>
      </w:r>
      <w:r w:rsidR="006E01B3">
        <w:rPr>
          <w:rFonts w:ascii="Garamond" w:hAnsi="Garamond"/>
          <w:sz w:val="24"/>
          <w:szCs w:val="24"/>
        </w:rPr>
        <w:t xml:space="preserve"> later</w:t>
      </w:r>
      <w:r w:rsidR="00F76729">
        <w:rPr>
          <w:rFonts w:ascii="Garamond" w:hAnsi="Garamond"/>
          <w:sz w:val="24"/>
          <w:szCs w:val="24"/>
        </w:rPr>
        <w:t xml:space="preserve"> become Bosnia-Herzegovina, a Women’s Lobby was formed to encourage political parties to address women’s needs in areas suc</w:t>
      </w:r>
      <w:r w:rsidR="002B3EE7">
        <w:rPr>
          <w:rFonts w:ascii="Garamond" w:hAnsi="Garamond"/>
          <w:sz w:val="24"/>
          <w:szCs w:val="24"/>
        </w:rPr>
        <w:t>h as employment and healthcare</w:t>
      </w:r>
      <w:r w:rsidR="00F76729">
        <w:rPr>
          <w:rFonts w:ascii="Garamond" w:hAnsi="Garamond"/>
          <w:sz w:val="24"/>
          <w:szCs w:val="24"/>
        </w:rPr>
        <w:t>.</w:t>
      </w:r>
      <w:r w:rsidR="002B3EE7">
        <w:rPr>
          <w:rStyle w:val="EndnoteReference"/>
          <w:rFonts w:ascii="Garamond" w:hAnsi="Garamond"/>
          <w:sz w:val="24"/>
          <w:szCs w:val="24"/>
        </w:rPr>
        <w:endnoteReference w:id="42"/>
      </w:r>
      <w:r w:rsidR="00F76729">
        <w:rPr>
          <w:rFonts w:ascii="Garamond" w:hAnsi="Garamond"/>
          <w:sz w:val="24"/>
          <w:szCs w:val="24"/>
        </w:rPr>
        <w:t xml:space="preserve"> </w:t>
      </w:r>
      <w:r w:rsidR="005566A3">
        <w:rPr>
          <w:rFonts w:ascii="Garamond" w:hAnsi="Garamond"/>
          <w:sz w:val="24"/>
          <w:szCs w:val="24"/>
        </w:rPr>
        <w:t>Anderson</w:t>
      </w:r>
      <w:r w:rsidR="00C4518C">
        <w:rPr>
          <w:rFonts w:ascii="Garamond" w:hAnsi="Garamond"/>
          <w:sz w:val="24"/>
          <w:szCs w:val="24"/>
        </w:rPr>
        <w:t xml:space="preserve"> explains how in Burundi women’s consistent efforts (despite great resistance) ensured an </w:t>
      </w:r>
      <w:r w:rsidR="00C4518C" w:rsidRPr="00A67EF8">
        <w:rPr>
          <w:rFonts w:ascii="Garamond" w:hAnsi="Garamond"/>
          <w:sz w:val="24"/>
          <w:szCs w:val="24"/>
        </w:rPr>
        <w:t>all-women’s negotiation session</w:t>
      </w:r>
      <w:r w:rsidR="00C4518C">
        <w:rPr>
          <w:rFonts w:ascii="Garamond" w:hAnsi="Garamond"/>
          <w:sz w:val="24"/>
          <w:szCs w:val="24"/>
        </w:rPr>
        <w:t>, which was able to ‘engender’ the peace agreement.</w:t>
      </w:r>
      <w:r w:rsidR="005566A3">
        <w:rPr>
          <w:rStyle w:val="EndnoteReference"/>
          <w:rFonts w:ascii="Garamond" w:hAnsi="Garamond"/>
          <w:sz w:val="24"/>
          <w:szCs w:val="24"/>
        </w:rPr>
        <w:endnoteReference w:id="43"/>
      </w:r>
      <w:r w:rsidR="00C4518C">
        <w:rPr>
          <w:rFonts w:ascii="Garamond" w:hAnsi="Garamond"/>
          <w:sz w:val="24"/>
          <w:szCs w:val="24"/>
        </w:rPr>
        <w:t xml:space="preserve"> </w:t>
      </w:r>
      <w:r>
        <w:rPr>
          <w:rFonts w:ascii="Garamond" w:hAnsi="Garamond"/>
          <w:sz w:val="24"/>
          <w:szCs w:val="24"/>
        </w:rPr>
        <w:t>Civil society women’s movements can clearly influence the formal outcomes of peace agreements and the political structure they set in motion.</w:t>
      </w:r>
    </w:p>
    <w:p w14:paraId="3F6979C7" w14:textId="21A96218" w:rsidR="0057033D" w:rsidRDefault="009157AE" w:rsidP="00CC63F8">
      <w:pPr>
        <w:spacing w:line="276" w:lineRule="auto"/>
        <w:jc w:val="both"/>
        <w:rPr>
          <w:rFonts w:ascii="Garamond" w:hAnsi="Garamond"/>
          <w:sz w:val="24"/>
          <w:szCs w:val="24"/>
        </w:rPr>
      </w:pPr>
      <w:r>
        <w:rPr>
          <w:rFonts w:ascii="Garamond" w:hAnsi="Garamond"/>
          <w:sz w:val="24"/>
          <w:szCs w:val="24"/>
        </w:rPr>
        <w:t>C</w:t>
      </w:r>
      <w:r w:rsidR="007B1C7D">
        <w:rPr>
          <w:rFonts w:ascii="Garamond" w:hAnsi="Garamond"/>
          <w:sz w:val="24"/>
          <w:szCs w:val="24"/>
        </w:rPr>
        <w:t>onsidering</w:t>
      </w:r>
      <w:r w:rsidR="00925119">
        <w:rPr>
          <w:rFonts w:ascii="Garamond" w:hAnsi="Garamond"/>
          <w:sz w:val="24"/>
          <w:szCs w:val="24"/>
        </w:rPr>
        <w:t xml:space="preserve"> women’s organising in both conflict and post-conflict societies </w:t>
      </w:r>
      <w:r w:rsidR="00FC439D">
        <w:rPr>
          <w:rFonts w:ascii="Garamond" w:hAnsi="Garamond"/>
          <w:sz w:val="24"/>
          <w:szCs w:val="24"/>
        </w:rPr>
        <w:t xml:space="preserve">also </w:t>
      </w:r>
      <w:r>
        <w:rPr>
          <w:rFonts w:ascii="Garamond" w:hAnsi="Garamond"/>
          <w:sz w:val="24"/>
          <w:szCs w:val="24"/>
        </w:rPr>
        <w:t>helps us to reflect</w:t>
      </w:r>
      <w:r w:rsidR="00925119">
        <w:rPr>
          <w:rFonts w:ascii="Garamond" w:hAnsi="Garamond"/>
          <w:sz w:val="24"/>
          <w:szCs w:val="24"/>
        </w:rPr>
        <w:t xml:space="preserve"> upon</w:t>
      </w:r>
      <w:r w:rsidR="00FC439D">
        <w:rPr>
          <w:rFonts w:ascii="Garamond" w:hAnsi="Garamond"/>
          <w:sz w:val="24"/>
          <w:szCs w:val="24"/>
        </w:rPr>
        <w:t xml:space="preserve"> </w:t>
      </w:r>
      <w:r w:rsidR="00925119">
        <w:rPr>
          <w:rFonts w:ascii="Garamond" w:hAnsi="Garamond"/>
          <w:sz w:val="24"/>
          <w:szCs w:val="24"/>
        </w:rPr>
        <w:t xml:space="preserve">what are considered relevant and irrelevant conflict related concerns. </w:t>
      </w:r>
      <w:r>
        <w:rPr>
          <w:rFonts w:ascii="Garamond" w:hAnsi="Garamond"/>
          <w:sz w:val="24"/>
          <w:szCs w:val="24"/>
        </w:rPr>
        <w:t xml:space="preserve">By </w:t>
      </w:r>
      <w:r w:rsidR="00FC439D">
        <w:rPr>
          <w:rFonts w:ascii="Garamond" w:hAnsi="Garamond"/>
          <w:sz w:val="24"/>
          <w:szCs w:val="24"/>
        </w:rPr>
        <w:t>including</w:t>
      </w:r>
      <w:r>
        <w:rPr>
          <w:rFonts w:ascii="Garamond" w:hAnsi="Garamond"/>
          <w:sz w:val="24"/>
          <w:szCs w:val="24"/>
        </w:rPr>
        <w:t xml:space="preserve"> women’s activism, we are made aware of a variety of issues that might not be considered conflict-related by male-dominated political groups</w:t>
      </w:r>
      <w:r w:rsidR="006E01B3">
        <w:rPr>
          <w:rFonts w:ascii="Garamond" w:hAnsi="Garamond"/>
          <w:sz w:val="24"/>
          <w:szCs w:val="24"/>
        </w:rPr>
        <w:t>. One such issue is</w:t>
      </w:r>
      <w:r w:rsidR="00BF105E">
        <w:rPr>
          <w:rFonts w:ascii="Garamond" w:hAnsi="Garamond"/>
          <w:sz w:val="24"/>
          <w:szCs w:val="24"/>
        </w:rPr>
        <w:t xml:space="preserve"> </w:t>
      </w:r>
      <w:r>
        <w:rPr>
          <w:rFonts w:ascii="Garamond" w:hAnsi="Garamond"/>
          <w:sz w:val="24"/>
          <w:szCs w:val="24"/>
        </w:rPr>
        <w:t xml:space="preserve">sexual </w:t>
      </w:r>
      <w:r w:rsidR="006E01B3">
        <w:rPr>
          <w:rFonts w:ascii="Garamond" w:hAnsi="Garamond"/>
          <w:sz w:val="24"/>
          <w:szCs w:val="24"/>
        </w:rPr>
        <w:t>and</w:t>
      </w:r>
      <w:r>
        <w:rPr>
          <w:rFonts w:ascii="Garamond" w:hAnsi="Garamond"/>
          <w:sz w:val="24"/>
          <w:szCs w:val="24"/>
        </w:rPr>
        <w:t xml:space="preserve"> domestic violence</w:t>
      </w:r>
      <w:r w:rsidR="006E01B3">
        <w:rPr>
          <w:rFonts w:ascii="Garamond" w:hAnsi="Garamond"/>
          <w:sz w:val="24"/>
          <w:szCs w:val="24"/>
        </w:rPr>
        <w:t xml:space="preserve"> (of relevance to all contexts mentioned here, but particularly cited in Cockbu</w:t>
      </w:r>
      <w:r w:rsidR="002B3EE7">
        <w:rPr>
          <w:rFonts w:ascii="Garamond" w:hAnsi="Garamond"/>
          <w:sz w:val="24"/>
          <w:szCs w:val="24"/>
        </w:rPr>
        <w:t>rn’s work</w:t>
      </w:r>
      <w:r w:rsidR="006E01B3">
        <w:rPr>
          <w:rFonts w:ascii="Garamond" w:hAnsi="Garamond"/>
          <w:sz w:val="24"/>
          <w:szCs w:val="24"/>
        </w:rPr>
        <w:t xml:space="preserve"> on the Medica Health centre, run by women for women during the war in Bosnia-Herzegovina in the 1990s)</w:t>
      </w:r>
      <w:r w:rsidR="00BF105E">
        <w:rPr>
          <w:rFonts w:ascii="Garamond" w:hAnsi="Garamond"/>
          <w:sz w:val="24"/>
          <w:szCs w:val="24"/>
        </w:rPr>
        <w:t>.</w:t>
      </w:r>
      <w:r w:rsidR="002B3EE7">
        <w:rPr>
          <w:rStyle w:val="EndnoteReference"/>
          <w:rFonts w:ascii="Garamond" w:hAnsi="Garamond"/>
          <w:sz w:val="24"/>
          <w:szCs w:val="24"/>
        </w:rPr>
        <w:endnoteReference w:id="44"/>
      </w:r>
      <w:r w:rsidR="00FC439D">
        <w:rPr>
          <w:rFonts w:ascii="Garamond" w:hAnsi="Garamond"/>
          <w:sz w:val="24"/>
          <w:szCs w:val="24"/>
        </w:rPr>
        <w:t xml:space="preserve"> </w:t>
      </w:r>
      <w:r w:rsidR="00596771">
        <w:rPr>
          <w:rFonts w:ascii="Garamond" w:hAnsi="Garamond"/>
          <w:sz w:val="24"/>
          <w:szCs w:val="24"/>
        </w:rPr>
        <w:t>A lack of attention paid to</w:t>
      </w:r>
      <w:r w:rsidR="005B6CF7">
        <w:rPr>
          <w:rFonts w:ascii="Garamond" w:hAnsi="Garamond"/>
          <w:sz w:val="24"/>
          <w:szCs w:val="24"/>
        </w:rPr>
        <w:t xml:space="preserve"> the specific type of violence that women have faced </w:t>
      </w:r>
      <w:r w:rsidR="00596771">
        <w:rPr>
          <w:rFonts w:ascii="Garamond" w:hAnsi="Garamond"/>
          <w:sz w:val="24"/>
          <w:szCs w:val="24"/>
        </w:rPr>
        <w:t xml:space="preserve">during conflict </w:t>
      </w:r>
      <w:r w:rsidR="005B6CF7">
        <w:rPr>
          <w:rFonts w:ascii="Garamond" w:hAnsi="Garamond"/>
          <w:sz w:val="24"/>
          <w:szCs w:val="24"/>
        </w:rPr>
        <w:t>within consociational peace agreements results in a biased peace agreement</w:t>
      </w:r>
      <w:r w:rsidR="00596771">
        <w:rPr>
          <w:rFonts w:ascii="Garamond" w:hAnsi="Garamond"/>
          <w:sz w:val="24"/>
          <w:szCs w:val="24"/>
        </w:rPr>
        <w:t xml:space="preserve">. </w:t>
      </w:r>
      <w:r w:rsidR="00596771">
        <w:rPr>
          <w:rFonts w:ascii="Garamond" w:hAnsi="Garamond"/>
          <w:sz w:val="24"/>
          <w:szCs w:val="24"/>
        </w:rPr>
        <w:lastRenderedPageBreak/>
        <w:t>Instead, it creates a frame</w:t>
      </w:r>
      <w:r w:rsidR="0057033D">
        <w:rPr>
          <w:rFonts w:ascii="Garamond" w:hAnsi="Garamond"/>
          <w:sz w:val="24"/>
          <w:szCs w:val="24"/>
        </w:rPr>
        <w:t>work</w:t>
      </w:r>
      <w:r w:rsidR="00596771">
        <w:rPr>
          <w:rFonts w:ascii="Garamond" w:hAnsi="Garamond"/>
          <w:sz w:val="24"/>
          <w:szCs w:val="24"/>
        </w:rPr>
        <w:t xml:space="preserve"> for peace</w:t>
      </w:r>
      <w:r w:rsidR="005B6CF7">
        <w:rPr>
          <w:rFonts w:ascii="Garamond" w:hAnsi="Garamond"/>
          <w:sz w:val="24"/>
          <w:szCs w:val="24"/>
        </w:rPr>
        <w:t xml:space="preserve"> which understands violence largely as public, male on male violence and neglects to appreciate t</w:t>
      </w:r>
      <w:r w:rsidR="00596771">
        <w:rPr>
          <w:rFonts w:ascii="Garamond" w:hAnsi="Garamond"/>
          <w:sz w:val="24"/>
          <w:szCs w:val="24"/>
        </w:rPr>
        <w:t>he</w:t>
      </w:r>
      <w:r w:rsidR="005B6CF7">
        <w:rPr>
          <w:rFonts w:ascii="Garamond" w:hAnsi="Garamond"/>
          <w:sz w:val="24"/>
          <w:szCs w:val="24"/>
        </w:rPr>
        <w:t xml:space="preserve"> specific harms that women have faced. As a result, an impartial peace is proposed and </w:t>
      </w:r>
      <w:r w:rsidR="00596771">
        <w:rPr>
          <w:rFonts w:ascii="Garamond" w:hAnsi="Garamond"/>
          <w:sz w:val="24"/>
          <w:szCs w:val="24"/>
        </w:rPr>
        <w:t>domestic</w:t>
      </w:r>
      <w:r w:rsidR="005B6CF7">
        <w:rPr>
          <w:rFonts w:ascii="Garamond" w:hAnsi="Garamond"/>
          <w:sz w:val="24"/>
          <w:szCs w:val="24"/>
        </w:rPr>
        <w:t xml:space="preserve"> violence remains hidden and unaddressed. </w:t>
      </w:r>
      <w:r w:rsidR="0057033D">
        <w:rPr>
          <w:rFonts w:ascii="Garamond" w:hAnsi="Garamond"/>
          <w:sz w:val="24"/>
          <w:szCs w:val="24"/>
        </w:rPr>
        <w:t>Issues related to reproductive health and rights also frequently remain marginalised in male dominated peace agreements, yet have huge impacts on women’s quality of life and abilit</w:t>
      </w:r>
      <w:r w:rsidR="008767DB">
        <w:rPr>
          <w:rFonts w:ascii="Garamond" w:hAnsi="Garamond"/>
          <w:sz w:val="24"/>
          <w:szCs w:val="24"/>
        </w:rPr>
        <w:t>y to participate in public life.</w:t>
      </w:r>
      <w:r w:rsidR="008767DB">
        <w:rPr>
          <w:rStyle w:val="EndnoteReference"/>
          <w:rFonts w:ascii="Garamond" w:hAnsi="Garamond"/>
          <w:sz w:val="24"/>
          <w:szCs w:val="24"/>
        </w:rPr>
        <w:endnoteReference w:id="45"/>
      </w:r>
    </w:p>
    <w:p w14:paraId="6FE60E6D" w14:textId="77777777" w:rsidR="0057033D" w:rsidRDefault="0057033D" w:rsidP="00CC63F8">
      <w:pPr>
        <w:spacing w:line="276" w:lineRule="auto"/>
        <w:jc w:val="both"/>
        <w:rPr>
          <w:rFonts w:ascii="Garamond" w:hAnsi="Garamond"/>
          <w:sz w:val="24"/>
          <w:szCs w:val="24"/>
        </w:rPr>
      </w:pPr>
    </w:p>
    <w:p w14:paraId="2B276DB8" w14:textId="455884A9" w:rsidR="00925119" w:rsidRDefault="00FC439D" w:rsidP="00CC63F8">
      <w:pPr>
        <w:spacing w:line="276" w:lineRule="auto"/>
        <w:jc w:val="both"/>
        <w:rPr>
          <w:rFonts w:ascii="Garamond" w:hAnsi="Garamond"/>
          <w:sz w:val="24"/>
          <w:szCs w:val="24"/>
        </w:rPr>
      </w:pPr>
      <w:r>
        <w:rPr>
          <w:rFonts w:ascii="Garamond" w:hAnsi="Garamond"/>
          <w:sz w:val="24"/>
          <w:szCs w:val="24"/>
        </w:rPr>
        <w:t>The work of women’s groups has also facilitated understanding of how supposedly gender-neutral conflict issues are implicitly gendered</w:t>
      </w:r>
      <w:r w:rsidR="008365AB">
        <w:rPr>
          <w:rFonts w:ascii="Garamond" w:hAnsi="Garamond"/>
          <w:sz w:val="24"/>
          <w:szCs w:val="24"/>
        </w:rPr>
        <w:t xml:space="preserve"> -</w:t>
      </w:r>
      <w:r>
        <w:rPr>
          <w:rFonts w:ascii="Garamond" w:hAnsi="Garamond"/>
          <w:sz w:val="24"/>
          <w:szCs w:val="24"/>
        </w:rPr>
        <w:t xml:space="preserve"> for example, the reintegration of ex-combatants. Female ex-combatants have been exiled f</w:t>
      </w:r>
      <w:r w:rsidR="005F45F5">
        <w:rPr>
          <w:rFonts w:ascii="Garamond" w:hAnsi="Garamond"/>
          <w:sz w:val="24"/>
          <w:szCs w:val="24"/>
        </w:rPr>
        <w:t>ro</w:t>
      </w:r>
      <w:r>
        <w:rPr>
          <w:rFonts w:ascii="Garamond" w:hAnsi="Garamond"/>
          <w:sz w:val="24"/>
          <w:szCs w:val="24"/>
        </w:rPr>
        <w:t>m conservative communities post-conflict and have often suffered sexual violence from those within their ran</w:t>
      </w:r>
      <w:r w:rsidR="002B3EE7">
        <w:rPr>
          <w:rFonts w:ascii="Garamond" w:hAnsi="Garamond"/>
          <w:sz w:val="24"/>
          <w:szCs w:val="24"/>
        </w:rPr>
        <w:t>ks</w:t>
      </w:r>
      <w:r>
        <w:rPr>
          <w:rFonts w:ascii="Garamond" w:hAnsi="Garamond"/>
          <w:sz w:val="24"/>
          <w:szCs w:val="24"/>
        </w:rPr>
        <w:t>.</w:t>
      </w:r>
      <w:r w:rsidR="002B3EE7">
        <w:rPr>
          <w:rStyle w:val="EndnoteReference"/>
          <w:rFonts w:ascii="Garamond" w:hAnsi="Garamond"/>
          <w:sz w:val="24"/>
          <w:szCs w:val="24"/>
        </w:rPr>
        <w:endnoteReference w:id="46"/>
      </w:r>
      <w:r w:rsidR="009157AE">
        <w:rPr>
          <w:rFonts w:ascii="Garamond" w:hAnsi="Garamond"/>
          <w:sz w:val="24"/>
          <w:szCs w:val="24"/>
        </w:rPr>
        <w:t xml:space="preserve"> </w:t>
      </w:r>
      <w:r w:rsidR="006E01B3">
        <w:rPr>
          <w:rFonts w:ascii="Garamond" w:hAnsi="Garamond"/>
          <w:sz w:val="24"/>
          <w:szCs w:val="24"/>
        </w:rPr>
        <w:t>With an understanding of the specific ways that conflict impact</w:t>
      </w:r>
      <w:r>
        <w:rPr>
          <w:rFonts w:ascii="Garamond" w:hAnsi="Garamond"/>
          <w:sz w:val="24"/>
          <w:szCs w:val="24"/>
        </w:rPr>
        <w:t>s</w:t>
      </w:r>
      <w:r w:rsidR="006E01B3">
        <w:rPr>
          <w:rFonts w:ascii="Garamond" w:hAnsi="Garamond"/>
          <w:sz w:val="24"/>
          <w:szCs w:val="24"/>
        </w:rPr>
        <w:t xml:space="preserve"> </w:t>
      </w:r>
      <w:r w:rsidR="00A567FA">
        <w:rPr>
          <w:rFonts w:ascii="Garamond" w:hAnsi="Garamond"/>
          <w:sz w:val="24"/>
          <w:szCs w:val="24"/>
        </w:rPr>
        <w:t xml:space="preserve">upon </w:t>
      </w:r>
      <w:r w:rsidR="006E01B3">
        <w:rPr>
          <w:rFonts w:ascii="Garamond" w:hAnsi="Garamond"/>
          <w:sz w:val="24"/>
          <w:szCs w:val="24"/>
        </w:rPr>
        <w:t>women</w:t>
      </w:r>
      <w:r w:rsidR="009157AE">
        <w:rPr>
          <w:rFonts w:ascii="Garamond" w:hAnsi="Garamond"/>
          <w:sz w:val="24"/>
          <w:szCs w:val="24"/>
        </w:rPr>
        <w:t>, a broader appreciation of what the ‘conflict’ really entailed</w:t>
      </w:r>
      <w:r w:rsidR="00A567FA">
        <w:rPr>
          <w:rFonts w:ascii="Garamond" w:hAnsi="Garamond"/>
          <w:sz w:val="24"/>
          <w:szCs w:val="24"/>
        </w:rPr>
        <w:t xml:space="preserve">, beyond traditional understandings of </w:t>
      </w:r>
      <w:r w:rsidR="00596771">
        <w:rPr>
          <w:rFonts w:ascii="Garamond" w:hAnsi="Garamond"/>
          <w:sz w:val="24"/>
          <w:szCs w:val="24"/>
        </w:rPr>
        <w:t xml:space="preserve">public, </w:t>
      </w:r>
      <w:r w:rsidR="008365AB">
        <w:rPr>
          <w:rFonts w:ascii="Garamond" w:hAnsi="Garamond"/>
          <w:sz w:val="24"/>
          <w:szCs w:val="24"/>
        </w:rPr>
        <w:t xml:space="preserve">male-dominated </w:t>
      </w:r>
      <w:r w:rsidR="00A567FA">
        <w:rPr>
          <w:rFonts w:ascii="Garamond" w:hAnsi="Garamond"/>
          <w:sz w:val="24"/>
          <w:szCs w:val="24"/>
        </w:rPr>
        <w:t>violen</w:t>
      </w:r>
      <w:r>
        <w:rPr>
          <w:rFonts w:ascii="Garamond" w:hAnsi="Garamond"/>
          <w:sz w:val="24"/>
          <w:szCs w:val="24"/>
        </w:rPr>
        <w:t>c</w:t>
      </w:r>
      <w:r w:rsidR="00A567FA">
        <w:rPr>
          <w:rFonts w:ascii="Garamond" w:hAnsi="Garamond"/>
          <w:sz w:val="24"/>
          <w:szCs w:val="24"/>
        </w:rPr>
        <w:t>e,</w:t>
      </w:r>
      <w:r w:rsidR="009157AE">
        <w:rPr>
          <w:rFonts w:ascii="Garamond" w:hAnsi="Garamond"/>
          <w:sz w:val="24"/>
          <w:szCs w:val="24"/>
        </w:rPr>
        <w:t xml:space="preserve"> </w:t>
      </w:r>
      <w:r w:rsidR="006E01B3">
        <w:rPr>
          <w:rFonts w:ascii="Garamond" w:hAnsi="Garamond"/>
          <w:sz w:val="24"/>
          <w:szCs w:val="24"/>
        </w:rPr>
        <w:t>can be seen</w:t>
      </w:r>
      <w:r w:rsidR="009157AE">
        <w:rPr>
          <w:rFonts w:ascii="Garamond" w:hAnsi="Garamond"/>
          <w:sz w:val="24"/>
          <w:szCs w:val="24"/>
        </w:rPr>
        <w:t xml:space="preserve">.  Similarly, </w:t>
      </w:r>
      <w:r w:rsidR="002B2B02">
        <w:rPr>
          <w:rFonts w:ascii="Garamond" w:hAnsi="Garamond"/>
          <w:sz w:val="24"/>
          <w:szCs w:val="24"/>
        </w:rPr>
        <w:t>by looking beyond the formal realm of political parties, elected leaders and peace negotiation</w:t>
      </w:r>
      <w:r w:rsidR="00BF105E">
        <w:rPr>
          <w:rFonts w:ascii="Garamond" w:hAnsi="Garamond"/>
          <w:sz w:val="24"/>
          <w:szCs w:val="24"/>
        </w:rPr>
        <w:t>s</w:t>
      </w:r>
      <w:r w:rsidR="002B2B02">
        <w:rPr>
          <w:rFonts w:ascii="Garamond" w:hAnsi="Garamond"/>
          <w:sz w:val="24"/>
          <w:szCs w:val="24"/>
        </w:rPr>
        <w:t xml:space="preserve"> to women’s organisations, we can see a wider definition of </w:t>
      </w:r>
      <w:r w:rsidR="006E01B3">
        <w:rPr>
          <w:rFonts w:ascii="Garamond" w:hAnsi="Garamond"/>
          <w:sz w:val="24"/>
          <w:szCs w:val="24"/>
        </w:rPr>
        <w:t>‘</w:t>
      </w:r>
      <w:r w:rsidR="002B2B02">
        <w:rPr>
          <w:rFonts w:ascii="Garamond" w:hAnsi="Garamond"/>
          <w:sz w:val="24"/>
          <w:szCs w:val="24"/>
        </w:rPr>
        <w:t>politics</w:t>
      </w:r>
      <w:r w:rsidR="006E01B3">
        <w:rPr>
          <w:rFonts w:ascii="Garamond" w:hAnsi="Garamond"/>
          <w:sz w:val="24"/>
          <w:szCs w:val="24"/>
        </w:rPr>
        <w:t>’</w:t>
      </w:r>
      <w:r w:rsidR="002B2B02">
        <w:rPr>
          <w:rFonts w:ascii="Garamond" w:hAnsi="Garamond"/>
          <w:sz w:val="24"/>
          <w:szCs w:val="24"/>
        </w:rPr>
        <w:t xml:space="preserve"> – politics as grassroots networking, activism and community-based work beyond the formal sphere. </w:t>
      </w:r>
      <w:r w:rsidR="00925119">
        <w:rPr>
          <w:rFonts w:ascii="Garamond" w:hAnsi="Garamond"/>
          <w:sz w:val="24"/>
          <w:szCs w:val="24"/>
        </w:rPr>
        <w:t xml:space="preserve">An attentiveness to women’s activism helps </w:t>
      </w:r>
      <w:r w:rsidR="00BF105E">
        <w:rPr>
          <w:rFonts w:ascii="Garamond" w:hAnsi="Garamond"/>
          <w:sz w:val="24"/>
          <w:szCs w:val="24"/>
        </w:rPr>
        <w:t xml:space="preserve">therefore </w:t>
      </w:r>
      <w:r w:rsidR="00925119">
        <w:rPr>
          <w:rFonts w:ascii="Garamond" w:hAnsi="Garamond"/>
          <w:sz w:val="24"/>
          <w:szCs w:val="24"/>
        </w:rPr>
        <w:t xml:space="preserve">to expand our </w:t>
      </w:r>
      <w:r w:rsidR="00A567FA">
        <w:rPr>
          <w:rFonts w:ascii="Garamond" w:hAnsi="Garamond"/>
          <w:sz w:val="24"/>
          <w:szCs w:val="24"/>
        </w:rPr>
        <w:t>understanding</w:t>
      </w:r>
      <w:r w:rsidR="00925119">
        <w:rPr>
          <w:rFonts w:ascii="Garamond" w:hAnsi="Garamond"/>
          <w:sz w:val="24"/>
          <w:szCs w:val="24"/>
        </w:rPr>
        <w:t xml:space="preserve"> of what ‘conflict’ and ‘polit</w:t>
      </w:r>
      <w:r w:rsidR="002B2B02">
        <w:rPr>
          <w:rFonts w:ascii="Garamond" w:hAnsi="Garamond"/>
          <w:sz w:val="24"/>
          <w:szCs w:val="24"/>
        </w:rPr>
        <w:t>ics’ means in divided societies. When we turn to consider the bases from whi</w:t>
      </w:r>
      <w:r w:rsidR="006E01B3">
        <w:rPr>
          <w:rFonts w:ascii="Garamond" w:hAnsi="Garamond"/>
          <w:sz w:val="24"/>
          <w:szCs w:val="24"/>
        </w:rPr>
        <w:t>ch power-sharing is built,</w:t>
      </w:r>
      <w:r w:rsidR="002B2B02">
        <w:rPr>
          <w:rFonts w:ascii="Garamond" w:hAnsi="Garamond"/>
          <w:sz w:val="24"/>
          <w:szCs w:val="24"/>
        </w:rPr>
        <w:t xml:space="preserve"> discuss</w:t>
      </w:r>
      <w:r w:rsidR="006E01B3">
        <w:rPr>
          <w:rFonts w:ascii="Garamond" w:hAnsi="Garamond"/>
          <w:sz w:val="24"/>
          <w:szCs w:val="24"/>
        </w:rPr>
        <w:t>ed</w:t>
      </w:r>
      <w:r w:rsidR="002B2B02">
        <w:rPr>
          <w:rFonts w:ascii="Garamond" w:hAnsi="Garamond"/>
          <w:sz w:val="24"/>
          <w:szCs w:val="24"/>
        </w:rPr>
        <w:t xml:space="preserve"> below, this </w:t>
      </w:r>
      <w:r w:rsidR="00BF105E">
        <w:rPr>
          <w:rFonts w:ascii="Garamond" w:hAnsi="Garamond"/>
          <w:sz w:val="24"/>
          <w:szCs w:val="24"/>
        </w:rPr>
        <w:t xml:space="preserve">acknowledgement </w:t>
      </w:r>
      <w:r w:rsidR="002B2B02">
        <w:rPr>
          <w:rFonts w:ascii="Garamond" w:hAnsi="Garamond"/>
          <w:sz w:val="24"/>
          <w:szCs w:val="24"/>
        </w:rPr>
        <w:t>acts to highlight the relatively conservative understandings of these terms that consociational power-sharing is working with</w:t>
      </w:r>
      <w:r w:rsidR="00925119">
        <w:rPr>
          <w:rFonts w:ascii="Garamond" w:hAnsi="Garamond"/>
          <w:sz w:val="24"/>
          <w:szCs w:val="24"/>
        </w:rPr>
        <w:t>.</w:t>
      </w:r>
    </w:p>
    <w:p w14:paraId="385FD7DC" w14:textId="77777777" w:rsidR="00546FBA" w:rsidRDefault="00546FBA" w:rsidP="00CC63F8">
      <w:pPr>
        <w:spacing w:line="276" w:lineRule="auto"/>
        <w:jc w:val="both"/>
        <w:rPr>
          <w:rFonts w:ascii="Garamond" w:hAnsi="Garamond"/>
          <w:sz w:val="24"/>
          <w:szCs w:val="24"/>
          <w:u w:val="single"/>
        </w:rPr>
      </w:pPr>
      <w:r w:rsidRPr="006741F9">
        <w:rPr>
          <w:rFonts w:ascii="Garamond" w:hAnsi="Garamond"/>
          <w:sz w:val="24"/>
          <w:szCs w:val="24"/>
          <w:u w:val="single"/>
        </w:rPr>
        <w:t>Consociational theory and civil society</w:t>
      </w:r>
    </w:p>
    <w:p w14:paraId="4FE8D502" w14:textId="47A4AEEF" w:rsidR="006C0413" w:rsidRPr="00EA637E" w:rsidRDefault="00377718" w:rsidP="00CC63F8">
      <w:pPr>
        <w:spacing w:line="276" w:lineRule="auto"/>
        <w:jc w:val="both"/>
        <w:rPr>
          <w:rFonts w:ascii="Garamond" w:hAnsi="Garamond"/>
          <w:sz w:val="24"/>
          <w:szCs w:val="24"/>
        </w:rPr>
      </w:pPr>
      <w:r>
        <w:rPr>
          <w:rFonts w:ascii="Garamond" w:hAnsi="Garamond"/>
          <w:sz w:val="24"/>
          <w:szCs w:val="24"/>
        </w:rPr>
        <w:t xml:space="preserve">As </w:t>
      </w:r>
      <w:r w:rsidR="006E01B3">
        <w:rPr>
          <w:rFonts w:ascii="Garamond" w:hAnsi="Garamond"/>
          <w:sz w:val="24"/>
          <w:szCs w:val="24"/>
        </w:rPr>
        <w:t xml:space="preserve">argued </w:t>
      </w:r>
      <w:r>
        <w:rPr>
          <w:rFonts w:ascii="Garamond" w:hAnsi="Garamond"/>
          <w:sz w:val="24"/>
          <w:szCs w:val="24"/>
        </w:rPr>
        <w:t xml:space="preserve">above, women’s activism in divided societies has been </w:t>
      </w:r>
      <w:r w:rsidR="006E01B3">
        <w:rPr>
          <w:rFonts w:ascii="Garamond" w:hAnsi="Garamond"/>
          <w:sz w:val="24"/>
          <w:szCs w:val="24"/>
        </w:rPr>
        <w:t>clear across multiple contexts</w:t>
      </w:r>
      <w:r>
        <w:rPr>
          <w:rFonts w:ascii="Garamond" w:hAnsi="Garamond"/>
          <w:sz w:val="24"/>
          <w:szCs w:val="24"/>
        </w:rPr>
        <w:t>. Yet a</w:t>
      </w:r>
      <w:r w:rsidR="00D765D5">
        <w:rPr>
          <w:rFonts w:ascii="Garamond" w:hAnsi="Garamond"/>
          <w:sz w:val="24"/>
          <w:szCs w:val="24"/>
        </w:rPr>
        <w:t>dapting consociation</w:t>
      </w:r>
      <w:r w:rsidR="000156D1">
        <w:rPr>
          <w:rFonts w:ascii="Garamond" w:hAnsi="Garamond"/>
          <w:sz w:val="24"/>
          <w:szCs w:val="24"/>
        </w:rPr>
        <w:t>al</w:t>
      </w:r>
      <w:r w:rsidR="00D765D5">
        <w:rPr>
          <w:rFonts w:ascii="Garamond" w:hAnsi="Garamond"/>
          <w:sz w:val="24"/>
          <w:szCs w:val="24"/>
        </w:rPr>
        <w:t xml:space="preserve"> theory to be more accommodating to the interests and work of civil society appears, from the outset, difficult. </w:t>
      </w:r>
      <w:r w:rsidR="006C0413" w:rsidRPr="00EA637E">
        <w:rPr>
          <w:rFonts w:ascii="Garamond" w:hAnsi="Garamond"/>
          <w:sz w:val="24"/>
          <w:szCs w:val="24"/>
        </w:rPr>
        <w:t>C</w:t>
      </w:r>
      <w:r w:rsidR="00EA637E">
        <w:rPr>
          <w:rFonts w:ascii="Garamond" w:hAnsi="Garamond"/>
          <w:sz w:val="24"/>
          <w:szCs w:val="24"/>
        </w:rPr>
        <w:t>onsociational power-sharing</w:t>
      </w:r>
      <w:r w:rsidR="006C0413" w:rsidRPr="00EA637E">
        <w:rPr>
          <w:rFonts w:ascii="Garamond" w:hAnsi="Garamond"/>
          <w:sz w:val="24"/>
          <w:szCs w:val="24"/>
        </w:rPr>
        <w:t xml:space="preserve"> is </w:t>
      </w:r>
      <w:r w:rsidR="00EA637E">
        <w:rPr>
          <w:rFonts w:ascii="Garamond" w:hAnsi="Garamond"/>
          <w:sz w:val="24"/>
          <w:szCs w:val="24"/>
        </w:rPr>
        <w:t>designed</w:t>
      </w:r>
      <w:r w:rsidR="00546FBA">
        <w:rPr>
          <w:rFonts w:ascii="Garamond" w:hAnsi="Garamond"/>
          <w:sz w:val="24"/>
          <w:szCs w:val="24"/>
        </w:rPr>
        <w:t>, and theorised in the literature</w:t>
      </w:r>
      <w:r w:rsidR="00D765D5">
        <w:rPr>
          <w:rFonts w:ascii="Garamond" w:hAnsi="Garamond"/>
          <w:sz w:val="24"/>
          <w:szCs w:val="24"/>
        </w:rPr>
        <w:t xml:space="preserve"> described above</w:t>
      </w:r>
      <w:r w:rsidR="00546FBA">
        <w:rPr>
          <w:rFonts w:ascii="Garamond" w:hAnsi="Garamond"/>
          <w:sz w:val="24"/>
          <w:szCs w:val="24"/>
        </w:rPr>
        <w:t>,</w:t>
      </w:r>
      <w:r w:rsidR="00EA637E">
        <w:rPr>
          <w:rFonts w:ascii="Garamond" w:hAnsi="Garamond"/>
          <w:sz w:val="24"/>
          <w:szCs w:val="24"/>
        </w:rPr>
        <w:t xml:space="preserve"> in a top-down manner. It</w:t>
      </w:r>
      <w:r w:rsidR="006C0413" w:rsidRPr="00EA637E">
        <w:rPr>
          <w:rFonts w:ascii="Garamond" w:hAnsi="Garamond"/>
          <w:sz w:val="24"/>
          <w:szCs w:val="24"/>
        </w:rPr>
        <w:t xml:space="preserve"> focusse</w:t>
      </w:r>
      <w:r w:rsidR="00EA637E">
        <w:rPr>
          <w:rFonts w:ascii="Garamond" w:hAnsi="Garamond"/>
          <w:sz w:val="24"/>
          <w:szCs w:val="24"/>
        </w:rPr>
        <w:t>s predominantly</w:t>
      </w:r>
      <w:r w:rsidR="006C0413" w:rsidRPr="00EA637E">
        <w:rPr>
          <w:rFonts w:ascii="Garamond" w:hAnsi="Garamond"/>
          <w:sz w:val="24"/>
          <w:szCs w:val="24"/>
        </w:rPr>
        <w:t xml:space="preserve"> on the elite level of formal political structures,</w:t>
      </w:r>
      <w:r w:rsidR="002B22A1">
        <w:rPr>
          <w:rFonts w:ascii="Garamond" w:hAnsi="Garamond"/>
          <w:sz w:val="24"/>
          <w:szCs w:val="24"/>
        </w:rPr>
        <w:t xml:space="preserve"> with</w:t>
      </w:r>
      <w:r w:rsidR="006C0413" w:rsidRPr="00EA637E">
        <w:rPr>
          <w:rFonts w:ascii="Garamond" w:hAnsi="Garamond"/>
          <w:sz w:val="24"/>
          <w:szCs w:val="24"/>
        </w:rPr>
        <w:t xml:space="preserve"> little understanding of civil society.</w:t>
      </w:r>
      <w:r w:rsidR="002B22A1">
        <w:rPr>
          <w:rFonts w:ascii="Garamond" w:hAnsi="Garamond"/>
          <w:sz w:val="24"/>
          <w:szCs w:val="24"/>
        </w:rPr>
        <w:t xml:space="preserve"> Even in peace a</w:t>
      </w:r>
      <w:r w:rsidR="00596771">
        <w:rPr>
          <w:rFonts w:ascii="Garamond" w:hAnsi="Garamond"/>
          <w:sz w:val="24"/>
          <w:szCs w:val="24"/>
        </w:rPr>
        <w:t>greements which are fairly wide-</w:t>
      </w:r>
      <w:r w:rsidR="002B22A1">
        <w:rPr>
          <w:rFonts w:ascii="Garamond" w:hAnsi="Garamond"/>
          <w:sz w:val="24"/>
          <w:szCs w:val="24"/>
        </w:rPr>
        <w:t>ranging, such as the Northern Ir</w:t>
      </w:r>
      <w:r w:rsidR="008767DB">
        <w:rPr>
          <w:rFonts w:ascii="Garamond" w:hAnsi="Garamond"/>
          <w:sz w:val="24"/>
          <w:szCs w:val="24"/>
        </w:rPr>
        <w:t>eland</w:t>
      </w:r>
      <w:r w:rsidR="002B22A1">
        <w:rPr>
          <w:rFonts w:ascii="Garamond" w:hAnsi="Garamond"/>
          <w:sz w:val="24"/>
          <w:szCs w:val="24"/>
        </w:rPr>
        <w:t xml:space="preserve"> Good Friday Agreement, the additional features which are considered </w:t>
      </w:r>
      <w:r w:rsidR="005B6CF7">
        <w:rPr>
          <w:rFonts w:ascii="Garamond" w:hAnsi="Garamond"/>
          <w:sz w:val="24"/>
          <w:szCs w:val="24"/>
        </w:rPr>
        <w:t>still largely refer to the formal political structures</w:t>
      </w:r>
      <w:r w:rsidR="002B22A1">
        <w:rPr>
          <w:rFonts w:ascii="Garamond" w:hAnsi="Garamond"/>
          <w:sz w:val="24"/>
          <w:szCs w:val="24"/>
        </w:rPr>
        <w:t xml:space="preserve"> (</w:t>
      </w:r>
      <w:r w:rsidR="005B6CF7">
        <w:rPr>
          <w:rFonts w:ascii="Garamond" w:hAnsi="Garamond"/>
          <w:sz w:val="24"/>
          <w:szCs w:val="24"/>
        </w:rPr>
        <w:t xml:space="preserve">for example </w:t>
      </w:r>
      <w:r w:rsidR="002B22A1">
        <w:rPr>
          <w:rFonts w:ascii="Garamond" w:hAnsi="Garamond"/>
          <w:sz w:val="24"/>
          <w:szCs w:val="24"/>
        </w:rPr>
        <w:t>the changes to the Police Service,</w:t>
      </w:r>
      <w:r w:rsidR="005B6CF7">
        <w:rPr>
          <w:rFonts w:ascii="Garamond" w:hAnsi="Garamond"/>
          <w:sz w:val="24"/>
          <w:szCs w:val="24"/>
        </w:rPr>
        <w:t xml:space="preserve"> or</w:t>
      </w:r>
      <w:r w:rsidR="002B22A1">
        <w:rPr>
          <w:rFonts w:ascii="Garamond" w:hAnsi="Garamond"/>
          <w:sz w:val="24"/>
          <w:szCs w:val="24"/>
        </w:rPr>
        <w:t xml:space="preserve"> the emphasis</w:t>
      </w:r>
      <w:r w:rsidR="005B6CF7">
        <w:rPr>
          <w:rFonts w:ascii="Garamond" w:hAnsi="Garamond"/>
          <w:sz w:val="24"/>
          <w:szCs w:val="24"/>
        </w:rPr>
        <w:t xml:space="preserve"> that the Agreement places</w:t>
      </w:r>
      <w:r w:rsidR="002B22A1">
        <w:rPr>
          <w:rFonts w:ascii="Garamond" w:hAnsi="Garamond"/>
          <w:sz w:val="24"/>
          <w:szCs w:val="24"/>
        </w:rPr>
        <w:t xml:space="preserve"> on human rights law)</w:t>
      </w:r>
      <w:r w:rsidR="006F455E">
        <w:rPr>
          <w:rFonts w:ascii="Garamond" w:hAnsi="Garamond"/>
          <w:sz w:val="24"/>
          <w:szCs w:val="24"/>
        </w:rPr>
        <w:t>. Likewise, the Ohrid Framework Agreement makes reference to the police, arrangements for the Constitutional Court and language in public venues and schools.</w:t>
      </w:r>
      <w:r w:rsidR="00D765D5">
        <w:rPr>
          <w:rFonts w:ascii="Garamond" w:hAnsi="Garamond"/>
          <w:sz w:val="24"/>
          <w:szCs w:val="24"/>
        </w:rPr>
        <w:t xml:space="preserve"> It too is </w:t>
      </w:r>
      <w:r w:rsidR="00596771">
        <w:rPr>
          <w:rFonts w:ascii="Garamond" w:hAnsi="Garamond"/>
          <w:sz w:val="24"/>
          <w:szCs w:val="24"/>
        </w:rPr>
        <w:t xml:space="preserve">a </w:t>
      </w:r>
      <w:r w:rsidR="00D765D5">
        <w:rPr>
          <w:rFonts w:ascii="Garamond" w:hAnsi="Garamond"/>
          <w:sz w:val="24"/>
          <w:szCs w:val="24"/>
        </w:rPr>
        <w:t>wide-</w:t>
      </w:r>
      <w:r w:rsidR="00596771">
        <w:rPr>
          <w:rFonts w:ascii="Garamond" w:hAnsi="Garamond"/>
          <w:sz w:val="24"/>
          <w:szCs w:val="24"/>
        </w:rPr>
        <w:t>reaching</w:t>
      </w:r>
      <w:r w:rsidR="00D765D5">
        <w:rPr>
          <w:rFonts w:ascii="Garamond" w:hAnsi="Garamond"/>
          <w:sz w:val="24"/>
          <w:szCs w:val="24"/>
        </w:rPr>
        <w:t xml:space="preserve"> attempt at post-conflict transformation, but again largely focussed on the capacities of the state</w:t>
      </w:r>
      <w:r w:rsidR="004C53C9">
        <w:rPr>
          <w:rFonts w:ascii="Garamond" w:hAnsi="Garamond"/>
          <w:sz w:val="24"/>
          <w:szCs w:val="24"/>
        </w:rPr>
        <w:t xml:space="preserve">. An understanding of civil society within consociational agreements is largely absent. </w:t>
      </w:r>
    </w:p>
    <w:p w14:paraId="32408F82" w14:textId="41283CBE" w:rsidR="00C26362" w:rsidRPr="006741F9" w:rsidRDefault="002B22A1" w:rsidP="00CC63F8">
      <w:pPr>
        <w:pStyle w:val="FootnoteText"/>
        <w:spacing w:line="276" w:lineRule="auto"/>
        <w:jc w:val="both"/>
        <w:rPr>
          <w:rFonts w:ascii="Garamond" w:hAnsi="Garamond"/>
          <w:sz w:val="24"/>
        </w:rPr>
      </w:pPr>
      <w:r>
        <w:rPr>
          <w:rFonts w:ascii="Garamond" w:hAnsi="Garamond"/>
          <w:sz w:val="24"/>
        </w:rPr>
        <w:t xml:space="preserve">Reflecting this, the bulk of </w:t>
      </w:r>
      <w:r w:rsidR="006741F9">
        <w:rPr>
          <w:rFonts w:ascii="Garamond" w:hAnsi="Garamond"/>
          <w:sz w:val="24"/>
        </w:rPr>
        <w:t>academic work</w:t>
      </w:r>
      <w:r>
        <w:rPr>
          <w:rFonts w:ascii="Garamond" w:hAnsi="Garamond"/>
          <w:sz w:val="24"/>
        </w:rPr>
        <w:t xml:space="preserve"> to date on conso</w:t>
      </w:r>
      <w:r w:rsidR="00413D41">
        <w:rPr>
          <w:rFonts w:ascii="Garamond" w:hAnsi="Garamond"/>
          <w:sz w:val="24"/>
        </w:rPr>
        <w:t>ciational power-sharing has focu</w:t>
      </w:r>
      <w:r>
        <w:rPr>
          <w:rFonts w:ascii="Garamond" w:hAnsi="Garamond"/>
          <w:sz w:val="24"/>
        </w:rPr>
        <w:t>sed on</w:t>
      </w:r>
      <w:r w:rsidR="006741F9">
        <w:rPr>
          <w:rFonts w:ascii="Garamond" w:hAnsi="Garamond"/>
          <w:sz w:val="24"/>
        </w:rPr>
        <w:t xml:space="preserve"> the formal political and institutional </w:t>
      </w:r>
      <w:r>
        <w:rPr>
          <w:rFonts w:ascii="Garamond" w:hAnsi="Garamond"/>
          <w:sz w:val="24"/>
        </w:rPr>
        <w:t xml:space="preserve">structures </w:t>
      </w:r>
      <w:r w:rsidR="002B3EE7">
        <w:rPr>
          <w:rFonts w:ascii="Garamond" w:hAnsi="Garamond"/>
          <w:sz w:val="24"/>
        </w:rPr>
        <w:t>of post-conflict polities</w:t>
      </w:r>
      <w:r w:rsidR="00747DBE">
        <w:rPr>
          <w:rFonts w:ascii="Garamond" w:hAnsi="Garamond"/>
          <w:sz w:val="24"/>
        </w:rPr>
        <w:t>.</w:t>
      </w:r>
      <w:r w:rsidR="002B3EE7">
        <w:rPr>
          <w:rStyle w:val="EndnoteReference"/>
          <w:rFonts w:ascii="Garamond" w:hAnsi="Garamond"/>
          <w:sz w:val="24"/>
        </w:rPr>
        <w:endnoteReference w:id="47"/>
      </w:r>
      <w:r w:rsidR="006741F9">
        <w:rPr>
          <w:rFonts w:ascii="Garamond" w:hAnsi="Garamond"/>
          <w:sz w:val="24"/>
        </w:rPr>
        <w:t xml:space="preserve"> </w:t>
      </w:r>
      <w:r w:rsidR="00413D41">
        <w:rPr>
          <w:rFonts w:ascii="Garamond" w:hAnsi="Garamond"/>
          <w:sz w:val="24"/>
        </w:rPr>
        <w:t>A developing body of work is emergin</w:t>
      </w:r>
      <w:r w:rsidR="004C53C9">
        <w:rPr>
          <w:rFonts w:ascii="Garamond" w:hAnsi="Garamond"/>
          <w:sz w:val="24"/>
        </w:rPr>
        <w:t>g</w:t>
      </w:r>
      <w:r w:rsidR="00413D41">
        <w:rPr>
          <w:rFonts w:ascii="Garamond" w:hAnsi="Garamond"/>
          <w:sz w:val="24"/>
        </w:rPr>
        <w:t>, however, to think</w:t>
      </w:r>
      <w:r w:rsidR="00C26362" w:rsidRPr="006741F9">
        <w:rPr>
          <w:rFonts w:ascii="Garamond" w:hAnsi="Garamond"/>
          <w:sz w:val="24"/>
        </w:rPr>
        <w:t xml:space="preserve"> about how civil society </w:t>
      </w:r>
      <w:r w:rsidR="00413D41">
        <w:rPr>
          <w:rFonts w:ascii="Garamond" w:hAnsi="Garamond"/>
          <w:sz w:val="24"/>
        </w:rPr>
        <w:t>works and grows within consociational structures. Touquet and Vermeersch argue that scholars of consociational politics</w:t>
      </w:r>
      <w:r w:rsidR="00C26362" w:rsidRPr="006741F9">
        <w:rPr>
          <w:rFonts w:ascii="Garamond" w:hAnsi="Garamond"/>
          <w:sz w:val="24"/>
        </w:rPr>
        <w:t xml:space="preserve"> need to pay “attention to the indirect ways in which power is realised outside the realm of traditionally defined</w:t>
      </w:r>
      <w:r w:rsidR="00E5581B">
        <w:rPr>
          <w:rFonts w:ascii="Garamond" w:hAnsi="Garamond"/>
          <w:sz w:val="24"/>
        </w:rPr>
        <w:t xml:space="preserve"> politics”</w:t>
      </w:r>
      <w:r w:rsidR="00350E42">
        <w:rPr>
          <w:rFonts w:ascii="Garamond" w:hAnsi="Garamond"/>
          <w:sz w:val="24"/>
        </w:rPr>
        <w:t>.</w:t>
      </w:r>
      <w:r w:rsidR="00E5581B">
        <w:rPr>
          <w:rStyle w:val="EndnoteReference"/>
          <w:rFonts w:ascii="Garamond" w:hAnsi="Garamond"/>
          <w:sz w:val="24"/>
        </w:rPr>
        <w:endnoteReference w:id="48"/>
      </w:r>
      <w:r w:rsidR="00350E42">
        <w:rPr>
          <w:rFonts w:ascii="Garamond" w:hAnsi="Garamond"/>
          <w:sz w:val="24"/>
        </w:rPr>
        <w:t xml:space="preserve"> They argue for a movement beyond the “traditiona</w:t>
      </w:r>
      <w:r w:rsidR="00E5581B">
        <w:rPr>
          <w:rFonts w:ascii="Garamond" w:hAnsi="Garamond"/>
          <w:sz w:val="24"/>
        </w:rPr>
        <w:t>l discussions on state change”</w:t>
      </w:r>
      <w:r w:rsidR="00E5581B">
        <w:rPr>
          <w:rStyle w:val="EndnoteReference"/>
          <w:rFonts w:ascii="Garamond" w:hAnsi="Garamond"/>
          <w:sz w:val="24"/>
        </w:rPr>
        <w:endnoteReference w:id="49"/>
      </w:r>
      <w:r w:rsidR="00350E42">
        <w:rPr>
          <w:rFonts w:ascii="Garamond" w:hAnsi="Garamond"/>
          <w:sz w:val="24"/>
        </w:rPr>
        <w:t xml:space="preserve"> to a greater focus on the “</w:t>
      </w:r>
      <w:r w:rsidR="00695687" w:rsidRPr="006741F9">
        <w:rPr>
          <w:rFonts w:ascii="Garamond" w:hAnsi="Garamond"/>
          <w:sz w:val="24"/>
        </w:rPr>
        <w:t xml:space="preserve">potential </w:t>
      </w:r>
      <w:r w:rsidR="00546FBA" w:rsidRPr="006741F9">
        <w:rPr>
          <w:rFonts w:ascii="Garamond" w:hAnsi="Garamond"/>
          <w:sz w:val="24"/>
        </w:rPr>
        <w:t>role</w:t>
      </w:r>
      <w:r w:rsidR="00695687" w:rsidRPr="006741F9">
        <w:rPr>
          <w:rFonts w:ascii="Garamond" w:hAnsi="Garamond"/>
          <w:sz w:val="24"/>
        </w:rPr>
        <w:t xml:space="preserve"> of alternative social forces and ephemeral ties in helping to </w:t>
      </w:r>
      <w:r w:rsidR="00546FBA" w:rsidRPr="006741F9">
        <w:rPr>
          <w:rFonts w:ascii="Garamond" w:hAnsi="Garamond"/>
          <w:sz w:val="24"/>
        </w:rPr>
        <w:t>bring</w:t>
      </w:r>
      <w:r w:rsidR="00695687" w:rsidRPr="006741F9">
        <w:rPr>
          <w:rFonts w:ascii="Garamond" w:hAnsi="Garamond"/>
          <w:sz w:val="24"/>
        </w:rPr>
        <w:t xml:space="preserve"> about a workable and viable sta</w:t>
      </w:r>
      <w:r w:rsidR="00E5581B">
        <w:rPr>
          <w:rFonts w:ascii="Garamond" w:hAnsi="Garamond"/>
          <w:sz w:val="24"/>
        </w:rPr>
        <w:t>te”</w:t>
      </w:r>
      <w:r w:rsidR="00D21FF0">
        <w:rPr>
          <w:rFonts w:ascii="Garamond" w:hAnsi="Garamond"/>
          <w:sz w:val="24"/>
        </w:rPr>
        <w:t>.</w:t>
      </w:r>
      <w:r w:rsidR="00E5581B">
        <w:rPr>
          <w:rStyle w:val="EndnoteReference"/>
          <w:rFonts w:ascii="Garamond" w:hAnsi="Garamond"/>
          <w:sz w:val="24"/>
        </w:rPr>
        <w:endnoteReference w:id="50"/>
      </w:r>
      <w:r w:rsidR="00D21FF0">
        <w:rPr>
          <w:rFonts w:ascii="Garamond" w:hAnsi="Garamond"/>
          <w:sz w:val="24"/>
        </w:rPr>
        <w:t xml:space="preserve"> Murtagh</w:t>
      </w:r>
      <w:r w:rsidR="00413D41">
        <w:rPr>
          <w:rFonts w:ascii="Garamond" w:hAnsi="Garamond"/>
          <w:sz w:val="24"/>
        </w:rPr>
        <w:t xml:space="preserve">’s work on </w:t>
      </w:r>
      <w:r w:rsidR="00350E42">
        <w:rPr>
          <w:rFonts w:ascii="Garamond" w:hAnsi="Garamond"/>
          <w:sz w:val="24"/>
        </w:rPr>
        <w:t xml:space="preserve">the </w:t>
      </w:r>
      <w:r w:rsidR="00350E42">
        <w:rPr>
          <w:rFonts w:ascii="Garamond" w:hAnsi="Garamond"/>
          <w:sz w:val="24"/>
        </w:rPr>
        <w:lastRenderedPageBreak/>
        <w:t>Plenum movement that followed in the wake of mass protest</w:t>
      </w:r>
      <w:r w:rsidR="007C729D">
        <w:rPr>
          <w:rFonts w:ascii="Garamond" w:hAnsi="Garamond"/>
          <w:sz w:val="24"/>
        </w:rPr>
        <w:t>s</w:t>
      </w:r>
      <w:r w:rsidR="00350E42">
        <w:rPr>
          <w:rFonts w:ascii="Garamond" w:hAnsi="Garamond"/>
          <w:sz w:val="24"/>
        </w:rPr>
        <w:t xml:space="preserve"> in Bosnia-Herzegovina in 2014</w:t>
      </w:r>
      <w:r w:rsidR="007C729D">
        <w:rPr>
          <w:rFonts w:ascii="Garamond" w:hAnsi="Garamond"/>
          <w:sz w:val="24"/>
        </w:rPr>
        <w:t>,</w:t>
      </w:r>
      <w:r w:rsidR="00C424E0">
        <w:rPr>
          <w:rFonts w:ascii="Garamond" w:hAnsi="Garamond"/>
          <w:sz w:val="24"/>
        </w:rPr>
        <w:t xml:space="preserve"> does just this. She</w:t>
      </w:r>
      <w:r w:rsidR="007C729D">
        <w:rPr>
          <w:rFonts w:ascii="Garamond" w:hAnsi="Garamond"/>
          <w:sz w:val="24"/>
        </w:rPr>
        <w:t xml:space="preserve"> shows that </w:t>
      </w:r>
      <w:r w:rsidR="00C424E0">
        <w:rPr>
          <w:rFonts w:ascii="Garamond" w:hAnsi="Garamond"/>
          <w:sz w:val="24"/>
        </w:rPr>
        <w:t>the Plenum movement</w:t>
      </w:r>
      <w:r w:rsidR="00350E42">
        <w:rPr>
          <w:rFonts w:ascii="Garamond" w:hAnsi="Garamond"/>
          <w:sz w:val="24"/>
        </w:rPr>
        <w:t xml:space="preserve"> did not try to enter into th</w:t>
      </w:r>
      <w:r w:rsidR="00E5581B">
        <w:rPr>
          <w:rFonts w:ascii="Garamond" w:hAnsi="Garamond"/>
          <w:sz w:val="24"/>
        </w:rPr>
        <w:t xml:space="preserve">e formal political realm </w:t>
      </w:r>
      <w:r w:rsidR="00C424E0">
        <w:rPr>
          <w:rFonts w:ascii="Garamond" w:hAnsi="Garamond"/>
          <w:sz w:val="24"/>
        </w:rPr>
        <w:t xml:space="preserve">and </w:t>
      </w:r>
      <w:r w:rsidR="000156D1">
        <w:rPr>
          <w:rFonts w:ascii="Garamond" w:hAnsi="Garamond"/>
          <w:sz w:val="24"/>
        </w:rPr>
        <w:t>notes the “delegitimising” force that involvement with formal polit</w:t>
      </w:r>
      <w:r w:rsidR="00E5581B">
        <w:rPr>
          <w:rFonts w:ascii="Garamond" w:hAnsi="Garamond"/>
          <w:sz w:val="24"/>
        </w:rPr>
        <w:t>ics might have on civic action</w:t>
      </w:r>
      <w:r w:rsidR="000156D1">
        <w:rPr>
          <w:rFonts w:ascii="Garamond" w:hAnsi="Garamond"/>
          <w:sz w:val="24"/>
        </w:rPr>
        <w:t xml:space="preserve">. </w:t>
      </w:r>
      <w:r w:rsidR="00350E42">
        <w:rPr>
          <w:rFonts w:ascii="Garamond" w:hAnsi="Garamond"/>
          <w:sz w:val="24"/>
        </w:rPr>
        <w:t>Instead,</w:t>
      </w:r>
      <w:r w:rsidR="00D21FF0">
        <w:rPr>
          <w:rFonts w:ascii="Garamond" w:hAnsi="Garamond"/>
          <w:sz w:val="24"/>
        </w:rPr>
        <w:t xml:space="preserve"> c</w:t>
      </w:r>
      <w:r w:rsidR="00350E42">
        <w:rPr>
          <w:rFonts w:ascii="Garamond" w:hAnsi="Garamond"/>
          <w:sz w:val="24"/>
        </w:rPr>
        <w:t xml:space="preserve">ross ethnic civil mobilising was </w:t>
      </w:r>
      <w:r w:rsidR="00D21FF0">
        <w:rPr>
          <w:rFonts w:ascii="Garamond" w:hAnsi="Garamond"/>
          <w:sz w:val="24"/>
        </w:rPr>
        <w:t>characterised by “restr</w:t>
      </w:r>
      <w:r w:rsidR="00E5581B">
        <w:rPr>
          <w:rFonts w:ascii="Garamond" w:hAnsi="Garamond"/>
          <w:sz w:val="24"/>
        </w:rPr>
        <w:t xml:space="preserve">icted political engagement” </w:t>
      </w:r>
      <w:r w:rsidR="00350E42">
        <w:rPr>
          <w:rFonts w:ascii="Garamond" w:hAnsi="Garamond"/>
          <w:sz w:val="24"/>
        </w:rPr>
        <w:t>because they had deeper aims: “a fundamental shift in civic discourse and thinking</w:t>
      </w:r>
      <w:r w:rsidR="007C729D">
        <w:rPr>
          <w:rFonts w:ascii="Garamond" w:hAnsi="Garamond"/>
          <w:sz w:val="24"/>
        </w:rPr>
        <w:t>”</w:t>
      </w:r>
      <w:r w:rsidR="00E5581B">
        <w:rPr>
          <w:rFonts w:ascii="Garamond" w:hAnsi="Garamond"/>
          <w:sz w:val="24"/>
        </w:rPr>
        <w:t>.</w:t>
      </w:r>
      <w:r w:rsidR="00E5581B">
        <w:rPr>
          <w:rStyle w:val="EndnoteReference"/>
          <w:rFonts w:ascii="Garamond" w:hAnsi="Garamond"/>
          <w:sz w:val="24"/>
        </w:rPr>
        <w:endnoteReference w:id="51"/>
      </w:r>
      <w:r w:rsidR="00E5581B">
        <w:rPr>
          <w:rFonts w:ascii="Garamond" w:hAnsi="Garamond"/>
          <w:sz w:val="24"/>
        </w:rPr>
        <w:t xml:space="preserve"> </w:t>
      </w:r>
      <w:r w:rsidR="00C424E0">
        <w:rPr>
          <w:rFonts w:ascii="Garamond" w:hAnsi="Garamond"/>
          <w:sz w:val="24"/>
        </w:rPr>
        <w:t>This</w:t>
      </w:r>
      <w:r w:rsidR="00F65828">
        <w:rPr>
          <w:rFonts w:ascii="Garamond" w:hAnsi="Garamond"/>
          <w:sz w:val="24"/>
        </w:rPr>
        <w:t xml:space="preserve"> recent proliferation of </w:t>
      </w:r>
      <w:r w:rsidR="001B12D0">
        <w:rPr>
          <w:rFonts w:ascii="Garamond" w:hAnsi="Garamond"/>
          <w:sz w:val="24"/>
        </w:rPr>
        <w:t xml:space="preserve">new work </w:t>
      </w:r>
      <w:r w:rsidR="00BF105E">
        <w:rPr>
          <w:rFonts w:ascii="Garamond" w:hAnsi="Garamond"/>
          <w:sz w:val="24"/>
        </w:rPr>
        <w:t xml:space="preserve">on </w:t>
      </w:r>
      <w:r w:rsidR="00F65828">
        <w:rPr>
          <w:rFonts w:ascii="Garamond" w:hAnsi="Garamond"/>
          <w:sz w:val="24"/>
        </w:rPr>
        <w:t>extra-state bodies in divided societies draws attention to the blind spots in previous research and the dominance of the ethno-national model in academic understandings of power-sharing</w:t>
      </w:r>
      <w:r w:rsidR="001B12D0">
        <w:rPr>
          <w:rFonts w:ascii="Garamond" w:hAnsi="Garamond"/>
          <w:sz w:val="24"/>
        </w:rPr>
        <w:t>.</w:t>
      </w:r>
      <w:r w:rsidR="00F65828">
        <w:rPr>
          <w:rFonts w:ascii="Garamond" w:hAnsi="Garamond"/>
          <w:sz w:val="24"/>
        </w:rPr>
        <w:t xml:space="preserve"> An engagement with politics beyond state bodies can help to illuminate the </w:t>
      </w:r>
      <w:r w:rsidR="000156D1">
        <w:rPr>
          <w:rFonts w:ascii="Garamond" w:hAnsi="Garamond"/>
          <w:sz w:val="24"/>
        </w:rPr>
        <w:t>ways in which power works in divided societies beyond the consociational principles of the state structures</w:t>
      </w:r>
      <w:r w:rsidR="008312B1">
        <w:rPr>
          <w:rFonts w:ascii="Garamond" w:hAnsi="Garamond"/>
          <w:sz w:val="24"/>
        </w:rPr>
        <w:t xml:space="preserve"> and, again, illuminates politics as a broader activity than that just encapsulated within formal bodies</w:t>
      </w:r>
      <w:r w:rsidR="000156D1">
        <w:rPr>
          <w:rFonts w:ascii="Garamond" w:hAnsi="Garamond"/>
          <w:sz w:val="24"/>
        </w:rPr>
        <w:t xml:space="preserve">. </w:t>
      </w:r>
    </w:p>
    <w:p w14:paraId="71CE49A3" w14:textId="7A97E7AB" w:rsidR="00600CA0" w:rsidRDefault="000156D1" w:rsidP="00CC63F8">
      <w:pPr>
        <w:pStyle w:val="FootnoteText"/>
        <w:spacing w:line="276" w:lineRule="auto"/>
        <w:jc w:val="both"/>
        <w:rPr>
          <w:rFonts w:ascii="Garamond" w:hAnsi="Garamond"/>
          <w:sz w:val="24"/>
        </w:rPr>
      </w:pPr>
      <w:r>
        <w:rPr>
          <w:rFonts w:ascii="Garamond" w:hAnsi="Garamond"/>
          <w:sz w:val="24"/>
        </w:rPr>
        <w:t>Indeed, implicit in many of these</w:t>
      </w:r>
      <w:r w:rsidR="00350E42">
        <w:rPr>
          <w:rFonts w:ascii="Garamond" w:hAnsi="Garamond"/>
          <w:sz w:val="24"/>
        </w:rPr>
        <w:t xml:space="preserve"> consideration</w:t>
      </w:r>
      <w:r>
        <w:rPr>
          <w:rFonts w:ascii="Garamond" w:hAnsi="Garamond"/>
          <w:sz w:val="24"/>
        </w:rPr>
        <w:t>s</w:t>
      </w:r>
      <w:r w:rsidR="00350E42">
        <w:rPr>
          <w:rFonts w:ascii="Garamond" w:hAnsi="Garamond"/>
          <w:sz w:val="24"/>
        </w:rPr>
        <w:t xml:space="preserve"> of civ</w:t>
      </w:r>
      <w:r>
        <w:rPr>
          <w:rFonts w:ascii="Garamond" w:hAnsi="Garamond"/>
          <w:sz w:val="24"/>
        </w:rPr>
        <w:t xml:space="preserve">il society and consociational </w:t>
      </w:r>
      <w:r w:rsidR="008312B1">
        <w:rPr>
          <w:rFonts w:ascii="Garamond" w:hAnsi="Garamond"/>
          <w:sz w:val="24"/>
        </w:rPr>
        <w:t xml:space="preserve">states </w:t>
      </w:r>
      <w:r w:rsidR="00350E42">
        <w:rPr>
          <w:rFonts w:ascii="Garamond" w:hAnsi="Garamond"/>
          <w:sz w:val="24"/>
        </w:rPr>
        <w:t xml:space="preserve">is the </w:t>
      </w:r>
      <w:r>
        <w:rPr>
          <w:rFonts w:ascii="Garamond" w:hAnsi="Garamond"/>
          <w:sz w:val="24"/>
        </w:rPr>
        <w:t>idea</w:t>
      </w:r>
      <w:r w:rsidR="00350E42">
        <w:rPr>
          <w:rFonts w:ascii="Garamond" w:hAnsi="Garamond"/>
          <w:sz w:val="24"/>
        </w:rPr>
        <w:t xml:space="preserve"> that c</w:t>
      </w:r>
      <w:r w:rsidR="00413D41">
        <w:rPr>
          <w:rFonts w:ascii="Garamond" w:hAnsi="Garamond"/>
          <w:sz w:val="24"/>
        </w:rPr>
        <w:t xml:space="preserve">ivil society </w:t>
      </w:r>
      <w:r w:rsidR="00350E42">
        <w:rPr>
          <w:rFonts w:ascii="Garamond" w:hAnsi="Garamond"/>
          <w:sz w:val="24"/>
        </w:rPr>
        <w:t xml:space="preserve">can </w:t>
      </w:r>
      <w:r>
        <w:rPr>
          <w:rFonts w:ascii="Garamond" w:hAnsi="Garamond"/>
          <w:sz w:val="24"/>
        </w:rPr>
        <w:t xml:space="preserve">hold the key </w:t>
      </w:r>
      <w:r w:rsidR="007C729D">
        <w:rPr>
          <w:rFonts w:ascii="Garamond" w:hAnsi="Garamond"/>
          <w:sz w:val="24"/>
        </w:rPr>
        <w:t>to ‘get beyond’ or overcome the</w:t>
      </w:r>
      <w:r w:rsidR="00413D41">
        <w:rPr>
          <w:rFonts w:ascii="Garamond" w:hAnsi="Garamond"/>
          <w:sz w:val="24"/>
        </w:rPr>
        <w:t xml:space="preserve"> divisions that consociationalism implicitly works </w:t>
      </w:r>
      <w:r w:rsidR="00C424E0">
        <w:rPr>
          <w:rFonts w:ascii="Garamond" w:hAnsi="Garamond"/>
          <w:sz w:val="24"/>
        </w:rPr>
        <w:t>with</w:t>
      </w:r>
      <w:r w:rsidR="00413D41">
        <w:rPr>
          <w:rFonts w:ascii="Garamond" w:hAnsi="Garamond"/>
          <w:sz w:val="24"/>
        </w:rPr>
        <w:t>. Yet</w:t>
      </w:r>
      <w:r w:rsidR="007C729D">
        <w:rPr>
          <w:rFonts w:ascii="Garamond" w:hAnsi="Garamond"/>
          <w:sz w:val="24"/>
        </w:rPr>
        <w:t xml:space="preserve"> it is important to note that</w:t>
      </w:r>
      <w:r w:rsidR="00413D41">
        <w:rPr>
          <w:rFonts w:ascii="Garamond" w:hAnsi="Garamond"/>
          <w:sz w:val="24"/>
        </w:rPr>
        <w:t xml:space="preserve"> civil society is not necessarily always a locale in which ethno-national identities are forgotten. </w:t>
      </w:r>
      <w:r w:rsidR="00350E42">
        <w:rPr>
          <w:rFonts w:ascii="Garamond" w:hAnsi="Garamond"/>
          <w:sz w:val="24"/>
        </w:rPr>
        <w:t>Indeed, civil society can also be</w:t>
      </w:r>
      <w:r w:rsidR="00600CA0" w:rsidRPr="006741F9">
        <w:rPr>
          <w:rFonts w:ascii="Garamond" w:hAnsi="Garamond"/>
          <w:sz w:val="24"/>
        </w:rPr>
        <w:t xml:space="preserve"> explicitly</w:t>
      </w:r>
      <w:r w:rsidR="00350E42">
        <w:rPr>
          <w:rFonts w:ascii="Garamond" w:hAnsi="Garamond"/>
          <w:sz w:val="24"/>
        </w:rPr>
        <w:t xml:space="preserve"> ethno-national.</w:t>
      </w:r>
      <w:r w:rsidR="00600CA0" w:rsidRPr="006741F9">
        <w:rPr>
          <w:rFonts w:ascii="Garamond" w:hAnsi="Garamond"/>
          <w:sz w:val="24"/>
        </w:rPr>
        <w:t xml:space="preserve"> </w:t>
      </w:r>
      <w:r w:rsidR="0038335E">
        <w:rPr>
          <w:rFonts w:ascii="Garamond" w:hAnsi="Garamond"/>
          <w:sz w:val="24"/>
        </w:rPr>
        <w:t>In</w:t>
      </w:r>
      <w:r w:rsidR="00413D41">
        <w:rPr>
          <w:rFonts w:ascii="Garamond" w:hAnsi="Garamond"/>
          <w:sz w:val="24"/>
        </w:rPr>
        <w:t xml:space="preserve"> Northern Ireland, some of the largest civil society </w:t>
      </w:r>
      <w:r w:rsidR="00546FBA">
        <w:rPr>
          <w:rFonts w:ascii="Garamond" w:hAnsi="Garamond"/>
          <w:sz w:val="24"/>
        </w:rPr>
        <w:t>vehicles</w:t>
      </w:r>
      <w:r w:rsidR="00413D41">
        <w:rPr>
          <w:rFonts w:ascii="Garamond" w:hAnsi="Garamond"/>
          <w:sz w:val="24"/>
        </w:rPr>
        <w:t xml:space="preserve"> are </w:t>
      </w:r>
      <w:r w:rsidR="00546FBA">
        <w:rPr>
          <w:rFonts w:ascii="Garamond" w:hAnsi="Garamond"/>
          <w:sz w:val="24"/>
        </w:rPr>
        <w:t>explicitly</w:t>
      </w:r>
      <w:r w:rsidR="00413D41">
        <w:rPr>
          <w:rFonts w:ascii="Garamond" w:hAnsi="Garamond"/>
          <w:sz w:val="24"/>
        </w:rPr>
        <w:t xml:space="preserve"> ethno-national </w:t>
      </w:r>
      <w:r w:rsidR="0038335E">
        <w:rPr>
          <w:rFonts w:ascii="Garamond" w:hAnsi="Garamond"/>
          <w:sz w:val="24"/>
        </w:rPr>
        <w:t>–</w:t>
      </w:r>
      <w:r w:rsidR="00413D41">
        <w:rPr>
          <w:rFonts w:ascii="Garamond" w:hAnsi="Garamond"/>
          <w:sz w:val="24"/>
        </w:rPr>
        <w:t xml:space="preserve"> </w:t>
      </w:r>
      <w:r w:rsidR="0038335E">
        <w:rPr>
          <w:rFonts w:ascii="Garamond" w:hAnsi="Garamond"/>
          <w:sz w:val="24"/>
        </w:rPr>
        <w:t>the Gaelic Athletics Association (the GAA)</w:t>
      </w:r>
      <w:r w:rsidR="007C729D">
        <w:rPr>
          <w:rFonts w:ascii="Garamond" w:hAnsi="Garamond"/>
          <w:sz w:val="24"/>
        </w:rPr>
        <w:t xml:space="preserve"> is overwhelmingly made up of the Catholic nationalist community, whilst</w:t>
      </w:r>
      <w:r w:rsidR="0038335E">
        <w:rPr>
          <w:rFonts w:ascii="Garamond" w:hAnsi="Garamond"/>
          <w:sz w:val="24"/>
        </w:rPr>
        <w:t xml:space="preserve"> the Orange Order</w:t>
      </w:r>
      <w:r w:rsidR="007C729D">
        <w:rPr>
          <w:rFonts w:ascii="Garamond" w:hAnsi="Garamond"/>
          <w:sz w:val="24"/>
        </w:rPr>
        <w:t xml:space="preserve"> is one of the key institutions of Protestant unionism in the province</w:t>
      </w:r>
      <w:r w:rsidR="0038335E">
        <w:rPr>
          <w:rFonts w:ascii="Garamond" w:hAnsi="Garamond"/>
          <w:sz w:val="24"/>
        </w:rPr>
        <w:t>.</w:t>
      </w:r>
      <w:r w:rsidR="007C729D">
        <w:rPr>
          <w:rFonts w:ascii="Garamond" w:hAnsi="Garamond"/>
          <w:sz w:val="24"/>
        </w:rPr>
        <w:t xml:space="preserve"> </w:t>
      </w:r>
      <w:r w:rsidR="00C424E0">
        <w:rPr>
          <w:rFonts w:ascii="Garamond" w:hAnsi="Garamond"/>
          <w:sz w:val="24"/>
        </w:rPr>
        <w:t>Civil society and cultural groups such as these can play an important role in upholding ethno-national divisions. Indeed, w</w:t>
      </w:r>
      <w:r w:rsidR="007C729D">
        <w:rPr>
          <w:rFonts w:ascii="Garamond" w:hAnsi="Garamond"/>
          <w:sz w:val="24"/>
        </w:rPr>
        <w:t>omen’s civil society activism can also struggle to overcome ethn</w:t>
      </w:r>
      <w:r w:rsidR="00E5581B">
        <w:rPr>
          <w:rFonts w:ascii="Garamond" w:hAnsi="Garamond"/>
          <w:sz w:val="24"/>
        </w:rPr>
        <w:t>o-national divisions. Anderson</w:t>
      </w:r>
      <w:r w:rsidR="007C729D">
        <w:rPr>
          <w:rFonts w:ascii="Garamond" w:hAnsi="Garamond"/>
          <w:sz w:val="24"/>
        </w:rPr>
        <w:t xml:space="preserve"> documents the ways in which Macedonian women’s activism </w:t>
      </w:r>
      <w:r w:rsidR="00596771">
        <w:rPr>
          <w:rFonts w:ascii="Garamond" w:hAnsi="Garamond"/>
          <w:sz w:val="24"/>
        </w:rPr>
        <w:t>did not adopt</w:t>
      </w:r>
      <w:r w:rsidR="007C729D">
        <w:rPr>
          <w:rFonts w:ascii="Garamond" w:hAnsi="Garamond"/>
          <w:sz w:val="24"/>
        </w:rPr>
        <w:t xml:space="preserve"> a neutral stance on the conflict,</w:t>
      </w:r>
      <w:r w:rsidR="003202D3">
        <w:rPr>
          <w:rFonts w:ascii="Garamond" w:hAnsi="Garamond"/>
          <w:sz w:val="24"/>
        </w:rPr>
        <w:t xml:space="preserve"> and, in fact, assigns “blame for the outbreak of violence and [takes] positions on contentious conflict-related issues</w:t>
      </w:r>
      <w:r w:rsidR="00E5581B">
        <w:rPr>
          <w:rFonts w:ascii="Garamond" w:hAnsi="Garamond"/>
          <w:sz w:val="24"/>
        </w:rPr>
        <w:t>.</w:t>
      </w:r>
      <w:r w:rsidR="003202D3">
        <w:rPr>
          <w:rFonts w:ascii="Garamond" w:hAnsi="Garamond"/>
          <w:sz w:val="24"/>
        </w:rPr>
        <w:t>”</w:t>
      </w:r>
      <w:r w:rsidR="00E5581B">
        <w:rPr>
          <w:rStyle w:val="EndnoteReference"/>
          <w:rFonts w:ascii="Garamond" w:hAnsi="Garamond"/>
          <w:sz w:val="24"/>
        </w:rPr>
        <w:endnoteReference w:id="52"/>
      </w:r>
      <w:r w:rsidR="003202D3">
        <w:rPr>
          <w:rFonts w:ascii="Garamond" w:hAnsi="Garamond"/>
          <w:sz w:val="24"/>
        </w:rPr>
        <w:t xml:space="preserve"> Women’s activism and civil society work does not always immediately work from a conscious decision to work across ethnic, religious or ethno-national boundaries.</w:t>
      </w:r>
    </w:p>
    <w:p w14:paraId="6DA73444" w14:textId="2CED30BA" w:rsidR="00C642A0" w:rsidRDefault="00C642A0" w:rsidP="00CC63F8">
      <w:pPr>
        <w:pStyle w:val="FootnoteText"/>
        <w:spacing w:line="276" w:lineRule="auto"/>
        <w:ind w:left="0" w:firstLine="0"/>
        <w:jc w:val="both"/>
        <w:rPr>
          <w:rFonts w:ascii="Garamond" w:hAnsi="Garamond"/>
          <w:sz w:val="24"/>
        </w:rPr>
      </w:pPr>
      <w:r>
        <w:rPr>
          <w:rFonts w:ascii="Garamond" w:hAnsi="Garamond"/>
          <w:sz w:val="24"/>
        </w:rPr>
        <w:t>Furthermore, there is also a need to be cautious about the formal involvement of civil society in consociationalism</w:t>
      </w:r>
      <w:r w:rsidR="00BF105E">
        <w:rPr>
          <w:rFonts w:ascii="Garamond" w:hAnsi="Garamond"/>
          <w:sz w:val="24"/>
        </w:rPr>
        <w:t>,</w:t>
      </w:r>
      <w:r>
        <w:rPr>
          <w:rFonts w:ascii="Garamond" w:hAnsi="Garamond"/>
          <w:sz w:val="24"/>
        </w:rPr>
        <w:t xml:space="preserve"> for a number of reasons. </w:t>
      </w:r>
      <w:r w:rsidR="00BF105E">
        <w:rPr>
          <w:rFonts w:ascii="Garamond" w:hAnsi="Garamond"/>
          <w:sz w:val="24"/>
        </w:rPr>
        <w:t>F</w:t>
      </w:r>
      <w:r>
        <w:rPr>
          <w:rFonts w:ascii="Garamond" w:hAnsi="Garamond"/>
          <w:sz w:val="24"/>
        </w:rPr>
        <w:t xml:space="preserve">ormalising the ‘middle-space’ of civic society </w:t>
      </w:r>
      <w:r w:rsidR="00BF105E">
        <w:rPr>
          <w:rFonts w:ascii="Garamond" w:hAnsi="Garamond"/>
          <w:sz w:val="24"/>
        </w:rPr>
        <w:t>runs the risk</w:t>
      </w:r>
      <w:r>
        <w:rPr>
          <w:rFonts w:ascii="Garamond" w:hAnsi="Garamond"/>
          <w:sz w:val="24"/>
        </w:rPr>
        <w:t xml:space="preserve"> that it will result in similar outcomes </w:t>
      </w:r>
      <w:r w:rsidR="008312B1">
        <w:rPr>
          <w:rFonts w:ascii="Garamond" w:hAnsi="Garamond"/>
          <w:sz w:val="24"/>
        </w:rPr>
        <w:t xml:space="preserve">to those </w:t>
      </w:r>
      <w:r>
        <w:rPr>
          <w:rFonts w:ascii="Garamond" w:hAnsi="Garamond"/>
          <w:sz w:val="24"/>
        </w:rPr>
        <w:t xml:space="preserve">that consociationalism is critiqued for, </w:t>
      </w:r>
      <w:r w:rsidR="00BF105E">
        <w:rPr>
          <w:rFonts w:ascii="Garamond" w:hAnsi="Garamond"/>
          <w:sz w:val="24"/>
        </w:rPr>
        <w:t>such as</w:t>
      </w:r>
      <w:r>
        <w:rPr>
          <w:rFonts w:ascii="Garamond" w:hAnsi="Garamond"/>
          <w:sz w:val="24"/>
        </w:rPr>
        <w:t xml:space="preserve"> the entrenchment of ethno-national identity, political conservatism and male dominance. In addition, there is the concern that those who specifically do not want to engage with formal polit</w:t>
      </w:r>
      <w:r w:rsidR="008312B1">
        <w:rPr>
          <w:rFonts w:ascii="Garamond" w:hAnsi="Garamond"/>
          <w:sz w:val="24"/>
        </w:rPr>
        <w:t>ics will be driven out</w:t>
      </w:r>
      <w:r>
        <w:rPr>
          <w:rFonts w:ascii="Garamond" w:hAnsi="Garamond"/>
          <w:sz w:val="24"/>
        </w:rPr>
        <w:t>, in such a way</w:t>
      </w:r>
      <w:r w:rsidR="00663DF6">
        <w:rPr>
          <w:rFonts w:ascii="Garamond" w:hAnsi="Garamond"/>
          <w:sz w:val="24"/>
        </w:rPr>
        <w:t xml:space="preserve"> that</w:t>
      </w:r>
      <w:r>
        <w:rPr>
          <w:rFonts w:ascii="Garamond" w:hAnsi="Garamond"/>
          <w:sz w:val="24"/>
        </w:rPr>
        <w:t xml:space="preserve"> the radical nature of civil socie</w:t>
      </w:r>
      <w:r w:rsidR="00BF105E">
        <w:rPr>
          <w:rFonts w:ascii="Garamond" w:hAnsi="Garamond"/>
          <w:sz w:val="24"/>
        </w:rPr>
        <w:t xml:space="preserve">ty may be minimised, </w:t>
      </w:r>
      <w:r>
        <w:rPr>
          <w:rFonts w:ascii="Garamond" w:hAnsi="Garamond"/>
          <w:sz w:val="24"/>
        </w:rPr>
        <w:t xml:space="preserve">and only those in agreement with </w:t>
      </w:r>
      <w:r w:rsidR="008312B1">
        <w:rPr>
          <w:rFonts w:ascii="Garamond" w:hAnsi="Garamond"/>
          <w:sz w:val="24"/>
        </w:rPr>
        <w:t>political elites</w:t>
      </w:r>
      <w:r>
        <w:rPr>
          <w:rFonts w:ascii="Garamond" w:hAnsi="Garamond"/>
          <w:sz w:val="24"/>
        </w:rPr>
        <w:t xml:space="preserve"> are admitted. Such concerns must be addressed in any mechanisms to integrate civil society into consociational structures. In addition, it is also important to emphasise that those in civil society who do not </w:t>
      </w:r>
      <w:r w:rsidR="00BF105E">
        <w:rPr>
          <w:rFonts w:ascii="Garamond" w:hAnsi="Garamond"/>
          <w:sz w:val="24"/>
        </w:rPr>
        <w:t>wish</w:t>
      </w:r>
      <w:r>
        <w:rPr>
          <w:rFonts w:ascii="Garamond" w:hAnsi="Garamond"/>
          <w:sz w:val="24"/>
        </w:rPr>
        <w:t xml:space="preserve"> to engage in formal politics are still encouraged to mobilise and articulate their concerns and critiques. </w:t>
      </w:r>
    </w:p>
    <w:p w14:paraId="21755F01" w14:textId="3FC7756E" w:rsidR="00682650" w:rsidRDefault="0038335E" w:rsidP="00CC63F8">
      <w:pPr>
        <w:pStyle w:val="FootnoteText"/>
        <w:spacing w:line="276" w:lineRule="auto"/>
        <w:jc w:val="both"/>
        <w:rPr>
          <w:rFonts w:ascii="Garamond" w:hAnsi="Garamond"/>
          <w:sz w:val="24"/>
        </w:rPr>
      </w:pPr>
      <w:r>
        <w:rPr>
          <w:rFonts w:ascii="Garamond" w:hAnsi="Garamond"/>
          <w:sz w:val="24"/>
        </w:rPr>
        <w:t xml:space="preserve">Yet, </w:t>
      </w:r>
      <w:r w:rsidR="00BF105E">
        <w:rPr>
          <w:rFonts w:ascii="Garamond" w:hAnsi="Garamond"/>
          <w:sz w:val="24"/>
        </w:rPr>
        <w:t>despite these potential hazar</w:t>
      </w:r>
      <w:r w:rsidR="008312B1">
        <w:rPr>
          <w:rFonts w:ascii="Garamond" w:hAnsi="Garamond"/>
          <w:sz w:val="24"/>
        </w:rPr>
        <w:t>ds</w:t>
      </w:r>
      <w:r>
        <w:rPr>
          <w:rFonts w:ascii="Garamond" w:hAnsi="Garamond"/>
          <w:sz w:val="24"/>
        </w:rPr>
        <w:t xml:space="preserve">, </w:t>
      </w:r>
      <w:r w:rsidR="007C729D">
        <w:rPr>
          <w:rFonts w:ascii="Garamond" w:hAnsi="Garamond"/>
          <w:sz w:val="24"/>
        </w:rPr>
        <w:t xml:space="preserve">a large amount of </w:t>
      </w:r>
      <w:r>
        <w:rPr>
          <w:rFonts w:ascii="Garamond" w:hAnsi="Garamond"/>
          <w:sz w:val="24"/>
        </w:rPr>
        <w:t xml:space="preserve">women’s activism </w:t>
      </w:r>
      <w:r w:rsidR="003202D3">
        <w:rPr>
          <w:rFonts w:ascii="Garamond" w:hAnsi="Garamond"/>
          <w:sz w:val="24"/>
        </w:rPr>
        <w:t>in divid</w:t>
      </w:r>
      <w:r w:rsidR="007C729D">
        <w:rPr>
          <w:rFonts w:ascii="Garamond" w:hAnsi="Garamond"/>
          <w:sz w:val="24"/>
        </w:rPr>
        <w:t xml:space="preserve">ed societies </w:t>
      </w:r>
      <w:r>
        <w:rPr>
          <w:rFonts w:ascii="Garamond" w:hAnsi="Garamond"/>
          <w:sz w:val="24"/>
        </w:rPr>
        <w:t xml:space="preserve">has often been predicated on reaching across divisions. </w:t>
      </w:r>
      <w:r w:rsidR="003202D3">
        <w:rPr>
          <w:rFonts w:ascii="Garamond" w:hAnsi="Garamond"/>
          <w:sz w:val="24"/>
        </w:rPr>
        <w:t>And, indeed, r</w:t>
      </w:r>
      <w:r w:rsidR="00546FBA">
        <w:rPr>
          <w:rFonts w:ascii="Garamond" w:hAnsi="Garamond"/>
          <w:sz w:val="24"/>
        </w:rPr>
        <w:t>egardl</w:t>
      </w:r>
      <w:r w:rsidR="00350E42">
        <w:rPr>
          <w:rFonts w:ascii="Garamond" w:hAnsi="Garamond"/>
          <w:sz w:val="24"/>
        </w:rPr>
        <w:t xml:space="preserve">ess of the potential difficulties in </w:t>
      </w:r>
      <w:r w:rsidR="008312B1">
        <w:rPr>
          <w:rFonts w:ascii="Garamond" w:hAnsi="Garamond"/>
          <w:sz w:val="24"/>
        </w:rPr>
        <w:t xml:space="preserve">formalising </w:t>
      </w:r>
      <w:r w:rsidR="00350E42">
        <w:rPr>
          <w:rFonts w:ascii="Garamond" w:hAnsi="Garamond"/>
          <w:sz w:val="24"/>
        </w:rPr>
        <w:t>civil society</w:t>
      </w:r>
      <w:r>
        <w:rPr>
          <w:rFonts w:ascii="Garamond" w:hAnsi="Garamond"/>
          <w:sz w:val="24"/>
        </w:rPr>
        <w:t>,</w:t>
      </w:r>
      <w:r w:rsidR="00546FBA">
        <w:rPr>
          <w:rFonts w:ascii="Garamond" w:hAnsi="Garamond"/>
          <w:sz w:val="24"/>
        </w:rPr>
        <w:t xml:space="preserve"> it </w:t>
      </w:r>
      <w:r>
        <w:rPr>
          <w:rFonts w:ascii="Garamond" w:hAnsi="Garamond"/>
          <w:sz w:val="24"/>
        </w:rPr>
        <w:t xml:space="preserve">remains a distinctly </w:t>
      </w:r>
      <w:r w:rsidR="00546FBA">
        <w:rPr>
          <w:rFonts w:ascii="Garamond" w:hAnsi="Garamond"/>
          <w:sz w:val="24"/>
        </w:rPr>
        <w:t>gendered</w:t>
      </w:r>
      <w:r>
        <w:rPr>
          <w:rFonts w:ascii="Garamond" w:hAnsi="Garamond"/>
          <w:sz w:val="24"/>
        </w:rPr>
        <w:t xml:space="preserve"> locale</w:t>
      </w:r>
      <w:r w:rsidR="000156D1">
        <w:rPr>
          <w:rFonts w:ascii="Garamond" w:hAnsi="Garamond"/>
          <w:sz w:val="24"/>
        </w:rPr>
        <w:t>, with the majority of women’s po</w:t>
      </w:r>
      <w:r w:rsidR="00C424E0">
        <w:rPr>
          <w:rFonts w:ascii="Garamond" w:hAnsi="Garamond"/>
          <w:sz w:val="24"/>
        </w:rPr>
        <w:t>litical work taking place there</w:t>
      </w:r>
      <w:r w:rsidR="000156D1">
        <w:rPr>
          <w:rFonts w:ascii="Garamond" w:hAnsi="Garamond"/>
          <w:sz w:val="24"/>
        </w:rPr>
        <w:t xml:space="preserve"> rather than in the formal political sphere</w:t>
      </w:r>
      <w:r w:rsidR="00546FBA">
        <w:rPr>
          <w:rFonts w:ascii="Garamond" w:hAnsi="Garamond"/>
          <w:sz w:val="24"/>
        </w:rPr>
        <w:t xml:space="preserve">. Civil society, and </w:t>
      </w:r>
      <w:r w:rsidR="003202D3">
        <w:rPr>
          <w:rFonts w:ascii="Garamond" w:hAnsi="Garamond"/>
          <w:sz w:val="24"/>
        </w:rPr>
        <w:t>groups</w:t>
      </w:r>
      <w:r w:rsidR="00546FBA">
        <w:rPr>
          <w:rFonts w:ascii="Garamond" w:hAnsi="Garamond"/>
          <w:sz w:val="24"/>
        </w:rPr>
        <w:t xml:space="preserve"> therein, have allowed women spaces before, during and after conflict to organise as women</w:t>
      </w:r>
      <w:r w:rsidR="003202D3">
        <w:rPr>
          <w:rFonts w:ascii="Garamond" w:hAnsi="Garamond"/>
          <w:sz w:val="24"/>
        </w:rPr>
        <w:t xml:space="preserve"> and to advocate for their rights</w:t>
      </w:r>
      <w:r w:rsidR="00546FBA">
        <w:rPr>
          <w:rFonts w:ascii="Garamond" w:hAnsi="Garamond"/>
          <w:sz w:val="24"/>
        </w:rPr>
        <w:t xml:space="preserve">. </w:t>
      </w:r>
      <w:r>
        <w:rPr>
          <w:rFonts w:ascii="Garamond" w:hAnsi="Garamond"/>
          <w:sz w:val="24"/>
        </w:rPr>
        <w:t>The a</w:t>
      </w:r>
      <w:r w:rsidR="0009424C">
        <w:rPr>
          <w:rFonts w:ascii="Garamond" w:hAnsi="Garamond"/>
          <w:sz w:val="24"/>
        </w:rPr>
        <w:t>bsence of civil society from consociational set-up</w:t>
      </w:r>
      <w:r w:rsidR="00C424E0">
        <w:rPr>
          <w:rFonts w:ascii="Garamond" w:hAnsi="Garamond"/>
          <w:sz w:val="24"/>
        </w:rPr>
        <w:t>s</w:t>
      </w:r>
      <w:r w:rsidR="0009424C">
        <w:rPr>
          <w:rFonts w:ascii="Garamond" w:hAnsi="Garamond"/>
          <w:sz w:val="24"/>
        </w:rPr>
        <w:t xml:space="preserve"> </w:t>
      </w:r>
      <w:r w:rsidR="000156D1">
        <w:rPr>
          <w:rFonts w:ascii="Garamond" w:hAnsi="Garamond"/>
          <w:sz w:val="24"/>
        </w:rPr>
        <w:t xml:space="preserve">therefore </w:t>
      </w:r>
      <w:r w:rsidR="0009424C">
        <w:rPr>
          <w:rFonts w:ascii="Garamond" w:hAnsi="Garamond"/>
          <w:sz w:val="24"/>
        </w:rPr>
        <w:t>has clear implication</w:t>
      </w:r>
      <w:r w:rsidR="000156D1">
        <w:rPr>
          <w:rFonts w:ascii="Garamond" w:hAnsi="Garamond"/>
          <w:sz w:val="24"/>
        </w:rPr>
        <w:t>s</w:t>
      </w:r>
      <w:r w:rsidR="0009424C">
        <w:rPr>
          <w:rFonts w:ascii="Garamond" w:hAnsi="Garamond"/>
          <w:sz w:val="24"/>
        </w:rPr>
        <w:t xml:space="preserve"> for women’s descriptive and substantive representation in the </w:t>
      </w:r>
      <w:r w:rsidR="0009424C">
        <w:rPr>
          <w:rFonts w:ascii="Garamond" w:hAnsi="Garamond"/>
          <w:sz w:val="24"/>
        </w:rPr>
        <w:lastRenderedPageBreak/>
        <w:t xml:space="preserve">new </w:t>
      </w:r>
      <w:r w:rsidR="000156D1">
        <w:rPr>
          <w:rFonts w:ascii="Garamond" w:hAnsi="Garamond"/>
          <w:sz w:val="24"/>
        </w:rPr>
        <w:t xml:space="preserve">state </w:t>
      </w:r>
      <w:r w:rsidR="0009424C">
        <w:rPr>
          <w:rFonts w:ascii="Garamond" w:hAnsi="Garamond"/>
          <w:sz w:val="24"/>
        </w:rPr>
        <w:t>bodies</w:t>
      </w:r>
      <w:r w:rsidR="000156D1">
        <w:rPr>
          <w:rFonts w:ascii="Garamond" w:hAnsi="Garamond"/>
          <w:sz w:val="24"/>
        </w:rPr>
        <w:t xml:space="preserve"> that emerge following peace agreements</w:t>
      </w:r>
      <w:r w:rsidR="0009424C">
        <w:rPr>
          <w:rFonts w:ascii="Garamond" w:hAnsi="Garamond"/>
          <w:sz w:val="24"/>
        </w:rPr>
        <w:t xml:space="preserve">. </w:t>
      </w:r>
      <w:r w:rsidR="00682650">
        <w:rPr>
          <w:rFonts w:ascii="Garamond" w:hAnsi="Garamond"/>
          <w:sz w:val="24"/>
        </w:rPr>
        <w:t xml:space="preserve">How might civil society therefore be more enmeshed in consociational democracies and peace agreements? </w:t>
      </w:r>
      <w:r w:rsidR="003202D3">
        <w:rPr>
          <w:rFonts w:ascii="Garamond" w:hAnsi="Garamond"/>
          <w:sz w:val="24"/>
        </w:rPr>
        <w:t>How could a greater appreciation of civil society work alongside (or within) power-sharing institutions?</w:t>
      </w:r>
    </w:p>
    <w:p w14:paraId="68C1C795" w14:textId="6E395F30" w:rsidR="007963FA" w:rsidRDefault="00E076EA" w:rsidP="00CC63F8">
      <w:pPr>
        <w:pStyle w:val="FootnoteText"/>
        <w:spacing w:line="276" w:lineRule="auto"/>
        <w:jc w:val="both"/>
        <w:rPr>
          <w:rFonts w:ascii="Garamond" w:hAnsi="Garamond"/>
          <w:sz w:val="24"/>
          <w:u w:val="single"/>
        </w:rPr>
      </w:pPr>
      <w:r>
        <w:rPr>
          <w:rFonts w:ascii="Garamond" w:hAnsi="Garamond"/>
          <w:sz w:val="24"/>
          <w:u w:val="single"/>
        </w:rPr>
        <w:t>Mechanisms</w:t>
      </w:r>
      <w:r w:rsidR="00007F27">
        <w:rPr>
          <w:rFonts w:ascii="Garamond" w:hAnsi="Garamond"/>
          <w:sz w:val="24"/>
          <w:u w:val="single"/>
        </w:rPr>
        <w:t xml:space="preserve"> for greater integration of civil society within consociational structures</w:t>
      </w:r>
    </w:p>
    <w:p w14:paraId="67CEB15F" w14:textId="3F8651D7" w:rsidR="003775FE" w:rsidRDefault="00053712" w:rsidP="00CC63F8">
      <w:pPr>
        <w:pStyle w:val="FootnoteText"/>
        <w:spacing w:line="276" w:lineRule="auto"/>
        <w:ind w:left="0" w:firstLine="0"/>
        <w:jc w:val="both"/>
        <w:rPr>
          <w:rFonts w:ascii="Garamond" w:hAnsi="Garamond"/>
          <w:sz w:val="24"/>
        </w:rPr>
      </w:pPr>
      <w:r>
        <w:rPr>
          <w:rFonts w:ascii="Garamond" w:hAnsi="Garamond"/>
          <w:sz w:val="24"/>
        </w:rPr>
        <w:t xml:space="preserve">As outlined in the burgeoning literature </w:t>
      </w:r>
      <w:r w:rsidR="00C32755">
        <w:rPr>
          <w:rFonts w:ascii="Garamond" w:hAnsi="Garamond"/>
          <w:sz w:val="24"/>
        </w:rPr>
        <w:t>examining</w:t>
      </w:r>
      <w:r>
        <w:rPr>
          <w:rFonts w:ascii="Garamond" w:hAnsi="Garamond"/>
          <w:sz w:val="24"/>
        </w:rPr>
        <w:t xml:space="preserve"> consociationalism and deliberative democracy, </w:t>
      </w:r>
      <w:r w:rsidR="00D46C5D">
        <w:rPr>
          <w:rFonts w:ascii="Garamond" w:hAnsi="Garamond"/>
          <w:sz w:val="24"/>
        </w:rPr>
        <w:t xml:space="preserve">there is little </w:t>
      </w:r>
      <w:r w:rsidR="00C32755">
        <w:rPr>
          <w:rFonts w:ascii="Garamond" w:hAnsi="Garamond"/>
          <w:sz w:val="24"/>
        </w:rPr>
        <w:t>consideration</w:t>
      </w:r>
      <w:r w:rsidR="00D46C5D">
        <w:rPr>
          <w:rFonts w:ascii="Garamond" w:hAnsi="Garamond"/>
          <w:sz w:val="24"/>
        </w:rPr>
        <w:t xml:space="preserve"> within consociational theory about what democracy should look like in a consociational set up.</w:t>
      </w:r>
      <w:r w:rsidR="00C32755">
        <w:rPr>
          <w:rStyle w:val="EndnoteReference"/>
          <w:rFonts w:ascii="Garamond" w:hAnsi="Garamond"/>
          <w:sz w:val="24"/>
        </w:rPr>
        <w:endnoteReference w:id="53"/>
      </w:r>
      <w:r w:rsidR="00C32755">
        <w:rPr>
          <w:rFonts w:ascii="Garamond" w:hAnsi="Garamond"/>
          <w:sz w:val="24"/>
        </w:rPr>
        <w:t xml:space="preserve"> </w:t>
      </w:r>
      <w:r w:rsidR="00D46C5D">
        <w:rPr>
          <w:rFonts w:ascii="Garamond" w:hAnsi="Garamond"/>
          <w:sz w:val="24"/>
        </w:rPr>
        <w:t xml:space="preserve"> </w:t>
      </w:r>
      <w:r w:rsidR="00C32755">
        <w:rPr>
          <w:rFonts w:ascii="Garamond" w:hAnsi="Garamond"/>
          <w:sz w:val="24"/>
        </w:rPr>
        <w:t xml:space="preserve">It is suggested that </w:t>
      </w:r>
      <w:r w:rsidR="001261E5">
        <w:rPr>
          <w:rFonts w:ascii="Garamond" w:hAnsi="Garamond"/>
          <w:sz w:val="24"/>
        </w:rPr>
        <w:t xml:space="preserve">political decision making based on </w:t>
      </w:r>
      <w:r w:rsidR="00C32755">
        <w:rPr>
          <w:rFonts w:ascii="Garamond" w:hAnsi="Garamond"/>
          <w:sz w:val="24"/>
        </w:rPr>
        <w:t xml:space="preserve">deliberative democracy offers more chance of long-term conflict resolution in consociational arrangements and that </w:t>
      </w:r>
      <w:r w:rsidR="001261E5">
        <w:rPr>
          <w:rFonts w:ascii="Garamond" w:hAnsi="Garamond"/>
          <w:sz w:val="24"/>
        </w:rPr>
        <w:t>deliberation should focus on politicians advocating for the wider public interest than simply bargaining for their own ethnic group.</w:t>
      </w:r>
      <w:r w:rsidR="001261E5">
        <w:rPr>
          <w:rStyle w:val="EndnoteReference"/>
          <w:rFonts w:ascii="Garamond" w:hAnsi="Garamond"/>
          <w:sz w:val="24"/>
        </w:rPr>
        <w:endnoteReference w:id="54"/>
      </w:r>
      <w:r w:rsidR="001261E5">
        <w:rPr>
          <w:rFonts w:ascii="Garamond" w:hAnsi="Garamond"/>
          <w:sz w:val="24"/>
        </w:rPr>
        <w:t xml:space="preserve"> We propose that the incorporation of civil society actors within consociational institutional frameworks presents further opportunities for deliberative democracy through creating a plurality of voices and participation in post-conflict governance. </w:t>
      </w:r>
      <w:r w:rsidR="007B1C7D">
        <w:rPr>
          <w:rFonts w:ascii="Garamond" w:hAnsi="Garamond"/>
          <w:sz w:val="24"/>
        </w:rPr>
        <w:t>Here</w:t>
      </w:r>
      <w:r w:rsidR="009049D7">
        <w:rPr>
          <w:rFonts w:ascii="Garamond" w:hAnsi="Garamond"/>
          <w:sz w:val="24"/>
        </w:rPr>
        <w:t xml:space="preserve"> we consider t</w:t>
      </w:r>
      <w:r w:rsidR="001261E5">
        <w:rPr>
          <w:rFonts w:ascii="Garamond" w:hAnsi="Garamond"/>
          <w:sz w:val="24"/>
        </w:rPr>
        <w:t>wo</w:t>
      </w:r>
      <w:r w:rsidR="003775FE">
        <w:rPr>
          <w:rFonts w:ascii="Garamond" w:hAnsi="Garamond"/>
          <w:sz w:val="24"/>
        </w:rPr>
        <w:t xml:space="preserve"> potential mechanisms to </w:t>
      </w:r>
      <w:r w:rsidR="00596771">
        <w:rPr>
          <w:rFonts w:ascii="Garamond" w:hAnsi="Garamond"/>
          <w:sz w:val="24"/>
        </w:rPr>
        <w:t xml:space="preserve">greater </w:t>
      </w:r>
      <w:r w:rsidR="003775FE">
        <w:rPr>
          <w:rFonts w:ascii="Garamond" w:hAnsi="Garamond"/>
          <w:sz w:val="24"/>
        </w:rPr>
        <w:t xml:space="preserve">incorporate </w:t>
      </w:r>
      <w:r w:rsidR="00E076EA">
        <w:rPr>
          <w:rFonts w:ascii="Garamond" w:hAnsi="Garamond"/>
          <w:sz w:val="24"/>
        </w:rPr>
        <w:t xml:space="preserve">and formalise </w:t>
      </w:r>
      <w:r w:rsidR="003775FE">
        <w:rPr>
          <w:rFonts w:ascii="Garamond" w:hAnsi="Garamond"/>
          <w:sz w:val="24"/>
        </w:rPr>
        <w:t>civil society</w:t>
      </w:r>
      <w:r w:rsidR="00007F27">
        <w:rPr>
          <w:rFonts w:ascii="Garamond" w:hAnsi="Garamond"/>
          <w:sz w:val="24"/>
        </w:rPr>
        <w:t xml:space="preserve"> within consoc</w:t>
      </w:r>
      <w:r w:rsidR="00E076EA">
        <w:rPr>
          <w:rFonts w:ascii="Garamond" w:hAnsi="Garamond"/>
          <w:sz w:val="24"/>
        </w:rPr>
        <w:t>i</w:t>
      </w:r>
      <w:r w:rsidR="00007F27">
        <w:rPr>
          <w:rFonts w:ascii="Garamond" w:hAnsi="Garamond"/>
          <w:sz w:val="24"/>
        </w:rPr>
        <w:t>ational governance</w:t>
      </w:r>
      <w:r w:rsidR="003775FE">
        <w:rPr>
          <w:rFonts w:ascii="Garamond" w:hAnsi="Garamond"/>
          <w:sz w:val="24"/>
        </w:rPr>
        <w:t xml:space="preserve">; a Civic Forum such as that envisioned in the </w:t>
      </w:r>
      <w:r w:rsidR="009049D7">
        <w:rPr>
          <w:rFonts w:ascii="Garamond" w:hAnsi="Garamond"/>
          <w:sz w:val="24"/>
        </w:rPr>
        <w:t>Northern Ireland Agreement with</w:t>
      </w:r>
      <w:r w:rsidR="003775FE">
        <w:rPr>
          <w:rFonts w:ascii="Garamond" w:hAnsi="Garamond"/>
          <w:sz w:val="24"/>
        </w:rPr>
        <w:t xml:space="preserve"> consultative status for particular identity groups in policy and</w:t>
      </w:r>
      <w:r w:rsidR="007C035B">
        <w:rPr>
          <w:rFonts w:ascii="Garamond" w:hAnsi="Garamond"/>
          <w:sz w:val="24"/>
        </w:rPr>
        <w:t xml:space="preserve"> law making;</w:t>
      </w:r>
      <w:r w:rsidR="00E076EA">
        <w:rPr>
          <w:rFonts w:ascii="Garamond" w:hAnsi="Garamond"/>
          <w:sz w:val="24"/>
        </w:rPr>
        <w:t xml:space="preserve"> and t</w:t>
      </w:r>
      <w:r w:rsidR="003775FE">
        <w:rPr>
          <w:rFonts w:ascii="Garamond" w:hAnsi="Garamond"/>
          <w:sz w:val="24"/>
        </w:rPr>
        <w:t xml:space="preserve">he use of </w:t>
      </w:r>
      <w:r w:rsidR="007B1C7D">
        <w:rPr>
          <w:rFonts w:ascii="Garamond" w:hAnsi="Garamond"/>
          <w:sz w:val="24"/>
        </w:rPr>
        <w:t xml:space="preserve">a </w:t>
      </w:r>
      <w:r w:rsidR="003775FE">
        <w:rPr>
          <w:rFonts w:ascii="Garamond" w:hAnsi="Garamond"/>
          <w:sz w:val="24"/>
        </w:rPr>
        <w:t>grassroots evidence base in the construction of policy</w:t>
      </w:r>
      <w:r w:rsidR="00E076EA">
        <w:rPr>
          <w:rFonts w:ascii="Garamond" w:hAnsi="Garamond"/>
          <w:sz w:val="24"/>
        </w:rPr>
        <w:t xml:space="preserve">, as seen in the development of National Action Plans (NAPs) around </w:t>
      </w:r>
      <w:r w:rsidR="001261E5">
        <w:rPr>
          <w:rFonts w:ascii="Garamond" w:hAnsi="Garamond"/>
          <w:sz w:val="24"/>
        </w:rPr>
        <w:t xml:space="preserve">UN Security Council Resolution </w:t>
      </w:r>
      <w:r w:rsidR="00E076EA">
        <w:rPr>
          <w:rFonts w:ascii="Garamond" w:hAnsi="Garamond"/>
          <w:sz w:val="24"/>
        </w:rPr>
        <w:t>1325</w:t>
      </w:r>
      <w:r w:rsidR="00C64719">
        <w:rPr>
          <w:rFonts w:ascii="Garamond" w:hAnsi="Garamond"/>
          <w:sz w:val="24"/>
        </w:rPr>
        <w:t>.</w:t>
      </w:r>
    </w:p>
    <w:p w14:paraId="27780854" w14:textId="137A5460" w:rsidR="003775FE" w:rsidRPr="00D8250F" w:rsidRDefault="007B1C7D" w:rsidP="00CC63F8">
      <w:pPr>
        <w:pStyle w:val="FootnoteText"/>
        <w:numPr>
          <w:ilvl w:val="0"/>
          <w:numId w:val="4"/>
        </w:numPr>
        <w:spacing w:line="276" w:lineRule="auto"/>
        <w:jc w:val="both"/>
        <w:rPr>
          <w:rFonts w:ascii="Garamond" w:hAnsi="Garamond"/>
          <w:i/>
          <w:sz w:val="24"/>
        </w:rPr>
      </w:pPr>
      <w:r w:rsidRPr="00D8250F">
        <w:rPr>
          <w:rFonts w:ascii="Garamond" w:hAnsi="Garamond"/>
          <w:i/>
          <w:sz w:val="24"/>
        </w:rPr>
        <w:t>Civic Forum</w:t>
      </w:r>
    </w:p>
    <w:p w14:paraId="4DF71C8E" w14:textId="238226A7" w:rsidR="004D6328" w:rsidRDefault="003775FE" w:rsidP="00CC63F8">
      <w:pPr>
        <w:pStyle w:val="FootnoteText"/>
        <w:spacing w:line="276" w:lineRule="auto"/>
        <w:ind w:left="0" w:firstLine="0"/>
        <w:jc w:val="both"/>
        <w:rPr>
          <w:rFonts w:ascii="Garamond" w:hAnsi="Garamond"/>
          <w:sz w:val="24"/>
        </w:rPr>
      </w:pPr>
      <w:r>
        <w:rPr>
          <w:rFonts w:ascii="Garamond" w:hAnsi="Garamond"/>
          <w:sz w:val="24"/>
        </w:rPr>
        <w:t>I</w:t>
      </w:r>
      <w:r w:rsidR="00E6609D">
        <w:rPr>
          <w:rFonts w:ascii="Garamond" w:hAnsi="Garamond"/>
          <w:sz w:val="24"/>
        </w:rPr>
        <w:t xml:space="preserve">n the Northern Ireland peace </w:t>
      </w:r>
      <w:r w:rsidR="004D6328">
        <w:rPr>
          <w:rFonts w:ascii="Garamond" w:hAnsi="Garamond"/>
          <w:sz w:val="24"/>
        </w:rPr>
        <w:t>negotiations in the late 1990s</w:t>
      </w:r>
      <w:r w:rsidR="00E6609D">
        <w:rPr>
          <w:rFonts w:ascii="Garamond" w:hAnsi="Garamond"/>
          <w:sz w:val="24"/>
        </w:rPr>
        <w:t xml:space="preserve">, </w:t>
      </w:r>
      <w:r w:rsidR="00E6609D" w:rsidRPr="00E6609D">
        <w:rPr>
          <w:rFonts w:ascii="Garamond" w:hAnsi="Garamond"/>
          <w:sz w:val="24"/>
        </w:rPr>
        <w:t>the NIWC lobbied for the inclusion of alternative political space in the form of a Civic Forum</w:t>
      </w:r>
      <w:r w:rsidR="008312B1">
        <w:rPr>
          <w:rFonts w:ascii="Garamond" w:hAnsi="Garamond"/>
          <w:sz w:val="24"/>
        </w:rPr>
        <w:t>. Advocates wanted this space to</w:t>
      </w:r>
      <w:r w:rsidR="00C424E0">
        <w:rPr>
          <w:rFonts w:ascii="Garamond" w:hAnsi="Garamond"/>
          <w:sz w:val="24"/>
        </w:rPr>
        <w:t xml:space="preserve"> act as an assembly for NGOs and citizen groups</w:t>
      </w:r>
      <w:r w:rsidR="00E6609D" w:rsidRPr="00E6609D">
        <w:rPr>
          <w:rFonts w:ascii="Garamond" w:hAnsi="Garamond"/>
          <w:sz w:val="24"/>
        </w:rPr>
        <w:t>.</w:t>
      </w:r>
      <w:r>
        <w:rPr>
          <w:rFonts w:ascii="Garamond" w:hAnsi="Garamond"/>
          <w:sz w:val="24"/>
        </w:rPr>
        <w:t xml:space="preserve"> The forum elected representatives from a variety of sections of civil society including the women’s sector</w:t>
      </w:r>
      <w:r w:rsidR="00706A01">
        <w:rPr>
          <w:rFonts w:ascii="Garamond" w:hAnsi="Garamond"/>
          <w:sz w:val="24"/>
        </w:rPr>
        <w:t xml:space="preserve"> who responded to policy consultations and recommended areas for policy development</w:t>
      </w:r>
      <w:r w:rsidR="004D6328">
        <w:rPr>
          <w:rFonts w:ascii="Garamond" w:hAnsi="Garamond"/>
          <w:sz w:val="24"/>
        </w:rPr>
        <w:t xml:space="preserve">. Although </w:t>
      </w:r>
      <w:r w:rsidR="00706A01">
        <w:rPr>
          <w:rFonts w:ascii="Garamond" w:hAnsi="Garamond"/>
          <w:sz w:val="24"/>
        </w:rPr>
        <w:t>the Forum</w:t>
      </w:r>
      <w:r w:rsidR="004D6328">
        <w:rPr>
          <w:rFonts w:ascii="Garamond" w:hAnsi="Garamond"/>
          <w:sz w:val="24"/>
        </w:rPr>
        <w:t xml:space="preserve"> did</w:t>
      </w:r>
      <w:r w:rsidR="00706A01">
        <w:rPr>
          <w:rFonts w:ascii="Garamond" w:hAnsi="Garamond"/>
          <w:sz w:val="24"/>
        </w:rPr>
        <w:t xml:space="preserve"> not create its own policies</w:t>
      </w:r>
      <w:r w:rsidR="004D6328">
        <w:rPr>
          <w:rFonts w:ascii="Garamond" w:hAnsi="Garamond"/>
          <w:sz w:val="24"/>
        </w:rPr>
        <w:t>,</w:t>
      </w:r>
      <w:r w:rsidR="00E6609D" w:rsidRPr="00E6609D">
        <w:rPr>
          <w:rFonts w:ascii="Garamond" w:hAnsi="Garamond"/>
          <w:sz w:val="24"/>
        </w:rPr>
        <w:t xml:space="preserve"> </w:t>
      </w:r>
      <w:r w:rsidR="004D6328">
        <w:rPr>
          <w:rFonts w:ascii="Garamond" w:hAnsi="Garamond"/>
          <w:sz w:val="24"/>
        </w:rPr>
        <w:t>t</w:t>
      </w:r>
      <w:r w:rsidR="00E6609D" w:rsidRPr="00E6609D">
        <w:rPr>
          <w:rFonts w:ascii="Garamond" w:hAnsi="Garamond"/>
          <w:sz w:val="24"/>
        </w:rPr>
        <w:t>his space represent</w:t>
      </w:r>
      <w:r w:rsidR="004D6328">
        <w:rPr>
          <w:rFonts w:ascii="Garamond" w:hAnsi="Garamond"/>
          <w:sz w:val="24"/>
        </w:rPr>
        <w:t>ed</w:t>
      </w:r>
      <w:r w:rsidR="00E6609D" w:rsidRPr="00E6609D">
        <w:rPr>
          <w:rFonts w:ascii="Garamond" w:hAnsi="Garamond"/>
          <w:sz w:val="24"/>
        </w:rPr>
        <w:t xml:space="preserve"> a participative mechanism </w:t>
      </w:r>
      <w:r w:rsidR="00C9326F">
        <w:rPr>
          <w:rFonts w:ascii="Garamond" w:hAnsi="Garamond"/>
          <w:sz w:val="24"/>
        </w:rPr>
        <w:t xml:space="preserve">which </w:t>
      </w:r>
      <w:r w:rsidR="00E6609D" w:rsidRPr="00E6609D">
        <w:rPr>
          <w:rFonts w:ascii="Garamond" w:hAnsi="Garamond"/>
          <w:sz w:val="24"/>
        </w:rPr>
        <w:t>allow</w:t>
      </w:r>
      <w:r w:rsidR="004D6328">
        <w:rPr>
          <w:rFonts w:ascii="Garamond" w:hAnsi="Garamond"/>
          <w:sz w:val="24"/>
        </w:rPr>
        <w:t>ed for</w:t>
      </w:r>
      <w:r w:rsidR="00E6609D" w:rsidRPr="00E6609D">
        <w:rPr>
          <w:rFonts w:ascii="Garamond" w:hAnsi="Garamond"/>
          <w:sz w:val="24"/>
        </w:rPr>
        <w:t xml:space="preserve"> co-operation </w:t>
      </w:r>
      <w:r w:rsidR="004D6328">
        <w:rPr>
          <w:rFonts w:ascii="Garamond" w:hAnsi="Garamond"/>
          <w:sz w:val="24"/>
        </w:rPr>
        <w:t>between</w:t>
      </w:r>
      <w:r w:rsidR="004D6328" w:rsidRPr="00E6609D">
        <w:rPr>
          <w:rFonts w:ascii="Garamond" w:hAnsi="Garamond"/>
          <w:sz w:val="24"/>
        </w:rPr>
        <w:t xml:space="preserve"> </w:t>
      </w:r>
      <w:r w:rsidR="00E6609D" w:rsidRPr="00E6609D">
        <w:rPr>
          <w:rFonts w:ascii="Garamond" w:hAnsi="Garamond"/>
          <w:sz w:val="24"/>
        </w:rPr>
        <w:t>differing groups and especially those who may feel e</w:t>
      </w:r>
      <w:r w:rsidR="00E6609D">
        <w:rPr>
          <w:rFonts w:ascii="Garamond" w:hAnsi="Garamond"/>
          <w:sz w:val="24"/>
        </w:rPr>
        <w:t>xcluded f</w:t>
      </w:r>
      <w:r w:rsidR="00E5581B">
        <w:rPr>
          <w:rFonts w:ascii="Garamond" w:hAnsi="Garamond"/>
          <w:sz w:val="24"/>
        </w:rPr>
        <w:t>rom formal politics</w:t>
      </w:r>
      <w:r w:rsidR="00E6609D">
        <w:rPr>
          <w:rFonts w:ascii="Garamond" w:hAnsi="Garamond"/>
          <w:sz w:val="24"/>
        </w:rPr>
        <w:t>.</w:t>
      </w:r>
      <w:r w:rsidR="00E5581B">
        <w:rPr>
          <w:rStyle w:val="EndnoteReference"/>
          <w:rFonts w:ascii="Garamond" w:hAnsi="Garamond"/>
          <w:sz w:val="24"/>
        </w:rPr>
        <w:endnoteReference w:id="55"/>
      </w:r>
      <w:r w:rsidR="004D6328">
        <w:rPr>
          <w:rFonts w:ascii="Garamond" w:hAnsi="Garamond"/>
          <w:sz w:val="24"/>
        </w:rPr>
        <w:t xml:space="preserve"> </w:t>
      </w:r>
      <w:r w:rsidR="00E6609D" w:rsidRPr="00E6609D">
        <w:rPr>
          <w:rFonts w:ascii="Garamond" w:hAnsi="Garamond"/>
          <w:sz w:val="24"/>
        </w:rPr>
        <w:t xml:space="preserve"> In Northern Irelan</w:t>
      </w:r>
      <w:r w:rsidR="00E6609D">
        <w:rPr>
          <w:rFonts w:ascii="Garamond" w:hAnsi="Garamond"/>
          <w:sz w:val="24"/>
        </w:rPr>
        <w:t>d, this w</w:t>
      </w:r>
      <w:r w:rsidR="00706A01">
        <w:rPr>
          <w:rFonts w:ascii="Garamond" w:hAnsi="Garamond"/>
          <w:sz w:val="24"/>
        </w:rPr>
        <w:t>as intended to</w:t>
      </w:r>
      <w:r w:rsidR="00E6609D">
        <w:rPr>
          <w:rFonts w:ascii="Garamond" w:hAnsi="Garamond"/>
          <w:sz w:val="24"/>
        </w:rPr>
        <w:t xml:space="preserve"> allow </w:t>
      </w:r>
      <w:r w:rsidR="00E6609D" w:rsidRPr="00E6609D">
        <w:rPr>
          <w:rFonts w:ascii="Garamond" w:hAnsi="Garamond"/>
          <w:sz w:val="24"/>
        </w:rPr>
        <w:t>civil society to share their knowledge and experience in the p</w:t>
      </w:r>
      <w:r w:rsidR="00E6609D">
        <w:rPr>
          <w:rFonts w:ascii="Garamond" w:hAnsi="Garamond"/>
          <w:sz w:val="24"/>
        </w:rPr>
        <w:t xml:space="preserve">olitical sphere and to attempt </w:t>
      </w:r>
      <w:r w:rsidR="00E6609D" w:rsidRPr="00E6609D">
        <w:rPr>
          <w:rFonts w:ascii="Garamond" w:hAnsi="Garamond"/>
          <w:sz w:val="24"/>
        </w:rPr>
        <w:t>a more considered and deliberative a</w:t>
      </w:r>
      <w:r w:rsidR="00C9326F">
        <w:rPr>
          <w:rFonts w:ascii="Garamond" w:hAnsi="Garamond"/>
          <w:sz w:val="24"/>
        </w:rPr>
        <w:t>pproach to policy issues</w:t>
      </w:r>
      <w:r w:rsidR="00E6609D" w:rsidRPr="00E6609D">
        <w:rPr>
          <w:rFonts w:ascii="Garamond" w:hAnsi="Garamond"/>
          <w:sz w:val="24"/>
        </w:rPr>
        <w:t>.</w:t>
      </w:r>
      <w:r w:rsidR="00E6609D">
        <w:rPr>
          <w:rFonts w:ascii="Garamond" w:hAnsi="Garamond"/>
          <w:sz w:val="24"/>
        </w:rPr>
        <w:t xml:space="preserve"> However, despite a Northern </w:t>
      </w:r>
      <w:r w:rsidR="00E607CD">
        <w:rPr>
          <w:rFonts w:ascii="Garamond" w:hAnsi="Garamond"/>
          <w:sz w:val="24"/>
        </w:rPr>
        <w:t>Ireland</w:t>
      </w:r>
      <w:r w:rsidR="00E6609D">
        <w:rPr>
          <w:rFonts w:ascii="Garamond" w:hAnsi="Garamond"/>
          <w:sz w:val="24"/>
        </w:rPr>
        <w:t xml:space="preserve"> </w:t>
      </w:r>
      <w:r w:rsidR="00E1179F">
        <w:rPr>
          <w:rFonts w:ascii="Garamond" w:hAnsi="Garamond"/>
          <w:sz w:val="24"/>
        </w:rPr>
        <w:t>Assembly</w:t>
      </w:r>
      <w:r w:rsidR="00E6609D">
        <w:rPr>
          <w:rFonts w:ascii="Garamond" w:hAnsi="Garamond"/>
          <w:sz w:val="24"/>
        </w:rPr>
        <w:t xml:space="preserve"> motion to reinstate it in 2013</w:t>
      </w:r>
      <w:r w:rsidR="00C424E0">
        <w:rPr>
          <w:rFonts w:ascii="Garamond" w:hAnsi="Garamond"/>
          <w:sz w:val="24"/>
        </w:rPr>
        <w:t>, the Civic Forum has not met since 2002</w:t>
      </w:r>
      <w:r w:rsidR="00C9326F">
        <w:rPr>
          <w:rFonts w:ascii="Garamond" w:hAnsi="Garamond"/>
          <w:sz w:val="24"/>
        </w:rPr>
        <w:t xml:space="preserve">. </w:t>
      </w:r>
      <w:r w:rsidR="00C424E0">
        <w:rPr>
          <w:rFonts w:ascii="Garamond" w:hAnsi="Garamond"/>
          <w:sz w:val="24"/>
        </w:rPr>
        <w:t>There is little political momentum around its reinstatement, suggesting the relative ease by which a consoc</w:t>
      </w:r>
      <w:r w:rsidR="00B01FEC">
        <w:rPr>
          <w:rFonts w:ascii="Garamond" w:hAnsi="Garamond"/>
          <w:sz w:val="24"/>
        </w:rPr>
        <w:t>i</w:t>
      </w:r>
      <w:r w:rsidR="00C424E0">
        <w:rPr>
          <w:rFonts w:ascii="Garamond" w:hAnsi="Garamond"/>
          <w:sz w:val="24"/>
        </w:rPr>
        <w:t>ational structure can neglect its sole civil society element.</w:t>
      </w:r>
      <w:r w:rsidR="009049D7">
        <w:rPr>
          <w:rFonts w:ascii="Garamond" w:hAnsi="Garamond"/>
          <w:sz w:val="24"/>
        </w:rPr>
        <w:t xml:space="preserve"> </w:t>
      </w:r>
      <w:r w:rsidR="001261E5">
        <w:rPr>
          <w:rFonts w:ascii="Garamond" w:hAnsi="Garamond"/>
          <w:sz w:val="24"/>
        </w:rPr>
        <w:t xml:space="preserve">The Stormont House Agreement of 2014 </w:t>
      </w:r>
      <w:r w:rsidR="00C5453D">
        <w:rPr>
          <w:rFonts w:ascii="Garamond" w:hAnsi="Garamond"/>
          <w:sz w:val="24"/>
        </w:rPr>
        <w:t xml:space="preserve">has </w:t>
      </w:r>
      <w:r w:rsidR="001261E5">
        <w:rPr>
          <w:rFonts w:ascii="Garamond" w:hAnsi="Garamond"/>
          <w:sz w:val="24"/>
        </w:rPr>
        <w:t xml:space="preserve">reenvisioned the Civic Forum as a </w:t>
      </w:r>
      <w:r w:rsidR="00C5453D">
        <w:rPr>
          <w:rFonts w:ascii="Garamond" w:hAnsi="Garamond"/>
          <w:sz w:val="24"/>
        </w:rPr>
        <w:t xml:space="preserve">6 person Civic Advisory Panel (which has not met at the date of writing) but which would appear to be a much diluted form of the original Forum. </w:t>
      </w:r>
    </w:p>
    <w:p w14:paraId="2A3E2771" w14:textId="5014D6C8" w:rsidR="00007F27" w:rsidRDefault="00007F27" w:rsidP="00CC63F8">
      <w:pPr>
        <w:pStyle w:val="FootnoteText"/>
        <w:spacing w:line="276" w:lineRule="auto"/>
        <w:ind w:left="0" w:firstLine="0"/>
        <w:jc w:val="both"/>
        <w:rPr>
          <w:rFonts w:ascii="Garamond" w:hAnsi="Garamond"/>
          <w:sz w:val="24"/>
        </w:rPr>
      </w:pPr>
      <w:r>
        <w:rPr>
          <w:rFonts w:ascii="Garamond" w:hAnsi="Garamond"/>
          <w:sz w:val="24"/>
        </w:rPr>
        <w:t xml:space="preserve">The failure of the Civic Forum speaks to two key elements of consociational theory and practice. Firstly, </w:t>
      </w:r>
      <w:r w:rsidR="00C9326F">
        <w:rPr>
          <w:rFonts w:ascii="Garamond" w:hAnsi="Garamond"/>
          <w:sz w:val="24"/>
        </w:rPr>
        <w:t xml:space="preserve">it illustrates </w:t>
      </w:r>
      <w:r>
        <w:rPr>
          <w:rFonts w:ascii="Garamond" w:hAnsi="Garamond"/>
          <w:sz w:val="24"/>
        </w:rPr>
        <w:t xml:space="preserve">the difficulty of enacting a cross-community politics in which ethno-national identity is not embedded within the structure. The Civic Forum did not operate along the same logic of ethno-national primacy that the formal political structures </w:t>
      </w:r>
      <w:r w:rsidR="00C9326F">
        <w:rPr>
          <w:rFonts w:ascii="Garamond" w:hAnsi="Garamond"/>
          <w:sz w:val="24"/>
        </w:rPr>
        <w:t>had</w:t>
      </w:r>
      <w:r>
        <w:rPr>
          <w:rFonts w:ascii="Garamond" w:hAnsi="Garamond"/>
          <w:sz w:val="24"/>
        </w:rPr>
        <w:t xml:space="preserve">. As such, it was difficult for this very different understanding of politics and identity to link up with that understood by the Assembly. Secondly, by its very existence, the Civic Forum required </w:t>
      </w:r>
      <w:r w:rsidR="00426C4F">
        <w:rPr>
          <w:rFonts w:ascii="Garamond" w:hAnsi="Garamond"/>
          <w:sz w:val="24"/>
        </w:rPr>
        <w:t>the formal political structures to cede part of their authority by acknowledging the Forum as a legitimate basis for politics</w:t>
      </w:r>
      <w:r w:rsidR="00C9326F">
        <w:rPr>
          <w:rFonts w:ascii="Garamond" w:hAnsi="Garamond"/>
          <w:sz w:val="24"/>
        </w:rPr>
        <w:t xml:space="preserve"> and policy making</w:t>
      </w:r>
      <w:r w:rsidR="00426C4F">
        <w:rPr>
          <w:rFonts w:ascii="Garamond" w:hAnsi="Garamond"/>
          <w:sz w:val="24"/>
        </w:rPr>
        <w:t>. Again, the elite focus that much consociationa</w:t>
      </w:r>
      <w:r w:rsidR="00C9326F">
        <w:rPr>
          <w:rFonts w:ascii="Garamond" w:hAnsi="Garamond"/>
          <w:sz w:val="24"/>
        </w:rPr>
        <w:t>l theory and practice relies on</w:t>
      </w:r>
      <w:r w:rsidR="00426C4F">
        <w:rPr>
          <w:rFonts w:ascii="Garamond" w:hAnsi="Garamond"/>
          <w:sz w:val="24"/>
        </w:rPr>
        <w:t xml:space="preserve"> </w:t>
      </w:r>
      <w:r w:rsidR="00C9326F">
        <w:rPr>
          <w:rFonts w:ascii="Garamond" w:hAnsi="Garamond"/>
          <w:sz w:val="24"/>
        </w:rPr>
        <w:t>(</w:t>
      </w:r>
      <w:r w:rsidR="00426C4F">
        <w:rPr>
          <w:rFonts w:ascii="Garamond" w:hAnsi="Garamond"/>
          <w:sz w:val="24"/>
        </w:rPr>
        <w:t>as outline</w:t>
      </w:r>
      <w:r w:rsidR="00C9326F">
        <w:rPr>
          <w:rFonts w:ascii="Garamond" w:hAnsi="Garamond"/>
          <w:sz w:val="24"/>
        </w:rPr>
        <w:t>d above)</w:t>
      </w:r>
      <w:r w:rsidR="00426C4F">
        <w:rPr>
          <w:rFonts w:ascii="Garamond" w:hAnsi="Garamond"/>
          <w:sz w:val="24"/>
        </w:rPr>
        <w:t xml:space="preserve"> made this difficult. </w:t>
      </w:r>
    </w:p>
    <w:p w14:paraId="1B128450" w14:textId="2623209A" w:rsidR="009049D7" w:rsidRDefault="00663DF6" w:rsidP="00CC63F8">
      <w:pPr>
        <w:pStyle w:val="FootnoteText"/>
        <w:spacing w:line="276" w:lineRule="auto"/>
        <w:ind w:left="0" w:firstLine="0"/>
        <w:jc w:val="both"/>
        <w:rPr>
          <w:rFonts w:ascii="Garamond" w:hAnsi="Garamond"/>
          <w:sz w:val="24"/>
        </w:rPr>
      </w:pPr>
      <w:r>
        <w:rPr>
          <w:rFonts w:ascii="Garamond" w:hAnsi="Garamond"/>
          <w:sz w:val="24"/>
        </w:rPr>
        <w:lastRenderedPageBreak/>
        <w:t>Yet, d</w:t>
      </w:r>
      <w:r w:rsidR="004D6328">
        <w:rPr>
          <w:rFonts w:ascii="Garamond" w:hAnsi="Garamond"/>
          <w:sz w:val="24"/>
        </w:rPr>
        <w:t xml:space="preserve">espite its relative failure in the Northern Irish context, the Civic Forum </w:t>
      </w:r>
      <w:r w:rsidR="00C642A0">
        <w:rPr>
          <w:rFonts w:ascii="Garamond" w:hAnsi="Garamond"/>
          <w:sz w:val="24"/>
        </w:rPr>
        <w:t xml:space="preserve">provides an innovative blue-print for how civil society might be more effectively linked within formal consociational structures. Writing the existence of a Civic Forum more firmly into future peace agreements (for example, </w:t>
      </w:r>
      <w:r w:rsidR="008312B1">
        <w:rPr>
          <w:rFonts w:ascii="Garamond" w:hAnsi="Garamond"/>
          <w:sz w:val="24"/>
        </w:rPr>
        <w:t>requiring it to have a formalised role in policy-making</w:t>
      </w:r>
      <w:r w:rsidR="00C642A0">
        <w:rPr>
          <w:rFonts w:ascii="Garamond" w:hAnsi="Garamond"/>
          <w:sz w:val="24"/>
        </w:rPr>
        <w:t>)</w:t>
      </w:r>
      <w:r w:rsidR="008312B1">
        <w:rPr>
          <w:rFonts w:ascii="Garamond" w:hAnsi="Garamond"/>
          <w:sz w:val="24"/>
        </w:rPr>
        <w:t xml:space="preserve"> would help to more clearly entrench it within the consociational structures</w:t>
      </w:r>
      <w:r w:rsidR="00B57884">
        <w:rPr>
          <w:rFonts w:ascii="Garamond" w:hAnsi="Garamond"/>
          <w:sz w:val="24"/>
        </w:rPr>
        <w:t>, and force the formal political structures to address it with greater seriousness</w:t>
      </w:r>
      <w:r w:rsidR="008312B1">
        <w:rPr>
          <w:rFonts w:ascii="Garamond" w:hAnsi="Garamond"/>
          <w:sz w:val="24"/>
        </w:rPr>
        <w:t>.</w:t>
      </w:r>
      <w:r w:rsidR="0038371D">
        <w:rPr>
          <w:rFonts w:ascii="Garamond" w:hAnsi="Garamond"/>
          <w:sz w:val="24"/>
        </w:rPr>
        <w:t xml:space="preserve"> </w:t>
      </w:r>
    </w:p>
    <w:p w14:paraId="570394F4" w14:textId="2CA6816C" w:rsidR="007B1C7D" w:rsidRPr="00D8250F" w:rsidRDefault="00426C4F" w:rsidP="00CC63F8">
      <w:pPr>
        <w:pStyle w:val="FootnoteText"/>
        <w:numPr>
          <w:ilvl w:val="0"/>
          <w:numId w:val="4"/>
        </w:numPr>
        <w:spacing w:line="276" w:lineRule="auto"/>
        <w:jc w:val="both"/>
        <w:rPr>
          <w:rFonts w:ascii="Garamond" w:hAnsi="Garamond"/>
          <w:i/>
          <w:sz w:val="24"/>
        </w:rPr>
      </w:pPr>
      <w:r>
        <w:rPr>
          <w:rFonts w:ascii="Garamond" w:hAnsi="Garamond"/>
          <w:i/>
          <w:sz w:val="24"/>
        </w:rPr>
        <w:t>Incorporation of civil society through WPS NAPs</w:t>
      </w:r>
    </w:p>
    <w:p w14:paraId="777D16D8" w14:textId="1EFE7129" w:rsidR="004E24A2" w:rsidRDefault="00B57884" w:rsidP="00CC63F8">
      <w:pPr>
        <w:pStyle w:val="FootnoteText"/>
        <w:spacing w:line="276" w:lineRule="auto"/>
        <w:ind w:left="0" w:firstLine="0"/>
        <w:jc w:val="both"/>
        <w:rPr>
          <w:rFonts w:ascii="Garamond" w:hAnsi="Garamond"/>
          <w:sz w:val="24"/>
        </w:rPr>
      </w:pPr>
      <w:r>
        <w:rPr>
          <w:rFonts w:ascii="Garamond" w:hAnsi="Garamond"/>
          <w:sz w:val="24"/>
        </w:rPr>
        <w:t>The process by w</w:t>
      </w:r>
      <w:r w:rsidR="00076158">
        <w:rPr>
          <w:rFonts w:ascii="Garamond" w:hAnsi="Garamond"/>
          <w:sz w:val="24"/>
        </w:rPr>
        <w:t>hich</w:t>
      </w:r>
      <w:r>
        <w:rPr>
          <w:rFonts w:ascii="Garamond" w:hAnsi="Garamond"/>
          <w:sz w:val="24"/>
        </w:rPr>
        <w:t xml:space="preserve"> United Nations Security Council Resolut</w:t>
      </w:r>
      <w:r w:rsidR="00C9326F">
        <w:rPr>
          <w:rFonts w:ascii="Garamond" w:hAnsi="Garamond"/>
          <w:sz w:val="24"/>
        </w:rPr>
        <w:t>ion</w:t>
      </w:r>
      <w:r>
        <w:rPr>
          <w:rFonts w:ascii="Garamond" w:hAnsi="Garamond"/>
          <w:sz w:val="24"/>
        </w:rPr>
        <w:t xml:space="preserve"> 1325 is addressed through N</w:t>
      </w:r>
      <w:r w:rsidR="00076158">
        <w:rPr>
          <w:rFonts w:ascii="Garamond" w:hAnsi="Garamond"/>
          <w:sz w:val="24"/>
        </w:rPr>
        <w:t xml:space="preserve">ational </w:t>
      </w:r>
      <w:r>
        <w:rPr>
          <w:rFonts w:ascii="Garamond" w:hAnsi="Garamond"/>
          <w:sz w:val="24"/>
        </w:rPr>
        <w:t>A</w:t>
      </w:r>
      <w:r w:rsidR="00076158">
        <w:rPr>
          <w:rFonts w:ascii="Garamond" w:hAnsi="Garamond"/>
          <w:sz w:val="24"/>
        </w:rPr>
        <w:t xml:space="preserve">ction </w:t>
      </w:r>
      <w:r>
        <w:rPr>
          <w:rFonts w:ascii="Garamond" w:hAnsi="Garamond"/>
          <w:sz w:val="24"/>
        </w:rPr>
        <w:t>P</w:t>
      </w:r>
      <w:r w:rsidR="00076158">
        <w:rPr>
          <w:rFonts w:ascii="Garamond" w:hAnsi="Garamond"/>
          <w:sz w:val="24"/>
        </w:rPr>
        <w:t>lan</w:t>
      </w:r>
      <w:r w:rsidR="00E076EA">
        <w:rPr>
          <w:rFonts w:ascii="Garamond" w:hAnsi="Garamond"/>
          <w:sz w:val="24"/>
        </w:rPr>
        <w:t>s</w:t>
      </w:r>
      <w:r>
        <w:rPr>
          <w:rFonts w:ascii="Garamond" w:hAnsi="Garamond"/>
          <w:sz w:val="24"/>
        </w:rPr>
        <w:t xml:space="preserve"> provides another model </w:t>
      </w:r>
      <w:r w:rsidR="00C9326F">
        <w:rPr>
          <w:rFonts w:ascii="Garamond" w:hAnsi="Garamond"/>
          <w:sz w:val="24"/>
        </w:rPr>
        <w:t>by</w:t>
      </w:r>
      <w:r>
        <w:rPr>
          <w:rFonts w:ascii="Garamond" w:hAnsi="Garamond"/>
          <w:sz w:val="24"/>
        </w:rPr>
        <w:t xml:space="preserve"> which greater attentiveness to </w:t>
      </w:r>
      <w:r w:rsidR="00055A7F">
        <w:rPr>
          <w:rFonts w:ascii="Garamond" w:hAnsi="Garamond"/>
          <w:sz w:val="24"/>
        </w:rPr>
        <w:t>women’s civil society</w:t>
      </w:r>
      <w:r>
        <w:rPr>
          <w:rFonts w:ascii="Garamond" w:hAnsi="Garamond"/>
          <w:sz w:val="24"/>
        </w:rPr>
        <w:t xml:space="preserve"> </w:t>
      </w:r>
      <w:r w:rsidR="00C9326F">
        <w:rPr>
          <w:rFonts w:ascii="Garamond" w:hAnsi="Garamond"/>
          <w:sz w:val="24"/>
        </w:rPr>
        <w:t>might</w:t>
      </w:r>
      <w:r>
        <w:rPr>
          <w:rFonts w:ascii="Garamond" w:hAnsi="Garamond"/>
          <w:sz w:val="24"/>
        </w:rPr>
        <w:t xml:space="preserve"> be paid in consociational political structures. </w:t>
      </w:r>
      <w:r w:rsidR="00076158">
        <w:rPr>
          <w:rFonts w:ascii="Garamond" w:hAnsi="Garamond"/>
          <w:sz w:val="24"/>
        </w:rPr>
        <w:t xml:space="preserve">1325 clearly articulates the importance of women’s contribution to post-conflict peace-building and is championed by women’s civil society organisations globally. </w:t>
      </w:r>
      <w:r w:rsidR="00300DE1">
        <w:rPr>
          <w:rFonts w:ascii="Garamond" w:hAnsi="Garamond"/>
          <w:sz w:val="24"/>
        </w:rPr>
        <w:t xml:space="preserve">Accordingly, engaging with politics through the 1325 framework may encourage a wider section of women’s civil society to take part. </w:t>
      </w:r>
    </w:p>
    <w:p w14:paraId="3FF8C6B6" w14:textId="2247F362" w:rsidR="005440AE" w:rsidRDefault="00E1179F" w:rsidP="00CC63F8">
      <w:pPr>
        <w:pStyle w:val="FootnoteText"/>
        <w:spacing w:line="276" w:lineRule="auto"/>
        <w:ind w:left="0" w:firstLine="0"/>
        <w:jc w:val="both"/>
        <w:rPr>
          <w:rFonts w:ascii="Garamond" w:hAnsi="Garamond"/>
          <w:sz w:val="24"/>
        </w:rPr>
      </w:pPr>
      <w:r>
        <w:rPr>
          <w:rFonts w:ascii="Garamond" w:hAnsi="Garamond"/>
          <w:sz w:val="24"/>
        </w:rPr>
        <w:t xml:space="preserve">An example of </w:t>
      </w:r>
      <w:r w:rsidR="00076158">
        <w:rPr>
          <w:rFonts w:ascii="Garamond" w:hAnsi="Garamond"/>
          <w:sz w:val="24"/>
        </w:rPr>
        <w:t>good practice in structuring the implementation of 1325</w:t>
      </w:r>
      <w:r>
        <w:rPr>
          <w:rFonts w:ascii="Garamond" w:hAnsi="Garamond"/>
          <w:sz w:val="24"/>
        </w:rPr>
        <w:t xml:space="preserve"> can be found in </w:t>
      </w:r>
      <w:r w:rsidR="000664F3">
        <w:rPr>
          <w:rFonts w:ascii="Garamond" w:hAnsi="Garamond"/>
          <w:sz w:val="24"/>
        </w:rPr>
        <w:t xml:space="preserve">the Republic of </w:t>
      </w:r>
      <w:r>
        <w:rPr>
          <w:rFonts w:ascii="Garamond" w:hAnsi="Garamond"/>
          <w:sz w:val="24"/>
        </w:rPr>
        <w:t>Ireland’s development of a NAP for</w:t>
      </w:r>
      <w:r w:rsidR="009049D7">
        <w:rPr>
          <w:rFonts w:ascii="Garamond" w:hAnsi="Garamond"/>
          <w:sz w:val="24"/>
        </w:rPr>
        <w:t xml:space="preserve"> </w:t>
      </w:r>
      <w:r>
        <w:rPr>
          <w:rFonts w:ascii="Garamond" w:hAnsi="Garamond"/>
          <w:sz w:val="24"/>
        </w:rPr>
        <w:t>1325. Civil society groups and activists fr</w:t>
      </w:r>
      <w:r w:rsidR="001B12D0">
        <w:rPr>
          <w:rFonts w:ascii="Garamond" w:hAnsi="Garamond"/>
          <w:sz w:val="24"/>
        </w:rPr>
        <w:t xml:space="preserve">om </w:t>
      </w:r>
      <w:r w:rsidR="000664F3">
        <w:rPr>
          <w:rFonts w:ascii="Garamond" w:hAnsi="Garamond"/>
          <w:sz w:val="24"/>
        </w:rPr>
        <w:t>Northern/</w:t>
      </w:r>
      <w:r w:rsidR="001B12D0">
        <w:rPr>
          <w:rFonts w:ascii="Garamond" w:hAnsi="Garamond"/>
          <w:sz w:val="24"/>
        </w:rPr>
        <w:t>Ireland, Liberia and Timor-L</w:t>
      </w:r>
      <w:r>
        <w:rPr>
          <w:rFonts w:ascii="Garamond" w:hAnsi="Garamond"/>
          <w:sz w:val="24"/>
        </w:rPr>
        <w:t xml:space="preserve">este (the 3 focus countries) were engaged in discussions about their particular </w:t>
      </w:r>
      <w:r w:rsidR="0084369D">
        <w:rPr>
          <w:rFonts w:ascii="Garamond" w:hAnsi="Garamond"/>
          <w:sz w:val="24"/>
        </w:rPr>
        <w:t xml:space="preserve">conflict </w:t>
      </w:r>
      <w:r>
        <w:rPr>
          <w:rFonts w:ascii="Garamond" w:hAnsi="Garamond"/>
          <w:sz w:val="24"/>
        </w:rPr>
        <w:t>experiences to build a NAP from the ground up.</w:t>
      </w:r>
      <w:r w:rsidR="00426C4F">
        <w:rPr>
          <w:rStyle w:val="EndnoteReference"/>
          <w:rFonts w:ascii="Garamond" w:hAnsi="Garamond"/>
          <w:sz w:val="24"/>
        </w:rPr>
        <w:endnoteReference w:id="56"/>
      </w:r>
      <w:r>
        <w:rPr>
          <w:rFonts w:ascii="Garamond" w:hAnsi="Garamond"/>
          <w:sz w:val="24"/>
        </w:rPr>
        <w:t xml:space="preserve"> </w:t>
      </w:r>
      <w:r w:rsidR="00663DF6">
        <w:rPr>
          <w:rFonts w:ascii="Garamond" w:hAnsi="Garamond"/>
          <w:sz w:val="24"/>
        </w:rPr>
        <w:t xml:space="preserve">The views and perspectives of the women who stood to benefit most clearly from a clear adoption of 1325 were not only included, but formed the very basis for policy advice. </w:t>
      </w:r>
      <w:r w:rsidR="005440AE">
        <w:rPr>
          <w:rFonts w:ascii="Garamond" w:hAnsi="Garamond"/>
          <w:sz w:val="24"/>
        </w:rPr>
        <w:t xml:space="preserve">In a similar fashion, </w:t>
      </w:r>
      <w:r>
        <w:rPr>
          <w:rFonts w:ascii="Garamond" w:hAnsi="Garamond"/>
          <w:sz w:val="24"/>
        </w:rPr>
        <w:t>NATO, who have recently adopted</w:t>
      </w:r>
      <w:r w:rsidR="00B01FEC">
        <w:rPr>
          <w:rFonts w:ascii="Garamond" w:hAnsi="Garamond"/>
          <w:sz w:val="24"/>
        </w:rPr>
        <w:t xml:space="preserve"> policies</w:t>
      </w:r>
      <w:r>
        <w:rPr>
          <w:rFonts w:ascii="Garamond" w:hAnsi="Garamond"/>
          <w:sz w:val="24"/>
        </w:rPr>
        <w:t xml:space="preserve"> on </w:t>
      </w:r>
      <w:r w:rsidR="00B01FEC">
        <w:rPr>
          <w:rFonts w:ascii="Garamond" w:hAnsi="Garamond"/>
          <w:sz w:val="24"/>
        </w:rPr>
        <w:t>the WPS agenda</w:t>
      </w:r>
      <w:r w:rsidR="0084369D">
        <w:rPr>
          <w:rFonts w:ascii="Garamond" w:hAnsi="Garamond"/>
          <w:sz w:val="24"/>
        </w:rPr>
        <w:t xml:space="preserve">, have created a </w:t>
      </w:r>
      <w:r w:rsidR="0084369D" w:rsidRPr="0084369D">
        <w:rPr>
          <w:rFonts w:ascii="Garamond" w:hAnsi="Garamond"/>
          <w:sz w:val="24"/>
        </w:rPr>
        <w:t>Civil Society Advisory Panel on Women, Peace and Security</w:t>
      </w:r>
      <w:r w:rsidR="0084369D">
        <w:rPr>
          <w:rFonts w:ascii="Garamond" w:hAnsi="Garamond"/>
          <w:sz w:val="24"/>
        </w:rPr>
        <w:t xml:space="preserve"> to ensure their policy is informed by engagement with civil society</w:t>
      </w:r>
      <w:r w:rsidR="005440AE">
        <w:rPr>
          <w:rFonts w:ascii="Garamond" w:hAnsi="Garamond"/>
          <w:sz w:val="24"/>
        </w:rPr>
        <w:t xml:space="preserve"> groups and organisations</w:t>
      </w:r>
      <w:r w:rsidR="0084369D">
        <w:rPr>
          <w:rFonts w:ascii="Garamond" w:hAnsi="Garamond"/>
          <w:sz w:val="24"/>
        </w:rPr>
        <w:t>.</w:t>
      </w:r>
      <w:r w:rsidR="00B01FEC">
        <w:rPr>
          <w:rStyle w:val="EndnoteReference"/>
          <w:rFonts w:ascii="Garamond" w:hAnsi="Garamond"/>
          <w:sz w:val="24"/>
        </w:rPr>
        <w:endnoteReference w:id="57"/>
      </w:r>
      <w:r w:rsidR="0084369D">
        <w:rPr>
          <w:rFonts w:ascii="Garamond" w:hAnsi="Garamond"/>
          <w:sz w:val="24"/>
        </w:rPr>
        <w:t xml:space="preserve"> </w:t>
      </w:r>
      <w:r w:rsidR="005440AE">
        <w:rPr>
          <w:rFonts w:ascii="Garamond" w:hAnsi="Garamond"/>
          <w:sz w:val="24"/>
        </w:rPr>
        <w:t xml:space="preserve">Although in its early days, such a commitment has the potential to encourage greater consideration to grassroots perspectives in the workings of one of the world’s largest security bodies. </w:t>
      </w:r>
    </w:p>
    <w:p w14:paraId="01DE138B" w14:textId="1534F1C7" w:rsidR="00892845" w:rsidRDefault="00B57884" w:rsidP="00CC63F8">
      <w:pPr>
        <w:pStyle w:val="FootnoteText"/>
        <w:spacing w:line="276" w:lineRule="auto"/>
        <w:ind w:left="0" w:firstLine="0"/>
        <w:jc w:val="both"/>
        <w:rPr>
          <w:rFonts w:ascii="Garamond" w:hAnsi="Garamond"/>
          <w:sz w:val="24"/>
        </w:rPr>
      </w:pPr>
      <w:r>
        <w:rPr>
          <w:rFonts w:ascii="Garamond" w:hAnsi="Garamond"/>
          <w:sz w:val="24"/>
        </w:rPr>
        <w:t xml:space="preserve">There is no reason why NAPs cannot be developed, and have sizeable influence within, consociational structures. If members of the UN, then post-conflict countries have obligations to implement 1325 and are strongly encouraged to use NAPs as a </w:t>
      </w:r>
      <w:r w:rsidR="004A7519">
        <w:rPr>
          <w:rFonts w:ascii="Garamond" w:hAnsi="Garamond"/>
          <w:sz w:val="24"/>
        </w:rPr>
        <w:t>means</w:t>
      </w:r>
      <w:r>
        <w:rPr>
          <w:rFonts w:ascii="Garamond" w:hAnsi="Garamond"/>
          <w:sz w:val="24"/>
        </w:rPr>
        <w:t xml:space="preserve"> to do so. </w:t>
      </w:r>
      <w:r w:rsidR="004A7519">
        <w:rPr>
          <w:rFonts w:ascii="Garamond" w:hAnsi="Garamond"/>
          <w:sz w:val="24"/>
        </w:rPr>
        <w:t>Situating consociational governments within this international frame of governance is one of way of ensuring both that the</w:t>
      </w:r>
      <w:r w:rsidR="00C9326F">
        <w:rPr>
          <w:rFonts w:ascii="Garamond" w:hAnsi="Garamond"/>
          <w:sz w:val="24"/>
        </w:rPr>
        <w:t>y</w:t>
      </w:r>
      <w:r w:rsidR="004A7519">
        <w:rPr>
          <w:rFonts w:ascii="Garamond" w:hAnsi="Garamond"/>
          <w:sz w:val="24"/>
        </w:rPr>
        <w:t xml:space="preserve"> adhere to international mechanisms, but that they also involved the voices of civil society. In this way, NAPs provide one way through which </w:t>
      </w:r>
      <w:r w:rsidR="00055A7F">
        <w:rPr>
          <w:rFonts w:ascii="Garamond" w:hAnsi="Garamond"/>
          <w:sz w:val="24"/>
        </w:rPr>
        <w:t>consociational structures can be brought into greater conversation with civil society</w:t>
      </w:r>
      <w:r w:rsidR="0084369D">
        <w:rPr>
          <w:rFonts w:ascii="Garamond" w:hAnsi="Garamond"/>
          <w:sz w:val="24"/>
        </w:rPr>
        <w:t xml:space="preserve">. In addition, </w:t>
      </w:r>
      <w:r w:rsidR="005440AE">
        <w:rPr>
          <w:rFonts w:ascii="Garamond" w:hAnsi="Garamond"/>
          <w:sz w:val="24"/>
        </w:rPr>
        <w:t xml:space="preserve">by encouraging close links but not officially formalising these, </w:t>
      </w:r>
      <w:r w:rsidR="0084369D">
        <w:rPr>
          <w:rFonts w:ascii="Garamond" w:hAnsi="Garamond"/>
          <w:sz w:val="24"/>
        </w:rPr>
        <w:t xml:space="preserve">they continue to allow civil society to maintain a critical distance with formal political structures. </w:t>
      </w:r>
      <w:r w:rsidR="00C36A01">
        <w:rPr>
          <w:rFonts w:ascii="Garamond" w:hAnsi="Garamond"/>
          <w:sz w:val="24"/>
        </w:rPr>
        <w:t>This type of policy making is</w:t>
      </w:r>
      <w:r w:rsidR="00C642A0">
        <w:rPr>
          <w:rFonts w:ascii="Garamond" w:hAnsi="Garamond"/>
          <w:sz w:val="24"/>
        </w:rPr>
        <w:t xml:space="preserve"> complex, but ensure</w:t>
      </w:r>
      <w:r w:rsidR="005440AE">
        <w:rPr>
          <w:rFonts w:ascii="Garamond" w:hAnsi="Garamond"/>
          <w:sz w:val="24"/>
        </w:rPr>
        <w:t>s a</w:t>
      </w:r>
      <w:r w:rsidR="00C642A0">
        <w:rPr>
          <w:rFonts w:ascii="Garamond" w:hAnsi="Garamond"/>
          <w:sz w:val="24"/>
        </w:rPr>
        <w:t xml:space="preserve"> long-term involvement of civil society </w:t>
      </w:r>
      <w:r w:rsidR="005440AE">
        <w:rPr>
          <w:rFonts w:ascii="Garamond" w:hAnsi="Garamond"/>
          <w:sz w:val="24"/>
        </w:rPr>
        <w:t>groups</w:t>
      </w:r>
      <w:r w:rsidR="00C642A0">
        <w:rPr>
          <w:rFonts w:ascii="Garamond" w:hAnsi="Garamond"/>
          <w:sz w:val="24"/>
        </w:rPr>
        <w:t xml:space="preserve"> with policy-making and elected </w:t>
      </w:r>
      <w:r w:rsidR="005440AE">
        <w:rPr>
          <w:rFonts w:ascii="Garamond" w:hAnsi="Garamond"/>
          <w:sz w:val="24"/>
        </w:rPr>
        <w:t>bodies -</w:t>
      </w:r>
      <w:r w:rsidR="00C642A0">
        <w:rPr>
          <w:rFonts w:ascii="Garamond" w:hAnsi="Garamond"/>
          <w:sz w:val="24"/>
        </w:rPr>
        <w:t xml:space="preserve"> rather than </w:t>
      </w:r>
      <w:r w:rsidR="005440AE">
        <w:rPr>
          <w:rFonts w:ascii="Garamond" w:hAnsi="Garamond"/>
          <w:sz w:val="24"/>
        </w:rPr>
        <w:t xml:space="preserve">those groups being </w:t>
      </w:r>
      <w:r w:rsidR="00C642A0">
        <w:rPr>
          <w:rFonts w:ascii="Garamond" w:hAnsi="Garamond"/>
          <w:sz w:val="24"/>
        </w:rPr>
        <w:t>merely ‘parachuted in’ to give a seal of approval to a final policy.</w:t>
      </w:r>
      <w:r w:rsidR="000664F3">
        <w:rPr>
          <w:rFonts w:ascii="Garamond" w:hAnsi="Garamond"/>
          <w:sz w:val="24"/>
        </w:rPr>
        <w:t xml:space="preserve"> </w:t>
      </w:r>
    </w:p>
    <w:p w14:paraId="0AE4E9D5" w14:textId="77777777" w:rsidR="002C7586" w:rsidRPr="009F69CC" w:rsidRDefault="002C7586" w:rsidP="00CC63F8">
      <w:pPr>
        <w:pStyle w:val="FootnoteText"/>
        <w:spacing w:line="276" w:lineRule="auto"/>
        <w:ind w:left="0" w:firstLine="0"/>
        <w:jc w:val="both"/>
        <w:rPr>
          <w:rFonts w:ascii="Garamond" w:hAnsi="Garamond"/>
          <w:sz w:val="24"/>
          <w:u w:val="single"/>
        </w:rPr>
      </w:pPr>
      <w:r w:rsidRPr="009F69CC">
        <w:rPr>
          <w:rFonts w:ascii="Garamond" w:hAnsi="Garamond"/>
          <w:sz w:val="24"/>
          <w:u w:val="single"/>
        </w:rPr>
        <w:t xml:space="preserve">Conclusion </w:t>
      </w:r>
    </w:p>
    <w:p w14:paraId="0AEB5085" w14:textId="00B7660D" w:rsidR="006741F9" w:rsidRDefault="00631562" w:rsidP="00CC63F8">
      <w:pPr>
        <w:pStyle w:val="FootnoteText"/>
        <w:spacing w:line="276" w:lineRule="auto"/>
        <w:ind w:left="0" w:firstLine="0"/>
        <w:jc w:val="both"/>
        <w:rPr>
          <w:rFonts w:ascii="Garamond" w:hAnsi="Garamond"/>
          <w:sz w:val="24"/>
        </w:rPr>
      </w:pPr>
      <w:r>
        <w:rPr>
          <w:rFonts w:ascii="Garamond" w:hAnsi="Garamond"/>
          <w:sz w:val="24"/>
        </w:rPr>
        <w:t>Across multiple contexts, w</w:t>
      </w:r>
      <w:r w:rsidR="006741F9" w:rsidRPr="006741F9">
        <w:rPr>
          <w:rFonts w:ascii="Garamond" w:hAnsi="Garamond"/>
          <w:sz w:val="24"/>
        </w:rPr>
        <w:t xml:space="preserve">omen’s activism </w:t>
      </w:r>
      <w:r w:rsidR="001B12D0">
        <w:rPr>
          <w:rFonts w:ascii="Garamond" w:hAnsi="Garamond"/>
          <w:sz w:val="24"/>
        </w:rPr>
        <w:t xml:space="preserve">in divided societies </w:t>
      </w:r>
      <w:r w:rsidR="006741F9" w:rsidRPr="006741F9">
        <w:rPr>
          <w:rFonts w:ascii="Garamond" w:hAnsi="Garamond"/>
          <w:sz w:val="24"/>
        </w:rPr>
        <w:t xml:space="preserve">tends to </w:t>
      </w:r>
      <w:r w:rsidR="001B12D0">
        <w:rPr>
          <w:rFonts w:ascii="Garamond" w:hAnsi="Garamond"/>
          <w:sz w:val="24"/>
        </w:rPr>
        <w:t>reside</w:t>
      </w:r>
      <w:r w:rsidR="006741F9" w:rsidRPr="006741F9">
        <w:rPr>
          <w:rFonts w:ascii="Garamond" w:hAnsi="Garamond"/>
          <w:sz w:val="24"/>
        </w:rPr>
        <w:t xml:space="preserve"> in civil society</w:t>
      </w:r>
      <w:r w:rsidR="001B12D0">
        <w:rPr>
          <w:rFonts w:ascii="Garamond" w:hAnsi="Garamond"/>
          <w:sz w:val="24"/>
        </w:rPr>
        <w:t xml:space="preserve">, not formal politics. </w:t>
      </w:r>
      <w:r w:rsidR="000416AC">
        <w:rPr>
          <w:rFonts w:ascii="Garamond" w:hAnsi="Garamond"/>
          <w:sz w:val="24"/>
        </w:rPr>
        <w:t xml:space="preserve">Whilst women still </w:t>
      </w:r>
      <w:r w:rsidR="005F45F5">
        <w:rPr>
          <w:rFonts w:ascii="Garamond" w:hAnsi="Garamond"/>
          <w:sz w:val="24"/>
        </w:rPr>
        <w:t xml:space="preserve">identify with and uphold </w:t>
      </w:r>
      <w:r w:rsidR="000416AC">
        <w:rPr>
          <w:rFonts w:ascii="Garamond" w:hAnsi="Garamond"/>
          <w:sz w:val="24"/>
        </w:rPr>
        <w:t xml:space="preserve">ethno-national communities, it is most often in civil society </w:t>
      </w:r>
      <w:r w:rsidR="005F45F5">
        <w:rPr>
          <w:rFonts w:ascii="Garamond" w:hAnsi="Garamond"/>
          <w:sz w:val="24"/>
        </w:rPr>
        <w:t>where</w:t>
      </w:r>
      <w:r w:rsidR="00055A7F">
        <w:rPr>
          <w:rFonts w:ascii="Garamond" w:hAnsi="Garamond"/>
          <w:sz w:val="24"/>
        </w:rPr>
        <w:t xml:space="preserve"> we see</w:t>
      </w:r>
      <w:r w:rsidR="005F45F5">
        <w:rPr>
          <w:rFonts w:ascii="Garamond" w:hAnsi="Garamond"/>
          <w:sz w:val="24"/>
        </w:rPr>
        <w:t xml:space="preserve"> calls</w:t>
      </w:r>
      <w:r w:rsidR="000416AC">
        <w:rPr>
          <w:rFonts w:ascii="Garamond" w:hAnsi="Garamond"/>
          <w:sz w:val="24"/>
        </w:rPr>
        <w:t xml:space="preserve"> for rights </w:t>
      </w:r>
      <w:r w:rsidR="000416AC" w:rsidRPr="00D8250F">
        <w:rPr>
          <w:rFonts w:ascii="Garamond" w:hAnsi="Garamond"/>
          <w:i/>
          <w:sz w:val="24"/>
        </w:rPr>
        <w:t>as women</w:t>
      </w:r>
      <w:r w:rsidR="000416AC">
        <w:rPr>
          <w:rFonts w:ascii="Garamond" w:hAnsi="Garamond"/>
          <w:sz w:val="24"/>
        </w:rPr>
        <w:t xml:space="preserve">.  </w:t>
      </w:r>
      <w:r w:rsidR="001B12D0">
        <w:rPr>
          <w:rFonts w:ascii="Garamond" w:hAnsi="Garamond"/>
          <w:sz w:val="24"/>
        </w:rPr>
        <w:t>U</w:t>
      </w:r>
      <w:r w:rsidR="006741F9" w:rsidRPr="006741F9">
        <w:rPr>
          <w:rFonts w:ascii="Garamond" w:hAnsi="Garamond"/>
          <w:sz w:val="24"/>
        </w:rPr>
        <w:t>nderstanding this and adapting</w:t>
      </w:r>
      <w:r w:rsidR="00706A01">
        <w:rPr>
          <w:rFonts w:ascii="Garamond" w:hAnsi="Garamond"/>
          <w:sz w:val="24"/>
        </w:rPr>
        <w:t xml:space="preserve"> power-sharing</w:t>
      </w:r>
      <w:r w:rsidR="006741F9" w:rsidRPr="006741F9">
        <w:rPr>
          <w:rFonts w:ascii="Garamond" w:hAnsi="Garamond"/>
          <w:sz w:val="24"/>
        </w:rPr>
        <w:t xml:space="preserve"> practices can help</w:t>
      </w:r>
      <w:r w:rsidR="00C9326F">
        <w:rPr>
          <w:rFonts w:ascii="Garamond" w:hAnsi="Garamond"/>
          <w:sz w:val="24"/>
        </w:rPr>
        <w:t xml:space="preserve"> to</w:t>
      </w:r>
      <w:r w:rsidR="006741F9" w:rsidRPr="006741F9">
        <w:rPr>
          <w:rFonts w:ascii="Garamond" w:hAnsi="Garamond"/>
          <w:sz w:val="24"/>
        </w:rPr>
        <w:t xml:space="preserve"> </w:t>
      </w:r>
      <w:r w:rsidR="00706A01">
        <w:rPr>
          <w:rFonts w:ascii="Garamond" w:hAnsi="Garamond"/>
          <w:sz w:val="24"/>
        </w:rPr>
        <w:t xml:space="preserve">distribute political power more evenly </w:t>
      </w:r>
      <w:r w:rsidR="006741F9" w:rsidRPr="006741F9">
        <w:rPr>
          <w:rFonts w:ascii="Garamond" w:hAnsi="Garamond"/>
          <w:sz w:val="24"/>
        </w:rPr>
        <w:t>in post-</w:t>
      </w:r>
      <w:r w:rsidR="002C7586" w:rsidRPr="006741F9">
        <w:rPr>
          <w:rFonts w:ascii="Garamond" w:hAnsi="Garamond"/>
          <w:sz w:val="24"/>
        </w:rPr>
        <w:t>conflict</w:t>
      </w:r>
      <w:r w:rsidR="006741F9" w:rsidRPr="006741F9">
        <w:rPr>
          <w:rFonts w:ascii="Garamond" w:hAnsi="Garamond"/>
          <w:sz w:val="24"/>
        </w:rPr>
        <w:t xml:space="preserve"> deeply divided societies</w:t>
      </w:r>
      <w:r w:rsidR="00706A01">
        <w:rPr>
          <w:rFonts w:ascii="Garamond" w:hAnsi="Garamond"/>
          <w:sz w:val="24"/>
        </w:rPr>
        <w:t xml:space="preserve"> and </w:t>
      </w:r>
      <w:r w:rsidR="00C9326F">
        <w:rPr>
          <w:rFonts w:ascii="Garamond" w:hAnsi="Garamond"/>
          <w:sz w:val="24"/>
        </w:rPr>
        <w:t xml:space="preserve">to </w:t>
      </w:r>
      <w:r w:rsidR="00706A01">
        <w:rPr>
          <w:rFonts w:ascii="Garamond" w:hAnsi="Garamond"/>
          <w:sz w:val="24"/>
        </w:rPr>
        <w:t>ensure the</w:t>
      </w:r>
      <w:r w:rsidR="00C9326F">
        <w:rPr>
          <w:rFonts w:ascii="Garamond" w:hAnsi="Garamond"/>
          <w:sz w:val="24"/>
        </w:rPr>
        <w:t xml:space="preserve"> inclusion of women’s voices</w:t>
      </w:r>
      <w:r w:rsidR="006741F9" w:rsidRPr="006741F9">
        <w:rPr>
          <w:rFonts w:ascii="Garamond" w:hAnsi="Garamond"/>
          <w:sz w:val="24"/>
        </w:rPr>
        <w:t>.</w:t>
      </w:r>
      <w:r w:rsidR="00B01FEC">
        <w:rPr>
          <w:rFonts w:ascii="Garamond" w:hAnsi="Garamond"/>
          <w:sz w:val="24"/>
        </w:rPr>
        <w:t xml:space="preserve"> Measures to do so appear difficult to enforce, most especially after peace agreements have been signed and </w:t>
      </w:r>
      <w:r w:rsidR="00B01FEC">
        <w:rPr>
          <w:rFonts w:ascii="Garamond" w:hAnsi="Garamond"/>
          <w:sz w:val="24"/>
        </w:rPr>
        <w:lastRenderedPageBreak/>
        <w:t>implemented.</w:t>
      </w:r>
      <w:r w:rsidR="0040444C">
        <w:rPr>
          <w:rFonts w:ascii="Garamond" w:hAnsi="Garamond"/>
          <w:sz w:val="24"/>
        </w:rPr>
        <w:t xml:space="preserve"> Yet the developing WPS agenda, new initiatives by NATO and an emerging research agenda in much politics and inte</w:t>
      </w:r>
      <w:r>
        <w:rPr>
          <w:rFonts w:ascii="Garamond" w:hAnsi="Garamond"/>
          <w:sz w:val="24"/>
        </w:rPr>
        <w:t>rnational relations scholarship</w:t>
      </w:r>
      <w:r w:rsidR="0040444C">
        <w:rPr>
          <w:rFonts w:ascii="Garamond" w:hAnsi="Garamond"/>
          <w:sz w:val="24"/>
        </w:rPr>
        <w:t xml:space="preserve"> which has started to consider civil society and public activism beyond formal political bodies, suggests a </w:t>
      </w:r>
      <w:r w:rsidR="007D3701">
        <w:rPr>
          <w:rFonts w:ascii="Garamond" w:hAnsi="Garamond"/>
          <w:sz w:val="24"/>
        </w:rPr>
        <w:t>growing awareness of the importance of civil society for consociational bodies.</w:t>
      </w:r>
    </w:p>
    <w:p w14:paraId="349FB080" w14:textId="448119EC" w:rsidR="000416AC" w:rsidRDefault="000416AC" w:rsidP="00CC63F8">
      <w:pPr>
        <w:pStyle w:val="FootnoteText"/>
        <w:spacing w:line="276" w:lineRule="auto"/>
        <w:ind w:left="0" w:firstLine="0"/>
        <w:jc w:val="both"/>
        <w:rPr>
          <w:rFonts w:ascii="Garamond" w:hAnsi="Garamond"/>
          <w:sz w:val="24"/>
        </w:rPr>
      </w:pPr>
      <w:r>
        <w:rPr>
          <w:rFonts w:ascii="Garamond" w:hAnsi="Garamond"/>
          <w:sz w:val="24"/>
        </w:rPr>
        <w:t>In this article we have argued for several options which might be considered in future consociational settlements – a formalised bo</w:t>
      </w:r>
      <w:r w:rsidR="007C035B">
        <w:rPr>
          <w:rFonts w:ascii="Garamond" w:hAnsi="Garamond"/>
          <w:sz w:val="24"/>
        </w:rPr>
        <w:t xml:space="preserve">dy such as a Civic Forum, </w:t>
      </w:r>
      <w:r>
        <w:rPr>
          <w:rFonts w:ascii="Garamond" w:hAnsi="Garamond"/>
          <w:sz w:val="24"/>
        </w:rPr>
        <w:t>a commitment to work with civil society groups to have detailed grassroots evidence gathering for policy making</w:t>
      </w:r>
      <w:r w:rsidR="00C9326F">
        <w:rPr>
          <w:rFonts w:ascii="Garamond" w:hAnsi="Garamond"/>
          <w:sz w:val="24"/>
        </w:rPr>
        <w:t xml:space="preserve"> as seen in NAP development regarding UNSCR 1325</w:t>
      </w:r>
      <w:r w:rsidR="00300DE1">
        <w:rPr>
          <w:rFonts w:ascii="Garamond" w:hAnsi="Garamond"/>
          <w:sz w:val="24"/>
        </w:rPr>
        <w:t xml:space="preserve">. </w:t>
      </w:r>
      <w:r w:rsidR="005F45F5">
        <w:rPr>
          <w:rFonts w:ascii="Garamond" w:hAnsi="Garamond"/>
          <w:sz w:val="24"/>
        </w:rPr>
        <w:t>M</w:t>
      </w:r>
      <w:r>
        <w:rPr>
          <w:rFonts w:ascii="Garamond" w:hAnsi="Garamond"/>
          <w:sz w:val="24"/>
        </w:rPr>
        <w:t>echanisms would require substantial commitments from peace negotiation and political institutions, yet they would more clearly link formal political structures to civil society – and the more greatly feminised make-up that exists there, both descriptively and substantively. Within this inclusion there is also need for caution. Non–formal political spaces are highly important to those who do not wish to engage in formalised state-based politics, as they are also a space where radical political idea</w:t>
      </w:r>
      <w:r w:rsidR="00C9326F">
        <w:rPr>
          <w:rFonts w:ascii="Garamond" w:hAnsi="Garamond"/>
          <w:sz w:val="24"/>
        </w:rPr>
        <w:t>s</w:t>
      </w:r>
      <w:r>
        <w:rPr>
          <w:rFonts w:ascii="Garamond" w:hAnsi="Garamond"/>
          <w:sz w:val="24"/>
        </w:rPr>
        <w:t xml:space="preserve"> flourish. Incorporation into post-conflict systems of governance may erode these particular strengths and as such with the inclusion of civil society into power-sharing must also </w:t>
      </w:r>
      <w:r w:rsidR="007C035B">
        <w:rPr>
          <w:rFonts w:ascii="Garamond" w:hAnsi="Garamond"/>
          <w:sz w:val="24"/>
        </w:rPr>
        <w:t xml:space="preserve">maintain a </w:t>
      </w:r>
      <w:r>
        <w:rPr>
          <w:rFonts w:ascii="Garamond" w:hAnsi="Garamond"/>
          <w:sz w:val="24"/>
        </w:rPr>
        <w:t xml:space="preserve">distance from such institutions. </w:t>
      </w:r>
    </w:p>
    <w:p w14:paraId="6D5F3DEA" w14:textId="78BB5CAD" w:rsidR="00CB7018" w:rsidRDefault="00B01FEC" w:rsidP="00CC63F8">
      <w:pPr>
        <w:pStyle w:val="FootnoteText"/>
        <w:spacing w:line="276" w:lineRule="auto"/>
        <w:ind w:left="0" w:firstLine="0"/>
        <w:jc w:val="both"/>
        <w:rPr>
          <w:rFonts w:ascii="Garamond" w:hAnsi="Garamond"/>
          <w:sz w:val="24"/>
        </w:rPr>
      </w:pPr>
      <w:r>
        <w:rPr>
          <w:rFonts w:ascii="Garamond" w:hAnsi="Garamond"/>
          <w:sz w:val="24"/>
        </w:rPr>
        <w:t xml:space="preserve">Like much feminist work in politics and international relations, this article </w:t>
      </w:r>
      <w:r w:rsidR="000416AC">
        <w:rPr>
          <w:rFonts w:ascii="Garamond" w:hAnsi="Garamond"/>
          <w:sz w:val="24"/>
        </w:rPr>
        <w:t xml:space="preserve">has </w:t>
      </w:r>
      <w:r>
        <w:rPr>
          <w:rFonts w:ascii="Garamond" w:hAnsi="Garamond"/>
          <w:sz w:val="24"/>
        </w:rPr>
        <w:t>illustrate</w:t>
      </w:r>
      <w:r w:rsidR="000416AC">
        <w:rPr>
          <w:rFonts w:ascii="Garamond" w:hAnsi="Garamond"/>
          <w:sz w:val="24"/>
        </w:rPr>
        <w:t>d</w:t>
      </w:r>
      <w:r>
        <w:rPr>
          <w:rFonts w:ascii="Garamond" w:hAnsi="Garamond"/>
          <w:sz w:val="24"/>
        </w:rPr>
        <w:t xml:space="preserve"> how an appreciation of women’s act</w:t>
      </w:r>
      <w:r w:rsidR="007D3701">
        <w:rPr>
          <w:rFonts w:ascii="Garamond" w:hAnsi="Garamond"/>
          <w:sz w:val="24"/>
        </w:rPr>
        <w:t xml:space="preserve">ivism and civic work </w:t>
      </w:r>
      <w:r w:rsidR="0040444C">
        <w:rPr>
          <w:rFonts w:ascii="Garamond" w:hAnsi="Garamond"/>
          <w:sz w:val="24"/>
        </w:rPr>
        <w:t xml:space="preserve">extends the definition of politics beyond the formal, </w:t>
      </w:r>
      <w:r w:rsidR="007D3701">
        <w:rPr>
          <w:rFonts w:ascii="Garamond" w:hAnsi="Garamond"/>
          <w:sz w:val="24"/>
        </w:rPr>
        <w:t xml:space="preserve">institutional, </w:t>
      </w:r>
      <w:r w:rsidR="0040444C">
        <w:rPr>
          <w:rFonts w:ascii="Garamond" w:hAnsi="Garamond"/>
          <w:sz w:val="24"/>
        </w:rPr>
        <w:t xml:space="preserve">elite understanding that much consociational theory and work holds. Similarly, by appreciating the voices of women in civil society and listening to the issues that they raise, we gain a broader understanding of what conflict looks like. In doing so, we can establish a definition that moves beyond armed, immediately visible violence, to one which also understands sexual violence and the domestic sphere as important </w:t>
      </w:r>
      <w:r w:rsidR="000416AC">
        <w:rPr>
          <w:rFonts w:ascii="Garamond" w:hAnsi="Garamond"/>
          <w:sz w:val="24"/>
        </w:rPr>
        <w:t xml:space="preserve">elements </w:t>
      </w:r>
      <w:r w:rsidR="0040444C">
        <w:rPr>
          <w:rFonts w:ascii="Garamond" w:hAnsi="Garamond"/>
          <w:sz w:val="24"/>
        </w:rPr>
        <w:t>of conflict.</w:t>
      </w:r>
      <w:r w:rsidR="00CB7018">
        <w:rPr>
          <w:rFonts w:ascii="Garamond" w:hAnsi="Garamond"/>
          <w:sz w:val="24"/>
        </w:rPr>
        <w:t xml:space="preserve"> </w:t>
      </w:r>
      <w:r w:rsidR="00C642A0">
        <w:rPr>
          <w:rFonts w:ascii="Garamond" w:hAnsi="Garamond"/>
          <w:sz w:val="24"/>
        </w:rPr>
        <w:t xml:space="preserve">As such, </w:t>
      </w:r>
      <w:r w:rsidR="000416AC">
        <w:rPr>
          <w:rFonts w:ascii="Garamond" w:hAnsi="Garamond"/>
          <w:sz w:val="24"/>
        </w:rPr>
        <w:t>this article</w:t>
      </w:r>
      <w:r w:rsidR="00C642A0">
        <w:rPr>
          <w:rFonts w:ascii="Garamond" w:hAnsi="Garamond"/>
          <w:sz w:val="24"/>
        </w:rPr>
        <w:t xml:space="preserve"> </w:t>
      </w:r>
      <w:r w:rsidR="000416AC">
        <w:rPr>
          <w:rFonts w:ascii="Garamond" w:hAnsi="Garamond"/>
          <w:sz w:val="24"/>
        </w:rPr>
        <w:t xml:space="preserve">has </w:t>
      </w:r>
      <w:r w:rsidR="00C642A0">
        <w:rPr>
          <w:rFonts w:ascii="Garamond" w:hAnsi="Garamond"/>
          <w:sz w:val="24"/>
        </w:rPr>
        <w:t>highlight</w:t>
      </w:r>
      <w:r w:rsidR="000416AC">
        <w:rPr>
          <w:rFonts w:ascii="Garamond" w:hAnsi="Garamond"/>
          <w:sz w:val="24"/>
        </w:rPr>
        <w:t>ed</w:t>
      </w:r>
      <w:r w:rsidR="00C642A0">
        <w:rPr>
          <w:rFonts w:ascii="Garamond" w:hAnsi="Garamond"/>
          <w:sz w:val="24"/>
        </w:rPr>
        <w:t xml:space="preserve"> the relatively conservative understandings of ‘politics’ and ‘conflict’ that consociationalism has worked with, both in </w:t>
      </w:r>
      <w:r w:rsidR="000416AC">
        <w:rPr>
          <w:rFonts w:ascii="Garamond" w:hAnsi="Garamond"/>
          <w:sz w:val="24"/>
        </w:rPr>
        <w:t>academic literature and in political practice</w:t>
      </w:r>
      <w:r w:rsidR="00C642A0">
        <w:rPr>
          <w:rFonts w:ascii="Garamond" w:hAnsi="Garamond"/>
          <w:sz w:val="24"/>
        </w:rPr>
        <w:t xml:space="preserve">. </w:t>
      </w:r>
      <w:r w:rsidR="00CB7018">
        <w:rPr>
          <w:rFonts w:ascii="Garamond" w:hAnsi="Garamond"/>
          <w:sz w:val="24"/>
        </w:rPr>
        <w:t xml:space="preserve">Adding greater </w:t>
      </w:r>
      <w:r w:rsidR="000416AC">
        <w:rPr>
          <w:rFonts w:ascii="Garamond" w:hAnsi="Garamond"/>
          <w:sz w:val="24"/>
        </w:rPr>
        <w:t>appreciation of</w:t>
      </w:r>
      <w:r w:rsidR="00CB7018">
        <w:rPr>
          <w:rFonts w:ascii="Garamond" w:hAnsi="Garamond"/>
          <w:sz w:val="24"/>
        </w:rPr>
        <w:t xml:space="preserve"> civil society </w:t>
      </w:r>
      <w:r w:rsidR="000416AC">
        <w:rPr>
          <w:rFonts w:ascii="Garamond" w:hAnsi="Garamond"/>
          <w:sz w:val="24"/>
        </w:rPr>
        <w:t>to</w:t>
      </w:r>
      <w:r w:rsidR="00CB7018">
        <w:rPr>
          <w:rFonts w:ascii="Garamond" w:hAnsi="Garamond"/>
          <w:sz w:val="24"/>
        </w:rPr>
        <w:t xml:space="preserve"> divided societies has much to tell us about gender, power and the </w:t>
      </w:r>
      <w:r w:rsidR="000416AC">
        <w:rPr>
          <w:rFonts w:ascii="Garamond" w:hAnsi="Garamond"/>
          <w:sz w:val="24"/>
        </w:rPr>
        <w:t>role of women in conflict and post-conflict politics.</w:t>
      </w:r>
    </w:p>
    <w:p w14:paraId="325BC2F1" w14:textId="4CA4B476" w:rsidR="004A0318" w:rsidRPr="00C9326F" w:rsidRDefault="004A0318" w:rsidP="00C9326F">
      <w:pPr>
        <w:spacing w:line="276" w:lineRule="auto"/>
        <w:rPr>
          <w:rFonts w:ascii="Garamond" w:hAnsi="Garamond" w:cs="Times New Roman"/>
          <w:sz w:val="24"/>
          <w:szCs w:val="24"/>
        </w:rPr>
      </w:pPr>
    </w:p>
    <w:sectPr w:rsidR="004A0318" w:rsidRPr="00C9326F">
      <w:footerReference w:type="default" r:id="rId8"/>
      <w:endnotePr>
        <w:numFmt w:val="decimal"/>
      </w:endnotePr>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DC67D6" w16cid:durableId="1D760A70"/>
  <w16cid:commentId w16cid:paraId="14443E63" w16cid:durableId="1D7508F2"/>
  <w16cid:commentId w16cid:paraId="40317186" w16cid:durableId="1D760A04"/>
  <w16cid:commentId w16cid:paraId="10A9B239" w16cid:durableId="1D7508F3"/>
  <w16cid:commentId w16cid:paraId="7CC20AC0" w16cid:durableId="1D760C04"/>
  <w16cid:commentId w16cid:paraId="17AC8DD7" w16cid:durableId="1D760A34"/>
  <w16cid:commentId w16cid:paraId="6EE6276E" w16cid:durableId="1D7508F5"/>
  <w16cid:commentId w16cid:paraId="489F18B9" w16cid:durableId="1D760C25"/>
  <w16cid:commentId w16cid:paraId="5BC70DBD" w16cid:durableId="1D7508F6"/>
  <w16cid:commentId w16cid:paraId="2E87565A" w16cid:durableId="1D760C32"/>
  <w16cid:commentId w16cid:paraId="6AA66D57" w16cid:durableId="1D7508F8"/>
  <w16cid:commentId w16cid:paraId="0CFC356A" w16cid:durableId="1D7508FA"/>
  <w16cid:commentId w16cid:paraId="74AC1E3F" w16cid:durableId="1D760D57"/>
  <w16cid:commentId w16cid:paraId="3FD25E39" w16cid:durableId="1D7508FB"/>
  <w16cid:commentId w16cid:paraId="0111B401" w16cid:durableId="1D760DA0"/>
  <w16cid:commentId w16cid:paraId="4FB1B9EC" w16cid:durableId="1D7508FC"/>
  <w16cid:commentId w16cid:paraId="27CE8704" w16cid:durableId="1D7508FD"/>
  <w16cid:commentId w16cid:paraId="473B8030" w16cid:durableId="1D7508FF"/>
  <w16cid:commentId w16cid:paraId="3D28EDA4" w16cid:durableId="1D761EC0"/>
  <w16cid:commentId w16cid:paraId="518F3CE0" w16cid:durableId="1D750900"/>
  <w16cid:commentId w16cid:paraId="136B1E3C" w16cid:durableId="1D750902"/>
  <w16cid:commentId w16cid:paraId="12138B20" w16cid:durableId="1D7623A8"/>
  <w16cid:commentId w16cid:paraId="3EF6A2D8" w16cid:durableId="1D750904"/>
  <w16cid:commentId w16cid:paraId="25A4BBA6" w16cid:durableId="1D762939"/>
  <w16cid:commentId w16cid:paraId="6081C206" w16cid:durableId="1D7643E1"/>
  <w16cid:commentId w16cid:paraId="36DF313A" w16cid:durableId="1D750906"/>
  <w16cid:commentId w16cid:paraId="4982596C" w16cid:durableId="1D750907"/>
  <w16cid:commentId w16cid:paraId="5CCBBE4F" w16cid:durableId="1D76258A"/>
  <w16cid:commentId w16cid:paraId="0A949AC5" w16cid:durableId="1D75090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3C4DC" w14:textId="77777777" w:rsidR="00506893" w:rsidRDefault="00506893" w:rsidP="006B4852">
      <w:pPr>
        <w:spacing w:after="0" w:line="240" w:lineRule="auto"/>
      </w:pPr>
      <w:r>
        <w:separator/>
      </w:r>
    </w:p>
  </w:endnote>
  <w:endnote w:type="continuationSeparator" w:id="0">
    <w:p w14:paraId="02E89201" w14:textId="77777777" w:rsidR="00506893" w:rsidRDefault="00506893" w:rsidP="006B4852">
      <w:pPr>
        <w:spacing w:after="0" w:line="240" w:lineRule="auto"/>
      </w:pPr>
      <w:r>
        <w:continuationSeparator/>
      </w:r>
    </w:p>
  </w:endnote>
  <w:endnote w:id="1">
    <w:p w14:paraId="7FF7C1C5" w14:textId="224070AC" w:rsidR="00076158" w:rsidRPr="00F207B2" w:rsidRDefault="00076158" w:rsidP="00EF5664">
      <w:pPr>
        <w:spacing w:after="120" w:line="276" w:lineRule="auto"/>
        <w:jc w:val="both"/>
        <w:rPr>
          <w:rFonts w:ascii="Garamond" w:hAnsi="Garamond"/>
        </w:rPr>
      </w:pPr>
      <w:r w:rsidRPr="00F207B2">
        <w:rPr>
          <w:rStyle w:val="EndnoteReference"/>
          <w:rFonts w:ascii="Garamond" w:hAnsi="Garamond"/>
        </w:rPr>
        <w:endnoteRef/>
      </w:r>
      <w:r>
        <w:rPr>
          <w:rFonts w:ascii="Garamond" w:hAnsi="Garamond"/>
        </w:rPr>
        <w:t xml:space="preserve"> Byrne, S., &amp; McCulloch, A., 2012,</w:t>
      </w:r>
      <w:r w:rsidRPr="00F207B2">
        <w:rPr>
          <w:rFonts w:ascii="Garamond" w:hAnsi="Garamond"/>
        </w:rPr>
        <w:t xml:space="preserve"> Gender, Representation and Power-Sharing in Post-Conflict Institutions. </w:t>
      </w:r>
      <w:r w:rsidRPr="00F207B2">
        <w:rPr>
          <w:rFonts w:ascii="Garamond" w:hAnsi="Garamond"/>
          <w:i/>
        </w:rPr>
        <w:t>International Peacekeeping</w:t>
      </w:r>
      <w:r w:rsidRPr="00F207B2">
        <w:rPr>
          <w:rFonts w:ascii="Garamond" w:hAnsi="Garamond"/>
        </w:rPr>
        <w:t xml:space="preserve">, 19(5), 565-580; Kennedy, </w:t>
      </w:r>
      <w:r>
        <w:rPr>
          <w:rFonts w:ascii="Garamond" w:hAnsi="Garamond"/>
        </w:rPr>
        <w:t>R., Pierson, C., &amp; Thomson, J., 2016,</w:t>
      </w:r>
      <w:r w:rsidRPr="00F207B2">
        <w:rPr>
          <w:rFonts w:ascii="Garamond" w:hAnsi="Garamond"/>
        </w:rPr>
        <w:t xml:space="preserve"> Challenging identity hierarchies: Gender and consociational power-sharing. </w:t>
      </w:r>
      <w:r w:rsidRPr="00F207B2">
        <w:rPr>
          <w:rFonts w:ascii="Garamond" w:hAnsi="Garamond"/>
          <w:i/>
        </w:rPr>
        <w:t>The British Journal of Politics and International Relations</w:t>
      </w:r>
      <w:r w:rsidRPr="00F207B2">
        <w:rPr>
          <w:rFonts w:ascii="Garamond" w:hAnsi="Garamond"/>
        </w:rPr>
        <w:t>, Vol 18:3, pp618-633.</w:t>
      </w:r>
    </w:p>
  </w:endnote>
  <w:endnote w:id="2">
    <w:p w14:paraId="2DFC1AAB" w14:textId="270E01FA" w:rsidR="00076158" w:rsidRPr="00F207B2" w:rsidRDefault="00076158" w:rsidP="00C9326F">
      <w:pPr>
        <w:spacing w:after="120" w:line="240" w:lineRule="auto"/>
        <w:rPr>
          <w:rFonts w:ascii="Garamond" w:hAnsi="Garamond" w:cs="Times New Roman"/>
        </w:rPr>
      </w:pPr>
      <w:r w:rsidRPr="00C9326F">
        <w:rPr>
          <w:rStyle w:val="EndnoteReference"/>
          <w:rFonts w:ascii="Garamond" w:hAnsi="Garamond"/>
        </w:rPr>
        <w:endnoteRef/>
      </w:r>
      <w:r w:rsidRPr="00C9326F">
        <w:rPr>
          <w:rFonts w:ascii="Garamond" w:hAnsi="Garamond"/>
        </w:rPr>
        <w:t xml:space="preserve"> Deiana, M. A., 2016, To settle for a gendered peace? Spaces for feminist grassroots mobilization in Northern Ireland and Bosnia-Herzegovina. </w:t>
      </w:r>
      <w:r w:rsidRPr="00C9326F">
        <w:rPr>
          <w:rFonts w:ascii="Garamond" w:hAnsi="Garamond"/>
          <w:i/>
        </w:rPr>
        <w:t>Citizenship Studies</w:t>
      </w:r>
      <w:r w:rsidRPr="00C9326F">
        <w:rPr>
          <w:rFonts w:ascii="Garamond" w:hAnsi="Garamond"/>
        </w:rPr>
        <w:t xml:space="preserve">, 20(1), 99-114; Kennedy et al, 2016; </w:t>
      </w:r>
      <w:r w:rsidRPr="00C9326F">
        <w:rPr>
          <w:rFonts w:ascii="Garamond" w:hAnsi="Garamond" w:cs="Times New Roman"/>
        </w:rPr>
        <w:t xml:space="preserve">Nagle, John, 2013, </w:t>
      </w:r>
      <w:hyperlink r:id="rId1" w:tooltip="Show document details" w:history="1">
        <w:r w:rsidRPr="00C9326F">
          <w:rPr>
            <w:rStyle w:val="Hyperlink"/>
            <w:rFonts w:ascii="Garamond" w:hAnsi="Garamond"/>
            <w:color w:val="auto"/>
            <w:u w:val="none"/>
          </w:rPr>
          <w:t>'Unity in Diversity': Non-sectarian Social Movement Challenges to the Politics of Ethnic Antagonism in Violently Divided Cities</w:t>
        </w:r>
      </w:hyperlink>
      <w:r w:rsidRPr="00C9326F">
        <w:rPr>
          <w:rStyle w:val="doctitle"/>
          <w:rFonts w:ascii="Garamond" w:hAnsi="Garamond"/>
        </w:rPr>
        <w:t xml:space="preserve">, </w:t>
      </w:r>
      <w:r w:rsidRPr="00C9326F">
        <w:rPr>
          <w:rStyle w:val="doctitle"/>
          <w:rFonts w:ascii="Garamond" w:hAnsi="Garamond"/>
          <w:i/>
        </w:rPr>
        <w:t>International Journal of Urban and Regional Research</w:t>
      </w:r>
      <w:r w:rsidRPr="00C9326F">
        <w:rPr>
          <w:rStyle w:val="doctitle"/>
          <w:rFonts w:ascii="Garamond" w:hAnsi="Garamond"/>
        </w:rPr>
        <w:t xml:space="preserve">, 370 (1); Nagle, John, </w:t>
      </w:r>
      <w:r w:rsidRPr="00C9326F">
        <w:rPr>
          <w:rFonts w:ascii="Garamond" w:hAnsi="Garamond" w:cs="Times New Roman"/>
        </w:rPr>
        <w:t xml:space="preserve">2016, </w:t>
      </w:r>
      <w:r w:rsidRPr="00C9326F">
        <w:rPr>
          <w:rFonts w:ascii="Garamond" w:hAnsi="Garamond" w:cs="Times New Roman"/>
          <w:i/>
        </w:rPr>
        <w:t>Social Movements in Violently Divided Societies: constructing conflict and peacebuilding</w:t>
      </w:r>
      <w:r w:rsidRPr="00C9326F">
        <w:rPr>
          <w:rFonts w:ascii="Garamond" w:hAnsi="Garamond" w:cs="Times New Roman"/>
        </w:rPr>
        <w:t>. Routledge.</w:t>
      </w:r>
    </w:p>
  </w:endnote>
  <w:endnote w:id="3">
    <w:p w14:paraId="2C166B37" w14:textId="120DECDE" w:rsidR="00076158" w:rsidRPr="003C3F8B" w:rsidRDefault="00076158" w:rsidP="003C3F8B">
      <w:pPr>
        <w:spacing w:after="120" w:line="276" w:lineRule="auto"/>
        <w:jc w:val="both"/>
        <w:rPr>
          <w:rFonts w:ascii="Garamond" w:hAnsi="Garamond"/>
        </w:rPr>
      </w:pPr>
      <w:r w:rsidRPr="003C3F8B">
        <w:rPr>
          <w:rStyle w:val="EndnoteReference"/>
          <w:rFonts w:ascii="Garamond" w:hAnsi="Garamond"/>
        </w:rPr>
        <w:endnoteRef/>
      </w:r>
      <w:r>
        <w:rPr>
          <w:rFonts w:ascii="Garamond" w:hAnsi="Garamond"/>
        </w:rPr>
        <w:t xml:space="preserve"> Anderson, M. J., 2010,</w:t>
      </w:r>
      <w:r w:rsidRPr="003C3F8B">
        <w:rPr>
          <w:rFonts w:ascii="Garamond" w:hAnsi="Garamond"/>
        </w:rPr>
        <w:t xml:space="preserve"> Transnational feminism and norm diffusion in peace processes: the cases of Burundi and Northern Ireland. </w:t>
      </w:r>
      <w:r w:rsidRPr="003C3F8B">
        <w:rPr>
          <w:rFonts w:ascii="Garamond" w:hAnsi="Garamond"/>
          <w:i/>
        </w:rPr>
        <w:t>Journal of Intervention and Statebuilding</w:t>
      </w:r>
      <w:r w:rsidRPr="003C3F8B">
        <w:rPr>
          <w:rFonts w:ascii="Garamond" w:hAnsi="Garamond"/>
        </w:rPr>
        <w:t xml:space="preserve">, 4(1), 1-21; Anderson, Miriam J., 2016, </w:t>
      </w:r>
      <w:r w:rsidRPr="003C3F8B">
        <w:rPr>
          <w:rFonts w:ascii="Garamond" w:hAnsi="Garamond"/>
          <w:i/>
        </w:rPr>
        <w:t>Windows of Opportunity: How Women Seize Peace Negotiations for Political Change</w:t>
      </w:r>
      <w:r>
        <w:rPr>
          <w:rFonts w:ascii="Garamond" w:hAnsi="Garamond"/>
        </w:rPr>
        <w:t>, Oxford; Cockburn, C., 2001,</w:t>
      </w:r>
      <w:r w:rsidRPr="003C3F8B">
        <w:rPr>
          <w:rFonts w:ascii="Garamond" w:hAnsi="Garamond"/>
        </w:rPr>
        <w:t xml:space="preserve"> The Gendered Dynamics of Armed Conflict and Political Violence, in Moser, C. N., &amp; Clark, F. (Ed</w:t>
      </w:r>
      <w:r>
        <w:rPr>
          <w:rFonts w:ascii="Garamond" w:hAnsi="Garamond"/>
        </w:rPr>
        <w:t>s.)., 2001,</w:t>
      </w:r>
      <w:r w:rsidRPr="003C3F8B">
        <w:rPr>
          <w:rFonts w:ascii="Garamond" w:hAnsi="Garamond"/>
        </w:rPr>
        <w:t xml:space="preserve"> </w:t>
      </w:r>
      <w:r w:rsidRPr="003C3F8B">
        <w:rPr>
          <w:rFonts w:ascii="Garamond" w:hAnsi="Garamond"/>
          <w:i/>
        </w:rPr>
        <w:t>Victims, perpetrators or actors?: Gender, armed conflict and political violence.</w:t>
      </w:r>
      <w:r>
        <w:rPr>
          <w:rFonts w:ascii="Garamond" w:hAnsi="Garamond"/>
        </w:rPr>
        <w:t xml:space="preserve"> Palgrave Macmillan; Enloe, C., 2005,</w:t>
      </w:r>
      <w:r w:rsidRPr="003C3F8B">
        <w:rPr>
          <w:rFonts w:ascii="Garamond" w:hAnsi="Garamond"/>
        </w:rPr>
        <w:t xml:space="preserve"> What if patriarchy is “the big picture”? An afterword, in Mazurana, D., Raven-Roberts, A., &amp; Parpart, J. (Eds.). </w:t>
      </w:r>
      <w:r w:rsidRPr="003C3F8B">
        <w:rPr>
          <w:rFonts w:ascii="Garamond" w:hAnsi="Garamond"/>
          <w:i/>
        </w:rPr>
        <w:t>Gender, conflict, and peacekeeping</w:t>
      </w:r>
      <w:r w:rsidRPr="003C3F8B">
        <w:rPr>
          <w:rFonts w:ascii="Garamond" w:hAnsi="Garamond"/>
        </w:rPr>
        <w:t>. New York: Rowman &amp; Littlef</w:t>
      </w:r>
      <w:r>
        <w:rPr>
          <w:rFonts w:ascii="Garamond" w:hAnsi="Garamond"/>
        </w:rPr>
        <w:t>ield (280-283); Finlay, Andrew, 2011,</w:t>
      </w:r>
      <w:r w:rsidRPr="003C3F8B">
        <w:rPr>
          <w:rFonts w:ascii="Garamond" w:hAnsi="Garamond"/>
        </w:rPr>
        <w:t xml:space="preserve"> </w:t>
      </w:r>
      <w:r w:rsidRPr="003C3F8B">
        <w:rPr>
          <w:rFonts w:ascii="Garamond" w:hAnsi="Garamond"/>
          <w:i/>
        </w:rPr>
        <w:t>Governing Ethnic Conflict: Consociation, identity and the price of peace</w:t>
      </w:r>
      <w:r w:rsidRPr="003C3F8B">
        <w:rPr>
          <w:rFonts w:ascii="Garamond" w:hAnsi="Garamond"/>
        </w:rPr>
        <w:t>, Routledge; Meintjes, Sheila, Anu Pil</w:t>
      </w:r>
      <w:r>
        <w:rPr>
          <w:rFonts w:ascii="Garamond" w:hAnsi="Garamond"/>
        </w:rPr>
        <w:t>lay and Merdeth Turshen (ed.s), 2001</w:t>
      </w:r>
      <w:r w:rsidRPr="003C3F8B">
        <w:rPr>
          <w:rFonts w:ascii="Garamond" w:hAnsi="Garamond"/>
        </w:rPr>
        <w:t>,</w:t>
      </w:r>
      <w:r w:rsidRPr="003C3F8B">
        <w:rPr>
          <w:rFonts w:ascii="Garamond" w:hAnsi="Garamond"/>
          <w:i/>
        </w:rPr>
        <w:t xml:space="preserve"> The Aftermath: Women in post-conflict transformation</w:t>
      </w:r>
      <w:r w:rsidRPr="003C3F8B">
        <w:rPr>
          <w:rFonts w:ascii="Garamond" w:hAnsi="Garamond"/>
        </w:rPr>
        <w:t>, London: Zed; Ní Aoláin, F.</w:t>
      </w:r>
      <w:r>
        <w:rPr>
          <w:rFonts w:ascii="Garamond" w:hAnsi="Garamond"/>
        </w:rPr>
        <w:t xml:space="preserve"> N., Haynes, D. F., &amp; Cahn, N., 2011,</w:t>
      </w:r>
      <w:r w:rsidRPr="003C3F8B">
        <w:rPr>
          <w:rFonts w:ascii="Garamond" w:hAnsi="Garamond"/>
        </w:rPr>
        <w:t xml:space="preserve"> </w:t>
      </w:r>
      <w:r w:rsidRPr="003C3F8B">
        <w:rPr>
          <w:rFonts w:ascii="Garamond" w:hAnsi="Garamond"/>
          <w:i/>
        </w:rPr>
        <w:t xml:space="preserve">On the frontlines: gender, war, and the post-conflict process. </w:t>
      </w:r>
      <w:r w:rsidRPr="003C3F8B">
        <w:rPr>
          <w:rFonts w:ascii="Garamond" w:hAnsi="Garamond"/>
        </w:rPr>
        <w:t>Oxford: Oxford University Press.</w:t>
      </w:r>
    </w:p>
  </w:endnote>
  <w:endnote w:id="4">
    <w:p w14:paraId="566E4D26" w14:textId="25D83566" w:rsidR="00076158" w:rsidRPr="003C3F8B" w:rsidRDefault="00076158" w:rsidP="003C3F8B">
      <w:pPr>
        <w:pStyle w:val="Normal1"/>
        <w:spacing w:after="120"/>
        <w:rPr>
          <w:rFonts w:ascii="Garamond" w:eastAsia="Times New Roman" w:hAnsi="Garamond" w:cs="Times New Roman"/>
          <w:color w:val="auto"/>
        </w:rPr>
      </w:pPr>
      <w:r w:rsidRPr="003C3F8B">
        <w:rPr>
          <w:rStyle w:val="EndnoteReference"/>
          <w:rFonts w:ascii="Garamond" w:hAnsi="Garamond"/>
        </w:rPr>
        <w:endnoteRef/>
      </w:r>
      <w:r w:rsidRPr="003C3F8B">
        <w:rPr>
          <w:rFonts w:ascii="Garamond" w:hAnsi="Garamond"/>
        </w:rPr>
        <w:t xml:space="preserve"> Anderson, </w:t>
      </w:r>
      <w:r>
        <w:rPr>
          <w:rFonts w:ascii="Garamond" w:hAnsi="Garamond"/>
        </w:rPr>
        <w:t xml:space="preserve">2010, </w:t>
      </w:r>
      <w:r w:rsidRPr="003C3F8B">
        <w:rPr>
          <w:rFonts w:ascii="Garamond" w:hAnsi="Garamond"/>
        </w:rPr>
        <w:t xml:space="preserve">2016; </w:t>
      </w:r>
      <w:r w:rsidRPr="003C3F8B">
        <w:rPr>
          <w:rFonts w:ascii="Garamond" w:eastAsia="Times New Roman" w:hAnsi="Garamond" w:cs="Times New Roman"/>
          <w:color w:val="auto"/>
        </w:rPr>
        <w:t>Fearon, Kate</w:t>
      </w:r>
      <w:r>
        <w:rPr>
          <w:rFonts w:ascii="Garamond" w:eastAsiaTheme="minorEastAsia" w:hAnsi="Garamond" w:cs="Times New Roman"/>
          <w:color w:val="auto"/>
        </w:rPr>
        <w:t>, 1999,</w:t>
      </w:r>
      <w:r w:rsidRPr="003C3F8B">
        <w:rPr>
          <w:rFonts w:ascii="Garamond" w:eastAsia="Times New Roman" w:hAnsi="Garamond" w:cs="Times New Roman"/>
          <w:color w:val="auto"/>
        </w:rPr>
        <w:t xml:space="preserve"> </w:t>
      </w:r>
      <w:r w:rsidRPr="003C3F8B">
        <w:rPr>
          <w:rFonts w:ascii="Garamond" w:eastAsia="Times New Roman" w:hAnsi="Garamond" w:cs="Times New Roman"/>
          <w:i/>
          <w:color w:val="auto"/>
        </w:rPr>
        <w:t>Women’s Work: The story of the Northern Ireland Women’s Coalition</w:t>
      </w:r>
      <w:r w:rsidRPr="003C3F8B">
        <w:rPr>
          <w:rFonts w:ascii="Garamond" w:eastAsiaTheme="minorEastAsia" w:hAnsi="Garamond" w:cs="Times New Roman"/>
          <w:color w:val="auto"/>
        </w:rPr>
        <w:t xml:space="preserve">, </w:t>
      </w:r>
      <w:r w:rsidRPr="003C3F8B">
        <w:rPr>
          <w:rFonts w:ascii="Garamond" w:eastAsia="Times New Roman" w:hAnsi="Garamond" w:cs="Times New Roman"/>
          <w:color w:val="auto"/>
        </w:rPr>
        <w:t>Belfast: Blackstaff Press.</w:t>
      </w:r>
    </w:p>
  </w:endnote>
  <w:endnote w:id="5">
    <w:p w14:paraId="0B95F127" w14:textId="3359BAA2" w:rsidR="00076158" w:rsidRPr="003C3F8B" w:rsidRDefault="00076158" w:rsidP="003C3F8B">
      <w:pPr>
        <w:autoSpaceDE w:val="0"/>
        <w:autoSpaceDN w:val="0"/>
        <w:adjustRightInd w:val="0"/>
        <w:spacing w:after="120" w:line="276" w:lineRule="auto"/>
        <w:rPr>
          <w:rFonts w:ascii="Garamond" w:hAnsi="Garamond" w:cs="Times New Roman"/>
        </w:rPr>
      </w:pPr>
      <w:r w:rsidRPr="00F207B2">
        <w:rPr>
          <w:rStyle w:val="EndnoteReference"/>
          <w:rFonts w:ascii="Garamond" w:hAnsi="Garamond"/>
        </w:rPr>
        <w:endnoteRef/>
      </w:r>
      <w:r w:rsidRPr="00F207B2">
        <w:rPr>
          <w:rFonts w:ascii="Garamond" w:hAnsi="Garamond"/>
        </w:rPr>
        <w:t xml:space="preserve"> </w:t>
      </w:r>
      <w:r w:rsidRPr="00F207B2">
        <w:rPr>
          <w:rFonts w:ascii="Garamond" w:hAnsi="Garamond" w:cs="Times New Roman"/>
        </w:rPr>
        <w:t xml:space="preserve">Touquet and Vermeersch, 2008, “Bosnia and Herzegovina: Thinking beyond Institution Building”, </w:t>
      </w:r>
      <w:r w:rsidRPr="00F207B2">
        <w:rPr>
          <w:rFonts w:ascii="Garamond" w:hAnsi="Garamond" w:cs="Times New Roman"/>
          <w:i/>
        </w:rPr>
        <w:t>Nationalism and Ethnic Politics</w:t>
      </w:r>
      <w:r w:rsidRPr="00F207B2">
        <w:rPr>
          <w:rFonts w:ascii="Garamond" w:hAnsi="Garamond" w:cs="Times New Roman"/>
        </w:rPr>
        <w:t>, Vol 14, Issue 2</w:t>
      </w:r>
    </w:p>
  </w:endnote>
  <w:endnote w:id="6">
    <w:p w14:paraId="10039C28" w14:textId="0BBC46E5" w:rsidR="00076158" w:rsidRPr="005566A3" w:rsidRDefault="00076158" w:rsidP="005566A3">
      <w:pPr>
        <w:shd w:val="clear" w:color="auto" w:fill="FFFFFF"/>
        <w:spacing w:after="120" w:line="276" w:lineRule="auto"/>
        <w:rPr>
          <w:rFonts w:ascii="Garamond" w:hAnsi="Garamond" w:cs="Arial"/>
        </w:rPr>
      </w:pPr>
      <w:r w:rsidRPr="00F207B2">
        <w:rPr>
          <w:rStyle w:val="EndnoteReference"/>
          <w:rFonts w:ascii="Garamond" w:hAnsi="Garamond"/>
        </w:rPr>
        <w:endnoteRef/>
      </w:r>
      <w:r w:rsidRPr="00F207B2">
        <w:rPr>
          <w:rFonts w:ascii="Garamond" w:hAnsi="Garamond"/>
        </w:rPr>
        <w:t xml:space="preserve"> In this sense, we approach a similar attitude to</w:t>
      </w:r>
      <w:r w:rsidRPr="00F207B2">
        <w:rPr>
          <w:rFonts w:ascii="Garamond" w:hAnsi="Garamond" w:cs="Arial"/>
        </w:rPr>
        <w:t xml:space="preserve"> Andreas</w:t>
      </w:r>
      <w:r>
        <w:rPr>
          <w:rFonts w:ascii="Garamond" w:hAnsi="Garamond" w:cs="Arial"/>
        </w:rPr>
        <w:t xml:space="preserve"> Mehler in his 2013 article</w:t>
      </w:r>
      <w:r w:rsidRPr="00F207B2">
        <w:rPr>
          <w:rFonts w:ascii="Garamond" w:hAnsi="Garamond" w:cs="Arial"/>
        </w:rPr>
        <w:t xml:space="preserve"> “</w:t>
      </w:r>
      <w:hyperlink r:id="rId2" w:history="1">
        <w:r w:rsidRPr="00F207B2">
          <w:rPr>
            <w:rStyle w:val="Hyperlink"/>
            <w:rFonts w:ascii="Garamond" w:hAnsi="Garamond"/>
            <w:color w:val="auto"/>
            <w:u w:val="none"/>
          </w:rPr>
          <w:t>Consociationalism for Weaklings, Autocracy for Muscle Men? Determinants of Constitutional Reform in Divided Societies</w:t>
        </w:r>
      </w:hyperlink>
      <w:r w:rsidRPr="00F207B2">
        <w:rPr>
          <w:rFonts w:ascii="Garamond" w:hAnsi="Garamond" w:cs="Arial"/>
        </w:rPr>
        <w:t xml:space="preserve">”, </w:t>
      </w:r>
      <w:hyperlink r:id="rId3" w:history="1">
        <w:r w:rsidRPr="00F207B2">
          <w:rPr>
            <w:rStyle w:val="journalname"/>
            <w:rFonts w:ascii="Garamond" w:hAnsi="Garamond" w:cs="Arial"/>
            <w:i/>
          </w:rPr>
          <w:t>Civil Wars</w:t>
        </w:r>
        <w:r w:rsidRPr="00F207B2">
          <w:rPr>
            <w:rStyle w:val="apple-converted-space"/>
            <w:rFonts w:ascii="Garamond" w:hAnsi="Garamond" w:cs="Arial"/>
          </w:rPr>
          <w:t>, </w:t>
        </w:r>
      </w:hyperlink>
      <w:r w:rsidRPr="00F207B2">
        <w:rPr>
          <w:rStyle w:val="volume"/>
          <w:rFonts w:ascii="Garamond" w:hAnsi="Garamond" w:cs="Arial"/>
        </w:rPr>
        <w:t>Vol. 15, Iss. Sup1, p. 23.</w:t>
      </w:r>
    </w:p>
  </w:endnote>
  <w:endnote w:id="7">
    <w:p w14:paraId="23CB1914" w14:textId="09AAE1D4" w:rsidR="00076158" w:rsidRPr="00F207B2" w:rsidRDefault="00076158" w:rsidP="00055A7F">
      <w:pPr>
        <w:spacing w:after="120" w:line="276" w:lineRule="auto"/>
        <w:jc w:val="both"/>
        <w:rPr>
          <w:rFonts w:ascii="Garamond" w:hAnsi="Garamond"/>
        </w:rPr>
      </w:pPr>
      <w:r w:rsidRPr="00F207B2">
        <w:rPr>
          <w:rStyle w:val="EndnoteReference"/>
          <w:rFonts w:ascii="Garamond" w:hAnsi="Garamond"/>
        </w:rPr>
        <w:endnoteRef/>
      </w:r>
      <w:r>
        <w:rPr>
          <w:rFonts w:ascii="Garamond" w:hAnsi="Garamond"/>
        </w:rPr>
        <w:t xml:space="preserve"> Lijphart, A., 1977,</w:t>
      </w:r>
      <w:r w:rsidRPr="00F207B2">
        <w:rPr>
          <w:rFonts w:ascii="Garamond" w:hAnsi="Garamond"/>
        </w:rPr>
        <w:t xml:space="preserve"> </w:t>
      </w:r>
      <w:r w:rsidRPr="00F207B2">
        <w:rPr>
          <w:rFonts w:ascii="Garamond" w:hAnsi="Garamond"/>
          <w:i/>
        </w:rPr>
        <w:t>Democracy in plural societies: A comparative exploration</w:t>
      </w:r>
      <w:r>
        <w:rPr>
          <w:rFonts w:ascii="Garamond" w:hAnsi="Garamond"/>
        </w:rPr>
        <w:t>. Yale University Press.</w:t>
      </w:r>
    </w:p>
  </w:endnote>
  <w:endnote w:id="8">
    <w:p w14:paraId="3BC20D80" w14:textId="39F181AE" w:rsidR="00076158" w:rsidRPr="00055A7F" w:rsidRDefault="00076158" w:rsidP="00055A7F">
      <w:pPr>
        <w:spacing w:after="120" w:line="276" w:lineRule="auto"/>
        <w:rPr>
          <w:rFonts w:ascii="Garamond" w:hAnsi="Garamond" w:cs="Times New Roman"/>
        </w:rPr>
      </w:pPr>
      <w:r w:rsidRPr="00F207B2">
        <w:rPr>
          <w:rStyle w:val="EndnoteReference"/>
          <w:rFonts w:ascii="Garamond" w:hAnsi="Garamond"/>
        </w:rPr>
        <w:endnoteRef/>
      </w:r>
      <w:r w:rsidRPr="00F207B2">
        <w:rPr>
          <w:rFonts w:ascii="Garamond" w:hAnsi="Garamond"/>
        </w:rPr>
        <w:t xml:space="preserve"> </w:t>
      </w:r>
      <w:r w:rsidRPr="00F207B2">
        <w:rPr>
          <w:rFonts w:ascii="Garamond" w:hAnsi="Garamond" w:cs="Times New Roman"/>
        </w:rPr>
        <w:t xml:space="preserve">Nagle, J., &amp; Clancy, M. A. C. (2010). </w:t>
      </w:r>
      <w:r w:rsidRPr="00F207B2">
        <w:rPr>
          <w:rFonts w:ascii="Garamond" w:hAnsi="Garamond" w:cs="Times New Roman"/>
          <w:i/>
        </w:rPr>
        <w:t>Shared society or benign apartheid?: understanding peace-building in divided societies</w:t>
      </w:r>
      <w:r>
        <w:rPr>
          <w:rFonts w:ascii="Garamond" w:hAnsi="Garamond" w:cs="Times New Roman"/>
        </w:rPr>
        <w:t xml:space="preserve">. Palgrave Macmillan, p. 51. </w:t>
      </w:r>
    </w:p>
  </w:endnote>
  <w:endnote w:id="9">
    <w:p w14:paraId="18100923" w14:textId="6B4B0A66" w:rsidR="00076158" w:rsidRPr="00F207B2" w:rsidRDefault="00076158">
      <w:pPr>
        <w:pStyle w:val="EndnoteText"/>
        <w:rPr>
          <w:rFonts w:ascii="Garamond" w:hAnsi="Garamond"/>
          <w:sz w:val="22"/>
          <w:szCs w:val="22"/>
        </w:rPr>
      </w:pPr>
      <w:r w:rsidRPr="00F207B2">
        <w:rPr>
          <w:rStyle w:val="EndnoteReference"/>
          <w:rFonts w:ascii="Garamond" w:hAnsi="Garamond"/>
          <w:sz w:val="22"/>
          <w:szCs w:val="22"/>
        </w:rPr>
        <w:endnoteRef/>
      </w:r>
      <w:r w:rsidRPr="00F207B2">
        <w:rPr>
          <w:rFonts w:ascii="Garamond" w:hAnsi="Garamond"/>
          <w:sz w:val="22"/>
          <w:szCs w:val="22"/>
        </w:rPr>
        <w:t xml:space="preserve"> Ljiphart, 1977.</w:t>
      </w:r>
    </w:p>
    <w:p w14:paraId="38DAD049" w14:textId="77777777" w:rsidR="00076158" w:rsidRPr="00F207B2" w:rsidRDefault="00076158">
      <w:pPr>
        <w:pStyle w:val="EndnoteText"/>
        <w:rPr>
          <w:rFonts w:ascii="Garamond" w:hAnsi="Garamond"/>
          <w:sz w:val="22"/>
          <w:szCs w:val="22"/>
        </w:rPr>
      </w:pPr>
    </w:p>
  </w:endnote>
  <w:endnote w:id="10">
    <w:p w14:paraId="01DA1279" w14:textId="6229E604" w:rsidR="00076158" w:rsidRPr="007A7FEB" w:rsidRDefault="00076158">
      <w:pPr>
        <w:pStyle w:val="EndnoteText"/>
        <w:rPr>
          <w:rFonts w:ascii="Garamond" w:hAnsi="Garamond"/>
          <w:sz w:val="22"/>
          <w:szCs w:val="22"/>
        </w:rPr>
      </w:pPr>
      <w:r w:rsidRPr="007A7FEB">
        <w:rPr>
          <w:rStyle w:val="EndnoteReference"/>
          <w:rFonts w:ascii="Garamond" w:hAnsi="Garamond"/>
          <w:sz w:val="22"/>
          <w:szCs w:val="22"/>
        </w:rPr>
        <w:endnoteRef/>
      </w:r>
      <w:r w:rsidRPr="007A7FEB">
        <w:rPr>
          <w:rFonts w:ascii="Garamond" w:hAnsi="Garamond"/>
          <w:sz w:val="22"/>
          <w:szCs w:val="22"/>
        </w:rPr>
        <w:t xml:space="preserve"> Indeed, in the liberal consociational set-up of post-conflict Norther</w:t>
      </w:r>
      <w:r>
        <w:rPr>
          <w:rFonts w:ascii="Garamond" w:hAnsi="Garamond"/>
          <w:sz w:val="22"/>
          <w:szCs w:val="22"/>
        </w:rPr>
        <w:t>n</w:t>
      </w:r>
      <w:r w:rsidRPr="007A7FEB">
        <w:rPr>
          <w:rFonts w:ascii="Garamond" w:hAnsi="Garamond"/>
          <w:sz w:val="22"/>
          <w:szCs w:val="22"/>
        </w:rPr>
        <w:t xml:space="preserve"> Ireland, Members of the Legislative Assembly (MLAs) who designate as ‘Other’ and not Nationalist or Unionist, have less power within the institution. </w:t>
      </w:r>
      <w:r>
        <w:rPr>
          <w:rFonts w:ascii="Garamond" w:hAnsi="Garamond"/>
          <w:sz w:val="22"/>
          <w:szCs w:val="22"/>
        </w:rPr>
        <w:t>Although t</w:t>
      </w:r>
      <w:r w:rsidRPr="007A7FEB">
        <w:rPr>
          <w:rFonts w:ascii="Garamond" w:hAnsi="Garamond"/>
          <w:sz w:val="22"/>
          <w:szCs w:val="22"/>
        </w:rPr>
        <w:t xml:space="preserve">hey </w:t>
      </w:r>
      <w:r>
        <w:rPr>
          <w:rFonts w:ascii="Garamond" w:hAnsi="Garamond"/>
          <w:sz w:val="22"/>
          <w:szCs w:val="22"/>
        </w:rPr>
        <w:t>can sign a Petition of Concern</w:t>
      </w:r>
      <w:r w:rsidRPr="007A7FEB">
        <w:rPr>
          <w:rFonts w:ascii="Garamond" w:hAnsi="Garamond"/>
          <w:sz w:val="22"/>
          <w:szCs w:val="22"/>
        </w:rPr>
        <w:t xml:space="preserve"> (a feature that allows for legislation to be blocked by one ethnic grouping) </w:t>
      </w:r>
      <w:r>
        <w:rPr>
          <w:rFonts w:ascii="Garamond" w:hAnsi="Garamond"/>
          <w:sz w:val="22"/>
          <w:szCs w:val="22"/>
        </w:rPr>
        <w:t xml:space="preserve">they cannot file one on their own – only Nationalist or Unionist MLAs can do so. In this way, ethno-national identities continue to hold prominence in the consociational arrangements, with ‘Others’ stripped of certain powers.  </w:t>
      </w:r>
    </w:p>
    <w:p w14:paraId="470B2B08" w14:textId="77777777" w:rsidR="00076158" w:rsidRDefault="00076158">
      <w:pPr>
        <w:pStyle w:val="EndnoteText"/>
      </w:pPr>
    </w:p>
  </w:endnote>
  <w:endnote w:id="11">
    <w:p w14:paraId="47C9372F" w14:textId="352E4479" w:rsidR="00076158" w:rsidRPr="00F207B2" w:rsidRDefault="00076158" w:rsidP="00055A7F">
      <w:pPr>
        <w:spacing w:after="120" w:line="276" w:lineRule="auto"/>
        <w:jc w:val="both"/>
        <w:rPr>
          <w:rFonts w:ascii="Garamond" w:hAnsi="Garamond"/>
        </w:rPr>
      </w:pPr>
      <w:r w:rsidRPr="00F207B2">
        <w:rPr>
          <w:rStyle w:val="EndnoteReference"/>
          <w:rFonts w:ascii="Garamond" w:hAnsi="Garamond"/>
        </w:rPr>
        <w:endnoteRef/>
      </w:r>
      <w:r>
        <w:rPr>
          <w:rFonts w:ascii="Garamond" w:hAnsi="Garamond"/>
        </w:rPr>
        <w:t xml:space="preserve"> Chandler, D., 2000,</w:t>
      </w:r>
      <w:r w:rsidRPr="00F207B2">
        <w:rPr>
          <w:rFonts w:ascii="Garamond" w:hAnsi="Garamond"/>
        </w:rPr>
        <w:t xml:space="preserve"> </w:t>
      </w:r>
      <w:r w:rsidRPr="00F207B2">
        <w:rPr>
          <w:rFonts w:ascii="Garamond" w:hAnsi="Garamond"/>
          <w:i/>
        </w:rPr>
        <w:t>Bosnia: faking democracy after Dayton</w:t>
      </w:r>
      <w:r>
        <w:rPr>
          <w:rFonts w:ascii="Garamond" w:hAnsi="Garamond"/>
        </w:rPr>
        <w:t>. Pluto Press.</w:t>
      </w:r>
    </w:p>
  </w:endnote>
  <w:endnote w:id="12">
    <w:p w14:paraId="1D94B101" w14:textId="7C6E7DB9" w:rsidR="00076158" w:rsidRPr="00F207B2" w:rsidRDefault="00076158" w:rsidP="00055A7F">
      <w:pPr>
        <w:spacing w:after="120" w:line="276" w:lineRule="auto"/>
        <w:jc w:val="both"/>
        <w:rPr>
          <w:rFonts w:ascii="Garamond" w:hAnsi="Garamond"/>
        </w:rPr>
      </w:pPr>
      <w:r w:rsidRPr="00F207B2">
        <w:rPr>
          <w:rStyle w:val="EndnoteReference"/>
          <w:rFonts w:ascii="Garamond" w:hAnsi="Garamond"/>
        </w:rPr>
        <w:endnoteRef/>
      </w:r>
      <w:r>
        <w:rPr>
          <w:rFonts w:ascii="Garamond" w:hAnsi="Garamond"/>
        </w:rPr>
        <w:t xml:space="preserve"> Lyon, A., 2015,</w:t>
      </w:r>
      <w:r w:rsidRPr="00F207B2">
        <w:rPr>
          <w:rFonts w:ascii="Garamond" w:hAnsi="Garamond"/>
        </w:rPr>
        <w:t xml:space="preserve"> </w:t>
      </w:r>
      <w:r w:rsidRPr="00F207B2">
        <w:rPr>
          <w:rFonts w:ascii="Garamond" w:hAnsi="Garamond"/>
          <w:i/>
        </w:rPr>
        <w:t>Decentralisation and the Management of Ethnic Conflict: Lessons from the Republic of Macedonia</w:t>
      </w:r>
      <w:r>
        <w:rPr>
          <w:rFonts w:ascii="Garamond" w:hAnsi="Garamond"/>
        </w:rPr>
        <w:t>. Routledge.</w:t>
      </w:r>
    </w:p>
  </w:endnote>
  <w:endnote w:id="13">
    <w:p w14:paraId="72AC9EAB" w14:textId="2643756E" w:rsidR="00076158" w:rsidRPr="00F207B2" w:rsidRDefault="00076158" w:rsidP="00055A7F">
      <w:pPr>
        <w:spacing w:after="120" w:line="276" w:lineRule="auto"/>
        <w:jc w:val="both"/>
        <w:rPr>
          <w:rFonts w:ascii="Garamond" w:hAnsi="Garamond"/>
        </w:rPr>
      </w:pPr>
      <w:r w:rsidRPr="00F207B2">
        <w:rPr>
          <w:rStyle w:val="EndnoteReference"/>
          <w:rFonts w:ascii="Garamond" w:hAnsi="Garamond"/>
        </w:rPr>
        <w:endnoteRef/>
      </w:r>
      <w:r>
        <w:rPr>
          <w:rFonts w:ascii="Garamond" w:hAnsi="Garamond"/>
        </w:rPr>
        <w:t xml:space="preserve"> Lemarchand, R., 2006,</w:t>
      </w:r>
      <w:r w:rsidRPr="00F207B2">
        <w:rPr>
          <w:rFonts w:ascii="Garamond" w:hAnsi="Garamond"/>
        </w:rPr>
        <w:t xml:space="preserve"> Genocide, memory and ethnic reconciliation in Rwanda. </w:t>
      </w:r>
      <w:r w:rsidRPr="00F207B2">
        <w:rPr>
          <w:rFonts w:ascii="Garamond" w:hAnsi="Garamond"/>
          <w:i/>
        </w:rPr>
        <w:t>L’Afrique des Grands Lacs: Annuaire</w:t>
      </w:r>
      <w:r>
        <w:rPr>
          <w:rFonts w:ascii="Garamond" w:hAnsi="Garamond"/>
        </w:rPr>
        <w:t>, 2007, pp. 2-30. p.8.</w:t>
      </w:r>
    </w:p>
  </w:endnote>
  <w:endnote w:id="14">
    <w:p w14:paraId="7570CDE6" w14:textId="1B0A23EB" w:rsidR="00076158" w:rsidRPr="00055A7F" w:rsidRDefault="00076158" w:rsidP="00055A7F">
      <w:pPr>
        <w:autoSpaceDE w:val="0"/>
        <w:autoSpaceDN w:val="0"/>
        <w:adjustRightInd w:val="0"/>
        <w:spacing w:after="120" w:line="276" w:lineRule="auto"/>
        <w:rPr>
          <w:rFonts w:ascii="Garamond" w:hAnsi="Garamond" w:cs="Times New Roman"/>
        </w:rPr>
      </w:pPr>
      <w:r w:rsidRPr="00F207B2">
        <w:rPr>
          <w:rStyle w:val="EndnoteReference"/>
          <w:rFonts w:ascii="Garamond" w:hAnsi="Garamond"/>
        </w:rPr>
        <w:endnoteRef/>
      </w:r>
      <w:r w:rsidRPr="00F207B2">
        <w:rPr>
          <w:rFonts w:ascii="Garamond" w:hAnsi="Garamond"/>
        </w:rPr>
        <w:t xml:space="preserve"> </w:t>
      </w:r>
      <w:r>
        <w:rPr>
          <w:rFonts w:ascii="Garamond" w:hAnsi="Garamond" w:cs="Times New Roman"/>
        </w:rPr>
        <w:t>Younis, N., 2011,</w:t>
      </w:r>
      <w:r w:rsidRPr="00F207B2">
        <w:rPr>
          <w:rFonts w:ascii="Garamond" w:hAnsi="Garamond" w:cs="Times New Roman"/>
        </w:rPr>
        <w:t xml:space="preserve"> Set up to fail: consociational political structures in post</w:t>
      </w:r>
      <w:r w:rsidRPr="00F207B2">
        <w:rPr>
          <w:rFonts w:ascii="Times New Roman" w:hAnsi="Times New Roman" w:cs="Times New Roman"/>
        </w:rPr>
        <w:t>‐</w:t>
      </w:r>
      <w:r w:rsidRPr="00F207B2">
        <w:rPr>
          <w:rFonts w:ascii="Garamond" w:hAnsi="Garamond" w:cs="Times New Roman"/>
        </w:rPr>
        <w:t>war Iraq, 2003</w:t>
      </w:r>
      <w:r w:rsidRPr="00F207B2">
        <w:rPr>
          <w:rFonts w:ascii="Garamond" w:hAnsi="Garamond" w:cs="Garamond"/>
        </w:rPr>
        <w:t>–</w:t>
      </w:r>
      <w:r w:rsidRPr="00F207B2">
        <w:rPr>
          <w:rFonts w:ascii="Garamond" w:hAnsi="Garamond" w:cs="Times New Roman"/>
        </w:rPr>
        <w:t xml:space="preserve">2010. </w:t>
      </w:r>
      <w:r w:rsidRPr="00F207B2">
        <w:rPr>
          <w:rFonts w:ascii="Garamond" w:hAnsi="Garamond" w:cs="Times New Roman"/>
          <w:i/>
        </w:rPr>
        <w:t>Contemporary Arab Affairs</w:t>
      </w:r>
      <w:r>
        <w:rPr>
          <w:rFonts w:ascii="Garamond" w:hAnsi="Garamond" w:cs="Times New Roman"/>
        </w:rPr>
        <w:t>, 4(1), 1-18.</w:t>
      </w:r>
    </w:p>
  </w:endnote>
  <w:endnote w:id="15">
    <w:p w14:paraId="2A2B8648" w14:textId="3BA5FCF6" w:rsidR="00076158" w:rsidRPr="00F207B2" w:rsidRDefault="00076158">
      <w:pPr>
        <w:pStyle w:val="EndnoteText"/>
        <w:rPr>
          <w:rFonts w:ascii="Garamond" w:hAnsi="Garamond"/>
          <w:sz w:val="22"/>
          <w:szCs w:val="22"/>
        </w:rPr>
      </w:pPr>
      <w:r w:rsidRPr="00F207B2">
        <w:rPr>
          <w:rStyle w:val="EndnoteReference"/>
          <w:rFonts w:ascii="Garamond" w:hAnsi="Garamond"/>
          <w:sz w:val="22"/>
          <w:szCs w:val="22"/>
        </w:rPr>
        <w:endnoteRef/>
      </w:r>
      <w:r w:rsidRPr="00F207B2">
        <w:rPr>
          <w:rFonts w:ascii="Garamond" w:hAnsi="Garamond"/>
          <w:sz w:val="22"/>
          <w:szCs w:val="22"/>
        </w:rPr>
        <w:t xml:space="preserve"> </w:t>
      </w:r>
      <w:hyperlink r:id="rId4" w:anchor=".WC8v7_mLTIU" w:history="1">
        <w:r w:rsidRPr="00F207B2">
          <w:rPr>
            <w:rStyle w:val="Hyperlink"/>
            <w:rFonts w:ascii="Garamond" w:hAnsi="Garamond"/>
            <w:color w:val="auto"/>
            <w:sz w:val="22"/>
            <w:szCs w:val="22"/>
          </w:rPr>
          <w:t>http://www.un.org/apps/news/story.asp?NewsID=49981#.WC8v7_mLTIU</w:t>
        </w:r>
      </w:hyperlink>
      <w:r w:rsidRPr="00F207B2">
        <w:rPr>
          <w:rFonts w:ascii="Garamond" w:hAnsi="Garamond"/>
          <w:sz w:val="22"/>
          <w:szCs w:val="22"/>
        </w:rPr>
        <w:t xml:space="preserve">. Accessed 18/11/16. </w:t>
      </w:r>
    </w:p>
    <w:p w14:paraId="3C0F8D21" w14:textId="77777777" w:rsidR="00076158" w:rsidRPr="00F207B2" w:rsidRDefault="00076158">
      <w:pPr>
        <w:pStyle w:val="EndnoteText"/>
        <w:rPr>
          <w:rFonts w:ascii="Garamond" w:hAnsi="Garamond"/>
          <w:sz w:val="22"/>
          <w:szCs w:val="22"/>
        </w:rPr>
      </w:pPr>
    </w:p>
  </w:endnote>
  <w:endnote w:id="16">
    <w:p w14:paraId="12B3FD02" w14:textId="09BA5CF3" w:rsidR="00076158" w:rsidRPr="000B2BD9" w:rsidRDefault="00076158" w:rsidP="000B2BD9">
      <w:pPr>
        <w:spacing w:after="120" w:line="240" w:lineRule="auto"/>
        <w:jc w:val="both"/>
        <w:rPr>
          <w:rFonts w:ascii="Garamond" w:hAnsi="Garamond" w:cs="Times New Roman"/>
        </w:rPr>
      </w:pPr>
      <w:r w:rsidRPr="000B2BD9">
        <w:rPr>
          <w:rStyle w:val="EndnoteReference"/>
          <w:rFonts w:ascii="Garamond" w:hAnsi="Garamond"/>
        </w:rPr>
        <w:endnoteRef/>
      </w:r>
      <w:r w:rsidRPr="000B2BD9">
        <w:rPr>
          <w:rFonts w:ascii="Garamond" w:hAnsi="Garamond"/>
        </w:rPr>
        <w:t xml:space="preserve"> </w:t>
      </w:r>
      <w:r w:rsidRPr="000B2BD9">
        <w:rPr>
          <w:rFonts w:ascii="Garamond" w:hAnsi="Garamond" w:cs="Times New Roman"/>
        </w:rPr>
        <w:t>Wilson, Robin</w:t>
      </w:r>
      <w:r w:rsidRPr="000B2BD9">
        <w:rPr>
          <w:rFonts w:ascii="Garamond" w:eastAsiaTheme="minorEastAsia" w:hAnsi="Garamond" w:cs="Times New Roman"/>
        </w:rPr>
        <w:t xml:space="preserve"> (2</w:t>
      </w:r>
      <w:r w:rsidRPr="000B2BD9">
        <w:rPr>
          <w:rFonts w:ascii="Garamond" w:hAnsi="Garamond" w:cs="Times New Roman"/>
        </w:rPr>
        <w:t xml:space="preserve">009) “From consociationalism to inter-culturalism” in Taylor, R. (ed.) </w:t>
      </w:r>
      <w:r w:rsidRPr="000B2BD9">
        <w:rPr>
          <w:rFonts w:ascii="Garamond" w:hAnsi="Garamond" w:cs="Times New Roman"/>
          <w:i/>
        </w:rPr>
        <w:t>Consociational Theory: McGarry and O’Leary in the Northern Ireland Conflict</w:t>
      </w:r>
      <w:r w:rsidRPr="000B2BD9">
        <w:rPr>
          <w:rFonts w:ascii="Garamond" w:hAnsi="Garamond" w:cs="Times New Roman"/>
        </w:rPr>
        <w:t xml:space="preserve">, Abingdon: Routledge,. p. 223. Further critiques of consociationalism in this vein are offered in </w:t>
      </w:r>
      <w:r w:rsidRPr="000B2BD9">
        <w:rPr>
          <w:rFonts w:ascii="Garamond" w:hAnsi="Garamond"/>
        </w:rPr>
        <w:t xml:space="preserve">Finlay, Andrew, 2011, </w:t>
      </w:r>
      <w:r w:rsidRPr="000B2BD9">
        <w:rPr>
          <w:rFonts w:ascii="Garamond" w:hAnsi="Garamond"/>
          <w:i/>
        </w:rPr>
        <w:t>Governing Ethnic Conflict: Consociation, identity and the price of peace</w:t>
      </w:r>
      <w:r w:rsidRPr="000B2BD9">
        <w:rPr>
          <w:rFonts w:ascii="Garamond" w:hAnsi="Garamond"/>
        </w:rPr>
        <w:t xml:space="preserve">, Routledge; </w:t>
      </w:r>
      <w:r w:rsidRPr="000B2BD9">
        <w:rPr>
          <w:rFonts w:ascii="Garamond" w:hAnsi="Garamond" w:cs="Times New Roman"/>
        </w:rPr>
        <w:t xml:space="preserve">Wilson, Robin, </w:t>
      </w:r>
      <w:r w:rsidRPr="000B2BD9">
        <w:rPr>
          <w:rFonts w:ascii="Garamond" w:eastAsiaTheme="minorEastAsia" w:hAnsi="Garamond" w:cs="Times New Roman"/>
        </w:rPr>
        <w:t>2010,</w:t>
      </w:r>
      <w:r w:rsidRPr="000B2BD9">
        <w:rPr>
          <w:rFonts w:ascii="Garamond" w:hAnsi="Garamond" w:cs="Times New Roman"/>
        </w:rPr>
        <w:t xml:space="preserve"> </w:t>
      </w:r>
      <w:r w:rsidRPr="000B2BD9">
        <w:rPr>
          <w:rFonts w:ascii="Garamond" w:hAnsi="Garamond" w:cs="Times New Roman"/>
          <w:i/>
        </w:rPr>
        <w:t>The Northern Ireland Experience of Conflict and Agreement: a Model for Export?</w:t>
      </w:r>
      <w:r w:rsidRPr="000B2BD9">
        <w:rPr>
          <w:rFonts w:ascii="Garamond" w:hAnsi="Garamond" w:cs="Times New Roman"/>
        </w:rPr>
        <w:t>,</w:t>
      </w:r>
      <w:r w:rsidRPr="000B2BD9">
        <w:rPr>
          <w:rFonts w:ascii="Garamond" w:hAnsi="Garamond" w:cs="Times New Roman"/>
          <w:i/>
        </w:rPr>
        <w:t xml:space="preserve"> </w:t>
      </w:r>
      <w:r w:rsidRPr="000B2BD9">
        <w:rPr>
          <w:rFonts w:ascii="Garamond" w:hAnsi="Garamond" w:cs="Times New Roman"/>
        </w:rPr>
        <w:t xml:space="preserve">Manchester: Manchester University Press and Wilford, R., &amp; Wilson, R. (2006). </w:t>
      </w:r>
      <w:r w:rsidRPr="000B2BD9">
        <w:rPr>
          <w:rFonts w:ascii="Garamond" w:hAnsi="Garamond" w:cs="Times New Roman"/>
          <w:i/>
        </w:rPr>
        <w:t xml:space="preserve">The trouble with Northern Ireland: the Belfast Agreement and democratic governance </w:t>
      </w:r>
      <w:r w:rsidRPr="000B2BD9">
        <w:rPr>
          <w:rFonts w:ascii="Garamond" w:hAnsi="Garamond" w:cs="Times New Roman"/>
        </w:rPr>
        <w:t>(Vol. 3). New Island.</w:t>
      </w:r>
    </w:p>
  </w:endnote>
  <w:endnote w:id="17">
    <w:p w14:paraId="590D5153" w14:textId="0D26EC6A" w:rsidR="00076158" w:rsidRPr="00F207B2" w:rsidRDefault="00076158">
      <w:pPr>
        <w:pStyle w:val="EndnoteText"/>
        <w:rPr>
          <w:rFonts w:ascii="Garamond" w:hAnsi="Garamond"/>
          <w:sz w:val="22"/>
          <w:szCs w:val="22"/>
        </w:rPr>
      </w:pPr>
      <w:r w:rsidRPr="00F207B2">
        <w:rPr>
          <w:rStyle w:val="EndnoteReference"/>
          <w:rFonts w:ascii="Garamond" w:hAnsi="Garamond"/>
          <w:sz w:val="22"/>
          <w:szCs w:val="22"/>
        </w:rPr>
        <w:endnoteRef/>
      </w:r>
      <w:r w:rsidRPr="00F207B2">
        <w:rPr>
          <w:rFonts w:ascii="Garamond" w:hAnsi="Garamond"/>
          <w:sz w:val="22"/>
          <w:szCs w:val="22"/>
        </w:rPr>
        <w:t xml:space="preserve"> Ibid, 224. </w:t>
      </w:r>
    </w:p>
    <w:p w14:paraId="294862C5" w14:textId="77777777" w:rsidR="00076158" w:rsidRPr="00F207B2" w:rsidRDefault="00076158">
      <w:pPr>
        <w:pStyle w:val="EndnoteText"/>
        <w:rPr>
          <w:rFonts w:ascii="Garamond" w:hAnsi="Garamond"/>
          <w:sz w:val="22"/>
          <w:szCs w:val="22"/>
        </w:rPr>
      </w:pPr>
    </w:p>
  </w:endnote>
  <w:endnote w:id="18">
    <w:p w14:paraId="2C0C85E6" w14:textId="58D4F17B" w:rsidR="00076158" w:rsidRPr="00F207B2" w:rsidRDefault="00076158">
      <w:pPr>
        <w:pStyle w:val="EndnoteText"/>
        <w:rPr>
          <w:rFonts w:ascii="Garamond" w:eastAsia="Times New Roman" w:hAnsi="Garamond" w:cs="Times New Roman"/>
          <w:sz w:val="22"/>
          <w:szCs w:val="22"/>
        </w:rPr>
      </w:pPr>
      <w:r w:rsidRPr="00F207B2">
        <w:rPr>
          <w:rStyle w:val="EndnoteReference"/>
          <w:rFonts w:ascii="Garamond" w:hAnsi="Garamond"/>
          <w:sz w:val="22"/>
          <w:szCs w:val="22"/>
        </w:rPr>
        <w:endnoteRef/>
      </w:r>
      <w:r w:rsidRPr="00F207B2">
        <w:rPr>
          <w:rFonts w:ascii="Garamond" w:hAnsi="Garamond"/>
          <w:sz w:val="22"/>
          <w:szCs w:val="22"/>
        </w:rPr>
        <w:t xml:space="preserve"> </w:t>
      </w:r>
      <w:r w:rsidRPr="00F207B2">
        <w:rPr>
          <w:rFonts w:ascii="Garamond" w:eastAsia="Times New Roman" w:hAnsi="Garamond" w:cs="Times New Roman"/>
          <w:sz w:val="22"/>
          <w:szCs w:val="22"/>
        </w:rPr>
        <w:t>Taylor, 2009, p. 320.</w:t>
      </w:r>
    </w:p>
    <w:p w14:paraId="7C40E541" w14:textId="77777777" w:rsidR="00076158" w:rsidRPr="00F207B2" w:rsidRDefault="00076158">
      <w:pPr>
        <w:pStyle w:val="EndnoteText"/>
        <w:rPr>
          <w:rFonts w:ascii="Garamond" w:hAnsi="Garamond"/>
          <w:sz w:val="22"/>
          <w:szCs w:val="22"/>
        </w:rPr>
      </w:pPr>
    </w:p>
  </w:endnote>
  <w:endnote w:id="19">
    <w:p w14:paraId="65DE7B7C" w14:textId="7C6A039D" w:rsidR="00076158" w:rsidRPr="0033320B" w:rsidRDefault="00076158">
      <w:pPr>
        <w:pStyle w:val="EndnoteText"/>
        <w:rPr>
          <w:rFonts w:ascii="Garamond" w:hAnsi="Garamond"/>
          <w:sz w:val="22"/>
          <w:szCs w:val="22"/>
        </w:rPr>
      </w:pPr>
      <w:r w:rsidRPr="0033320B">
        <w:rPr>
          <w:rStyle w:val="EndnoteReference"/>
          <w:rFonts w:ascii="Garamond" w:hAnsi="Garamond"/>
          <w:sz w:val="22"/>
          <w:szCs w:val="22"/>
        </w:rPr>
        <w:endnoteRef/>
      </w:r>
      <w:r w:rsidRPr="0033320B">
        <w:rPr>
          <w:rFonts w:ascii="Garamond" w:hAnsi="Garamond"/>
          <w:sz w:val="22"/>
          <w:szCs w:val="22"/>
        </w:rPr>
        <w:t xml:space="preserve"> Wilson, R., (2016)</w:t>
      </w:r>
      <w:r>
        <w:rPr>
          <w:rFonts w:ascii="Garamond" w:hAnsi="Garamond"/>
          <w:sz w:val="22"/>
          <w:szCs w:val="22"/>
        </w:rPr>
        <w:t>, Northern Ireland Peace Monitorin</w:t>
      </w:r>
      <w:r w:rsidR="00300DE1">
        <w:rPr>
          <w:rFonts w:ascii="Garamond" w:hAnsi="Garamond"/>
          <w:sz w:val="22"/>
          <w:szCs w:val="22"/>
        </w:rPr>
        <w:t>g</w:t>
      </w:r>
      <w:r>
        <w:rPr>
          <w:rFonts w:ascii="Garamond" w:hAnsi="Garamond"/>
          <w:sz w:val="22"/>
          <w:szCs w:val="22"/>
        </w:rPr>
        <w:t xml:space="preserve"> Report: Number Four. Belfast: Community Relations Council</w:t>
      </w:r>
    </w:p>
  </w:endnote>
  <w:endnote w:id="20">
    <w:p w14:paraId="6BF6FFED" w14:textId="7412E502" w:rsidR="00076158" w:rsidRPr="00055A7F" w:rsidRDefault="00076158" w:rsidP="00055A7F">
      <w:pPr>
        <w:spacing w:after="120" w:line="276" w:lineRule="auto"/>
        <w:rPr>
          <w:rFonts w:ascii="Garamond" w:hAnsi="Garamond" w:cs="Times New Roman"/>
        </w:rPr>
      </w:pPr>
      <w:r w:rsidRPr="00F207B2">
        <w:rPr>
          <w:rStyle w:val="EndnoteReference"/>
          <w:rFonts w:ascii="Garamond" w:hAnsi="Garamond"/>
        </w:rPr>
        <w:endnoteRef/>
      </w:r>
      <w:r w:rsidRPr="00F207B2">
        <w:rPr>
          <w:rFonts w:ascii="Garamond" w:hAnsi="Garamond"/>
        </w:rPr>
        <w:t xml:space="preserve"> </w:t>
      </w:r>
      <w:r>
        <w:rPr>
          <w:rFonts w:ascii="Garamond" w:hAnsi="Garamond" w:cs="Times New Roman"/>
        </w:rPr>
        <w:t xml:space="preserve">Murtagh, Cera, 2016, </w:t>
      </w:r>
      <w:r w:rsidRPr="00F207B2">
        <w:rPr>
          <w:rFonts w:ascii="Garamond" w:hAnsi="Garamond" w:cs="Times New Roman"/>
        </w:rPr>
        <w:t>Civic Mobilisation in Divided Societies and the Perils of Political Engagement: Bosnia and Herzegovin</w:t>
      </w:r>
      <w:r>
        <w:rPr>
          <w:rFonts w:ascii="Garamond" w:hAnsi="Garamond" w:cs="Times New Roman"/>
        </w:rPr>
        <w:t>a’s Protest and Plenum Movement</w:t>
      </w:r>
      <w:r w:rsidRPr="00F207B2">
        <w:rPr>
          <w:rFonts w:ascii="Garamond" w:hAnsi="Garamond" w:cs="Times New Roman"/>
        </w:rPr>
        <w:t xml:space="preserve">, </w:t>
      </w:r>
      <w:r w:rsidRPr="00F207B2">
        <w:rPr>
          <w:rFonts w:ascii="Garamond" w:hAnsi="Garamond" w:cs="Times New Roman"/>
          <w:i/>
        </w:rPr>
        <w:t>Nationalism and Ethnic Studies</w:t>
      </w:r>
      <w:r>
        <w:rPr>
          <w:rFonts w:ascii="Garamond" w:hAnsi="Garamond" w:cs="Times New Roman"/>
        </w:rPr>
        <w:t>, 22.2, pp. 149-171, p. 154.</w:t>
      </w:r>
    </w:p>
  </w:endnote>
  <w:endnote w:id="21">
    <w:p w14:paraId="39F08D29" w14:textId="6C5367B3" w:rsidR="00076158" w:rsidRPr="00F207B2" w:rsidRDefault="00076158">
      <w:pPr>
        <w:pStyle w:val="EndnoteText"/>
        <w:rPr>
          <w:rFonts w:ascii="Garamond" w:hAnsi="Garamond"/>
          <w:sz w:val="22"/>
          <w:szCs w:val="22"/>
        </w:rPr>
      </w:pPr>
      <w:r w:rsidRPr="00F207B2">
        <w:rPr>
          <w:rStyle w:val="EndnoteReference"/>
          <w:rFonts w:ascii="Garamond" w:hAnsi="Garamond"/>
          <w:sz w:val="22"/>
          <w:szCs w:val="22"/>
        </w:rPr>
        <w:endnoteRef/>
      </w:r>
      <w:r w:rsidRPr="00F207B2">
        <w:rPr>
          <w:rFonts w:ascii="Garamond" w:hAnsi="Garamond"/>
          <w:sz w:val="22"/>
          <w:szCs w:val="22"/>
        </w:rPr>
        <w:t xml:space="preserve"> Lyon, 173.</w:t>
      </w:r>
    </w:p>
  </w:endnote>
  <w:endnote w:id="22">
    <w:p w14:paraId="2F8D29AA" w14:textId="175B8C76" w:rsidR="00076158" w:rsidRPr="00F207B2" w:rsidRDefault="00076158" w:rsidP="00E873B7">
      <w:pPr>
        <w:pStyle w:val="Heading1"/>
        <w:shd w:val="clear" w:color="auto" w:fill="FFFFFF"/>
        <w:spacing w:line="300" w:lineRule="atLeast"/>
        <w:rPr>
          <w:rFonts w:ascii="Garamond" w:hAnsi="Garamond"/>
          <w:b w:val="0"/>
          <w:bCs w:val="0"/>
          <w:sz w:val="22"/>
          <w:szCs w:val="22"/>
        </w:rPr>
      </w:pPr>
      <w:r w:rsidRPr="00F207B2">
        <w:rPr>
          <w:rStyle w:val="EndnoteReference"/>
          <w:rFonts w:ascii="Garamond" w:hAnsi="Garamond"/>
          <w:b w:val="0"/>
          <w:sz w:val="22"/>
          <w:szCs w:val="22"/>
        </w:rPr>
        <w:endnoteRef/>
      </w:r>
      <w:r w:rsidRPr="00F207B2">
        <w:rPr>
          <w:rFonts w:ascii="Garamond" w:hAnsi="Garamond"/>
          <w:b w:val="0"/>
          <w:sz w:val="22"/>
          <w:szCs w:val="22"/>
        </w:rPr>
        <w:t xml:space="preserve"> “</w:t>
      </w:r>
      <w:r w:rsidRPr="00F207B2">
        <w:rPr>
          <w:rFonts w:ascii="Garamond" w:hAnsi="Garamond"/>
          <w:b w:val="0"/>
          <w:bCs w:val="0"/>
          <w:sz w:val="22"/>
          <w:szCs w:val="22"/>
        </w:rPr>
        <w:t xml:space="preserve">Burundi: ICC Withdrawal Major Loss to Victims: </w:t>
      </w:r>
      <w:r w:rsidRPr="00F207B2">
        <w:rPr>
          <w:rFonts w:ascii="Garamond" w:hAnsi="Garamond"/>
          <w:b w:val="0"/>
          <w:sz w:val="22"/>
          <w:szCs w:val="22"/>
        </w:rPr>
        <w:t>Latest Move Shows Government’s Disregard for Victims”, Human Rights Watch, October 27</w:t>
      </w:r>
      <w:r w:rsidRPr="00F207B2">
        <w:rPr>
          <w:rFonts w:ascii="Garamond" w:hAnsi="Garamond"/>
          <w:b w:val="0"/>
          <w:sz w:val="22"/>
          <w:szCs w:val="22"/>
          <w:vertAlign w:val="superscript"/>
        </w:rPr>
        <w:t>th</w:t>
      </w:r>
      <w:r w:rsidRPr="00F207B2">
        <w:rPr>
          <w:rFonts w:ascii="Garamond" w:hAnsi="Garamond"/>
          <w:b w:val="0"/>
          <w:sz w:val="22"/>
          <w:szCs w:val="22"/>
        </w:rPr>
        <w:t xml:space="preserve"> 2016, </w:t>
      </w:r>
      <w:hyperlink r:id="rId5" w:history="1">
        <w:r w:rsidRPr="00F207B2">
          <w:rPr>
            <w:rStyle w:val="Hyperlink"/>
            <w:rFonts w:ascii="Garamond" w:hAnsi="Garamond"/>
            <w:b w:val="0"/>
            <w:color w:val="auto"/>
            <w:sz w:val="22"/>
            <w:szCs w:val="22"/>
          </w:rPr>
          <w:t>https://www.hrw.org/news/2016/10/27/burundi-icc-withdrawal-major-loss-victims</w:t>
        </w:r>
      </w:hyperlink>
      <w:r w:rsidRPr="00F207B2">
        <w:rPr>
          <w:rFonts w:ascii="Garamond" w:hAnsi="Garamond"/>
          <w:b w:val="0"/>
          <w:sz w:val="22"/>
          <w:szCs w:val="22"/>
        </w:rPr>
        <w:t>. Accessed 18/11/16.</w:t>
      </w:r>
      <w:r w:rsidRPr="00F207B2">
        <w:rPr>
          <w:rFonts w:ascii="Garamond" w:hAnsi="Garamond"/>
          <w:sz w:val="22"/>
          <w:szCs w:val="22"/>
        </w:rPr>
        <w:t xml:space="preserve"> </w:t>
      </w:r>
      <w:r w:rsidRPr="00F207B2">
        <w:rPr>
          <w:rFonts w:ascii="Garamond" w:hAnsi="Garamond"/>
          <w:b w:val="0"/>
          <w:sz w:val="22"/>
          <w:szCs w:val="22"/>
        </w:rPr>
        <w:t>Ní Aoláin, F. N., Haynes, D. F., &amp; Cahn, N. (2011). On the frontlines: gender, war, and the post-conflict process. Oxford: Oxford University Press.ou</w:t>
      </w:r>
    </w:p>
  </w:endnote>
  <w:endnote w:id="23">
    <w:p w14:paraId="0347E974" w14:textId="7089370C" w:rsidR="00076158" w:rsidRPr="00F207B2" w:rsidRDefault="00076158">
      <w:pPr>
        <w:pStyle w:val="EndnoteText"/>
        <w:rPr>
          <w:rFonts w:ascii="Garamond" w:eastAsia="Times New Roman" w:hAnsi="Garamond" w:cs="Times New Roman"/>
          <w:sz w:val="22"/>
          <w:szCs w:val="22"/>
        </w:rPr>
      </w:pPr>
      <w:r w:rsidRPr="00F207B2">
        <w:rPr>
          <w:rStyle w:val="EndnoteReference"/>
          <w:rFonts w:ascii="Garamond" w:hAnsi="Garamond"/>
          <w:sz w:val="22"/>
          <w:szCs w:val="22"/>
        </w:rPr>
        <w:endnoteRef/>
      </w:r>
      <w:r>
        <w:rPr>
          <w:rFonts w:ascii="Garamond" w:hAnsi="Garamond"/>
          <w:sz w:val="22"/>
          <w:szCs w:val="22"/>
        </w:rPr>
        <w:t xml:space="preserve"> Byrne and McCulloch, </w:t>
      </w:r>
      <w:r>
        <w:rPr>
          <w:rFonts w:ascii="Garamond" w:eastAsia="Times New Roman" w:hAnsi="Garamond" w:cs="Times New Roman"/>
          <w:sz w:val="22"/>
          <w:szCs w:val="22"/>
        </w:rPr>
        <w:t>2012</w:t>
      </w:r>
      <w:r w:rsidRPr="00F207B2">
        <w:rPr>
          <w:rFonts w:ascii="Garamond" w:eastAsia="Times New Roman" w:hAnsi="Garamond" w:cs="Times New Roman"/>
          <w:sz w:val="22"/>
          <w:szCs w:val="22"/>
        </w:rPr>
        <w:t>, p. 566.</w:t>
      </w:r>
    </w:p>
    <w:p w14:paraId="66A3B5AC" w14:textId="77777777" w:rsidR="00076158" w:rsidRPr="00F207B2" w:rsidRDefault="00076158">
      <w:pPr>
        <w:pStyle w:val="EndnoteText"/>
        <w:rPr>
          <w:rFonts w:ascii="Garamond" w:hAnsi="Garamond"/>
          <w:sz w:val="22"/>
          <w:szCs w:val="22"/>
        </w:rPr>
      </w:pPr>
    </w:p>
  </w:endnote>
  <w:endnote w:id="24">
    <w:p w14:paraId="062D7050" w14:textId="21D17DA7" w:rsidR="00076158" w:rsidRPr="00F207B2" w:rsidRDefault="00076158">
      <w:pPr>
        <w:pStyle w:val="EndnoteText"/>
        <w:rPr>
          <w:rFonts w:ascii="Garamond" w:hAnsi="Garamond"/>
          <w:sz w:val="22"/>
          <w:szCs w:val="22"/>
        </w:rPr>
      </w:pPr>
      <w:r w:rsidRPr="00F207B2">
        <w:rPr>
          <w:rStyle w:val="EndnoteReference"/>
          <w:rFonts w:ascii="Garamond" w:hAnsi="Garamond"/>
          <w:sz w:val="22"/>
          <w:szCs w:val="22"/>
        </w:rPr>
        <w:endnoteRef/>
      </w:r>
      <w:r w:rsidRPr="00F207B2">
        <w:rPr>
          <w:rFonts w:ascii="Garamond" w:hAnsi="Garamond"/>
          <w:sz w:val="22"/>
          <w:szCs w:val="22"/>
        </w:rPr>
        <w:t xml:space="preserve"> Ibid.</w:t>
      </w:r>
    </w:p>
    <w:p w14:paraId="7CCE2457" w14:textId="77777777" w:rsidR="00076158" w:rsidRPr="00F207B2" w:rsidRDefault="00076158">
      <w:pPr>
        <w:pStyle w:val="EndnoteText"/>
        <w:rPr>
          <w:rFonts w:ascii="Garamond" w:hAnsi="Garamond"/>
          <w:sz w:val="22"/>
          <w:szCs w:val="22"/>
        </w:rPr>
      </w:pPr>
    </w:p>
  </w:endnote>
  <w:endnote w:id="25">
    <w:p w14:paraId="253F5193" w14:textId="09C8C3A1" w:rsidR="00076158" w:rsidRPr="00055A7F" w:rsidRDefault="00076158" w:rsidP="00055A7F">
      <w:pPr>
        <w:spacing w:after="120" w:line="276" w:lineRule="auto"/>
        <w:jc w:val="both"/>
        <w:rPr>
          <w:rFonts w:ascii="Garamond" w:hAnsi="Garamond"/>
        </w:rPr>
      </w:pPr>
      <w:r w:rsidRPr="00F207B2">
        <w:rPr>
          <w:rStyle w:val="EndnoteReference"/>
          <w:rFonts w:ascii="Garamond" w:hAnsi="Garamond"/>
        </w:rPr>
        <w:endnoteRef/>
      </w:r>
      <w:r>
        <w:rPr>
          <w:rFonts w:ascii="Garamond" w:hAnsi="Garamond"/>
        </w:rPr>
        <w:t xml:space="preserve"> Korac, M., 2006,</w:t>
      </w:r>
      <w:r w:rsidRPr="00F207B2">
        <w:rPr>
          <w:rFonts w:ascii="Garamond" w:hAnsi="Garamond"/>
        </w:rPr>
        <w:t xml:space="preserve"> Gender, conflict and peace-building: Lessons from the conflict in the former Yugoslavia. </w:t>
      </w:r>
      <w:r w:rsidRPr="00F207B2">
        <w:rPr>
          <w:rFonts w:ascii="Garamond" w:hAnsi="Garamond"/>
          <w:i/>
        </w:rPr>
        <w:t>Women's Studies International Forum</w:t>
      </w:r>
      <w:r w:rsidRPr="00F207B2">
        <w:rPr>
          <w:rFonts w:ascii="Garamond" w:hAnsi="Garamond"/>
        </w:rPr>
        <w:t xml:space="preserve"> (Vol. 29,</w:t>
      </w:r>
      <w:r>
        <w:rPr>
          <w:rFonts w:ascii="Garamond" w:hAnsi="Garamond"/>
        </w:rPr>
        <w:t xml:space="preserve"> No. 5, pp. 510-520). Pergamon.</w:t>
      </w:r>
    </w:p>
  </w:endnote>
  <w:endnote w:id="26">
    <w:p w14:paraId="590C9459" w14:textId="2E8237C0" w:rsidR="00076158" w:rsidRPr="00F207B2" w:rsidRDefault="00076158">
      <w:pPr>
        <w:pStyle w:val="EndnoteText"/>
        <w:rPr>
          <w:rFonts w:ascii="Garamond" w:hAnsi="Garamond"/>
          <w:sz w:val="22"/>
          <w:szCs w:val="22"/>
        </w:rPr>
      </w:pPr>
      <w:r w:rsidRPr="00F207B2">
        <w:rPr>
          <w:rStyle w:val="EndnoteReference"/>
          <w:rFonts w:ascii="Garamond" w:hAnsi="Garamond"/>
          <w:sz w:val="22"/>
          <w:szCs w:val="22"/>
        </w:rPr>
        <w:endnoteRef/>
      </w:r>
      <w:r>
        <w:rPr>
          <w:rFonts w:ascii="Garamond" w:hAnsi="Garamond"/>
          <w:sz w:val="22"/>
          <w:szCs w:val="22"/>
        </w:rPr>
        <w:t xml:space="preserve"> Deiana, 2016.</w:t>
      </w:r>
    </w:p>
    <w:p w14:paraId="53044D8E" w14:textId="77777777" w:rsidR="00076158" w:rsidRPr="00F207B2" w:rsidRDefault="00076158">
      <w:pPr>
        <w:pStyle w:val="EndnoteText"/>
        <w:rPr>
          <w:rFonts w:ascii="Garamond" w:hAnsi="Garamond"/>
          <w:sz w:val="22"/>
          <w:szCs w:val="22"/>
        </w:rPr>
      </w:pPr>
    </w:p>
  </w:endnote>
  <w:endnote w:id="27">
    <w:p w14:paraId="2F8B0572" w14:textId="0B583977" w:rsidR="00076158" w:rsidRPr="00F207B2" w:rsidRDefault="00076158">
      <w:pPr>
        <w:pStyle w:val="EndnoteText"/>
        <w:rPr>
          <w:rFonts w:ascii="Garamond" w:hAnsi="Garamond"/>
          <w:sz w:val="22"/>
          <w:szCs w:val="22"/>
        </w:rPr>
      </w:pPr>
      <w:r w:rsidRPr="00F207B2">
        <w:rPr>
          <w:rStyle w:val="EndnoteReference"/>
          <w:rFonts w:ascii="Garamond" w:hAnsi="Garamond"/>
          <w:sz w:val="22"/>
          <w:szCs w:val="22"/>
        </w:rPr>
        <w:endnoteRef/>
      </w:r>
      <w:r w:rsidRPr="00F207B2">
        <w:rPr>
          <w:rFonts w:ascii="Garamond" w:hAnsi="Garamond"/>
          <w:sz w:val="22"/>
          <w:szCs w:val="22"/>
        </w:rPr>
        <w:t xml:space="preserve"> Kennedy et al, p. 619.</w:t>
      </w:r>
    </w:p>
    <w:p w14:paraId="52A143B3" w14:textId="77777777" w:rsidR="00076158" w:rsidRPr="00F207B2" w:rsidRDefault="00076158">
      <w:pPr>
        <w:pStyle w:val="EndnoteText"/>
        <w:rPr>
          <w:rFonts w:ascii="Garamond" w:hAnsi="Garamond"/>
          <w:sz w:val="22"/>
          <w:szCs w:val="22"/>
        </w:rPr>
      </w:pPr>
    </w:p>
  </w:endnote>
  <w:endnote w:id="28">
    <w:p w14:paraId="6D5A1425" w14:textId="25688AA9" w:rsidR="00076158" w:rsidRPr="00F207B2" w:rsidRDefault="00076158">
      <w:pPr>
        <w:pStyle w:val="EndnoteText"/>
        <w:rPr>
          <w:rFonts w:ascii="Garamond" w:eastAsia="Times New Roman" w:hAnsi="Garamond" w:cs="Times New Roman"/>
          <w:sz w:val="22"/>
          <w:szCs w:val="22"/>
        </w:rPr>
      </w:pPr>
      <w:r w:rsidRPr="00F207B2">
        <w:rPr>
          <w:rStyle w:val="EndnoteReference"/>
          <w:rFonts w:ascii="Garamond" w:hAnsi="Garamond"/>
          <w:sz w:val="22"/>
          <w:szCs w:val="22"/>
        </w:rPr>
        <w:endnoteRef/>
      </w:r>
      <w:r w:rsidRPr="00F207B2">
        <w:rPr>
          <w:rFonts w:ascii="Garamond" w:hAnsi="Garamond"/>
          <w:sz w:val="22"/>
          <w:szCs w:val="22"/>
        </w:rPr>
        <w:t xml:space="preserve"> </w:t>
      </w:r>
      <w:r w:rsidRPr="00F207B2">
        <w:rPr>
          <w:rFonts w:ascii="Garamond" w:eastAsia="Times New Roman" w:hAnsi="Garamond" w:cs="Times New Roman"/>
          <w:sz w:val="22"/>
          <w:szCs w:val="22"/>
        </w:rPr>
        <w:t>Ibid, p. 624.</w:t>
      </w:r>
    </w:p>
    <w:p w14:paraId="369C3DC7" w14:textId="77777777" w:rsidR="00076158" w:rsidRPr="00F207B2" w:rsidRDefault="00076158">
      <w:pPr>
        <w:pStyle w:val="EndnoteText"/>
        <w:rPr>
          <w:rFonts w:ascii="Garamond" w:hAnsi="Garamond"/>
          <w:sz w:val="22"/>
          <w:szCs w:val="22"/>
        </w:rPr>
      </w:pPr>
    </w:p>
  </w:endnote>
  <w:endnote w:id="29">
    <w:p w14:paraId="4C27810B" w14:textId="4E08D73B" w:rsidR="00076158" w:rsidRPr="004B2F83" w:rsidRDefault="00076158" w:rsidP="004B2F83">
      <w:pPr>
        <w:spacing w:after="120" w:line="276" w:lineRule="auto"/>
        <w:jc w:val="both"/>
        <w:rPr>
          <w:rFonts w:ascii="Garamond" w:hAnsi="Garamond"/>
        </w:rPr>
      </w:pPr>
      <w:r w:rsidRPr="004B2F83">
        <w:rPr>
          <w:rStyle w:val="EndnoteReference"/>
          <w:rFonts w:ascii="Garamond" w:hAnsi="Garamond"/>
        </w:rPr>
        <w:endnoteRef/>
      </w:r>
      <w:r w:rsidRPr="004B2F83">
        <w:rPr>
          <w:rFonts w:ascii="Garamond" w:hAnsi="Garamond"/>
        </w:rPr>
        <w:t xml:space="preserve"> </w:t>
      </w:r>
      <w:r w:rsidRPr="004B2F83">
        <w:rPr>
          <w:rFonts w:ascii="Garamond" w:eastAsia="Times New Roman" w:hAnsi="Garamond" w:cs="Times New Roman"/>
        </w:rPr>
        <w:t xml:space="preserve">Byrne and McCulloch, 2012; </w:t>
      </w:r>
      <w:r>
        <w:rPr>
          <w:rFonts w:ascii="Garamond" w:hAnsi="Garamond"/>
        </w:rPr>
        <w:t>Mackay, Fiona and Cera Murtagh, 2017,</w:t>
      </w:r>
      <w:r w:rsidRPr="004B2F83">
        <w:rPr>
          <w:rFonts w:ascii="Garamond" w:hAnsi="Garamond"/>
        </w:rPr>
        <w:t xml:space="preserve"> New Institutions, New Gender Rules? A feminist institutionalist lens on women and power-sharing, paper delivered at the FIIN conference, University of Manchester, March 2017. On file with the authors.</w:t>
      </w:r>
    </w:p>
  </w:endnote>
  <w:endnote w:id="30">
    <w:p w14:paraId="474348BC" w14:textId="216B42D1" w:rsidR="00076158" w:rsidRPr="00F207B2" w:rsidRDefault="00076158" w:rsidP="00055A7F">
      <w:pPr>
        <w:spacing w:after="120" w:line="276" w:lineRule="auto"/>
        <w:jc w:val="both"/>
        <w:rPr>
          <w:rFonts w:ascii="Garamond" w:hAnsi="Garamond"/>
        </w:rPr>
      </w:pPr>
      <w:r w:rsidRPr="00F207B2">
        <w:rPr>
          <w:rStyle w:val="EndnoteReference"/>
          <w:rFonts w:ascii="Garamond" w:hAnsi="Garamond"/>
        </w:rPr>
        <w:endnoteRef/>
      </w:r>
      <w:r>
        <w:rPr>
          <w:rFonts w:ascii="Garamond" w:hAnsi="Garamond"/>
        </w:rPr>
        <w:t xml:space="preserve"> Bell, C., 2015,</w:t>
      </w:r>
      <w:r w:rsidRPr="00F207B2">
        <w:rPr>
          <w:rFonts w:ascii="Garamond" w:hAnsi="Garamond"/>
        </w:rPr>
        <w:t xml:space="preserve"> Unsettling Bargains? Power-sharing and the Inclusion of Women in Peace Negotiations, Report for the Political Settlements Research Programme, </w:t>
      </w:r>
      <w:hyperlink r:id="rId6" w:history="1">
        <w:r w:rsidRPr="00F207B2">
          <w:rPr>
            <w:rStyle w:val="Hyperlink"/>
            <w:rFonts w:ascii="Garamond" w:hAnsi="Garamond"/>
          </w:rPr>
          <w:t>http://www.politicalsettlements.org/files/2016/05/20151008_R_Bell_GJA_Unsettling-Bargains.pdf. Accessed 03/05/17</w:t>
        </w:r>
      </w:hyperlink>
      <w:r>
        <w:rPr>
          <w:rFonts w:ascii="Garamond" w:hAnsi="Garamond"/>
        </w:rPr>
        <w:t xml:space="preserve">. P. 2. </w:t>
      </w:r>
    </w:p>
  </w:endnote>
  <w:endnote w:id="31">
    <w:p w14:paraId="404FDDA1" w14:textId="2A2408A9" w:rsidR="00076158" w:rsidRPr="00055A7F" w:rsidRDefault="00076158" w:rsidP="00055A7F">
      <w:pPr>
        <w:autoSpaceDE w:val="0"/>
        <w:autoSpaceDN w:val="0"/>
        <w:adjustRightInd w:val="0"/>
        <w:spacing w:after="120" w:line="276" w:lineRule="auto"/>
        <w:rPr>
          <w:rFonts w:ascii="Garamond" w:hAnsi="Garamond" w:cs="Times New Roman"/>
        </w:rPr>
      </w:pPr>
      <w:r w:rsidRPr="00F207B2">
        <w:rPr>
          <w:rStyle w:val="EndnoteReference"/>
          <w:rFonts w:ascii="Garamond" w:hAnsi="Garamond"/>
        </w:rPr>
        <w:endnoteRef/>
      </w:r>
      <w:r w:rsidRPr="00F207B2">
        <w:rPr>
          <w:rFonts w:ascii="Garamond" w:hAnsi="Garamond"/>
        </w:rPr>
        <w:t xml:space="preserve"> </w:t>
      </w:r>
      <w:r w:rsidRPr="00060947">
        <w:rPr>
          <w:rFonts w:ascii="Garamond" w:hAnsi="Garamond" w:cs="Times New Roman"/>
        </w:rPr>
        <w:t>Turshen, M. (2001). The political economy of rape: An analysis of systematic rape and sexual abuse of women during armed conflict in Africa (pp. 55-68) in Meintjes, Sheila, Anu Pillay and Merdeth Turshen (ed.s) (2001),</w:t>
      </w:r>
      <w:r w:rsidRPr="00060947">
        <w:rPr>
          <w:rFonts w:ascii="Garamond" w:hAnsi="Garamond" w:cs="Times New Roman"/>
          <w:i/>
        </w:rPr>
        <w:t xml:space="preserve"> The Aftermath: Women in post-conflict transformation</w:t>
      </w:r>
      <w:r w:rsidRPr="00060947">
        <w:rPr>
          <w:rFonts w:ascii="Garamond" w:hAnsi="Garamond" w:cs="Times New Roman"/>
        </w:rPr>
        <w:t>, London: Zed., pp. 87-89</w:t>
      </w:r>
      <w:r w:rsidR="00060947">
        <w:rPr>
          <w:rFonts w:ascii="Garamond" w:hAnsi="Garamond" w:cs="Times New Roman"/>
        </w:rPr>
        <w:t xml:space="preserve"> </w:t>
      </w:r>
      <w:bookmarkStart w:id="0" w:name="_GoBack"/>
      <w:bookmarkEnd w:id="0"/>
    </w:p>
  </w:endnote>
  <w:endnote w:id="32">
    <w:p w14:paraId="3E5D4FB5" w14:textId="114FBE86" w:rsidR="00076158" w:rsidRPr="00F207B2" w:rsidRDefault="00076158" w:rsidP="00142BEE">
      <w:pPr>
        <w:spacing w:after="120" w:line="276" w:lineRule="auto"/>
        <w:outlineLvl w:val="0"/>
        <w:rPr>
          <w:rFonts w:ascii="Garamond" w:eastAsia="Times New Roman" w:hAnsi="Garamond" w:cs="Times New Roman"/>
          <w:lang w:eastAsia="en-GB"/>
        </w:rPr>
      </w:pPr>
      <w:r w:rsidRPr="00F207B2">
        <w:rPr>
          <w:rStyle w:val="EndnoteReference"/>
          <w:rFonts w:ascii="Garamond" w:hAnsi="Garamond"/>
        </w:rPr>
        <w:endnoteRef/>
      </w:r>
      <w:r w:rsidRPr="00F207B2">
        <w:rPr>
          <w:rFonts w:ascii="Garamond" w:hAnsi="Garamond"/>
        </w:rPr>
        <w:t xml:space="preserve"> </w:t>
      </w:r>
      <w:r>
        <w:rPr>
          <w:rFonts w:ascii="Garamond" w:eastAsia="Times New Roman" w:hAnsi="Garamond" w:cs="Times New Roman"/>
          <w:lang w:eastAsia="en-GB"/>
        </w:rPr>
        <w:t>Sharoni, S., 2001,</w:t>
      </w:r>
      <w:r w:rsidRPr="00F207B2">
        <w:rPr>
          <w:rFonts w:ascii="Garamond" w:eastAsia="Times New Roman" w:hAnsi="Garamond" w:cs="Times New Roman"/>
          <w:lang w:eastAsia="en-GB"/>
        </w:rPr>
        <w:t xml:space="preserve"> Rethinking women's struggles in Israel–Palestine and in the north of Ireland. Meintjes, Sheila, Anu Pillay and Merdeth Turshen (ed.s), 2001, </w:t>
      </w:r>
      <w:r w:rsidRPr="00F207B2">
        <w:rPr>
          <w:rFonts w:ascii="Garamond" w:eastAsia="Times New Roman" w:hAnsi="Garamond" w:cs="Times New Roman"/>
          <w:i/>
          <w:lang w:eastAsia="en-GB"/>
        </w:rPr>
        <w:t>The Aftermath: Women in post-conflict transformation</w:t>
      </w:r>
      <w:r w:rsidRPr="00F207B2">
        <w:rPr>
          <w:rFonts w:ascii="Garamond" w:eastAsia="Times New Roman" w:hAnsi="Garamond" w:cs="Times New Roman"/>
          <w:lang w:eastAsia="en-GB"/>
        </w:rPr>
        <w:t>, London: Zed.</w:t>
      </w:r>
    </w:p>
    <w:p w14:paraId="54DB91E5" w14:textId="77777777" w:rsidR="00076158" w:rsidRPr="00F207B2" w:rsidRDefault="00076158">
      <w:pPr>
        <w:pStyle w:val="EndnoteText"/>
        <w:rPr>
          <w:rFonts w:ascii="Garamond" w:hAnsi="Garamond"/>
          <w:sz w:val="22"/>
          <w:szCs w:val="22"/>
        </w:rPr>
      </w:pPr>
    </w:p>
  </w:endnote>
  <w:endnote w:id="33">
    <w:p w14:paraId="401D33E7" w14:textId="4D8C0C9D" w:rsidR="00076158" w:rsidRPr="00F207B2" w:rsidRDefault="00076158" w:rsidP="00142BEE">
      <w:pPr>
        <w:spacing w:after="120" w:line="276" w:lineRule="auto"/>
        <w:jc w:val="both"/>
        <w:rPr>
          <w:rFonts w:ascii="Garamond" w:hAnsi="Garamond"/>
        </w:rPr>
      </w:pPr>
      <w:r w:rsidRPr="00F207B2">
        <w:rPr>
          <w:rStyle w:val="EndnoteReference"/>
          <w:rFonts w:ascii="Garamond" w:hAnsi="Garamond"/>
        </w:rPr>
        <w:endnoteRef/>
      </w:r>
      <w:r>
        <w:rPr>
          <w:rFonts w:ascii="Garamond" w:hAnsi="Garamond"/>
        </w:rPr>
        <w:t xml:space="preserve"> Anderson, 2016. </w:t>
      </w:r>
    </w:p>
    <w:p w14:paraId="55455518" w14:textId="77777777" w:rsidR="00076158" w:rsidRPr="00F207B2" w:rsidRDefault="00076158">
      <w:pPr>
        <w:pStyle w:val="EndnoteText"/>
        <w:rPr>
          <w:rFonts w:ascii="Garamond" w:hAnsi="Garamond"/>
          <w:sz w:val="22"/>
          <w:szCs w:val="22"/>
        </w:rPr>
      </w:pPr>
    </w:p>
  </w:endnote>
  <w:endnote w:id="34">
    <w:p w14:paraId="54F081F6" w14:textId="0091B23B" w:rsidR="00076158" w:rsidRPr="00F207B2" w:rsidRDefault="00076158" w:rsidP="00055A7F">
      <w:pPr>
        <w:spacing w:line="276" w:lineRule="auto"/>
        <w:jc w:val="both"/>
        <w:rPr>
          <w:rFonts w:ascii="Garamond" w:hAnsi="Garamond"/>
        </w:rPr>
      </w:pPr>
      <w:r w:rsidRPr="00F207B2">
        <w:rPr>
          <w:rStyle w:val="EndnoteReference"/>
          <w:rFonts w:ascii="Garamond" w:hAnsi="Garamond"/>
        </w:rPr>
        <w:endnoteRef/>
      </w:r>
      <w:r>
        <w:rPr>
          <w:rFonts w:ascii="Garamond" w:hAnsi="Garamond"/>
        </w:rPr>
        <w:t xml:space="preserve"> Anderlini, S. N., 2007,</w:t>
      </w:r>
      <w:r w:rsidRPr="00F207B2">
        <w:rPr>
          <w:rFonts w:ascii="Garamond" w:hAnsi="Garamond"/>
        </w:rPr>
        <w:t xml:space="preserve"> Women Building Peace: What they do,</w:t>
      </w:r>
      <w:r>
        <w:rPr>
          <w:rFonts w:ascii="Garamond" w:hAnsi="Garamond"/>
        </w:rPr>
        <w:t xml:space="preserve"> why it matters. Lynne Rienner.</w:t>
      </w:r>
    </w:p>
  </w:endnote>
  <w:endnote w:id="35">
    <w:p w14:paraId="04D514EC" w14:textId="2CCCBA9C" w:rsidR="00076158" w:rsidRPr="00F207B2" w:rsidRDefault="00076158">
      <w:pPr>
        <w:pStyle w:val="EndnoteText"/>
        <w:rPr>
          <w:rFonts w:ascii="Garamond" w:hAnsi="Garamond"/>
          <w:sz w:val="22"/>
          <w:szCs w:val="22"/>
        </w:rPr>
      </w:pPr>
      <w:r w:rsidRPr="00F207B2">
        <w:rPr>
          <w:rStyle w:val="EndnoteReference"/>
          <w:rFonts w:ascii="Garamond" w:hAnsi="Garamond"/>
          <w:sz w:val="22"/>
          <w:szCs w:val="22"/>
        </w:rPr>
        <w:endnoteRef/>
      </w:r>
      <w:r>
        <w:rPr>
          <w:rFonts w:ascii="Garamond" w:hAnsi="Garamond"/>
          <w:sz w:val="22"/>
          <w:szCs w:val="22"/>
        </w:rPr>
        <w:t xml:space="preserve"> Anderson, 2010</w:t>
      </w:r>
      <w:r w:rsidRPr="00F207B2">
        <w:rPr>
          <w:rFonts w:ascii="Garamond" w:hAnsi="Garamond"/>
          <w:sz w:val="22"/>
          <w:szCs w:val="22"/>
        </w:rPr>
        <w:t>.</w:t>
      </w:r>
    </w:p>
    <w:p w14:paraId="5D641BA8" w14:textId="77777777" w:rsidR="00076158" w:rsidRPr="00F207B2" w:rsidRDefault="00076158">
      <w:pPr>
        <w:pStyle w:val="EndnoteText"/>
        <w:rPr>
          <w:rFonts w:ascii="Garamond" w:hAnsi="Garamond"/>
          <w:sz w:val="22"/>
          <w:szCs w:val="22"/>
        </w:rPr>
      </w:pPr>
    </w:p>
  </w:endnote>
  <w:endnote w:id="36">
    <w:p w14:paraId="508E57E5" w14:textId="09C3B8F3" w:rsidR="00076158" w:rsidRPr="00F207B2" w:rsidRDefault="00076158" w:rsidP="00055A7F">
      <w:pPr>
        <w:spacing w:after="120" w:line="276" w:lineRule="auto"/>
        <w:jc w:val="both"/>
        <w:rPr>
          <w:rFonts w:ascii="Garamond" w:hAnsi="Garamond"/>
        </w:rPr>
      </w:pPr>
      <w:r w:rsidRPr="00F207B2">
        <w:rPr>
          <w:rStyle w:val="EndnoteReference"/>
          <w:rFonts w:ascii="Garamond" w:hAnsi="Garamond"/>
        </w:rPr>
        <w:endnoteRef/>
      </w:r>
      <w:r>
        <w:rPr>
          <w:rFonts w:ascii="Garamond" w:hAnsi="Garamond"/>
        </w:rPr>
        <w:t xml:space="preserve"> Cockburn, C., 1998,</w:t>
      </w:r>
      <w:r w:rsidRPr="00F207B2">
        <w:rPr>
          <w:rFonts w:ascii="Garamond" w:hAnsi="Garamond"/>
        </w:rPr>
        <w:t xml:space="preserve"> </w:t>
      </w:r>
      <w:r w:rsidRPr="00F207B2">
        <w:rPr>
          <w:rFonts w:ascii="Garamond" w:hAnsi="Garamond"/>
          <w:i/>
        </w:rPr>
        <w:t>The space between us: Negotiating gender and national identities in conflict.</w:t>
      </w:r>
      <w:r>
        <w:rPr>
          <w:rFonts w:ascii="Garamond" w:hAnsi="Garamond"/>
        </w:rPr>
        <w:t xml:space="preserve"> London: Zed books.</w:t>
      </w:r>
    </w:p>
  </w:endnote>
  <w:endnote w:id="37">
    <w:p w14:paraId="55DB1137" w14:textId="085A0D75" w:rsidR="00076158" w:rsidRPr="00F207B2" w:rsidRDefault="00076158">
      <w:pPr>
        <w:pStyle w:val="EndnoteText"/>
        <w:rPr>
          <w:rFonts w:ascii="Garamond" w:hAnsi="Garamond"/>
          <w:sz w:val="22"/>
          <w:szCs w:val="22"/>
        </w:rPr>
      </w:pPr>
      <w:r w:rsidRPr="00F207B2">
        <w:rPr>
          <w:rStyle w:val="EndnoteReference"/>
          <w:rFonts w:ascii="Garamond" w:hAnsi="Garamond"/>
          <w:sz w:val="22"/>
          <w:szCs w:val="22"/>
        </w:rPr>
        <w:endnoteRef/>
      </w:r>
      <w:r w:rsidRPr="00F207B2">
        <w:rPr>
          <w:rFonts w:ascii="Garamond" w:hAnsi="Garamond"/>
          <w:sz w:val="22"/>
          <w:szCs w:val="22"/>
        </w:rPr>
        <w:t xml:space="preserve"> Ibid, 171.</w:t>
      </w:r>
    </w:p>
    <w:p w14:paraId="01C2EBEB" w14:textId="77777777" w:rsidR="00076158" w:rsidRPr="00F207B2" w:rsidRDefault="00076158">
      <w:pPr>
        <w:pStyle w:val="EndnoteText"/>
        <w:rPr>
          <w:rFonts w:ascii="Garamond" w:hAnsi="Garamond"/>
          <w:sz w:val="22"/>
          <w:szCs w:val="22"/>
        </w:rPr>
      </w:pPr>
    </w:p>
  </w:endnote>
  <w:endnote w:id="38">
    <w:p w14:paraId="035A8959" w14:textId="03E28326" w:rsidR="00076158" w:rsidRPr="00060947" w:rsidRDefault="00076158" w:rsidP="001F51F7">
      <w:pPr>
        <w:pStyle w:val="EndnoteText"/>
        <w:rPr>
          <w:rFonts w:ascii="Garamond" w:hAnsi="Garamond"/>
          <w:sz w:val="22"/>
          <w:szCs w:val="22"/>
        </w:rPr>
      </w:pPr>
      <w:r>
        <w:rPr>
          <w:rStyle w:val="EndnoteReference"/>
        </w:rPr>
        <w:endnoteRef/>
      </w:r>
      <w:r>
        <w:t xml:space="preserve"> </w:t>
      </w:r>
      <w:r w:rsidRPr="00060947">
        <w:rPr>
          <w:rFonts w:ascii="Garamond" w:hAnsi="Garamond"/>
          <w:sz w:val="22"/>
          <w:szCs w:val="22"/>
        </w:rPr>
        <w:t>Ashe, F. (2006). The Virgin Mary connection: reflecting on feminism and Northern Irish politics. Critical Review of International Social and Political Philosophy. 9(4), p573-588.</w:t>
      </w:r>
    </w:p>
    <w:p w14:paraId="23CE087F" w14:textId="77777777" w:rsidR="00076158" w:rsidRDefault="00076158" w:rsidP="001F51F7">
      <w:pPr>
        <w:pStyle w:val="EndnoteText"/>
      </w:pPr>
    </w:p>
  </w:endnote>
  <w:endnote w:id="39">
    <w:p w14:paraId="68D53E95" w14:textId="7466339A" w:rsidR="00076158" w:rsidRPr="00F207B2" w:rsidRDefault="00076158" w:rsidP="002B3EE7">
      <w:pPr>
        <w:spacing w:after="120" w:line="276" w:lineRule="auto"/>
        <w:jc w:val="both"/>
        <w:rPr>
          <w:rFonts w:ascii="Garamond" w:hAnsi="Garamond"/>
        </w:rPr>
      </w:pPr>
      <w:r w:rsidRPr="00F207B2">
        <w:rPr>
          <w:rStyle w:val="EndnoteReference"/>
          <w:rFonts w:ascii="Garamond" w:hAnsi="Garamond"/>
        </w:rPr>
        <w:endnoteRef/>
      </w:r>
      <w:r>
        <w:rPr>
          <w:rFonts w:ascii="Garamond" w:hAnsi="Garamond"/>
        </w:rPr>
        <w:t xml:space="preserve"> Confortini, C. C., 2012,</w:t>
      </w:r>
      <w:r w:rsidRPr="00F207B2">
        <w:rPr>
          <w:rFonts w:ascii="Garamond" w:hAnsi="Garamond"/>
        </w:rPr>
        <w:t xml:space="preserve"> </w:t>
      </w:r>
      <w:r w:rsidRPr="00F207B2">
        <w:rPr>
          <w:rFonts w:ascii="Garamond" w:hAnsi="Garamond"/>
          <w:i/>
        </w:rPr>
        <w:t>Intelligent Compassion: Feminist Critical Methodology in the Women's International League for Peace and Freedom</w:t>
      </w:r>
      <w:r w:rsidRPr="00F207B2">
        <w:rPr>
          <w:rFonts w:ascii="Garamond" w:hAnsi="Garamond"/>
        </w:rPr>
        <w:t>. Oxford University Press.</w:t>
      </w:r>
    </w:p>
    <w:p w14:paraId="0467C138" w14:textId="220DA422" w:rsidR="00076158" w:rsidRPr="00F207B2" w:rsidRDefault="00076158">
      <w:pPr>
        <w:pStyle w:val="EndnoteText"/>
        <w:rPr>
          <w:rFonts w:ascii="Garamond" w:hAnsi="Garamond"/>
          <w:sz w:val="22"/>
          <w:szCs w:val="22"/>
        </w:rPr>
      </w:pPr>
    </w:p>
  </w:endnote>
  <w:endnote w:id="40">
    <w:p w14:paraId="44FBA1B9" w14:textId="711A2EBE" w:rsidR="00076158" w:rsidRDefault="00076158" w:rsidP="001F51F7">
      <w:pPr>
        <w:pStyle w:val="EndnoteText"/>
        <w:rPr>
          <w:rFonts w:ascii="Garamond" w:hAnsi="Garamond"/>
          <w:sz w:val="22"/>
          <w:szCs w:val="22"/>
        </w:rPr>
      </w:pPr>
      <w:r w:rsidRPr="00060947">
        <w:rPr>
          <w:rStyle w:val="EndnoteReference"/>
          <w:rFonts w:ascii="Garamond" w:hAnsi="Garamond"/>
          <w:sz w:val="22"/>
          <w:szCs w:val="22"/>
        </w:rPr>
        <w:endnoteRef/>
      </w:r>
      <w:r w:rsidRPr="00060947">
        <w:rPr>
          <w:rFonts w:ascii="Garamond" w:hAnsi="Garamond"/>
          <w:sz w:val="22"/>
          <w:szCs w:val="22"/>
        </w:rPr>
        <w:t xml:space="preserve"> Cockburn, C. (2007). From where we stand: War, women’s activism and feminist analysis. London: Zed Books.</w:t>
      </w:r>
    </w:p>
    <w:p w14:paraId="148028DC" w14:textId="77777777" w:rsidR="00076158" w:rsidRPr="00060947" w:rsidRDefault="00076158" w:rsidP="001F51F7">
      <w:pPr>
        <w:pStyle w:val="EndnoteText"/>
        <w:rPr>
          <w:rFonts w:ascii="Garamond" w:hAnsi="Garamond"/>
          <w:sz w:val="22"/>
          <w:szCs w:val="22"/>
        </w:rPr>
      </w:pPr>
    </w:p>
  </w:endnote>
  <w:endnote w:id="41">
    <w:p w14:paraId="7895891A" w14:textId="064490EB" w:rsidR="00076158" w:rsidRPr="00F207B2" w:rsidRDefault="00076158" w:rsidP="00E5581B">
      <w:pPr>
        <w:spacing w:after="120" w:line="276" w:lineRule="auto"/>
        <w:jc w:val="both"/>
        <w:rPr>
          <w:rFonts w:ascii="Garamond" w:hAnsi="Garamond"/>
        </w:rPr>
      </w:pPr>
      <w:r w:rsidRPr="00F207B2">
        <w:rPr>
          <w:rStyle w:val="EndnoteReference"/>
          <w:rFonts w:ascii="Garamond" w:hAnsi="Garamond"/>
        </w:rPr>
        <w:endnoteRef/>
      </w:r>
      <w:r>
        <w:rPr>
          <w:rFonts w:ascii="Garamond" w:hAnsi="Garamond"/>
        </w:rPr>
        <w:t xml:space="preserve"> Bell, C. &amp; O’Rourke, C., 2010,</w:t>
      </w:r>
      <w:r w:rsidRPr="00F207B2">
        <w:rPr>
          <w:rFonts w:ascii="Garamond" w:hAnsi="Garamond"/>
        </w:rPr>
        <w:t xml:space="preserve"> Peace agreements or pieces of paper? The impact of UNSC Resolution 1325 on peace processes and their agreement. </w:t>
      </w:r>
      <w:r w:rsidRPr="00F207B2">
        <w:rPr>
          <w:rFonts w:ascii="Garamond" w:hAnsi="Garamond"/>
          <w:i/>
        </w:rPr>
        <w:t>International and Comparative Law Quarterly</w:t>
      </w:r>
      <w:r w:rsidRPr="00F207B2">
        <w:rPr>
          <w:rFonts w:ascii="Garamond" w:hAnsi="Garamond"/>
        </w:rPr>
        <w:t>. 59(4), pp. 941-80.</w:t>
      </w:r>
    </w:p>
    <w:p w14:paraId="240876A5" w14:textId="064F17F3" w:rsidR="00076158" w:rsidRPr="00F207B2" w:rsidRDefault="00076158">
      <w:pPr>
        <w:pStyle w:val="EndnoteText"/>
        <w:rPr>
          <w:rFonts w:ascii="Garamond" w:hAnsi="Garamond"/>
          <w:sz w:val="22"/>
          <w:szCs w:val="22"/>
        </w:rPr>
      </w:pPr>
    </w:p>
  </w:endnote>
  <w:endnote w:id="42">
    <w:p w14:paraId="2A2BD438" w14:textId="1E399E9A" w:rsidR="00076158" w:rsidRPr="00F207B2" w:rsidRDefault="00076158">
      <w:pPr>
        <w:pStyle w:val="EndnoteText"/>
        <w:rPr>
          <w:rFonts w:ascii="Garamond" w:hAnsi="Garamond"/>
          <w:sz w:val="22"/>
          <w:szCs w:val="22"/>
        </w:rPr>
      </w:pPr>
      <w:r w:rsidRPr="00F207B2">
        <w:rPr>
          <w:rStyle w:val="EndnoteReference"/>
          <w:rFonts w:ascii="Garamond" w:hAnsi="Garamond"/>
          <w:sz w:val="22"/>
          <w:szCs w:val="22"/>
        </w:rPr>
        <w:endnoteRef/>
      </w:r>
      <w:r>
        <w:rPr>
          <w:rFonts w:ascii="Garamond" w:hAnsi="Garamond"/>
          <w:sz w:val="22"/>
          <w:szCs w:val="22"/>
        </w:rPr>
        <w:t xml:space="preserve"> Cockburn, 1998,</w:t>
      </w:r>
      <w:r w:rsidRPr="00F207B2">
        <w:rPr>
          <w:rFonts w:ascii="Garamond" w:hAnsi="Garamond"/>
          <w:sz w:val="22"/>
          <w:szCs w:val="22"/>
        </w:rPr>
        <w:t xml:space="preserve"> p. 164.</w:t>
      </w:r>
    </w:p>
    <w:p w14:paraId="4203F31F" w14:textId="77777777" w:rsidR="00076158" w:rsidRPr="00F207B2" w:rsidRDefault="00076158">
      <w:pPr>
        <w:pStyle w:val="EndnoteText"/>
        <w:rPr>
          <w:rFonts w:ascii="Garamond" w:hAnsi="Garamond"/>
          <w:sz w:val="22"/>
          <w:szCs w:val="22"/>
        </w:rPr>
      </w:pPr>
    </w:p>
  </w:endnote>
  <w:endnote w:id="43">
    <w:p w14:paraId="4AAC8228" w14:textId="4AF5240E" w:rsidR="00076158" w:rsidRPr="005566A3" w:rsidRDefault="00076158">
      <w:pPr>
        <w:pStyle w:val="EndnoteText"/>
        <w:rPr>
          <w:rFonts w:ascii="Garamond" w:hAnsi="Garamond"/>
          <w:sz w:val="22"/>
          <w:szCs w:val="22"/>
        </w:rPr>
      </w:pPr>
      <w:r w:rsidRPr="005566A3">
        <w:rPr>
          <w:rStyle w:val="EndnoteReference"/>
          <w:rFonts w:ascii="Garamond" w:hAnsi="Garamond"/>
          <w:sz w:val="22"/>
          <w:szCs w:val="22"/>
        </w:rPr>
        <w:endnoteRef/>
      </w:r>
      <w:r w:rsidRPr="005566A3">
        <w:rPr>
          <w:rFonts w:ascii="Garamond" w:hAnsi="Garamond"/>
          <w:sz w:val="22"/>
          <w:szCs w:val="22"/>
        </w:rPr>
        <w:t xml:space="preserve"> Anderson, 2016. </w:t>
      </w:r>
    </w:p>
    <w:p w14:paraId="39751B9B" w14:textId="77777777" w:rsidR="00076158" w:rsidRDefault="00076158">
      <w:pPr>
        <w:pStyle w:val="EndnoteText"/>
      </w:pPr>
    </w:p>
  </w:endnote>
  <w:endnote w:id="44">
    <w:p w14:paraId="477D003E" w14:textId="7CFA111E" w:rsidR="00076158" w:rsidRPr="00F207B2" w:rsidRDefault="00076158">
      <w:pPr>
        <w:pStyle w:val="EndnoteText"/>
        <w:rPr>
          <w:rFonts w:ascii="Garamond" w:hAnsi="Garamond"/>
          <w:sz w:val="22"/>
          <w:szCs w:val="22"/>
        </w:rPr>
      </w:pPr>
      <w:r w:rsidRPr="00F207B2">
        <w:rPr>
          <w:rStyle w:val="EndnoteReference"/>
          <w:rFonts w:ascii="Garamond" w:hAnsi="Garamond"/>
          <w:sz w:val="22"/>
          <w:szCs w:val="22"/>
        </w:rPr>
        <w:endnoteRef/>
      </w:r>
      <w:r>
        <w:rPr>
          <w:rFonts w:ascii="Garamond" w:hAnsi="Garamond"/>
          <w:sz w:val="22"/>
          <w:szCs w:val="22"/>
        </w:rPr>
        <w:t xml:space="preserve"> Cockburn, 1998</w:t>
      </w:r>
      <w:r w:rsidRPr="00F207B2">
        <w:rPr>
          <w:rFonts w:ascii="Garamond" w:hAnsi="Garamond"/>
          <w:sz w:val="22"/>
          <w:szCs w:val="22"/>
        </w:rPr>
        <w:t xml:space="preserve">. </w:t>
      </w:r>
    </w:p>
    <w:p w14:paraId="7B7F981F" w14:textId="77777777" w:rsidR="00076158" w:rsidRPr="00F207B2" w:rsidRDefault="00076158">
      <w:pPr>
        <w:pStyle w:val="EndnoteText"/>
        <w:rPr>
          <w:rFonts w:ascii="Garamond" w:hAnsi="Garamond"/>
          <w:sz w:val="22"/>
          <w:szCs w:val="22"/>
        </w:rPr>
      </w:pPr>
    </w:p>
  </w:endnote>
  <w:endnote w:id="45">
    <w:p w14:paraId="490158B3" w14:textId="4742115B" w:rsidR="00300DE1" w:rsidRPr="00300DE1" w:rsidRDefault="00076158" w:rsidP="00300DE1">
      <w:pPr>
        <w:pStyle w:val="EndnoteText"/>
      </w:pPr>
      <w:r>
        <w:rPr>
          <w:rStyle w:val="EndnoteReference"/>
        </w:rPr>
        <w:endnoteRef/>
      </w:r>
      <w:r>
        <w:t xml:space="preserve"> Pierson, C. &amp; Thomson, J. (forthcoming) </w:t>
      </w:r>
      <w:r w:rsidR="00300DE1" w:rsidRPr="00300DE1">
        <w:t>Can abortion rights be integrated into the Women, Peace and Security agenda?</w:t>
      </w:r>
      <w:r w:rsidR="00300DE1">
        <w:t xml:space="preserve"> </w:t>
      </w:r>
      <w:r w:rsidR="00300DE1" w:rsidRPr="00060947">
        <w:rPr>
          <w:i/>
        </w:rPr>
        <w:t>International Feminist Journal of Politics</w:t>
      </w:r>
    </w:p>
    <w:p w14:paraId="7A24F254" w14:textId="6B52B815" w:rsidR="00076158" w:rsidRDefault="00076158">
      <w:pPr>
        <w:pStyle w:val="EndnoteText"/>
      </w:pPr>
    </w:p>
    <w:p w14:paraId="5F6CFF8E" w14:textId="77777777" w:rsidR="00076158" w:rsidRDefault="00076158">
      <w:pPr>
        <w:pStyle w:val="EndnoteText"/>
      </w:pPr>
    </w:p>
  </w:endnote>
  <w:endnote w:id="46">
    <w:p w14:paraId="227467DB" w14:textId="411252BF" w:rsidR="00076158" w:rsidRPr="00F207B2" w:rsidRDefault="00076158" w:rsidP="00055A7F">
      <w:pPr>
        <w:pStyle w:val="FootnoteText"/>
        <w:spacing w:before="0" w:line="276" w:lineRule="auto"/>
        <w:ind w:left="0" w:firstLine="0"/>
        <w:jc w:val="both"/>
        <w:rPr>
          <w:rFonts w:ascii="Garamond" w:hAnsi="Garamond"/>
          <w:sz w:val="22"/>
          <w:szCs w:val="22"/>
        </w:rPr>
      </w:pPr>
      <w:r w:rsidRPr="00055A7F">
        <w:rPr>
          <w:rStyle w:val="EndnoteReference"/>
          <w:rFonts w:ascii="Garamond" w:hAnsi="Garamond"/>
          <w:sz w:val="22"/>
          <w:szCs w:val="22"/>
        </w:rPr>
        <w:endnoteRef/>
      </w:r>
      <w:r w:rsidRPr="00055A7F">
        <w:rPr>
          <w:rFonts w:ascii="Garamond" w:hAnsi="Garamond"/>
          <w:sz w:val="22"/>
          <w:szCs w:val="22"/>
        </w:rPr>
        <w:t xml:space="preserve"> Ortega, L. M. D., &amp; Maria, L. (2009). Transitional justice and female ex-combatants: Lessons learned from international experience. Research Brief, International Centre for Transitional Justice, </w:t>
      </w:r>
      <w:hyperlink r:id="rId7" w:history="1">
        <w:r w:rsidRPr="00055A7F">
          <w:rPr>
            <w:rStyle w:val="Hyperlink"/>
            <w:rFonts w:ascii="Garamond" w:hAnsi="Garamond"/>
            <w:sz w:val="22"/>
            <w:szCs w:val="22"/>
          </w:rPr>
          <w:t>https://www.ictj.org/sites/default/files/ICTJ-DDR-FemaleExCombatants-ResearchBrief-2010-English.pdf</w:t>
        </w:r>
      </w:hyperlink>
      <w:r w:rsidRPr="00055A7F">
        <w:rPr>
          <w:rFonts w:ascii="Garamond" w:hAnsi="Garamond"/>
          <w:sz w:val="22"/>
          <w:szCs w:val="22"/>
        </w:rPr>
        <w:t>, accessed 26/09/17; Rol</w:t>
      </w:r>
      <w:r>
        <w:rPr>
          <w:rFonts w:ascii="Garamond" w:hAnsi="Garamond"/>
          <w:sz w:val="22"/>
          <w:szCs w:val="22"/>
        </w:rPr>
        <w:t>ston, B., 2007,</w:t>
      </w:r>
      <w:r w:rsidRPr="00055A7F">
        <w:rPr>
          <w:rFonts w:ascii="Garamond" w:hAnsi="Garamond"/>
          <w:sz w:val="22"/>
          <w:szCs w:val="22"/>
        </w:rPr>
        <w:t xml:space="preserve"> Demobilization and reintegration of ex-combatants: The Irish case in international perspective. </w:t>
      </w:r>
      <w:r w:rsidRPr="00055A7F">
        <w:rPr>
          <w:rFonts w:ascii="Garamond" w:hAnsi="Garamond"/>
          <w:i/>
          <w:sz w:val="22"/>
          <w:szCs w:val="22"/>
        </w:rPr>
        <w:t>Social &amp; Legal Studies</w:t>
      </w:r>
      <w:r w:rsidRPr="00055A7F">
        <w:rPr>
          <w:rFonts w:ascii="Garamond" w:hAnsi="Garamond"/>
          <w:sz w:val="22"/>
          <w:szCs w:val="22"/>
        </w:rPr>
        <w:t>, 16(2), 259-280.</w:t>
      </w:r>
    </w:p>
  </w:endnote>
  <w:endnote w:id="47">
    <w:p w14:paraId="783216EE" w14:textId="59C0619A" w:rsidR="00076158" w:rsidRPr="00F207B2" w:rsidRDefault="00076158" w:rsidP="002B3EE7">
      <w:pPr>
        <w:spacing w:after="120" w:line="276" w:lineRule="auto"/>
        <w:jc w:val="both"/>
        <w:rPr>
          <w:rFonts w:ascii="Garamond" w:hAnsi="Garamond"/>
        </w:rPr>
      </w:pPr>
      <w:r w:rsidRPr="00F207B2">
        <w:rPr>
          <w:rStyle w:val="EndnoteReference"/>
          <w:rFonts w:ascii="Garamond" w:hAnsi="Garamond"/>
        </w:rPr>
        <w:endnoteRef/>
      </w:r>
      <w:r w:rsidRPr="00F207B2">
        <w:rPr>
          <w:rFonts w:ascii="Garamond" w:hAnsi="Garamond"/>
        </w:rPr>
        <w:t xml:space="preserve"> Bose, Sumantra (2002) </w:t>
      </w:r>
      <w:r w:rsidRPr="00F207B2">
        <w:rPr>
          <w:rFonts w:ascii="Garamond" w:hAnsi="Garamond"/>
          <w:i/>
        </w:rPr>
        <w:t>Bosnia After</w:t>
      </w:r>
      <w:r w:rsidRPr="00F207B2">
        <w:rPr>
          <w:rFonts w:ascii="Garamond" w:hAnsi="Garamond"/>
        </w:rPr>
        <w:t xml:space="preserve"> </w:t>
      </w:r>
      <w:r w:rsidRPr="00F207B2">
        <w:rPr>
          <w:rFonts w:ascii="Garamond" w:hAnsi="Garamond"/>
          <w:i/>
        </w:rPr>
        <w:t>Dayton</w:t>
      </w:r>
      <w:r w:rsidRPr="00F207B2">
        <w:rPr>
          <w:rFonts w:ascii="Garamond" w:hAnsi="Garamond"/>
        </w:rPr>
        <w:t>, Oxford University Press; Chandler, 2000; McGarry and O’Leary, 2009.</w:t>
      </w:r>
    </w:p>
  </w:endnote>
  <w:endnote w:id="48">
    <w:p w14:paraId="09A34E00" w14:textId="596D1D8A" w:rsidR="00076158" w:rsidRPr="00F207B2" w:rsidRDefault="00076158">
      <w:pPr>
        <w:pStyle w:val="EndnoteText"/>
        <w:rPr>
          <w:rFonts w:ascii="Garamond" w:hAnsi="Garamond"/>
          <w:sz w:val="22"/>
          <w:szCs w:val="22"/>
        </w:rPr>
      </w:pPr>
      <w:r w:rsidRPr="00F207B2">
        <w:rPr>
          <w:rStyle w:val="EndnoteReference"/>
          <w:rFonts w:ascii="Garamond" w:hAnsi="Garamond"/>
          <w:sz w:val="22"/>
          <w:szCs w:val="22"/>
        </w:rPr>
        <w:endnoteRef/>
      </w:r>
      <w:r w:rsidRPr="00F207B2">
        <w:rPr>
          <w:rFonts w:ascii="Garamond" w:hAnsi="Garamond"/>
          <w:sz w:val="22"/>
          <w:szCs w:val="22"/>
        </w:rPr>
        <w:t xml:space="preserve"> </w:t>
      </w:r>
      <w:r w:rsidRPr="00F207B2">
        <w:rPr>
          <w:rFonts w:ascii="Garamond" w:hAnsi="Garamond" w:cs="Times New Roman"/>
          <w:sz w:val="22"/>
          <w:szCs w:val="22"/>
        </w:rPr>
        <w:t>Touquet and Vermeersch (</w:t>
      </w:r>
      <w:r w:rsidRPr="00F207B2">
        <w:rPr>
          <w:rFonts w:ascii="Garamond" w:hAnsi="Garamond"/>
          <w:sz w:val="22"/>
          <w:szCs w:val="22"/>
        </w:rPr>
        <w:t>2008) p. 273.</w:t>
      </w:r>
    </w:p>
    <w:p w14:paraId="4A132B32" w14:textId="77777777" w:rsidR="00076158" w:rsidRPr="00F207B2" w:rsidRDefault="00076158">
      <w:pPr>
        <w:pStyle w:val="EndnoteText"/>
        <w:rPr>
          <w:rFonts w:ascii="Garamond" w:hAnsi="Garamond"/>
          <w:sz w:val="22"/>
          <w:szCs w:val="22"/>
        </w:rPr>
      </w:pPr>
    </w:p>
  </w:endnote>
  <w:endnote w:id="49">
    <w:p w14:paraId="055F0795" w14:textId="57B7E9DB" w:rsidR="00076158" w:rsidRPr="00F207B2" w:rsidRDefault="00076158">
      <w:pPr>
        <w:pStyle w:val="EndnoteText"/>
        <w:rPr>
          <w:rFonts w:ascii="Garamond" w:hAnsi="Garamond"/>
          <w:sz w:val="22"/>
          <w:szCs w:val="22"/>
        </w:rPr>
      </w:pPr>
      <w:r w:rsidRPr="00F207B2">
        <w:rPr>
          <w:rStyle w:val="EndnoteReference"/>
          <w:rFonts w:ascii="Garamond" w:hAnsi="Garamond"/>
          <w:sz w:val="22"/>
          <w:szCs w:val="22"/>
        </w:rPr>
        <w:endnoteRef/>
      </w:r>
      <w:r w:rsidRPr="00F207B2">
        <w:rPr>
          <w:rFonts w:ascii="Garamond" w:hAnsi="Garamond"/>
          <w:sz w:val="22"/>
          <w:szCs w:val="22"/>
        </w:rPr>
        <w:t xml:space="preserve"> Ibid, 267</w:t>
      </w:r>
    </w:p>
    <w:p w14:paraId="45936AB3" w14:textId="77777777" w:rsidR="00076158" w:rsidRPr="00F207B2" w:rsidRDefault="00076158">
      <w:pPr>
        <w:pStyle w:val="EndnoteText"/>
        <w:rPr>
          <w:rFonts w:ascii="Garamond" w:hAnsi="Garamond"/>
          <w:sz w:val="22"/>
          <w:szCs w:val="22"/>
        </w:rPr>
      </w:pPr>
    </w:p>
  </w:endnote>
  <w:endnote w:id="50">
    <w:p w14:paraId="34907234" w14:textId="46A68777" w:rsidR="00076158" w:rsidRPr="00F207B2" w:rsidRDefault="00076158">
      <w:pPr>
        <w:pStyle w:val="EndnoteText"/>
        <w:rPr>
          <w:rFonts w:ascii="Garamond" w:hAnsi="Garamond"/>
          <w:sz w:val="22"/>
          <w:szCs w:val="22"/>
        </w:rPr>
      </w:pPr>
      <w:r w:rsidRPr="00F207B2">
        <w:rPr>
          <w:rStyle w:val="EndnoteReference"/>
          <w:rFonts w:ascii="Garamond" w:hAnsi="Garamond"/>
          <w:sz w:val="22"/>
          <w:szCs w:val="22"/>
        </w:rPr>
        <w:endnoteRef/>
      </w:r>
      <w:r w:rsidRPr="00F207B2">
        <w:rPr>
          <w:rFonts w:ascii="Garamond" w:hAnsi="Garamond"/>
          <w:sz w:val="22"/>
          <w:szCs w:val="22"/>
        </w:rPr>
        <w:t xml:space="preserve"> Ibid, 284.</w:t>
      </w:r>
    </w:p>
    <w:p w14:paraId="7DA7B9EB" w14:textId="77777777" w:rsidR="00076158" w:rsidRPr="00F207B2" w:rsidRDefault="00076158">
      <w:pPr>
        <w:pStyle w:val="EndnoteText"/>
        <w:rPr>
          <w:rFonts w:ascii="Garamond" w:hAnsi="Garamond"/>
          <w:sz w:val="22"/>
          <w:szCs w:val="22"/>
        </w:rPr>
      </w:pPr>
    </w:p>
  </w:endnote>
  <w:endnote w:id="51">
    <w:p w14:paraId="0C697F13" w14:textId="795E8AE1" w:rsidR="00076158" w:rsidRPr="00C9326F" w:rsidRDefault="00076158" w:rsidP="00C9326F">
      <w:pPr>
        <w:autoSpaceDE w:val="0"/>
        <w:autoSpaceDN w:val="0"/>
        <w:adjustRightInd w:val="0"/>
        <w:spacing w:after="120" w:line="240" w:lineRule="auto"/>
        <w:rPr>
          <w:rFonts w:ascii="Garamond" w:hAnsi="Garamond" w:cs="Times New Roman"/>
        </w:rPr>
      </w:pPr>
      <w:r w:rsidRPr="00C9326F">
        <w:rPr>
          <w:rStyle w:val="EndnoteReference"/>
          <w:rFonts w:ascii="Garamond" w:hAnsi="Garamond"/>
        </w:rPr>
        <w:endnoteRef/>
      </w:r>
      <w:r w:rsidRPr="00C9326F">
        <w:rPr>
          <w:rFonts w:ascii="Garamond" w:hAnsi="Garamond"/>
        </w:rPr>
        <w:t xml:space="preserve"> Murtagh, 2016, pp. 165-166. See also </w:t>
      </w:r>
      <w:r w:rsidRPr="00C9326F">
        <w:rPr>
          <w:rFonts w:ascii="Garamond" w:hAnsi="Garamond" w:cs="Times New Roman"/>
        </w:rPr>
        <w:t xml:space="preserve">Touquet, Heleen (2015) “Non-Ethnic Mobilisation in Deeply Divided Societies: The Case of the Sarajevo Protests,” </w:t>
      </w:r>
      <w:r w:rsidRPr="00C9326F">
        <w:rPr>
          <w:rFonts w:ascii="Garamond" w:hAnsi="Garamond" w:cs="Times New Roman"/>
          <w:i/>
          <w:iCs/>
        </w:rPr>
        <w:t xml:space="preserve">Europe-Asia Studies </w:t>
      </w:r>
      <w:r w:rsidRPr="00C9326F">
        <w:rPr>
          <w:rFonts w:ascii="Garamond" w:hAnsi="Garamond" w:cs="Times New Roman"/>
        </w:rPr>
        <w:t xml:space="preserve">67(3): 388–408 </w:t>
      </w:r>
    </w:p>
  </w:endnote>
  <w:endnote w:id="52">
    <w:p w14:paraId="6DEDD7BF" w14:textId="22627CD9" w:rsidR="00076158" w:rsidRPr="00F207B2" w:rsidRDefault="00076158">
      <w:pPr>
        <w:pStyle w:val="EndnoteText"/>
        <w:rPr>
          <w:rFonts w:ascii="Garamond" w:hAnsi="Garamond"/>
          <w:sz w:val="22"/>
          <w:szCs w:val="22"/>
        </w:rPr>
      </w:pPr>
      <w:r w:rsidRPr="00F207B2">
        <w:rPr>
          <w:rStyle w:val="EndnoteReference"/>
          <w:rFonts w:ascii="Garamond" w:hAnsi="Garamond"/>
          <w:sz w:val="22"/>
          <w:szCs w:val="22"/>
        </w:rPr>
        <w:endnoteRef/>
      </w:r>
      <w:r w:rsidRPr="00F207B2">
        <w:rPr>
          <w:rFonts w:ascii="Garamond" w:hAnsi="Garamond"/>
          <w:sz w:val="22"/>
          <w:szCs w:val="22"/>
        </w:rPr>
        <w:t xml:space="preserve"> Anderson, 2016, p. 102.</w:t>
      </w:r>
    </w:p>
    <w:p w14:paraId="375C5A30" w14:textId="77777777" w:rsidR="00076158" w:rsidRPr="00F207B2" w:rsidRDefault="00076158">
      <w:pPr>
        <w:pStyle w:val="EndnoteText"/>
        <w:rPr>
          <w:rFonts w:ascii="Garamond" w:hAnsi="Garamond"/>
          <w:sz w:val="22"/>
          <w:szCs w:val="22"/>
        </w:rPr>
      </w:pPr>
    </w:p>
  </w:endnote>
  <w:endnote w:id="53">
    <w:p w14:paraId="40581601" w14:textId="46AF756D" w:rsidR="00076158" w:rsidRPr="00C32755" w:rsidRDefault="00076158" w:rsidP="00C32755">
      <w:pPr>
        <w:rPr>
          <w:rFonts w:ascii="Times" w:eastAsia="Times New Roman" w:hAnsi="Times" w:cs="Times New Roman"/>
          <w:sz w:val="20"/>
          <w:szCs w:val="20"/>
        </w:rPr>
      </w:pPr>
      <w:r>
        <w:rPr>
          <w:rStyle w:val="EndnoteReference"/>
        </w:rPr>
        <w:endnoteRef/>
      </w:r>
      <w:r>
        <w:t xml:space="preserve"> </w:t>
      </w:r>
      <w:r>
        <w:rPr>
          <w:lang w:val="en-US"/>
        </w:rPr>
        <w:t xml:space="preserve">See for example </w:t>
      </w:r>
      <w:r w:rsidRPr="00C32755">
        <w:rPr>
          <w:rFonts w:ascii="Arial" w:eastAsia="Times New Roman" w:hAnsi="Arial" w:cs="Arial"/>
          <w:color w:val="222222"/>
          <w:sz w:val="20"/>
          <w:szCs w:val="20"/>
          <w:shd w:val="clear" w:color="auto" w:fill="FFFFFF"/>
        </w:rPr>
        <w:t>O’Flynn, I. (2017). Pulling together: Shared intentions, deliberative democracy and deeply divided societies. </w:t>
      </w:r>
      <w:r w:rsidRPr="00C32755">
        <w:rPr>
          <w:rFonts w:ascii="Arial" w:eastAsia="Times New Roman" w:hAnsi="Arial" w:cs="Arial"/>
          <w:i/>
          <w:iCs/>
          <w:color w:val="222222"/>
          <w:sz w:val="20"/>
          <w:szCs w:val="20"/>
        </w:rPr>
        <w:t>British Journal of Political Science</w:t>
      </w:r>
      <w:r w:rsidRPr="00C32755">
        <w:rPr>
          <w:rFonts w:ascii="Arial" w:eastAsia="Times New Roman" w:hAnsi="Arial" w:cs="Arial"/>
          <w:color w:val="222222"/>
          <w:sz w:val="20"/>
          <w:szCs w:val="20"/>
          <w:shd w:val="clear" w:color="auto" w:fill="FFFFFF"/>
        </w:rPr>
        <w:t>, </w:t>
      </w:r>
      <w:r w:rsidRPr="00C32755">
        <w:rPr>
          <w:rFonts w:ascii="Arial" w:eastAsia="Times New Roman" w:hAnsi="Arial" w:cs="Arial"/>
          <w:i/>
          <w:iCs/>
          <w:color w:val="222222"/>
          <w:sz w:val="20"/>
          <w:szCs w:val="20"/>
        </w:rPr>
        <w:t>47</w:t>
      </w:r>
      <w:r w:rsidRPr="00C32755">
        <w:rPr>
          <w:rFonts w:ascii="Arial" w:eastAsia="Times New Roman" w:hAnsi="Arial" w:cs="Arial"/>
          <w:color w:val="222222"/>
          <w:sz w:val="20"/>
          <w:szCs w:val="20"/>
          <w:shd w:val="clear" w:color="auto" w:fill="FFFFFF"/>
        </w:rPr>
        <w:t>(1), 187-202</w:t>
      </w:r>
      <w:r>
        <w:rPr>
          <w:rFonts w:ascii="Arial" w:eastAsia="Times New Roman" w:hAnsi="Arial" w:cs="Arial"/>
          <w:color w:val="222222"/>
          <w:sz w:val="20"/>
          <w:szCs w:val="20"/>
          <w:shd w:val="clear" w:color="auto" w:fill="FFFFFF"/>
        </w:rPr>
        <w:t xml:space="preserve">; </w:t>
      </w:r>
      <w:r w:rsidRPr="00C32755">
        <w:rPr>
          <w:rFonts w:ascii="Arial" w:eastAsia="Times New Roman" w:hAnsi="Arial" w:cs="Arial"/>
          <w:color w:val="222222"/>
          <w:sz w:val="20"/>
          <w:szCs w:val="20"/>
          <w:shd w:val="clear" w:color="auto" w:fill="FFFFFF"/>
        </w:rPr>
        <w:t>O'Flynn, I. (2010). Deliberative democracy, the public interest and the consociational model. </w:t>
      </w:r>
      <w:r w:rsidRPr="00C32755">
        <w:rPr>
          <w:rFonts w:ascii="Arial" w:eastAsia="Times New Roman" w:hAnsi="Arial" w:cs="Arial"/>
          <w:i/>
          <w:iCs/>
          <w:color w:val="222222"/>
          <w:sz w:val="20"/>
          <w:szCs w:val="20"/>
        </w:rPr>
        <w:t>Political Studies</w:t>
      </w:r>
      <w:r w:rsidRPr="00C32755">
        <w:rPr>
          <w:rFonts w:ascii="Arial" w:eastAsia="Times New Roman" w:hAnsi="Arial" w:cs="Arial"/>
          <w:color w:val="222222"/>
          <w:sz w:val="20"/>
          <w:szCs w:val="20"/>
          <w:shd w:val="clear" w:color="auto" w:fill="FFFFFF"/>
        </w:rPr>
        <w:t>, </w:t>
      </w:r>
      <w:r w:rsidRPr="00C32755">
        <w:rPr>
          <w:rFonts w:ascii="Arial" w:eastAsia="Times New Roman" w:hAnsi="Arial" w:cs="Arial"/>
          <w:i/>
          <w:iCs/>
          <w:color w:val="222222"/>
          <w:sz w:val="20"/>
          <w:szCs w:val="20"/>
        </w:rPr>
        <w:t>58</w:t>
      </w:r>
      <w:r w:rsidRPr="00C32755">
        <w:rPr>
          <w:rFonts w:ascii="Arial" w:eastAsia="Times New Roman" w:hAnsi="Arial" w:cs="Arial"/>
          <w:color w:val="222222"/>
          <w:sz w:val="20"/>
          <w:szCs w:val="20"/>
          <w:shd w:val="clear" w:color="auto" w:fill="FFFFFF"/>
        </w:rPr>
        <w:t>(3), 572-589.</w:t>
      </w:r>
    </w:p>
    <w:p w14:paraId="53B0140D" w14:textId="4E149CC0" w:rsidR="00076158" w:rsidRPr="00060947" w:rsidRDefault="00076158">
      <w:pPr>
        <w:pStyle w:val="EndnoteText"/>
        <w:rPr>
          <w:lang w:val="en-US"/>
        </w:rPr>
      </w:pPr>
    </w:p>
  </w:endnote>
  <w:endnote w:id="54">
    <w:p w14:paraId="3836C549" w14:textId="2914E7CC" w:rsidR="00076158" w:rsidRDefault="00076158">
      <w:pPr>
        <w:pStyle w:val="EndnoteText"/>
        <w:rPr>
          <w:lang w:val="en-US"/>
        </w:rPr>
      </w:pPr>
      <w:r>
        <w:rPr>
          <w:rStyle w:val="EndnoteReference"/>
        </w:rPr>
        <w:endnoteRef/>
      </w:r>
      <w:r>
        <w:t xml:space="preserve"> </w:t>
      </w:r>
      <w:r>
        <w:rPr>
          <w:lang w:val="en-US"/>
        </w:rPr>
        <w:t xml:space="preserve">O’Flynn, 2010. </w:t>
      </w:r>
    </w:p>
    <w:p w14:paraId="4CA0AC98" w14:textId="77777777" w:rsidR="00300DE1" w:rsidRPr="00060947" w:rsidRDefault="00300DE1">
      <w:pPr>
        <w:pStyle w:val="EndnoteText"/>
        <w:rPr>
          <w:lang w:val="en-US"/>
        </w:rPr>
      </w:pPr>
    </w:p>
  </w:endnote>
  <w:endnote w:id="55">
    <w:p w14:paraId="3A5D6B40" w14:textId="14EE223F" w:rsidR="00076158" w:rsidRPr="00F207B2" w:rsidRDefault="00076158" w:rsidP="00055A7F">
      <w:pPr>
        <w:spacing w:after="120" w:line="276" w:lineRule="auto"/>
        <w:jc w:val="both"/>
        <w:rPr>
          <w:rFonts w:ascii="Garamond" w:hAnsi="Garamond"/>
        </w:rPr>
      </w:pPr>
      <w:r w:rsidRPr="00F207B2">
        <w:rPr>
          <w:rStyle w:val="EndnoteReference"/>
          <w:rFonts w:ascii="Garamond" w:hAnsi="Garamond"/>
        </w:rPr>
        <w:endnoteRef/>
      </w:r>
      <w:r>
        <w:rPr>
          <w:rFonts w:ascii="Garamond" w:hAnsi="Garamond"/>
        </w:rPr>
        <w:t xml:space="preserve"> Bell, V., 2004,</w:t>
      </w:r>
      <w:r w:rsidRPr="00F207B2">
        <w:rPr>
          <w:rFonts w:ascii="Garamond" w:hAnsi="Garamond"/>
        </w:rPr>
        <w:t xml:space="preserve"> In pursuit of civic participation: the early experiences of the Northern Ireland Civic Forum, 2000–2002. </w:t>
      </w:r>
      <w:r w:rsidRPr="00F207B2">
        <w:rPr>
          <w:rFonts w:ascii="Garamond" w:hAnsi="Garamond"/>
          <w:i/>
        </w:rPr>
        <w:t>Political Studies</w:t>
      </w:r>
      <w:r>
        <w:rPr>
          <w:rFonts w:ascii="Garamond" w:hAnsi="Garamond"/>
        </w:rPr>
        <w:t>, 52(3), p565-584.</w:t>
      </w:r>
    </w:p>
  </w:endnote>
  <w:endnote w:id="56">
    <w:p w14:paraId="6C29CD4D" w14:textId="77777777" w:rsidR="00076158" w:rsidRPr="00B57884" w:rsidRDefault="00076158" w:rsidP="00426C4F">
      <w:pPr>
        <w:spacing w:after="120" w:line="276" w:lineRule="auto"/>
        <w:rPr>
          <w:rFonts w:ascii="Garamond" w:hAnsi="Garamond" w:cs="Times New Roman"/>
        </w:rPr>
      </w:pPr>
      <w:r w:rsidRPr="00B57884">
        <w:rPr>
          <w:rStyle w:val="EndnoteReference"/>
        </w:rPr>
        <w:endnoteRef/>
      </w:r>
      <w:r w:rsidRPr="00B57884">
        <w:t xml:space="preserve"> </w:t>
      </w:r>
      <w:r w:rsidRPr="00B57884">
        <w:rPr>
          <w:rFonts w:ascii="Garamond" w:hAnsi="Garamond" w:cs="Times New Roman"/>
          <w:lang w:val="fr-FR"/>
        </w:rPr>
        <w:t xml:space="preserve">Miller, B., Pournik, M., &amp; Swaine, A. (2014). </w:t>
      </w:r>
      <w:r w:rsidRPr="00B57884">
        <w:rPr>
          <w:rFonts w:ascii="Garamond" w:hAnsi="Garamond" w:cs="Times New Roman"/>
        </w:rPr>
        <w:t>Women in Peace and Security through United Nations Security Resolution 1325: Literature review, content analysis of national action plans, and implementation. IGIS WP, 13.</w:t>
      </w:r>
    </w:p>
    <w:p w14:paraId="37A97E06" w14:textId="50B4CA5A" w:rsidR="00076158" w:rsidRDefault="00076158">
      <w:pPr>
        <w:pStyle w:val="EndnoteText"/>
      </w:pPr>
    </w:p>
  </w:endnote>
  <w:endnote w:id="57">
    <w:p w14:paraId="08937354" w14:textId="496533AF" w:rsidR="00076158" w:rsidRPr="00F207B2" w:rsidRDefault="00076158">
      <w:pPr>
        <w:pStyle w:val="EndnoteText"/>
        <w:rPr>
          <w:rFonts w:ascii="Garamond" w:hAnsi="Garamond"/>
          <w:sz w:val="22"/>
          <w:szCs w:val="22"/>
        </w:rPr>
      </w:pPr>
      <w:r w:rsidRPr="00F207B2">
        <w:rPr>
          <w:rStyle w:val="EndnoteReference"/>
          <w:rFonts w:ascii="Garamond" w:hAnsi="Garamond"/>
          <w:sz w:val="22"/>
          <w:szCs w:val="22"/>
        </w:rPr>
        <w:endnoteRef/>
      </w:r>
      <w:r w:rsidRPr="00F207B2">
        <w:rPr>
          <w:rFonts w:ascii="Garamond" w:hAnsi="Garamond"/>
          <w:sz w:val="22"/>
          <w:szCs w:val="22"/>
        </w:rPr>
        <w:t xml:space="preserve"> </w:t>
      </w:r>
      <w:hyperlink r:id="rId8" w:history="1">
        <w:r w:rsidRPr="00F207B2">
          <w:rPr>
            <w:rStyle w:val="Hyperlink"/>
            <w:rFonts w:ascii="Garamond" w:hAnsi="Garamond"/>
            <w:color w:val="auto"/>
            <w:sz w:val="22"/>
            <w:szCs w:val="22"/>
          </w:rPr>
          <w:t>http://www.nato.int/cps/en/natohq/news_136119.htm</w:t>
        </w:r>
      </w:hyperlink>
      <w:r w:rsidRPr="00F207B2">
        <w:rPr>
          <w:rFonts w:ascii="Garamond" w:hAnsi="Garamond"/>
          <w:sz w:val="22"/>
          <w:szCs w:val="22"/>
        </w:rPr>
        <w:t>. Accessed 18/11/16.</w:t>
      </w:r>
    </w:p>
    <w:p w14:paraId="4A7CADD2" w14:textId="77777777" w:rsidR="00076158" w:rsidRPr="00F207B2" w:rsidRDefault="00076158">
      <w:pPr>
        <w:pStyle w:val="EndnoteText"/>
        <w:rPr>
          <w:rFonts w:ascii="Garamond" w:hAnsi="Garamond"/>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6430063"/>
      <w:docPartObj>
        <w:docPartGallery w:val="Page Numbers (Bottom of Page)"/>
        <w:docPartUnique/>
      </w:docPartObj>
    </w:sdtPr>
    <w:sdtEndPr>
      <w:rPr>
        <w:noProof/>
      </w:rPr>
    </w:sdtEndPr>
    <w:sdtContent>
      <w:p w14:paraId="5B3AFEFD" w14:textId="4B6C33DB" w:rsidR="00076158" w:rsidRDefault="00076158">
        <w:pPr>
          <w:pStyle w:val="Footer"/>
          <w:jc w:val="center"/>
        </w:pPr>
        <w:r>
          <w:fldChar w:fldCharType="begin"/>
        </w:r>
        <w:r>
          <w:instrText xml:space="preserve"> PAGE   \* MERGEFORMAT </w:instrText>
        </w:r>
        <w:r>
          <w:fldChar w:fldCharType="separate"/>
        </w:r>
        <w:r w:rsidR="00060947">
          <w:rPr>
            <w:noProof/>
          </w:rPr>
          <w:t>2</w:t>
        </w:r>
        <w:r>
          <w:rPr>
            <w:noProof/>
          </w:rPr>
          <w:fldChar w:fldCharType="end"/>
        </w:r>
      </w:p>
    </w:sdtContent>
  </w:sdt>
  <w:p w14:paraId="01551644" w14:textId="77777777" w:rsidR="00076158" w:rsidRDefault="000761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3AE582" w14:textId="77777777" w:rsidR="00506893" w:rsidRDefault="00506893" w:rsidP="006B4852">
      <w:pPr>
        <w:spacing w:after="0" w:line="240" w:lineRule="auto"/>
      </w:pPr>
      <w:r>
        <w:separator/>
      </w:r>
    </w:p>
  </w:footnote>
  <w:footnote w:type="continuationSeparator" w:id="0">
    <w:p w14:paraId="2A990FEE" w14:textId="77777777" w:rsidR="00506893" w:rsidRDefault="00506893" w:rsidP="006B48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75318F"/>
    <w:multiLevelType w:val="hybridMultilevel"/>
    <w:tmpl w:val="85E88EA6"/>
    <w:lvl w:ilvl="0" w:tplc="921CC1B2">
      <w:numFmt w:val="bullet"/>
      <w:lvlText w:val="-"/>
      <w:lvlJc w:val="left"/>
      <w:pPr>
        <w:ind w:left="420" w:hanging="360"/>
      </w:pPr>
      <w:rPr>
        <w:rFonts w:ascii="Garamond" w:eastAsiaTheme="minorHAnsi" w:hAnsi="Garamond"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15:restartNumberingAfterBreak="0">
    <w:nsid w:val="4A527736"/>
    <w:multiLevelType w:val="hybridMultilevel"/>
    <w:tmpl w:val="007E3BF2"/>
    <w:lvl w:ilvl="0" w:tplc="23A251DE">
      <w:numFmt w:val="bullet"/>
      <w:lvlText w:val="-"/>
      <w:lvlJc w:val="left"/>
      <w:pPr>
        <w:ind w:left="435" w:hanging="360"/>
      </w:pPr>
      <w:rPr>
        <w:rFonts w:ascii="Malgun Gothic" w:eastAsia="Malgun Gothic" w:hAnsi="Malgun Gothic" w:cstheme="minorBidi" w:hint="eastAsia"/>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2" w15:restartNumberingAfterBreak="0">
    <w:nsid w:val="73961449"/>
    <w:multiLevelType w:val="hybridMultilevel"/>
    <w:tmpl w:val="F970FDF4"/>
    <w:lvl w:ilvl="0" w:tplc="96E429D4">
      <w:numFmt w:val="bullet"/>
      <w:lvlText w:val="-"/>
      <w:lvlJc w:val="left"/>
      <w:pPr>
        <w:ind w:left="420" w:hanging="360"/>
      </w:pPr>
      <w:rPr>
        <w:rFonts w:ascii="Garamond" w:eastAsiaTheme="minorHAnsi" w:hAnsi="Garamond"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 w15:restartNumberingAfterBreak="0">
    <w:nsid w:val="740E076C"/>
    <w:multiLevelType w:val="hybridMultilevel"/>
    <w:tmpl w:val="FA08B6B4"/>
    <w:lvl w:ilvl="0" w:tplc="0598DF1C">
      <w:numFmt w:val="bullet"/>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fr-FR" w:vendorID="64" w:dllVersion="131078" w:nlCheck="1" w:checkStyle="0"/>
  <w:activeWritingStyle w:appName="MSWord" w:lang="en-GB" w:vendorID="64" w:dllVersion="131078" w:nlCheck="1" w:checkStyle="1"/>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318"/>
    <w:rsid w:val="00003C22"/>
    <w:rsid w:val="00007F27"/>
    <w:rsid w:val="00012416"/>
    <w:rsid w:val="00015682"/>
    <w:rsid w:val="000156D1"/>
    <w:rsid w:val="00015B60"/>
    <w:rsid w:val="00020F21"/>
    <w:rsid w:val="000416AC"/>
    <w:rsid w:val="00042690"/>
    <w:rsid w:val="000430C5"/>
    <w:rsid w:val="000460B9"/>
    <w:rsid w:val="0004738F"/>
    <w:rsid w:val="00053712"/>
    <w:rsid w:val="00055A7F"/>
    <w:rsid w:val="00057649"/>
    <w:rsid w:val="00060947"/>
    <w:rsid w:val="00061C30"/>
    <w:rsid w:val="000664F3"/>
    <w:rsid w:val="00076158"/>
    <w:rsid w:val="000873CB"/>
    <w:rsid w:val="0009424C"/>
    <w:rsid w:val="000A523B"/>
    <w:rsid w:val="000B2BD9"/>
    <w:rsid w:val="000D57F5"/>
    <w:rsid w:val="00112DC0"/>
    <w:rsid w:val="00122E05"/>
    <w:rsid w:val="00123D4C"/>
    <w:rsid w:val="001261E5"/>
    <w:rsid w:val="001262D9"/>
    <w:rsid w:val="00142BEE"/>
    <w:rsid w:val="00144663"/>
    <w:rsid w:val="0018408B"/>
    <w:rsid w:val="00185F44"/>
    <w:rsid w:val="00193AAD"/>
    <w:rsid w:val="00195E34"/>
    <w:rsid w:val="0019794F"/>
    <w:rsid w:val="001A414D"/>
    <w:rsid w:val="001A5816"/>
    <w:rsid w:val="001B12D0"/>
    <w:rsid w:val="001C0BF3"/>
    <w:rsid w:val="001C5663"/>
    <w:rsid w:val="001E691F"/>
    <w:rsid w:val="001F378E"/>
    <w:rsid w:val="001F51F7"/>
    <w:rsid w:val="00204E77"/>
    <w:rsid w:val="002304B7"/>
    <w:rsid w:val="00235F52"/>
    <w:rsid w:val="002371F4"/>
    <w:rsid w:val="00245FC3"/>
    <w:rsid w:val="00260901"/>
    <w:rsid w:val="00273A8C"/>
    <w:rsid w:val="002748DC"/>
    <w:rsid w:val="00285ADE"/>
    <w:rsid w:val="002914E4"/>
    <w:rsid w:val="002A7338"/>
    <w:rsid w:val="002B22A1"/>
    <w:rsid w:val="002B2B02"/>
    <w:rsid w:val="002B3EE7"/>
    <w:rsid w:val="002B70AE"/>
    <w:rsid w:val="002C7586"/>
    <w:rsid w:val="002D7455"/>
    <w:rsid w:val="002E2C3B"/>
    <w:rsid w:val="002E65CE"/>
    <w:rsid w:val="00300DE1"/>
    <w:rsid w:val="00301897"/>
    <w:rsid w:val="00307AF8"/>
    <w:rsid w:val="003202D3"/>
    <w:rsid w:val="0033320B"/>
    <w:rsid w:val="00344A72"/>
    <w:rsid w:val="00350E42"/>
    <w:rsid w:val="00354C6A"/>
    <w:rsid w:val="00371FEF"/>
    <w:rsid w:val="00377299"/>
    <w:rsid w:val="003775FE"/>
    <w:rsid w:val="00377718"/>
    <w:rsid w:val="00380D55"/>
    <w:rsid w:val="00382E9F"/>
    <w:rsid w:val="0038335E"/>
    <w:rsid w:val="0038371D"/>
    <w:rsid w:val="00384DB5"/>
    <w:rsid w:val="00395490"/>
    <w:rsid w:val="003A4149"/>
    <w:rsid w:val="003C1A23"/>
    <w:rsid w:val="003C3F8B"/>
    <w:rsid w:val="003D19E9"/>
    <w:rsid w:val="003E1C7B"/>
    <w:rsid w:val="003E417F"/>
    <w:rsid w:val="003E439D"/>
    <w:rsid w:val="003E6BDA"/>
    <w:rsid w:val="0040444C"/>
    <w:rsid w:val="00413D41"/>
    <w:rsid w:val="0041536E"/>
    <w:rsid w:val="0041700B"/>
    <w:rsid w:val="00426C4F"/>
    <w:rsid w:val="004500AA"/>
    <w:rsid w:val="00450C18"/>
    <w:rsid w:val="004536BF"/>
    <w:rsid w:val="00486F57"/>
    <w:rsid w:val="0049034C"/>
    <w:rsid w:val="004935A1"/>
    <w:rsid w:val="004A0318"/>
    <w:rsid w:val="004A173C"/>
    <w:rsid w:val="004A7519"/>
    <w:rsid w:val="004B2F83"/>
    <w:rsid w:val="004C282D"/>
    <w:rsid w:val="004C53C9"/>
    <w:rsid w:val="004D6328"/>
    <w:rsid w:val="004E00DF"/>
    <w:rsid w:val="004E24A2"/>
    <w:rsid w:val="00506893"/>
    <w:rsid w:val="00525F87"/>
    <w:rsid w:val="00526457"/>
    <w:rsid w:val="005440AE"/>
    <w:rsid w:val="00546FBA"/>
    <w:rsid w:val="005547D2"/>
    <w:rsid w:val="005566A3"/>
    <w:rsid w:val="0057033D"/>
    <w:rsid w:val="00576D78"/>
    <w:rsid w:val="0058486F"/>
    <w:rsid w:val="00596771"/>
    <w:rsid w:val="005B6CF7"/>
    <w:rsid w:val="005D60CE"/>
    <w:rsid w:val="005F0FFE"/>
    <w:rsid w:val="005F45F5"/>
    <w:rsid w:val="005F630B"/>
    <w:rsid w:val="005F7471"/>
    <w:rsid w:val="00600CA0"/>
    <w:rsid w:val="00615194"/>
    <w:rsid w:val="006236EE"/>
    <w:rsid w:val="0062615E"/>
    <w:rsid w:val="00631562"/>
    <w:rsid w:val="00631E47"/>
    <w:rsid w:val="006406B3"/>
    <w:rsid w:val="006407CC"/>
    <w:rsid w:val="006438D4"/>
    <w:rsid w:val="00643EA6"/>
    <w:rsid w:val="006545FC"/>
    <w:rsid w:val="00663DF6"/>
    <w:rsid w:val="006700D6"/>
    <w:rsid w:val="006741F9"/>
    <w:rsid w:val="006757E9"/>
    <w:rsid w:val="00682650"/>
    <w:rsid w:val="006842AD"/>
    <w:rsid w:val="00690A0B"/>
    <w:rsid w:val="00695687"/>
    <w:rsid w:val="006B284B"/>
    <w:rsid w:val="006B301E"/>
    <w:rsid w:val="006B4852"/>
    <w:rsid w:val="006B6E2E"/>
    <w:rsid w:val="006C0413"/>
    <w:rsid w:val="006E01B3"/>
    <w:rsid w:val="006F145A"/>
    <w:rsid w:val="006F2190"/>
    <w:rsid w:val="006F23F4"/>
    <w:rsid w:val="006F24AE"/>
    <w:rsid w:val="006F455E"/>
    <w:rsid w:val="006F4DED"/>
    <w:rsid w:val="006F64FE"/>
    <w:rsid w:val="006F6A03"/>
    <w:rsid w:val="00705FB1"/>
    <w:rsid w:val="00706A01"/>
    <w:rsid w:val="00714B05"/>
    <w:rsid w:val="0072767E"/>
    <w:rsid w:val="00731107"/>
    <w:rsid w:val="0074467D"/>
    <w:rsid w:val="00747DBE"/>
    <w:rsid w:val="00771686"/>
    <w:rsid w:val="007771DE"/>
    <w:rsid w:val="007811AE"/>
    <w:rsid w:val="00782081"/>
    <w:rsid w:val="007824B0"/>
    <w:rsid w:val="0078656B"/>
    <w:rsid w:val="00791A2E"/>
    <w:rsid w:val="007963FA"/>
    <w:rsid w:val="007A7FEB"/>
    <w:rsid w:val="007B1C7D"/>
    <w:rsid w:val="007B5DC4"/>
    <w:rsid w:val="007C035B"/>
    <w:rsid w:val="007C5453"/>
    <w:rsid w:val="007C729D"/>
    <w:rsid w:val="007D3701"/>
    <w:rsid w:val="007E1870"/>
    <w:rsid w:val="007F3901"/>
    <w:rsid w:val="00816D03"/>
    <w:rsid w:val="00826A57"/>
    <w:rsid w:val="008312B1"/>
    <w:rsid w:val="008314DD"/>
    <w:rsid w:val="008365AB"/>
    <w:rsid w:val="00842DE0"/>
    <w:rsid w:val="0084369D"/>
    <w:rsid w:val="00857B47"/>
    <w:rsid w:val="008767DB"/>
    <w:rsid w:val="00886E0C"/>
    <w:rsid w:val="00892845"/>
    <w:rsid w:val="00896D1D"/>
    <w:rsid w:val="008C6E14"/>
    <w:rsid w:val="008C7A69"/>
    <w:rsid w:val="008E13A5"/>
    <w:rsid w:val="0090294C"/>
    <w:rsid w:val="009049D7"/>
    <w:rsid w:val="00913280"/>
    <w:rsid w:val="009157AE"/>
    <w:rsid w:val="009215B5"/>
    <w:rsid w:val="00922449"/>
    <w:rsid w:val="00925119"/>
    <w:rsid w:val="0093565F"/>
    <w:rsid w:val="00935E67"/>
    <w:rsid w:val="00942907"/>
    <w:rsid w:val="00952A33"/>
    <w:rsid w:val="00956881"/>
    <w:rsid w:val="00962BAA"/>
    <w:rsid w:val="00967225"/>
    <w:rsid w:val="00972D1B"/>
    <w:rsid w:val="0098076F"/>
    <w:rsid w:val="00985305"/>
    <w:rsid w:val="00985E19"/>
    <w:rsid w:val="00987395"/>
    <w:rsid w:val="00994367"/>
    <w:rsid w:val="009B0703"/>
    <w:rsid w:val="009B55BA"/>
    <w:rsid w:val="009F036F"/>
    <w:rsid w:val="009F69CC"/>
    <w:rsid w:val="009F7EAC"/>
    <w:rsid w:val="00A12D29"/>
    <w:rsid w:val="00A1718A"/>
    <w:rsid w:val="00A3437D"/>
    <w:rsid w:val="00A41BAD"/>
    <w:rsid w:val="00A52270"/>
    <w:rsid w:val="00A5429A"/>
    <w:rsid w:val="00A567FA"/>
    <w:rsid w:val="00A67EF8"/>
    <w:rsid w:val="00A72E31"/>
    <w:rsid w:val="00A81E5D"/>
    <w:rsid w:val="00A859FE"/>
    <w:rsid w:val="00AA3100"/>
    <w:rsid w:val="00AB0529"/>
    <w:rsid w:val="00AB2E7C"/>
    <w:rsid w:val="00AE75B4"/>
    <w:rsid w:val="00AF514F"/>
    <w:rsid w:val="00B01FEC"/>
    <w:rsid w:val="00B028CA"/>
    <w:rsid w:val="00B04F05"/>
    <w:rsid w:val="00B14F7B"/>
    <w:rsid w:val="00B1616F"/>
    <w:rsid w:val="00B21DBB"/>
    <w:rsid w:val="00B314EC"/>
    <w:rsid w:val="00B3727B"/>
    <w:rsid w:val="00B41AE4"/>
    <w:rsid w:val="00B46731"/>
    <w:rsid w:val="00B47571"/>
    <w:rsid w:val="00B525F2"/>
    <w:rsid w:val="00B53898"/>
    <w:rsid w:val="00B5421B"/>
    <w:rsid w:val="00B57884"/>
    <w:rsid w:val="00B654A7"/>
    <w:rsid w:val="00B76403"/>
    <w:rsid w:val="00B8656B"/>
    <w:rsid w:val="00BC0835"/>
    <w:rsid w:val="00BC6215"/>
    <w:rsid w:val="00BD3494"/>
    <w:rsid w:val="00BE2BC0"/>
    <w:rsid w:val="00BF0450"/>
    <w:rsid w:val="00BF105E"/>
    <w:rsid w:val="00C118EB"/>
    <w:rsid w:val="00C26362"/>
    <w:rsid w:val="00C32755"/>
    <w:rsid w:val="00C36A01"/>
    <w:rsid w:val="00C424E0"/>
    <w:rsid w:val="00C42E70"/>
    <w:rsid w:val="00C4518C"/>
    <w:rsid w:val="00C4794E"/>
    <w:rsid w:val="00C47B7A"/>
    <w:rsid w:val="00C5453D"/>
    <w:rsid w:val="00C642A0"/>
    <w:rsid w:val="00C64719"/>
    <w:rsid w:val="00C647A4"/>
    <w:rsid w:val="00C866B3"/>
    <w:rsid w:val="00C905E9"/>
    <w:rsid w:val="00C9326F"/>
    <w:rsid w:val="00CB6036"/>
    <w:rsid w:val="00CB7018"/>
    <w:rsid w:val="00CC286B"/>
    <w:rsid w:val="00CC63F8"/>
    <w:rsid w:val="00CD41E5"/>
    <w:rsid w:val="00CF3890"/>
    <w:rsid w:val="00D10F6D"/>
    <w:rsid w:val="00D21FF0"/>
    <w:rsid w:val="00D456CB"/>
    <w:rsid w:val="00D46C5D"/>
    <w:rsid w:val="00D62255"/>
    <w:rsid w:val="00D70FB1"/>
    <w:rsid w:val="00D765D5"/>
    <w:rsid w:val="00D77497"/>
    <w:rsid w:val="00D8250F"/>
    <w:rsid w:val="00D93903"/>
    <w:rsid w:val="00D96D77"/>
    <w:rsid w:val="00DA40A3"/>
    <w:rsid w:val="00DA744B"/>
    <w:rsid w:val="00DA7D7C"/>
    <w:rsid w:val="00DB7923"/>
    <w:rsid w:val="00DF02CB"/>
    <w:rsid w:val="00DF0AA9"/>
    <w:rsid w:val="00E0041B"/>
    <w:rsid w:val="00E02A7E"/>
    <w:rsid w:val="00E076EA"/>
    <w:rsid w:val="00E1179F"/>
    <w:rsid w:val="00E30ADE"/>
    <w:rsid w:val="00E320FE"/>
    <w:rsid w:val="00E372AD"/>
    <w:rsid w:val="00E5144A"/>
    <w:rsid w:val="00E5581B"/>
    <w:rsid w:val="00E60313"/>
    <w:rsid w:val="00E607CD"/>
    <w:rsid w:val="00E642E0"/>
    <w:rsid w:val="00E6609D"/>
    <w:rsid w:val="00E72C12"/>
    <w:rsid w:val="00E75174"/>
    <w:rsid w:val="00E873B7"/>
    <w:rsid w:val="00E90C81"/>
    <w:rsid w:val="00EA637E"/>
    <w:rsid w:val="00EC1A7D"/>
    <w:rsid w:val="00EE658F"/>
    <w:rsid w:val="00EF5664"/>
    <w:rsid w:val="00EF71CA"/>
    <w:rsid w:val="00F10700"/>
    <w:rsid w:val="00F10A66"/>
    <w:rsid w:val="00F207B2"/>
    <w:rsid w:val="00F32BD3"/>
    <w:rsid w:val="00F341EF"/>
    <w:rsid w:val="00F430E2"/>
    <w:rsid w:val="00F45B3C"/>
    <w:rsid w:val="00F46C43"/>
    <w:rsid w:val="00F65828"/>
    <w:rsid w:val="00F70D69"/>
    <w:rsid w:val="00F71339"/>
    <w:rsid w:val="00F76729"/>
    <w:rsid w:val="00F80249"/>
    <w:rsid w:val="00F82C0C"/>
    <w:rsid w:val="00FC439D"/>
    <w:rsid w:val="00FC788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093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2690"/>
  </w:style>
  <w:style w:type="paragraph" w:styleId="Heading1">
    <w:name w:val="heading 1"/>
    <w:basedOn w:val="Normal"/>
    <w:link w:val="Heading1Char"/>
    <w:uiPriority w:val="9"/>
    <w:qFormat/>
    <w:rsid w:val="00D6225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next w:val="FootnoteText"/>
    <w:uiPriority w:val="34"/>
    <w:qFormat/>
    <w:rsid w:val="00042690"/>
    <w:pPr>
      <w:ind w:left="720"/>
      <w:contextualSpacing/>
    </w:pPr>
    <w:rPr>
      <w:rFonts w:ascii="Times New Roman" w:hAnsi="Times New Roman"/>
      <w:sz w:val="20"/>
    </w:rPr>
  </w:style>
  <w:style w:type="paragraph" w:styleId="FootnoteText">
    <w:name w:val="footnote text"/>
    <w:basedOn w:val="Normal"/>
    <w:link w:val="FootnoteTextChar"/>
    <w:uiPriority w:val="99"/>
    <w:unhideWhenUsed/>
    <w:rsid w:val="007771DE"/>
    <w:pPr>
      <w:spacing w:before="120" w:after="120" w:line="240" w:lineRule="auto"/>
      <w:ind w:left="11" w:hanging="11"/>
    </w:pPr>
    <w:rPr>
      <w:rFonts w:ascii="Times New Roman" w:hAnsi="Times New Roman" w:cs="Times New Roman"/>
      <w:sz w:val="20"/>
      <w:szCs w:val="24"/>
    </w:rPr>
  </w:style>
  <w:style w:type="character" w:customStyle="1" w:styleId="FootnoteTextChar">
    <w:name w:val="Footnote Text Char"/>
    <w:basedOn w:val="DefaultParagraphFont"/>
    <w:link w:val="FootnoteText"/>
    <w:uiPriority w:val="99"/>
    <w:rsid w:val="007771DE"/>
    <w:rPr>
      <w:rFonts w:ascii="Times New Roman" w:hAnsi="Times New Roman" w:cs="Times New Roman"/>
      <w:sz w:val="20"/>
      <w:szCs w:val="24"/>
    </w:rPr>
  </w:style>
  <w:style w:type="paragraph" w:customStyle="1" w:styleId="Style1">
    <w:name w:val="Style1"/>
    <w:basedOn w:val="Normal"/>
    <w:link w:val="Style1Char"/>
    <w:qFormat/>
    <w:rsid w:val="00042690"/>
    <w:pPr>
      <w:spacing w:line="360" w:lineRule="auto"/>
      <w:jc w:val="both"/>
    </w:pPr>
    <w:rPr>
      <w:rFonts w:ascii="Times New Roman" w:hAnsi="Times New Roman" w:cs="Times New Roman"/>
      <w:sz w:val="20"/>
      <w:szCs w:val="24"/>
    </w:rPr>
  </w:style>
  <w:style w:type="character" w:customStyle="1" w:styleId="Style1Char">
    <w:name w:val="Style1 Char"/>
    <w:basedOn w:val="DefaultParagraphFont"/>
    <w:link w:val="Style1"/>
    <w:rsid w:val="00042690"/>
    <w:rPr>
      <w:rFonts w:ascii="Times New Roman" w:hAnsi="Times New Roman" w:cs="Times New Roman"/>
      <w:sz w:val="20"/>
      <w:szCs w:val="24"/>
    </w:rPr>
  </w:style>
  <w:style w:type="paragraph" w:customStyle="1" w:styleId="Normal1">
    <w:name w:val="Normal1"/>
    <w:rsid w:val="00042690"/>
    <w:pPr>
      <w:spacing w:after="0" w:line="276" w:lineRule="auto"/>
    </w:pPr>
    <w:rPr>
      <w:rFonts w:ascii="Arial" w:eastAsia="Arial" w:hAnsi="Arial" w:cs="Arial"/>
      <w:color w:val="000000"/>
      <w:kern w:val="2"/>
      <w:lang w:val="en-US" w:eastAsia="ko-KR"/>
    </w:rPr>
  </w:style>
  <w:style w:type="character" w:customStyle="1" w:styleId="apple-converted-space">
    <w:name w:val="apple-converted-space"/>
    <w:basedOn w:val="DefaultParagraphFont"/>
    <w:rsid w:val="00042690"/>
  </w:style>
  <w:style w:type="character" w:customStyle="1" w:styleId="il">
    <w:name w:val="il"/>
    <w:basedOn w:val="DefaultParagraphFont"/>
    <w:rsid w:val="00042690"/>
  </w:style>
  <w:style w:type="paragraph" w:customStyle="1" w:styleId="SingleTxtG">
    <w:name w:val="_ Single Txt_G"/>
    <w:basedOn w:val="Normal"/>
    <w:rsid w:val="00042690"/>
    <w:pPr>
      <w:suppressAutoHyphens/>
      <w:spacing w:after="120" w:line="240" w:lineRule="atLeast"/>
      <w:ind w:left="1134" w:right="1134"/>
      <w:jc w:val="both"/>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0426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2690"/>
  </w:style>
  <w:style w:type="paragraph" w:styleId="Footer">
    <w:name w:val="footer"/>
    <w:basedOn w:val="Normal"/>
    <w:link w:val="FooterChar"/>
    <w:uiPriority w:val="99"/>
    <w:unhideWhenUsed/>
    <w:rsid w:val="000426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2690"/>
  </w:style>
  <w:style w:type="character" w:styleId="FootnoteReference">
    <w:name w:val="footnote reference"/>
    <w:basedOn w:val="DefaultParagraphFont"/>
    <w:uiPriority w:val="99"/>
    <w:semiHidden/>
    <w:unhideWhenUsed/>
    <w:rsid w:val="00042690"/>
    <w:rPr>
      <w:vertAlign w:val="superscript"/>
    </w:rPr>
  </w:style>
  <w:style w:type="character" w:styleId="EndnoteReference">
    <w:name w:val="endnote reference"/>
    <w:basedOn w:val="DefaultParagraphFont"/>
    <w:uiPriority w:val="99"/>
    <w:unhideWhenUsed/>
    <w:rsid w:val="00042690"/>
    <w:rPr>
      <w:vertAlign w:val="superscript"/>
    </w:rPr>
  </w:style>
  <w:style w:type="paragraph" w:styleId="EndnoteText">
    <w:name w:val="endnote text"/>
    <w:basedOn w:val="Normal"/>
    <w:link w:val="EndnoteTextChar"/>
    <w:uiPriority w:val="99"/>
    <w:unhideWhenUsed/>
    <w:rsid w:val="00042690"/>
    <w:pPr>
      <w:spacing w:after="0" w:line="240" w:lineRule="auto"/>
    </w:pPr>
    <w:rPr>
      <w:rFonts w:eastAsia="Batang"/>
      <w:sz w:val="20"/>
      <w:szCs w:val="20"/>
    </w:rPr>
  </w:style>
  <w:style w:type="character" w:customStyle="1" w:styleId="EndnoteTextChar">
    <w:name w:val="Endnote Text Char"/>
    <w:basedOn w:val="DefaultParagraphFont"/>
    <w:link w:val="EndnoteText"/>
    <w:uiPriority w:val="99"/>
    <w:rsid w:val="00042690"/>
    <w:rPr>
      <w:rFonts w:eastAsia="Batang"/>
      <w:sz w:val="20"/>
      <w:szCs w:val="20"/>
    </w:rPr>
  </w:style>
  <w:style w:type="character" w:styleId="Hyperlink">
    <w:name w:val="Hyperlink"/>
    <w:basedOn w:val="DefaultParagraphFont"/>
    <w:uiPriority w:val="99"/>
    <w:unhideWhenUsed/>
    <w:rsid w:val="00042690"/>
    <w:rPr>
      <w:color w:val="0563C1" w:themeColor="hyperlink"/>
      <w:u w:val="single"/>
    </w:rPr>
  </w:style>
  <w:style w:type="character" w:styleId="Strong">
    <w:name w:val="Strong"/>
    <w:basedOn w:val="DefaultParagraphFont"/>
    <w:uiPriority w:val="22"/>
    <w:qFormat/>
    <w:rsid w:val="00042690"/>
    <w:rPr>
      <w:b/>
      <w:bCs/>
    </w:rPr>
  </w:style>
  <w:style w:type="character" w:styleId="Emphasis">
    <w:name w:val="Emphasis"/>
    <w:basedOn w:val="DefaultParagraphFont"/>
    <w:uiPriority w:val="20"/>
    <w:qFormat/>
    <w:rsid w:val="00042690"/>
    <w:rPr>
      <w:i/>
      <w:iCs/>
    </w:rPr>
  </w:style>
  <w:style w:type="paragraph" w:styleId="NormalWeb">
    <w:name w:val="Normal (Web)"/>
    <w:basedOn w:val="Normal"/>
    <w:uiPriority w:val="99"/>
    <w:unhideWhenUsed/>
    <w:rsid w:val="0004269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TMLCite">
    <w:name w:val="HTML Cite"/>
    <w:basedOn w:val="DefaultParagraphFont"/>
    <w:uiPriority w:val="99"/>
    <w:semiHidden/>
    <w:unhideWhenUsed/>
    <w:rsid w:val="00042690"/>
    <w:rPr>
      <w:i/>
      <w:iCs/>
    </w:rPr>
  </w:style>
  <w:style w:type="paragraph" w:styleId="BalloonText">
    <w:name w:val="Balloon Text"/>
    <w:basedOn w:val="Normal"/>
    <w:link w:val="BalloonTextChar"/>
    <w:uiPriority w:val="99"/>
    <w:semiHidden/>
    <w:unhideWhenUsed/>
    <w:rsid w:val="000426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2690"/>
    <w:rPr>
      <w:rFonts w:ascii="Segoe UI" w:hAnsi="Segoe UI" w:cs="Segoe UI"/>
      <w:sz w:val="18"/>
      <w:szCs w:val="18"/>
    </w:rPr>
  </w:style>
  <w:style w:type="table" w:styleId="TableGrid">
    <w:name w:val="Table Grid"/>
    <w:basedOn w:val="TableNormal"/>
    <w:uiPriority w:val="39"/>
    <w:rsid w:val="000426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42690"/>
    <w:pPr>
      <w:spacing w:after="0" w:line="240" w:lineRule="auto"/>
      <w:contextualSpacing/>
    </w:pPr>
    <w:rPr>
      <w:rFonts w:ascii="Arial" w:eastAsia="Arial" w:hAnsi="Arial" w:cs="Arial"/>
      <w:color w:val="000000"/>
      <w:lang w:eastAsia="ja-JP"/>
    </w:rPr>
  </w:style>
  <w:style w:type="table" w:customStyle="1" w:styleId="GridTable1Light1">
    <w:name w:val="Grid Table 1 Light1"/>
    <w:basedOn w:val="TableNormal"/>
    <w:uiPriority w:val="46"/>
    <w:rsid w:val="00042690"/>
    <w:pPr>
      <w:spacing w:after="0" w:line="240" w:lineRule="auto"/>
    </w:pPr>
    <w:rPr>
      <w:rFonts w:ascii="Times New Roman" w:hAnsi="Times New Roman"/>
      <w:sz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D62255"/>
    <w:rPr>
      <w:rFonts w:ascii="Times New Roman" w:eastAsia="Times New Roman" w:hAnsi="Times New Roman" w:cs="Times New Roman"/>
      <w:b/>
      <w:bCs/>
      <w:kern w:val="36"/>
      <w:sz w:val="48"/>
      <w:szCs w:val="48"/>
      <w:lang w:eastAsia="en-GB"/>
    </w:rPr>
  </w:style>
  <w:style w:type="character" w:customStyle="1" w:styleId="addmd">
    <w:name w:val="addmd"/>
    <w:basedOn w:val="DefaultParagraphFont"/>
    <w:rsid w:val="00D62255"/>
  </w:style>
  <w:style w:type="character" w:customStyle="1" w:styleId="doctitle">
    <w:name w:val="doctitle"/>
    <w:basedOn w:val="DefaultParagraphFont"/>
    <w:rsid w:val="003E417F"/>
  </w:style>
  <w:style w:type="character" w:styleId="CommentReference">
    <w:name w:val="annotation reference"/>
    <w:basedOn w:val="DefaultParagraphFont"/>
    <w:uiPriority w:val="99"/>
    <w:semiHidden/>
    <w:unhideWhenUsed/>
    <w:rsid w:val="005547D2"/>
    <w:rPr>
      <w:sz w:val="16"/>
      <w:szCs w:val="16"/>
    </w:rPr>
  </w:style>
  <w:style w:type="paragraph" w:styleId="CommentText">
    <w:name w:val="annotation text"/>
    <w:basedOn w:val="Normal"/>
    <w:link w:val="CommentTextChar"/>
    <w:uiPriority w:val="99"/>
    <w:semiHidden/>
    <w:unhideWhenUsed/>
    <w:rsid w:val="005547D2"/>
    <w:pPr>
      <w:spacing w:line="240" w:lineRule="auto"/>
    </w:pPr>
    <w:rPr>
      <w:sz w:val="20"/>
      <w:szCs w:val="20"/>
    </w:rPr>
  </w:style>
  <w:style w:type="character" w:customStyle="1" w:styleId="CommentTextChar">
    <w:name w:val="Comment Text Char"/>
    <w:basedOn w:val="DefaultParagraphFont"/>
    <w:link w:val="CommentText"/>
    <w:uiPriority w:val="99"/>
    <w:semiHidden/>
    <w:rsid w:val="005547D2"/>
    <w:rPr>
      <w:sz w:val="20"/>
      <w:szCs w:val="20"/>
    </w:rPr>
  </w:style>
  <w:style w:type="paragraph" w:styleId="CommentSubject">
    <w:name w:val="annotation subject"/>
    <w:basedOn w:val="CommentText"/>
    <w:next w:val="CommentText"/>
    <w:link w:val="CommentSubjectChar"/>
    <w:uiPriority w:val="99"/>
    <w:semiHidden/>
    <w:unhideWhenUsed/>
    <w:rsid w:val="005547D2"/>
    <w:rPr>
      <w:b/>
      <w:bCs/>
    </w:rPr>
  </w:style>
  <w:style w:type="character" w:customStyle="1" w:styleId="CommentSubjectChar">
    <w:name w:val="Comment Subject Char"/>
    <w:basedOn w:val="CommentTextChar"/>
    <w:link w:val="CommentSubject"/>
    <w:uiPriority w:val="99"/>
    <w:semiHidden/>
    <w:rsid w:val="005547D2"/>
    <w:rPr>
      <w:b/>
      <w:bCs/>
      <w:sz w:val="20"/>
      <w:szCs w:val="20"/>
    </w:rPr>
  </w:style>
  <w:style w:type="paragraph" w:customStyle="1" w:styleId="Subtitle1">
    <w:name w:val="Subtitle1"/>
    <w:basedOn w:val="Normal"/>
    <w:rsid w:val="00C866B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ntryauthor">
    <w:name w:val="entryauthor"/>
    <w:basedOn w:val="DefaultParagraphFont"/>
    <w:rsid w:val="00003C22"/>
  </w:style>
  <w:style w:type="character" w:customStyle="1" w:styleId="journalname">
    <w:name w:val="journalname"/>
    <w:basedOn w:val="DefaultParagraphFont"/>
    <w:rsid w:val="00003C22"/>
  </w:style>
  <w:style w:type="character" w:customStyle="1" w:styleId="volume">
    <w:name w:val="volume"/>
    <w:basedOn w:val="DefaultParagraphFont"/>
    <w:rsid w:val="00003C22"/>
  </w:style>
  <w:style w:type="character" w:customStyle="1" w:styleId="UnresolvedMention">
    <w:name w:val="Unresolved Mention"/>
    <w:basedOn w:val="DefaultParagraphFont"/>
    <w:uiPriority w:val="99"/>
    <w:rsid w:val="00142BEE"/>
    <w:rPr>
      <w:color w:val="808080"/>
      <w:shd w:val="clear" w:color="auto" w:fill="E6E6E6"/>
    </w:rPr>
  </w:style>
  <w:style w:type="paragraph" w:styleId="Revision">
    <w:name w:val="Revision"/>
    <w:hidden/>
    <w:uiPriority w:val="99"/>
    <w:semiHidden/>
    <w:rsid w:val="004536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6745">
      <w:bodyDiv w:val="1"/>
      <w:marLeft w:val="0"/>
      <w:marRight w:val="0"/>
      <w:marTop w:val="0"/>
      <w:marBottom w:val="0"/>
      <w:divBdr>
        <w:top w:val="none" w:sz="0" w:space="0" w:color="auto"/>
        <w:left w:val="none" w:sz="0" w:space="0" w:color="auto"/>
        <w:bottom w:val="none" w:sz="0" w:space="0" w:color="auto"/>
        <w:right w:val="none" w:sz="0" w:space="0" w:color="auto"/>
      </w:divBdr>
    </w:div>
    <w:div w:id="698774154">
      <w:bodyDiv w:val="1"/>
      <w:marLeft w:val="0"/>
      <w:marRight w:val="0"/>
      <w:marTop w:val="0"/>
      <w:marBottom w:val="0"/>
      <w:divBdr>
        <w:top w:val="none" w:sz="0" w:space="0" w:color="auto"/>
        <w:left w:val="none" w:sz="0" w:space="0" w:color="auto"/>
        <w:bottom w:val="none" w:sz="0" w:space="0" w:color="auto"/>
        <w:right w:val="none" w:sz="0" w:space="0" w:color="auto"/>
      </w:divBdr>
    </w:div>
    <w:div w:id="1143501750">
      <w:bodyDiv w:val="1"/>
      <w:marLeft w:val="0"/>
      <w:marRight w:val="0"/>
      <w:marTop w:val="0"/>
      <w:marBottom w:val="0"/>
      <w:divBdr>
        <w:top w:val="none" w:sz="0" w:space="0" w:color="auto"/>
        <w:left w:val="none" w:sz="0" w:space="0" w:color="auto"/>
        <w:bottom w:val="none" w:sz="0" w:space="0" w:color="auto"/>
        <w:right w:val="none" w:sz="0" w:space="0" w:color="auto"/>
      </w:divBdr>
    </w:div>
    <w:div w:id="1217008807">
      <w:bodyDiv w:val="1"/>
      <w:marLeft w:val="0"/>
      <w:marRight w:val="0"/>
      <w:marTop w:val="0"/>
      <w:marBottom w:val="0"/>
      <w:divBdr>
        <w:top w:val="none" w:sz="0" w:space="0" w:color="auto"/>
        <w:left w:val="none" w:sz="0" w:space="0" w:color="auto"/>
        <w:bottom w:val="none" w:sz="0" w:space="0" w:color="auto"/>
        <w:right w:val="none" w:sz="0" w:space="0" w:color="auto"/>
      </w:divBdr>
    </w:div>
    <w:div w:id="1221551496">
      <w:bodyDiv w:val="1"/>
      <w:marLeft w:val="0"/>
      <w:marRight w:val="0"/>
      <w:marTop w:val="0"/>
      <w:marBottom w:val="0"/>
      <w:divBdr>
        <w:top w:val="none" w:sz="0" w:space="0" w:color="auto"/>
        <w:left w:val="none" w:sz="0" w:space="0" w:color="auto"/>
        <w:bottom w:val="none" w:sz="0" w:space="0" w:color="auto"/>
        <w:right w:val="none" w:sz="0" w:space="0" w:color="auto"/>
      </w:divBdr>
    </w:div>
    <w:div w:id="1541438626">
      <w:bodyDiv w:val="1"/>
      <w:marLeft w:val="0"/>
      <w:marRight w:val="0"/>
      <w:marTop w:val="0"/>
      <w:marBottom w:val="0"/>
      <w:divBdr>
        <w:top w:val="none" w:sz="0" w:space="0" w:color="auto"/>
        <w:left w:val="none" w:sz="0" w:space="0" w:color="auto"/>
        <w:bottom w:val="none" w:sz="0" w:space="0" w:color="auto"/>
        <w:right w:val="none" w:sz="0" w:space="0" w:color="auto"/>
      </w:divBdr>
      <w:divsChild>
        <w:div w:id="621883014">
          <w:marLeft w:val="0"/>
          <w:marRight w:val="0"/>
          <w:marTop w:val="0"/>
          <w:marBottom w:val="0"/>
          <w:divBdr>
            <w:top w:val="none" w:sz="0" w:space="0" w:color="auto"/>
            <w:left w:val="none" w:sz="0" w:space="0" w:color="auto"/>
            <w:bottom w:val="none" w:sz="0" w:space="0" w:color="auto"/>
            <w:right w:val="none" w:sz="0" w:space="0" w:color="auto"/>
          </w:divBdr>
        </w:div>
      </w:divsChild>
    </w:div>
    <w:div w:id="1954900392">
      <w:bodyDiv w:val="1"/>
      <w:marLeft w:val="0"/>
      <w:marRight w:val="0"/>
      <w:marTop w:val="0"/>
      <w:marBottom w:val="0"/>
      <w:divBdr>
        <w:top w:val="none" w:sz="0" w:space="0" w:color="auto"/>
        <w:left w:val="none" w:sz="0" w:space="0" w:color="auto"/>
        <w:bottom w:val="none" w:sz="0" w:space="0" w:color="auto"/>
        <w:right w:val="none" w:sz="0" w:space="0" w:color="auto"/>
      </w:divBdr>
      <w:divsChild>
        <w:div w:id="321586366">
          <w:marLeft w:val="0"/>
          <w:marRight w:val="0"/>
          <w:marTop w:val="0"/>
          <w:marBottom w:val="75"/>
          <w:divBdr>
            <w:top w:val="none" w:sz="0" w:space="0" w:color="auto"/>
            <w:left w:val="none" w:sz="0" w:space="0" w:color="auto"/>
            <w:bottom w:val="none" w:sz="0" w:space="0" w:color="auto"/>
            <w:right w:val="none" w:sz="0" w:space="0" w:color="auto"/>
          </w:divBdr>
        </w:div>
        <w:div w:id="1804229104">
          <w:marLeft w:val="0"/>
          <w:marRight w:val="0"/>
          <w:marTop w:val="0"/>
          <w:marBottom w:val="0"/>
          <w:divBdr>
            <w:top w:val="none" w:sz="0" w:space="0" w:color="auto"/>
            <w:left w:val="none" w:sz="0" w:space="0" w:color="auto"/>
            <w:bottom w:val="none" w:sz="0" w:space="0" w:color="auto"/>
            <w:right w:val="none" w:sz="0" w:space="0" w:color="auto"/>
          </w:divBdr>
        </w:div>
        <w:div w:id="1986278857">
          <w:marLeft w:val="0"/>
          <w:marRight w:val="0"/>
          <w:marTop w:val="60"/>
          <w:marBottom w:val="0"/>
          <w:divBdr>
            <w:top w:val="none" w:sz="0" w:space="0" w:color="auto"/>
            <w:left w:val="none" w:sz="0" w:space="0" w:color="auto"/>
            <w:bottom w:val="none" w:sz="0" w:space="0" w:color="auto"/>
            <w:right w:val="none" w:sz="0" w:space="0" w:color="auto"/>
          </w:divBdr>
        </w:div>
      </w:divsChild>
    </w:div>
    <w:div w:id="196033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www.nato.int/cps/en/natohq/news_136119.htm" TargetMode="External"/><Relationship Id="rId3" Type="http://schemas.openxmlformats.org/officeDocument/2006/relationships/hyperlink" Target="http://www.tandfonline.com/toc/fciv20/15/sup1" TargetMode="External"/><Relationship Id="rId7" Type="http://schemas.openxmlformats.org/officeDocument/2006/relationships/hyperlink" Target="https://www.ictj.org/sites/default/files/ICTJ-DDR-FemaleExCombatants-ResearchBrief-2010-English.pdf" TargetMode="External"/><Relationship Id="rId2" Type="http://schemas.openxmlformats.org/officeDocument/2006/relationships/hyperlink" Target="http://www.tandfonline.com/doi/abs/10.1080/13698249.2013.850874" TargetMode="External"/><Relationship Id="rId1" Type="http://schemas.openxmlformats.org/officeDocument/2006/relationships/hyperlink" Target="https://www.scopus.com/record/display.uri?eid=2-s2.0-84871612718&amp;origin=resultslist&amp;sort=plf-f&amp;src=s&amp;sid=89625D3A4008BAEFA53D481AA0AA4754.f594dyPDCy4K3aQHRor6A%3a100&amp;sot=autdocs&amp;sdt=autdocs&amp;sl=17&amp;s=AU-ID%287103172936%29&amp;relpos=5&amp;citeCnt=4&amp;searchTerm=" TargetMode="External"/><Relationship Id="rId6" Type="http://schemas.openxmlformats.org/officeDocument/2006/relationships/hyperlink" Target="http://www.politicalsettlements.org/files/2016/05/20151008_R_Bell_GJA_Unsettling-Bargains.pdf.%20Accessed%2003/05/17" TargetMode="External"/><Relationship Id="rId5" Type="http://schemas.openxmlformats.org/officeDocument/2006/relationships/hyperlink" Target="https://www.hrw.org/news/2016/10/27/burundi-icc-withdrawal-major-loss-victims" TargetMode="External"/><Relationship Id="rId4" Type="http://schemas.openxmlformats.org/officeDocument/2006/relationships/hyperlink" Target="http://www.un.org/apps/news/story.asp?NewsID=499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E5A4005-EB52-485A-967A-794E1B581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5725</Words>
  <Characters>32634</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2017-05-15T12:13:00Z</cp:lastPrinted>
  <dcterms:created xsi:type="dcterms:W3CDTF">2018-03-19T17:04:00Z</dcterms:created>
  <dcterms:modified xsi:type="dcterms:W3CDTF">2018-03-19T17:04:00Z</dcterms:modified>
</cp:coreProperties>
</file>