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94E69" w14:textId="77777777" w:rsidR="002C22B4" w:rsidRPr="00F82F73" w:rsidRDefault="002C22B4" w:rsidP="003B5B68">
      <w:pPr>
        <w:pStyle w:val="MDPI11articletype"/>
      </w:pPr>
      <w:r w:rsidRPr="00F82F73">
        <w:t>Article</w:t>
      </w:r>
    </w:p>
    <w:p w14:paraId="4AE1DA13" w14:textId="77777777" w:rsidR="002C22B4" w:rsidRPr="003069D6" w:rsidRDefault="002C22B4" w:rsidP="003B5B68">
      <w:pPr>
        <w:pStyle w:val="MDPI12title"/>
      </w:pPr>
      <w:r w:rsidRPr="00F82F73">
        <w:t xml:space="preserve">The </w:t>
      </w:r>
      <w:r w:rsidR="00143BB8" w:rsidRPr="00F82F73">
        <w:t xml:space="preserve">Health Halo Trend </w:t>
      </w:r>
      <w:r w:rsidRPr="00F82F73">
        <w:t xml:space="preserve">in UK </w:t>
      </w:r>
      <w:r w:rsidR="00143BB8" w:rsidRPr="00F82F73">
        <w:t xml:space="preserve">Television Food Advertising Viewed </w:t>
      </w:r>
      <w:r w:rsidRPr="00F82F73">
        <w:t xml:space="preserve">by </w:t>
      </w:r>
      <w:r w:rsidR="00143BB8" w:rsidRPr="00F82F73">
        <w:t>Children</w:t>
      </w:r>
      <w:r w:rsidRPr="00F82F73">
        <w:t xml:space="preserve">: The </w:t>
      </w:r>
      <w:r w:rsidR="00143BB8" w:rsidRPr="00F82F73">
        <w:t xml:space="preserve">Rise </w:t>
      </w:r>
      <w:r w:rsidRPr="00F82F73">
        <w:t xml:space="preserve">of </w:t>
      </w:r>
      <w:r w:rsidR="00143BB8" w:rsidRPr="00F82F73">
        <w:t xml:space="preserve">Implicit </w:t>
      </w:r>
      <w:r w:rsidRPr="00F82F73">
        <w:t xml:space="preserve">and </w:t>
      </w:r>
      <w:r w:rsidR="00143BB8" w:rsidRPr="00F82F73">
        <w:t xml:space="preserve">Explicit Health Messaging </w:t>
      </w:r>
      <w:r w:rsidRPr="00F82F73">
        <w:t xml:space="preserve">in the </w:t>
      </w:r>
      <w:r w:rsidR="00143BB8" w:rsidRPr="00F82F73">
        <w:t xml:space="preserve">Promotion </w:t>
      </w:r>
      <w:r w:rsidRPr="00F82F73">
        <w:t xml:space="preserve">of </w:t>
      </w:r>
      <w:r w:rsidR="00143BB8" w:rsidRPr="003069D6">
        <w:t>Unhealthy Foods</w:t>
      </w:r>
    </w:p>
    <w:p w14:paraId="5577F320" w14:textId="77777777" w:rsidR="002C22B4" w:rsidRPr="003069D6" w:rsidRDefault="002C22B4" w:rsidP="003B5B68">
      <w:pPr>
        <w:pStyle w:val="MDPI13authornames"/>
      </w:pPr>
      <w:r w:rsidRPr="003069D6">
        <w:t xml:space="preserve">Rosa Whalen </w:t>
      </w:r>
      <w:r w:rsidRPr="003069D6">
        <w:rPr>
          <w:vertAlign w:val="superscript"/>
        </w:rPr>
        <w:t>1,</w:t>
      </w:r>
      <w:r w:rsidRPr="003069D6">
        <w:t xml:space="preserve">*, Joanne Harrold </w:t>
      </w:r>
      <w:r w:rsidR="008F7F10" w:rsidRPr="003069D6">
        <w:rPr>
          <w:vertAlign w:val="superscript"/>
        </w:rPr>
        <w:t>1</w:t>
      </w:r>
      <w:r w:rsidRPr="003069D6">
        <w:t xml:space="preserve">, Simon Child </w:t>
      </w:r>
      <w:r w:rsidR="008F7F10" w:rsidRPr="003069D6">
        <w:rPr>
          <w:vertAlign w:val="superscript"/>
        </w:rPr>
        <w:t>2</w:t>
      </w:r>
      <w:r w:rsidRPr="003069D6">
        <w:t xml:space="preserve">, Jason Halford </w:t>
      </w:r>
      <w:r w:rsidR="008F7F10" w:rsidRPr="003069D6">
        <w:rPr>
          <w:vertAlign w:val="superscript"/>
        </w:rPr>
        <w:t>1</w:t>
      </w:r>
      <w:r w:rsidRPr="003069D6">
        <w:t xml:space="preserve"> and Emma Boyland </w:t>
      </w:r>
      <w:r w:rsidR="008F7F10" w:rsidRPr="003069D6">
        <w:rPr>
          <w:vertAlign w:val="superscript"/>
        </w:rPr>
        <w:t>1</w:t>
      </w:r>
    </w:p>
    <w:p w14:paraId="75B705DD" w14:textId="4F67DE84" w:rsidR="002C22B4" w:rsidRPr="009D07D7" w:rsidRDefault="002C22B4" w:rsidP="008F7F10">
      <w:pPr>
        <w:pStyle w:val="MDPI16affiliation"/>
        <w:rPr>
          <w:color w:val="auto"/>
        </w:rPr>
      </w:pPr>
      <w:r w:rsidRPr="003069D6">
        <w:rPr>
          <w:color w:val="auto"/>
          <w:vertAlign w:val="superscript"/>
        </w:rPr>
        <w:t>1</w:t>
      </w:r>
      <w:r w:rsidRPr="003069D6">
        <w:rPr>
          <w:color w:val="auto"/>
        </w:rPr>
        <w:tab/>
      </w:r>
      <w:r w:rsidR="00854671" w:rsidRPr="003069D6">
        <w:rPr>
          <w:color w:val="auto"/>
        </w:rPr>
        <w:t xml:space="preserve">Department of Psychological Sciences, </w:t>
      </w:r>
      <w:r w:rsidRPr="003069D6">
        <w:rPr>
          <w:color w:val="auto"/>
        </w:rPr>
        <w:t>Uni</w:t>
      </w:r>
      <w:r w:rsidR="000D2344" w:rsidRPr="003069D6">
        <w:rPr>
          <w:color w:val="auto"/>
        </w:rPr>
        <w:t>versity of Liverpool, Liverpool</w:t>
      </w:r>
      <w:r w:rsidR="008F7F10" w:rsidRPr="003069D6">
        <w:rPr>
          <w:color w:val="auto"/>
        </w:rPr>
        <w:t xml:space="preserve"> L69 7ZX, UK; </w:t>
      </w:r>
      <w:hyperlink r:id="rId9" w:history="1">
        <w:r w:rsidR="008F7F10" w:rsidRPr="009D07D7">
          <w:rPr>
            <w:color w:val="auto"/>
          </w:rPr>
          <w:t>harrold@liverpool.ac.uk</w:t>
        </w:r>
      </w:hyperlink>
      <w:r w:rsidR="008F7F10" w:rsidRPr="009D07D7">
        <w:rPr>
          <w:color w:val="auto"/>
        </w:rPr>
        <w:t xml:space="preserve"> (J.H.); </w:t>
      </w:r>
      <w:r w:rsidR="008F7F10" w:rsidRPr="009D07D7">
        <w:rPr>
          <w:color w:val="auto"/>
        </w:rPr>
        <w:br/>
      </w:r>
      <w:hyperlink r:id="rId10" w:history="1">
        <w:r w:rsidR="008F7F10" w:rsidRPr="009D07D7">
          <w:rPr>
            <w:color w:val="auto"/>
            <w:lang w:bidi="ar-SA"/>
          </w:rPr>
          <w:t>jasonh@liverpool.ac.uk</w:t>
        </w:r>
      </w:hyperlink>
      <w:r w:rsidR="008F7F10" w:rsidRPr="009D07D7">
        <w:rPr>
          <w:color w:val="auto"/>
          <w:lang w:bidi="ar-SA"/>
        </w:rPr>
        <w:t xml:space="preserve"> (J.H.); </w:t>
      </w:r>
      <w:hyperlink r:id="rId11" w:history="1">
        <w:r w:rsidR="008F7F10" w:rsidRPr="009D07D7">
          <w:rPr>
            <w:color w:val="auto"/>
            <w:lang w:bidi="ar-SA"/>
          </w:rPr>
          <w:t>eboyland@liverpool.ac.uk</w:t>
        </w:r>
      </w:hyperlink>
      <w:r w:rsidR="008F7F10" w:rsidRPr="009D07D7">
        <w:rPr>
          <w:color w:val="auto"/>
          <w:lang w:bidi="ar-SA"/>
        </w:rPr>
        <w:t xml:space="preserve"> (E.B.)</w:t>
      </w:r>
    </w:p>
    <w:p w14:paraId="0968D711" w14:textId="5F23E23F" w:rsidR="002C22B4" w:rsidRPr="009D07D7" w:rsidRDefault="008F7F10" w:rsidP="003B5B68">
      <w:pPr>
        <w:pStyle w:val="MDPI16affiliation"/>
        <w:jc w:val="both"/>
        <w:rPr>
          <w:color w:val="auto"/>
        </w:rPr>
      </w:pPr>
      <w:r w:rsidRPr="009D07D7">
        <w:rPr>
          <w:color w:val="auto"/>
          <w:vertAlign w:val="superscript"/>
        </w:rPr>
        <w:t>2</w:t>
      </w:r>
      <w:r w:rsidR="002C22B4" w:rsidRPr="009D07D7">
        <w:rPr>
          <w:color w:val="auto"/>
        </w:rPr>
        <w:tab/>
      </w:r>
      <w:r w:rsidR="002C22B4" w:rsidRPr="003069D6">
        <w:rPr>
          <w:color w:val="auto"/>
        </w:rPr>
        <w:t>Cambridge Assessment,</w:t>
      </w:r>
      <w:r w:rsidR="002C22B4" w:rsidRPr="003069D6">
        <w:t xml:space="preserve"> </w:t>
      </w:r>
      <w:r w:rsidR="000D2344" w:rsidRPr="003069D6">
        <w:rPr>
          <w:color w:val="auto"/>
        </w:rPr>
        <w:t>Cambridge</w:t>
      </w:r>
      <w:r w:rsidR="00854671" w:rsidRPr="003069D6">
        <w:rPr>
          <w:color w:val="auto"/>
        </w:rPr>
        <w:t>,</w:t>
      </w:r>
      <w:r w:rsidR="00854671" w:rsidRPr="003069D6">
        <w:t xml:space="preserve"> </w:t>
      </w:r>
      <w:r w:rsidR="00854671" w:rsidRPr="003069D6">
        <w:rPr>
          <w:color w:val="auto"/>
        </w:rPr>
        <w:t>CB1 2EU</w:t>
      </w:r>
      <w:r w:rsidR="000D2344" w:rsidRPr="003069D6">
        <w:rPr>
          <w:color w:val="auto"/>
        </w:rPr>
        <w:t xml:space="preserve">, </w:t>
      </w:r>
      <w:r w:rsidRPr="003069D6">
        <w:rPr>
          <w:color w:val="auto"/>
        </w:rPr>
        <w:t>UK</w:t>
      </w:r>
      <w:r w:rsidR="002C22B4" w:rsidRPr="003069D6">
        <w:rPr>
          <w:color w:val="auto"/>
        </w:rPr>
        <w:t xml:space="preserve">; </w:t>
      </w:r>
      <w:hyperlink r:id="rId12" w:history="1">
        <w:r w:rsidR="002C22B4" w:rsidRPr="009D07D7">
          <w:rPr>
            <w:color w:val="auto"/>
          </w:rPr>
          <w:t>Child.S@cambridgeassessment.org.uk</w:t>
        </w:r>
      </w:hyperlink>
    </w:p>
    <w:p w14:paraId="160F4A52" w14:textId="7DE7A385" w:rsidR="002C22B4" w:rsidRPr="003069D6" w:rsidRDefault="002C22B4" w:rsidP="003B5B68">
      <w:pPr>
        <w:pStyle w:val="MDPI14history"/>
        <w:spacing w:before="0"/>
        <w:ind w:left="311" w:hanging="198"/>
        <w:jc w:val="both"/>
      </w:pPr>
      <w:r w:rsidRPr="009D07D7">
        <w:rPr>
          <w:b/>
        </w:rPr>
        <w:t>*</w:t>
      </w:r>
      <w:r w:rsidRPr="009D07D7">
        <w:tab/>
        <w:t xml:space="preserve">Correspondence: </w:t>
      </w:r>
      <w:r w:rsidR="000D2344" w:rsidRPr="009D07D7">
        <w:t xml:space="preserve">r.whalen@liverpool.ac.uk; Tel.: </w:t>
      </w:r>
      <w:r w:rsidR="00854671" w:rsidRPr="003069D6">
        <w:t>44-</w:t>
      </w:r>
      <w:r w:rsidRPr="003069D6">
        <w:t>151</w:t>
      </w:r>
      <w:r w:rsidR="000D2344" w:rsidRPr="003069D6">
        <w:t>-</w:t>
      </w:r>
      <w:r w:rsidRPr="003069D6">
        <w:t>7959096</w:t>
      </w:r>
    </w:p>
    <w:p w14:paraId="63A2E688" w14:textId="77777777" w:rsidR="002C22B4" w:rsidRPr="009D07D7" w:rsidRDefault="002C22B4" w:rsidP="003B5B68">
      <w:pPr>
        <w:pStyle w:val="MDPI14history"/>
        <w:spacing w:before="0"/>
        <w:jc w:val="both"/>
      </w:pPr>
    </w:p>
    <w:p w14:paraId="7B72D8D4" w14:textId="77777777" w:rsidR="002C22B4" w:rsidRPr="00F82F73" w:rsidRDefault="002C22B4" w:rsidP="003B5B68">
      <w:pPr>
        <w:pStyle w:val="MDPI14history"/>
        <w:spacing w:before="0"/>
        <w:jc w:val="both"/>
      </w:pPr>
      <w:r w:rsidRPr="009D07D7">
        <w:t>Received: 4 December 2017; Accepted: 2 March 2018; Published: date</w:t>
      </w:r>
    </w:p>
    <w:p w14:paraId="7FF52CA8" w14:textId="77777777" w:rsidR="002C22B4" w:rsidRPr="00F82F73" w:rsidRDefault="002C22B4" w:rsidP="003B5B68">
      <w:pPr>
        <w:pStyle w:val="MDPI17abstract"/>
      </w:pPr>
      <w:r w:rsidRPr="00F82F73">
        <w:rPr>
          <w:b/>
        </w:rPr>
        <w:t xml:space="preserve">Abstract: </w:t>
      </w:r>
      <w:r w:rsidRPr="00F82F73">
        <w:t>Monitoring the creative content within food marketing to children is strongly advocated by public health authorities, but few studies address the prevalence of health-related messaging in television adverts. Food and beverage adverts (</w:t>
      </w:r>
      <w:r w:rsidRPr="00F82F73">
        <w:rPr>
          <w:i/>
        </w:rPr>
        <w:t>n</w:t>
      </w:r>
      <w:r w:rsidRPr="00F82F73">
        <w:t xml:space="preserve"> = 18,888 in 2008, </w:t>
      </w:r>
      <w:r w:rsidRPr="00F82F73">
        <w:rPr>
          <w:i/>
        </w:rPr>
        <w:t>n</w:t>
      </w:r>
      <w:r w:rsidRPr="00F82F73">
        <w:t xml:space="preserve"> = 6664 in 2010) from UK television channels popular with children were coded and analyzed. Physical-activity depiction displayed an 18.8 percentage point increase from 2008 (4.4%) to 2010 (23.2%). Of the food adverts containing physical-activity depiction in 2010, 81.1% were for non-core foods. The appearance of health claims in food adverts in 2010 increased 4.1 percentage points from 2008 levels (20.7% to 24.8%) where the majority of food adverts featuring health and nutrition claims were for non-core foods (58.3%). Health-related (e.g., health/nutrition, weight loss/diet) appeals were used in 17.1% of food adverts during peak child-viewing times, rising to 33.0% of adverts shown on dedicated children’s channels in 2010. Implicit (physical activity) and explicit (health claims) health messages are increasingly prevalent in UK television food advertising viewed by children, and are frequently used to promote unhealthy foods. Policy makers in the UK should consider amendments to the existing statutory approach in order to address this issue.</w:t>
      </w:r>
    </w:p>
    <w:p w14:paraId="7BBF1BBE" w14:textId="77777777" w:rsidR="002C22B4" w:rsidRPr="00F82F73" w:rsidRDefault="002C22B4" w:rsidP="003B5B68">
      <w:pPr>
        <w:pStyle w:val="MDPI18keywords"/>
      </w:pPr>
      <w:r w:rsidRPr="00F82F73">
        <w:rPr>
          <w:b/>
          <w:snapToGrid/>
        </w:rPr>
        <w:t>Keywords:</w:t>
      </w:r>
      <w:r w:rsidRPr="00F82F73">
        <w:rPr>
          <w:b/>
        </w:rPr>
        <w:t xml:space="preserve"> </w:t>
      </w:r>
      <w:r w:rsidR="000D2344" w:rsidRPr="00F82F73">
        <w:t>a</w:t>
      </w:r>
      <w:r w:rsidRPr="00F82F73">
        <w:t>dvertising; television; food marketing; childhood obesity</w:t>
      </w:r>
    </w:p>
    <w:p w14:paraId="6D984BD2" w14:textId="77777777" w:rsidR="002C22B4" w:rsidRPr="00F82F73" w:rsidRDefault="002C22B4" w:rsidP="003B5B68">
      <w:pPr>
        <w:pStyle w:val="MDPI19classification"/>
        <w:pBdr>
          <w:bottom w:val="single" w:sz="4" w:space="1" w:color="auto"/>
        </w:pBdr>
        <w:spacing w:before="0" w:after="480"/>
        <w:ind w:left="0"/>
      </w:pPr>
    </w:p>
    <w:p w14:paraId="06A1A49D" w14:textId="77777777" w:rsidR="002C22B4" w:rsidRPr="00F82F73" w:rsidRDefault="000D2344" w:rsidP="000D2344">
      <w:pPr>
        <w:pStyle w:val="MDPI21heading1"/>
      </w:pPr>
      <w:r w:rsidRPr="00F82F73">
        <w:t xml:space="preserve">1. </w:t>
      </w:r>
      <w:r w:rsidR="002C22B4" w:rsidRPr="00F82F73">
        <w:t>Introduction</w:t>
      </w:r>
    </w:p>
    <w:p w14:paraId="0234CF1D" w14:textId="77777777" w:rsidR="002C22B4" w:rsidRPr="00F82F73" w:rsidRDefault="002C22B4" w:rsidP="003B5B68">
      <w:pPr>
        <w:pStyle w:val="MDPI31text"/>
      </w:pPr>
      <w:r w:rsidRPr="00F82F73">
        <w:t>Whilst childhood obesity remains a significant public health challenge, children’s exposure to obesogenic food marketing presents a clear</w:t>
      </w:r>
      <w:r w:rsidR="000D2344" w:rsidRPr="00F82F73">
        <w:t xml:space="preserve"> opportunity for intervention. </w:t>
      </w:r>
      <w:r w:rsidRPr="00F82F73">
        <w:t xml:space="preserve">Although few countries have effectively dealt with the issue [1] in the UK, </w:t>
      </w:r>
      <w:proofErr w:type="spellStart"/>
      <w:r w:rsidRPr="00F82F73">
        <w:t>Ofcom</w:t>
      </w:r>
      <w:proofErr w:type="spellEnd"/>
      <w:r w:rsidRPr="00F82F73">
        <w:t xml:space="preserve"> (the broadcast regulator) have imposed media-specific statutory regulation with the aim of reducing exposure for children under the age of 16 years to the advertising of foods high in saturated fats, sugars and/or salt (HFSS) on television [2]. The regulations, phased in during 2007</w:t>
      </w:r>
      <w:r w:rsidR="000D2344" w:rsidRPr="00F82F73">
        <w:t>–</w:t>
      </w:r>
      <w:r w:rsidRPr="00F82F73">
        <w:t xml:space="preserve">2009, banned HFSS adverts on dedicated children’s channels and restricted the broadcast of such adverts around </w:t>
      </w:r>
      <w:proofErr w:type="spellStart"/>
      <w:r w:rsidRPr="00F82F73">
        <w:t>programmes</w:t>
      </w:r>
      <w:proofErr w:type="spellEnd"/>
      <w:r w:rsidRPr="00F82F73">
        <w:t xml:space="preserve"> of appeal to 4</w:t>
      </w:r>
      <w:r w:rsidR="000D2344" w:rsidRPr="00F82F73">
        <w:t>–</w:t>
      </w:r>
      <w:r w:rsidRPr="00F82F73">
        <w:t>15 year olds on any channel [3].</w:t>
      </w:r>
    </w:p>
    <w:p w14:paraId="3EFA483A" w14:textId="77777777" w:rsidR="002C22B4" w:rsidRPr="00F82F73" w:rsidRDefault="002C22B4" w:rsidP="003B5B68">
      <w:pPr>
        <w:pStyle w:val="MDPI31text"/>
      </w:pPr>
      <w:r w:rsidRPr="00F82F73">
        <w:t xml:space="preserve">An expansive global evidence base quantifies the frequency of television food adverts, where studies confirm that food adverts remain strongly biased toward less healthy options </w:t>
      </w:r>
      <w:r w:rsidRPr="00F82F73">
        <w:fldChar w:fldCharType="begin" w:fldLock="1"/>
      </w:r>
      <w:r w:rsidRPr="00F82F73">
        <w:instrText>ADDIN CSL_CITATION { "citationItems" : [ { "id" : "ITEM-1", "itemData" : { "DOI" : "10.1016/j.amepre.2015.01.004", "ISSN" : "1873-2607", "PMID" : "25863586", "abstract" : "INTRODUCTION: It is well established that children are exposed to food marketing promoting calorically dense, low-nutrient products. Reducing exposure to obesogenic marketing presents an opportunity to improve children's health. The purpose of this study was to determine the extent to which televised food advertising practices targeting children (aged \u226412 years) were consistent with guidelines proposed by a coalition of federal authorities known as the Interagency Working Group on Foods Marketed to Children (IWG). METHODS: A sample of children's TV programming aired on five national broadcast networks and two cable channels (N=103 shows) was recorded February to April 2013. The sample contained 354 food ads. Advertised products were identified and categorized using industry classification codes and nutrient data obtained from manufacturers. Product compliance with IWG saturated fat, trans fat, added sugar, and sodium guidelines was evaluated. RESULTS: Analyses conducted in 2013 revealed that nearly all food ads (94%) met guidelines for trans fats; 68% and 62% met guidelines for sodium and saturated fat, respectively; and 20% complied with added sugar guidelines. Overall, 1.4% of all child-targeted food ads met all aspects of IWG guidelines. CONCLUSIONS: Nearly all food advertisements exceeded guidelines for at least one recommended nutrient to limit. Individually, conformity was high for guidelines for trans fats, moderate for sodium and saturated fats, and poor for added sugar. These findings suggest that child-targeted food advertising remains strongly biased toward less healthy options. Policymakers wishing to regulate food marketing should understand the amount and types of advertisements that children view.", "author" : [ { "dropping-particle" : "", "family" : "Kunkel, D. Hingle", "given" : "Melanie D", "non-dropping-particle" : "", "parse-names" : false, "suffix" : "" }, { "dropping-particle" : "", "family" : "Castonguay", "given" : "Jessica S", "non-dropping-particle" : "", "parse-names" : false, "suffix" : "" }, { "dropping-particle" : "", "family" : "Ambuel", "given" : "Danielle A", "non-dropping-particle" : "", "parse-names" : false, "suffix" : "" }, { "dropping-particle" : "", "family" : "Smith", "given" : "Rachel M", "non-dropping-particle" : "", "parse-names" : false, "suffix" : "" }, { "dropping-particle" : "", "family" : "Kunkel", "given" : "Dale", "non-dropping-particle" : "", "parse-names" : false, "suffix" : "" } ], "container-title" : "American journal of preventive medicine", "id" : "ITEM-1", "issue" : "6", "issued" : { "date-parts" : [ [ "2015", "6" ] ] }, "page" : "707-13", "title" : "Alignment of Children's Food Advertising With Proposed Federal Guidelines.", "type" : "article-journal", "volume" : "48" }, "uris" : [ "http://www.mendeley.com/documents/?uuid=617c032d-13d8-4a20-b007-06d3326b1499" ] }, { "id" : "ITEM-2", "itemData" : { "DOI" : "10.1089/chi.2013.0072", "ISSN" : "2153-2176", "PMID" : "24206260", "abstract" : "BACKGROUND: Given the high rates of childhood obesity, assessing the nutritional content of food and beverage products in television (TV) advertisements to which children are exposed is important.\n\nMETHODS: TV ratings data for children 2-5 and 6-11 years of age were used to examine the nutritional content of food and beverage products in advertisements seen by children on all programming and children's programming (\u226535% child-audience share). Nutritional content was assessed based on the federal Interagency Working Group (IWG) recommended nutrients to limit (NTL), including saturated fat, trans fat, sugar, and sodium.\n\nRESULTS: A total of 46.2% of 2- to 5-year-olds' and 43.5% of 6- to 11-year-olds' total exposure to food and beverage TV advertising was for ads seen on children's programming. Among children 2-5 and 6-11 years, respectively, 84.1 and 84.4% of ads seen on all programming and 95.8 and 97.3% seen on children's programming were for products high in NTL, and 97.8 and 98.1% of Children's Food and Beverage Advertising Initiative (CFBAI) company-member ads seen on children's programming were for products high in NTL, compared to 80.5 and 89.9% of non-CFBAI product ads.\n\nCONCLUSIONS: Most food and beverage products in TV ads seen by children do not meet the IWG nutrition recommendations and less than one half of such ads are covered by self-regulation. Products advertised on children's versus general-audience programming and by CFBAI- versus non-CFBAI-member companies are particularly of low nutritional quality, suggesting that self-regulation has not successfully protected children from exposure to advertising for unhealthy foods and that continued monitoring is required.", "author" : [ { "dropping-particle" : "", "family" : "Powell", "given" : "Lisa M", "non-dropping-particle" : "", "parse-names" : false, "suffix" : "" }, { "dropping-particle" : "", "family" : "Schermbeck", "given" : "Rebecca M", "non-dropping-particle" : "", "parse-names" : false, "suffix" : "" }, { "dropping-particle" : "", "family" : "Chaloupka", "given" : "Frank J", "non-dropping-particle" : "", "parse-names" : false, "suffix" : "" } ], "container-title" : "Childhood obesity (Print)", "id" : "ITEM-2", "issue" : "6", "issued" : { "date-parts" : [ [ "2013", "12", "9" ] ] }, "language" : "en", "page" : "524-31", "publisher" : "Mary Ann Liebert, Inc.  140 Huguenot Street, 3rd Floor New Rochelle, NY 10801 USA", "title" : "Nutritional content of food and beverage products in television advertisements seen on children's programming.", "type" : "article-journal", "volume" : "9" }, "uris" : [ "http://www.mendeley.com/documents/?uuid=a08547e4-c92e-4d63-ac0f-cdfae565b579" ] }, { "id" : "ITEM-3", "itemData" : { "DOI" : "10.1016/j.amepre.2015.01.027", "ISSN" : "1873-2607", "PMID" : "25960392", "abstract" : "INTRODUCTION: Concern has grown about the role of televised food advertising as a contributor to childhood obesity. In response, the food industry adopted a program of self-regulation, with participating companies pledging to limit child-targeted advertising to healthier products. The implicit promise of the industry initiative is a significant improvement in the overall nutritional quality of foods marketed to children, thereby negating the need for governmental regulation to accomplish that objective. This study assesses the efficacy of industry self-regulation by comparing advertising content on children's TV programs before and after self-regulation was implemented.\n\nMETHODS: A systematic content analysis of food advertisements (n=625 in 2007, n=354 in 2013) appearing in children's TV programs on the most popular cable and broadcast channels was conducted.\n\nRESULTS: All analyses were conducted in 2014. Findings indicated that no significant improvement in the overall nutritional quality of foods marketed to children has been achieved since industry self-regulation was adopted. In 2013, 80.5% of all foods advertised to children on TV were for products in the poorest nutritional category, and thus pose high risk for contributing to obesity.\n\nCONCLUSIONS: The lack of significant improvement in the nutritional quality of food marketed to children is likely a result of the weak nutritional standards for defining healthy foods employed by industry, and because a substantial proportion of child-oriented food marketers do not participate in self-regulation. The lack of success achieved by self-regulation indicates that other policy actions are needed to effectively reduce children's exposure to obesogenic food advertising.", "author" : [ { "dropping-particle" : "", "family" : "Kunkel", "given" : "Dale L", "non-dropping-particle" : "", "parse-names" : false, "suffix" : "" }, { "dropping-particle" : "", "family" : "Castonguay", "given" : "Jessica S", "non-dropping-particle" : "", "parse-names" : false, "suffix" : "" }, { "dropping-particle" : "", "family" : "Filer", "given" : "Christine R", "non-dropping-particle" : "", "parse-names" : false, "suffix" : "" } ], "container-title" : "American journal of preventive medicine", "id" : "ITEM-3", "issued" : { "date-parts" : [ [ "2015", "4", "29" ] ] }, "language" : "English", "publisher" : "Elsevier", "title" : "Evaluating Industry Self-Regulation of Food Marketing to Children.", "type" : "article-journal" }, "uris" : [ "http://www.mendeley.com/documents/?uuid=f2bf703d-e64c-4c16-b746-00e6eb0ce236" ] }, { "id" : "ITEM-4", "itemData" : { "DOI" : "10.3109/17477166.2011.608801", "ISSN" : "1747-7174", "PMID" : "21846176", "abstract" : "OBJECTIVE: To provide the most comprehensive analysis to date of the extent of food advertising on UK television channels popular with young people following regulatory reform of this type of marketing activity.\n\nMETHODS: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foods.\n\nRESULTS: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advertisements.\n\nCONCLUSIONS: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 "author" : [ { "dropping-particle" : "", "family" : "Boyland", "given" : "Emma J", "non-dropping-particle" : "", "parse-names" : false, "suffix" : "" }, { "dropping-particle" : "", "family" : "Harrold", "given" : "Joanne a", "non-dropping-particle" : "", "parse-names" : false, "suffix" : "" }, { "dropping-particle" : "", "family" : "Kirkham", "given" : "Tim C", "non-dropping-particle" : "", "parse-names" : false, "suffix" : "" }, { "dropping-particle" : "", "family" : "Halford", "given" : "Jason C G", "non-dropping-particle" : "", "parse-names" : false, "suffix" : "" } ], "container-title" : "International journal of pediatric obesity : IJPO : an official journal of the International Association for the Study of Obesity", "id" : "ITEM-4", "issue" : "5-6", "issued" : { "date-parts" : [ [ "2011", "10" ] ] }, "page" : "455-61", "title" : "The extent of food advertising to children on UK television in 2008.", "type" : "article-journal", "volume" : "6" }, "uris" : [ "http://www.mendeley.com/documents/?uuid=a960d3c7-58c8-4bb2-8496-f92e3eeadfca" ] }, { "id" : "ITEM-5", "itemData" : { "DOI" : "10.1111/pedi.12278", "ISSN" : "1399543X", "author" : [ { "dropping-particle" : "", "family" : "Boyland, E. J., Whalen", "given" : "R.", "non-dropping-particle" : "", "parse-names" : false, "suffix" : "" } ], "container-title" : "Pediatric Diabetes", "id" : "ITEM-5", "issued" : { "date-parts" : [ [ "2015", "4", "21" ] ] }, "page" : "331-337", "title" : "Food advertising to children and its effects on diet: a review of recent prevalence and impact data", "type" : "article-journal" }, "uris" : [ "http://www.mendeley.com/documents/?uuid=c4f5444d-9d4c-4d76-8499-cd0efdf6a662" ] } ], "mendeley" : { "formattedCitation" : "(1\u20135)", "manualFormatting" : "[2\u20136", "plainTextFormattedCitation" : "(1\u20135)", "previouslyFormattedCitation" : "(1\u20135)" }, "properties" : {  }, "schema" : "https://github.com/citation-style-language/schema/raw/master/csl-citation.json" }</w:instrText>
      </w:r>
      <w:r w:rsidRPr="00F82F73">
        <w:fldChar w:fldCharType="separate"/>
      </w:r>
      <w:r w:rsidRPr="00F82F73">
        <w:t>[4–6</w:t>
      </w:r>
      <w:r w:rsidRPr="00F82F73">
        <w:fldChar w:fldCharType="end"/>
      </w:r>
      <w:r w:rsidRPr="00F82F73">
        <w:t xml:space="preserve">] even where regulations do exist [7]. Comparatively few studies examine the creative content of food advertising which plays a critical role in its persuasive effect [8]. The World Health </w:t>
      </w:r>
      <w:proofErr w:type="spellStart"/>
      <w:r w:rsidRPr="00F82F73">
        <w:t>Organisation</w:t>
      </w:r>
      <w:proofErr w:type="spellEnd"/>
      <w:r w:rsidRPr="00F82F73">
        <w:t xml:space="preserve"> calls on governments to introduce regulation that “has the ability to reduce the power of marketing by targeting the use of specific techniques which have a particularly powerful effect, a </w:t>
      </w:r>
      <w:r w:rsidRPr="00F82F73">
        <w:lastRenderedPageBreak/>
        <w:t>disproportionate influence, or to which child</w:t>
      </w:r>
      <w:r w:rsidR="000D2344" w:rsidRPr="00F82F73">
        <w:t>ren are particularly vulnerable</w:t>
      </w:r>
      <w:r w:rsidRPr="00F82F73">
        <w:t>”</w:t>
      </w:r>
      <w:r w:rsidR="000D2344" w:rsidRPr="00F82F73">
        <w:t xml:space="preserve"> </w:t>
      </w:r>
      <w:r w:rsidRPr="00F82F73">
        <w:t>[9] (p.</w:t>
      </w:r>
      <w:r w:rsidR="000D2344" w:rsidRPr="00F82F73">
        <w:t xml:space="preserve"> </w:t>
      </w:r>
      <w:r w:rsidRPr="00F82F73">
        <w:t xml:space="preserve">20). Both legislative approaches (UK </w:t>
      </w:r>
      <w:proofErr w:type="spellStart"/>
      <w:r w:rsidRPr="00F82F73">
        <w:t>Ofcom</w:t>
      </w:r>
      <w:proofErr w:type="spellEnd"/>
      <w:r w:rsidRPr="00F82F73">
        <w:t xml:space="preserve"> regulations) [3] and voluntary initiatives (CFBAI) </w:t>
      </w:r>
      <w:r w:rsidRPr="00F82F73">
        <w:fldChar w:fldCharType="begin" w:fldLock="1"/>
      </w:r>
      <w:r w:rsidRPr="00F82F73">
        <w:instrText>ADDIN CSL_CITATION { "citationItems" : [ { "id" : "ITEM-1", "itemData" : { "URL" : "https://www.bbb.org/globalassets/local-bbbs/council-113/media/cfbai/program-and-core-principles_for-online-access.pdf", "accessed" : { "date-parts" : [ [ "2015", "9", "29" ] ] }, "author" : [ { "dropping-particle" : "", "family" : "Children's Food and Beverage Advertising Initiative", "given" : "", "non-dropping-particle" : "", "parse-names" : false, "suffix" : "" } ], "id" : "ITEM-1", "issued" : { "date-parts" : [ [ "2014" ] ] }, "title" : "CFBAI Program and Core Principles At A Glance", "type" : "webpage" }, "uris" : [ "http://www.mendeley.com/documents/?uuid=5159dc8e-6fa5-44d2-aa96-80e13c6cdfc4" ] } ], "mendeley" : { "formattedCitation" : "(9)", "manualFormatting" : "[12", "plainTextFormattedCitation" : "(9)", "previouslyFormattedCitation" : "(9)" }, "properties" : {  }, "schema" : "https://github.com/citation-style-language/schema/raw/master/csl-citation.json" }</w:instrText>
      </w:r>
      <w:r w:rsidRPr="00F82F73">
        <w:fldChar w:fldCharType="separate"/>
      </w:r>
      <w:r w:rsidRPr="00F82F73">
        <w:t>[10</w:t>
      </w:r>
      <w:r w:rsidRPr="00F82F73">
        <w:fldChar w:fldCharType="end"/>
      </w:r>
      <w:r w:rsidRPr="00F82F73">
        <w:t>] purport to target the content of television food adverts to reduce their persuasive power or shift the mix of foods advertised to children under age 12.</w:t>
      </w:r>
    </w:p>
    <w:p w14:paraId="22B1B7DC" w14:textId="77777777" w:rsidR="002C22B4" w:rsidRPr="00F82F73" w:rsidRDefault="002C22B4" w:rsidP="003B5B68">
      <w:pPr>
        <w:pStyle w:val="MDPI31text"/>
      </w:pPr>
      <w:r w:rsidRPr="00F82F73">
        <w:t>In the context of greater marketing regulation, food manufacturers increasingly aim to position their products in the context of a ‘healthy and balanced diet’ within television adverts and wider marketing. The International Food and Beverage Alliance pledges to “raise awareness on balanced diets and increased levels of physical activity” [11] and the Food and Drink Federation states that marketing messages should communicate “healthy dietary habits and physical activity”</w:t>
      </w:r>
      <w:r w:rsidR="000D2344" w:rsidRPr="00F82F73">
        <w:t xml:space="preserve"> </w:t>
      </w:r>
      <w:r w:rsidRPr="00F82F73">
        <w:t>[12]. Marketers assert that this encourages children to maintain healthy lifestyles and some evidence does support the potential of nutritional messaging, which may positively influence children</w:t>
      </w:r>
      <w:r w:rsidR="000D2344" w:rsidRPr="00F82F73">
        <w:t>’</w:t>
      </w:r>
      <w:r w:rsidRPr="00F82F73">
        <w:t xml:space="preserve">s short term consumption </w:t>
      </w:r>
      <w:proofErr w:type="spellStart"/>
      <w:r w:rsidRPr="00F82F73">
        <w:t>behaviours</w:t>
      </w:r>
      <w:proofErr w:type="spellEnd"/>
      <w:r w:rsidRPr="00F82F73">
        <w:t xml:space="preserve"> [13]. Other research demonstrates that health referencing used in some circumstances may lead to the misinterpretation of foods. One study reported that fast food restaurants leveraged healthy foods to promote unhealthy children’s fast food meal options [14], and this approach has been referred to as a “health halo” effect [15].</w:t>
      </w:r>
    </w:p>
    <w:p w14:paraId="16E734C9" w14:textId="77777777" w:rsidR="002C22B4" w:rsidRPr="00F82F73" w:rsidRDefault="002C22B4" w:rsidP="003B5B68">
      <w:pPr>
        <w:pStyle w:val="MDPI31text"/>
      </w:pPr>
      <w:r w:rsidRPr="00F82F73">
        <w:t xml:space="preserve">The </w:t>
      </w:r>
      <w:proofErr w:type="spellStart"/>
      <w:r w:rsidRPr="00F82F73">
        <w:t>healthhalo</w:t>
      </w:r>
      <w:proofErr w:type="spellEnd"/>
      <w:r w:rsidRPr="00F82F73">
        <w:t xml:space="preserve"> effect involves cognitive bias where an explicit claim about single health quality (e.g., “contains essential nutrients”) or an implicit reference within the marketing (e.g., physical activity depiction) gives rise to more positive impression of other, non-claimed qualities [15]. For example, researchers found that using the label “fruit sugar” instead of “sugar” increased the perceived healthiness of breakfast cereals </w:t>
      </w:r>
      <w:r w:rsidRPr="00F82F73">
        <w:fldChar w:fldCharType="begin" w:fldLock="1"/>
      </w:r>
      <w:r w:rsidRPr="00F82F73">
        <w:instrText>ADDIN CSL_CITATION { "citationItems" : [ { "id" : "ITEM-1", "itemData" : { "DOI" : "10.1016/j.appet.2015.07.011", "ISBN" : "1095-8304", "ISSN" : "10958304", "PMID" : "26184340", "abstract" : "People may use simple heuristics to assess the healthiness of food products. For instance, the information that a product contains \"fruit sugar\" (in German, \"fruit sugar\" is the colloquial term for fructose) could be interpreted as a cue that the product is relatively healthy, since the term \"fruit\" symbolizes healthiness. This can have a misleading effect on the perceived healthiness of a product. In Experiment 1, participants (. N = 164) were asked to evaluate the healthiness of one of two breakfast cereals based on the information provided in a nutrition table. For one group, the label \"fruit sugar\" was used; for the other, the label \"sugar\" was used. Results suggest that the phrase \"fruit sugar\" listed as an ingredient of the breakfast cereal resulted in a more positive perception of the healthiness of the cereal compared with the ingredient labeled \"sugar.\" In Experiment 2 (. N = 202), the results of Experiment 1 were replicated with a within-subjects design in which participants evaluated the two products simultaneously. Experiment 3 (. N = 251) ruled out the alternative explanation that the effect could be due to differing inferences about the product's ingredients based on the label used, that is, that the product labeled with \"fruit sugar\" contains fruit. Finally, in Experiment 4 (. N = 162), the results show that the healthiness associated with the labeling of the ingredient \"sugar\" (\"fruit sugar\" vs. \"sugar\") mediates the observed effect. Results of the four experiments indicate that symbolic information is an important factor that can influence people's health perceptions of food. These findings have implications for marketing and public health.", "author" : [ { "dropping-particle" : "", "family" : "S\u00fctterlin", "given" : "Bernadette", "non-dropping-particle" : "", "parse-names" : false, "suffix" : "" }, { "dropping-particle" : "", "family" : "Siegrist", "given" : "Michael", "non-dropping-particle" : "", "parse-names" : false, "suffix" : "" } ], "container-title" : "Appetite", "id" : "ITEM-1", "issued" : { "date-parts" : [ [ "2015" ] ] }, "page" : "252-261", "publisher" : "Elsevier Ltd", "title" : "Simply adding the word \"fruit\" makes sugar healthier: The misleading effect of symbolic information on the perceived healthiness of food", "type" : "article-journal", "volume" : "95" }, "uris" : [ "http://www.mendeley.com/documents/?uuid=e982ffd3-4d39-47f8-a3bb-97e2a22d7f2e" ] } ], "mendeley" : { "formattedCitation" : "(15)", "manualFormatting" : "[15", "plainTextFormattedCitation" : "(15)", "previouslyFormattedCitation" : "(15)" }, "properties" : {  }, "schema" : "https://github.com/citation-style-language/schema/raw/master/csl-citation.json" }</w:instrText>
      </w:r>
      <w:r w:rsidRPr="00F82F73">
        <w:fldChar w:fldCharType="separate"/>
      </w:r>
      <w:r w:rsidRPr="00F82F73">
        <w:t>[15</w:t>
      </w:r>
      <w:r w:rsidRPr="00F82F73">
        <w:fldChar w:fldCharType="end"/>
      </w:r>
      <w:r w:rsidRPr="00F82F73">
        <w:t xml:space="preserve">] indicating that a less-healthful food may be considered as healthy based on the package claims. Both explicit and implicit health-related messages may alter perceptions of </w:t>
      </w:r>
      <w:r w:rsidR="000D2344" w:rsidRPr="00F82F73">
        <w:t xml:space="preserve">food products in similar ways. </w:t>
      </w:r>
      <w:r w:rsidRPr="00F82F73">
        <w:t>A recent experimental study explored the specific impact of 5</w:t>
      </w:r>
      <w:r w:rsidR="000D2344" w:rsidRPr="00F82F73">
        <w:t>–</w:t>
      </w:r>
      <w:r w:rsidRPr="00F82F73">
        <w:t>6 and 10</w:t>
      </w:r>
      <w:r w:rsidR="000D2344" w:rsidRPr="00F82F73">
        <w:t>–</w:t>
      </w:r>
      <w:r w:rsidRPr="00F82F73">
        <w:t>11 year</w:t>
      </w:r>
      <w:r w:rsidR="000D2344" w:rsidRPr="00F82F73">
        <w:t>s</w:t>
      </w:r>
      <w:r w:rsidRPr="00F82F73">
        <w:t xml:space="preserve"> old children’s perceptions of a television advert for a sugar-laden cereal depicting physical activity, compared with an advert for the same product without physical activity being referenced [16]. It found that the sugary-cereal advert containing a physical activity reference led children to believe that the cereal was a healthier option and failed to encourage engagement in physical activity depicted within the advert or more general exercise. Australian children were also more likely to choose energy-dense nutrient poor foods when packaging featured </w:t>
      </w:r>
      <w:bookmarkStart w:id="0" w:name="_GoBack"/>
      <w:bookmarkEnd w:id="0"/>
      <w:r w:rsidRPr="00F82F73">
        <w:t>nutrient content claims [17]. Recent experimental data in children aged 7</w:t>
      </w:r>
      <w:r w:rsidR="000D2344" w:rsidRPr="00F82F73">
        <w:t>–</w:t>
      </w:r>
      <w:r w:rsidRPr="00F82F73">
        <w:t>11 has confirmed health halo effects (using nutrition and physical activity messages) in child-directed adverts for nutrient poor food and drinks [18]. It was reported that children viewing the health halo adverts rated the products in those adverts as significantly healthier than those children who saw other adverts for the same products without the health messaging.</w:t>
      </w:r>
    </w:p>
    <w:p w14:paraId="3EE0CFE5" w14:textId="77777777" w:rsidR="002C22B4" w:rsidRPr="00F82F73" w:rsidRDefault="002C22B4" w:rsidP="003B5B68">
      <w:pPr>
        <w:pStyle w:val="MDPI31text"/>
      </w:pPr>
      <w:r w:rsidRPr="00F82F73">
        <w:t>This study aims to build on existing research quantifying the creative content of food and beverage (hereafter referred to as ‘food’) advertising, with a specific focus on the use of health-related messaging as part of a health halo effect. The study will explore the depictions of physical activity and use of health-claims and themes in food advertising (for unhealthy, healthy and miscellaneous products) across a range of channels popular with children, as well as exploring differences across channel types and between peak and non-peak children’s viewing times. By re-examining broadcast data from 2008 [19] and coding broadcast data from 2010 (after the full implementation of the regulations), health-related messages in food advertising are measured over time to identify any changes (as may be expected following the legislative action). Such monitoring is recommended by both researchers [20] and public health authorities [8</w:t>
      </w:r>
      <w:r w:rsidR="000D2344" w:rsidRPr="00F82F73">
        <w:t>,</w:t>
      </w:r>
      <w:r w:rsidRPr="00F82F73">
        <w:t>9], and these data could allow policy-makers to determine what areas of food marketing may warrant further regulation to restrict misleading health-related messaging.</w:t>
      </w:r>
    </w:p>
    <w:p w14:paraId="51946BF7" w14:textId="77777777" w:rsidR="002C22B4" w:rsidRPr="00F82F73" w:rsidRDefault="000D2344" w:rsidP="003B5B68">
      <w:pPr>
        <w:pStyle w:val="MDPI21heading1"/>
        <w:jc w:val="both"/>
      </w:pPr>
      <w:r w:rsidRPr="00F82F73">
        <w:t xml:space="preserve">2. </w:t>
      </w:r>
      <w:r w:rsidR="002C22B4" w:rsidRPr="00F82F73">
        <w:t>Materials and Methods</w:t>
      </w:r>
    </w:p>
    <w:p w14:paraId="45FED286" w14:textId="77777777" w:rsidR="002C22B4" w:rsidRPr="00F82F73" w:rsidRDefault="002C22B4" w:rsidP="003B5B68">
      <w:pPr>
        <w:pStyle w:val="MDPI31text"/>
      </w:pPr>
      <w:r w:rsidRPr="00F82F73">
        <w:t>Television recordings were made on one week day (Tuesday or Thursday) and one weekend day (Saturday or Sunday) over 12 months of 2008 and six months of 2010 (February, April, June, August, October and December). This resulted in 5233.5 h of television from 2008 and 1931.5 hours from 2010 (missing data due to recording errors). Food and beverage adverts (</w:t>
      </w:r>
      <w:r w:rsidRPr="00F82F73">
        <w:rPr>
          <w:i/>
        </w:rPr>
        <w:t>n</w:t>
      </w:r>
      <w:r w:rsidR="000D2344" w:rsidRPr="00F82F73">
        <w:t xml:space="preserve"> </w:t>
      </w:r>
      <w:r w:rsidRPr="00F82F73">
        <w:t>=</w:t>
      </w:r>
      <w:r w:rsidR="000D2344" w:rsidRPr="00F82F73">
        <w:t xml:space="preserve"> </w:t>
      </w:r>
      <w:r w:rsidRPr="00F82F73">
        <w:t xml:space="preserve">18,888 in 2008, </w:t>
      </w:r>
      <w:r w:rsidRPr="00F82F73">
        <w:rPr>
          <w:i/>
        </w:rPr>
        <w:t>n</w:t>
      </w:r>
      <w:r w:rsidR="000D2344" w:rsidRPr="00F82F73">
        <w:t xml:space="preserve"> </w:t>
      </w:r>
      <w:r w:rsidRPr="00F82F73">
        <w:t>=</w:t>
      </w:r>
      <w:r w:rsidR="000D2344" w:rsidRPr="00F82F73">
        <w:t xml:space="preserve"> </w:t>
      </w:r>
      <w:r w:rsidRPr="00F82F73">
        <w:t xml:space="preserve">6664 in 2010) from UK television channels popular with children were coded and </w:t>
      </w:r>
      <w:proofErr w:type="spellStart"/>
      <w:r w:rsidRPr="00F82F73">
        <w:t>analysed</w:t>
      </w:r>
      <w:proofErr w:type="spellEnd"/>
      <w:r w:rsidRPr="00F82F73">
        <w:t xml:space="preserve">. Six </w:t>
      </w:r>
      <w:r w:rsidRPr="00F82F73">
        <w:lastRenderedPageBreak/>
        <w:t>months of 2010 television recording is likely to be highly representative of the full 12 months, we found a less than a 1% change in proportions of food types advertised between the 12 month</w:t>
      </w:r>
      <w:r w:rsidR="000D2344" w:rsidRPr="00F82F73">
        <w:t>s</w:t>
      </w:r>
      <w:r w:rsidRPr="00F82F73">
        <w:t xml:space="preserve"> published data of 2008 compared to six months [21].</w:t>
      </w:r>
    </w:p>
    <w:p w14:paraId="5BDF38D1" w14:textId="77777777" w:rsidR="002C22B4" w:rsidRPr="00F82F73" w:rsidRDefault="002C22B4" w:rsidP="003B5B68">
      <w:pPr>
        <w:pStyle w:val="MDPI31text"/>
      </w:pPr>
      <w:r w:rsidRPr="00F82F73">
        <w:t xml:space="preserve">The channels monitored for the current study were the same as those used by Boyland et al. [7] in order to enable comparisons to be made between the two sets of data. These were Nickelodeon, Cartoon Network, Boomerang, and </w:t>
      </w:r>
      <w:proofErr w:type="spellStart"/>
      <w:r w:rsidRPr="00F82F73">
        <w:t>CiTV</w:t>
      </w:r>
      <w:proofErr w:type="spellEnd"/>
      <w:r w:rsidRPr="00F82F73">
        <w:t xml:space="preserve"> (children’s channels); Sky Sports 1 (sports channel); ITV1, Channel Four, Channel Five, Sky1 and E4 (family channels) and 4Music, Smash Hits, and MTV (music channels). This list reflects those commercial channels with the greatest viewing share for children aged 4</w:t>
      </w:r>
      <w:r w:rsidR="000D2344" w:rsidRPr="00F82F73">
        <w:t>–</w:t>
      </w:r>
      <w:r w:rsidRPr="00F82F73">
        <w:t>15 years and those reported to be popular with 5</w:t>
      </w:r>
      <w:r w:rsidR="000D2344" w:rsidRPr="00F82F73">
        <w:t>–</w:t>
      </w:r>
      <w:r w:rsidRPr="00F82F73">
        <w:t xml:space="preserve">16 year olds [22]. In addition, the 2008 sample monitored children’s channel </w:t>
      </w:r>
      <w:proofErr w:type="spellStart"/>
      <w:r w:rsidRPr="00F82F73">
        <w:t>Jetix</w:t>
      </w:r>
      <w:proofErr w:type="spellEnd"/>
      <w:r w:rsidRPr="00F82F73">
        <w:t>, which was taken off air between th</w:t>
      </w:r>
      <w:r w:rsidR="000D2344" w:rsidRPr="00F82F73">
        <w:t xml:space="preserve">e two recording times. </w:t>
      </w:r>
      <w:r w:rsidRPr="00F82F73">
        <w:t>On each test day, television was recorded from 06:00</w:t>
      </w:r>
      <w:r w:rsidR="000D2344" w:rsidRPr="00F82F73">
        <w:t>–</w:t>
      </w:r>
      <w:r w:rsidRPr="00F82F73">
        <w:t xml:space="preserve">22:00 (16 h), with the exception of </w:t>
      </w:r>
      <w:proofErr w:type="spellStart"/>
      <w:r w:rsidRPr="00F82F73">
        <w:t>CiTV</w:t>
      </w:r>
      <w:proofErr w:type="spellEnd"/>
      <w:r w:rsidRPr="00F82F73">
        <w:t xml:space="preserve"> which only broadcasts for 12 h (6:00</w:t>
      </w:r>
      <w:r w:rsidR="000D2344" w:rsidRPr="00F82F73">
        <w:t>–</w:t>
      </w:r>
      <w:r w:rsidRPr="00F82F73">
        <w:t>18:00).</w:t>
      </w:r>
    </w:p>
    <w:p w14:paraId="1D939779" w14:textId="77777777" w:rsidR="002C22B4" w:rsidRPr="00F82F73" w:rsidRDefault="002C22B4" w:rsidP="003B5B68">
      <w:pPr>
        <w:pStyle w:val="MDPI31text"/>
      </w:pPr>
      <w:r w:rsidRPr="00F82F73">
        <w:t xml:space="preserve">Coding across channel types, food types and children’s viewing times was performed in line with previous research with adherence to an established coding scheme used in this area [7,23]. Specific to this study, previously published data from 2008 [7] was re-examined and new data [21] coded to examine health-related content of food adverts. Food/beverage items were </w:t>
      </w:r>
      <w:proofErr w:type="spellStart"/>
      <w:r w:rsidRPr="00F82F73">
        <w:t>categorised</w:t>
      </w:r>
      <w:proofErr w:type="spellEnd"/>
      <w:r w:rsidRPr="00F82F73">
        <w:t xml:space="preserve"> into one of 29 food groups of which all were exclusively core(healthy), non-core (unhealthy) or miscellaneous items (see </w:t>
      </w:r>
      <w:r w:rsidR="006835D5" w:rsidRPr="006835D5">
        <w:t>Table A</w:t>
      </w:r>
      <w:r w:rsidR="006835D5">
        <w:t>1</w:t>
      </w:r>
      <w:r w:rsidRPr="00F82F73">
        <w:t>).</w:t>
      </w:r>
    </w:p>
    <w:p w14:paraId="4226C5DD" w14:textId="77777777" w:rsidR="002C22B4" w:rsidRPr="00F82F73" w:rsidRDefault="002C22B4" w:rsidP="003B5B68">
      <w:pPr>
        <w:pStyle w:val="MDPI31text"/>
      </w:pPr>
      <w:r w:rsidRPr="00F82F73">
        <w:t>Any physical activity depiction, defined as the visual presentation of one or more individuals engaged in exercise beyond walking (not in background), was coded. In addition, health claims were coded across 15 categories including “no added sugar”, “provides essential nutrients (e.g., calcium, vitamins, antioxidants)”, and “part of your five a day”. Both verbal and textual health messages were coded and where more than one claim was made, the main claim was coded (if more than one main claim was found, the first mentioned was coded). The primary persuasive appeal used in each advertisement was also coded in accordance with the pre-established criteria. Categories included health-related (e.g.</w:t>
      </w:r>
      <w:r w:rsidR="000D2344" w:rsidRPr="00F82F73">
        <w:t>,</w:t>
      </w:r>
      <w:r w:rsidRPr="00F82F73">
        <w:t xml:space="preserve"> health/nutrition, weight loss/diet) and non-health-related appeals (e.g.</w:t>
      </w:r>
      <w:r w:rsidR="000D2344" w:rsidRPr="00F82F73">
        <w:t>,</w:t>
      </w:r>
      <w:r w:rsidRPr="00F82F73">
        <w:t xml:space="preserve"> enjoyment/satisfaction, fun) so that shifts towards or away from the use of health-related appeals could b</w:t>
      </w:r>
      <w:r w:rsidR="000D2344" w:rsidRPr="00F82F73">
        <w:t xml:space="preserve">e identified (see </w:t>
      </w:r>
      <w:r w:rsidR="006835D5" w:rsidRPr="006835D5">
        <w:t>Table A2</w:t>
      </w:r>
      <w:r w:rsidR="000D2344" w:rsidRPr="00F82F73">
        <w:t xml:space="preserve">). </w:t>
      </w:r>
      <w:r w:rsidRPr="00F82F73">
        <w:t>If more than one persuasive appeal was used the most dominant appeal was coded. In the event that this was not clear, the appeal featuring first was used.</w:t>
      </w:r>
    </w:p>
    <w:p w14:paraId="64817F02" w14:textId="77777777" w:rsidR="002C22B4" w:rsidRPr="00F82F73" w:rsidRDefault="002C22B4" w:rsidP="003B5B68">
      <w:pPr>
        <w:pStyle w:val="MDPI31text"/>
      </w:pPr>
      <w:r w:rsidRPr="00F82F73">
        <w:t>To assess coding reliability between researchers, a random two hour sample of television was coded by both researchers and compared for consistency (as conducted for food categories [21]). For physical activity depiction, agreement was 83.3% between coders with moderate agreement between coders (</w:t>
      </w:r>
      <w:r w:rsidRPr="00F82F73">
        <w:rPr>
          <w:i/>
        </w:rPr>
        <w:t>κ</w:t>
      </w:r>
      <w:r w:rsidRPr="00F82F73">
        <w:t xml:space="preserve"> = 0.571). For health claims, agreement was 100% between coders (</w:t>
      </w:r>
      <w:r w:rsidRPr="00F82F73">
        <w:rPr>
          <w:i/>
        </w:rPr>
        <w:t>κ</w:t>
      </w:r>
      <w:r w:rsidRPr="00F82F73">
        <w:t xml:space="preserve"> = 1.000). For primary persuasive appeal, agreement was 66% between coders (</w:t>
      </w:r>
      <w:r w:rsidRPr="00F82F73">
        <w:rPr>
          <w:i/>
        </w:rPr>
        <w:t>κ</w:t>
      </w:r>
      <w:r w:rsidRPr="00F82F73">
        <w:t xml:space="preserve"> = 0.571).</w:t>
      </w:r>
    </w:p>
    <w:p w14:paraId="56F253C1" w14:textId="77777777" w:rsidR="002C22B4" w:rsidRPr="00F82F73" w:rsidRDefault="000D2344" w:rsidP="003B5B68">
      <w:pPr>
        <w:pStyle w:val="MDPI21heading1"/>
        <w:jc w:val="both"/>
      </w:pPr>
      <w:r w:rsidRPr="00F82F73">
        <w:t xml:space="preserve">3. </w:t>
      </w:r>
      <w:r w:rsidR="002C22B4" w:rsidRPr="00F82F73">
        <w:t xml:space="preserve">Results </w:t>
      </w:r>
    </w:p>
    <w:p w14:paraId="2983FFC3" w14:textId="77777777" w:rsidR="002C22B4" w:rsidRPr="00F82F73" w:rsidRDefault="000D2344" w:rsidP="003B5B68">
      <w:pPr>
        <w:pStyle w:val="MDPI22heading2"/>
        <w:kinsoku/>
        <w:overflowPunct/>
        <w:autoSpaceDE/>
        <w:autoSpaceDN/>
        <w:jc w:val="both"/>
        <w:rPr>
          <w:noProof w:val="0"/>
        </w:rPr>
      </w:pPr>
      <w:r w:rsidRPr="00F82F73">
        <w:rPr>
          <w:noProof w:val="0"/>
        </w:rPr>
        <w:t xml:space="preserve">3.1. </w:t>
      </w:r>
      <w:r w:rsidR="002C22B4" w:rsidRPr="00F82F73">
        <w:rPr>
          <w:noProof w:val="0"/>
        </w:rPr>
        <w:t xml:space="preserve">Physical </w:t>
      </w:r>
      <w:r w:rsidRPr="00F82F73">
        <w:rPr>
          <w:noProof w:val="0"/>
        </w:rPr>
        <w:t>Activity Depiction</w:t>
      </w:r>
    </w:p>
    <w:p w14:paraId="47F79DDA" w14:textId="77777777" w:rsidR="002C22B4" w:rsidRPr="00F82F73" w:rsidRDefault="002C22B4" w:rsidP="003B5B68">
      <w:pPr>
        <w:pStyle w:val="MDPI31text"/>
      </w:pPr>
      <w:r w:rsidRPr="00F82F73">
        <w:t>Overall, depiction of physical activity in television food adverts displayed an 18.8 percentage point increase (hereafter referred to as percent point) from 2008 (4.4%) to 2010 (23.2%). Increases were seen across all channels, on sports (+12.5, from 6.9% in 2008 to 19.4% in 2010), family (+15.4, from 3.7% in 2008 to 19.1% in 2010) and music (+11.8, 3.3% in 2008 to 15.1% in 2010) channels, but the largest percent point increase was seen on children’s channels from 5.2% in 2008 to 34.7% in 2010 (+29.5). During peak children’s viewing times, the frequency of physical activity depiction increased 15.2 percent points, from 5.1% in 2008 to 20.3% in 2010.</w:t>
      </w:r>
    </w:p>
    <w:p w14:paraId="016F8F03" w14:textId="77777777" w:rsidR="002C22B4" w:rsidRPr="00F82F73" w:rsidRDefault="002C22B4" w:rsidP="003B5B68">
      <w:pPr>
        <w:pStyle w:val="MDPI31text"/>
      </w:pPr>
      <w:r w:rsidRPr="00F82F73">
        <w:t xml:space="preserve">Of the food adverts containing physical activity depiction in 2010, 81.1% were for non-core foods. Common examples from this sample include adverts for food brands McDonalds, Robinson’s (sugar sweetened drinks) and </w:t>
      </w:r>
      <w:proofErr w:type="spellStart"/>
      <w:r w:rsidRPr="00F82F73">
        <w:t>Weetos</w:t>
      </w:r>
      <w:proofErr w:type="spellEnd"/>
      <w:r w:rsidRPr="00F82F73">
        <w:t xml:space="preserve"> (high sugar/low </w:t>
      </w:r>
      <w:proofErr w:type="spellStart"/>
      <w:r w:rsidRPr="00F82F73">
        <w:t>fibre</w:t>
      </w:r>
      <w:proofErr w:type="spellEnd"/>
      <w:r w:rsidRPr="00F82F73">
        <w:t xml:space="preserve"> breakfast cereal). See Table 1 for a breakdown of physical activity depiction in core, non-core and miscellaneous food adverts across the whole sample and by channel type, including how this has changed over time (2008 to 2010).</w:t>
      </w:r>
    </w:p>
    <w:p w14:paraId="2FCE1F43" w14:textId="77777777" w:rsidR="002C22B4" w:rsidRPr="00F82F73" w:rsidRDefault="002C22B4" w:rsidP="000D2344">
      <w:pPr>
        <w:pStyle w:val="MDPI41tablecaption"/>
      </w:pPr>
      <w:r w:rsidRPr="00F82F73">
        <w:rPr>
          <w:b/>
        </w:rPr>
        <w:lastRenderedPageBreak/>
        <w:t>Table 1.</w:t>
      </w:r>
      <w:r w:rsidRPr="00F82F73">
        <w:t xml:space="preserve"> Health-related message use in all adverts in 2010 (</w:t>
      </w:r>
      <w:r w:rsidRPr="00F82F73">
        <w:rPr>
          <w:i/>
        </w:rPr>
        <w:t>n</w:t>
      </w:r>
      <w:r w:rsidR="000D2344" w:rsidRPr="00F82F73">
        <w:rPr>
          <w:i/>
        </w:rPr>
        <w:t xml:space="preserve"> </w:t>
      </w:r>
      <w:r w:rsidR="000D2344" w:rsidRPr="00F82F73">
        <w:t>= 6</w:t>
      </w:r>
      <w:r w:rsidRPr="00F82F73">
        <w:t>664) across core, non-core and miscellaneous food advertisements and comparison with the 2008 sample (</w:t>
      </w:r>
      <w:r w:rsidRPr="00F82F73">
        <w:rPr>
          <w:i/>
        </w:rPr>
        <w:t>n</w:t>
      </w:r>
      <w:r w:rsidR="000D2344" w:rsidRPr="00F82F73">
        <w:rPr>
          <w:i/>
        </w:rPr>
        <w:t xml:space="preserve"> </w:t>
      </w:r>
      <w:r w:rsidRPr="00F82F73">
        <w:t>=</w:t>
      </w:r>
      <w:r w:rsidR="000D2344" w:rsidRPr="00F82F73">
        <w:t xml:space="preserve"> </w:t>
      </w:r>
      <w:r w:rsidRPr="00F82F73">
        <w:t>18,888)</w:t>
      </w:r>
      <w:r w:rsidR="000D2344" w:rsidRPr="00F82F73">
        <w:t>.</w:t>
      </w:r>
    </w:p>
    <w:tbl>
      <w:tblPr>
        <w:tblStyle w:val="Mdeck5tablebodythreelines"/>
        <w:tblW w:w="0" w:type="auto"/>
        <w:tblBorders>
          <w:top w:val="single" w:sz="8" w:space="0" w:color="auto"/>
          <w:insideH w:val="single" w:sz="4" w:space="0" w:color="auto"/>
        </w:tblBorders>
        <w:tblLook w:val="04A0" w:firstRow="1" w:lastRow="0" w:firstColumn="1" w:lastColumn="0" w:noHBand="0" w:noVBand="1"/>
      </w:tblPr>
      <w:tblGrid>
        <w:gridCol w:w="1880"/>
        <w:gridCol w:w="653"/>
        <w:gridCol w:w="1068"/>
        <w:gridCol w:w="1072"/>
        <w:gridCol w:w="1274"/>
        <w:gridCol w:w="1451"/>
        <w:gridCol w:w="1662"/>
      </w:tblGrid>
      <w:tr w:rsidR="000D2344" w:rsidRPr="00F82F73" w14:paraId="28066C04" w14:textId="77777777" w:rsidTr="000D2344">
        <w:trPr>
          <w:cnfStyle w:val="100000000000" w:firstRow="1" w:lastRow="0" w:firstColumn="0" w:lastColumn="0" w:oddVBand="0" w:evenVBand="0" w:oddHBand="0" w:evenHBand="0" w:firstRowFirstColumn="0" w:firstRowLastColumn="0" w:lastRowFirstColumn="0" w:lastRowLastColumn="0"/>
        </w:trPr>
        <w:tc>
          <w:tcPr>
            <w:tcW w:w="18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921786" w14:textId="77777777" w:rsidR="002C22B4" w:rsidRPr="00F82F73" w:rsidRDefault="002C22B4" w:rsidP="000D2344">
            <w:pPr>
              <w:pStyle w:val="MDPI42tablebody"/>
              <w:spacing w:line="240" w:lineRule="auto"/>
              <w:rPr>
                <w:b/>
                <w:sz w:val="18"/>
                <w:szCs w:val="18"/>
                <w:lang w:val="en-US"/>
              </w:rPr>
            </w:pPr>
            <w:r w:rsidRPr="00F82F73">
              <w:rPr>
                <w:b/>
                <w:sz w:val="18"/>
                <w:szCs w:val="18"/>
                <w:lang w:val="en-US"/>
              </w:rPr>
              <w:t>Health-</w:t>
            </w:r>
            <w:r w:rsidR="000D2344" w:rsidRPr="00F82F73">
              <w:rPr>
                <w:b/>
                <w:sz w:val="18"/>
                <w:szCs w:val="18"/>
                <w:lang w:val="en-US"/>
              </w:rPr>
              <w:t>Related Message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9D27EA" w14:textId="77777777" w:rsidR="002C22B4" w:rsidRPr="00F82F73" w:rsidRDefault="002C22B4" w:rsidP="000D2344">
            <w:pPr>
              <w:pStyle w:val="MDPI42tablebody"/>
              <w:spacing w:line="240" w:lineRule="auto"/>
              <w:rPr>
                <w:b/>
                <w:sz w:val="18"/>
                <w:szCs w:val="18"/>
                <w:lang w:val="en-US"/>
              </w:rPr>
            </w:pPr>
            <w:r w:rsidRPr="00F82F73">
              <w:rPr>
                <w:b/>
                <w:sz w:val="18"/>
                <w:szCs w:val="18"/>
                <w:lang w:val="en-US"/>
              </w:rPr>
              <w:t>Core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110EFE" w14:textId="77777777" w:rsidR="002C22B4" w:rsidRPr="00F82F73" w:rsidRDefault="002C22B4" w:rsidP="000D2344">
            <w:pPr>
              <w:pStyle w:val="MDPI42tablebody"/>
              <w:spacing w:line="240" w:lineRule="auto"/>
              <w:rPr>
                <w:b/>
                <w:sz w:val="18"/>
                <w:szCs w:val="18"/>
                <w:lang w:val="en-US"/>
              </w:rPr>
            </w:pPr>
            <w:r w:rsidRPr="00F82F73">
              <w:rPr>
                <w:b/>
                <w:sz w:val="18"/>
                <w:szCs w:val="18"/>
                <w:lang w:val="en-US"/>
              </w:rPr>
              <w:t xml:space="preserve">Core </w:t>
            </w:r>
            <w:r w:rsidRPr="00F82F73">
              <w:rPr>
                <w:b/>
                <w:sz w:val="18"/>
                <w:szCs w:val="18"/>
                <w:lang w:val="en-US" w:eastAsia="en-GB"/>
              </w:rPr>
              <w:t xml:space="preserve">% </w:t>
            </w:r>
            <w:r w:rsidR="000D2344" w:rsidRPr="00F82F73">
              <w:rPr>
                <w:b/>
                <w:sz w:val="18"/>
                <w:szCs w:val="18"/>
                <w:lang w:val="en-US" w:eastAsia="en-GB"/>
              </w:rPr>
              <w:t xml:space="preserve">Change </w:t>
            </w:r>
            <w:r w:rsidRPr="00F82F73">
              <w:rPr>
                <w:b/>
                <w:sz w:val="18"/>
                <w:szCs w:val="18"/>
                <w:lang w:val="en-US" w:eastAsia="en-GB"/>
              </w:rPr>
              <w:t xml:space="preserve">v 2008 </w:t>
            </w:r>
            <w:r w:rsidR="000D2344" w:rsidRPr="00F82F73">
              <w:rPr>
                <w:b/>
                <w:sz w:val="18"/>
                <w:szCs w:val="18"/>
                <w:lang w:val="en-US" w:eastAsia="en-GB"/>
              </w:rPr>
              <w: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78F356" w14:textId="77777777" w:rsidR="002C22B4" w:rsidRPr="00F82F73" w:rsidRDefault="002C22B4" w:rsidP="000D2344">
            <w:pPr>
              <w:pStyle w:val="MDPI42tablebody"/>
              <w:spacing w:line="240" w:lineRule="auto"/>
              <w:rPr>
                <w:b/>
                <w:sz w:val="18"/>
                <w:szCs w:val="18"/>
                <w:lang w:val="en-US"/>
              </w:rPr>
            </w:pPr>
            <w:r w:rsidRPr="00F82F73">
              <w:rPr>
                <w:b/>
                <w:sz w:val="18"/>
                <w:szCs w:val="18"/>
                <w:lang w:val="en-US"/>
              </w:rPr>
              <w:t>Non-</w:t>
            </w:r>
            <w:r w:rsidR="000D2344" w:rsidRPr="00F82F73">
              <w:rPr>
                <w:b/>
                <w:sz w:val="18"/>
                <w:szCs w:val="18"/>
                <w:lang w:val="en-US"/>
              </w:rPr>
              <w:t xml:space="preserve">Core </w:t>
            </w:r>
            <w:r w:rsidRPr="00F82F73">
              <w:rPr>
                <w:b/>
                <w:sz w:val="18"/>
                <w:szCs w:val="18"/>
                <w:lang w:val="en-US"/>
              </w:rPr>
              <w: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1C1041" w14:textId="77777777" w:rsidR="002C22B4" w:rsidRPr="00F82F73" w:rsidRDefault="002C22B4" w:rsidP="000D2344">
            <w:pPr>
              <w:pStyle w:val="MDPI42tablebody"/>
              <w:spacing w:line="240" w:lineRule="auto"/>
              <w:rPr>
                <w:b/>
                <w:sz w:val="18"/>
                <w:szCs w:val="18"/>
                <w:lang w:val="en-US"/>
              </w:rPr>
            </w:pPr>
            <w:r w:rsidRPr="00F82F73">
              <w:rPr>
                <w:b/>
                <w:sz w:val="18"/>
                <w:szCs w:val="18"/>
                <w:lang w:val="en-US"/>
              </w:rPr>
              <w:t>Non-</w:t>
            </w:r>
            <w:r w:rsidR="000D2344" w:rsidRPr="00F82F73">
              <w:rPr>
                <w:b/>
                <w:sz w:val="18"/>
                <w:szCs w:val="18"/>
                <w:lang w:val="en-US"/>
              </w:rPr>
              <w:t xml:space="preserve">Core </w:t>
            </w:r>
            <w:r w:rsidRPr="00F82F73">
              <w:rPr>
                <w:b/>
                <w:sz w:val="18"/>
                <w:szCs w:val="18"/>
                <w:lang w:val="en-US" w:eastAsia="en-GB"/>
              </w:rPr>
              <w:t xml:space="preserve">% </w:t>
            </w:r>
            <w:r w:rsidR="000D2344" w:rsidRPr="00F82F73">
              <w:rPr>
                <w:b/>
                <w:sz w:val="18"/>
                <w:szCs w:val="18"/>
                <w:lang w:val="en-US" w:eastAsia="en-GB"/>
              </w:rPr>
              <w:t xml:space="preserve">Change </w:t>
            </w:r>
            <w:r w:rsidRPr="00F82F73">
              <w:rPr>
                <w:b/>
                <w:sz w:val="18"/>
                <w:szCs w:val="18"/>
                <w:lang w:val="en-US" w:eastAsia="en-GB"/>
              </w:rPr>
              <w:t xml:space="preserve">v 2008 </w:t>
            </w:r>
            <w:r w:rsidR="000D2344" w:rsidRPr="00F82F73">
              <w:rPr>
                <w:b/>
                <w:sz w:val="18"/>
                <w:szCs w:val="18"/>
                <w:lang w:val="en-US" w:eastAsia="en-GB"/>
              </w:rPr>
              <w: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A88640" w14:textId="77777777" w:rsidR="002C22B4" w:rsidRPr="00F82F73" w:rsidRDefault="002C22B4" w:rsidP="000D2344">
            <w:pPr>
              <w:pStyle w:val="MDPI42tablebody"/>
              <w:spacing w:line="240" w:lineRule="auto"/>
              <w:rPr>
                <w:b/>
                <w:sz w:val="18"/>
                <w:szCs w:val="18"/>
                <w:lang w:val="en-US"/>
              </w:rPr>
            </w:pPr>
            <w:r w:rsidRPr="00F82F73">
              <w:rPr>
                <w:b/>
                <w:sz w:val="18"/>
                <w:szCs w:val="18"/>
                <w:lang w:val="en-US"/>
              </w:rPr>
              <w:t>Miscellaneous (%)</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3309AA" w14:textId="77777777" w:rsidR="002C22B4" w:rsidRPr="00F82F73" w:rsidRDefault="002C22B4" w:rsidP="000D2344">
            <w:pPr>
              <w:pStyle w:val="MDPI42tablebody"/>
              <w:spacing w:line="240" w:lineRule="auto"/>
              <w:rPr>
                <w:b/>
                <w:sz w:val="18"/>
                <w:szCs w:val="18"/>
                <w:lang w:val="en-US"/>
              </w:rPr>
            </w:pPr>
            <w:r w:rsidRPr="00F82F73">
              <w:rPr>
                <w:b/>
                <w:sz w:val="18"/>
                <w:szCs w:val="18"/>
                <w:lang w:val="en-US"/>
              </w:rPr>
              <w:t xml:space="preserve">Miscellaneous </w:t>
            </w:r>
            <w:r w:rsidRPr="00F82F73">
              <w:rPr>
                <w:b/>
                <w:sz w:val="18"/>
                <w:szCs w:val="18"/>
                <w:lang w:val="en-US" w:eastAsia="en-GB"/>
              </w:rPr>
              <w:t xml:space="preserve">% </w:t>
            </w:r>
            <w:r w:rsidR="000D2344" w:rsidRPr="00F82F73">
              <w:rPr>
                <w:b/>
                <w:sz w:val="18"/>
                <w:szCs w:val="18"/>
                <w:lang w:val="en-US" w:eastAsia="en-GB"/>
              </w:rPr>
              <w:t>Change v 2008 (+/−</w:t>
            </w:r>
            <w:r w:rsidRPr="00F82F73">
              <w:rPr>
                <w:b/>
                <w:sz w:val="18"/>
                <w:szCs w:val="18"/>
                <w:lang w:val="en-US" w:eastAsia="en-GB"/>
              </w:rPr>
              <w:t>)</w:t>
            </w:r>
          </w:p>
        </w:tc>
      </w:tr>
      <w:tr w:rsidR="000D2344" w:rsidRPr="00F82F73" w14:paraId="1F38BAF1" w14:textId="77777777" w:rsidTr="000D2344">
        <w:tc>
          <w:tcPr>
            <w:tcW w:w="1879" w:type="dxa"/>
          </w:tcPr>
          <w:p w14:paraId="196AA435" w14:textId="77777777" w:rsidR="002C22B4" w:rsidRPr="00F82F73" w:rsidRDefault="002C22B4" w:rsidP="000D2344">
            <w:pPr>
              <w:pStyle w:val="MDPI42tablebody"/>
              <w:spacing w:line="240" w:lineRule="auto"/>
              <w:rPr>
                <w:sz w:val="18"/>
                <w:szCs w:val="18"/>
                <w:lang w:val="en-US"/>
              </w:rPr>
            </w:pPr>
            <w:r w:rsidRPr="00F82F73">
              <w:rPr>
                <w:sz w:val="18"/>
                <w:szCs w:val="18"/>
                <w:lang w:val="en-US"/>
              </w:rPr>
              <w:t>Physical activity (all channels)</w:t>
            </w:r>
          </w:p>
        </w:tc>
        <w:tc>
          <w:tcPr>
            <w:tcW w:w="0" w:type="auto"/>
          </w:tcPr>
          <w:p w14:paraId="2B2A350F" w14:textId="77777777" w:rsidR="002C22B4" w:rsidRPr="00F82F73" w:rsidRDefault="002C22B4" w:rsidP="000D2344">
            <w:pPr>
              <w:pStyle w:val="MDPI42tablebody"/>
              <w:spacing w:line="240" w:lineRule="auto"/>
              <w:rPr>
                <w:sz w:val="18"/>
                <w:szCs w:val="18"/>
                <w:lang w:val="en-US"/>
              </w:rPr>
            </w:pPr>
            <w:r w:rsidRPr="00F82F73">
              <w:rPr>
                <w:sz w:val="18"/>
                <w:szCs w:val="18"/>
                <w:lang w:val="en-US"/>
              </w:rPr>
              <w:t>11.8</w:t>
            </w:r>
          </w:p>
        </w:tc>
        <w:tc>
          <w:tcPr>
            <w:tcW w:w="0" w:type="auto"/>
          </w:tcPr>
          <w:p w14:paraId="0D4255F2"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17.1</w:t>
            </w:r>
          </w:p>
        </w:tc>
        <w:tc>
          <w:tcPr>
            <w:tcW w:w="0" w:type="auto"/>
          </w:tcPr>
          <w:p w14:paraId="44E7E20E" w14:textId="77777777" w:rsidR="002C22B4" w:rsidRPr="00F82F73" w:rsidRDefault="002C22B4" w:rsidP="000D2344">
            <w:pPr>
              <w:pStyle w:val="MDPI42tablebody"/>
              <w:spacing w:line="240" w:lineRule="auto"/>
              <w:rPr>
                <w:sz w:val="18"/>
                <w:szCs w:val="18"/>
                <w:lang w:val="en-US"/>
              </w:rPr>
            </w:pPr>
            <w:r w:rsidRPr="00F82F73">
              <w:rPr>
                <w:sz w:val="18"/>
                <w:szCs w:val="18"/>
                <w:lang w:val="en-US"/>
              </w:rPr>
              <w:t>81.1</w:t>
            </w:r>
          </w:p>
        </w:tc>
        <w:tc>
          <w:tcPr>
            <w:tcW w:w="0" w:type="auto"/>
          </w:tcPr>
          <w:p w14:paraId="0ED81552" w14:textId="77777777" w:rsidR="002C22B4" w:rsidRPr="00F82F73" w:rsidRDefault="002C22B4" w:rsidP="000D2344">
            <w:pPr>
              <w:pStyle w:val="MDPI42tablebody"/>
              <w:spacing w:line="240" w:lineRule="auto"/>
              <w:rPr>
                <w:sz w:val="18"/>
                <w:szCs w:val="18"/>
                <w:lang w:val="en-US"/>
              </w:rPr>
            </w:pPr>
            <w:r w:rsidRPr="00F82F73">
              <w:rPr>
                <w:sz w:val="18"/>
                <w:szCs w:val="18"/>
                <w:lang w:val="en-US"/>
              </w:rPr>
              <w:t>+15.6</w:t>
            </w:r>
          </w:p>
        </w:tc>
        <w:tc>
          <w:tcPr>
            <w:tcW w:w="0" w:type="auto"/>
          </w:tcPr>
          <w:p w14:paraId="12B6A34A" w14:textId="77777777" w:rsidR="002C22B4" w:rsidRPr="00F82F73" w:rsidRDefault="002C22B4" w:rsidP="000D2344">
            <w:pPr>
              <w:pStyle w:val="MDPI42tablebody"/>
              <w:spacing w:line="240" w:lineRule="auto"/>
              <w:rPr>
                <w:sz w:val="18"/>
                <w:szCs w:val="18"/>
                <w:lang w:val="en-US"/>
              </w:rPr>
            </w:pPr>
            <w:r w:rsidRPr="00F82F73">
              <w:rPr>
                <w:sz w:val="18"/>
                <w:szCs w:val="18"/>
                <w:lang w:val="en-US"/>
              </w:rPr>
              <w:t>7.1</w:t>
            </w:r>
          </w:p>
        </w:tc>
        <w:tc>
          <w:tcPr>
            <w:tcW w:w="0" w:type="auto"/>
          </w:tcPr>
          <w:p w14:paraId="03A2FFB7" w14:textId="77777777" w:rsidR="002C22B4" w:rsidRPr="00F82F73" w:rsidRDefault="002C22B4" w:rsidP="000D2344">
            <w:pPr>
              <w:pStyle w:val="MDPI42tablebody"/>
              <w:spacing w:line="240" w:lineRule="auto"/>
              <w:rPr>
                <w:sz w:val="18"/>
                <w:szCs w:val="18"/>
                <w:lang w:val="en-US"/>
              </w:rPr>
            </w:pPr>
            <w:r w:rsidRPr="00F82F73">
              <w:rPr>
                <w:sz w:val="18"/>
                <w:szCs w:val="18"/>
                <w:lang w:val="en-US"/>
              </w:rPr>
              <w:t>+1.5</w:t>
            </w:r>
          </w:p>
        </w:tc>
      </w:tr>
      <w:tr w:rsidR="000D2344" w:rsidRPr="00F82F73" w14:paraId="3AA8D437" w14:textId="77777777" w:rsidTr="000D2344">
        <w:tc>
          <w:tcPr>
            <w:tcW w:w="1879" w:type="dxa"/>
          </w:tcPr>
          <w:p w14:paraId="5E687083" w14:textId="77777777" w:rsidR="002C22B4" w:rsidRPr="00F82F73" w:rsidRDefault="002C22B4" w:rsidP="000D2344">
            <w:pPr>
              <w:pStyle w:val="MDPI42tablebody"/>
              <w:spacing w:line="240" w:lineRule="auto"/>
              <w:rPr>
                <w:sz w:val="18"/>
                <w:szCs w:val="18"/>
                <w:lang w:val="en-US"/>
              </w:rPr>
            </w:pPr>
            <w:r w:rsidRPr="00F82F73">
              <w:rPr>
                <w:sz w:val="18"/>
                <w:szCs w:val="18"/>
                <w:lang w:val="en-US"/>
              </w:rPr>
              <w:t>Physical activity (children’s channels)</w:t>
            </w:r>
          </w:p>
        </w:tc>
        <w:tc>
          <w:tcPr>
            <w:tcW w:w="0" w:type="auto"/>
          </w:tcPr>
          <w:p w14:paraId="67B13DEF" w14:textId="77777777" w:rsidR="002C22B4" w:rsidRPr="00F82F73" w:rsidRDefault="002C22B4" w:rsidP="000D2344">
            <w:pPr>
              <w:pStyle w:val="MDPI42tablebody"/>
              <w:spacing w:line="240" w:lineRule="auto"/>
              <w:rPr>
                <w:sz w:val="18"/>
                <w:szCs w:val="18"/>
                <w:lang w:val="en-US"/>
              </w:rPr>
            </w:pPr>
            <w:r w:rsidRPr="00F82F73">
              <w:rPr>
                <w:sz w:val="18"/>
                <w:szCs w:val="18"/>
                <w:lang w:val="en-US"/>
              </w:rPr>
              <w:t>9.8</w:t>
            </w:r>
          </w:p>
        </w:tc>
        <w:tc>
          <w:tcPr>
            <w:tcW w:w="0" w:type="auto"/>
          </w:tcPr>
          <w:p w14:paraId="15A1ECB1"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8.9</w:t>
            </w:r>
          </w:p>
        </w:tc>
        <w:tc>
          <w:tcPr>
            <w:tcW w:w="0" w:type="auto"/>
          </w:tcPr>
          <w:p w14:paraId="0002073D" w14:textId="77777777" w:rsidR="002C22B4" w:rsidRPr="00F82F73" w:rsidRDefault="002C22B4" w:rsidP="000D2344">
            <w:pPr>
              <w:pStyle w:val="MDPI42tablebody"/>
              <w:spacing w:line="240" w:lineRule="auto"/>
              <w:rPr>
                <w:sz w:val="18"/>
                <w:szCs w:val="18"/>
                <w:lang w:val="en-US"/>
              </w:rPr>
            </w:pPr>
            <w:r w:rsidRPr="00F82F73">
              <w:rPr>
                <w:sz w:val="18"/>
                <w:szCs w:val="18"/>
                <w:lang w:val="en-US"/>
              </w:rPr>
              <w:t>90.2</w:t>
            </w:r>
          </w:p>
        </w:tc>
        <w:tc>
          <w:tcPr>
            <w:tcW w:w="0" w:type="auto"/>
          </w:tcPr>
          <w:p w14:paraId="68DC66D4" w14:textId="77777777" w:rsidR="002C22B4" w:rsidRPr="00F82F73" w:rsidRDefault="002C22B4" w:rsidP="000D2344">
            <w:pPr>
              <w:pStyle w:val="MDPI42tablebody"/>
              <w:spacing w:line="240" w:lineRule="auto"/>
              <w:rPr>
                <w:sz w:val="18"/>
                <w:szCs w:val="18"/>
                <w:lang w:val="en-US"/>
              </w:rPr>
            </w:pPr>
            <w:r w:rsidRPr="00F82F73">
              <w:rPr>
                <w:sz w:val="18"/>
                <w:szCs w:val="18"/>
                <w:lang w:val="en-US"/>
              </w:rPr>
              <w:t>+8.9</w:t>
            </w:r>
          </w:p>
        </w:tc>
        <w:tc>
          <w:tcPr>
            <w:tcW w:w="0" w:type="auto"/>
          </w:tcPr>
          <w:p w14:paraId="6A61D1A5" w14:textId="77777777" w:rsidR="002C22B4" w:rsidRPr="00F82F73" w:rsidRDefault="002C22B4" w:rsidP="000D2344">
            <w:pPr>
              <w:pStyle w:val="MDPI42tablebody"/>
              <w:spacing w:line="240" w:lineRule="auto"/>
              <w:rPr>
                <w:sz w:val="18"/>
                <w:szCs w:val="18"/>
                <w:lang w:val="en-US"/>
              </w:rPr>
            </w:pPr>
            <w:r w:rsidRPr="00F82F73">
              <w:rPr>
                <w:sz w:val="18"/>
                <w:szCs w:val="18"/>
                <w:lang w:val="en-US"/>
              </w:rPr>
              <w:t>-</w:t>
            </w:r>
          </w:p>
        </w:tc>
        <w:tc>
          <w:tcPr>
            <w:tcW w:w="0" w:type="auto"/>
          </w:tcPr>
          <w:p w14:paraId="45B48D98" w14:textId="77777777" w:rsidR="002C22B4" w:rsidRPr="00F82F73" w:rsidRDefault="002C22B4" w:rsidP="000D2344">
            <w:pPr>
              <w:pStyle w:val="MDPI42tablebody"/>
              <w:spacing w:line="240" w:lineRule="auto"/>
              <w:rPr>
                <w:sz w:val="18"/>
                <w:szCs w:val="18"/>
                <w:lang w:val="en-US"/>
              </w:rPr>
            </w:pPr>
            <w:r w:rsidRPr="00F82F73">
              <w:rPr>
                <w:sz w:val="18"/>
                <w:szCs w:val="18"/>
                <w:lang w:val="en-US"/>
              </w:rPr>
              <w:t>-</w:t>
            </w:r>
          </w:p>
        </w:tc>
      </w:tr>
      <w:tr w:rsidR="000D2344" w:rsidRPr="00F82F73" w14:paraId="4D28A5E7" w14:textId="77777777" w:rsidTr="000D2344">
        <w:tc>
          <w:tcPr>
            <w:tcW w:w="1879" w:type="dxa"/>
          </w:tcPr>
          <w:p w14:paraId="79E20D35" w14:textId="77777777" w:rsidR="002C22B4" w:rsidRPr="00F82F73" w:rsidRDefault="002C22B4" w:rsidP="000D2344">
            <w:pPr>
              <w:pStyle w:val="MDPI42tablebody"/>
              <w:spacing w:line="240" w:lineRule="auto"/>
              <w:rPr>
                <w:sz w:val="18"/>
                <w:szCs w:val="18"/>
                <w:lang w:val="en-US"/>
              </w:rPr>
            </w:pPr>
            <w:r w:rsidRPr="00F82F73">
              <w:rPr>
                <w:sz w:val="18"/>
                <w:szCs w:val="18"/>
                <w:lang w:val="en-US"/>
              </w:rPr>
              <w:t>Physical activity (sports channels)</w:t>
            </w:r>
          </w:p>
        </w:tc>
        <w:tc>
          <w:tcPr>
            <w:tcW w:w="0" w:type="auto"/>
          </w:tcPr>
          <w:p w14:paraId="7021922D" w14:textId="77777777" w:rsidR="002C22B4" w:rsidRPr="00F82F73" w:rsidRDefault="002C22B4" w:rsidP="000D2344">
            <w:pPr>
              <w:pStyle w:val="MDPI42tablebody"/>
              <w:spacing w:line="240" w:lineRule="auto"/>
              <w:rPr>
                <w:sz w:val="18"/>
                <w:szCs w:val="18"/>
                <w:lang w:val="en-US"/>
              </w:rPr>
            </w:pPr>
            <w:r w:rsidRPr="00F82F73">
              <w:rPr>
                <w:sz w:val="18"/>
                <w:szCs w:val="18"/>
                <w:lang w:val="en-US"/>
              </w:rPr>
              <w:t>5.4</w:t>
            </w:r>
          </w:p>
        </w:tc>
        <w:tc>
          <w:tcPr>
            <w:tcW w:w="0" w:type="auto"/>
          </w:tcPr>
          <w:p w14:paraId="52F1C627"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21.1</w:t>
            </w:r>
          </w:p>
        </w:tc>
        <w:tc>
          <w:tcPr>
            <w:tcW w:w="0" w:type="auto"/>
          </w:tcPr>
          <w:p w14:paraId="204B9F1C" w14:textId="77777777" w:rsidR="002C22B4" w:rsidRPr="00F82F73" w:rsidRDefault="002C22B4" w:rsidP="000D2344">
            <w:pPr>
              <w:pStyle w:val="MDPI42tablebody"/>
              <w:spacing w:line="240" w:lineRule="auto"/>
              <w:rPr>
                <w:sz w:val="18"/>
                <w:szCs w:val="18"/>
                <w:lang w:val="en-US"/>
              </w:rPr>
            </w:pPr>
            <w:r w:rsidRPr="00F82F73">
              <w:rPr>
                <w:sz w:val="18"/>
                <w:szCs w:val="18"/>
                <w:lang w:val="en-US"/>
              </w:rPr>
              <w:t>94.5</w:t>
            </w:r>
          </w:p>
        </w:tc>
        <w:tc>
          <w:tcPr>
            <w:tcW w:w="0" w:type="auto"/>
          </w:tcPr>
          <w:p w14:paraId="1023BFF4" w14:textId="77777777" w:rsidR="002C22B4" w:rsidRPr="00F82F73" w:rsidRDefault="002C22B4" w:rsidP="000D2344">
            <w:pPr>
              <w:pStyle w:val="MDPI42tablebody"/>
              <w:spacing w:line="240" w:lineRule="auto"/>
              <w:rPr>
                <w:sz w:val="18"/>
                <w:szCs w:val="18"/>
                <w:lang w:val="en-US"/>
              </w:rPr>
            </w:pPr>
            <w:r w:rsidRPr="00F82F73">
              <w:rPr>
                <w:sz w:val="18"/>
                <w:szCs w:val="18"/>
                <w:lang w:val="en-US"/>
              </w:rPr>
              <w:t>+0.4</w:t>
            </w:r>
          </w:p>
        </w:tc>
        <w:tc>
          <w:tcPr>
            <w:tcW w:w="0" w:type="auto"/>
          </w:tcPr>
          <w:p w14:paraId="4687B1C2" w14:textId="77777777" w:rsidR="002C22B4" w:rsidRPr="00F82F73" w:rsidRDefault="002C22B4" w:rsidP="000D2344">
            <w:pPr>
              <w:pStyle w:val="MDPI42tablebody"/>
              <w:spacing w:line="240" w:lineRule="auto"/>
              <w:rPr>
                <w:sz w:val="18"/>
                <w:szCs w:val="18"/>
                <w:lang w:val="en-US"/>
              </w:rPr>
            </w:pPr>
            <w:r w:rsidRPr="00F82F73">
              <w:rPr>
                <w:sz w:val="18"/>
                <w:szCs w:val="18"/>
                <w:lang w:val="en-US"/>
              </w:rPr>
              <w:t>-</w:t>
            </w:r>
          </w:p>
        </w:tc>
        <w:tc>
          <w:tcPr>
            <w:tcW w:w="0" w:type="auto"/>
          </w:tcPr>
          <w:p w14:paraId="5EBB2934" w14:textId="77777777" w:rsidR="002C22B4" w:rsidRPr="00F82F73" w:rsidRDefault="002C22B4" w:rsidP="000D2344">
            <w:pPr>
              <w:pStyle w:val="MDPI42tablebody"/>
              <w:spacing w:line="240" w:lineRule="auto"/>
              <w:rPr>
                <w:sz w:val="18"/>
                <w:szCs w:val="18"/>
                <w:lang w:val="en-US"/>
              </w:rPr>
            </w:pPr>
            <w:r w:rsidRPr="00F82F73">
              <w:rPr>
                <w:sz w:val="18"/>
                <w:szCs w:val="18"/>
                <w:lang w:val="en-US"/>
              </w:rPr>
              <w:t>-</w:t>
            </w:r>
          </w:p>
        </w:tc>
      </w:tr>
      <w:tr w:rsidR="000D2344" w:rsidRPr="00F82F73" w14:paraId="78368EF5" w14:textId="77777777" w:rsidTr="000D2344">
        <w:tc>
          <w:tcPr>
            <w:tcW w:w="1879" w:type="dxa"/>
          </w:tcPr>
          <w:p w14:paraId="2B716BFB" w14:textId="77777777" w:rsidR="002C22B4" w:rsidRPr="00F82F73" w:rsidRDefault="002C22B4" w:rsidP="000D2344">
            <w:pPr>
              <w:pStyle w:val="MDPI42tablebody"/>
              <w:spacing w:line="240" w:lineRule="auto"/>
              <w:rPr>
                <w:sz w:val="18"/>
                <w:szCs w:val="18"/>
                <w:lang w:val="en-US"/>
              </w:rPr>
            </w:pPr>
            <w:r w:rsidRPr="00F82F73">
              <w:rPr>
                <w:sz w:val="18"/>
                <w:szCs w:val="18"/>
                <w:lang w:val="en-US"/>
              </w:rPr>
              <w:t>Physical activity (family channels)</w:t>
            </w:r>
          </w:p>
        </w:tc>
        <w:tc>
          <w:tcPr>
            <w:tcW w:w="0" w:type="auto"/>
          </w:tcPr>
          <w:p w14:paraId="39484697" w14:textId="77777777" w:rsidR="002C22B4" w:rsidRPr="00F82F73" w:rsidRDefault="002C22B4" w:rsidP="000D2344">
            <w:pPr>
              <w:pStyle w:val="MDPI42tablebody"/>
              <w:spacing w:line="240" w:lineRule="auto"/>
              <w:rPr>
                <w:sz w:val="18"/>
                <w:szCs w:val="18"/>
                <w:lang w:val="en-US"/>
              </w:rPr>
            </w:pPr>
            <w:r w:rsidRPr="00F82F73">
              <w:rPr>
                <w:sz w:val="18"/>
                <w:szCs w:val="18"/>
                <w:lang w:val="en-US"/>
              </w:rPr>
              <w:t>14.1</w:t>
            </w:r>
          </w:p>
        </w:tc>
        <w:tc>
          <w:tcPr>
            <w:tcW w:w="0" w:type="auto"/>
          </w:tcPr>
          <w:p w14:paraId="24C8D07F"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12.4</w:t>
            </w:r>
          </w:p>
        </w:tc>
        <w:tc>
          <w:tcPr>
            <w:tcW w:w="0" w:type="auto"/>
          </w:tcPr>
          <w:p w14:paraId="46F3501C" w14:textId="77777777" w:rsidR="002C22B4" w:rsidRPr="00F82F73" w:rsidRDefault="002C22B4" w:rsidP="000D2344">
            <w:pPr>
              <w:pStyle w:val="MDPI42tablebody"/>
              <w:spacing w:line="240" w:lineRule="auto"/>
              <w:rPr>
                <w:sz w:val="18"/>
                <w:szCs w:val="18"/>
                <w:lang w:val="en-US"/>
              </w:rPr>
            </w:pPr>
            <w:r w:rsidRPr="00F82F73">
              <w:rPr>
                <w:sz w:val="18"/>
                <w:szCs w:val="18"/>
                <w:lang w:val="en-US"/>
              </w:rPr>
              <w:t>75.7</w:t>
            </w:r>
          </w:p>
        </w:tc>
        <w:tc>
          <w:tcPr>
            <w:tcW w:w="0" w:type="auto"/>
          </w:tcPr>
          <w:p w14:paraId="7F550FF2" w14:textId="77777777" w:rsidR="002C22B4" w:rsidRPr="00F82F73" w:rsidRDefault="002C22B4" w:rsidP="000D2344">
            <w:pPr>
              <w:pStyle w:val="MDPI42tablebody"/>
              <w:spacing w:line="240" w:lineRule="auto"/>
              <w:rPr>
                <w:sz w:val="18"/>
                <w:szCs w:val="18"/>
                <w:lang w:val="en-US"/>
              </w:rPr>
            </w:pPr>
            <w:r w:rsidRPr="00F82F73">
              <w:rPr>
                <w:sz w:val="18"/>
                <w:szCs w:val="18"/>
                <w:lang w:val="en-US"/>
              </w:rPr>
              <w:t>+11.9</w:t>
            </w:r>
          </w:p>
        </w:tc>
        <w:tc>
          <w:tcPr>
            <w:tcW w:w="0" w:type="auto"/>
          </w:tcPr>
          <w:p w14:paraId="7D51A594" w14:textId="77777777" w:rsidR="002C22B4" w:rsidRPr="00F82F73" w:rsidRDefault="002C22B4" w:rsidP="000D2344">
            <w:pPr>
              <w:pStyle w:val="MDPI42tablebody"/>
              <w:spacing w:line="240" w:lineRule="auto"/>
              <w:rPr>
                <w:sz w:val="18"/>
                <w:szCs w:val="18"/>
                <w:lang w:val="en-US"/>
              </w:rPr>
            </w:pPr>
            <w:r w:rsidRPr="00F82F73">
              <w:rPr>
                <w:sz w:val="18"/>
                <w:szCs w:val="18"/>
                <w:lang w:val="en-US"/>
              </w:rPr>
              <w:t>10.2</w:t>
            </w:r>
          </w:p>
        </w:tc>
        <w:tc>
          <w:tcPr>
            <w:tcW w:w="0" w:type="auto"/>
          </w:tcPr>
          <w:p w14:paraId="404A29E8" w14:textId="77777777" w:rsidR="002C22B4" w:rsidRPr="00F82F73" w:rsidRDefault="002C22B4" w:rsidP="000D2344">
            <w:pPr>
              <w:pStyle w:val="MDPI42tablebody"/>
              <w:spacing w:line="240" w:lineRule="auto"/>
              <w:rPr>
                <w:sz w:val="18"/>
                <w:szCs w:val="18"/>
                <w:lang w:val="en-US"/>
              </w:rPr>
            </w:pPr>
            <w:r w:rsidRPr="00F82F73">
              <w:rPr>
                <w:sz w:val="18"/>
                <w:szCs w:val="18"/>
                <w:lang w:val="en-US"/>
              </w:rPr>
              <w:t>+0.5</w:t>
            </w:r>
          </w:p>
        </w:tc>
      </w:tr>
      <w:tr w:rsidR="000D2344" w:rsidRPr="00F82F73" w14:paraId="7453E5B6" w14:textId="77777777" w:rsidTr="000D2344">
        <w:tc>
          <w:tcPr>
            <w:tcW w:w="1879" w:type="dxa"/>
          </w:tcPr>
          <w:p w14:paraId="60173980" w14:textId="77777777" w:rsidR="002C22B4" w:rsidRPr="00F82F73" w:rsidRDefault="002C22B4" w:rsidP="000D2344">
            <w:pPr>
              <w:pStyle w:val="MDPI42tablebody"/>
              <w:spacing w:line="240" w:lineRule="auto"/>
              <w:rPr>
                <w:sz w:val="18"/>
                <w:szCs w:val="18"/>
                <w:lang w:val="en-US"/>
              </w:rPr>
            </w:pPr>
            <w:r w:rsidRPr="00F82F73">
              <w:rPr>
                <w:sz w:val="18"/>
                <w:szCs w:val="18"/>
                <w:lang w:val="en-US"/>
              </w:rPr>
              <w:t>Physical activity (music channels)</w:t>
            </w:r>
          </w:p>
        </w:tc>
        <w:tc>
          <w:tcPr>
            <w:tcW w:w="0" w:type="auto"/>
          </w:tcPr>
          <w:p w14:paraId="7605BDEF" w14:textId="77777777" w:rsidR="002C22B4" w:rsidRPr="00F82F73" w:rsidRDefault="002C22B4" w:rsidP="000D2344">
            <w:pPr>
              <w:pStyle w:val="MDPI42tablebody"/>
              <w:spacing w:line="240" w:lineRule="auto"/>
              <w:rPr>
                <w:sz w:val="18"/>
                <w:szCs w:val="18"/>
                <w:lang w:val="en-US"/>
              </w:rPr>
            </w:pPr>
            <w:r w:rsidRPr="00F82F73">
              <w:rPr>
                <w:sz w:val="18"/>
                <w:szCs w:val="18"/>
                <w:lang w:val="en-US"/>
              </w:rPr>
              <w:t>12.8</w:t>
            </w:r>
          </w:p>
        </w:tc>
        <w:tc>
          <w:tcPr>
            <w:tcW w:w="0" w:type="auto"/>
          </w:tcPr>
          <w:p w14:paraId="5554833E"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38.8</w:t>
            </w:r>
          </w:p>
        </w:tc>
        <w:tc>
          <w:tcPr>
            <w:tcW w:w="0" w:type="auto"/>
          </w:tcPr>
          <w:p w14:paraId="263BC076" w14:textId="77777777" w:rsidR="002C22B4" w:rsidRPr="00F82F73" w:rsidRDefault="002C22B4" w:rsidP="000D2344">
            <w:pPr>
              <w:pStyle w:val="MDPI42tablebody"/>
              <w:spacing w:line="240" w:lineRule="auto"/>
              <w:rPr>
                <w:sz w:val="18"/>
                <w:szCs w:val="18"/>
                <w:lang w:val="en-US"/>
              </w:rPr>
            </w:pPr>
            <w:r w:rsidRPr="00F82F73">
              <w:rPr>
                <w:sz w:val="18"/>
                <w:szCs w:val="18"/>
                <w:lang w:val="en-US"/>
              </w:rPr>
              <w:t>74.4</w:t>
            </w:r>
          </w:p>
        </w:tc>
        <w:tc>
          <w:tcPr>
            <w:tcW w:w="0" w:type="auto"/>
          </w:tcPr>
          <w:p w14:paraId="5D5327A9" w14:textId="77777777" w:rsidR="002C22B4" w:rsidRPr="00F82F73" w:rsidRDefault="002C22B4" w:rsidP="000D2344">
            <w:pPr>
              <w:pStyle w:val="MDPI42tablebody"/>
              <w:spacing w:line="240" w:lineRule="auto"/>
              <w:rPr>
                <w:sz w:val="18"/>
                <w:szCs w:val="18"/>
                <w:lang w:val="en-US"/>
              </w:rPr>
            </w:pPr>
            <w:r w:rsidRPr="00F82F73">
              <w:rPr>
                <w:sz w:val="18"/>
                <w:szCs w:val="18"/>
                <w:lang w:val="en-US"/>
              </w:rPr>
              <w:t>+30.2</w:t>
            </w:r>
          </w:p>
        </w:tc>
        <w:tc>
          <w:tcPr>
            <w:tcW w:w="0" w:type="auto"/>
          </w:tcPr>
          <w:p w14:paraId="5A257275" w14:textId="77777777" w:rsidR="002C22B4" w:rsidRPr="00F82F73" w:rsidRDefault="002C22B4" w:rsidP="000D2344">
            <w:pPr>
              <w:pStyle w:val="MDPI42tablebody"/>
              <w:spacing w:line="240" w:lineRule="auto"/>
              <w:rPr>
                <w:sz w:val="18"/>
                <w:szCs w:val="18"/>
                <w:lang w:val="en-US"/>
              </w:rPr>
            </w:pPr>
            <w:r w:rsidRPr="00F82F73">
              <w:rPr>
                <w:sz w:val="18"/>
                <w:szCs w:val="18"/>
                <w:lang w:val="en-US"/>
              </w:rPr>
              <w:t>12.8</w:t>
            </w:r>
          </w:p>
        </w:tc>
        <w:tc>
          <w:tcPr>
            <w:tcW w:w="0" w:type="auto"/>
          </w:tcPr>
          <w:p w14:paraId="69A4DA34"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7.6</w:t>
            </w:r>
          </w:p>
        </w:tc>
      </w:tr>
      <w:tr w:rsidR="000D2344" w:rsidRPr="00F82F73" w14:paraId="21FEF02F" w14:textId="77777777" w:rsidTr="000D2344">
        <w:tc>
          <w:tcPr>
            <w:tcW w:w="1879" w:type="dxa"/>
          </w:tcPr>
          <w:p w14:paraId="51A07BBD" w14:textId="77777777" w:rsidR="002C22B4" w:rsidRPr="00F82F73" w:rsidRDefault="002C22B4" w:rsidP="000D2344">
            <w:pPr>
              <w:pStyle w:val="MDPI42tablebody"/>
              <w:spacing w:line="240" w:lineRule="auto"/>
              <w:rPr>
                <w:sz w:val="18"/>
                <w:szCs w:val="18"/>
                <w:lang w:val="en-US"/>
              </w:rPr>
            </w:pPr>
            <w:r w:rsidRPr="00F82F73">
              <w:rPr>
                <w:sz w:val="18"/>
                <w:szCs w:val="18"/>
                <w:lang w:val="en-US"/>
              </w:rPr>
              <w:t>Health Claims (all channels)</w:t>
            </w:r>
          </w:p>
        </w:tc>
        <w:tc>
          <w:tcPr>
            <w:tcW w:w="0" w:type="auto"/>
          </w:tcPr>
          <w:p w14:paraId="14B7EEFC" w14:textId="77777777" w:rsidR="002C22B4" w:rsidRPr="00F82F73" w:rsidRDefault="002C22B4" w:rsidP="000D2344">
            <w:pPr>
              <w:pStyle w:val="MDPI42tablebody"/>
              <w:spacing w:line="240" w:lineRule="auto"/>
              <w:rPr>
                <w:sz w:val="18"/>
                <w:szCs w:val="18"/>
                <w:lang w:val="en-US"/>
              </w:rPr>
            </w:pPr>
            <w:r w:rsidRPr="00F82F73">
              <w:rPr>
                <w:sz w:val="18"/>
                <w:szCs w:val="18"/>
                <w:lang w:val="en-US"/>
              </w:rPr>
              <w:t>26.1</w:t>
            </w:r>
          </w:p>
        </w:tc>
        <w:tc>
          <w:tcPr>
            <w:tcW w:w="0" w:type="auto"/>
          </w:tcPr>
          <w:p w14:paraId="6F57ED8B"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9.0</w:t>
            </w:r>
          </w:p>
        </w:tc>
        <w:tc>
          <w:tcPr>
            <w:tcW w:w="0" w:type="auto"/>
          </w:tcPr>
          <w:p w14:paraId="1B40EFF3" w14:textId="77777777" w:rsidR="002C22B4" w:rsidRPr="00F82F73" w:rsidRDefault="002C22B4" w:rsidP="000D2344">
            <w:pPr>
              <w:pStyle w:val="MDPI42tablebody"/>
              <w:spacing w:line="240" w:lineRule="auto"/>
              <w:rPr>
                <w:sz w:val="18"/>
                <w:szCs w:val="18"/>
                <w:lang w:val="en-US"/>
              </w:rPr>
            </w:pPr>
            <w:r w:rsidRPr="00F82F73">
              <w:rPr>
                <w:sz w:val="18"/>
                <w:szCs w:val="18"/>
                <w:lang w:val="en-US"/>
              </w:rPr>
              <w:t>58.3</w:t>
            </w:r>
          </w:p>
        </w:tc>
        <w:tc>
          <w:tcPr>
            <w:tcW w:w="0" w:type="auto"/>
          </w:tcPr>
          <w:p w14:paraId="2541F9E5"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5.5</w:t>
            </w:r>
          </w:p>
        </w:tc>
        <w:tc>
          <w:tcPr>
            <w:tcW w:w="0" w:type="auto"/>
          </w:tcPr>
          <w:p w14:paraId="6F1C9E01" w14:textId="77777777" w:rsidR="002C22B4" w:rsidRPr="00F82F73" w:rsidRDefault="002C22B4" w:rsidP="000D2344">
            <w:pPr>
              <w:pStyle w:val="MDPI42tablebody"/>
              <w:spacing w:line="240" w:lineRule="auto"/>
              <w:rPr>
                <w:sz w:val="18"/>
                <w:szCs w:val="18"/>
                <w:lang w:val="en-US"/>
              </w:rPr>
            </w:pPr>
            <w:r w:rsidRPr="00F82F73">
              <w:rPr>
                <w:sz w:val="18"/>
                <w:szCs w:val="18"/>
                <w:lang w:val="en-US"/>
              </w:rPr>
              <w:t>15.5</w:t>
            </w:r>
          </w:p>
        </w:tc>
        <w:tc>
          <w:tcPr>
            <w:tcW w:w="0" w:type="auto"/>
          </w:tcPr>
          <w:p w14:paraId="37E68812" w14:textId="77777777" w:rsidR="002C22B4" w:rsidRPr="00F82F73" w:rsidRDefault="002C22B4" w:rsidP="000D2344">
            <w:pPr>
              <w:pStyle w:val="MDPI42tablebody"/>
              <w:spacing w:line="240" w:lineRule="auto"/>
              <w:rPr>
                <w:sz w:val="18"/>
                <w:szCs w:val="18"/>
                <w:lang w:val="en-US"/>
              </w:rPr>
            </w:pPr>
            <w:r w:rsidRPr="00F82F73">
              <w:rPr>
                <w:sz w:val="18"/>
                <w:szCs w:val="18"/>
                <w:lang w:val="en-US"/>
              </w:rPr>
              <w:t>+14.4</w:t>
            </w:r>
          </w:p>
        </w:tc>
      </w:tr>
      <w:tr w:rsidR="000D2344" w:rsidRPr="00F82F73" w14:paraId="514D18C5" w14:textId="77777777" w:rsidTr="000D2344">
        <w:tc>
          <w:tcPr>
            <w:tcW w:w="1879" w:type="dxa"/>
          </w:tcPr>
          <w:p w14:paraId="4C510627" w14:textId="77777777" w:rsidR="002C22B4" w:rsidRPr="00F82F73" w:rsidRDefault="002C22B4" w:rsidP="000D2344">
            <w:pPr>
              <w:pStyle w:val="MDPI42tablebody"/>
              <w:spacing w:line="240" w:lineRule="auto"/>
              <w:rPr>
                <w:sz w:val="18"/>
                <w:szCs w:val="18"/>
                <w:lang w:val="en-US"/>
              </w:rPr>
            </w:pPr>
            <w:r w:rsidRPr="00F82F73">
              <w:rPr>
                <w:sz w:val="18"/>
                <w:szCs w:val="18"/>
                <w:lang w:val="en-US"/>
              </w:rPr>
              <w:t>Health Claims (children’s channels)</w:t>
            </w:r>
          </w:p>
        </w:tc>
        <w:tc>
          <w:tcPr>
            <w:tcW w:w="0" w:type="auto"/>
          </w:tcPr>
          <w:p w14:paraId="5B65E028" w14:textId="77777777" w:rsidR="002C22B4" w:rsidRPr="00F82F73" w:rsidRDefault="002C22B4" w:rsidP="000D2344">
            <w:pPr>
              <w:pStyle w:val="MDPI42tablebody"/>
              <w:spacing w:line="240" w:lineRule="auto"/>
              <w:rPr>
                <w:sz w:val="18"/>
                <w:szCs w:val="18"/>
                <w:lang w:val="en-US"/>
              </w:rPr>
            </w:pPr>
            <w:r w:rsidRPr="00F82F73">
              <w:rPr>
                <w:sz w:val="18"/>
                <w:szCs w:val="18"/>
                <w:lang w:val="en-US"/>
              </w:rPr>
              <w:t>29.4</w:t>
            </w:r>
          </w:p>
        </w:tc>
        <w:tc>
          <w:tcPr>
            <w:tcW w:w="0" w:type="auto"/>
          </w:tcPr>
          <w:p w14:paraId="6E553E23" w14:textId="77777777" w:rsidR="002C22B4" w:rsidRPr="00F82F73" w:rsidRDefault="002C22B4" w:rsidP="000D2344">
            <w:pPr>
              <w:pStyle w:val="MDPI42tablebody"/>
              <w:spacing w:line="240" w:lineRule="auto"/>
              <w:rPr>
                <w:sz w:val="18"/>
                <w:szCs w:val="18"/>
                <w:lang w:val="en-US"/>
              </w:rPr>
            </w:pPr>
            <w:r w:rsidRPr="00F82F73">
              <w:rPr>
                <w:sz w:val="18"/>
                <w:szCs w:val="18"/>
                <w:lang w:val="en-US"/>
              </w:rPr>
              <w:t>+8.8</w:t>
            </w:r>
          </w:p>
        </w:tc>
        <w:tc>
          <w:tcPr>
            <w:tcW w:w="0" w:type="auto"/>
          </w:tcPr>
          <w:p w14:paraId="573DBC39" w14:textId="77777777" w:rsidR="002C22B4" w:rsidRPr="00F82F73" w:rsidRDefault="002C22B4" w:rsidP="000D2344">
            <w:pPr>
              <w:pStyle w:val="MDPI42tablebody"/>
              <w:spacing w:line="240" w:lineRule="auto"/>
              <w:rPr>
                <w:sz w:val="18"/>
                <w:szCs w:val="18"/>
                <w:lang w:val="en-US"/>
              </w:rPr>
            </w:pPr>
            <w:r w:rsidRPr="00F82F73">
              <w:rPr>
                <w:sz w:val="18"/>
                <w:szCs w:val="18"/>
                <w:lang w:val="en-US"/>
              </w:rPr>
              <w:t>64.1</w:t>
            </w:r>
          </w:p>
        </w:tc>
        <w:tc>
          <w:tcPr>
            <w:tcW w:w="0" w:type="auto"/>
          </w:tcPr>
          <w:p w14:paraId="766ACC1E"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15.3</w:t>
            </w:r>
          </w:p>
        </w:tc>
        <w:tc>
          <w:tcPr>
            <w:tcW w:w="0" w:type="auto"/>
          </w:tcPr>
          <w:p w14:paraId="7A258CF0" w14:textId="77777777" w:rsidR="002C22B4" w:rsidRPr="00F82F73" w:rsidRDefault="002C22B4" w:rsidP="000D2344">
            <w:pPr>
              <w:pStyle w:val="MDPI42tablebody"/>
              <w:spacing w:line="240" w:lineRule="auto"/>
              <w:rPr>
                <w:sz w:val="18"/>
                <w:szCs w:val="18"/>
                <w:lang w:val="en-US"/>
              </w:rPr>
            </w:pPr>
            <w:r w:rsidRPr="00F82F73">
              <w:rPr>
                <w:sz w:val="18"/>
                <w:szCs w:val="18"/>
                <w:lang w:val="en-US"/>
              </w:rPr>
              <w:t>6.5</w:t>
            </w:r>
          </w:p>
        </w:tc>
        <w:tc>
          <w:tcPr>
            <w:tcW w:w="0" w:type="auto"/>
          </w:tcPr>
          <w:p w14:paraId="0D9CBEB7" w14:textId="77777777" w:rsidR="002C22B4" w:rsidRPr="00F82F73" w:rsidRDefault="002C22B4" w:rsidP="000D2344">
            <w:pPr>
              <w:pStyle w:val="MDPI42tablebody"/>
              <w:spacing w:line="240" w:lineRule="auto"/>
              <w:rPr>
                <w:sz w:val="18"/>
                <w:szCs w:val="18"/>
                <w:lang w:val="en-US"/>
              </w:rPr>
            </w:pPr>
            <w:r w:rsidRPr="00F82F73">
              <w:rPr>
                <w:sz w:val="18"/>
                <w:szCs w:val="18"/>
                <w:lang w:val="en-US"/>
              </w:rPr>
              <w:t>+6.5</w:t>
            </w:r>
          </w:p>
        </w:tc>
      </w:tr>
      <w:tr w:rsidR="000D2344" w:rsidRPr="00F82F73" w14:paraId="44E55F17" w14:textId="77777777" w:rsidTr="000D2344">
        <w:tc>
          <w:tcPr>
            <w:tcW w:w="1879" w:type="dxa"/>
          </w:tcPr>
          <w:p w14:paraId="15BC1071" w14:textId="77777777" w:rsidR="002C22B4" w:rsidRPr="00F82F73" w:rsidRDefault="002C22B4" w:rsidP="000D2344">
            <w:pPr>
              <w:pStyle w:val="MDPI42tablebody"/>
              <w:spacing w:line="240" w:lineRule="auto"/>
              <w:rPr>
                <w:sz w:val="18"/>
                <w:szCs w:val="18"/>
                <w:lang w:val="en-US"/>
              </w:rPr>
            </w:pPr>
            <w:r w:rsidRPr="00F82F73">
              <w:rPr>
                <w:sz w:val="18"/>
                <w:szCs w:val="18"/>
                <w:lang w:val="en-US"/>
              </w:rPr>
              <w:t>Health Claims (sports channels)</w:t>
            </w:r>
          </w:p>
        </w:tc>
        <w:tc>
          <w:tcPr>
            <w:tcW w:w="0" w:type="auto"/>
          </w:tcPr>
          <w:p w14:paraId="6ACF6E7A" w14:textId="77777777" w:rsidR="002C22B4" w:rsidRPr="00F82F73" w:rsidRDefault="002C22B4" w:rsidP="000D2344">
            <w:pPr>
              <w:pStyle w:val="MDPI42tablebody"/>
              <w:spacing w:line="240" w:lineRule="auto"/>
              <w:rPr>
                <w:sz w:val="18"/>
                <w:szCs w:val="18"/>
                <w:lang w:val="en-US"/>
              </w:rPr>
            </w:pPr>
            <w:r w:rsidRPr="00F82F73">
              <w:rPr>
                <w:sz w:val="18"/>
                <w:szCs w:val="18"/>
                <w:lang w:val="en-US"/>
              </w:rPr>
              <w:t>26.0</w:t>
            </w:r>
          </w:p>
        </w:tc>
        <w:tc>
          <w:tcPr>
            <w:tcW w:w="0" w:type="auto"/>
          </w:tcPr>
          <w:p w14:paraId="32CE3DB3"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38.0</w:t>
            </w:r>
          </w:p>
        </w:tc>
        <w:tc>
          <w:tcPr>
            <w:tcW w:w="0" w:type="auto"/>
          </w:tcPr>
          <w:p w14:paraId="2D21CDC7" w14:textId="77777777" w:rsidR="002C22B4" w:rsidRPr="00F82F73" w:rsidRDefault="002C22B4" w:rsidP="000D2344">
            <w:pPr>
              <w:pStyle w:val="MDPI42tablebody"/>
              <w:spacing w:line="240" w:lineRule="auto"/>
              <w:rPr>
                <w:sz w:val="18"/>
                <w:szCs w:val="18"/>
                <w:lang w:val="en-US"/>
              </w:rPr>
            </w:pPr>
            <w:r w:rsidRPr="00F82F73">
              <w:rPr>
                <w:sz w:val="18"/>
                <w:szCs w:val="18"/>
                <w:lang w:val="en-US"/>
              </w:rPr>
              <w:t>59.0</w:t>
            </w:r>
          </w:p>
        </w:tc>
        <w:tc>
          <w:tcPr>
            <w:tcW w:w="0" w:type="auto"/>
          </w:tcPr>
          <w:p w14:paraId="04E0054B" w14:textId="77777777" w:rsidR="002C22B4" w:rsidRPr="00F82F73" w:rsidRDefault="002C22B4" w:rsidP="000D2344">
            <w:pPr>
              <w:pStyle w:val="MDPI42tablebody"/>
              <w:spacing w:line="240" w:lineRule="auto"/>
              <w:rPr>
                <w:sz w:val="18"/>
                <w:szCs w:val="18"/>
                <w:lang w:val="en-US"/>
              </w:rPr>
            </w:pPr>
            <w:r w:rsidRPr="00F82F73">
              <w:rPr>
                <w:sz w:val="18"/>
                <w:szCs w:val="18"/>
                <w:lang w:val="en-US"/>
              </w:rPr>
              <w:t>+22.6</w:t>
            </w:r>
          </w:p>
        </w:tc>
        <w:tc>
          <w:tcPr>
            <w:tcW w:w="0" w:type="auto"/>
          </w:tcPr>
          <w:p w14:paraId="2137B1FD" w14:textId="77777777" w:rsidR="002C22B4" w:rsidRPr="00F82F73" w:rsidRDefault="002C22B4" w:rsidP="000D2344">
            <w:pPr>
              <w:pStyle w:val="MDPI42tablebody"/>
              <w:spacing w:line="240" w:lineRule="auto"/>
              <w:rPr>
                <w:sz w:val="18"/>
                <w:szCs w:val="18"/>
                <w:lang w:val="en-US"/>
              </w:rPr>
            </w:pPr>
            <w:r w:rsidRPr="00F82F73">
              <w:rPr>
                <w:sz w:val="18"/>
                <w:szCs w:val="18"/>
                <w:lang w:val="en-US"/>
              </w:rPr>
              <w:t>15</w:t>
            </w:r>
          </w:p>
        </w:tc>
        <w:tc>
          <w:tcPr>
            <w:tcW w:w="0" w:type="auto"/>
          </w:tcPr>
          <w:p w14:paraId="70B40309" w14:textId="77777777" w:rsidR="002C22B4" w:rsidRPr="00F82F73" w:rsidRDefault="002C22B4" w:rsidP="000D2344">
            <w:pPr>
              <w:pStyle w:val="MDPI42tablebody"/>
              <w:spacing w:line="240" w:lineRule="auto"/>
              <w:rPr>
                <w:sz w:val="18"/>
                <w:szCs w:val="18"/>
                <w:lang w:val="en-US"/>
              </w:rPr>
            </w:pPr>
            <w:r w:rsidRPr="00F82F73">
              <w:rPr>
                <w:sz w:val="18"/>
                <w:szCs w:val="18"/>
                <w:lang w:val="en-US"/>
              </w:rPr>
              <w:t>+15.0</w:t>
            </w:r>
          </w:p>
        </w:tc>
      </w:tr>
      <w:tr w:rsidR="000D2344" w:rsidRPr="00F82F73" w14:paraId="512D0459" w14:textId="77777777" w:rsidTr="000D2344">
        <w:tc>
          <w:tcPr>
            <w:tcW w:w="1879" w:type="dxa"/>
          </w:tcPr>
          <w:p w14:paraId="2E7DC1B5" w14:textId="77777777" w:rsidR="002C22B4" w:rsidRPr="00F82F73" w:rsidRDefault="002C22B4" w:rsidP="000D2344">
            <w:pPr>
              <w:pStyle w:val="MDPI42tablebody"/>
              <w:spacing w:line="240" w:lineRule="auto"/>
              <w:rPr>
                <w:sz w:val="18"/>
                <w:szCs w:val="18"/>
                <w:lang w:val="en-US"/>
              </w:rPr>
            </w:pPr>
            <w:r w:rsidRPr="00F82F73">
              <w:rPr>
                <w:sz w:val="18"/>
                <w:szCs w:val="18"/>
                <w:lang w:val="en-US"/>
              </w:rPr>
              <w:t>Health Claims (family channels)</w:t>
            </w:r>
          </w:p>
        </w:tc>
        <w:tc>
          <w:tcPr>
            <w:tcW w:w="0" w:type="auto"/>
          </w:tcPr>
          <w:p w14:paraId="297D1A1E" w14:textId="77777777" w:rsidR="002C22B4" w:rsidRPr="00F82F73" w:rsidRDefault="002C22B4" w:rsidP="000D2344">
            <w:pPr>
              <w:pStyle w:val="MDPI42tablebody"/>
              <w:spacing w:line="240" w:lineRule="auto"/>
              <w:rPr>
                <w:sz w:val="18"/>
                <w:szCs w:val="18"/>
                <w:lang w:val="en-US"/>
              </w:rPr>
            </w:pPr>
            <w:r w:rsidRPr="00F82F73">
              <w:rPr>
                <w:sz w:val="18"/>
                <w:szCs w:val="18"/>
                <w:lang w:val="en-US"/>
              </w:rPr>
              <w:t>26.1</w:t>
            </w:r>
          </w:p>
        </w:tc>
        <w:tc>
          <w:tcPr>
            <w:tcW w:w="0" w:type="auto"/>
          </w:tcPr>
          <w:p w14:paraId="3F5FB0D0"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11.3</w:t>
            </w:r>
          </w:p>
        </w:tc>
        <w:tc>
          <w:tcPr>
            <w:tcW w:w="0" w:type="auto"/>
          </w:tcPr>
          <w:p w14:paraId="550EF314" w14:textId="77777777" w:rsidR="002C22B4" w:rsidRPr="00F82F73" w:rsidRDefault="002C22B4" w:rsidP="000D2344">
            <w:pPr>
              <w:pStyle w:val="MDPI42tablebody"/>
              <w:spacing w:line="240" w:lineRule="auto"/>
              <w:rPr>
                <w:sz w:val="18"/>
                <w:szCs w:val="18"/>
                <w:lang w:val="en-US"/>
              </w:rPr>
            </w:pPr>
            <w:r w:rsidRPr="00F82F73">
              <w:rPr>
                <w:sz w:val="18"/>
                <w:szCs w:val="18"/>
                <w:lang w:val="en-US"/>
              </w:rPr>
              <w:t>56.3</w:t>
            </w:r>
          </w:p>
        </w:tc>
        <w:tc>
          <w:tcPr>
            <w:tcW w:w="0" w:type="auto"/>
          </w:tcPr>
          <w:p w14:paraId="3990261A"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4.5</w:t>
            </w:r>
          </w:p>
        </w:tc>
        <w:tc>
          <w:tcPr>
            <w:tcW w:w="0" w:type="auto"/>
          </w:tcPr>
          <w:p w14:paraId="6A127322" w14:textId="77777777" w:rsidR="002C22B4" w:rsidRPr="00F82F73" w:rsidRDefault="002C22B4" w:rsidP="000D2344">
            <w:pPr>
              <w:pStyle w:val="MDPI42tablebody"/>
              <w:spacing w:line="240" w:lineRule="auto"/>
              <w:rPr>
                <w:sz w:val="18"/>
                <w:szCs w:val="18"/>
                <w:lang w:val="en-US"/>
              </w:rPr>
            </w:pPr>
            <w:r w:rsidRPr="00F82F73">
              <w:rPr>
                <w:sz w:val="18"/>
                <w:szCs w:val="18"/>
                <w:lang w:val="en-US"/>
              </w:rPr>
              <w:t>17.6</w:t>
            </w:r>
          </w:p>
        </w:tc>
        <w:tc>
          <w:tcPr>
            <w:tcW w:w="0" w:type="auto"/>
          </w:tcPr>
          <w:p w14:paraId="60D7C853" w14:textId="77777777" w:rsidR="002C22B4" w:rsidRPr="00F82F73" w:rsidRDefault="002C22B4" w:rsidP="000D2344">
            <w:pPr>
              <w:pStyle w:val="MDPI42tablebody"/>
              <w:spacing w:line="240" w:lineRule="auto"/>
              <w:rPr>
                <w:sz w:val="18"/>
                <w:szCs w:val="18"/>
                <w:lang w:val="en-US"/>
              </w:rPr>
            </w:pPr>
            <w:r w:rsidRPr="00F82F73">
              <w:rPr>
                <w:sz w:val="18"/>
                <w:szCs w:val="18"/>
                <w:lang w:val="en-US"/>
              </w:rPr>
              <w:t>+15.9</w:t>
            </w:r>
          </w:p>
        </w:tc>
      </w:tr>
      <w:tr w:rsidR="000D2344" w:rsidRPr="00F82F73" w14:paraId="1BB331A3" w14:textId="77777777" w:rsidTr="000D2344">
        <w:tc>
          <w:tcPr>
            <w:tcW w:w="1879" w:type="dxa"/>
          </w:tcPr>
          <w:p w14:paraId="470CAF43" w14:textId="77777777" w:rsidR="002C22B4" w:rsidRPr="00F82F73" w:rsidRDefault="002C22B4" w:rsidP="000D2344">
            <w:pPr>
              <w:pStyle w:val="MDPI42tablebody"/>
              <w:spacing w:line="240" w:lineRule="auto"/>
              <w:rPr>
                <w:sz w:val="18"/>
                <w:szCs w:val="18"/>
                <w:lang w:val="en-US"/>
              </w:rPr>
            </w:pPr>
            <w:r w:rsidRPr="00F82F73">
              <w:rPr>
                <w:sz w:val="18"/>
                <w:szCs w:val="18"/>
                <w:lang w:val="en-US"/>
              </w:rPr>
              <w:t>Health Claims (music channels)</w:t>
            </w:r>
          </w:p>
        </w:tc>
        <w:tc>
          <w:tcPr>
            <w:tcW w:w="0" w:type="auto"/>
          </w:tcPr>
          <w:p w14:paraId="4CAC6A84" w14:textId="77777777" w:rsidR="002C22B4" w:rsidRPr="00F82F73" w:rsidRDefault="002C22B4" w:rsidP="000D2344">
            <w:pPr>
              <w:pStyle w:val="MDPI42tablebody"/>
              <w:spacing w:line="240" w:lineRule="auto"/>
              <w:rPr>
                <w:sz w:val="18"/>
                <w:szCs w:val="18"/>
                <w:lang w:val="en-US"/>
              </w:rPr>
            </w:pPr>
            <w:r w:rsidRPr="00F82F73">
              <w:rPr>
                <w:sz w:val="18"/>
                <w:szCs w:val="18"/>
                <w:lang w:val="en-US"/>
              </w:rPr>
              <w:t>21.9</w:t>
            </w:r>
          </w:p>
        </w:tc>
        <w:tc>
          <w:tcPr>
            <w:tcW w:w="0" w:type="auto"/>
          </w:tcPr>
          <w:p w14:paraId="0D7F273E"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21.7</w:t>
            </w:r>
          </w:p>
        </w:tc>
        <w:tc>
          <w:tcPr>
            <w:tcW w:w="0" w:type="auto"/>
          </w:tcPr>
          <w:p w14:paraId="62112E78" w14:textId="77777777" w:rsidR="002C22B4" w:rsidRPr="00F82F73" w:rsidRDefault="002C22B4" w:rsidP="000D2344">
            <w:pPr>
              <w:pStyle w:val="MDPI42tablebody"/>
              <w:spacing w:line="240" w:lineRule="auto"/>
              <w:rPr>
                <w:sz w:val="18"/>
                <w:szCs w:val="18"/>
                <w:lang w:val="en-US"/>
              </w:rPr>
            </w:pPr>
            <w:r w:rsidRPr="00F82F73">
              <w:rPr>
                <w:sz w:val="18"/>
                <w:szCs w:val="18"/>
                <w:lang w:val="en-US"/>
              </w:rPr>
              <w:t>54.0</w:t>
            </w:r>
          </w:p>
        </w:tc>
        <w:tc>
          <w:tcPr>
            <w:tcW w:w="0" w:type="auto"/>
          </w:tcPr>
          <w:p w14:paraId="48308D3B" w14:textId="77777777" w:rsidR="002C22B4" w:rsidRPr="00F82F73" w:rsidRDefault="000D2344" w:rsidP="000D2344">
            <w:pPr>
              <w:pStyle w:val="MDPI42tablebody"/>
              <w:spacing w:line="240" w:lineRule="auto"/>
              <w:rPr>
                <w:sz w:val="18"/>
                <w:szCs w:val="18"/>
                <w:lang w:val="en-US"/>
              </w:rPr>
            </w:pPr>
            <w:r w:rsidRPr="00F82F73">
              <w:rPr>
                <w:sz w:val="18"/>
                <w:szCs w:val="18"/>
                <w:lang w:val="en-US"/>
              </w:rPr>
              <w:t>−</w:t>
            </w:r>
            <w:r w:rsidR="002C22B4" w:rsidRPr="00F82F73">
              <w:rPr>
                <w:sz w:val="18"/>
                <w:szCs w:val="18"/>
                <w:lang w:val="en-US"/>
              </w:rPr>
              <w:t>0.5</w:t>
            </w:r>
          </w:p>
        </w:tc>
        <w:tc>
          <w:tcPr>
            <w:tcW w:w="0" w:type="auto"/>
          </w:tcPr>
          <w:p w14:paraId="09A6EFE5" w14:textId="77777777" w:rsidR="002C22B4" w:rsidRPr="00F82F73" w:rsidRDefault="002C22B4" w:rsidP="000D2344">
            <w:pPr>
              <w:pStyle w:val="MDPI42tablebody"/>
              <w:spacing w:line="240" w:lineRule="auto"/>
              <w:rPr>
                <w:sz w:val="18"/>
                <w:szCs w:val="18"/>
                <w:lang w:val="en-US"/>
              </w:rPr>
            </w:pPr>
            <w:r w:rsidRPr="00F82F73">
              <w:rPr>
                <w:sz w:val="18"/>
                <w:szCs w:val="18"/>
                <w:lang w:val="en-US"/>
              </w:rPr>
              <w:t>24.1</w:t>
            </w:r>
          </w:p>
        </w:tc>
        <w:tc>
          <w:tcPr>
            <w:tcW w:w="0" w:type="auto"/>
          </w:tcPr>
          <w:p w14:paraId="644DE766" w14:textId="77777777" w:rsidR="002C22B4" w:rsidRPr="00F82F73" w:rsidRDefault="002C22B4" w:rsidP="000D2344">
            <w:pPr>
              <w:pStyle w:val="MDPI42tablebody"/>
              <w:spacing w:line="240" w:lineRule="auto"/>
              <w:rPr>
                <w:sz w:val="18"/>
                <w:szCs w:val="18"/>
                <w:lang w:val="en-US"/>
              </w:rPr>
            </w:pPr>
            <w:r w:rsidRPr="00F82F73">
              <w:rPr>
                <w:sz w:val="18"/>
                <w:szCs w:val="18"/>
                <w:lang w:val="en-US"/>
              </w:rPr>
              <w:t>+22.2</w:t>
            </w:r>
          </w:p>
        </w:tc>
      </w:tr>
    </w:tbl>
    <w:p w14:paraId="4483FE2D" w14:textId="77777777" w:rsidR="002C22B4" w:rsidRPr="00F82F73" w:rsidRDefault="000D2344" w:rsidP="003B5B68">
      <w:pPr>
        <w:pStyle w:val="MDPI22heading2"/>
        <w:kinsoku/>
        <w:overflowPunct/>
        <w:autoSpaceDE/>
        <w:autoSpaceDN/>
        <w:jc w:val="both"/>
        <w:rPr>
          <w:noProof w:val="0"/>
        </w:rPr>
      </w:pPr>
      <w:r w:rsidRPr="00F82F73">
        <w:rPr>
          <w:noProof w:val="0"/>
        </w:rPr>
        <w:t xml:space="preserve">3.2. </w:t>
      </w:r>
      <w:r w:rsidR="002C22B4" w:rsidRPr="00F82F73">
        <w:rPr>
          <w:noProof w:val="0"/>
        </w:rPr>
        <w:t xml:space="preserve">Health </w:t>
      </w:r>
      <w:r w:rsidRPr="00F82F73">
        <w:rPr>
          <w:noProof w:val="0"/>
        </w:rPr>
        <w:t>Claims</w:t>
      </w:r>
    </w:p>
    <w:p w14:paraId="16BAD486" w14:textId="77777777" w:rsidR="002C22B4" w:rsidRPr="00F82F73" w:rsidRDefault="002C22B4" w:rsidP="003B5B68">
      <w:pPr>
        <w:pStyle w:val="MDPI31text"/>
      </w:pPr>
      <w:r w:rsidRPr="00F82F73">
        <w:t>Overall, the appearance of health claims in food adverts in 2010 had increased 4.1 percent points from</w:t>
      </w:r>
      <w:r w:rsidR="000D2344" w:rsidRPr="00F82F73">
        <w:t xml:space="preserve"> 2008 levels (20.7% to 24.8%). </w:t>
      </w:r>
      <w:r w:rsidRPr="00F82F73">
        <w:t>The largest increase was seen on children’s channels (+8.8), from</w:t>
      </w:r>
      <w:r w:rsidR="000D2344" w:rsidRPr="00F82F73">
        <w:t xml:space="preserve"> 22.2% in 2008 to 31% in 2010. </w:t>
      </w:r>
      <w:r w:rsidRPr="00F82F73">
        <w:t>Increases were also seen across family (+2.9, from 21.4% in 2008 to 24.3% in 2010) and music (+2.2, from 21.2% in 20</w:t>
      </w:r>
      <w:r w:rsidR="000D2344" w:rsidRPr="00F82F73">
        <w:t xml:space="preserve">08 to 23.4% in 2010) channels. </w:t>
      </w:r>
      <w:r w:rsidRPr="00F82F73">
        <w:t>In 2010, the majority of food adverts featuring health and nutrition claims w</w:t>
      </w:r>
      <w:r w:rsidR="000D2344" w:rsidRPr="00F82F73">
        <w:t>ere for non-core foods (58.3%).</w:t>
      </w:r>
      <w:r w:rsidRPr="00F82F73">
        <w:t xml:space="preserve"> Of these, the most frequent non-core food adverts featuring health claims in 2010 were for full cream milk products (25.1%), high fat spreads (14.1%) and high sugar and/or low </w:t>
      </w:r>
      <w:proofErr w:type="spellStart"/>
      <w:r w:rsidRPr="00F82F73">
        <w:t>fibre</w:t>
      </w:r>
      <w:proofErr w:type="spellEnd"/>
      <w:r w:rsidRPr="00F82F73">
        <w:t xml:space="preserve"> breakfast cereals (12.2%). Of all food adverts including health claims, 26.1% were for core food items in 2010 and within these, 51.1% were for low fat dairy products and 16.6% for low sugar and high </w:t>
      </w:r>
      <w:proofErr w:type="spellStart"/>
      <w:r w:rsidRPr="00F82F73">
        <w:t>fibre</w:t>
      </w:r>
      <w:proofErr w:type="spellEnd"/>
      <w:r w:rsidRPr="00F82F73">
        <w:t xml:space="preserve"> breakfast cereals. Of the food adverts containing health claims in 2010, 15.5% were promoting miscellaneous food items, the majority of which were for infant milk formula (58.6%). </w:t>
      </w:r>
    </w:p>
    <w:p w14:paraId="1877D9CC" w14:textId="77777777" w:rsidR="002C22B4" w:rsidRPr="00F82F73" w:rsidRDefault="002C22B4" w:rsidP="003B5B68">
      <w:pPr>
        <w:pStyle w:val="MDPI31text"/>
      </w:pPr>
      <w:r w:rsidRPr="00F82F73">
        <w:t>On dedicated children’s channels, of the food adverts featuring health claims, 64.1% were for non-core foods. The most frequent non-core food adverts containing a health claim on children’s channels were McDonald’s Happy Meal adverts (35.6%) for m</w:t>
      </w:r>
      <w:r w:rsidR="00F82F73" w:rsidRPr="00F82F73">
        <w:t>eal bundles as described above.</w:t>
      </w:r>
      <w:r w:rsidRPr="00F82F73">
        <w:t xml:space="preserve"> See Table 2 for health claims across channel type and change from 2008. The most frequently used health claim in 2010 was “contains essential nutrients…”, Of food adverts featuring this health claim, yogurts and yogurt drinks were the most common (40.9%) with claims such as “contains calcium and vitamin D which helps build strong bones”. Examples of non-core food adverts using this claim include a promotion for McDonald’s Happy Meal containing a milk drink: “milk contains calcium which is great for your teeth”. Consistent with the overall data, on dedicated children’s channels (see Table 2), the most heavily used health claim in the 2010 sample was “contains essential nutrients” at 39.7%. Of these 62.9% were for yogurt/yogurt drinks with reference to calcium.</w:t>
      </w:r>
    </w:p>
    <w:p w14:paraId="48EB14AA" w14:textId="77777777" w:rsidR="00F82F73" w:rsidRPr="00F82F73" w:rsidRDefault="00F82F73">
      <w:pPr>
        <w:spacing w:line="240" w:lineRule="auto"/>
        <w:jc w:val="left"/>
        <w:rPr>
          <w:rFonts w:ascii="Palatino Linotype" w:hAnsi="Palatino Linotype" w:cstheme="minorBidi"/>
          <w:b/>
          <w:sz w:val="18"/>
          <w:szCs w:val="22"/>
          <w:lang w:bidi="en-US"/>
        </w:rPr>
      </w:pPr>
      <w:r w:rsidRPr="00F82F73">
        <w:rPr>
          <w:b/>
        </w:rPr>
        <w:br w:type="page"/>
      </w:r>
    </w:p>
    <w:p w14:paraId="7D84A861" w14:textId="77777777" w:rsidR="002C22B4" w:rsidRPr="00F82F73" w:rsidRDefault="002C22B4" w:rsidP="00F82F73">
      <w:pPr>
        <w:pStyle w:val="MDPI41tablecaption"/>
      </w:pPr>
      <w:r w:rsidRPr="00F82F73">
        <w:rPr>
          <w:b/>
        </w:rPr>
        <w:lastRenderedPageBreak/>
        <w:t>Table 2.</w:t>
      </w:r>
      <w:r w:rsidRPr="00F82F73">
        <w:t xml:space="preserve"> The most heavily used health claims on dedicated children's channels in 2010, change from 2008 health claim use across all channels in 2010.</w:t>
      </w:r>
    </w:p>
    <w:tbl>
      <w:tblPr>
        <w:tblStyle w:val="Mdeck5tablebodythreelines"/>
        <w:tblW w:w="0" w:type="auto"/>
        <w:tblLook w:val="04A0" w:firstRow="1" w:lastRow="0" w:firstColumn="1" w:lastColumn="0" w:noHBand="0" w:noVBand="1"/>
      </w:tblPr>
      <w:tblGrid>
        <w:gridCol w:w="4007"/>
        <w:gridCol w:w="978"/>
        <w:gridCol w:w="2198"/>
        <w:gridCol w:w="1877"/>
      </w:tblGrid>
      <w:tr w:rsidR="002C22B4" w:rsidRPr="00F82F73" w14:paraId="3381D519" w14:textId="77777777" w:rsidTr="00F82F73">
        <w:trPr>
          <w:cnfStyle w:val="100000000000" w:firstRow="1" w:lastRow="0" w:firstColumn="0" w:lastColumn="0" w:oddVBand="0" w:evenVBand="0" w:oddHBand="0" w:evenHBand="0" w:firstRowFirstColumn="0" w:firstRowLastColumn="0" w:lastRowFirstColumn="0" w:lastRowLastColumn="0"/>
        </w:trPr>
        <w:tc>
          <w:tcPr>
            <w:tcW w:w="4007" w:type="dxa"/>
            <w:noWrap/>
            <w:hideMark/>
          </w:tcPr>
          <w:p w14:paraId="653C7D48" w14:textId="77777777" w:rsidR="002C22B4" w:rsidRPr="00F82F73" w:rsidRDefault="002C22B4" w:rsidP="00F82F73">
            <w:pPr>
              <w:pStyle w:val="MDPI42tablebody"/>
              <w:spacing w:line="240" w:lineRule="auto"/>
              <w:rPr>
                <w:b/>
                <w:sz w:val="20"/>
                <w:lang w:val="en-US"/>
              </w:rPr>
            </w:pPr>
            <w:r w:rsidRPr="00F82F73">
              <w:rPr>
                <w:b/>
                <w:sz w:val="20"/>
                <w:lang w:val="en-US"/>
              </w:rPr>
              <w:t xml:space="preserve">Health </w:t>
            </w:r>
            <w:r w:rsidR="00F82F73" w:rsidRPr="00F82F73">
              <w:rPr>
                <w:b/>
                <w:sz w:val="20"/>
                <w:lang w:val="en-US"/>
              </w:rPr>
              <w:t xml:space="preserve">Claims </w:t>
            </w:r>
            <w:r w:rsidRPr="00F82F73">
              <w:rPr>
                <w:b/>
                <w:sz w:val="20"/>
                <w:lang w:val="en-US"/>
              </w:rPr>
              <w:t>(</w:t>
            </w:r>
            <w:r w:rsidR="00F82F73" w:rsidRPr="00F82F73">
              <w:rPr>
                <w:b/>
                <w:sz w:val="20"/>
                <w:lang w:val="en-US"/>
              </w:rPr>
              <w:t>Dedicated Children’s Channels</w:t>
            </w:r>
            <w:r w:rsidRPr="00F82F73">
              <w:rPr>
                <w:b/>
                <w:sz w:val="20"/>
                <w:lang w:val="en-US"/>
              </w:rPr>
              <w:t>)</w:t>
            </w:r>
          </w:p>
        </w:tc>
        <w:tc>
          <w:tcPr>
            <w:tcW w:w="0" w:type="auto"/>
            <w:noWrap/>
            <w:hideMark/>
          </w:tcPr>
          <w:p w14:paraId="5C9F30A9" w14:textId="77777777" w:rsidR="002C22B4" w:rsidRPr="00F82F73" w:rsidRDefault="002C22B4" w:rsidP="00F82F73">
            <w:pPr>
              <w:pStyle w:val="MDPI42tablebody"/>
              <w:spacing w:line="240" w:lineRule="auto"/>
              <w:rPr>
                <w:b/>
                <w:sz w:val="20"/>
                <w:lang w:val="en-US"/>
              </w:rPr>
            </w:pPr>
            <w:r w:rsidRPr="00F82F73">
              <w:rPr>
                <w:b/>
                <w:sz w:val="20"/>
                <w:lang w:val="en-US"/>
              </w:rPr>
              <w:t>2010 (%)</w:t>
            </w:r>
          </w:p>
        </w:tc>
        <w:tc>
          <w:tcPr>
            <w:tcW w:w="0" w:type="auto"/>
            <w:noWrap/>
            <w:hideMark/>
          </w:tcPr>
          <w:p w14:paraId="621AA6BF" w14:textId="77777777" w:rsidR="002C22B4" w:rsidRPr="00F82F73" w:rsidRDefault="002C22B4" w:rsidP="00F82F73">
            <w:pPr>
              <w:pStyle w:val="MDPI42tablebody"/>
              <w:spacing w:line="240" w:lineRule="auto"/>
              <w:rPr>
                <w:b/>
                <w:sz w:val="20"/>
                <w:lang w:val="en-US"/>
              </w:rPr>
            </w:pPr>
            <w:r w:rsidRPr="00F82F73">
              <w:rPr>
                <w:b/>
                <w:sz w:val="20"/>
                <w:lang w:val="en-US"/>
              </w:rPr>
              <w:t xml:space="preserve">% </w:t>
            </w:r>
            <w:r w:rsidR="00F82F73" w:rsidRPr="00F82F73">
              <w:rPr>
                <w:b/>
                <w:sz w:val="20"/>
                <w:lang w:val="en-US"/>
              </w:rPr>
              <w:t>Change v 2008 (+/−</w:t>
            </w:r>
            <w:r w:rsidRPr="00F82F73">
              <w:rPr>
                <w:b/>
                <w:sz w:val="20"/>
                <w:lang w:val="en-US"/>
              </w:rPr>
              <w:t>)</w:t>
            </w:r>
          </w:p>
        </w:tc>
        <w:tc>
          <w:tcPr>
            <w:tcW w:w="0" w:type="auto"/>
          </w:tcPr>
          <w:p w14:paraId="337BE80C" w14:textId="77777777" w:rsidR="002C22B4" w:rsidRPr="00F82F73" w:rsidRDefault="002C22B4" w:rsidP="00F82F73">
            <w:pPr>
              <w:pStyle w:val="MDPI42tablebody"/>
              <w:spacing w:line="240" w:lineRule="auto"/>
              <w:rPr>
                <w:b/>
                <w:sz w:val="20"/>
                <w:lang w:val="en-US"/>
              </w:rPr>
            </w:pPr>
            <w:r w:rsidRPr="00F82F73">
              <w:rPr>
                <w:b/>
                <w:sz w:val="20"/>
                <w:lang w:val="en-US"/>
              </w:rPr>
              <w:t xml:space="preserve">2010 </w:t>
            </w:r>
            <w:r w:rsidR="00F82F73" w:rsidRPr="00F82F73">
              <w:rPr>
                <w:b/>
                <w:sz w:val="20"/>
                <w:lang w:val="en-US"/>
              </w:rPr>
              <w:t xml:space="preserve">All Channels </w:t>
            </w:r>
            <w:r w:rsidRPr="00F82F73">
              <w:rPr>
                <w:b/>
                <w:sz w:val="20"/>
                <w:lang w:val="en-US"/>
              </w:rPr>
              <w:t xml:space="preserve">(%) </w:t>
            </w:r>
          </w:p>
        </w:tc>
      </w:tr>
      <w:tr w:rsidR="002C22B4" w:rsidRPr="00F82F73" w14:paraId="136B6091" w14:textId="77777777" w:rsidTr="00F82F73">
        <w:tc>
          <w:tcPr>
            <w:tcW w:w="4007" w:type="dxa"/>
            <w:noWrap/>
            <w:hideMark/>
          </w:tcPr>
          <w:p w14:paraId="16D8F787" w14:textId="77777777" w:rsidR="002C22B4" w:rsidRPr="00F82F73" w:rsidRDefault="002C22B4" w:rsidP="00F82F73">
            <w:pPr>
              <w:pStyle w:val="MDPI42tablebody"/>
              <w:spacing w:line="240" w:lineRule="auto"/>
              <w:rPr>
                <w:lang w:val="en-US"/>
              </w:rPr>
            </w:pPr>
            <w:r w:rsidRPr="00F82F73">
              <w:rPr>
                <w:lang w:val="en-US"/>
              </w:rPr>
              <w:t>Contains essential nutrients e.g.</w:t>
            </w:r>
            <w:r w:rsidR="00F82F73" w:rsidRPr="00F82F73">
              <w:rPr>
                <w:lang w:val="en-US"/>
              </w:rPr>
              <w:t>,</w:t>
            </w:r>
            <w:r w:rsidRPr="00F82F73">
              <w:rPr>
                <w:lang w:val="en-US"/>
              </w:rPr>
              <w:t xml:space="preserve"> calcium, vitamins, antioxidants</w:t>
            </w:r>
          </w:p>
        </w:tc>
        <w:tc>
          <w:tcPr>
            <w:tcW w:w="0" w:type="auto"/>
            <w:noWrap/>
            <w:hideMark/>
          </w:tcPr>
          <w:p w14:paraId="1C9CA88C" w14:textId="77777777" w:rsidR="002C22B4" w:rsidRPr="00F82F73" w:rsidRDefault="002C22B4" w:rsidP="00F82F73">
            <w:pPr>
              <w:pStyle w:val="MDPI42tablebody"/>
              <w:spacing w:line="240" w:lineRule="auto"/>
              <w:rPr>
                <w:lang w:val="en-US"/>
              </w:rPr>
            </w:pPr>
            <w:r w:rsidRPr="00F82F73">
              <w:rPr>
                <w:lang w:val="en-US"/>
              </w:rPr>
              <w:t>39.7</w:t>
            </w:r>
          </w:p>
        </w:tc>
        <w:tc>
          <w:tcPr>
            <w:tcW w:w="0" w:type="auto"/>
            <w:noWrap/>
            <w:hideMark/>
          </w:tcPr>
          <w:p w14:paraId="40FAC6AB" w14:textId="77777777" w:rsidR="002C22B4" w:rsidRPr="00F82F73" w:rsidRDefault="002C22B4" w:rsidP="00F82F73">
            <w:pPr>
              <w:pStyle w:val="MDPI42tablebody"/>
              <w:spacing w:line="240" w:lineRule="auto"/>
              <w:rPr>
                <w:lang w:val="en-US"/>
              </w:rPr>
            </w:pPr>
            <w:r w:rsidRPr="00F82F73">
              <w:rPr>
                <w:lang w:val="en-US"/>
              </w:rPr>
              <w:t>+29</w:t>
            </w:r>
          </w:p>
        </w:tc>
        <w:tc>
          <w:tcPr>
            <w:tcW w:w="0" w:type="auto"/>
          </w:tcPr>
          <w:p w14:paraId="6FA476B8" w14:textId="77777777" w:rsidR="002C22B4" w:rsidRPr="00F82F73" w:rsidRDefault="002C22B4" w:rsidP="00F82F73">
            <w:pPr>
              <w:pStyle w:val="MDPI42tablebody"/>
              <w:spacing w:line="240" w:lineRule="auto"/>
              <w:rPr>
                <w:lang w:val="en-US"/>
              </w:rPr>
            </w:pPr>
            <w:r w:rsidRPr="00F82F73">
              <w:rPr>
                <w:lang w:val="en-US"/>
              </w:rPr>
              <w:t>33.4</w:t>
            </w:r>
          </w:p>
        </w:tc>
      </w:tr>
      <w:tr w:rsidR="002C22B4" w:rsidRPr="00F82F73" w14:paraId="6FBFC510" w14:textId="77777777" w:rsidTr="00F82F73">
        <w:tc>
          <w:tcPr>
            <w:tcW w:w="4007" w:type="dxa"/>
            <w:noWrap/>
            <w:hideMark/>
          </w:tcPr>
          <w:p w14:paraId="1964478F" w14:textId="77777777" w:rsidR="002C22B4" w:rsidRPr="00F82F73" w:rsidRDefault="002C22B4" w:rsidP="00F82F73">
            <w:pPr>
              <w:pStyle w:val="MDPI42tablebody"/>
              <w:spacing w:line="240" w:lineRule="auto"/>
              <w:rPr>
                <w:lang w:val="en-US"/>
              </w:rPr>
            </w:pPr>
            <w:r w:rsidRPr="00F82F73">
              <w:rPr>
                <w:lang w:val="en-US"/>
              </w:rPr>
              <w:t>Part of your five a day</w:t>
            </w:r>
          </w:p>
        </w:tc>
        <w:tc>
          <w:tcPr>
            <w:tcW w:w="0" w:type="auto"/>
            <w:noWrap/>
            <w:hideMark/>
          </w:tcPr>
          <w:p w14:paraId="371A0B39" w14:textId="77777777" w:rsidR="002C22B4" w:rsidRPr="00F82F73" w:rsidRDefault="002C22B4" w:rsidP="00F82F73">
            <w:pPr>
              <w:pStyle w:val="MDPI42tablebody"/>
              <w:spacing w:line="240" w:lineRule="auto"/>
              <w:rPr>
                <w:lang w:val="en-US"/>
              </w:rPr>
            </w:pPr>
            <w:r w:rsidRPr="00F82F73">
              <w:rPr>
                <w:lang w:val="en-US"/>
              </w:rPr>
              <w:t>28.9</w:t>
            </w:r>
          </w:p>
        </w:tc>
        <w:tc>
          <w:tcPr>
            <w:tcW w:w="0" w:type="auto"/>
            <w:noWrap/>
            <w:hideMark/>
          </w:tcPr>
          <w:p w14:paraId="7D2D4E1D" w14:textId="77777777" w:rsidR="002C22B4" w:rsidRPr="00F82F73" w:rsidRDefault="002C22B4" w:rsidP="00F82F73">
            <w:pPr>
              <w:pStyle w:val="MDPI42tablebody"/>
              <w:spacing w:line="240" w:lineRule="auto"/>
              <w:rPr>
                <w:lang w:val="en-US"/>
              </w:rPr>
            </w:pPr>
            <w:r w:rsidRPr="00F82F73">
              <w:rPr>
                <w:lang w:val="en-US"/>
              </w:rPr>
              <w:t>+4.9</w:t>
            </w:r>
          </w:p>
        </w:tc>
        <w:tc>
          <w:tcPr>
            <w:tcW w:w="0" w:type="auto"/>
          </w:tcPr>
          <w:p w14:paraId="4E1AA885" w14:textId="77777777" w:rsidR="002C22B4" w:rsidRPr="00F82F73" w:rsidRDefault="002C22B4" w:rsidP="00F82F73">
            <w:pPr>
              <w:pStyle w:val="MDPI42tablebody"/>
              <w:spacing w:line="240" w:lineRule="auto"/>
              <w:rPr>
                <w:lang w:val="en-US"/>
              </w:rPr>
            </w:pPr>
            <w:r w:rsidRPr="00F82F73">
              <w:rPr>
                <w:lang w:val="en-US"/>
              </w:rPr>
              <w:t>10.3</w:t>
            </w:r>
          </w:p>
        </w:tc>
      </w:tr>
      <w:tr w:rsidR="002C22B4" w:rsidRPr="00F82F73" w14:paraId="7D76FC49" w14:textId="77777777" w:rsidTr="00F82F73">
        <w:tc>
          <w:tcPr>
            <w:tcW w:w="4007" w:type="dxa"/>
            <w:noWrap/>
            <w:hideMark/>
          </w:tcPr>
          <w:p w14:paraId="2AF7F358" w14:textId="77777777" w:rsidR="002C22B4" w:rsidRPr="00F82F73" w:rsidRDefault="002C22B4" w:rsidP="00F82F73">
            <w:pPr>
              <w:pStyle w:val="MDPI42tablebody"/>
              <w:spacing w:line="240" w:lineRule="auto"/>
              <w:rPr>
                <w:lang w:val="en-US"/>
              </w:rPr>
            </w:pPr>
            <w:r w:rsidRPr="00F82F73">
              <w:rPr>
                <w:lang w:val="en-US"/>
              </w:rPr>
              <w:t>Organic</w:t>
            </w:r>
          </w:p>
        </w:tc>
        <w:tc>
          <w:tcPr>
            <w:tcW w:w="0" w:type="auto"/>
            <w:noWrap/>
            <w:hideMark/>
          </w:tcPr>
          <w:p w14:paraId="053F4C9E" w14:textId="77777777" w:rsidR="002C22B4" w:rsidRPr="00F82F73" w:rsidRDefault="002C22B4" w:rsidP="00F82F73">
            <w:pPr>
              <w:pStyle w:val="MDPI42tablebody"/>
              <w:spacing w:line="240" w:lineRule="auto"/>
              <w:rPr>
                <w:lang w:val="en-US"/>
              </w:rPr>
            </w:pPr>
            <w:r w:rsidRPr="00F82F73">
              <w:rPr>
                <w:lang w:val="en-US"/>
              </w:rPr>
              <w:t>10.4</w:t>
            </w:r>
          </w:p>
        </w:tc>
        <w:tc>
          <w:tcPr>
            <w:tcW w:w="0" w:type="auto"/>
            <w:noWrap/>
            <w:hideMark/>
          </w:tcPr>
          <w:p w14:paraId="686AEE1C" w14:textId="77777777" w:rsidR="002C22B4" w:rsidRPr="00F82F73" w:rsidRDefault="002C22B4" w:rsidP="00F82F73">
            <w:pPr>
              <w:pStyle w:val="MDPI42tablebody"/>
              <w:spacing w:line="240" w:lineRule="auto"/>
              <w:rPr>
                <w:lang w:val="en-US"/>
              </w:rPr>
            </w:pPr>
            <w:r w:rsidRPr="00F82F73">
              <w:rPr>
                <w:lang w:val="en-US"/>
              </w:rPr>
              <w:t>+8.8</w:t>
            </w:r>
          </w:p>
        </w:tc>
        <w:tc>
          <w:tcPr>
            <w:tcW w:w="0" w:type="auto"/>
          </w:tcPr>
          <w:p w14:paraId="693DA886" w14:textId="77777777" w:rsidR="002C22B4" w:rsidRPr="00F82F73" w:rsidRDefault="002C22B4" w:rsidP="00F82F73">
            <w:pPr>
              <w:pStyle w:val="MDPI42tablebody"/>
              <w:spacing w:line="240" w:lineRule="auto"/>
              <w:rPr>
                <w:lang w:val="en-US"/>
              </w:rPr>
            </w:pPr>
            <w:r w:rsidRPr="00F82F73">
              <w:rPr>
                <w:lang w:val="en-US"/>
              </w:rPr>
              <w:t>5.0</w:t>
            </w:r>
          </w:p>
        </w:tc>
      </w:tr>
      <w:tr w:rsidR="002C22B4" w:rsidRPr="00F82F73" w14:paraId="7EFC4A21" w14:textId="77777777" w:rsidTr="00F82F73">
        <w:tc>
          <w:tcPr>
            <w:tcW w:w="4007" w:type="dxa"/>
            <w:noWrap/>
            <w:hideMark/>
          </w:tcPr>
          <w:p w14:paraId="58B97407" w14:textId="77777777" w:rsidR="002C22B4" w:rsidRPr="00F82F73" w:rsidRDefault="002C22B4" w:rsidP="00F82F73">
            <w:pPr>
              <w:pStyle w:val="MDPI42tablebody"/>
              <w:spacing w:line="240" w:lineRule="auto"/>
              <w:rPr>
                <w:lang w:val="en-US"/>
              </w:rPr>
            </w:pPr>
            <w:r w:rsidRPr="00F82F73">
              <w:rPr>
                <w:lang w:val="en-US"/>
              </w:rPr>
              <w:t>Wholegrain</w:t>
            </w:r>
          </w:p>
        </w:tc>
        <w:tc>
          <w:tcPr>
            <w:tcW w:w="0" w:type="auto"/>
            <w:noWrap/>
            <w:hideMark/>
          </w:tcPr>
          <w:p w14:paraId="5DA525F4" w14:textId="77777777" w:rsidR="002C22B4" w:rsidRPr="00F82F73" w:rsidRDefault="002C22B4" w:rsidP="00F82F73">
            <w:pPr>
              <w:pStyle w:val="MDPI42tablebody"/>
              <w:spacing w:line="240" w:lineRule="auto"/>
              <w:rPr>
                <w:lang w:val="en-US"/>
              </w:rPr>
            </w:pPr>
            <w:r w:rsidRPr="00F82F73">
              <w:rPr>
                <w:lang w:val="en-US"/>
              </w:rPr>
              <w:t>8.3</w:t>
            </w:r>
          </w:p>
        </w:tc>
        <w:tc>
          <w:tcPr>
            <w:tcW w:w="0" w:type="auto"/>
            <w:noWrap/>
            <w:hideMark/>
          </w:tcPr>
          <w:p w14:paraId="23ADF3AF" w14:textId="77777777" w:rsidR="002C22B4" w:rsidRPr="00F82F73" w:rsidRDefault="00F82F73" w:rsidP="00F82F73">
            <w:pPr>
              <w:pStyle w:val="MDPI42tablebody"/>
              <w:spacing w:line="240" w:lineRule="auto"/>
              <w:rPr>
                <w:lang w:val="en-US"/>
              </w:rPr>
            </w:pPr>
            <w:r w:rsidRPr="00F82F73">
              <w:rPr>
                <w:lang w:val="en-US"/>
              </w:rPr>
              <w:t>−</w:t>
            </w:r>
            <w:r w:rsidR="002C22B4" w:rsidRPr="00F82F73">
              <w:rPr>
                <w:lang w:val="en-US"/>
              </w:rPr>
              <w:t>11.8</w:t>
            </w:r>
          </w:p>
        </w:tc>
        <w:tc>
          <w:tcPr>
            <w:tcW w:w="0" w:type="auto"/>
          </w:tcPr>
          <w:p w14:paraId="636A4595" w14:textId="77777777" w:rsidR="002C22B4" w:rsidRPr="00F82F73" w:rsidRDefault="002C22B4" w:rsidP="00F82F73">
            <w:pPr>
              <w:pStyle w:val="MDPI42tablebody"/>
              <w:spacing w:line="240" w:lineRule="auto"/>
              <w:rPr>
                <w:lang w:val="en-US"/>
              </w:rPr>
            </w:pPr>
            <w:r w:rsidRPr="00F82F73">
              <w:rPr>
                <w:lang w:val="en-US"/>
              </w:rPr>
              <w:t>7.8</w:t>
            </w:r>
          </w:p>
        </w:tc>
      </w:tr>
      <w:tr w:rsidR="002C22B4" w:rsidRPr="00F82F73" w14:paraId="1681A1DD" w14:textId="77777777" w:rsidTr="00F82F73">
        <w:tc>
          <w:tcPr>
            <w:tcW w:w="4007" w:type="dxa"/>
            <w:noWrap/>
            <w:hideMark/>
          </w:tcPr>
          <w:p w14:paraId="2FB4CE7F" w14:textId="77777777" w:rsidR="002C22B4" w:rsidRPr="00F82F73" w:rsidRDefault="002C22B4" w:rsidP="00F82F73">
            <w:pPr>
              <w:pStyle w:val="MDPI42tablebody"/>
              <w:spacing w:line="240" w:lineRule="auto"/>
              <w:rPr>
                <w:lang w:val="en-US"/>
              </w:rPr>
            </w:pPr>
            <w:r w:rsidRPr="00F82F73">
              <w:rPr>
                <w:lang w:val="en-US"/>
              </w:rPr>
              <w:t>Low fat</w:t>
            </w:r>
          </w:p>
        </w:tc>
        <w:tc>
          <w:tcPr>
            <w:tcW w:w="0" w:type="auto"/>
            <w:noWrap/>
            <w:hideMark/>
          </w:tcPr>
          <w:p w14:paraId="4662B760" w14:textId="77777777" w:rsidR="002C22B4" w:rsidRPr="00F82F73" w:rsidRDefault="002C22B4" w:rsidP="00F82F73">
            <w:pPr>
              <w:pStyle w:val="MDPI42tablebody"/>
              <w:spacing w:line="240" w:lineRule="auto"/>
              <w:rPr>
                <w:lang w:val="en-US"/>
              </w:rPr>
            </w:pPr>
            <w:r w:rsidRPr="00F82F73">
              <w:rPr>
                <w:lang w:val="en-US"/>
              </w:rPr>
              <w:t>4.7</w:t>
            </w:r>
          </w:p>
        </w:tc>
        <w:tc>
          <w:tcPr>
            <w:tcW w:w="0" w:type="auto"/>
            <w:noWrap/>
            <w:hideMark/>
          </w:tcPr>
          <w:p w14:paraId="5421C487" w14:textId="77777777" w:rsidR="002C22B4" w:rsidRPr="00F82F73" w:rsidRDefault="002C22B4" w:rsidP="00F82F73">
            <w:pPr>
              <w:pStyle w:val="MDPI42tablebody"/>
              <w:spacing w:line="240" w:lineRule="auto"/>
              <w:rPr>
                <w:lang w:val="en-US"/>
              </w:rPr>
            </w:pPr>
            <w:r w:rsidRPr="00F82F73">
              <w:rPr>
                <w:lang w:val="en-US"/>
              </w:rPr>
              <w:t>+2.8</w:t>
            </w:r>
          </w:p>
        </w:tc>
        <w:tc>
          <w:tcPr>
            <w:tcW w:w="0" w:type="auto"/>
          </w:tcPr>
          <w:p w14:paraId="2E7D430A" w14:textId="77777777" w:rsidR="002C22B4" w:rsidRPr="00F82F73" w:rsidRDefault="002C22B4" w:rsidP="00F82F73">
            <w:pPr>
              <w:pStyle w:val="MDPI42tablebody"/>
              <w:spacing w:line="240" w:lineRule="auto"/>
              <w:rPr>
                <w:lang w:val="en-US"/>
              </w:rPr>
            </w:pPr>
            <w:r w:rsidRPr="00F82F73">
              <w:rPr>
                <w:lang w:val="en-US"/>
              </w:rPr>
              <w:t>9.8</w:t>
            </w:r>
          </w:p>
        </w:tc>
      </w:tr>
      <w:tr w:rsidR="002C22B4" w:rsidRPr="00F82F73" w14:paraId="765E3A44" w14:textId="77777777" w:rsidTr="00F82F73">
        <w:tc>
          <w:tcPr>
            <w:tcW w:w="4007" w:type="dxa"/>
            <w:noWrap/>
            <w:hideMark/>
          </w:tcPr>
          <w:p w14:paraId="062B5CDA" w14:textId="77777777" w:rsidR="002C22B4" w:rsidRPr="00F82F73" w:rsidRDefault="002C22B4" w:rsidP="00F82F73">
            <w:pPr>
              <w:pStyle w:val="MDPI42tablebody"/>
              <w:spacing w:line="240" w:lineRule="auto"/>
              <w:rPr>
                <w:lang w:val="en-US"/>
              </w:rPr>
            </w:pPr>
            <w:r w:rsidRPr="00F82F73">
              <w:rPr>
                <w:lang w:val="en-US"/>
              </w:rPr>
              <w:t>No added sugar</w:t>
            </w:r>
          </w:p>
        </w:tc>
        <w:tc>
          <w:tcPr>
            <w:tcW w:w="0" w:type="auto"/>
            <w:noWrap/>
            <w:hideMark/>
          </w:tcPr>
          <w:p w14:paraId="4895C833" w14:textId="77777777" w:rsidR="002C22B4" w:rsidRPr="00F82F73" w:rsidRDefault="002C22B4" w:rsidP="00F82F73">
            <w:pPr>
              <w:pStyle w:val="MDPI42tablebody"/>
              <w:spacing w:line="240" w:lineRule="auto"/>
              <w:rPr>
                <w:lang w:val="en-US"/>
              </w:rPr>
            </w:pPr>
            <w:r w:rsidRPr="00F82F73">
              <w:rPr>
                <w:lang w:val="en-US"/>
              </w:rPr>
              <w:t>3.7</w:t>
            </w:r>
          </w:p>
        </w:tc>
        <w:tc>
          <w:tcPr>
            <w:tcW w:w="0" w:type="auto"/>
            <w:noWrap/>
            <w:hideMark/>
          </w:tcPr>
          <w:p w14:paraId="352E1E6D" w14:textId="77777777" w:rsidR="002C22B4" w:rsidRPr="00F82F73" w:rsidRDefault="00F82F73" w:rsidP="00F82F73">
            <w:pPr>
              <w:pStyle w:val="MDPI42tablebody"/>
              <w:spacing w:line="240" w:lineRule="auto"/>
              <w:rPr>
                <w:lang w:val="en-US"/>
              </w:rPr>
            </w:pPr>
            <w:r w:rsidRPr="00F82F73">
              <w:rPr>
                <w:lang w:val="en-US"/>
              </w:rPr>
              <w:t>−</w:t>
            </w:r>
            <w:r w:rsidR="002C22B4" w:rsidRPr="00F82F73">
              <w:rPr>
                <w:lang w:val="en-US"/>
              </w:rPr>
              <w:t>0.5</w:t>
            </w:r>
          </w:p>
        </w:tc>
        <w:tc>
          <w:tcPr>
            <w:tcW w:w="0" w:type="auto"/>
          </w:tcPr>
          <w:p w14:paraId="45520387" w14:textId="77777777" w:rsidR="002C22B4" w:rsidRPr="00F82F73" w:rsidRDefault="002C22B4" w:rsidP="00F82F73">
            <w:pPr>
              <w:pStyle w:val="MDPI42tablebody"/>
              <w:spacing w:line="240" w:lineRule="auto"/>
              <w:rPr>
                <w:lang w:val="en-US"/>
              </w:rPr>
            </w:pPr>
            <w:r w:rsidRPr="00F82F73">
              <w:rPr>
                <w:lang w:val="en-US"/>
              </w:rPr>
              <w:t>2.1</w:t>
            </w:r>
          </w:p>
        </w:tc>
      </w:tr>
      <w:tr w:rsidR="002C22B4" w:rsidRPr="00F82F73" w14:paraId="23AB5BC0" w14:textId="77777777" w:rsidTr="00F82F73">
        <w:tc>
          <w:tcPr>
            <w:tcW w:w="4007" w:type="dxa"/>
            <w:noWrap/>
            <w:hideMark/>
          </w:tcPr>
          <w:p w14:paraId="17EE35F2" w14:textId="77777777" w:rsidR="002C22B4" w:rsidRPr="00F82F73" w:rsidRDefault="002C22B4" w:rsidP="00F82F73">
            <w:pPr>
              <w:pStyle w:val="MDPI42tablebody"/>
              <w:spacing w:line="240" w:lineRule="auto"/>
              <w:rPr>
                <w:lang w:val="en-US"/>
              </w:rPr>
            </w:pPr>
            <w:r w:rsidRPr="00F82F73">
              <w:rPr>
                <w:lang w:val="en-US"/>
              </w:rPr>
              <w:t>Contains only natural ingredients</w:t>
            </w:r>
          </w:p>
        </w:tc>
        <w:tc>
          <w:tcPr>
            <w:tcW w:w="0" w:type="auto"/>
            <w:noWrap/>
            <w:hideMark/>
          </w:tcPr>
          <w:p w14:paraId="2898467A" w14:textId="77777777" w:rsidR="002C22B4" w:rsidRPr="00F82F73" w:rsidRDefault="002C22B4" w:rsidP="00F82F73">
            <w:pPr>
              <w:pStyle w:val="MDPI42tablebody"/>
              <w:spacing w:line="240" w:lineRule="auto"/>
              <w:rPr>
                <w:lang w:val="en-US"/>
              </w:rPr>
            </w:pPr>
            <w:r w:rsidRPr="00F82F73">
              <w:rPr>
                <w:lang w:val="en-US"/>
              </w:rPr>
              <w:t>3.1</w:t>
            </w:r>
          </w:p>
        </w:tc>
        <w:tc>
          <w:tcPr>
            <w:tcW w:w="0" w:type="auto"/>
            <w:noWrap/>
            <w:hideMark/>
          </w:tcPr>
          <w:p w14:paraId="74D48DAF" w14:textId="77777777" w:rsidR="002C22B4" w:rsidRPr="00F82F73" w:rsidRDefault="00F82F73" w:rsidP="00F82F73">
            <w:pPr>
              <w:pStyle w:val="MDPI42tablebody"/>
              <w:spacing w:line="240" w:lineRule="auto"/>
              <w:rPr>
                <w:lang w:val="en-US"/>
              </w:rPr>
            </w:pPr>
            <w:r w:rsidRPr="00F82F73">
              <w:rPr>
                <w:lang w:val="en-US"/>
              </w:rPr>
              <w:t>−</w:t>
            </w:r>
            <w:r w:rsidR="002C22B4" w:rsidRPr="00F82F73">
              <w:rPr>
                <w:lang w:val="en-US"/>
              </w:rPr>
              <w:t>12.2</w:t>
            </w:r>
          </w:p>
        </w:tc>
        <w:tc>
          <w:tcPr>
            <w:tcW w:w="0" w:type="auto"/>
          </w:tcPr>
          <w:p w14:paraId="194C6AD6" w14:textId="77777777" w:rsidR="002C22B4" w:rsidRPr="00F82F73" w:rsidRDefault="002C22B4" w:rsidP="00F82F73">
            <w:pPr>
              <w:pStyle w:val="MDPI42tablebody"/>
              <w:spacing w:line="240" w:lineRule="auto"/>
              <w:rPr>
                <w:lang w:val="en-US"/>
              </w:rPr>
            </w:pPr>
            <w:r w:rsidRPr="00F82F73">
              <w:rPr>
                <w:lang w:val="en-US"/>
              </w:rPr>
              <w:t>15.9</w:t>
            </w:r>
          </w:p>
        </w:tc>
      </w:tr>
      <w:tr w:rsidR="002C22B4" w:rsidRPr="00F82F73" w14:paraId="37040A1B" w14:textId="77777777" w:rsidTr="00F82F73">
        <w:tc>
          <w:tcPr>
            <w:tcW w:w="4007" w:type="dxa"/>
            <w:noWrap/>
            <w:hideMark/>
          </w:tcPr>
          <w:p w14:paraId="7FEB9D94" w14:textId="77777777" w:rsidR="002C22B4" w:rsidRPr="00F82F73" w:rsidRDefault="002C22B4" w:rsidP="00F82F73">
            <w:pPr>
              <w:pStyle w:val="MDPI42tablebody"/>
              <w:spacing w:line="240" w:lineRule="auto"/>
              <w:rPr>
                <w:lang w:val="en-US"/>
              </w:rPr>
            </w:pPr>
            <w:r w:rsidRPr="00F82F73">
              <w:rPr>
                <w:lang w:val="en-US"/>
              </w:rPr>
              <w:t xml:space="preserve">Contains </w:t>
            </w:r>
            <w:proofErr w:type="spellStart"/>
            <w:r w:rsidRPr="00F82F73">
              <w:rPr>
                <w:lang w:val="en-US"/>
              </w:rPr>
              <w:t>fibre</w:t>
            </w:r>
            <w:proofErr w:type="spellEnd"/>
          </w:p>
        </w:tc>
        <w:tc>
          <w:tcPr>
            <w:tcW w:w="0" w:type="auto"/>
            <w:noWrap/>
            <w:hideMark/>
          </w:tcPr>
          <w:p w14:paraId="0D0925E3" w14:textId="77777777" w:rsidR="002C22B4" w:rsidRPr="00F82F73" w:rsidRDefault="002C22B4" w:rsidP="00F82F73">
            <w:pPr>
              <w:pStyle w:val="MDPI42tablebody"/>
              <w:spacing w:line="240" w:lineRule="auto"/>
              <w:rPr>
                <w:lang w:val="en-US"/>
              </w:rPr>
            </w:pPr>
            <w:r w:rsidRPr="00F82F73">
              <w:rPr>
                <w:lang w:val="en-US"/>
              </w:rPr>
              <w:t>0.6</w:t>
            </w:r>
          </w:p>
        </w:tc>
        <w:tc>
          <w:tcPr>
            <w:tcW w:w="0" w:type="auto"/>
            <w:noWrap/>
            <w:hideMark/>
          </w:tcPr>
          <w:p w14:paraId="32FF3754" w14:textId="77777777" w:rsidR="002C22B4" w:rsidRPr="00F82F73" w:rsidRDefault="002C22B4" w:rsidP="00F82F73">
            <w:pPr>
              <w:pStyle w:val="MDPI42tablebody"/>
              <w:spacing w:line="240" w:lineRule="auto"/>
              <w:rPr>
                <w:lang w:val="en-US"/>
              </w:rPr>
            </w:pPr>
            <w:r w:rsidRPr="00F82F73">
              <w:rPr>
                <w:lang w:val="en-US"/>
              </w:rPr>
              <w:t>+0.6</w:t>
            </w:r>
          </w:p>
        </w:tc>
        <w:tc>
          <w:tcPr>
            <w:tcW w:w="0" w:type="auto"/>
          </w:tcPr>
          <w:p w14:paraId="03FA5E65" w14:textId="77777777" w:rsidR="002C22B4" w:rsidRPr="00F82F73" w:rsidRDefault="002C22B4" w:rsidP="00F82F73">
            <w:pPr>
              <w:pStyle w:val="MDPI42tablebody"/>
              <w:spacing w:line="240" w:lineRule="auto"/>
              <w:rPr>
                <w:lang w:val="en-US"/>
              </w:rPr>
            </w:pPr>
            <w:r w:rsidRPr="00F82F73">
              <w:rPr>
                <w:lang w:val="en-US"/>
              </w:rPr>
              <w:t>1.3</w:t>
            </w:r>
          </w:p>
        </w:tc>
      </w:tr>
      <w:tr w:rsidR="002C22B4" w:rsidRPr="00F82F73" w14:paraId="23C2996A" w14:textId="77777777" w:rsidTr="00F82F73">
        <w:tc>
          <w:tcPr>
            <w:tcW w:w="4007" w:type="dxa"/>
            <w:noWrap/>
            <w:hideMark/>
          </w:tcPr>
          <w:p w14:paraId="3104773D" w14:textId="77777777" w:rsidR="002C22B4" w:rsidRPr="00F82F73" w:rsidRDefault="002C22B4" w:rsidP="00F82F73">
            <w:pPr>
              <w:pStyle w:val="MDPI42tablebody"/>
              <w:spacing w:line="240" w:lineRule="auto"/>
              <w:rPr>
                <w:lang w:val="en-US"/>
              </w:rPr>
            </w:pPr>
            <w:r w:rsidRPr="00F82F73">
              <w:rPr>
                <w:lang w:val="en-US"/>
              </w:rPr>
              <w:t>Is low calorie/light</w:t>
            </w:r>
          </w:p>
        </w:tc>
        <w:tc>
          <w:tcPr>
            <w:tcW w:w="0" w:type="auto"/>
            <w:noWrap/>
            <w:hideMark/>
          </w:tcPr>
          <w:p w14:paraId="135F394D" w14:textId="77777777" w:rsidR="002C22B4" w:rsidRPr="00F82F73" w:rsidRDefault="002C22B4" w:rsidP="00F82F73">
            <w:pPr>
              <w:pStyle w:val="MDPI42tablebody"/>
              <w:spacing w:line="240" w:lineRule="auto"/>
              <w:rPr>
                <w:lang w:val="en-US"/>
              </w:rPr>
            </w:pPr>
            <w:r w:rsidRPr="00F82F73">
              <w:rPr>
                <w:lang w:val="en-US"/>
              </w:rPr>
              <w:t>0.6</w:t>
            </w:r>
          </w:p>
        </w:tc>
        <w:tc>
          <w:tcPr>
            <w:tcW w:w="0" w:type="auto"/>
            <w:noWrap/>
            <w:hideMark/>
          </w:tcPr>
          <w:p w14:paraId="47260628" w14:textId="77777777" w:rsidR="002C22B4" w:rsidRPr="00F82F73" w:rsidRDefault="00F82F73" w:rsidP="00F82F73">
            <w:pPr>
              <w:pStyle w:val="MDPI42tablebody"/>
              <w:spacing w:line="240" w:lineRule="auto"/>
              <w:rPr>
                <w:lang w:val="en-US"/>
              </w:rPr>
            </w:pPr>
            <w:r w:rsidRPr="00F82F73">
              <w:rPr>
                <w:lang w:val="en-US"/>
              </w:rPr>
              <w:t>−</w:t>
            </w:r>
            <w:r w:rsidR="002C22B4" w:rsidRPr="00F82F73">
              <w:rPr>
                <w:lang w:val="en-US"/>
              </w:rPr>
              <w:t>5.1</w:t>
            </w:r>
          </w:p>
        </w:tc>
        <w:tc>
          <w:tcPr>
            <w:tcW w:w="0" w:type="auto"/>
          </w:tcPr>
          <w:p w14:paraId="18C6F570" w14:textId="77777777" w:rsidR="002C22B4" w:rsidRPr="00F82F73" w:rsidRDefault="002C22B4" w:rsidP="00F82F73">
            <w:pPr>
              <w:pStyle w:val="MDPI42tablebody"/>
              <w:spacing w:line="240" w:lineRule="auto"/>
              <w:rPr>
                <w:lang w:val="en-US"/>
              </w:rPr>
            </w:pPr>
            <w:r w:rsidRPr="00F82F73">
              <w:rPr>
                <w:lang w:val="en-US"/>
              </w:rPr>
              <w:t>5.1</w:t>
            </w:r>
          </w:p>
        </w:tc>
      </w:tr>
    </w:tbl>
    <w:p w14:paraId="7B84352C" w14:textId="77777777" w:rsidR="002C22B4" w:rsidRPr="00F82F73" w:rsidRDefault="00F82F73" w:rsidP="003B5B68">
      <w:pPr>
        <w:pStyle w:val="MDPI22heading2"/>
        <w:kinsoku/>
        <w:overflowPunct/>
        <w:autoSpaceDE/>
        <w:autoSpaceDN/>
        <w:jc w:val="both"/>
        <w:rPr>
          <w:noProof w:val="0"/>
        </w:rPr>
      </w:pPr>
      <w:r w:rsidRPr="00F82F73">
        <w:rPr>
          <w:noProof w:val="0"/>
        </w:rPr>
        <w:t xml:space="preserve">3.3. </w:t>
      </w:r>
      <w:r w:rsidR="002C22B4" w:rsidRPr="00F82F73">
        <w:rPr>
          <w:noProof w:val="0"/>
        </w:rPr>
        <w:t xml:space="preserve">Primary </w:t>
      </w:r>
      <w:r w:rsidRPr="00F82F73">
        <w:rPr>
          <w:noProof w:val="0"/>
        </w:rPr>
        <w:t>Persuasive Appeal</w:t>
      </w:r>
    </w:p>
    <w:p w14:paraId="19F8C5A2" w14:textId="77777777" w:rsidR="002C22B4" w:rsidRPr="00F82F73" w:rsidRDefault="002C22B4" w:rsidP="00F82F73">
      <w:pPr>
        <w:pStyle w:val="MDPI31text"/>
        <w:rPr>
          <w:b/>
        </w:rPr>
      </w:pPr>
      <w:r w:rsidRPr="00F82F73">
        <w:t>In 2010, health-related (e.g.</w:t>
      </w:r>
      <w:r w:rsidR="00F82F73" w:rsidRPr="00F82F73">
        <w:t>,</w:t>
      </w:r>
      <w:r w:rsidRPr="00F82F73">
        <w:t xml:space="preserve"> health/nutrition, weight loss/diet) appeals were used in 17.1% of food adverts during peak child viewing times, an increase of 1.9 percent points from 14.9% in 2008. Non-health related persuasive appeals (see </w:t>
      </w:r>
      <w:r w:rsidR="006835D5" w:rsidRPr="006835D5">
        <w:t>Table A2</w:t>
      </w:r>
      <w:r w:rsidR="00F82F73">
        <w:t>) comprised 83.0% in 2010.</w:t>
      </w:r>
      <w:r w:rsidRPr="00F82F73">
        <w:t xml:space="preserve"> On dedicated children’s channels in 2010, health-related appeals during peak children’s viewing times were used in 33.0% of adverts, an increase of 15.9 percent points compared to the 2010 sample and an increase of 24.4 percent points from 2008.</w:t>
      </w:r>
    </w:p>
    <w:p w14:paraId="77C29A03" w14:textId="77777777" w:rsidR="002C22B4" w:rsidRPr="00F82F73" w:rsidRDefault="00F82F73" w:rsidP="003B5B68">
      <w:pPr>
        <w:pStyle w:val="MDPI21heading1"/>
        <w:jc w:val="both"/>
      </w:pPr>
      <w:r>
        <w:t xml:space="preserve">4. </w:t>
      </w:r>
      <w:r w:rsidR="002C22B4" w:rsidRPr="00F82F73">
        <w:t>Discussion</w:t>
      </w:r>
    </w:p>
    <w:p w14:paraId="7F9B4DD6" w14:textId="77777777" w:rsidR="002C22B4" w:rsidRPr="00F82F73" w:rsidRDefault="002C22B4" w:rsidP="003B5B68">
      <w:pPr>
        <w:pStyle w:val="MDPI31text"/>
        <w:rPr>
          <w:b/>
        </w:rPr>
      </w:pPr>
      <w:r w:rsidRPr="00F82F73">
        <w:t xml:space="preserve">The current study systematically monitored television food advertising content in two broadcast samples (2008 and 2010) to examine use of health-related messages in television food advertising over time, as </w:t>
      </w:r>
      <w:proofErr w:type="spellStart"/>
      <w:r w:rsidRPr="00F82F73">
        <w:t>prioritised</w:t>
      </w:r>
      <w:proofErr w:type="spellEnd"/>
      <w:r w:rsidRPr="00F82F73">
        <w:t xml:space="preserve"> by World Health </w:t>
      </w:r>
      <w:proofErr w:type="spellStart"/>
      <w:r w:rsidRPr="00F82F73">
        <w:t>Organisation</w:t>
      </w:r>
      <w:proofErr w:type="spellEnd"/>
      <w:r w:rsidRPr="00F82F73">
        <w:t xml:space="preserve"> recommendations [24]. Compared with 2008, food adverts broadcast in 2010 were more likely to feature physical activity depiction and health claims, with the largest increases found for advertising on dedicated children’s channels. Crucially, overall in 2010, both physical activity depiction and health claims were most commonly featured within adverts for non-core, unhealthy foods. Health-related appeals were the most heavily used persuasive appeal across all food adverts in 2010, and constituted one third of appeals used on dedicated children’s channels in 2010. Together, these findings imply greater prominence of implicit (physical activity) and explicit (health claims) health-related messages in UK television food advertising.</w:t>
      </w:r>
    </w:p>
    <w:p w14:paraId="0406088D" w14:textId="77777777" w:rsidR="002C22B4" w:rsidRPr="00F82F73" w:rsidRDefault="002C22B4" w:rsidP="00F82F73">
      <w:pPr>
        <w:pStyle w:val="MDPI31text"/>
        <w:rPr>
          <w:b/>
        </w:rPr>
      </w:pPr>
      <w:r w:rsidRPr="00F82F73">
        <w:t>Physical activity depiction within food adverts increased almost 20 percent points between 2008 and 2010, indicating that marketers are keen to align themselves with consumers’ interest of health by constructing an association with exercise. Results reported here are consistent with increases observed in a US study, where in 2009 physical activity was depicted in 6.6% of food adverts, increasing to 20.1% in 2013 [25]. Notably, the current research found the largest increase of physical activity on dedicated children’s channels; an increase of almost 30 percent points from 2008 to 2010. Debate surrounds this trend, which is often celebrated by the food industry for encouraging children to get fit [26]. Indeed, research shows that children as young as 5 years old associate physical activity with health [27]. However, these data found that the majority of food adverts depicting physical activity were promoting unhealthy foods, and this was almost exclusively the case on dedicated children’s channels. This is a concern as recent experimental research shows that physical activity depiction in unhealthy food marketing skews children’s perceptions of the healthfulness of foods and affects their appeal [25] thus, this marketing strategy may be detrimental to children’s understanding and ability to make informed food-related decisions. As children’s food knowledge has been</w:t>
      </w:r>
      <w:r w:rsidR="00F82F73">
        <w:t xml:space="preserve"> found to impact their diet [8,</w:t>
      </w:r>
      <w:r w:rsidRPr="00F82F73">
        <w:t xml:space="preserve">28], research must continue to quantify this pattern over time and further investigate the implications of these marketing trends on children’s food choices. </w:t>
      </w:r>
    </w:p>
    <w:p w14:paraId="7682BBCC" w14:textId="77777777" w:rsidR="002C22B4" w:rsidRPr="00F82F73" w:rsidRDefault="002C22B4" w:rsidP="00F82F73">
      <w:pPr>
        <w:pStyle w:val="MDPI31text"/>
        <w:rPr>
          <w:b/>
        </w:rPr>
      </w:pPr>
      <w:r w:rsidRPr="00F82F73">
        <w:lastRenderedPageBreak/>
        <w:t>There was an increase in health and nutrition claims found in television food adverts from 2008 to 2010, mirroring increases found on food and beverage packaging in UK supermarkets [29]. The frequency of adverts featuring health claims was highest on children’s channels compared to all other channel types, in line with previous UK research [30]. The majority of health claims recorded in the present study promoted non-core foods (with this proportion having risen over time). On children’s channels, the most frequently used health claim was “contains essential nutrients” and an increase was observed in the use of “part of your five a day”, however it was found that these adverts were almost exclusively for McDonald’s Happy Meals. Use of the common traffic light label on such non-core food product packaging and advertising might be useful here to inform individuals about nutrients and fo</w:t>
      </w:r>
      <w:r w:rsidR="00F82F73">
        <w:t>od items that are less healthy.</w:t>
      </w:r>
      <w:r w:rsidRPr="00F82F73">
        <w:t xml:space="preserve"> Additionally, regulatory agencies may wish to develop stricter regulations for nutrient content claims due to their prevalence and impact, particularly when the health association is unfounded. </w:t>
      </w:r>
    </w:p>
    <w:p w14:paraId="106B7241" w14:textId="77777777" w:rsidR="002C22B4" w:rsidRPr="00F82F73" w:rsidRDefault="002C22B4" w:rsidP="00F82F73">
      <w:pPr>
        <w:pStyle w:val="MDPI31text"/>
        <w:rPr>
          <w:b/>
        </w:rPr>
      </w:pPr>
      <w:r w:rsidRPr="00F82F73">
        <w:t xml:space="preserve">In the UK, </w:t>
      </w:r>
      <w:proofErr w:type="spellStart"/>
      <w:r w:rsidRPr="00F82F73">
        <w:t>Ofcom</w:t>
      </w:r>
      <w:proofErr w:type="spellEnd"/>
      <w:r w:rsidRPr="00F82F73">
        <w:t xml:space="preserve"> brought regulations into full effect in 2009 to ban HFSS adverts on dedicated children’s channels and restrict the broadcast of such adverts around </w:t>
      </w:r>
      <w:proofErr w:type="spellStart"/>
      <w:r w:rsidRPr="00F82F73">
        <w:t>programmes</w:t>
      </w:r>
      <w:proofErr w:type="spellEnd"/>
      <w:r w:rsidRPr="00F82F73">
        <w:t xml:space="preserve"> of appeal to 4</w:t>
      </w:r>
      <w:r w:rsidR="00F82F73">
        <w:t>–</w:t>
      </w:r>
      <w:r w:rsidRPr="00F82F73">
        <w:t>1</w:t>
      </w:r>
      <w:r w:rsidR="00F82F73">
        <w:t>5 year olds on any channel [3].</w:t>
      </w:r>
      <w:r w:rsidRPr="00F82F73">
        <w:t xml:space="preserve"> However, data from the present study and published data [21] demonstrate that non-core foods are still being broadcast on children’s channels. This is likely to be in part due to differences in how advertised products are </w:t>
      </w:r>
      <w:proofErr w:type="spellStart"/>
      <w:r w:rsidRPr="00F82F73">
        <w:t>categorised</w:t>
      </w:r>
      <w:proofErr w:type="spellEnd"/>
      <w:r w:rsidRPr="00F82F73">
        <w:t xml:space="preserve"> by the nutrient profiling system used by the broadcast regulator and the standard coding framework used in this study (and in many other published studies of this kind [7,23]). Advertisements by food companies that produce, sell and promote largely unhealthy foods (e.g.</w:t>
      </w:r>
      <w:r w:rsidR="00F82F73">
        <w:t>,</w:t>
      </w:r>
      <w:r w:rsidRPr="00F82F73">
        <w:t xml:space="preserve"> fast food brands) were </w:t>
      </w:r>
      <w:proofErr w:type="spellStart"/>
      <w:r w:rsidRPr="00F82F73">
        <w:t>categorised</w:t>
      </w:r>
      <w:proofErr w:type="spellEnd"/>
      <w:r w:rsidRPr="00F82F73">
        <w:t xml:space="preserve"> here as non-core even if food product, as presented, passed the UK </w:t>
      </w:r>
      <w:proofErr w:type="spellStart"/>
      <w:r w:rsidRPr="00F82F73">
        <w:t>Ofcom</w:t>
      </w:r>
      <w:proofErr w:type="spellEnd"/>
      <w:r w:rsidRPr="00F82F73">
        <w:t xml:space="preserve"> n</w:t>
      </w:r>
      <w:r w:rsidR="00F82F73">
        <w:t>utrient profiling restrictions.</w:t>
      </w:r>
      <w:r w:rsidRPr="00F82F73">
        <w:t xml:space="preserve"> As an example of where this is likely to lead to </w:t>
      </w:r>
      <w:proofErr w:type="spellStart"/>
      <w:r w:rsidRPr="00F82F73">
        <w:t>categorisation</w:t>
      </w:r>
      <w:proofErr w:type="spellEnd"/>
      <w:r w:rsidRPr="00F82F73">
        <w:t xml:space="preserve"> differences, McDonalds have been found to increasingly portray meal bundles with the healthier constituents (e.g.</w:t>
      </w:r>
      <w:r w:rsidR="00F82F73">
        <w:t>,</w:t>
      </w:r>
      <w:r w:rsidRPr="00F82F73">
        <w:t xml:space="preserve"> fish fingers, a fruit bag and a bottle of water rather than a burger, fries and a soft drink [31]). Adverts of this nature are still permitted to be broadcast to children but research has demonstrated that exposure increases children’s liking of fast food and does not lead them to make healthier choices [31]. Informed debate around this particular issue is warranted to determine whether legislation should restrict this practice. </w:t>
      </w:r>
    </w:p>
    <w:p w14:paraId="050AE5E2" w14:textId="77777777" w:rsidR="002C22B4" w:rsidRPr="00F82F73" w:rsidRDefault="002C22B4" w:rsidP="00F82F73">
      <w:pPr>
        <w:pStyle w:val="MDPI31text"/>
        <w:rPr>
          <w:b/>
        </w:rPr>
      </w:pPr>
      <w:r w:rsidRPr="00F82F73">
        <w:t>A limitation of this study is that the data were a random sample of adverts aired during the study periods, and as such may not be reflective of all adv</w:t>
      </w:r>
      <w:r w:rsidR="00F82F73">
        <w:t xml:space="preserve">erts aired during these times. </w:t>
      </w:r>
      <w:r w:rsidRPr="00F82F73">
        <w:t>Moreover, due to differences in sample size (12 months of data for 2008 and six months for 2010) comparisons can only be made on the basis of proportional data (percentages and rates per hour) rath</w:t>
      </w:r>
      <w:r w:rsidR="00F82F73">
        <w:t>er than number of occurrences.</w:t>
      </w:r>
      <w:r w:rsidRPr="00F82F73">
        <w:t xml:space="preserve"> A further study limitation is that a narrow range of health imagery was coded. Future research should measure a broader variety of health-based cues, for example the use of fr</w:t>
      </w:r>
      <w:r w:rsidR="00F82F73">
        <w:t xml:space="preserve">uit or vegetable imagery [32]. </w:t>
      </w:r>
      <w:r w:rsidRPr="00F82F73">
        <w:t>Finally, this study did not address children’s interpretation of the claims, and it is not clear if all health claims would impact children equally (for example, some health claims were likely to target parents).</w:t>
      </w:r>
    </w:p>
    <w:p w14:paraId="0E21C068" w14:textId="77777777" w:rsidR="002C22B4" w:rsidRPr="00F82F73" w:rsidRDefault="00F82F73" w:rsidP="00F82F73">
      <w:pPr>
        <w:pStyle w:val="MDPI21heading1"/>
      </w:pPr>
      <w:r>
        <w:t xml:space="preserve">5. </w:t>
      </w:r>
      <w:r w:rsidR="002C22B4" w:rsidRPr="00F82F73">
        <w:t>Conclusions</w:t>
      </w:r>
    </w:p>
    <w:p w14:paraId="3FDF1D30" w14:textId="77777777" w:rsidR="002C22B4" w:rsidRPr="00F82F73" w:rsidRDefault="002C22B4" w:rsidP="00F82F73">
      <w:pPr>
        <w:pStyle w:val="MDPI31text"/>
      </w:pPr>
      <w:r w:rsidRPr="00F82F73">
        <w:t>Together, findings across physical activity depiction, health claim use and health-related primary persuasive appeal denote a substantial and increasing use of health-related messages and content within UK television food advertising on channels popular with children. Results demonstrate that nutritionally deficient foods are often paired with implicit and explicit references to health; with the heaviest use of such references on children’s channels and in the promotion of unhealthy foods. This marketing approach may mislead children in terms of their understanding of nutrition and lead to judgement errors with regard to healthy food choices. Researchers should explore further the impact of health messages used in conjunction with unhealthy foods on children’s food attitudes and intake. Policy makers in the UK should consider amendments to the existing statutory approach [2] to address this issue. In the US, the CFBAI recognized that using physical activity to promote unhealthy foods was deceptive in 2013. However, more progress needs to be made to understand what policy makers can do to ensure that child-directed food advertising does not encourage children to misperceive the nutritional qualities of unhealthy foods.</w:t>
      </w:r>
    </w:p>
    <w:p w14:paraId="6D6F983F" w14:textId="77777777" w:rsidR="002C22B4" w:rsidRPr="008F7F10" w:rsidRDefault="002C22B4" w:rsidP="00F82F73">
      <w:pPr>
        <w:pStyle w:val="MDPI62Acknowledgments"/>
      </w:pPr>
      <w:r w:rsidRPr="00F82F73">
        <w:rPr>
          <w:b/>
        </w:rPr>
        <w:lastRenderedPageBreak/>
        <w:t>Acknowledgements:</w:t>
      </w:r>
      <w:r w:rsidRPr="00F82F73">
        <w:t xml:space="preserve"> </w:t>
      </w:r>
      <w:r w:rsidRPr="008F7F10">
        <w:t>This rese</w:t>
      </w:r>
      <w:r w:rsidR="00F82F73" w:rsidRPr="008F7F10">
        <w:t xml:space="preserve">arch was undertaken as part of </w:t>
      </w:r>
      <w:r w:rsidRPr="008F7F10">
        <w:t xml:space="preserve">Whalen’s PhD which was funded by the Department of Psychological Sciences, University of Liverpool. </w:t>
      </w:r>
    </w:p>
    <w:p w14:paraId="6D30929C" w14:textId="77777777" w:rsidR="002C22B4" w:rsidRPr="008F7F10" w:rsidRDefault="002C22B4" w:rsidP="00F82F73">
      <w:pPr>
        <w:pStyle w:val="MDPI62Acknowledgments"/>
      </w:pPr>
      <w:r w:rsidRPr="008F7F10">
        <w:rPr>
          <w:b/>
        </w:rPr>
        <w:t>Author contributions:</w:t>
      </w:r>
      <w:r w:rsidRPr="008F7F10">
        <w:t xml:space="preserve"> </w:t>
      </w:r>
      <w:r w:rsidR="008F7F10" w:rsidRPr="008F7F10">
        <w:t xml:space="preserve">Emma </w:t>
      </w:r>
      <w:r w:rsidRPr="008F7F10">
        <w:t xml:space="preserve">Boyland, </w:t>
      </w:r>
      <w:r w:rsidR="008F7F10" w:rsidRPr="008F7F10">
        <w:t xml:space="preserve">Jason </w:t>
      </w:r>
      <w:r w:rsidRPr="008F7F10">
        <w:t xml:space="preserve">Halford and </w:t>
      </w:r>
      <w:r w:rsidR="008F7F10" w:rsidRPr="008F7F10">
        <w:t xml:space="preserve">Joanne </w:t>
      </w:r>
      <w:r w:rsidRPr="008F7F10">
        <w:t xml:space="preserve">Harrold conceived and designed study; </w:t>
      </w:r>
      <w:r w:rsidR="008F7F10" w:rsidRPr="008F7F10">
        <w:t xml:space="preserve">Simon </w:t>
      </w:r>
      <w:r w:rsidRPr="008F7F10">
        <w:t xml:space="preserve">Child collected the data; </w:t>
      </w:r>
      <w:r w:rsidR="008F7F10" w:rsidRPr="008F7F10">
        <w:t xml:space="preserve">Rosa </w:t>
      </w:r>
      <w:r w:rsidRPr="008F7F10">
        <w:t xml:space="preserve">Whalen and </w:t>
      </w:r>
      <w:r w:rsidR="008F7F10" w:rsidRPr="008F7F10">
        <w:t xml:space="preserve">Emma </w:t>
      </w:r>
      <w:r w:rsidRPr="008F7F10">
        <w:t xml:space="preserve">Boyland </w:t>
      </w:r>
      <w:proofErr w:type="spellStart"/>
      <w:r w:rsidRPr="008F7F10">
        <w:t>analysed</w:t>
      </w:r>
      <w:proofErr w:type="spellEnd"/>
      <w:r w:rsidRPr="008F7F10">
        <w:t xml:space="preserve"> the data; Rosa Whalen and </w:t>
      </w:r>
      <w:r w:rsidR="008F7F10" w:rsidRPr="008F7F10">
        <w:t>Emma</w:t>
      </w:r>
      <w:r w:rsidR="008F7F10">
        <w:t xml:space="preserve"> </w:t>
      </w:r>
      <w:r w:rsidRPr="008F7F10">
        <w:t>Boyland wrote the paper.</w:t>
      </w:r>
    </w:p>
    <w:p w14:paraId="7B754FE6" w14:textId="77777777" w:rsidR="002C22B4" w:rsidRDefault="002C22B4" w:rsidP="00F82F73">
      <w:pPr>
        <w:pStyle w:val="MDPI62Acknowledgments"/>
      </w:pPr>
      <w:bookmarkStart w:id="1" w:name="references"/>
      <w:bookmarkEnd w:id="1"/>
      <w:r w:rsidRPr="008F7F10">
        <w:rPr>
          <w:b/>
        </w:rPr>
        <w:t>Conflict</w:t>
      </w:r>
      <w:r w:rsidR="00F82F73" w:rsidRPr="008F7F10">
        <w:rPr>
          <w:b/>
        </w:rPr>
        <w:t>s</w:t>
      </w:r>
      <w:r w:rsidRPr="008F7F10">
        <w:rPr>
          <w:b/>
        </w:rPr>
        <w:t xml:space="preserve"> of </w:t>
      </w:r>
      <w:r w:rsidR="00F82F73" w:rsidRPr="008F7F10">
        <w:rPr>
          <w:b/>
        </w:rPr>
        <w:t>Interest</w:t>
      </w:r>
      <w:r w:rsidRPr="008F7F10">
        <w:t xml:space="preserve">: </w:t>
      </w:r>
      <w:r w:rsidR="008F7F10" w:rsidRPr="008F7F10">
        <w:t xml:space="preserve">Rosa </w:t>
      </w:r>
      <w:r w:rsidRPr="008F7F10">
        <w:t xml:space="preserve">Whalen, </w:t>
      </w:r>
      <w:r w:rsidR="008F7F10" w:rsidRPr="008F7F10">
        <w:t xml:space="preserve">Emma </w:t>
      </w:r>
      <w:r w:rsidRPr="008F7F10">
        <w:t xml:space="preserve">Boyland and </w:t>
      </w:r>
      <w:r w:rsidR="008F7F10" w:rsidRPr="008F7F10">
        <w:t xml:space="preserve">Simon </w:t>
      </w:r>
      <w:r w:rsidRPr="008F7F10">
        <w:t>Child declare that they have no conflicts of interest. Halford’s research was funded through grants by MRC, EUFW7, BBSRC, ERSC, California Prune Board and Ingredion and the University has a partnership with American Beverage Association (ABA). The University is paid for consultancy on health, weight management and appetite control expertise by the food and beverage, commercial weight management, pharmaceutical</w:t>
      </w:r>
      <w:r w:rsidRPr="00F82F73">
        <w:t xml:space="preserve"> and ingredient sectors. No personal consultancies are taken. The laboratory has studentships funded through BBSRC and ESRC with Unilever, Coca-Cola and Tate &amp; Lyle. Those related to eating </w:t>
      </w:r>
      <w:proofErr w:type="spellStart"/>
      <w:r w:rsidRPr="00F82F73">
        <w:t>behaviour</w:t>
      </w:r>
      <w:proofErr w:type="spellEnd"/>
      <w:r w:rsidRPr="00F82F73">
        <w:t xml:space="preserve"> focus on the potential benefits of dietary </w:t>
      </w:r>
      <w:proofErr w:type="spellStart"/>
      <w:r w:rsidRPr="00F82F73">
        <w:t>fibre</w:t>
      </w:r>
      <w:proofErr w:type="spellEnd"/>
      <w:r w:rsidRPr="00F82F73">
        <w:t xml:space="preserve"> in appetite and weight control. There has been and is no industry involvement in any of the health policy related research the laboratory has conducted over the past 12 years. </w:t>
      </w:r>
    </w:p>
    <w:p w14:paraId="5E8713AD" w14:textId="77777777" w:rsidR="00F82F73" w:rsidRPr="008F7F10" w:rsidRDefault="00F82F73" w:rsidP="00F82F73">
      <w:pPr>
        <w:pStyle w:val="MDPI62Acknowledgments"/>
        <w:rPr>
          <w:sz w:val="20"/>
        </w:rPr>
      </w:pPr>
      <w:r w:rsidRPr="008F7F10">
        <w:rPr>
          <w:b/>
          <w:sz w:val="20"/>
        </w:rPr>
        <w:t>Appendix A</w:t>
      </w:r>
    </w:p>
    <w:p w14:paraId="7F0ACE0D" w14:textId="77777777" w:rsidR="002C22B4" w:rsidRPr="00F82F73" w:rsidRDefault="00F82F73" w:rsidP="00F82F73">
      <w:pPr>
        <w:pStyle w:val="MDPI41tablecaption"/>
        <w:jc w:val="center"/>
        <w:rPr>
          <w:b/>
        </w:rPr>
      </w:pPr>
      <w:r>
        <w:rPr>
          <w:b/>
        </w:rPr>
        <w:t>Table</w:t>
      </w:r>
      <w:r w:rsidR="002C22B4" w:rsidRPr="00F82F73">
        <w:rPr>
          <w:b/>
        </w:rPr>
        <w:t xml:space="preserve"> </w:t>
      </w:r>
      <w:r w:rsidRPr="00F82F73">
        <w:rPr>
          <w:b/>
        </w:rPr>
        <w:t>A1</w:t>
      </w:r>
      <w:r w:rsidR="002C22B4" w:rsidRPr="00F82F73">
        <w:rPr>
          <w:b/>
        </w:rPr>
        <w:t>.</w:t>
      </w:r>
      <w:r w:rsidR="002C22B4" w:rsidRPr="00F82F73">
        <w:t xml:space="preserve"> Core, non-core and miscellaneous food and beverage coding system [23]</w:t>
      </w:r>
      <w:r>
        <w:t>.</w:t>
      </w:r>
    </w:p>
    <w:tbl>
      <w:tblPr>
        <w:tblStyle w:val="Mdeck5tablebodythreelines"/>
        <w:tblW w:w="0" w:type="auto"/>
        <w:tblLook w:val="04A0" w:firstRow="1" w:lastRow="0" w:firstColumn="1" w:lastColumn="0" w:noHBand="0" w:noVBand="1"/>
      </w:tblPr>
      <w:tblGrid>
        <w:gridCol w:w="8844"/>
      </w:tblGrid>
      <w:tr w:rsidR="002C22B4" w:rsidRPr="00F82F73" w14:paraId="14948CFB" w14:textId="77777777" w:rsidTr="00E00DBA">
        <w:trPr>
          <w:cnfStyle w:val="100000000000" w:firstRow="1" w:lastRow="0" w:firstColumn="0" w:lastColumn="0" w:oddVBand="0" w:evenVBand="0" w:oddHBand="0" w:evenHBand="0" w:firstRowFirstColumn="0" w:firstRowLastColumn="0" w:lastRowFirstColumn="0" w:lastRowLastColumn="0"/>
        </w:trPr>
        <w:tc>
          <w:tcPr>
            <w:tcW w:w="8844" w:type="dxa"/>
          </w:tcPr>
          <w:p w14:paraId="5C8FD2BD" w14:textId="77777777" w:rsidR="002C22B4" w:rsidRPr="00F82F73" w:rsidRDefault="002C22B4" w:rsidP="00F82F73">
            <w:pPr>
              <w:pStyle w:val="MDPI42tablebody"/>
              <w:spacing w:line="240" w:lineRule="auto"/>
              <w:jc w:val="left"/>
              <w:rPr>
                <w:b/>
                <w:sz w:val="20"/>
                <w:lang w:val="en-US"/>
              </w:rPr>
            </w:pPr>
            <w:r w:rsidRPr="00F82F73">
              <w:rPr>
                <w:b/>
                <w:sz w:val="20"/>
                <w:lang w:val="en-US"/>
              </w:rPr>
              <w:t xml:space="preserve">Core and </w:t>
            </w:r>
            <w:r w:rsidR="00F82F73" w:rsidRPr="00F82F73">
              <w:rPr>
                <w:b/>
                <w:sz w:val="20"/>
                <w:lang w:val="en-US"/>
              </w:rPr>
              <w:t>Healthy Food Categories</w:t>
            </w:r>
          </w:p>
        </w:tc>
      </w:tr>
      <w:tr w:rsidR="002C22B4" w:rsidRPr="00F82F73" w14:paraId="3DE62E93" w14:textId="77777777" w:rsidTr="00E00DBA">
        <w:tc>
          <w:tcPr>
            <w:tcW w:w="8844" w:type="dxa"/>
          </w:tcPr>
          <w:p w14:paraId="21F13760" w14:textId="77777777" w:rsidR="002C22B4" w:rsidRPr="00F82F73" w:rsidRDefault="002C22B4" w:rsidP="00F82F73">
            <w:pPr>
              <w:pStyle w:val="MDPI42tablebody"/>
              <w:spacing w:line="240" w:lineRule="auto"/>
              <w:jc w:val="left"/>
              <w:rPr>
                <w:lang w:val="en-US"/>
              </w:rPr>
            </w:pPr>
            <w:r w:rsidRPr="00F82F73">
              <w:rPr>
                <w:lang w:val="en-US"/>
              </w:rPr>
              <w:t xml:space="preserve">1 Breads (include high </w:t>
            </w:r>
            <w:proofErr w:type="spellStart"/>
            <w:r w:rsidRPr="00F82F73">
              <w:rPr>
                <w:lang w:val="en-US"/>
              </w:rPr>
              <w:t>fibre</w:t>
            </w:r>
            <w:proofErr w:type="spellEnd"/>
            <w:r w:rsidRPr="00F82F73">
              <w:rPr>
                <w:lang w:val="en-US"/>
              </w:rPr>
              <w:t>, low fat crackers), rice, pasta and noodles</w:t>
            </w:r>
          </w:p>
        </w:tc>
      </w:tr>
      <w:tr w:rsidR="002C22B4" w:rsidRPr="00F82F73" w14:paraId="7DB2EFE5" w14:textId="77777777" w:rsidTr="00E00DBA">
        <w:tc>
          <w:tcPr>
            <w:tcW w:w="8844" w:type="dxa"/>
          </w:tcPr>
          <w:p w14:paraId="429588EE" w14:textId="77777777" w:rsidR="002C22B4" w:rsidRPr="00F82F73" w:rsidRDefault="002C22B4" w:rsidP="00F82F73">
            <w:pPr>
              <w:pStyle w:val="MDPI42tablebody"/>
              <w:spacing w:line="240" w:lineRule="auto"/>
              <w:jc w:val="left"/>
              <w:rPr>
                <w:lang w:val="en-US"/>
              </w:rPr>
            </w:pPr>
            <w:r w:rsidRPr="00F82F73">
              <w:rPr>
                <w:lang w:val="en-US"/>
              </w:rPr>
              <w:t xml:space="preserve">2 Low sugar and high </w:t>
            </w:r>
            <w:proofErr w:type="spellStart"/>
            <w:r w:rsidRPr="00F82F73">
              <w:rPr>
                <w:lang w:val="en-US"/>
              </w:rPr>
              <w:t>fibre</w:t>
            </w:r>
            <w:proofErr w:type="spellEnd"/>
            <w:r w:rsidRPr="00F82F73">
              <w:rPr>
                <w:lang w:val="en-US"/>
              </w:rPr>
              <w:t xml:space="preserve"> breakfast cereals (&lt;20</w:t>
            </w:r>
            <w:r w:rsidR="00F82F73">
              <w:rPr>
                <w:lang w:val="en-US"/>
              </w:rPr>
              <w:t xml:space="preserve"> </w:t>
            </w:r>
            <w:r w:rsidRPr="00F82F73">
              <w:rPr>
                <w:lang w:val="en-US"/>
              </w:rPr>
              <w:t>g/100</w:t>
            </w:r>
            <w:r w:rsidR="00F82F73">
              <w:rPr>
                <w:lang w:val="en-US"/>
              </w:rPr>
              <w:t xml:space="preserve"> </w:t>
            </w:r>
            <w:r w:rsidRPr="00F82F73">
              <w:rPr>
                <w:lang w:val="en-US"/>
              </w:rPr>
              <w:t>g sugar and &gt;5</w:t>
            </w:r>
            <w:r w:rsidR="00F82F73">
              <w:rPr>
                <w:lang w:val="en-US"/>
              </w:rPr>
              <w:t xml:space="preserve"> </w:t>
            </w:r>
            <w:r w:rsidRPr="00F82F73">
              <w:rPr>
                <w:lang w:val="en-US"/>
              </w:rPr>
              <w:t>g/100</w:t>
            </w:r>
            <w:r w:rsidR="00F82F73">
              <w:rPr>
                <w:lang w:val="en-US"/>
              </w:rPr>
              <w:t xml:space="preserve"> </w:t>
            </w:r>
            <w:r w:rsidRPr="00F82F73">
              <w:rPr>
                <w:lang w:val="en-US"/>
              </w:rPr>
              <w:t xml:space="preserve">g dietary </w:t>
            </w:r>
            <w:proofErr w:type="spellStart"/>
            <w:r w:rsidRPr="00F82F73">
              <w:rPr>
                <w:lang w:val="en-US"/>
              </w:rPr>
              <w:t>fibre</w:t>
            </w:r>
            <w:proofErr w:type="spellEnd"/>
            <w:r w:rsidRPr="00F82F73">
              <w:rPr>
                <w:lang w:val="en-US"/>
              </w:rPr>
              <w:t>)</w:t>
            </w:r>
          </w:p>
        </w:tc>
      </w:tr>
      <w:tr w:rsidR="002C22B4" w:rsidRPr="00F82F73" w14:paraId="1B6BC93C" w14:textId="77777777" w:rsidTr="00E00DBA">
        <w:tc>
          <w:tcPr>
            <w:tcW w:w="8844" w:type="dxa"/>
          </w:tcPr>
          <w:p w14:paraId="54AA1170" w14:textId="77777777" w:rsidR="002C22B4" w:rsidRPr="00F82F73" w:rsidRDefault="002C22B4" w:rsidP="00F82F73">
            <w:pPr>
              <w:pStyle w:val="MDPI42tablebody"/>
              <w:spacing w:line="240" w:lineRule="auto"/>
              <w:jc w:val="left"/>
              <w:rPr>
                <w:lang w:val="en-US"/>
              </w:rPr>
            </w:pPr>
            <w:r w:rsidRPr="00F82F73">
              <w:rPr>
                <w:lang w:val="en-US"/>
              </w:rPr>
              <w:t>3 Fruits and fruit products without added sugar</w:t>
            </w:r>
          </w:p>
        </w:tc>
      </w:tr>
      <w:tr w:rsidR="002C22B4" w:rsidRPr="00F82F73" w14:paraId="3F4F6A0E" w14:textId="77777777" w:rsidTr="00E00DBA">
        <w:tc>
          <w:tcPr>
            <w:tcW w:w="8844" w:type="dxa"/>
          </w:tcPr>
          <w:p w14:paraId="1113CA95" w14:textId="77777777" w:rsidR="002C22B4" w:rsidRPr="00F82F73" w:rsidRDefault="002C22B4" w:rsidP="00F82F73">
            <w:pPr>
              <w:pStyle w:val="MDPI42tablebody"/>
              <w:spacing w:line="240" w:lineRule="auto"/>
              <w:jc w:val="left"/>
              <w:rPr>
                <w:lang w:val="en-US"/>
              </w:rPr>
            </w:pPr>
            <w:r w:rsidRPr="00F82F73">
              <w:rPr>
                <w:lang w:val="en-US"/>
              </w:rPr>
              <w:t>4 Vegetables and vegetable products without added sugar</w:t>
            </w:r>
          </w:p>
        </w:tc>
      </w:tr>
      <w:tr w:rsidR="002C22B4" w:rsidRPr="00F82F73" w14:paraId="137161EC" w14:textId="77777777" w:rsidTr="00E00DBA">
        <w:tc>
          <w:tcPr>
            <w:tcW w:w="8844" w:type="dxa"/>
          </w:tcPr>
          <w:p w14:paraId="64A47034" w14:textId="77777777" w:rsidR="002C22B4" w:rsidRPr="00F82F73" w:rsidRDefault="002C22B4" w:rsidP="00F82F73">
            <w:pPr>
              <w:pStyle w:val="MDPI42tablebody"/>
              <w:spacing w:line="240" w:lineRule="auto"/>
              <w:jc w:val="left"/>
              <w:rPr>
                <w:lang w:val="en-US"/>
              </w:rPr>
            </w:pPr>
            <w:r w:rsidRPr="00F82F73">
              <w:rPr>
                <w:lang w:val="en-US"/>
              </w:rPr>
              <w:t>5 Low fat/reduced fat milk, yoghurt, custard (&lt;3</w:t>
            </w:r>
            <w:r w:rsidR="00F82F73">
              <w:rPr>
                <w:lang w:val="en-US"/>
              </w:rPr>
              <w:t xml:space="preserve"> </w:t>
            </w:r>
            <w:r w:rsidRPr="00F82F73">
              <w:rPr>
                <w:lang w:val="en-US"/>
              </w:rPr>
              <w:t>g/100</w:t>
            </w:r>
            <w:r w:rsidR="00F82F73">
              <w:rPr>
                <w:lang w:val="en-US"/>
              </w:rPr>
              <w:t xml:space="preserve"> </w:t>
            </w:r>
            <w:r w:rsidRPr="00F82F73">
              <w:rPr>
                <w:lang w:val="en-US"/>
              </w:rPr>
              <w:t>g fat) and cheese (&lt;15</w:t>
            </w:r>
            <w:r w:rsidR="00F82F73">
              <w:rPr>
                <w:lang w:val="en-US"/>
              </w:rPr>
              <w:t xml:space="preserve"> </w:t>
            </w:r>
            <w:r w:rsidRPr="00F82F73">
              <w:rPr>
                <w:lang w:val="en-US"/>
              </w:rPr>
              <w:t>g/100</w:t>
            </w:r>
            <w:r w:rsidR="00F82F73">
              <w:rPr>
                <w:lang w:val="en-US"/>
              </w:rPr>
              <w:t xml:space="preserve"> </w:t>
            </w:r>
            <w:r w:rsidRPr="00F82F73">
              <w:rPr>
                <w:lang w:val="en-US"/>
              </w:rPr>
              <w:t>g fat; includes 50% reduced fat cheddar, ricotta and cottage) and their alternatives (</w:t>
            </w:r>
            <w:r w:rsidR="00F82F73" w:rsidRPr="00F82F73">
              <w:rPr>
                <w:lang w:val="en-US"/>
              </w:rPr>
              <w:t>e</w:t>
            </w:r>
            <w:r w:rsidRPr="00F82F73">
              <w:rPr>
                <w:lang w:val="en-US"/>
              </w:rPr>
              <w:t>.g.</w:t>
            </w:r>
            <w:r w:rsidR="00F82F73">
              <w:rPr>
                <w:lang w:val="en-US"/>
              </w:rPr>
              <w:t>,</w:t>
            </w:r>
            <w:r w:rsidRPr="00F82F73">
              <w:rPr>
                <w:lang w:val="en-US"/>
              </w:rPr>
              <w:t xml:space="preserve"> soy) (including probiotic drinks)</w:t>
            </w:r>
          </w:p>
        </w:tc>
      </w:tr>
      <w:tr w:rsidR="002C22B4" w:rsidRPr="00F82F73" w14:paraId="744BEF74" w14:textId="77777777" w:rsidTr="00E00DBA">
        <w:tc>
          <w:tcPr>
            <w:tcW w:w="8844" w:type="dxa"/>
          </w:tcPr>
          <w:p w14:paraId="7FC644D7" w14:textId="77777777" w:rsidR="002C22B4" w:rsidRPr="00F82F73" w:rsidRDefault="002C22B4" w:rsidP="00F82F73">
            <w:pPr>
              <w:pStyle w:val="MDPI42tablebody"/>
              <w:spacing w:line="240" w:lineRule="auto"/>
              <w:jc w:val="left"/>
              <w:rPr>
                <w:lang w:val="en-US"/>
              </w:rPr>
            </w:pPr>
            <w:r w:rsidRPr="00F82F73">
              <w:rPr>
                <w:lang w:val="en-US"/>
              </w:rPr>
              <w:t>6 Meat and meat alternatives (not crumbed or battered) (includes fish, legumes, eggs and nuts and nut products, including peanut butter and excluding sugar coated or salted nuts)</w:t>
            </w:r>
          </w:p>
        </w:tc>
      </w:tr>
      <w:tr w:rsidR="002C22B4" w:rsidRPr="00F82F73" w14:paraId="2468A942" w14:textId="77777777" w:rsidTr="00E00DBA">
        <w:tc>
          <w:tcPr>
            <w:tcW w:w="8844" w:type="dxa"/>
          </w:tcPr>
          <w:p w14:paraId="202E1F04" w14:textId="77777777" w:rsidR="002C22B4" w:rsidRPr="00F82F73" w:rsidRDefault="002C22B4" w:rsidP="00F82F73">
            <w:pPr>
              <w:pStyle w:val="MDPI42tablebody"/>
              <w:spacing w:line="240" w:lineRule="auto"/>
              <w:jc w:val="left"/>
              <w:rPr>
                <w:lang w:val="en-US"/>
              </w:rPr>
            </w:pPr>
            <w:r w:rsidRPr="00F82F73">
              <w:rPr>
                <w:lang w:val="en-US"/>
              </w:rPr>
              <w:t>7 Core foods combined (including frozen meals (&lt;10</w:t>
            </w:r>
            <w:r w:rsidR="00F82F73">
              <w:rPr>
                <w:lang w:val="en-US"/>
              </w:rPr>
              <w:t xml:space="preserve"> </w:t>
            </w:r>
            <w:r w:rsidRPr="00F82F73">
              <w:rPr>
                <w:lang w:val="en-US"/>
              </w:rPr>
              <w:t>g/serve fat), soups (&lt;2</w:t>
            </w:r>
            <w:r w:rsidR="00E00DBA">
              <w:rPr>
                <w:lang w:val="en-US"/>
              </w:rPr>
              <w:t xml:space="preserve"> </w:t>
            </w:r>
            <w:r w:rsidRPr="00F82F73">
              <w:rPr>
                <w:lang w:val="en-US"/>
              </w:rPr>
              <w:t>g/100</w:t>
            </w:r>
            <w:r w:rsidR="00E00DBA">
              <w:rPr>
                <w:lang w:val="en-US"/>
              </w:rPr>
              <w:t xml:space="preserve"> </w:t>
            </w:r>
            <w:r w:rsidRPr="00F82F73">
              <w:rPr>
                <w:lang w:val="en-US"/>
              </w:rPr>
              <w:t xml:space="preserve">g fat, excludes dehydrated), sandwiches, mixed salads and low fat </w:t>
            </w:r>
            <w:proofErr w:type="spellStart"/>
            <w:r w:rsidRPr="00F82F73">
              <w:rPr>
                <w:lang w:val="en-US"/>
              </w:rPr>
              <w:t>savoury</w:t>
            </w:r>
            <w:proofErr w:type="spellEnd"/>
            <w:r w:rsidRPr="00F82F73">
              <w:rPr>
                <w:lang w:val="en-US"/>
              </w:rPr>
              <w:t xml:space="preserve"> sauces (&lt;10</w:t>
            </w:r>
            <w:r w:rsidR="00E00DBA">
              <w:rPr>
                <w:lang w:val="en-US"/>
              </w:rPr>
              <w:t xml:space="preserve"> </w:t>
            </w:r>
            <w:r w:rsidRPr="00F82F73">
              <w:rPr>
                <w:lang w:val="en-US"/>
              </w:rPr>
              <w:t>g/100</w:t>
            </w:r>
            <w:r w:rsidR="00E00DBA">
              <w:rPr>
                <w:lang w:val="en-US"/>
              </w:rPr>
              <w:t xml:space="preserve"> </w:t>
            </w:r>
            <w:r w:rsidRPr="00F82F73">
              <w:rPr>
                <w:lang w:val="en-US"/>
              </w:rPr>
              <w:t>g fat; includes pasta simmer sauces)</w:t>
            </w:r>
          </w:p>
        </w:tc>
      </w:tr>
      <w:tr w:rsidR="002C22B4" w:rsidRPr="00F82F73" w14:paraId="3FBA13C9" w14:textId="77777777" w:rsidTr="00E00DBA">
        <w:tc>
          <w:tcPr>
            <w:tcW w:w="8844" w:type="dxa"/>
          </w:tcPr>
          <w:p w14:paraId="5E32036B" w14:textId="77777777" w:rsidR="002C22B4" w:rsidRPr="00F82F73" w:rsidRDefault="002C22B4" w:rsidP="00F82F73">
            <w:pPr>
              <w:pStyle w:val="MDPI42tablebody"/>
              <w:spacing w:line="240" w:lineRule="auto"/>
              <w:jc w:val="left"/>
              <w:rPr>
                <w:lang w:val="en-US"/>
              </w:rPr>
            </w:pPr>
            <w:r w:rsidRPr="00F82F73">
              <w:rPr>
                <w:lang w:val="en-US"/>
              </w:rPr>
              <w:t xml:space="preserve">8 Baby foods (excluding milk formulae) </w:t>
            </w:r>
          </w:p>
        </w:tc>
      </w:tr>
      <w:tr w:rsidR="002C22B4" w:rsidRPr="00F82F73" w14:paraId="70B6ECB8" w14:textId="77777777" w:rsidTr="00E00DBA">
        <w:tc>
          <w:tcPr>
            <w:tcW w:w="8844" w:type="dxa"/>
          </w:tcPr>
          <w:p w14:paraId="6095DFC8" w14:textId="77777777" w:rsidR="002C22B4" w:rsidRPr="00F82F73" w:rsidRDefault="002C22B4" w:rsidP="00F82F73">
            <w:pPr>
              <w:pStyle w:val="MDPI42tablebody"/>
              <w:spacing w:line="240" w:lineRule="auto"/>
              <w:jc w:val="left"/>
              <w:rPr>
                <w:lang w:val="en-US"/>
              </w:rPr>
            </w:pPr>
            <w:r w:rsidRPr="00F82F73">
              <w:rPr>
                <w:lang w:val="en-US"/>
              </w:rPr>
              <w:t>9 Bottled water (including mineral and soda water)</w:t>
            </w:r>
          </w:p>
        </w:tc>
      </w:tr>
      <w:tr w:rsidR="002C22B4" w:rsidRPr="00F82F73" w14:paraId="1F062AB2" w14:textId="77777777" w:rsidTr="00E00DBA">
        <w:tc>
          <w:tcPr>
            <w:tcW w:w="8844" w:type="dxa"/>
          </w:tcPr>
          <w:p w14:paraId="34A452B8" w14:textId="77777777" w:rsidR="002C22B4" w:rsidRPr="00F82F73" w:rsidRDefault="002C22B4" w:rsidP="00F82F73">
            <w:pPr>
              <w:pStyle w:val="MDPI42tablebody"/>
              <w:spacing w:line="240" w:lineRule="auto"/>
              <w:jc w:val="left"/>
              <w:rPr>
                <w:lang w:val="en-US"/>
              </w:rPr>
            </w:pPr>
            <w:r w:rsidRPr="00F82F73">
              <w:rPr>
                <w:lang w:val="en-US"/>
              </w:rPr>
              <w:t>Non-core and unhealthy food categories</w:t>
            </w:r>
          </w:p>
        </w:tc>
      </w:tr>
      <w:tr w:rsidR="002C22B4" w:rsidRPr="00F82F73" w14:paraId="13A380C6" w14:textId="77777777" w:rsidTr="00E00DBA">
        <w:tc>
          <w:tcPr>
            <w:tcW w:w="8844" w:type="dxa"/>
          </w:tcPr>
          <w:p w14:paraId="4AA0BDF0" w14:textId="77777777" w:rsidR="002C22B4" w:rsidRPr="00F82F73" w:rsidRDefault="002C22B4" w:rsidP="00F82F73">
            <w:pPr>
              <w:pStyle w:val="MDPI42tablebody"/>
              <w:spacing w:line="240" w:lineRule="auto"/>
              <w:jc w:val="left"/>
              <w:rPr>
                <w:lang w:val="en-US"/>
              </w:rPr>
            </w:pPr>
            <w:r w:rsidRPr="00F82F73">
              <w:rPr>
                <w:lang w:val="en-US"/>
              </w:rPr>
              <w:t xml:space="preserve">10 High sugar and/or low </w:t>
            </w:r>
            <w:proofErr w:type="spellStart"/>
            <w:r w:rsidRPr="00F82F73">
              <w:rPr>
                <w:lang w:val="en-US"/>
              </w:rPr>
              <w:t>fibre</w:t>
            </w:r>
            <w:proofErr w:type="spellEnd"/>
            <w:r w:rsidRPr="00F82F73">
              <w:rPr>
                <w:lang w:val="en-US"/>
              </w:rPr>
              <w:t xml:space="preserve"> breakfast cereals (&gt;20</w:t>
            </w:r>
            <w:r w:rsidR="00E00DBA">
              <w:rPr>
                <w:lang w:val="en-US"/>
              </w:rPr>
              <w:t xml:space="preserve"> </w:t>
            </w:r>
            <w:r w:rsidRPr="00F82F73">
              <w:rPr>
                <w:lang w:val="en-US"/>
              </w:rPr>
              <w:t>g/100</w:t>
            </w:r>
            <w:r w:rsidR="00E00DBA">
              <w:rPr>
                <w:lang w:val="en-US"/>
              </w:rPr>
              <w:t xml:space="preserve"> </w:t>
            </w:r>
            <w:r w:rsidRPr="00F82F73">
              <w:rPr>
                <w:lang w:val="en-US"/>
              </w:rPr>
              <w:t>g or &lt;5</w:t>
            </w:r>
            <w:r w:rsidR="00E00DBA">
              <w:rPr>
                <w:lang w:val="en-US"/>
              </w:rPr>
              <w:t xml:space="preserve"> </w:t>
            </w:r>
            <w:r w:rsidRPr="00F82F73">
              <w:rPr>
                <w:lang w:val="en-US"/>
              </w:rPr>
              <w:t>g/100</w:t>
            </w:r>
            <w:r w:rsidR="00E00DBA">
              <w:rPr>
                <w:lang w:val="en-US"/>
              </w:rPr>
              <w:t xml:space="preserve"> </w:t>
            </w:r>
            <w:r w:rsidRPr="00F82F73">
              <w:rPr>
                <w:lang w:val="en-US"/>
              </w:rPr>
              <w:t xml:space="preserve">g dietary </w:t>
            </w:r>
            <w:proofErr w:type="spellStart"/>
            <w:r w:rsidRPr="00F82F73">
              <w:rPr>
                <w:lang w:val="en-US"/>
              </w:rPr>
              <w:t>fibre</w:t>
            </w:r>
            <w:proofErr w:type="spellEnd"/>
            <w:r w:rsidRPr="00F82F73">
              <w:rPr>
                <w:lang w:val="en-US"/>
              </w:rPr>
              <w:t>)</w:t>
            </w:r>
          </w:p>
        </w:tc>
      </w:tr>
      <w:tr w:rsidR="002C22B4" w:rsidRPr="00F82F73" w14:paraId="6540C187" w14:textId="77777777" w:rsidTr="00E00DBA">
        <w:tc>
          <w:tcPr>
            <w:tcW w:w="8844" w:type="dxa"/>
          </w:tcPr>
          <w:p w14:paraId="028FE494" w14:textId="77777777" w:rsidR="002C22B4" w:rsidRPr="00F82F73" w:rsidRDefault="002C22B4" w:rsidP="00F82F73">
            <w:pPr>
              <w:pStyle w:val="MDPI42tablebody"/>
              <w:spacing w:line="240" w:lineRule="auto"/>
              <w:jc w:val="left"/>
              <w:rPr>
                <w:lang w:val="en-US"/>
              </w:rPr>
            </w:pPr>
            <w:r w:rsidRPr="00F82F73">
              <w:rPr>
                <w:lang w:val="en-US"/>
              </w:rPr>
              <w:t>11 Crumbed or battered meat and meat alternatives (e.g.</w:t>
            </w:r>
            <w:r w:rsidR="00E00DBA">
              <w:rPr>
                <w:lang w:val="en-US"/>
              </w:rPr>
              <w:t>,</w:t>
            </w:r>
            <w:r w:rsidRPr="00F82F73">
              <w:rPr>
                <w:lang w:val="en-US"/>
              </w:rPr>
              <w:t xml:space="preserve"> fish fingers) and high fat frozen meals (&gt;10</w:t>
            </w:r>
            <w:r w:rsidR="00E00DBA">
              <w:rPr>
                <w:lang w:val="en-US"/>
              </w:rPr>
              <w:t xml:space="preserve"> </w:t>
            </w:r>
            <w:r w:rsidRPr="00F82F73">
              <w:rPr>
                <w:lang w:val="en-US"/>
              </w:rPr>
              <w:t>g/serve fat)</w:t>
            </w:r>
          </w:p>
        </w:tc>
      </w:tr>
      <w:tr w:rsidR="002C22B4" w:rsidRPr="00F82F73" w14:paraId="2FCF8DA0" w14:textId="77777777" w:rsidTr="00E00DBA">
        <w:tc>
          <w:tcPr>
            <w:tcW w:w="8844" w:type="dxa"/>
          </w:tcPr>
          <w:p w14:paraId="004D47FE" w14:textId="77777777" w:rsidR="002C22B4" w:rsidRPr="00F82F73" w:rsidRDefault="002C22B4" w:rsidP="00F82F73">
            <w:pPr>
              <w:pStyle w:val="MDPI42tablebody"/>
              <w:spacing w:line="240" w:lineRule="auto"/>
              <w:jc w:val="left"/>
              <w:rPr>
                <w:lang w:val="en-US"/>
              </w:rPr>
            </w:pPr>
            <w:r w:rsidRPr="00F82F73">
              <w:rPr>
                <w:lang w:val="en-US"/>
              </w:rPr>
              <w:t xml:space="preserve">12 Cakes, muffins, sweet biscuits, high fat </w:t>
            </w:r>
            <w:proofErr w:type="spellStart"/>
            <w:r w:rsidRPr="00F82F73">
              <w:rPr>
                <w:lang w:val="en-US"/>
              </w:rPr>
              <w:t>savoury</w:t>
            </w:r>
            <w:proofErr w:type="spellEnd"/>
            <w:r w:rsidRPr="00F82F73">
              <w:rPr>
                <w:lang w:val="en-US"/>
              </w:rPr>
              <w:t xml:space="preserve"> biscuits, pies and pastries</w:t>
            </w:r>
          </w:p>
        </w:tc>
      </w:tr>
      <w:tr w:rsidR="002C22B4" w:rsidRPr="00F82F73" w14:paraId="674F3BA6" w14:textId="77777777" w:rsidTr="00E00DBA">
        <w:tc>
          <w:tcPr>
            <w:tcW w:w="8844" w:type="dxa"/>
          </w:tcPr>
          <w:p w14:paraId="48790F5D" w14:textId="77777777" w:rsidR="002C22B4" w:rsidRPr="00F82F73" w:rsidRDefault="002C22B4" w:rsidP="00F82F73">
            <w:pPr>
              <w:pStyle w:val="MDPI42tablebody"/>
              <w:spacing w:line="240" w:lineRule="auto"/>
              <w:jc w:val="left"/>
              <w:rPr>
                <w:lang w:val="en-US"/>
              </w:rPr>
            </w:pPr>
            <w:r w:rsidRPr="00F82F73">
              <w:rPr>
                <w:lang w:val="en-US"/>
              </w:rPr>
              <w:t xml:space="preserve">13 Snack foods, including chips, </w:t>
            </w:r>
            <w:proofErr w:type="spellStart"/>
            <w:r w:rsidRPr="00F82F73">
              <w:rPr>
                <w:lang w:val="en-US"/>
              </w:rPr>
              <w:t>savoury</w:t>
            </w:r>
            <w:proofErr w:type="spellEnd"/>
            <w:r w:rsidRPr="00F82F73">
              <w:rPr>
                <w:lang w:val="en-US"/>
              </w:rPr>
              <w:t xml:space="preserve"> crisps, extruded snacks, popcorn, snack bars, muesli bars, sugar sweetened fruit and vegetable products (such as jelly fruit cups, frui</w:t>
            </w:r>
            <w:r w:rsidR="00E00DBA">
              <w:rPr>
                <w:lang w:val="en-US"/>
              </w:rPr>
              <w:t>t straps) and sugar coated nuts</w:t>
            </w:r>
          </w:p>
        </w:tc>
      </w:tr>
      <w:tr w:rsidR="002C22B4" w:rsidRPr="00F82F73" w14:paraId="3499E5EC" w14:textId="77777777" w:rsidTr="00E00DBA">
        <w:tc>
          <w:tcPr>
            <w:tcW w:w="8844" w:type="dxa"/>
          </w:tcPr>
          <w:p w14:paraId="65B0397A" w14:textId="77777777" w:rsidR="002C22B4" w:rsidRPr="00F82F73" w:rsidRDefault="002C22B4" w:rsidP="00F82F73">
            <w:pPr>
              <w:pStyle w:val="MDPI42tablebody"/>
              <w:spacing w:line="240" w:lineRule="auto"/>
              <w:jc w:val="left"/>
              <w:rPr>
                <w:lang w:val="en-US"/>
              </w:rPr>
            </w:pPr>
            <w:r w:rsidRPr="00F82F73">
              <w:rPr>
                <w:lang w:val="en-US"/>
              </w:rPr>
              <w:t>14 Fruit juice and fruit drinks</w:t>
            </w:r>
          </w:p>
        </w:tc>
      </w:tr>
      <w:tr w:rsidR="002C22B4" w:rsidRPr="00F82F73" w14:paraId="673E3D86" w14:textId="77777777" w:rsidTr="00E00DBA">
        <w:tc>
          <w:tcPr>
            <w:tcW w:w="8844" w:type="dxa"/>
          </w:tcPr>
          <w:p w14:paraId="0F165818" w14:textId="77777777" w:rsidR="002C22B4" w:rsidRPr="00F82F73" w:rsidRDefault="002C22B4" w:rsidP="00F82F73">
            <w:pPr>
              <w:pStyle w:val="MDPI42tablebody"/>
              <w:spacing w:line="240" w:lineRule="auto"/>
              <w:jc w:val="left"/>
              <w:rPr>
                <w:lang w:val="en-US"/>
              </w:rPr>
            </w:pPr>
            <w:r w:rsidRPr="00F82F73">
              <w:rPr>
                <w:lang w:val="en-US"/>
              </w:rPr>
              <w:t>15 Frozen/fried potato products (excluding packet crisps)</w:t>
            </w:r>
          </w:p>
        </w:tc>
      </w:tr>
      <w:tr w:rsidR="002C22B4" w:rsidRPr="00F82F73" w14:paraId="62E431DC" w14:textId="77777777" w:rsidTr="00E00DBA">
        <w:tc>
          <w:tcPr>
            <w:tcW w:w="8844" w:type="dxa"/>
          </w:tcPr>
          <w:p w14:paraId="59CB2F58" w14:textId="77777777" w:rsidR="002C22B4" w:rsidRPr="00F82F73" w:rsidRDefault="002C22B4" w:rsidP="00F82F73">
            <w:pPr>
              <w:pStyle w:val="MDPI42tablebody"/>
              <w:spacing w:line="240" w:lineRule="auto"/>
              <w:jc w:val="left"/>
              <w:rPr>
                <w:lang w:val="en-US"/>
              </w:rPr>
            </w:pPr>
            <w:r w:rsidRPr="00F82F73">
              <w:rPr>
                <w:lang w:val="en-US"/>
              </w:rPr>
              <w:t>16 Full cream milk, yoghurt, custard, dairy desserts (&gt;3</w:t>
            </w:r>
            <w:r w:rsidR="00E00DBA">
              <w:rPr>
                <w:lang w:val="en-US"/>
              </w:rPr>
              <w:t xml:space="preserve"> </w:t>
            </w:r>
            <w:r w:rsidRPr="00F82F73">
              <w:rPr>
                <w:lang w:val="en-US"/>
              </w:rPr>
              <w:t>g/100</w:t>
            </w:r>
            <w:r w:rsidR="00E00DBA">
              <w:rPr>
                <w:lang w:val="en-US"/>
              </w:rPr>
              <w:t xml:space="preserve"> </w:t>
            </w:r>
            <w:r w:rsidRPr="00F82F73">
              <w:rPr>
                <w:lang w:val="en-US"/>
              </w:rPr>
              <w:t>g fat) and cheese (25% reduced fat and full fat varieties, and high salt cheese, including haloumi and feta) and their alternatives</w:t>
            </w:r>
          </w:p>
        </w:tc>
      </w:tr>
      <w:tr w:rsidR="002C22B4" w:rsidRPr="00F82F73" w14:paraId="78EF39AD" w14:textId="77777777" w:rsidTr="00E00DBA">
        <w:tc>
          <w:tcPr>
            <w:tcW w:w="8844" w:type="dxa"/>
          </w:tcPr>
          <w:p w14:paraId="6759BE87" w14:textId="77777777" w:rsidR="002C22B4" w:rsidRPr="00F82F73" w:rsidRDefault="002C22B4" w:rsidP="00F82F73">
            <w:pPr>
              <w:pStyle w:val="MDPI42tablebody"/>
              <w:spacing w:line="240" w:lineRule="auto"/>
              <w:jc w:val="left"/>
              <w:rPr>
                <w:lang w:val="en-US"/>
              </w:rPr>
            </w:pPr>
            <w:r w:rsidRPr="00F82F73">
              <w:rPr>
                <w:lang w:val="en-US"/>
              </w:rPr>
              <w:t>17 Ice cream and iced confection</w:t>
            </w:r>
          </w:p>
        </w:tc>
      </w:tr>
      <w:tr w:rsidR="002C22B4" w:rsidRPr="00F82F73" w14:paraId="54138375" w14:textId="77777777" w:rsidTr="00E00DBA">
        <w:tc>
          <w:tcPr>
            <w:tcW w:w="8844" w:type="dxa"/>
          </w:tcPr>
          <w:p w14:paraId="0C848CA0" w14:textId="77777777" w:rsidR="002C22B4" w:rsidRPr="00F82F73" w:rsidRDefault="002C22B4" w:rsidP="00F82F73">
            <w:pPr>
              <w:pStyle w:val="MDPI42tablebody"/>
              <w:spacing w:line="240" w:lineRule="auto"/>
              <w:jc w:val="left"/>
              <w:rPr>
                <w:lang w:val="en-US"/>
              </w:rPr>
            </w:pPr>
            <w:r w:rsidRPr="00F82F73">
              <w:rPr>
                <w:lang w:val="en-US"/>
              </w:rPr>
              <w:t>18 Chocolate and confectionery (including regular and sugar-free chewing gum and sugar)</w:t>
            </w:r>
          </w:p>
        </w:tc>
      </w:tr>
      <w:tr w:rsidR="002C22B4" w:rsidRPr="00F82F73" w14:paraId="1F1A5DC1" w14:textId="77777777" w:rsidTr="00E00DBA">
        <w:tc>
          <w:tcPr>
            <w:tcW w:w="8844" w:type="dxa"/>
          </w:tcPr>
          <w:p w14:paraId="0BA6F53A" w14:textId="77777777" w:rsidR="002C22B4" w:rsidRPr="00F82F73" w:rsidRDefault="002C22B4" w:rsidP="00F82F73">
            <w:pPr>
              <w:pStyle w:val="MDPI42tablebody"/>
              <w:spacing w:line="240" w:lineRule="auto"/>
              <w:jc w:val="left"/>
              <w:rPr>
                <w:lang w:val="en-US"/>
              </w:rPr>
            </w:pPr>
            <w:r w:rsidRPr="00F82F73">
              <w:rPr>
                <w:lang w:val="en-US"/>
              </w:rPr>
              <w:t>19 Fast food restaurants/meals (include general pizza, burgers, ‘healthy’ alternatives from fast food restaurants)</w:t>
            </w:r>
          </w:p>
        </w:tc>
      </w:tr>
      <w:tr w:rsidR="002C22B4" w:rsidRPr="00F82F73" w14:paraId="715F9F2A" w14:textId="77777777" w:rsidTr="00E00DBA">
        <w:tc>
          <w:tcPr>
            <w:tcW w:w="8844" w:type="dxa"/>
          </w:tcPr>
          <w:p w14:paraId="518B8AFB" w14:textId="77777777" w:rsidR="002C22B4" w:rsidRPr="00F82F73" w:rsidRDefault="002C22B4" w:rsidP="00F82F73">
            <w:pPr>
              <w:pStyle w:val="MDPI42tablebody"/>
              <w:spacing w:line="240" w:lineRule="auto"/>
              <w:jc w:val="left"/>
              <w:rPr>
                <w:lang w:val="en-US"/>
              </w:rPr>
            </w:pPr>
            <w:r w:rsidRPr="00F82F73">
              <w:rPr>
                <w:lang w:val="en-US"/>
              </w:rPr>
              <w:t xml:space="preserve">20 High fat/sugar/salt spreads (includes yeast extracts, excludes peanut butter), oils, high fat </w:t>
            </w:r>
            <w:proofErr w:type="spellStart"/>
            <w:r w:rsidRPr="00F82F73">
              <w:rPr>
                <w:lang w:val="en-US"/>
              </w:rPr>
              <w:t>savoury</w:t>
            </w:r>
            <w:proofErr w:type="spellEnd"/>
            <w:r w:rsidRPr="00F82F73">
              <w:rPr>
                <w:lang w:val="en-US"/>
              </w:rPr>
              <w:t xml:space="preserve"> sauces (&gt;10</w:t>
            </w:r>
            <w:r w:rsidR="00E00DBA">
              <w:rPr>
                <w:lang w:val="en-US"/>
              </w:rPr>
              <w:t xml:space="preserve"> </w:t>
            </w:r>
            <w:r w:rsidRPr="00F82F73">
              <w:rPr>
                <w:lang w:val="en-US"/>
              </w:rPr>
              <w:t>g/100 fat), meal helpers (including stocks, tomato paste) and soups (&gt;2</w:t>
            </w:r>
            <w:r w:rsidR="00E00DBA">
              <w:rPr>
                <w:lang w:val="en-US"/>
              </w:rPr>
              <w:t xml:space="preserve"> </w:t>
            </w:r>
            <w:r w:rsidRPr="00F82F73">
              <w:rPr>
                <w:lang w:val="en-US"/>
              </w:rPr>
              <w:t>g/100</w:t>
            </w:r>
            <w:r w:rsidR="00E00DBA">
              <w:rPr>
                <w:lang w:val="en-US"/>
              </w:rPr>
              <w:t xml:space="preserve"> </w:t>
            </w:r>
            <w:r w:rsidRPr="00F82F73">
              <w:rPr>
                <w:lang w:val="en-US"/>
              </w:rPr>
              <w:t>g fat tinned and all dehydrated)</w:t>
            </w:r>
          </w:p>
        </w:tc>
      </w:tr>
      <w:tr w:rsidR="002C22B4" w:rsidRPr="00F82F73" w14:paraId="09E50B9F" w14:textId="77777777" w:rsidTr="00E00DBA">
        <w:tc>
          <w:tcPr>
            <w:tcW w:w="8844" w:type="dxa"/>
          </w:tcPr>
          <w:p w14:paraId="7C6A023E" w14:textId="77777777" w:rsidR="002C22B4" w:rsidRPr="00F82F73" w:rsidRDefault="002C22B4" w:rsidP="00F82F73">
            <w:pPr>
              <w:pStyle w:val="MDPI42tablebody"/>
              <w:spacing w:line="240" w:lineRule="auto"/>
              <w:jc w:val="left"/>
              <w:rPr>
                <w:lang w:val="en-US"/>
              </w:rPr>
            </w:pPr>
            <w:r w:rsidRPr="00F82F73">
              <w:rPr>
                <w:lang w:val="en-US"/>
              </w:rPr>
              <w:t xml:space="preserve">21 Sugar sweetened drinks including soft drinks, cordials, electrolyte drinks and </w:t>
            </w:r>
            <w:proofErr w:type="spellStart"/>
            <w:r w:rsidRPr="00F82F73">
              <w:rPr>
                <w:lang w:val="en-US"/>
              </w:rPr>
              <w:t>flavour</w:t>
            </w:r>
            <w:proofErr w:type="spellEnd"/>
            <w:r w:rsidRPr="00F82F73">
              <w:rPr>
                <w:lang w:val="en-US"/>
              </w:rPr>
              <w:t xml:space="preserve"> additions </w:t>
            </w:r>
            <w:r w:rsidRPr="00F82F73">
              <w:rPr>
                <w:lang w:val="en-US"/>
              </w:rPr>
              <w:lastRenderedPageBreak/>
              <w:t>e.g.</w:t>
            </w:r>
            <w:r w:rsidR="00E00DBA">
              <w:rPr>
                <w:lang w:val="en-US"/>
              </w:rPr>
              <w:t>,</w:t>
            </w:r>
            <w:r w:rsidRPr="00F82F73">
              <w:rPr>
                <w:lang w:val="en-US"/>
              </w:rPr>
              <w:t xml:space="preserve"> Milo).</w:t>
            </w:r>
          </w:p>
        </w:tc>
      </w:tr>
      <w:tr w:rsidR="002C22B4" w:rsidRPr="00F82F73" w14:paraId="793982B9" w14:textId="77777777" w:rsidTr="008F7F10">
        <w:tc>
          <w:tcPr>
            <w:tcW w:w="8844" w:type="dxa"/>
            <w:tcBorders>
              <w:bottom w:val="single" w:sz="4" w:space="0" w:color="auto"/>
            </w:tcBorders>
          </w:tcPr>
          <w:p w14:paraId="32FB996C" w14:textId="77777777" w:rsidR="002C22B4" w:rsidRPr="00F82F73" w:rsidRDefault="002C22B4" w:rsidP="00F82F73">
            <w:pPr>
              <w:pStyle w:val="MDPI42tablebody"/>
              <w:spacing w:line="240" w:lineRule="auto"/>
              <w:jc w:val="left"/>
              <w:rPr>
                <w:lang w:val="en-US"/>
              </w:rPr>
            </w:pPr>
            <w:r w:rsidRPr="00F82F73">
              <w:rPr>
                <w:lang w:val="en-US"/>
              </w:rPr>
              <w:lastRenderedPageBreak/>
              <w:t>22 Alcohol</w:t>
            </w:r>
          </w:p>
        </w:tc>
      </w:tr>
      <w:tr w:rsidR="002C22B4" w:rsidRPr="00F82F73" w14:paraId="228DB6C7" w14:textId="77777777" w:rsidTr="008F7F10">
        <w:tc>
          <w:tcPr>
            <w:tcW w:w="8844" w:type="dxa"/>
            <w:tcBorders>
              <w:top w:val="single" w:sz="4" w:space="0" w:color="auto"/>
              <w:bottom w:val="nil"/>
            </w:tcBorders>
          </w:tcPr>
          <w:p w14:paraId="2E58DFC8" w14:textId="77777777" w:rsidR="002C22B4" w:rsidRPr="008F7F10" w:rsidRDefault="002C22B4" w:rsidP="00F82F73">
            <w:pPr>
              <w:pStyle w:val="MDPI42tablebody"/>
              <w:spacing w:line="240" w:lineRule="auto"/>
              <w:jc w:val="left"/>
              <w:rPr>
                <w:b/>
                <w:lang w:val="en-US"/>
              </w:rPr>
            </w:pPr>
            <w:r w:rsidRPr="008F7F10">
              <w:rPr>
                <w:b/>
                <w:lang w:val="en-US"/>
              </w:rPr>
              <w:t>Miscellaneous</w:t>
            </w:r>
          </w:p>
        </w:tc>
      </w:tr>
      <w:tr w:rsidR="002C22B4" w:rsidRPr="00F82F73" w14:paraId="55CB596A" w14:textId="77777777" w:rsidTr="008F7F10">
        <w:tc>
          <w:tcPr>
            <w:tcW w:w="8844" w:type="dxa"/>
            <w:tcBorders>
              <w:top w:val="nil"/>
            </w:tcBorders>
          </w:tcPr>
          <w:p w14:paraId="31A9AFD5" w14:textId="77777777" w:rsidR="002C22B4" w:rsidRPr="00F82F73" w:rsidRDefault="002C22B4" w:rsidP="00F82F73">
            <w:pPr>
              <w:pStyle w:val="MDPI42tablebody"/>
              <w:spacing w:line="240" w:lineRule="auto"/>
              <w:jc w:val="left"/>
              <w:rPr>
                <w:lang w:val="en-US"/>
              </w:rPr>
            </w:pPr>
            <w:r w:rsidRPr="00F82F73">
              <w:rPr>
                <w:lang w:val="en-US"/>
              </w:rPr>
              <w:t xml:space="preserve">23 Vitamin and mineral supplements </w:t>
            </w:r>
          </w:p>
        </w:tc>
      </w:tr>
      <w:tr w:rsidR="002C22B4" w:rsidRPr="00F82F73" w14:paraId="20CCC718" w14:textId="77777777" w:rsidTr="00E00DBA">
        <w:tc>
          <w:tcPr>
            <w:tcW w:w="8844" w:type="dxa"/>
          </w:tcPr>
          <w:p w14:paraId="75322BF2" w14:textId="77777777" w:rsidR="002C22B4" w:rsidRPr="00F82F73" w:rsidRDefault="002C22B4" w:rsidP="00F82F73">
            <w:pPr>
              <w:pStyle w:val="MDPI42tablebody"/>
              <w:spacing w:line="240" w:lineRule="auto"/>
              <w:jc w:val="left"/>
              <w:rPr>
                <w:lang w:val="en-US"/>
              </w:rPr>
            </w:pPr>
            <w:r w:rsidRPr="00F82F73">
              <w:rPr>
                <w:lang w:val="en-US"/>
              </w:rPr>
              <w:t>24 Tea and coffee</w:t>
            </w:r>
          </w:p>
        </w:tc>
      </w:tr>
      <w:tr w:rsidR="002C22B4" w:rsidRPr="00F82F73" w14:paraId="48E63231" w14:textId="77777777" w:rsidTr="00E00DBA">
        <w:tc>
          <w:tcPr>
            <w:tcW w:w="8844" w:type="dxa"/>
          </w:tcPr>
          <w:p w14:paraId="6AFEB803" w14:textId="77777777" w:rsidR="002C22B4" w:rsidRPr="00F82F73" w:rsidRDefault="002C22B4" w:rsidP="00E00DBA">
            <w:pPr>
              <w:pStyle w:val="MDPI42tablebody"/>
              <w:spacing w:line="240" w:lineRule="auto"/>
              <w:jc w:val="left"/>
              <w:rPr>
                <w:lang w:val="en-US"/>
              </w:rPr>
            </w:pPr>
            <w:r w:rsidRPr="00F82F73">
              <w:rPr>
                <w:lang w:val="en-US"/>
              </w:rPr>
              <w:t>25 Supermarkets</w:t>
            </w:r>
            <w:r w:rsidR="00E00DBA">
              <w:rPr>
                <w:lang w:val="en-US"/>
              </w:rPr>
              <w:t>—</w:t>
            </w:r>
            <w:r w:rsidRPr="00F82F73">
              <w:rPr>
                <w:lang w:val="en-US"/>
              </w:rPr>
              <w:t>advertising mostly non-core foods</w:t>
            </w:r>
          </w:p>
        </w:tc>
      </w:tr>
      <w:tr w:rsidR="002C22B4" w:rsidRPr="00F82F73" w14:paraId="6E0C7863" w14:textId="77777777" w:rsidTr="00E00DBA">
        <w:tc>
          <w:tcPr>
            <w:tcW w:w="8844" w:type="dxa"/>
          </w:tcPr>
          <w:p w14:paraId="4220593E" w14:textId="77777777" w:rsidR="002C22B4" w:rsidRPr="00F82F73" w:rsidRDefault="002C22B4" w:rsidP="00F82F73">
            <w:pPr>
              <w:pStyle w:val="MDPI42tablebody"/>
              <w:spacing w:line="240" w:lineRule="auto"/>
              <w:jc w:val="left"/>
              <w:rPr>
                <w:lang w:val="en-US"/>
              </w:rPr>
            </w:pPr>
            <w:r w:rsidRPr="00F82F73">
              <w:rPr>
                <w:lang w:val="en-US"/>
              </w:rPr>
              <w:t>26 Supermarkets</w:t>
            </w:r>
            <w:r w:rsidR="00E00DBA">
              <w:rPr>
                <w:lang w:val="en-US"/>
              </w:rPr>
              <w:t>—</w:t>
            </w:r>
            <w:r w:rsidRPr="00F82F73">
              <w:rPr>
                <w:lang w:val="en-US"/>
              </w:rPr>
              <w:t>advertising mostly core foods</w:t>
            </w:r>
          </w:p>
        </w:tc>
      </w:tr>
      <w:tr w:rsidR="002C22B4" w:rsidRPr="00F82F73" w14:paraId="37091F64" w14:textId="77777777" w:rsidTr="00E00DBA">
        <w:tc>
          <w:tcPr>
            <w:tcW w:w="8844" w:type="dxa"/>
          </w:tcPr>
          <w:p w14:paraId="6F735823" w14:textId="77777777" w:rsidR="002C22B4" w:rsidRPr="00F82F73" w:rsidRDefault="002C22B4" w:rsidP="00F82F73">
            <w:pPr>
              <w:pStyle w:val="MDPI42tablebody"/>
              <w:spacing w:line="240" w:lineRule="auto"/>
              <w:jc w:val="left"/>
              <w:rPr>
                <w:lang w:val="en-US"/>
              </w:rPr>
            </w:pPr>
            <w:r w:rsidRPr="00F82F73">
              <w:rPr>
                <w:lang w:val="en-US"/>
              </w:rPr>
              <w:t>27 Supermarkets</w:t>
            </w:r>
            <w:r w:rsidR="00E00DBA">
              <w:rPr>
                <w:lang w:val="en-US"/>
              </w:rPr>
              <w:t>—</w:t>
            </w:r>
            <w:r w:rsidRPr="00F82F73">
              <w:rPr>
                <w:lang w:val="en-US"/>
              </w:rPr>
              <w:t>non-specified (generic supermarket ads or not clearly for core or non-core)</w:t>
            </w:r>
          </w:p>
        </w:tc>
      </w:tr>
      <w:tr w:rsidR="002C22B4" w:rsidRPr="00F82F73" w14:paraId="27962897" w14:textId="77777777" w:rsidTr="00E00DBA">
        <w:tc>
          <w:tcPr>
            <w:tcW w:w="8844" w:type="dxa"/>
          </w:tcPr>
          <w:p w14:paraId="74060FB9" w14:textId="77777777" w:rsidR="002C22B4" w:rsidRPr="00F82F73" w:rsidRDefault="002C22B4" w:rsidP="00F82F73">
            <w:pPr>
              <w:pStyle w:val="MDPI42tablebody"/>
              <w:spacing w:line="240" w:lineRule="auto"/>
              <w:jc w:val="left"/>
              <w:rPr>
                <w:lang w:val="en-US"/>
              </w:rPr>
            </w:pPr>
            <w:r w:rsidRPr="00F82F73">
              <w:rPr>
                <w:lang w:val="en-US"/>
              </w:rPr>
              <w:t>28 Baby and toddler milk formulae.</w:t>
            </w:r>
          </w:p>
        </w:tc>
      </w:tr>
      <w:tr w:rsidR="002C22B4" w:rsidRPr="00F82F73" w14:paraId="00D6D7E5" w14:textId="77777777" w:rsidTr="00E00DBA">
        <w:tc>
          <w:tcPr>
            <w:tcW w:w="8844" w:type="dxa"/>
          </w:tcPr>
          <w:p w14:paraId="469FF069" w14:textId="77777777" w:rsidR="002C22B4" w:rsidRPr="00F82F73" w:rsidRDefault="002C22B4" w:rsidP="00F82F73">
            <w:pPr>
              <w:pStyle w:val="MDPI42tablebody"/>
              <w:spacing w:line="240" w:lineRule="auto"/>
              <w:jc w:val="left"/>
              <w:rPr>
                <w:lang w:val="en-US"/>
              </w:rPr>
            </w:pPr>
            <w:r w:rsidRPr="00F82F73">
              <w:rPr>
                <w:lang w:val="en-US"/>
              </w:rPr>
              <w:t>29 Home food delivery services</w:t>
            </w:r>
          </w:p>
        </w:tc>
      </w:tr>
    </w:tbl>
    <w:p w14:paraId="4D25274F" w14:textId="77777777" w:rsidR="002C22B4" w:rsidRPr="00F82F73" w:rsidRDefault="00E00DBA" w:rsidP="00E00DBA">
      <w:pPr>
        <w:pStyle w:val="MDPI41tablecaption"/>
        <w:jc w:val="center"/>
        <w:rPr>
          <w:b/>
        </w:rPr>
      </w:pPr>
      <w:r w:rsidRPr="00E00DBA">
        <w:rPr>
          <w:b/>
        </w:rPr>
        <w:t>Table A</w:t>
      </w:r>
      <w:r w:rsidR="002C22B4" w:rsidRPr="00E00DBA">
        <w:rPr>
          <w:b/>
        </w:rPr>
        <w:t>2</w:t>
      </w:r>
      <w:r w:rsidRPr="00E00DBA">
        <w:rPr>
          <w:b/>
        </w:rPr>
        <w:t>.</w:t>
      </w:r>
      <w:r w:rsidR="002C22B4" w:rsidRPr="00F82F73">
        <w:t xml:space="preserve"> Primary persuasive appeals coding system [23]</w:t>
      </w:r>
      <w:r w:rsidR="00F82F73">
        <w:t>.</w:t>
      </w:r>
    </w:p>
    <w:tbl>
      <w:tblPr>
        <w:tblStyle w:val="Mdeck5tablebodythreelines"/>
        <w:tblW w:w="0" w:type="auto"/>
        <w:tblLook w:val="04A0" w:firstRow="1" w:lastRow="0" w:firstColumn="1" w:lastColumn="0" w:noHBand="0" w:noVBand="1"/>
      </w:tblPr>
      <w:tblGrid>
        <w:gridCol w:w="4102"/>
      </w:tblGrid>
      <w:tr w:rsidR="002C22B4" w:rsidRPr="00F82F73" w14:paraId="37FEE573" w14:textId="77777777" w:rsidTr="00E00DBA">
        <w:trPr>
          <w:cnfStyle w:val="100000000000" w:firstRow="1" w:lastRow="0" w:firstColumn="0" w:lastColumn="0" w:oddVBand="0" w:evenVBand="0" w:oddHBand="0" w:evenHBand="0" w:firstRowFirstColumn="0" w:firstRowLastColumn="0" w:lastRowFirstColumn="0" w:lastRowLastColumn="0"/>
        </w:trPr>
        <w:tc>
          <w:tcPr>
            <w:tcW w:w="4102" w:type="dxa"/>
          </w:tcPr>
          <w:p w14:paraId="2561E79B" w14:textId="77777777" w:rsidR="002C22B4" w:rsidRPr="00F82F73" w:rsidRDefault="002C22B4" w:rsidP="00E00DBA">
            <w:pPr>
              <w:pStyle w:val="MDPI42tablebody"/>
              <w:spacing w:line="240" w:lineRule="auto"/>
              <w:rPr>
                <w:b/>
                <w:lang w:val="en-US"/>
              </w:rPr>
            </w:pPr>
            <w:r w:rsidRPr="00F82F73">
              <w:rPr>
                <w:b/>
                <w:lang w:val="en-US"/>
              </w:rPr>
              <w:t xml:space="preserve">Primary </w:t>
            </w:r>
            <w:r w:rsidR="00E00DBA" w:rsidRPr="00F82F73">
              <w:rPr>
                <w:b/>
                <w:lang w:val="en-US"/>
              </w:rPr>
              <w:t>Persuasive Appeal</w:t>
            </w:r>
          </w:p>
        </w:tc>
      </w:tr>
      <w:tr w:rsidR="002C22B4" w:rsidRPr="00F82F73" w14:paraId="6A6C0F36" w14:textId="77777777" w:rsidTr="00E00DBA">
        <w:tc>
          <w:tcPr>
            <w:tcW w:w="4102" w:type="dxa"/>
          </w:tcPr>
          <w:p w14:paraId="48B532D6" w14:textId="77777777" w:rsidR="002C22B4" w:rsidRPr="00F82F73" w:rsidRDefault="002C22B4" w:rsidP="00E00DBA">
            <w:pPr>
              <w:pStyle w:val="MDPI42tablebody"/>
              <w:spacing w:line="240" w:lineRule="auto"/>
              <w:rPr>
                <w:lang w:val="en-US"/>
              </w:rPr>
            </w:pPr>
            <w:r w:rsidRPr="00F82F73">
              <w:rPr>
                <w:lang w:val="en-US"/>
              </w:rPr>
              <w:t>1 Quantity</w:t>
            </w:r>
          </w:p>
        </w:tc>
      </w:tr>
      <w:tr w:rsidR="002C22B4" w:rsidRPr="00F82F73" w14:paraId="166A5729" w14:textId="77777777" w:rsidTr="00E00DBA">
        <w:tc>
          <w:tcPr>
            <w:tcW w:w="4102" w:type="dxa"/>
          </w:tcPr>
          <w:p w14:paraId="4E9071CB" w14:textId="77777777" w:rsidR="002C22B4" w:rsidRPr="00F82F73" w:rsidRDefault="002C22B4" w:rsidP="00E00DBA">
            <w:pPr>
              <w:pStyle w:val="MDPI42tablebody"/>
              <w:spacing w:line="240" w:lineRule="auto"/>
              <w:rPr>
                <w:lang w:val="en-US"/>
              </w:rPr>
            </w:pPr>
            <w:r w:rsidRPr="00F82F73">
              <w:rPr>
                <w:lang w:val="en-US"/>
              </w:rPr>
              <w:t>2 Convenience</w:t>
            </w:r>
          </w:p>
        </w:tc>
      </w:tr>
      <w:tr w:rsidR="002C22B4" w:rsidRPr="00F82F73" w14:paraId="40F95DFA" w14:textId="77777777" w:rsidTr="00E00DBA">
        <w:tc>
          <w:tcPr>
            <w:tcW w:w="4102" w:type="dxa"/>
          </w:tcPr>
          <w:p w14:paraId="089E6E47" w14:textId="77777777" w:rsidR="002C22B4" w:rsidRPr="00F82F73" w:rsidRDefault="002C22B4" w:rsidP="00E00DBA">
            <w:pPr>
              <w:pStyle w:val="MDPI42tablebody"/>
              <w:spacing w:line="240" w:lineRule="auto"/>
              <w:rPr>
                <w:lang w:val="en-US"/>
              </w:rPr>
            </w:pPr>
            <w:r w:rsidRPr="00F82F73">
              <w:rPr>
                <w:lang w:val="en-US"/>
              </w:rPr>
              <w:t>3 Taste</w:t>
            </w:r>
          </w:p>
        </w:tc>
      </w:tr>
      <w:tr w:rsidR="002C22B4" w:rsidRPr="00F82F73" w14:paraId="766F66AA" w14:textId="77777777" w:rsidTr="00E00DBA">
        <w:tc>
          <w:tcPr>
            <w:tcW w:w="4102" w:type="dxa"/>
          </w:tcPr>
          <w:p w14:paraId="399724E6" w14:textId="77777777" w:rsidR="002C22B4" w:rsidRPr="00F82F73" w:rsidRDefault="002C22B4" w:rsidP="00E00DBA">
            <w:pPr>
              <w:pStyle w:val="MDPI42tablebody"/>
              <w:spacing w:line="240" w:lineRule="auto"/>
              <w:rPr>
                <w:lang w:val="en-US"/>
              </w:rPr>
            </w:pPr>
            <w:r w:rsidRPr="00F82F73">
              <w:rPr>
                <w:lang w:val="en-US"/>
              </w:rPr>
              <w:t>4 Health/Nutrition</w:t>
            </w:r>
            <w:r w:rsidR="00E00DBA">
              <w:rPr>
                <w:lang w:val="en-US"/>
              </w:rPr>
              <w:t xml:space="preserve"> </w:t>
            </w:r>
            <w:r w:rsidRPr="00F82F73">
              <w:rPr>
                <w:lang w:val="en-US"/>
              </w:rPr>
              <w:t>*</w:t>
            </w:r>
          </w:p>
        </w:tc>
      </w:tr>
      <w:tr w:rsidR="002C22B4" w:rsidRPr="00F82F73" w14:paraId="032EC265" w14:textId="77777777" w:rsidTr="00E00DBA">
        <w:tc>
          <w:tcPr>
            <w:tcW w:w="4102" w:type="dxa"/>
          </w:tcPr>
          <w:p w14:paraId="2AC2832B" w14:textId="77777777" w:rsidR="002C22B4" w:rsidRPr="00F82F73" w:rsidRDefault="002C22B4" w:rsidP="00E00DBA">
            <w:pPr>
              <w:pStyle w:val="MDPI42tablebody"/>
              <w:spacing w:line="240" w:lineRule="auto"/>
              <w:rPr>
                <w:lang w:val="en-US"/>
              </w:rPr>
            </w:pPr>
            <w:r w:rsidRPr="00F82F73">
              <w:rPr>
                <w:lang w:val="en-US"/>
              </w:rPr>
              <w:t>5 Energy</w:t>
            </w:r>
          </w:p>
        </w:tc>
      </w:tr>
      <w:tr w:rsidR="002C22B4" w:rsidRPr="00F82F73" w14:paraId="59267052" w14:textId="77777777" w:rsidTr="00E00DBA">
        <w:tc>
          <w:tcPr>
            <w:tcW w:w="4102" w:type="dxa"/>
          </w:tcPr>
          <w:p w14:paraId="33E451E4" w14:textId="77777777" w:rsidR="002C22B4" w:rsidRPr="00F82F73" w:rsidRDefault="002C22B4" w:rsidP="00E00DBA">
            <w:pPr>
              <w:pStyle w:val="MDPI42tablebody"/>
              <w:spacing w:line="240" w:lineRule="auto"/>
              <w:rPr>
                <w:lang w:val="en-US"/>
              </w:rPr>
            </w:pPr>
            <w:r w:rsidRPr="00F82F73">
              <w:rPr>
                <w:lang w:val="en-US"/>
              </w:rPr>
              <w:t>6 Price</w:t>
            </w:r>
          </w:p>
        </w:tc>
      </w:tr>
      <w:tr w:rsidR="002C22B4" w:rsidRPr="00F82F73" w14:paraId="1F031167" w14:textId="77777777" w:rsidTr="00E00DBA">
        <w:tc>
          <w:tcPr>
            <w:tcW w:w="4102" w:type="dxa"/>
          </w:tcPr>
          <w:p w14:paraId="32AFD820" w14:textId="77777777" w:rsidR="002C22B4" w:rsidRPr="00F82F73" w:rsidRDefault="002C22B4" w:rsidP="00E00DBA">
            <w:pPr>
              <w:pStyle w:val="MDPI42tablebody"/>
              <w:spacing w:line="240" w:lineRule="auto"/>
              <w:rPr>
                <w:lang w:val="en-US"/>
              </w:rPr>
            </w:pPr>
            <w:r w:rsidRPr="00F82F73">
              <w:rPr>
                <w:lang w:val="en-US"/>
              </w:rPr>
              <w:t>7 Unique/New</w:t>
            </w:r>
          </w:p>
        </w:tc>
      </w:tr>
      <w:tr w:rsidR="002C22B4" w:rsidRPr="00F82F73" w14:paraId="7087F1E8" w14:textId="77777777" w:rsidTr="00E00DBA">
        <w:tc>
          <w:tcPr>
            <w:tcW w:w="4102" w:type="dxa"/>
          </w:tcPr>
          <w:p w14:paraId="53BF64B9" w14:textId="77777777" w:rsidR="002C22B4" w:rsidRPr="00F82F73" w:rsidRDefault="002C22B4" w:rsidP="00E00DBA">
            <w:pPr>
              <w:pStyle w:val="MDPI42tablebody"/>
              <w:spacing w:line="240" w:lineRule="auto"/>
              <w:rPr>
                <w:lang w:val="en-US"/>
              </w:rPr>
            </w:pPr>
            <w:r w:rsidRPr="00F82F73">
              <w:rPr>
                <w:lang w:val="en-US"/>
              </w:rPr>
              <w:t>8 Fun</w:t>
            </w:r>
          </w:p>
        </w:tc>
      </w:tr>
      <w:tr w:rsidR="002C22B4" w:rsidRPr="00F82F73" w14:paraId="19F2CB85" w14:textId="77777777" w:rsidTr="00E00DBA">
        <w:tc>
          <w:tcPr>
            <w:tcW w:w="4102" w:type="dxa"/>
          </w:tcPr>
          <w:p w14:paraId="2A585648" w14:textId="77777777" w:rsidR="002C22B4" w:rsidRPr="00F82F73" w:rsidRDefault="002C22B4" w:rsidP="00E00DBA">
            <w:pPr>
              <w:pStyle w:val="MDPI42tablebody"/>
              <w:spacing w:line="240" w:lineRule="auto"/>
              <w:rPr>
                <w:lang w:val="en-US"/>
              </w:rPr>
            </w:pPr>
            <w:r w:rsidRPr="00F82F73">
              <w:rPr>
                <w:lang w:val="en-US"/>
              </w:rPr>
              <w:t>9 General Superiority</w:t>
            </w:r>
          </w:p>
        </w:tc>
      </w:tr>
      <w:tr w:rsidR="002C22B4" w:rsidRPr="00F82F73" w14:paraId="641E29E3" w14:textId="77777777" w:rsidTr="00E00DBA">
        <w:tc>
          <w:tcPr>
            <w:tcW w:w="4102" w:type="dxa"/>
          </w:tcPr>
          <w:p w14:paraId="12766C1C" w14:textId="77777777" w:rsidR="002C22B4" w:rsidRPr="00F82F73" w:rsidRDefault="002C22B4" w:rsidP="00E00DBA">
            <w:pPr>
              <w:pStyle w:val="MDPI42tablebody"/>
              <w:spacing w:line="240" w:lineRule="auto"/>
              <w:rPr>
                <w:lang w:val="en-US"/>
              </w:rPr>
            </w:pPr>
            <w:r w:rsidRPr="00F82F73">
              <w:rPr>
                <w:lang w:val="en-US"/>
              </w:rPr>
              <w:t>10 Peer Status/Sex Appeal</w:t>
            </w:r>
          </w:p>
        </w:tc>
      </w:tr>
      <w:tr w:rsidR="002C22B4" w:rsidRPr="00F82F73" w14:paraId="6B70062E" w14:textId="77777777" w:rsidTr="00E00DBA">
        <w:tc>
          <w:tcPr>
            <w:tcW w:w="4102" w:type="dxa"/>
          </w:tcPr>
          <w:p w14:paraId="7439E0BF" w14:textId="77777777" w:rsidR="002C22B4" w:rsidRPr="00F82F73" w:rsidRDefault="002C22B4" w:rsidP="00E00DBA">
            <w:pPr>
              <w:pStyle w:val="MDPI42tablebody"/>
              <w:spacing w:line="240" w:lineRule="auto"/>
              <w:rPr>
                <w:lang w:val="en-US"/>
              </w:rPr>
            </w:pPr>
            <w:r w:rsidRPr="00F82F73">
              <w:rPr>
                <w:lang w:val="en-US"/>
              </w:rPr>
              <w:t>11 Premium or Contest</w:t>
            </w:r>
          </w:p>
        </w:tc>
      </w:tr>
      <w:tr w:rsidR="002C22B4" w:rsidRPr="00F82F73" w14:paraId="6D56FBC1" w14:textId="77777777" w:rsidTr="00E00DBA">
        <w:tc>
          <w:tcPr>
            <w:tcW w:w="4102" w:type="dxa"/>
          </w:tcPr>
          <w:p w14:paraId="43AA0A39" w14:textId="77777777" w:rsidR="002C22B4" w:rsidRPr="00F82F73" w:rsidRDefault="002C22B4" w:rsidP="00E00DBA">
            <w:pPr>
              <w:pStyle w:val="MDPI42tablebody"/>
              <w:spacing w:line="240" w:lineRule="auto"/>
              <w:rPr>
                <w:lang w:val="en-US"/>
              </w:rPr>
            </w:pPr>
            <w:r w:rsidRPr="00F82F73">
              <w:rPr>
                <w:lang w:val="en-US"/>
              </w:rPr>
              <w:t>12 Weight Loss/Diet</w:t>
            </w:r>
            <w:r w:rsidR="0037219B">
              <w:rPr>
                <w:lang w:val="en-US"/>
              </w:rPr>
              <w:t xml:space="preserve"> </w:t>
            </w:r>
            <w:r w:rsidRPr="00F82F73">
              <w:rPr>
                <w:lang w:val="en-US"/>
              </w:rPr>
              <w:t>*</w:t>
            </w:r>
          </w:p>
        </w:tc>
      </w:tr>
      <w:tr w:rsidR="002C22B4" w:rsidRPr="00F82F73" w14:paraId="05D67CB2" w14:textId="77777777" w:rsidTr="00E00DBA">
        <w:tc>
          <w:tcPr>
            <w:tcW w:w="4102" w:type="dxa"/>
          </w:tcPr>
          <w:p w14:paraId="3D050D28" w14:textId="77777777" w:rsidR="002C22B4" w:rsidRPr="00F82F73" w:rsidRDefault="002C22B4" w:rsidP="00E00DBA">
            <w:pPr>
              <w:pStyle w:val="MDPI42tablebody"/>
              <w:spacing w:line="240" w:lineRule="auto"/>
              <w:rPr>
                <w:lang w:val="en-US"/>
              </w:rPr>
            </w:pPr>
            <w:r w:rsidRPr="00F82F73">
              <w:rPr>
                <w:lang w:val="en-US"/>
              </w:rPr>
              <w:t>13 Offers Choices/Options</w:t>
            </w:r>
          </w:p>
        </w:tc>
      </w:tr>
      <w:tr w:rsidR="002C22B4" w:rsidRPr="00F82F73" w14:paraId="4196A9A4" w14:textId="77777777" w:rsidTr="00E00DBA">
        <w:tc>
          <w:tcPr>
            <w:tcW w:w="4102" w:type="dxa"/>
          </w:tcPr>
          <w:p w14:paraId="107A5EE1" w14:textId="77777777" w:rsidR="002C22B4" w:rsidRPr="00F82F73" w:rsidRDefault="002C22B4" w:rsidP="00E00DBA">
            <w:pPr>
              <w:pStyle w:val="MDPI42tablebody"/>
              <w:spacing w:line="240" w:lineRule="auto"/>
              <w:rPr>
                <w:lang w:val="en-US"/>
              </w:rPr>
            </w:pPr>
            <w:r w:rsidRPr="00F82F73">
              <w:rPr>
                <w:lang w:val="en-US"/>
              </w:rPr>
              <w:t>14 Enjoyment/Satisfaction</w:t>
            </w:r>
          </w:p>
        </w:tc>
      </w:tr>
      <w:tr w:rsidR="002C22B4" w:rsidRPr="00F82F73" w14:paraId="56F6046A" w14:textId="77777777" w:rsidTr="00E00DBA">
        <w:tc>
          <w:tcPr>
            <w:tcW w:w="4102" w:type="dxa"/>
          </w:tcPr>
          <w:p w14:paraId="4BF6D27E" w14:textId="77777777" w:rsidR="002C22B4" w:rsidRPr="00F82F73" w:rsidRDefault="002C22B4" w:rsidP="00E00DBA">
            <w:pPr>
              <w:pStyle w:val="MDPI42tablebody"/>
              <w:spacing w:line="240" w:lineRule="auto"/>
              <w:rPr>
                <w:lang w:val="en-US"/>
              </w:rPr>
            </w:pPr>
            <w:r w:rsidRPr="00F82F73">
              <w:rPr>
                <w:lang w:val="en-US"/>
              </w:rPr>
              <w:t>15 Product Introduction</w:t>
            </w:r>
          </w:p>
        </w:tc>
      </w:tr>
      <w:tr w:rsidR="002C22B4" w:rsidRPr="00F82F73" w14:paraId="1BE03FE5" w14:textId="77777777" w:rsidTr="00E00DBA">
        <w:tc>
          <w:tcPr>
            <w:tcW w:w="4102" w:type="dxa"/>
          </w:tcPr>
          <w:p w14:paraId="37142BC7" w14:textId="77777777" w:rsidR="002C22B4" w:rsidRPr="00F82F73" w:rsidRDefault="002C22B4" w:rsidP="00E00DBA">
            <w:pPr>
              <w:pStyle w:val="MDPI42tablebody"/>
              <w:spacing w:line="240" w:lineRule="auto"/>
              <w:rPr>
                <w:lang w:val="en-US"/>
              </w:rPr>
            </w:pPr>
            <w:r w:rsidRPr="00F82F73">
              <w:rPr>
                <w:lang w:val="en-US"/>
              </w:rPr>
              <w:t>16 Corporate Information</w:t>
            </w:r>
          </w:p>
        </w:tc>
      </w:tr>
      <w:tr w:rsidR="002C22B4" w:rsidRPr="00F82F73" w14:paraId="6B8398F8" w14:textId="77777777" w:rsidTr="00E00DBA">
        <w:tc>
          <w:tcPr>
            <w:tcW w:w="4102" w:type="dxa"/>
          </w:tcPr>
          <w:p w14:paraId="04FFFC6D" w14:textId="77777777" w:rsidR="002C22B4" w:rsidRPr="00F82F73" w:rsidRDefault="002C22B4" w:rsidP="00E00DBA">
            <w:pPr>
              <w:pStyle w:val="MDPI42tablebody"/>
              <w:spacing w:line="240" w:lineRule="auto"/>
              <w:rPr>
                <w:lang w:val="en-US"/>
              </w:rPr>
            </w:pPr>
            <w:r w:rsidRPr="00F82F73">
              <w:rPr>
                <w:lang w:val="en-US"/>
              </w:rPr>
              <w:t>17 Other</w:t>
            </w:r>
          </w:p>
        </w:tc>
      </w:tr>
    </w:tbl>
    <w:p w14:paraId="329044DA" w14:textId="77777777" w:rsidR="002C22B4" w:rsidRPr="0037219B" w:rsidRDefault="002C22B4" w:rsidP="0037219B">
      <w:pPr>
        <w:pStyle w:val="MDPI21heading1"/>
        <w:spacing w:before="0" w:after="240"/>
        <w:ind w:left="425" w:right="425"/>
        <w:jc w:val="center"/>
        <w:outlineLvl w:val="9"/>
        <w:rPr>
          <w:b w:val="0"/>
          <w:sz w:val="18"/>
          <w:szCs w:val="20"/>
        </w:rPr>
      </w:pPr>
      <w:r w:rsidRPr="0037219B">
        <w:rPr>
          <w:b w:val="0"/>
          <w:sz w:val="18"/>
          <w:szCs w:val="20"/>
        </w:rPr>
        <w:t>*</w:t>
      </w:r>
      <w:r w:rsidR="0037219B" w:rsidRPr="0037219B">
        <w:rPr>
          <w:b w:val="0"/>
          <w:sz w:val="18"/>
          <w:szCs w:val="20"/>
        </w:rPr>
        <w:t xml:space="preserve"> </w:t>
      </w:r>
      <w:r w:rsidRPr="0037219B">
        <w:rPr>
          <w:b w:val="0"/>
          <w:sz w:val="18"/>
          <w:szCs w:val="20"/>
        </w:rPr>
        <w:t>= health-related primary persuasive appeal</w:t>
      </w:r>
      <w:r w:rsidR="0037219B" w:rsidRPr="0037219B">
        <w:rPr>
          <w:b w:val="0"/>
          <w:sz w:val="18"/>
          <w:szCs w:val="20"/>
        </w:rPr>
        <w:t>.</w:t>
      </w:r>
    </w:p>
    <w:p w14:paraId="63AE2241" w14:textId="77777777" w:rsidR="002C22B4" w:rsidRPr="0037219B" w:rsidRDefault="002C22B4" w:rsidP="0037219B">
      <w:pPr>
        <w:pStyle w:val="MDPI21heading1"/>
      </w:pPr>
      <w:r w:rsidRPr="0037219B">
        <w:rPr>
          <w:szCs w:val="24"/>
        </w:rPr>
        <w:t>R</w:t>
      </w:r>
      <w:r w:rsidRPr="0037219B">
        <w:t>eferences</w:t>
      </w:r>
    </w:p>
    <w:p w14:paraId="2A650742" w14:textId="77777777" w:rsidR="002C22B4" w:rsidRPr="00F82F73" w:rsidRDefault="002C22B4" w:rsidP="003B5B68">
      <w:pPr>
        <w:pStyle w:val="MDPI71References"/>
        <w:numPr>
          <w:ilvl w:val="0"/>
          <w:numId w:val="1"/>
        </w:numPr>
        <w:ind w:left="425" w:hanging="425"/>
      </w:pPr>
      <w:proofErr w:type="spellStart"/>
      <w:r w:rsidRPr="00F82F73">
        <w:t>Kraak</w:t>
      </w:r>
      <w:proofErr w:type="spellEnd"/>
      <w:r w:rsidRPr="00F82F73">
        <w:t xml:space="preserve">, V.; </w:t>
      </w:r>
      <w:proofErr w:type="spellStart"/>
      <w:r w:rsidRPr="00F82F73">
        <w:t>Vandevijvere</w:t>
      </w:r>
      <w:proofErr w:type="spellEnd"/>
      <w:r w:rsidRPr="00F82F73">
        <w:t xml:space="preserve">, S.; Sacks, G.; </w:t>
      </w:r>
      <w:proofErr w:type="spellStart"/>
      <w:r w:rsidRPr="00F82F73">
        <w:t>Brinsden</w:t>
      </w:r>
      <w:proofErr w:type="spellEnd"/>
      <w:r w:rsidRPr="00F82F73">
        <w:t xml:space="preserve">, H.; Hawkes, C.; </w:t>
      </w:r>
      <w:proofErr w:type="spellStart"/>
      <w:r w:rsidRPr="00F82F73">
        <w:t>Barquera</w:t>
      </w:r>
      <w:proofErr w:type="spellEnd"/>
      <w:r w:rsidRPr="00F82F73">
        <w:t xml:space="preserve">, S.; </w:t>
      </w:r>
      <w:proofErr w:type="spellStart"/>
      <w:r w:rsidRPr="00F82F73">
        <w:t>Lobstein</w:t>
      </w:r>
      <w:proofErr w:type="spellEnd"/>
      <w:r w:rsidRPr="00F82F73">
        <w:t xml:space="preserve">, S.; Swinburn, B. Progress achieved in restricting the marketing of high-fat, sugary and salty food and beverage products to children. </w:t>
      </w:r>
      <w:r w:rsidRPr="008F7F10">
        <w:rPr>
          <w:i/>
        </w:rPr>
        <w:t>Bull. World Health Organ.</w:t>
      </w:r>
      <w:r w:rsidRPr="00F82F73">
        <w:t xml:space="preserve"> </w:t>
      </w:r>
      <w:r w:rsidRPr="008F7F10">
        <w:rPr>
          <w:b/>
        </w:rPr>
        <w:t>2006</w:t>
      </w:r>
      <w:r w:rsidRPr="00F82F73">
        <w:t xml:space="preserve">, </w:t>
      </w:r>
      <w:r w:rsidRPr="008F7F10">
        <w:rPr>
          <w:i/>
        </w:rPr>
        <w:t>94</w:t>
      </w:r>
      <w:r w:rsidRPr="00F82F73">
        <w:t xml:space="preserve">, 540–548. </w:t>
      </w:r>
    </w:p>
    <w:p w14:paraId="00D43B2F" w14:textId="77777777" w:rsidR="002C22B4" w:rsidRPr="00F82F73" w:rsidRDefault="002C22B4" w:rsidP="003B5B68">
      <w:pPr>
        <w:pStyle w:val="MDPI71References"/>
        <w:numPr>
          <w:ilvl w:val="0"/>
          <w:numId w:val="1"/>
        </w:numPr>
        <w:ind w:left="425" w:hanging="425"/>
      </w:pPr>
      <w:proofErr w:type="spellStart"/>
      <w:r w:rsidRPr="00F82F73">
        <w:t>Ofcom</w:t>
      </w:r>
      <w:proofErr w:type="spellEnd"/>
      <w:r w:rsidRPr="00F82F73">
        <w:t xml:space="preserve">. Television Advertising of Food and Drink Products to Children Final </w:t>
      </w:r>
      <w:r w:rsidR="008F7F10" w:rsidRPr="00F82F73">
        <w:t>Statement</w:t>
      </w:r>
      <w:r w:rsidRPr="00F82F73">
        <w:t xml:space="preserve">. </w:t>
      </w:r>
      <w:r w:rsidR="008F7F10" w:rsidRPr="00F82F73">
        <w:t>Available</w:t>
      </w:r>
      <w:r w:rsidRPr="00F82F73">
        <w:t xml:space="preserve"> online: https://www.ofcom.org.uk/__data/assets/pdf_file/0028/47746/Television-Advertising-of-Food-and-Drink-Products-to-Children-Final-statement-.pdf</w:t>
      </w:r>
      <w:r w:rsidR="008F7F10">
        <w:t xml:space="preserve"> </w:t>
      </w:r>
      <w:r w:rsidR="008F7F10" w:rsidRPr="00F82F73">
        <w:t>(accessed on 1</w:t>
      </w:r>
      <w:r w:rsidR="008F7F10">
        <w:t>5</w:t>
      </w:r>
      <w:r w:rsidR="008F7F10" w:rsidRPr="00F82F73">
        <w:t xml:space="preserve"> </w:t>
      </w:r>
      <w:r w:rsidR="008F7F10">
        <w:t>March</w:t>
      </w:r>
      <w:r w:rsidR="008F7F10" w:rsidRPr="00F82F73">
        <w:t xml:space="preserve"> 201</w:t>
      </w:r>
      <w:r w:rsidR="008F7F10">
        <w:t>8</w:t>
      </w:r>
      <w:r w:rsidR="008F7F10" w:rsidRPr="00F82F73">
        <w:t>)</w:t>
      </w:r>
      <w:r w:rsidR="008F7F10">
        <w:t>.</w:t>
      </w:r>
    </w:p>
    <w:p w14:paraId="68EF2322" w14:textId="77777777" w:rsidR="002C22B4" w:rsidRPr="00F82F73" w:rsidRDefault="002C22B4" w:rsidP="003B5B68">
      <w:pPr>
        <w:pStyle w:val="MDPI71References"/>
        <w:numPr>
          <w:ilvl w:val="0"/>
          <w:numId w:val="1"/>
        </w:numPr>
        <w:ind w:left="425" w:hanging="425"/>
      </w:pPr>
      <w:proofErr w:type="spellStart"/>
      <w:r w:rsidRPr="00F82F73">
        <w:t>Ofcom</w:t>
      </w:r>
      <w:proofErr w:type="spellEnd"/>
      <w:r w:rsidRPr="00F82F73">
        <w:t xml:space="preserve">. HFSS </w:t>
      </w:r>
      <w:r w:rsidR="008F7F10" w:rsidRPr="00F82F73">
        <w:t>Advertising Restrictions</w:t>
      </w:r>
      <w:r w:rsidRPr="00F82F73">
        <w:t>. Available online: https://www.ofcom.org.uk/research-and-data/tv-radio-and-on-demand/broadcast-advertising/hfss-final-review</w:t>
      </w:r>
      <w:r w:rsidR="008F7F10">
        <w:t xml:space="preserve"> </w:t>
      </w:r>
      <w:r w:rsidR="008F7F10" w:rsidRPr="00F82F73">
        <w:t>(accessed on 1</w:t>
      </w:r>
      <w:r w:rsidR="008F7F10">
        <w:t>5</w:t>
      </w:r>
      <w:r w:rsidR="008F7F10" w:rsidRPr="00F82F73">
        <w:t xml:space="preserve"> </w:t>
      </w:r>
      <w:r w:rsidR="008F7F10">
        <w:t>March</w:t>
      </w:r>
      <w:r w:rsidR="008F7F10" w:rsidRPr="00F82F73">
        <w:t xml:space="preserve"> 201</w:t>
      </w:r>
      <w:r w:rsidR="008F7F10">
        <w:t>8</w:t>
      </w:r>
      <w:r w:rsidR="008F7F10" w:rsidRPr="00F82F73">
        <w:t>)</w:t>
      </w:r>
      <w:r w:rsidR="008F7F10">
        <w:t>.</w:t>
      </w:r>
    </w:p>
    <w:p w14:paraId="3923BDDF" w14:textId="77777777" w:rsidR="002C22B4" w:rsidRPr="00F82F73" w:rsidRDefault="002C22B4" w:rsidP="003B5B68">
      <w:pPr>
        <w:pStyle w:val="MDPI71References"/>
        <w:numPr>
          <w:ilvl w:val="0"/>
          <w:numId w:val="1"/>
        </w:numPr>
        <w:ind w:left="425" w:hanging="425"/>
      </w:pPr>
      <w:r w:rsidRPr="00F82F73">
        <w:t xml:space="preserve">Powell, L.M.; </w:t>
      </w:r>
      <w:proofErr w:type="spellStart"/>
      <w:r w:rsidRPr="00F82F73">
        <w:t>Schermbeck</w:t>
      </w:r>
      <w:proofErr w:type="spellEnd"/>
      <w:r w:rsidRPr="00F82F73">
        <w:t xml:space="preserve">, R.M.; </w:t>
      </w:r>
      <w:proofErr w:type="spellStart"/>
      <w:r w:rsidRPr="00F82F73">
        <w:t>Chaloupka</w:t>
      </w:r>
      <w:proofErr w:type="spellEnd"/>
      <w:r w:rsidRPr="00F82F73">
        <w:t xml:space="preserve">, F.J. Nutritional content of food and beverage products in television advertisements seen on children’s programming. </w:t>
      </w:r>
      <w:r w:rsidRPr="00F82F73">
        <w:rPr>
          <w:i/>
        </w:rPr>
        <w:t xml:space="preserve">Child </w:t>
      </w:r>
      <w:proofErr w:type="spellStart"/>
      <w:r w:rsidRPr="00F82F73">
        <w:rPr>
          <w:i/>
        </w:rPr>
        <w:t>Obes</w:t>
      </w:r>
      <w:proofErr w:type="spellEnd"/>
      <w:r w:rsidRPr="00F82F73">
        <w:t xml:space="preserve">. </w:t>
      </w:r>
      <w:r w:rsidRPr="00F82F73">
        <w:rPr>
          <w:b/>
        </w:rPr>
        <w:t>2013</w:t>
      </w:r>
      <w:r w:rsidRPr="00F82F73">
        <w:t xml:space="preserve">, </w:t>
      </w:r>
      <w:r w:rsidRPr="00F82F73">
        <w:rPr>
          <w:i/>
        </w:rPr>
        <w:t>9</w:t>
      </w:r>
      <w:r w:rsidR="008F7F10">
        <w:t>, 524–531.</w:t>
      </w:r>
    </w:p>
    <w:p w14:paraId="2B37F63F" w14:textId="77777777" w:rsidR="002C22B4" w:rsidRPr="00F82F73" w:rsidRDefault="002C22B4" w:rsidP="003B5B68">
      <w:pPr>
        <w:pStyle w:val="MDPI71References"/>
        <w:numPr>
          <w:ilvl w:val="0"/>
          <w:numId w:val="1"/>
        </w:numPr>
        <w:ind w:left="425" w:hanging="425"/>
      </w:pPr>
      <w:r w:rsidRPr="00F82F73">
        <w:t xml:space="preserve">Kunkel, D.L.; </w:t>
      </w:r>
      <w:proofErr w:type="spellStart"/>
      <w:r w:rsidRPr="00F82F73">
        <w:t>Castonguay</w:t>
      </w:r>
      <w:proofErr w:type="spellEnd"/>
      <w:r w:rsidRPr="00F82F73">
        <w:t xml:space="preserve">, J.S.; Filer, C.R. Evaluating Industry Self-Regulation of Food Marketing to Children. </w:t>
      </w:r>
      <w:r w:rsidRPr="00F82F73">
        <w:rPr>
          <w:i/>
        </w:rPr>
        <w:t>Am. J. Prev. Med.</w:t>
      </w:r>
      <w:r w:rsidRPr="00F82F73">
        <w:t xml:space="preserve"> </w:t>
      </w:r>
      <w:r w:rsidRPr="00F82F73">
        <w:rPr>
          <w:b/>
        </w:rPr>
        <w:t>2015</w:t>
      </w:r>
      <w:r w:rsidRPr="00F82F73">
        <w:t xml:space="preserve">, </w:t>
      </w:r>
      <w:r w:rsidRPr="00F82F73">
        <w:rPr>
          <w:i/>
        </w:rPr>
        <w:t>49</w:t>
      </w:r>
      <w:r w:rsidR="008F7F10">
        <w:t>, 181–187.</w:t>
      </w:r>
    </w:p>
    <w:p w14:paraId="1CEE8763" w14:textId="77777777" w:rsidR="002C22B4" w:rsidRPr="00F82F73" w:rsidRDefault="002C22B4" w:rsidP="003B5B68">
      <w:pPr>
        <w:pStyle w:val="MDPI71References"/>
        <w:numPr>
          <w:ilvl w:val="0"/>
          <w:numId w:val="1"/>
        </w:numPr>
        <w:ind w:left="425" w:hanging="425"/>
      </w:pPr>
      <w:r w:rsidRPr="00F82F73">
        <w:t xml:space="preserve">Boyland, E.J.; Whalen, R. Food advertising to children and its effects on diet: A review of recent prevalence and impact data. </w:t>
      </w:r>
      <w:proofErr w:type="spellStart"/>
      <w:r w:rsidRPr="00F82F73">
        <w:rPr>
          <w:i/>
        </w:rPr>
        <w:t>Pediatr</w:t>
      </w:r>
      <w:proofErr w:type="spellEnd"/>
      <w:r w:rsidRPr="00F82F73">
        <w:rPr>
          <w:i/>
        </w:rPr>
        <w:t xml:space="preserve">. Diabetes </w:t>
      </w:r>
      <w:r w:rsidRPr="00F82F73">
        <w:rPr>
          <w:b/>
        </w:rPr>
        <w:t>2015</w:t>
      </w:r>
      <w:r w:rsidRPr="00F82F73">
        <w:t xml:space="preserve">, </w:t>
      </w:r>
      <w:r w:rsidRPr="00F82F73">
        <w:rPr>
          <w:i/>
        </w:rPr>
        <w:t>21</w:t>
      </w:r>
      <w:r w:rsidR="008F7F10">
        <w:t>, 331–337.</w:t>
      </w:r>
    </w:p>
    <w:p w14:paraId="05CC92CC" w14:textId="77777777" w:rsidR="002C22B4" w:rsidRPr="00F82F73" w:rsidRDefault="002C22B4" w:rsidP="003B5B68">
      <w:pPr>
        <w:pStyle w:val="MDPI71References"/>
        <w:numPr>
          <w:ilvl w:val="0"/>
          <w:numId w:val="1"/>
        </w:numPr>
        <w:ind w:left="425" w:hanging="425"/>
      </w:pPr>
      <w:r w:rsidRPr="00F82F73">
        <w:t xml:space="preserve">Boyland, E.J.; Harrold, J.A.; Kirkham, T.C.; Halford, J.C.G. The extent of food advertising to children on UK television in 2008. </w:t>
      </w:r>
      <w:r w:rsidRPr="00F82F73">
        <w:rPr>
          <w:i/>
        </w:rPr>
        <w:t xml:space="preserve">Int. J. </w:t>
      </w:r>
      <w:proofErr w:type="spellStart"/>
      <w:r w:rsidRPr="00F82F73">
        <w:rPr>
          <w:i/>
        </w:rPr>
        <w:t>Pediatr</w:t>
      </w:r>
      <w:proofErr w:type="spellEnd"/>
      <w:r w:rsidRPr="00F82F73">
        <w:rPr>
          <w:i/>
        </w:rPr>
        <w:t xml:space="preserve">. </w:t>
      </w:r>
      <w:proofErr w:type="spellStart"/>
      <w:r w:rsidRPr="00F82F73">
        <w:rPr>
          <w:i/>
        </w:rPr>
        <w:t>Obes</w:t>
      </w:r>
      <w:proofErr w:type="spellEnd"/>
      <w:r w:rsidRPr="00F82F73">
        <w:rPr>
          <w:i/>
        </w:rPr>
        <w:t>.</w:t>
      </w:r>
      <w:r w:rsidRPr="00F82F73">
        <w:t xml:space="preserve"> </w:t>
      </w:r>
      <w:r w:rsidRPr="00F82F73">
        <w:rPr>
          <w:b/>
        </w:rPr>
        <w:t>2011</w:t>
      </w:r>
      <w:r w:rsidRPr="00F82F73">
        <w:t xml:space="preserve">, </w:t>
      </w:r>
      <w:r w:rsidRPr="00F82F73">
        <w:rPr>
          <w:i/>
        </w:rPr>
        <w:t>6</w:t>
      </w:r>
      <w:r w:rsidRPr="00F82F73">
        <w:t xml:space="preserve">, 455–461. </w:t>
      </w:r>
    </w:p>
    <w:p w14:paraId="14284792" w14:textId="77777777" w:rsidR="002C22B4" w:rsidRPr="00F82F73" w:rsidRDefault="002C22B4" w:rsidP="003B5B68">
      <w:pPr>
        <w:pStyle w:val="MDPI71References"/>
        <w:numPr>
          <w:ilvl w:val="0"/>
          <w:numId w:val="1"/>
        </w:numPr>
        <w:ind w:left="425" w:hanging="425"/>
      </w:pPr>
      <w:r w:rsidRPr="00F82F73">
        <w:lastRenderedPageBreak/>
        <w:t>WHO. Set of Recommendations on the Marketing of Foods and Non-Alcoholic Beverages to Children. 2010. Available online: http://whqlibdoc.who.int/publications/2010/9789241500210_eng.pdf (accessed on 30 December 2014).</w:t>
      </w:r>
    </w:p>
    <w:p w14:paraId="684E6D00" w14:textId="77777777" w:rsidR="002C22B4" w:rsidRPr="00F82F73" w:rsidRDefault="002C22B4" w:rsidP="003B5B68">
      <w:pPr>
        <w:pStyle w:val="MDPI71References"/>
        <w:numPr>
          <w:ilvl w:val="0"/>
          <w:numId w:val="1"/>
        </w:numPr>
        <w:ind w:left="425" w:hanging="425"/>
      </w:pPr>
      <w:r w:rsidRPr="00F82F73">
        <w:t>WHO. Marketing of Foods High in Fat, Salt and Sugar to Children: Update 2012–2013. 2012 Available online: http://www.euro.who.int/__data/assets/pdf_file/0019/191125/e96859.pdf (accessed on 9 March 2015).</w:t>
      </w:r>
    </w:p>
    <w:p w14:paraId="23B88559" w14:textId="77777777" w:rsidR="002C22B4" w:rsidRPr="00F82F73" w:rsidRDefault="002C22B4" w:rsidP="003B5B68">
      <w:pPr>
        <w:pStyle w:val="MDPI71References"/>
        <w:numPr>
          <w:ilvl w:val="0"/>
          <w:numId w:val="1"/>
        </w:numPr>
        <w:ind w:left="425" w:hanging="425"/>
      </w:pPr>
      <w:r w:rsidRPr="00F82F73">
        <w:t>Children’s Food and Beverage Advertising Initiative. CFBAI Program and Core Principles at a Glance. 2014. Available online: https://www.bbb.org/globalassets/local-bbbs/council-113/media/cfbai/program-and-core-principles_for-online-access.pdf (accessed on 29 September 2015).</w:t>
      </w:r>
    </w:p>
    <w:p w14:paraId="78E073D5" w14:textId="77777777" w:rsidR="002C22B4" w:rsidRPr="00F82F73" w:rsidRDefault="002C22B4" w:rsidP="003B5B68">
      <w:pPr>
        <w:pStyle w:val="MDPI71References"/>
        <w:numPr>
          <w:ilvl w:val="0"/>
          <w:numId w:val="1"/>
        </w:numPr>
        <w:ind w:left="425" w:hanging="425"/>
      </w:pPr>
      <w:r w:rsidRPr="00F82F73">
        <w:t>IFBA. Highlights of Our Progress 2008–2013. The International Food and Beverage Alliance. 2014. Available online: https://ifballiance.org/documents/2014/09/highlights-of-our-progress-2008</w:t>
      </w:r>
      <w:r w:rsidR="00AC00FB">
        <w:t>-</w:t>
      </w:r>
      <w:r w:rsidRPr="00F82F73">
        <w:t>2013.pdf (accessed on 9 September 2015).</w:t>
      </w:r>
    </w:p>
    <w:p w14:paraId="55C89DAD" w14:textId="77777777" w:rsidR="002C22B4" w:rsidRPr="00F82F73" w:rsidRDefault="002C22B4" w:rsidP="003B5B68">
      <w:pPr>
        <w:pStyle w:val="MDPI71References"/>
        <w:numPr>
          <w:ilvl w:val="0"/>
          <w:numId w:val="1"/>
        </w:numPr>
        <w:ind w:left="425" w:hanging="425"/>
      </w:pPr>
      <w:r w:rsidRPr="00F82F73">
        <w:t>FDF. Responsible Marketing and Advertising to Children. 2015. Available online: https://www.fdf.org.uk/keyissues.aspx?issue=644 (accessed on 28 September 2015).</w:t>
      </w:r>
    </w:p>
    <w:p w14:paraId="0C55D3E3" w14:textId="77777777" w:rsidR="002C22B4" w:rsidRPr="00F82F73" w:rsidRDefault="002C22B4" w:rsidP="003B5B68">
      <w:pPr>
        <w:pStyle w:val="MDPI71References"/>
        <w:numPr>
          <w:ilvl w:val="0"/>
          <w:numId w:val="1"/>
        </w:numPr>
        <w:ind w:left="425" w:hanging="425"/>
      </w:pPr>
      <w:r w:rsidRPr="00F82F73">
        <w:t xml:space="preserve">Bannon, K.; Schwartz, M.B. Impact of nutrition messages on children’s food choice: Pilot study. </w:t>
      </w:r>
      <w:r w:rsidRPr="00F82F73">
        <w:rPr>
          <w:i/>
        </w:rPr>
        <w:t>Appetite</w:t>
      </w:r>
      <w:r w:rsidRPr="00F82F73">
        <w:t xml:space="preserve"> </w:t>
      </w:r>
      <w:r w:rsidRPr="00F82F73">
        <w:rPr>
          <w:b/>
        </w:rPr>
        <w:t>2006</w:t>
      </w:r>
      <w:r w:rsidRPr="00F82F73">
        <w:t xml:space="preserve">, </w:t>
      </w:r>
      <w:r w:rsidRPr="00F82F73">
        <w:rPr>
          <w:i/>
        </w:rPr>
        <w:t>46</w:t>
      </w:r>
      <w:r w:rsidRPr="00F82F73">
        <w:t>, 124–129</w:t>
      </w:r>
      <w:r w:rsidR="00AC00FB">
        <w:t>.</w:t>
      </w:r>
    </w:p>
    <w:p w14:paraId="53AE5D5E" w14:textId="77777777" w:rsidR="002C22B4" w:rsidRPr="00F82F73" w:rsidRDefault="002C22B4" w:rsidP="003B5B68">
      <w:pPr>
        <w:pStyle w:val="MDPI71References"/>
        <w:numPr>
          <w:ilvl w:val="0"/>
          <w:numId w:val="1"/>
        </w:numPr>
        <w:ind w:left="425" w:hanging="425"/>
      </w:pPr>
      <w:r w:rsidRPr="00F82F73">
        <w:t xml:space="preserve">Bernhardt, A.M.; </w:t>
      </w:r>
      <w:proofErr w:type="spellStart"/>
      <w:r w:rsidRPr="00F82F73">
        <w:t>Wilking</w:t>
      </w:r>
      <w:proofErr w:type="spellEnd"/>
      <w:r w:rsidRPr="00F82F73">
        <w:t xml:space="preserve">, C.; Gottlieb, M.; Emond, J.; Sargent, J.D. Children’s reaction to depictions of healthy foods in fast-food television advertisements. </w:t>
      </w:r>
      <w:r w:rsidRPr="00F82F73">
        <w:rPr>
          <w:i/>
        </w:rPr>
        <w:t xml:space="preserve">JAMA </w:t>
      </w:r>
      <w:proofErr w:type="spellStart"/>
      <w:r w:rsidRPr="00F82F73">
        <w:rPr>
          <w:i/>
        </w:rPr>
        <w:t>Pediatr</w:t>
      </w:r>
      <w:proofErr w:type="spellEnd"/>
      <w:r w:rsidRPr="00F82F73">
        <w:rPr>
          <w:i/>
        </w:rPr>
        <w:t>. Am. Med. Assoc.</w:t>
      </w:r>
      <w:r w:rsidRPr="00F82F73">
        <w:t xml:space="preserve"> </w:t>
      </w:r>
      <w:r w:rsidRPr="00F82F73">
        <w:rPr>
          <w:b/>
        </w:rPr>
        <w:t>2014</w:t>
      </w:r>
      <w:r w:rsidRPr="00F82F73">
        <w:t xml:space="preserve">, </w:t>
      </w:r>
      <w:r w:rsidRPr="00F82F73">
        <w:rPr>
          <w:i/>
        </w:rPr>
        <w:t>168</w:t>
      </w:r>
      <w:r w:rsidRPr="00F82F73">
        <w:t>, 422–</w:t>
      </w:r>
      <w:r w:rsidR="00AC00FB">
        <w:t>4</w:t>
      </w:r>
      <w:r w:rsidRPr="00F82F73">
        <w:t xml:space="preserve">26. </w:t>
      </w:r>
    </w:p>
    <w:p w14:paraId="6340B7F0" w14:textId="77777777" w:rsidR="002C22B4" w:rsidRPr="00F82F73" w:rsidRDefault="002C22B4" w:rsidP="003B5B68">
      <w:pPr>
        <w:pStyle w:val="MDPI71References"/>
        <w:numPr>
          <w:ilvl w:val="0"/>
          <w:numId w:val="1"/>
        </w:numPr>
        <w:ind w:left="425" w:hanging="425"/>
      </w:pPr>
      <w:proofErr w:type="spellStart"/>
      <w:r w:rsidRPr="00F82F73">
        <w:t>Sütterlin</w:t>
      </w:r>
      <w:proofErr w:type="spellEnd"/>
      <w:r w:rsidRPr="00F82F73">
        <w:t xml:space="preserve">, B.; Siegrist, M. Simply adding the word “fruit” makes sugar healthier: The misleading effect of symbolic information on the perceived healthiness of food. </w:t>
      </w:r>
      <w:r w:rsidRPr="00F82F73">
        <w:rPr>
          <w:i/>
        </w:rPr>
        <w:t>Appetite</w:t>
      </w:r>
      <w:r w:rsidRPr="00F82F73">
        <w:t xml:space="preserve"> </w:t>
      </w:r>
      <w:r w:rsidRPr="00F82F73">
        <w:rPr>
          <w:b/>
        </w:rPr>
        <w:t>2015</w:t>
      </w:r>
      <w:r w:rsidRPr="00F82F73">
        <w:t xml:space="preserve">, </w:t>
      </w:r>
      <w:r w:rsidRPr="00F82F73">
        <w:rPr>
          <w:i/>
        </w:rPr>
        <w:t>95</w:t>
      </w:r>
      <w:r w:rsidRPr="00F82F73">
        <w:t>, 252–261, doi:10.1016/j.appet.2015.07.011.</w:t>
      </w:r>
    </w:p>
    <w:p w14:paraId="44DD5565" w14:textId="77777777" w:rsidR="002C22B4" w:rsidRPr="00F82F73" w:rsidRDefault="002C22B4" w:rsidP="003B5B68">
      <w:pPr>
        <w:pStyle w:val="MDPI71References"/>
        <w:numPr>
          <w:ilvl w:val="0"/>
          <w:numId w:val="1"/>
        </w:numPr>
        <w:ind w:left="425" w:hanging="425"/>
      </w:pPr>
      <w:proofErr w:type="spellStart"/>
      <w:r w:rsidRPr="00F82F73">
        <w:t>Castonguay</w:t>
      </w:r>
      <w:proofErr w:type="spellEnd"/>
      <w:r w:rsidRPr="00F82F73">
        <w:t xml:space="preserve">, J. Portraying physical activity in food advertising targeting children. </w:t>
      </w:r>
      <w:r w:rsidRPr="00F82F73">
        <w:rPr>
          <w:i/>
        </w:rPr>
        <w:t>Health Educ</w:t>
      </w:r>
      <w:r w:rsidRPr="00F82F73">
        <w:t xml:space="preserve">. </w:t>
      </w:r>
      <w:r w:rsidRPr="00F82F73">
        <w:rPr>
          <w:b/>
        </w:rPr>
        <w:t>2015</w:t>
      </w:r>
      <w:r w:rsidRPr="00F82F73">
        <w:t xml:space="preserve">, </w:t>
      </w:r>
      <w:r w:rsidRPr="00F82F73">
        <w:rPr>
          <w:i/>
        </w:rPr>
        <w:t>115</w:t>
      </w:r>
      <w:r w:rsidRPr="00F82F73">
        <w:t>, 534</w:t>
      </w:r>
      <w:r w:rsidR="00AC00FB">
        <w:t>–553.</w:t>
      </w:r>
    </w:p>
    <w:p w14:paraId="7A21CA0C" w14:textId="77777777" w:rsidR="002C22B4" w:rsidRPr="00F82F73" w:rsidRDefault="002C22B4" w:rsidP="003B5B68">
      <w:pPr>
        <w:pStyle w:val="MDPI71References"/>
        <w:numPr>
          <w:ilvl w:val="0"/>
          <w:numId w:val="1"/>
        </w:numPr>
        <w:ind w:left="425" w:hanging="425"/>
      </w:pPr>
      <w:r w:rsidRPr="00F82F73">
        <w:t xml:space="preserve">Dixon, H.; Scully, M.; Niven, P.; Kelly, B.; Chapman, K.; Donovan, R.; Martin, J.; </w:t>
      </w:r>
      <w:proofErr w:type="spellStart"/>
      <w:r w:rsidRPr="00F82F73">
        <w:t>Baur</w:t>
      </w:r>
      <w:proofErr w:type="spellEnd"/>
      <w:r w:rsidRPr="00F82F73">
        <w:t xml:space="preserve">, L.A.; Crawford, D.; Wakefield, M. Effects of nutrient content claims, sports celebrity endorsements and premium offers on pre-adolescent children’s food preferences: Experimental research. </w:t>
      </w:r>
      <w:proofErr w:type="spellStart"/>
      <w:r w:rsidRPr="00F82F73">
        <w:rPr>
          <w:i/>
        </w:rPr>
        <w:t>Pediatr</w:t>
      </w:r>
      <w:proofErr w:type="spellEnd"/>
      <w:r w:rsidRPr="00F82F73">
        <w:rPr>
          <w:i/>
        </w:rPr>
        <w:t xml:space="preserve">. </w:t>
      </w:r>
      <w:proofErr w:type="spellStart"/>
      <w:r w:rsidRPr="00F82F73">
        <w:rPr>
          <w:i/>
        </w:rPr>
        <w:t>Obes</w:t>
      </w:r>
      <w:proofErr w:type="spellEnd"/>
      <w:r w:rsidRPr="00F82F73">
        <w:rPr>
          <w:i/>
        </w:rPr>
        <w:t>.</w:t>
      </w:r>
      <w:r w:rsidRPr="00F82F73">
        <w:t xml:space="preserve"> </w:t>
      </w:r>
      <w:r w:rsidRPr="00F82F73">
        <w:rPr>
          <w:b/>
        </w:rPr>
        <w:t>2014</w:t>
      </w:r>
      <w:r w:rsidRPr="00F82F73">
        <w:t xml:space="preserve">, </w:t>
      </w:r>
      <w:r w:rsidRPr="00F82F73">
        <w:rPr>
          <w:i/>
        </w:rPr>
        <w:t>9</w:t>
      </w:r>
      <w:r w:rsidR="00AC00FB">
        <w:t>, e47–e57.</w:t>
      </w:r>
    </w:p>
    <w:p w14:paraId="7D511DB3" w14:textId="77777777" w:rsidR="002C22B4" w:rsidRPr="00F82F73" w:rsidRDefault="002C22B4" w:rsidP="003B5B68">
      <w:pPr>
        <w:pStyle w:val="MDPI71References"/>
        <w:numPr>
          <w:ilvl w:val="0"/>
          <w:numId w:val="1"/>
        </w:numPr>
        <w:ind w:left="425" w:hanging="425"/>
      </w:pPr>
      <w:r w:rsidRPr="00F82F73">
        <w:t xml:space="preserve">Harris, J.L.; </w:t>
      </w:r>
      <w:proofErr w:type="spellStart"/>
      <w:r w:rsidRPr="00F82F73">
        <w:t>Haraghey</w:t>
      </w:r>
      <w:proofErr w:type="spellEnd"/>
      <w:r w:rsidRPr="00F82F73">
        <w:t xml:space="preserve">, K.S.; </w:t>
      </w:r>
      <w:proofErr w:type="spellStart"/>
      <w:r w:rsidRPr="00F82F73">
        <w:t>Lodolce</w:t>
      </w:r>
      <w:proofErr w:type="spellEnd"/>
      <w:r w:rsidRPr="00F82F73">
        <w:t xml:space="preserve">, M.; </w:t>
      </w:r>
      <w:proofErr w:type="spellStart"/>
      <w:r w:rsidRPr="00F82F73">
        <w:t>Semenza</w:t>
      </w:r>
      <w:proofErr w:type="spellEnd"/>
      <w:r w:rsidRPr="00F82F73">
        <w:t xml:space="preserve">, N.L. Teaching children about good health? Halo effects in child-directed advertisements for unhealthy food. </w:t>
      </w:r>
      <w:proofErr w:type="spellStart"/>
      <w:r w:rsidRPr="00F82F73">
        <w:rPr>
          <w:i/>
        </w:rPr>
        <w:t>Pediatr</w:t>
      </w:r>
      <w:proofErr w:type="spellEnd"/>
      <w:r w:rsidRPr="00F82F73">
        <w:rPr>
          <w:i/>
        </w:rPr>
        <w:t xml:space="preserve">. </w:t>
      </w:r>
      <w:proofErr w:type="spellStart"/>
      <w:r w:rsidRPr="00F82F73">
        <w:rPr>
          <w:i/>
        </w:rPr>
        <w:t>Obes</w:t>
      </w:r>
      <w:proofErr w:type="spellEnd"/>
      <w:r w:rsidRPr="00F82F73">
        <w:rPr>
          <w:i/>
        </w:rPr>
        <w:t>.</w:t>
      </w:r>
      <w:r w:rsidRPr="00F82F73">
        <w:t xml:space="preserve"> </w:t>
      </w:r>
      <w:r w:rsidRPr="00F82F73">
        <w:rPr>
          <w:b/>
        </w:rPr>
        <w:t>2017</w:t>
      </w:r>
      <w:r w:rsidRPr="00F82F73">
        <w:t>, doi:</w:t>
      </w:r>
      <w:r w:rsidRPr="00F82F73">
        <w:rPr>
          <w:rStyle w:val="article-headermeta-info-data"/>
        </w:rPr>
        <w:t>10.1111/ijpo.12257</w:t>
      </w:r>
      <w:r w:rsidRPr="00F82F73">
        <w:t xml:space="preserve">. </w:t>
      </w:r>
    </w:p>
    <w:p w14:paraId="2BED593C" w14:textId="77777777" w:rsidR="002C22B4" w:rsidRPr="00F82F73" w:rsidRDefault="002C22B4" w:rsidP="003B5B68">
      <w:pPr>
        <w:pStyle w:val="MDPI71References"/>
        <w:numPr>
          <w:ilvl w:val="0"/>
          <w:numId w:val="1"/>
        </w:numPr>
        <w:ind w:left="425" w:hanging="425"/>
      </w:pPr>
      <w:r w:rsidRPr="00F82F73">
        <w:t xml:space="preserve">Boyland, E.J.; Harrold, J.A.; Kirkham, T.C.; Halford, J.C.G. Persuasive techniques used in television advertisements to market foods to UK children. </w:t>
      </w:r>
      <w:r w:rsidRPr="00F82F73">
        <w:rPr>
          <w:i/>
        </w:rPr>
        <w:t>Appetite</w:t>
      </w:r>
      <w:r w:rsidRPr="00F82F73">
        <w:t xml:space="preserve"> </w:t>
      </w:r>
      <w:r w:rsidRPr="00F82F73">
        <w:rPr>
          <w:b/>
        </w:rPr>
        <w:t>2012</w:t>
      </w:r>
      <w:r w:rsidRPr="00F82F73">
        <w:t xml:space="preserve">, </w:t>
      </w:r>
      <w:r w:rsidRPr="00F82F73">
        <w:rPr>
          <w:i/>
        </w:rPr>
        <w:t>58</w:t>
      </w:r>
      <w:r w:rsidRPr="00F82F73">
        <w:t>, 658–664, doi:10.1016/j.appet.2011.11.017.</w:t>
      </w:r>
    </w:p>
    <w:p w14:paraId="4B851A5A" w14:textId="77777777" w:rsidR="002C22B4" w:rsidRPr="00F82F73" w:rsidRDefault="002C22B4" w:rsidP="003B5B68">
      <w:pPr>
        <w:pStyle w:val="MDPI71References"/>
        <w:numPr>
          <w:ilvl w:val="0"/>
          <w:numId w:val="1"/>
        </w:numPr>
        <w:ind w:left="425" w:hanging="425"/>
      </w:pPr>
      <w:r w:rsidRPr="00F82F73">
        <w:t xml:space="preserve">Jenkin, G.; </w:t>
      </w:r>
      <w:proofErr w:type="spellStart"/>
      <w:r w:rsidRPr="00F82F73">
        <w:t>Madhvani</w:t>
      </w:r>
      <w:proofErr w:type="spellEnd"/>
      <w:r w:rsidRPr="00F82F73">
        <w:t xml:space="preserve">, N.; Signal, L.; Bowers, S. A systematic review of persuasive marketing techniques to promote food to children on television. </w:t>
      </w:r>
      <w:proofErr w:type="spellStart"/>
      <w:r w:rsidRPr="00F82F73">
        <w:rPr>
          <w:i/>
        </w:rPr>
        <w:t>Obes</w:t>
      </w:r>
      <w:proofErr w:type="spellEnd"/>
      <w:r w:rsidRPr="00F82F73">
        <w:rPr>
          <w:i/>
        </w:rPr>
        <w:t>. Rev</w:t>
      </w:r>
      <w:r w:rsidRPr="00F82F73">
        <w:t xml:space="preserve">. </w:t>
      </w:r>
      <w:r w:rsidRPr="00F82F73">
        <w:rPr>
          <w:b/>
        </w:rPr>
        <w:t>2014</w:t>
      </w:r>
      <w:r w:rsidRPr="00F82F73">
        <w:t xml:space="preserve">, </w:t>
      </w:r>
      <w:r w:rsidRPr="00F82F73">
        <w:rPr>
          <w:i/>
        </w:rPr>
        <w:t>15</w:t>
      </w:r>
      <w:r w:rsidRPr="00F82F73">
        <w:t xml:space="preserve">, 281–293. </w:t>
      </w:r>
    </w:p>
    <w:p w14:paraId="4C50DA71" w14:textId="77777777" w:rsidR="002C22B4" w:rsidRPr="00F82F73" w:rsidRDefault="002C22B4" w:rsidP="003B5B68">
      <w:pPr>
        <w:pStyle w:val="MDPI71References"/>
        <w:numPr>
          <w:ilvl w:val="0"/>
          <w:numId w:val="1"/>
        </w:numPr>
        <w:ind w:left="425" w:hanging="425"/>
      </w:pPr>
      <w:r w:rsidRPr="00F82F73">
        <w:t xml:space="preserve">Whalen, R.; Harrold, J.; Child, S.; Halford, J.; Boyland, E. Children’s exposure to food advertising: The impact of statutory restrictions. </w:t>
      </w:r>
      <w:r w:rsidRPr="00F82F73">
        <w:rPr>
          <w:i/>
        </w:rPr>
        <w:t xml:space="preserve">Health </w:t>
      </w:r>
      <w:proofErr w:type="spellStart"/>
      <w:r w:rsidRPr="00F82F73">
        <w:rPr>
          <w:i/>
        </w:rPr>
        <w:t>Promot</w:t>
      </w:r>
      <w:proofErr w:type="spellEnd"/>
      <w:r w:rsidRPr="00F82F73">
        <w:rPr>
          <w:i/>
        </w:rPr>
        <w:t>. Int.</w:t>
      </w:r>
      <w:r w:rsidRPr="00F82F73">
        <w:t xml:space="preserve"> </w:t>
      </w:r>
      <w:r w:rsidRPr="00F82F73">
        <w:rPr>
          <w:b/>
        </w:rPr>
        <w:t>2017</w:t>
      </w:r>
      <w:r w:rsidR="00AC00FB">
        <w:t>, doi:10.1093/</w:t>
      </w:r>
      <w:proofErr w:type="spellStart"/>
      <w:r w:rsidR="00AC00FB">
        <w:t>heapro</w:t>
      </w:r>
      <w:proofErr w:type="spellEnd"/>
      <w:r w:rsidR="00AC00FB">
        <w:t>/dax044.</w:t>
      </w:r>
    </w:p>
    <w:p w14:paraId="54D90288" w14:textId="77777777" w:rsidR="002C22B4" w:rsidRPr="00F82F73" w:rsidRDefault="002C22B4" w:rsidP="003B5B68">
      <w:pPr>
        <w:pStyle w:val="MDPI71References"/>
        <w:numPr>
          <w:ilvl w:val="0"/>
          <w:numId w:val="1"/>
        </w:numPr>
        <w:ind w:left="425" w:hanging="425"/>
      </w:pPr>
      <w:proofErr w:type="spellStart"/>
      <w:r w:rsidRPr="00F82F73">
        <w:t>Childwise</w:t>
      </w:r>
      <w:proofErr w:type="spellEnd"/>
      <w:r w:rsidRPr="00F82F73">
        <w:t xml:space="preserve">. </w:t>
      </w:r>
      <w:r w:rsidRPr="00F82F73">
        <w:rPr>
          <w:i/>
        </w:rPr>
        <w:t>Trends in Children’s TV Viewing</w:t>
      </w:r>
      <w:r w:rsidRPr="00F82F73">
        <w:t xml:space="preserve">; Child Wise: Carlton, Australia, 2007. </w:t>
      </w:r>
    </w:p>
    <w:p w14:paraId="24430150" w14:textId="77777777" w:rsidR="002C22B4" w:rsidRPr="00F82F73" w:rsidRDefault="002C22B4" w:rsidP="003B5B68">
      <w:pPr>
        <w:pStyle w:val="MDPI71References"/>
        <w:numPr>
          <w:ilvl w:val="0"/>
          <w:numId w:val="1"/>
        </w:numPr>
        <w:ind w:left="425" w:hanging="425"/>
        <w:rPr>
          <w:szCs w:val="18"/>
        </w:rPr>
      </w:pPr>
      <w:r w:rsidRPr="00F82F73">
        <w:t>Kelly, B.; Halford, J.C.G.; Boyland, E.J.; Chapman, K.; Bautista</w:t>
      </w:r>
      <w:r w:rsidRPr="00F82F73">
        <w:rPr>
          <w:szCs w:val="18"/>
        </w:rPr>
        <w:t>-</w:t>
      </w:r>
      <w:proofErr w:type="spellStart"/>
      <w:r w:rsidRPr="00F82F73">
        <w:rPr>
          <w:szCs w:val="18"/>
        </w:rPr>
        <w:t>Castaño</w:t>
      </w:r>
      <w:proofErr w:type="spellEnd"/>
      <w:r w:rsidRPr="00F82F73">
        <w:rPr>
          <w:szCs w:val="18"/>
        </w:rPr>
        <w:t xml:space="preserve">, I.; Berg, C.; </w:t>
      </w:r>
      <w:proofErr w:type="spellStart"/>
      <w:r w:rsidRPr="00F82F73">
        <w:rPr>
          <w:snapToGrid/>
          <w:szCs w:val="18"/>
          <w:lang w:bidi="ar-SA"/>
        </w:rPr>
        <w:t>Caroli</w:t>
      </w:r>
      <w:proofErr w:type="spellEnd"/>
      <w:r w:rsidRPr="00F82F73">
        <w:rPr>
          <w:snapToGrid/>
          <w:szCs w:val="18"/>
          <w:lang w:bidi="ar-SA"/>
        </w:rPr>
        <w:t xml:space="preserve">, M.; Cook, B.; </w:t>
      </w:r>
      <w:proofErr w:type="spellStart"/>
      <w:r w:rsidRPr="00F82F73">
        <w:rPr>
          <w:snapToGrid/>
          <w:szCs w:val="18"/>
          <w:lang w:bidi="ar-SA"/>
        </w:rPr>
        <w:t>Coutinho</w:t>
      </w:r>
      <w:proofErr w:type="spellEnd"/>
      <w:r w:rsidRPr="00F82F73">
        <w:rPr>
          <w:snapToGrid/>
          <w:szCs w:val="18"/>
          <w:lang w:bidi="ar-SA"/>
        </w:rPr>
        <w:t xml:space="preserve">, J.G.; </w:t>
      </w:r>
      <w:proofErr w:type="spellStart"/>
      <w:r w:rsidRPr="00F82F73">
        <w:rPr>
          <w:snapToGrid/>
          <w:szCs w:val="18"/>
          <w:lang w:bidi="ar-SA"/>
        </w:rPr>
        <w:t>Effertz</w:t>
      </w:r>
      <w:proofErr w:type="spellEnd"/>
      <w:r w:rsidRPr="00F82F73">
        <w:rPr>
          <w:snapToGrid/>
          <w:szCs w:val="18"/>
          <w:lang w:bidi="ar-SA"/>
        </w:rPr>
        <w:t>, T.</w:t>
      </w:r>
      <w:r w:rsidRPr="00F82F73">
        <w:rPr>
          <w:szCs w:val="18"/>
        </w:rPr>
        <w:t xml:space="preserve"> Television food advertising to children: A global perspective. </w:t>
      </w:r>
      <w:r w:rsidRPr="00F82F73">
        <w:rPr>
          <w:i/>
          <w:szCs w:val="18"/>
        </w:rPr>
        <w:t>Am. J. Public Health</w:t>
      </w:r>
      <w:r w:rsidRPr="00F82F73">
        <w:rPr>
          <w:szCs w:val="18"/>
        </w:rPr>
        <w:t xml:space="preserve"> </w:t>
      </w:r>
      <w:r w:rsidRPr="00F82F73">
        <w:rPr>
          <w:b/>
          <w:szCs w:val="18"/>
        </w:rPr>
        <w:t>2010</w:t>
      </w:r>
      <w:r w:rsidRPr="00F82F73">
        <w:rPr>
          <w:szCs w:val="18"/>
        </w:rPr>
        <w:t xml:space="preserve">, </w:t>
      </w:r>
      <w:r w:rsidRPr="00F82F73">
        <w:rPr>
          <w:i/>
          <w:szCs w:val="18"/>
        </w:rPr>
        <w:t>100</w:t>
      </w:r>
      <w:r w:rsidRPr="00F82F73">
        <w:rPr>
          <w:szCs w:val="18"/>
        </w:rPr>
        <w:t xml:space="preserve">, 1730–1736. </w:t>
      </w:r>
    </w:p>
    <w:p w14:paraId="39960EBD" w14:textId="77777777" w:rsidR="002C22B4" w:rsidRPr="00F82F73" w:rsidRDefault="002C22B4" w:rsidP="003B5B68">
      <w:pPr>
        <w:pStyle w:val="MDPI71References"/>
        <w:numPr>
          <w:ilvl w:val="0"/>
          <w:numId w:val="1"/>
        </w:numPr>
        <w:ind w:left="425" w:hanging="425"/>
      </w:pPr>
      <w:r w:rsidRPr="00F82F73">
        <w:t xml:space="preserve">WHO. </w:t>
      </w:r>
      <w:r w:rsidRPr="00F82F73">
        <w:rPr>
          <w:i/>
        </w:rPr>
        <w:t>A Framework for Implementing the Set of Recommendations on the Marketing of Foods and Non-Alcoholic Beverages to Children</w:t>
      </w:r>
      <w:r w:rsidRPr="00F82F73">
        <w:t>; World Heal</w:t>
      </w:r>
      <w:r w:rsidR="00AC00FB">
        <w:t>th</w:t>
      </w:r>
      <w:r w:rsidRPr="00F82F73">
        <w:t xml:space="preserve"> Organization: Geneva, Switzerland, 2012. </w:t>
      </w:r>
    </w:p>
    <w:p w14:paraId="4CC036BC" w14:textId="77777777" w:rsidR="002C22B4" w:rsidRPr="00F82F73" w:rsidRDefault="002C22B4" w:rsidP="003B5B68">
      <w:pPr>
        <w:pStyle w:val="MDPI71References"/>
        <w:numPr>
          <w:ilvl w:val="0"/>
          <w:numId w:val="1"/>
        </w:numPr>
        <w:ind w:left="425" w:hanging="425"/>
      </w:pPr>
      <w:proofErr w:type="spellStart"/>
      <w:r w:rsidRPr="00F82F73">
        <w:t>Castonguay</w:t>
      </w:r>
      <w:proofErr w:type="spellEnd"/>
      <w:r w:rsidRPr="00F82F73">
        <w:t xml:space="preserve">, J. Sugar and Sports: Age Differences in Children’s Responses to a High Sugar Cereal Advertisement Portraying Physical Activities. </w:t>
      </w:r>
      <w:proofErr w:type="spellStart"/>
      <w:r w:rsidRPr="00F82F73">
        <w:rPr>
          <w:i/>
        </w:rPr>
        <w:t>Commun</w:t>
      </w:r>
      <w:proofErr w:type="spellEnd"/>
      <w:r w:rsidRPr="00F82F73">
        <w:rPr>
          <w:i/>
        </w:rPr>
        <w:t>. Res.</w:t>
      </w:r>
      <w:r w:rsidRPr="00F82F73">
        <w:t xml:space="preserve"> </w:t>
      </w:r>
      <w:r w:rsidRPr="00F82F73">
        <w:rPr>
          <w:b/>
        </w:rPr>
        <w:t>2015</w:t>
      </w:r>
      <w:r w:rsidRPr="00F82F73">
        <w:t xml:space="preserve">, doi:10.1177/0093650215587357. </w:t>
      </w:r>
    </w:p>
    <w:p w14:paraId="0500AE7B" w14:textId="77777777" w:rsidR="002C22B4" w:rsidRPr="00F82F73" w:rsidRDefault="002C22B4" w:rsidP="003B5B68">
      <w:pPr>
        <w:pStyle w:val="MDPI71References"/>
        <w:numPr>
          <w:ilvl w:val="0"/>
          <w:numId w:val="1"/>
        </w:numPr>
        <w:ind w:left="425" w:hanging="425"/>
      </w:pPr>
      <w:proofErr w:type="spellStart"/>
      <w:r w:rsidRPr="00F82F73">
        <w:t>Kolish</w:t>
      </w:r>
      <w:proofErr w:type="spellEnd"/>
      <w:r w:rsidRPr="00F82F73">
        <w:t xml:space="preserve">, E.D.; Peeler, D.L. Changing the </w:t>
      </w:r>
      <w:r w:rsidR="00AC00FB" w:rsidRPr="00F82F73">
        <w:t xml:space="preserve">Landscape </w:t>
      </w:r>
      <w:r w:rsidRPr="00F82F73">
        <w:t xml:space="preserve">of </w:t>
      </w:r>
      <w:r w:rsidR="00AC00FB" w:rsidRPr="00F82F73">
        <w:t xml:space="preserve">Food </w:t>
      </w:r>
      <w:r w:rsidRPr="00F82F73">
        <w:t xml:space="preserve">and </w:t>
      </w:r>
      <w:r w:rsidR="00AC00FB" w:rsidRPr="00F82F73">
        <w:t>Beverage Advertising</w:t>
      </w:r>
      <w:r w:rsidRPr="00F82F73">
        <w:t xml:space="preserve">: The </w:t>
      </w:r>
      <w:r w:rsidR="00AC00FB" w:rsidRPr="00F82F73">
        <w:t xml:space="preserve">Children’s Food </w:t>
      </w:r>
      <w:r w:rsidRPr="00F82F73">
        <w:t xml:space="preserve">and </w:t>
      </w:r>
      <w:r w:rsidR="00AC00FB" w:rsidRPr="00F82F73">
        <w:t xml:space="preserve">Beverage Advertising Initiative </w:t>
      </w:r>
      <w:r w:rsidRPr="00F82F73">
        <w:t xml:space="preserve">in </w:t>
      </w:r>
      <w:r w:rsidR="00AC00FB" w:rsidRPr="00F82F73">
        <w:t>Action</w:t>
      </w:r>
      <w:r w:rsidRPr="00F82F73">
        <w:t xml:space="preserve">. </w:t>
      </w:r>
      <w:r w:rsidRPr="00AC00FB">
        <w:t>2008</w:t>
      </w:r>
      <w:r w:rsidRPr="00F82F73">
        <w:t>. Available online: http://www.bbb.org/us/storage/16/documents/CFBAI/ChildrenF&amp;BInit_Sept21.pdf (accessed on 21 July 2017).</w:t>
      </w:r>
    </w:p>
    <w:p w14:paraId="0632528B" w14:textId="77777777" w:rsidR="002C22B4" w:rsidRPr="00F82F73" w:rsidRDefault="002C22B4" w:rsidP="003B5B68">
      <w:pPr>
        <w:pStyle w:val="MDPI71References"/>
        <w:numPr>
          <w:ilvl w:val="0"/>
          <w:numId w:val="1"/>
        </w:numPr>
        <w:ind w:left="425" w:hanging="425"/>
      </w:pPr>
      <w:proofErr w:type="spellStart"/>
      <w:r w:rsidRPr="00F82F73">
        <w:t>O’dea</w:t>
      </w:r>
      <w:proofErr w:type="spellEnd"/>
      <w:r w:rsidRPr="00F82F73">
        <w:t xml:space="preserve">, J.A. Why do kids eat healthful food? Perceived benefits of and barriers to healthful eating and physical activity among children and adolescents. </w:t>
      </w:r>
      <w:r w:rsidRPr="00F82F73">
        <w:rPr>
          <w:i/>
        </w:rPr>
        <w:t>J. Am. Diet. Assoc.</w:t>
      </w:r>
      <w:r w:rsidRPr="00F82F73">
        <w:t xml:space="preserve"> </w:t>
      </w:r>
      <w:r w:rsidRPr="00F82F73">
        <w:rPr>
          <w:b/>
        </w:rPr>
        <w:t>2003</w:t>
      </w:r>
      <w:r w:rsidRPr="00F82F73">
        <w:t xml:space="preserve">, </w:t>
      </w:r>
      <w:r w:rsidRPr="00F82F73">
        <w:rPr>
          <w:i/>
        </w:rPr>
        <w:t>103</w:t>
      </w:r>
      <w:r w:rsidRPr="00F82F73">
        <w:t xml:space="preserve">, 497–501. </w:t>
      </w:r>
    </w:p>
    <w:p w14:paraId="53955844" w14:textId="77777777" w:rsidR="002C22B4" w:rsidRPr="00F82F73" w:rsidRDefault="002C22B4" w:rsidP="003B5B68">
      <w:pPr>
        <w:pStyle w:val="MDPI71References"/>
        <w:numPr>
          <w:ilvl w:val="0"/>
          <w:numId w:val="1"/>
        </w:numPr>
        <w:ind w:left="425" w:hanging="425"/>
      </w:pPr>
      <w:proofErr w:type="spellStart"/>
      <w:r w:rsidRPr="00F82F73">
        <w:t>Kandiah</w:t>
      </w:r>
      <w:proofErr w:type="spellEnd"/>
      <w:r w:rsidRPr="00F82F73">
        <w:t xml:space="preserve">, J.; Jones, C. Nutrition Knowledge and Food Choices of Elementary School Children. </w:t>
      </w:r>
      <w:r w:rsidRPr="00F82F73">
        <w:rPr>
          <w:i/>
        </w:rPr>
        <w:t>Early Child Dev. Care</w:t>
      </w:r>
      <w:r w:rsidRPr="00F82F73">
        <w:t xml:space="preserve"> </w:t>
      </w:r>
      <w:r w:rsidRPr="00F82F73">
        <w:rPr>
          <w:b/>
        </w:rPr>
        <w:t>2002</w:t>
      </w:r>
      <w:r w:rsidRPr="00F82F73">
        <w:t xml:space="preserve">, </w:t>
      </w:r>
      <w:r w:rsidRPr="00F82F73">
        <w:rPr>
          <w:i/>
        </w:rPr>
        <w:t>172</w:t>
      </w:r>
      <w:r w:rsidR="005B52E8">
        <w:t>, 269–273.</w:t>
      </w:r>
    </w:p>
    <w:p w14:paraId="23680444" w14:textId="77777777" w:rsidR="002C22B4" w:rsidRPr="00F82F73" w:rsidRDefault="002C22B4" w:rsidP="003B5B68">
      <w:pPr>
        <w:pStyle w:val="MDPI71References"/>
        <w:numPr>
          <w:ilvl w:val="0"/>
          <w:numId w:val="1"/>
        </w:numPr>
        <w:ind w:left="425" w:hanging="425"/>
      </w:pPr>
      <w:r w:rsidRPr="00F82F73">
        <w:t xml:space="preserve">Kaur, A.; Scarborough, P.; Matthews, A.; Payne, S.; </w:t>
      </w:r>
      <w:proofErr w:type="spellStart"/>
      <w:r w:rsidRPr="00F82F73">
        <w:t>Mizdrak</w:t>
      </w:r>
      <w:proofErr w:type="spellEnd"/>
      <w:r w:rsidRPr="00F82F73">
        <w:t xml:space="preserve">, A.; Rayner, M. How many foods in the UK carry health and nutrition claims, and are they healthier than those that do not? </w:t>
      </w:r>
      <w:r w:rsidRPr="00F82F73">
        <w:rPr>
          <w:i/>
        </w:rPr>
        <w:t xml:space="preserve">Public Health </w:t>
      </w:r>
      <w:proofErr w:type="spellStart"/>
      <w:r w:rsidRPr="00F82F73">
        <w:rPr>
          <w:i/>
        </w:rPr>
        <w:t>Nutr</w:t>
      </w:r>
      <w:proofErr w:type="spellEnd"/>
      <w:r w:rsidRPr="00F82F73">
        <w:rPr>
          <w:i/>
        </w:rPr>
        <w:t xml:space="preserve">. </w:t>
      </w:r>
      <w:r w:rsidRPr="00F82F73">
        <w:rPr>
          <w:b/>
        </w:rPr>
        <w:t>2016</w:t>
      </w:r>
      <w:r w:rsidRPr="00F82F73">
        <w:t xml:space="preserve">, </w:t>
      </w:r>
      <w:r w:rsidRPr="00F82F73">
        <w:rPr>
          <w:i/>
        </w:rPr>
        <w:t>19</w:t>
      </w:r>
      <w:r w:rsidRPr="00F82F73">
        <w:t xml:space="preserve">, 988–997. </w:t>
      </w:r>
    </w:p>
    <w:p w14:paraId="68787D31" w14:textId="77777777" w:rsidR="002C22B4" w:rsidRPr="00F82F73" w:rsidRDefault="002C22B4" w:rsidP="003B5B68">
      <w:pPr>
        <w:pStyle w:val="MDPI71References"/>
        <w:numPr>
          <w:ilvl w:val="0"/>
          <w:numId w:val="1"/>
        </w:numPr>
        <w:ind w:left="425" w:hanging="425"/>
      </w:pPr>
      <w:r w:rsidRPr="00F82F73">
        <w:lastRenderedPageBreak/>
        <w:t xml:space="preserve">Sixsmith, R.; Furnham, A. A content analysis of British food advertisements aimed at children and adults. </w:t>
      </w:r>
      <w:r w:rsidRPr="00F82F73">
        <w:rPr>
          <w:i/>
        </w:rPr>
        <w:t xml:space="preserve">Health </w:t>
      </w:r>
      <w:proofErr w:type="spellStart"/>
      <w:r w:rsidRPr="00F82F73">
        <w:rPr>
          <w:i/>
        </w:rPr>
        <w:t>Promot</w:t>
      </w:r>
      <w:proofErr w:type="spellEnd"/>
      <w:r w:rsidRPr="00F82F73">
        <w:rPr>
          <w:i/>
        </w:rPr>
        <w:t>. Int</w:t>
      </w:r>
      <w:r w:rsidRPr="00F82F73">
        <w:t xml:space="preserve">. </w:t>
      </w:r>
      <w:r w:rsidRPr="00F82F73">
        <w:rPr>
          <w:b/>
        </w:rPr>
        <w:t>2010</w:t>
      </w:r>
      <w:r w:rsidRPr="00F82F73">
        <w:t xml:space="preserve">, </w:t>
      </w:r>
      <w:r w:rsidRPr="00F82F73">
        <w:rPr>
          <w:i/>
        </w:rPr>
        <w:t>25</w:t>
      </w:r>
      <w:r w:rsidRPr="00F82F73">
        <w:t>, 24–32</w:t>
      </w:r>
      <w:r w:rsidR="005B52E8">
        <w:t>.</w:t>
      </w:r>
    </w:p>
    <w:p w14:paraId="7167AE7E" w14:textId="77777777" w:rsidR="002C22B4" w:rsidRPr="00F82F73" w:rsidRDefault="002C22B4" w:rsidP="003B5B68">
      <w:pPr>
        <w:pStyle w:val="MDPI71References"/>
        <w:numPr>
          <w:ilvl w:val="0"/>
          <w:numId w:val="1"/>
        </w:numPr>
        <w:ind w:left="425" w:hanging="425"/>
      </w:pPr>
      <w:r w:rsidRPr="00F82F73">
        <w:t>Boyland, E.J.; Kavanagh-</w:t>
      </w:r>
      <w:proofErr w:type="spellStart"/>
      <w:r w:rsidRPr="00F82F73">
        <w:t>Safran</w:t>
      </w:r>
      <w:proofErr w:type="spellEnd"/>
      <w:r w:rsidRPr="00F82F73">
        <w:t xml:space="preserve">, M.; Halford, J.C.G. Exposure to “healthy” fast food meal bundles in television advertisements promotes liking for fast food but not healthier choices in children. </w:t>
      </w:r>
      <w:r w:rsidRPr="00F82F73">
        <w:rPr>
          <w:i/>
        </w:rPr>
        <w:t xml:space="preserve">Br. J. </w:t>
      </w:r>
      <w:proofErr w:type="spellStart"/>
      <w:r w:rsidRPr="00F82F73">
        <w:rPr>
          <w:i/>
        </w:rPr>
        <w:t>Nutr</w:t>
      </w:r>
      <w:proofErr w:type="spellEnd"/>
      <w:r w:rsidRPr="00F82F73">
        <w:rPr>
          <w:i/>
        </w:rPr>
        <w:t>.</w:t>
      </w:r>
      <w:r w:rsidRPr="00F82F73">
        <w:t xml:space="preserve"> </w:t>
      </w:r>
      <w:r w:rsidRPr="00F82F73">
        <w:rPr>
          <w:b/>
        </w:rPr>
        <w:t>2015</w:t>
      </w:r>
      <w:r w:rsidRPr="00F82F73">
        <w:t xml:space="preserve">, </w:t>
      </w:r>
      <w:r w:rsidRPr="00F82F73">
        <w:rPr>
          <w:i/>
        </w:rPr>
        <w:t>113</w:t>
      </w:r>
      <w:r w:rsidRPr="00F82F73">
        <w:t xml:space="preserve">, 1012–1018. </w:t>
      </w:r>
    </w:p>
    <w:p w14:paraId="319E14FB" w14:textId="77777777" w:rsidR="002C22B4" w:rsidRPr="00F82F73" w:rsidRDefault="002C22B4" w:rsidP="003B5B68">
      <w:pPr>
        <w:pStyle w:val="MDPI71References"/>
        <w:numPr>
          <w:ilvl w:val="0"/>
          <w:numId w:val="1"/>
        </w:numPr>
        <w:ind w:left="425" w:hanging="425"/>
      </w:pPr>
      <w:r w:rsidRPr="00F82F73">
        <w:t xml:space="preserve">Heller, R.; Martin-Biggers, J.; </w:t>
      </w:r>
      <w:proofErr w:type="spellStart"/>
      <w:r w:rsidRPr="00F82F73">
        <w:t>Berhaupt-Glickstein</w:t>
      </w:r>
      <w:proofErr w:type="spellEnd"/>
      <w:r w:rsidRPr="00F82F73">
        <w:t>, A.; Quick, V.; Byrd-</w:t>
      </w:r>
      <w:proofErr w:type="spellStart"/>
      <w:r w:rsidRPr="00F82F73">
        <w:t>Bredbenner</w:t>
      </w:r>
      <w:proofErr w:type="spellEnd"/>
      <w:r w:rsidRPr="00F82F73">
        <w:t xml:space="preserve">, C. Fruit-related terms and images on food packages and advertisements affect children’s perceptions of foods’ fruit content. </w:t>
      </w:r>
      <w:r w:rsidRPr="00F82F73">
        <w:rPr>
          <w:i/>
        </w:rPr>
        <w:t xml:space="preserve">Public Health </w:t>
      </w:r>
      <w:proofErr w:type="spellStart"/>
      <w:r w:rsidRPr="00F82F73">
        <w:rPr>
          <w:i/>
        </w:rPr>
        <w:t>Nutr</w:t>
      </w:r>
      <w:proofErr w:type="spellEnd"/>
      <w:r w:rsidRPr="00F82F73">
        <w:t xml:space="preserve">. </w:t>
      </w:r>
      <w:r w:rsidRPr="00F82F73">
        <w:rPr>
          <w:b/>
        </w:rPr>
        <w:t>2015</w:t>
      </w:r>
      <w:r w:rsidRPr="00F82F73">
        <w:t xml:space="preserve">, </w:t>
      </w:r>
      <w:r w:rsidRPr="00F82F73">
        <w:rPr>
          <w:i/>
        </w:rPr>
        <w:t>18</w:t>
      </w:r>
      <w:r w:rsidRPr="00F82F73">
        <w:t xml:space="preserve">, 2722–2728. </w:t>
      </w:r>
      <w:r w:rsidRPr="00F82F73">
        <w:rPr>
          <w:b/>
        </w:rPr>
        <w:fldChar w:fldCharType="begin" w:fldLock="1"/>
      </w:r>
      <w:r w:rsidRPr="00F82F73">
        <w:instrText xml:space="preserve">ADDIN Mendeley Bibliography CSL_BIBLIOGRAPHY </w:instrText>
      </w:r>
      <w:r w:rsidRPr="00F82F73">
        <w:rPr>
          <w:b/>
        </w:rPr>
        <w:fldChar w:fldCharType="separate"/>
      </w:r>
    </w:p>
    <w:p w14:paraId="1897A8BE" w14:textId="77777777" w:rsidR="002C22B4" w:rsidRPr="00F82F73" w:rsidRDefault="002C22B4" w:rsidP="003B5B68">
      <w:pPr>
        <w:adjustRightInd w:val="0"/>
        <w:snapToGrid w:val="0"/>
        <w:spacing w:before="240" w:line="260" w:lineRule="atLeast"/>
        <w:rPr>
          <w:rFonts w:ascii="Palatino Linotype" w:eastAsiaTheme="minorEastAsia" w:hAnsi="Palatino Linotype"/>
          <w:sz w:val="18"/>
        </w:rPr>
      </w:pPr>
      <w:r w:rsidRPr="00F82F73">
        <w:rPr>
          <w:rFonts w:ascii="Palatino Linotype" w:hAnsi="Palatino Linotype"/>
          <w:noProof/>
          <w:snapToGrid w:val="0"/>
          <w:sz w:val="18"/>
          <w:szCs w:val="18"/>
          <w:lang w:val="en-GB" w:eastAsia="en-GB"/>
        </w:rPr>
        <w:drawing>
          <wp:anchor distT="0" distB="0" distL="114300" distR="114300" simplePos="0" relativeHeight="251659264" behindDoc="1" locked="0" layoutInCell="1" allowOverlap="1" wp14:anchorId="3666E544" wp14:editId="2476213F">
            <wp:simplePos x="0" y="0"/>
            <wp:positionH relativeFrom="margin">
              <wp:align>left</wp:align>
            </wp:positionH>
            <wp:positionV relativeFrom="paragraph">
              <wp:posOffset>224790</wp:posOffset>
            </wp:positionV>
            <wp:extent cx="1000800" cy="360000"/>
            <wp:effectExtent l="0" t="0" r="0" b="2540"/>
            <wp:wrapTight wrapText="bothSides">
              <wp:wrapPolygon edited="0">
                <wp:start x="0" y="0"/>
                <wp:lineTo x="0" y="20608"/>
                <wp:lineTo x="20970" y="20608"/>
                <wp:lineTo x="20970"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F82F73">
        <w:fldChar w:fldCharType="end"/>
      </w:r>
      <w:bookmarkStart w:id="2" w:name="OLE_LINK3"/>
      <w:bookmarkStart w:id="3" w:name="_Hlk506802534"/>
      <w:r w:rsidRPr="00F82F73">
        <w:rPr>
          <w:rFonts w:ascii="Palatino Linotype" w:hAnsi="Palatino Linotype"/>
          <w:snapToGrid w:val="0"/>
          <w:sz w:val="18"/>
          <w:szCs w:val="18"/>
          <w:lang w:bidi="en-US"/>
        </w:rPr>
        <w:t>©</w:t>
      </w:r>
      <w:bookmarkEnd w:id="2"/>
      <w:r w:rsidRPr="00F82F73">
        <w:rPr>
          <w:rFonts w:ascii="Palatino Linotype" w:hAnsi="Palatino Linotype"/>
          <w:snapToGrid w:val="0"/>
          <w:sz w:val="18"/>
          <w:szCs w:val="18"/>
          <w:lang w:bidi="en-US"/>
        </w:rPr>
        <w:t xml:space="preserve"> 2018 by the authors. Licensee MDPI, Basel, Switzerland. This article is an open access article distributed under the terms and conditions of the Creative Commons Attribution (CC BY) license (http://creativecommons.org/licenses/by/4.0/).</w:t>
      </w:r>
      <w:bookmarkEnd w:id="3"/>
    </w:p>
    <w:p w14:paraId="0D314669" w14:textId="77777777" w:rsidR="00A01504" w:rsidRPr="00F82F73" w:rsidRDefault="00A01504" w:rsidP="003B5B68">
      <w:pPr>
        <w:adjustRightInd w:val="0"/>
        <w:snapToGrid w:val="0"/>
        <w:rPr>
          <w:rFonts w:eastAsiaTheme="minorEastAsia"/>
        </w:rPr>
      </w:pPr>
    </w:p>
    <w:sectPr w:rsidR="00A01504" w:rsidRPr="00F82F73" w:rsidSect="009B6E2B">
      <w:headerReference w:type="even" r:id="rId14"/>
      <w:headerReference w:type="default" r:id="rId15"/>
      <w:footerReference w:type="default" r:id="rId16"/>
      <w:headerReference w:type="first" r:id="rId17"/>
      <w:footerReference w:type="first" r:id="rId18"/>
      <w:type w:val="continuous"/>
      <w:pgSz w:w="11906" w:h="16838" w:code="9"/>
      <w:pgMar w:top="1417" w:right="1531" w:bottom="1077" w:left="1531" w:header="1020" w:footer="850" w:gutter="0"/>
      <w:pgNumType w:start="1"/>
      <w:cols w:space="425"/>
      <w:titlePg/>
      <w:docGrid w:type="lines"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3529B" w15:done="0"/>
  <w15:commentEx w15:paraId="7204DCF2" w15:done="0"/>
  <w15:commentEx w15:paraId="3F9D2B8C" w15:done="0"/>
  <w15:commentEx w15:paraId="0B9C68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3529B" w16cid:durableId="1E561C9D"/>
  <w16cid:commentId w16cid:paraId="7204DCF2" w16cid:durableId="1E561AAA"/>
  <w16cid:commentId w16cid:paraId="3F9D2B8C" w16cid:durableId="1E561B0B"/>
  <w16cid:commentId w16cid:paraId="0B9C689D" w16cid:durableId="1E561B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F219B" w14:textId="77777777" w:rsidR="00C257B1" w:rsidRDefault="00C257B1" w:rsidP="00C1340D">
      <w:r>
        <w:separator/>
      </w:r>
    </w:p>
  </w:endnote>
  <w:endnote w:type="continuationSeparator" w:id="0">
    <w:p w14:paraId="031DBAD4" w14:textId="77777777" w:rsidR="00C257B1" w:rsidRDefault="00C257B1"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D5AC" w14:textId="77777777" w:rsidR="00E00DBA" w:rsidRPr="00590BF9" w:rsidRDefault="00E00DBA" w:rsidP="00590BF9">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17389558"/>
      <w:docPartObj>
        <w:docPartGallery w:val="Page Numbers (Top of Page)"/>
        <w:docPartUnique/>
      </w:docPartObj>
    </w:sdtPr>
    <w:sdtEndPr>
      <w:rPr>
        <w:i w:val="0"/>
      </w:rPr>
    </w:sdtEndPr>
    <w:sdtContent>
      <w:p w14:paraId="56E8A580" w14:textId="77777777" w:rsidR="00E00DBA" w:rsidRPr="008B308E" w:rsidRDefault="00E00DBA" w:rsidP="00EA1763">
        <w:pPr>
          <w:pStyle w:val="MDPIfooterfirstpage"/>
          <w:spacing w:line="240" w:lineRule="auto"/>
          <w:jc w:val="both"/>
          <w:rPr>
            <w:lang w:val="fr-CH"/>
          </w:rPr>
        </w:pPr>
        <w:r w:rsidRPr="009231ED">
          <w:rPr>
            <w:i/>
            <w:szCs w:val="16"/>
          </w:rPr>
          <w:t>Int. J. Environ. Res. Public Health</w:t>
        </w:r>
        <w:r w:rsidRPr="009231ED">
          <w:rPr>
            <w:szCs w:val="16"/>
          </w:rPr>
          <w:t xml:space="preserve"> </w:t>
        </w:r>
        <w:r>
          <w:rPr>
            <w:b/>
            <w:szCs w:val="16"/>
          </w:rPr>
          <w:t>2018</w:t>
        </w:r>
        <w:r w:rsidRPr="009231ED">
          <w:rPr>
            <w:szCs w:val="16"/>
          </w:rPr>
          <w:t xml:space="preserve">, </w:t>
        </w:r>
        <w:r>
          <w:rPr>
            <w:i/>
            <w:szCs w:val="16"/>
          </w:rPr>
          <w:t>15</w:t>
        </w:r>
        <w:r w:rsidRPr="009231ED">
          <w:rPr>
            <w:szCs w:val="16"/>
          </w:rPr>
          <w:t>,</w:t>
        </w:r>
        <w:r w:rsidRPr="00FB75B2">
          <w:rPr>
            <w:iCs/>
            <w:szCs w:val="16"/>
          </w:rPr>
          <w:t xml:space="preserve"> </w:t>
        </w:r>
        <w:r>
          <w:rPr>
            <w:lang w:val="fr-CH"/>
          </w:rPr>
          <w:t>x</w:t>
        </w:r>
        <w:r w:rsidRPr="008B308E">
          <w:rPr>
            <w:lang w:val="fr-CH"/>
          </w:rPr>
          <w:t xml:space="preserve">; </w:t>
        </w:r>
        <w:proofErr w:type="spellStart"/>
        <w:r w:rsidRPr="008B308E">
          <w:rPr>
            <w:lang w:val="fr-CH"/>
          </w:rPr>
          <w:t>doi</w:t>
        </w:r>
        <w:proofErr w:type="spellEnd"/>
        <w:r w:rsidRPr="008B308E">
          <w:rPr>
            <w:lang w:val="fr-CH"/>
          </w:rPr>
          <w:t>:</w:t>
        </w:r>
        <w:r>
          <w:rPr>
            <w:lang w:val="fr-CH"/>
          </w:rPr>
          <w:t xml:space="preserve"> </w:t>
        </w:r>
        <w:r w:rsidRPr="00C7178D">
          <w:rPr>
            <w:rFonts w:eastAsiaTheme="minorEastAsia"/>
            <w:szCs w:val="16"/>
            <w:lang w:eastAsia="zh-CN"/>
          </w:rPr>
          <w:t>FOR PEER REVIEW</w:t>
        </w:r>
        <w:r>
          <w:rPr>
            <w:rFonts w:eastAsiaTheme="minorEastAsia"/>
            <w:szCs w:val="16"/>
            <w:lang w:eastAsia="zh-CN"/>
          </w:rPr>
          <w:t xml:space="preserve"> </w:t>
        </w:r>
        <w:r w:rsidRPr="008B308E">
          <w:rPr>
            <w:lang w:val="fr-CH"/>
          </w:rPr>
          <w:tab/>
          <w:t>www.mdpi.com/journal/</w:t>
        </w:r>
        <w:proofErr w:type="spellStart"/>
        <w:r>
          <w:t>ijerph</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081F6" w14:textId="77777777" w:rsidR="00C257B1" w:rsidRDefault="00C257B1" w:rsidP="00C1340D">
      <w:r>
        <w:separator/>
      </w:r>
    </w:p>
  </w:footnote>
  <w:footnote w:type="continuationSeparator" w:id="0">
    <w:p w14:paraId="25319491" w14:textId="77777777" w:rsidR="00C257B1" w:rsidRDefault="00C257B1"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A245" w14:textId="77777777" w:rsidR="00E00DBA" w:rsidRDefault="00E00DBA"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672ED" w14:textId="77777777" w:rsidR="00E00DBA" w:rsidRPr="00305CED" w:rsidRDefault="00E00DBA" w:rsidP="00305CED">
    <w:pPr>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15</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9D07D7">
      <w:rPr>
        <w:rFonts w:ascii="Palatino Linotype" w:hAnsi="Palatino Linotype"/>
        <w:noProof/>
        <w:sz w:val="16"/>
      </w:rPr>
      <w:t>10</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9D07D7">
      <w:rPr>
        <w:rFonts w:ascii="Palatino Linotype" w:hAnsi="Palatino Linotype"/>
        <w:noProof/>
        <w:sz w:val="16"/>
      </w:rPr>
      <w:t>10</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4074" w14:textId="77777777" w:rsidR="00E00DBA" w:rsidRDefault="00E00DBA" w:rsidP="008810B3">
    <w:pPr>
      <w:pStyle w:val="MDPIheaderjournallogo"/>
    </w:pPr>
    <w:r>
      <w:rPr>
        <w:i w:val="0"/>
        <w:noProof/>
        <w:szCs w:val="16"/>
        <w:lang w:val="en-GB" w:eastAsia="en-GB"/>
      </w:rPr>
      <mc:AlternateContent>
        <mc:Choice Requires="wps">
          <w:drawing>
            <wp:anchor distT="45720" distB="45720" distL="114300" distR="114300" simplePos="0" relativeHeight="251657728" behindDoc="1" locked="0" layoutInCell="1" allowOverlap="1" wp14:anchorId="6CE97131" wp14:editId="52A84635">
              <wp:simplePos x="0" y="0"/>
              <wp:positionH relativeFrom="rightMargin">
                <wp:posOffset>-558165</wp:posOffset>
              </wp:positionH>
              <wp:positionV relativeFrom="paragraph">
                <wp:posOffset>0</wp:posOffset>
              </wp:positionV>
              <wp:extent cx="55308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709295"/>
                      </a:xfrm>
                      <a:prstGeom prst="rect">
                        <a:avLst/>
                      </a:prstGeom>
                      <a:solidFill>
                        <a:srgbClr val="FFFFFF"/>
                      </a:solidFill>
                      <a:ln w="9525">
                        <a:noFill/>
                        <a:miter lim="800000"/>
                        <a:headEnd/>
                        <a:tailEnd/>
                      </a:ln>
                    </wps:spPr>
                    <wps:txbx>
                      <w:txbxContent>
                        <w:p w14:paraId="02AE3949" w14:textId="77777777" w:rsidR="00E00DBA" w:rsidRDefault="00E00DBA" w:rsidP="00E00DBA">
                          <w:pPr>
                            <w:pStyle w:val="MDPIheaderjournallogo"/>
                            <w:jc w:val="center"/>
                            <w:textboxTightWrap w:val="allLines"/>
                            <w:rPr>
                              <w:i w:val="0"/>
                              <w:szCs w:val="16"/>
                            </w:rPr>
                          </w:pPr>
                          <w:r w:rsidRPr="00B11CEA">
                            <w:rPr>
                              <w:i w:val="0"/>
                              <w:noProof/>
                              <w:szCs w:val="16"/>
                              <w:lang w:val="en-GB" w:eastAsia="en-GB"/>
                            </w:rPr>
                            <w:drawing>
                              <wp:inline distT="0" distB="0" distL="0" distR="0" wp14:anchorId="3B8A4CDD" wp14:editId="43B39E64">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E97131" id="_x0000_t202" coordsize="21600,21600" o:spt="202" path="m,l,21600r21600,l21600,xe">
              <v:stroke joinstyle="miter"/>
              <v:path gradientshapeok="t" o:connecttype="rect"/>
            </v:shapetype>
            <v:shape id="Text Box 2" o:spid="_x0000_s1026" type="#_x0000_t202" style="position:absolute;margin-left:-43.95pt;margin-top:0;width:43.5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" stroked="f">
              <v:textbox inset="0,0,0,0">
                <w:txbxContent>
                  <w:p w14:paraId="02AE3949" w14:textId="77777777" w:rsidR="00E00DBA" w:rsidRDefault="00E00DBA" w:rsidP="00E00DBA">
                    <w:pPr>
                      <w:pStyle w:val="MDPIheaderjournallogo"/>
                      <w:jc w:val="center"/>
                      <w:textboxTightWrap w:val="allLines"/>
                      <w:rPr>
                        <w:i w:val="0"/>
                        <w:szCs w:val="16"/>
                      </w:rPr>
                    </w:pPr>
                    <w:r w:rsidRPr="00B11CEA">
                      <w:rPr>
                        <w:i w:val="0"/>
                        <w:noProof/>
                        <w:szCs w:val="16"/>
                        <w:lang w:eastAsia="zh-CN"/>
                      </w:rPr>
                      <w:drawing>
                        <wp:inline distT="0" distB="0" distL="0" distR="0" wp14:anchorId="3B8A4CDD" wp14:editId="43B39E64">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n-GB" w:eastAsia="en-GB"/>
      </w:rPr>
      <w:drawing>
        <wp:inline distT="0" distB="0" distL="0" distR="0" wp14:anchorId="1C9A3E31" wp14:editId="64509698">
          <wp:extent cx="1830736" cy="432000"/>
          <wp:effectExtent l="0" t="0" r="0" b="6350"/>
          <wp:docPr id="3"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0736"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 w:numId="3">
    <w:abstractNumId w:val="2"/>
  </w:num>
  <w:num w:numId="4">
    <w:abstractNumId w:val="0"/>
  </w:num>
  <w:num w:numId="5">
    <w:abstractNumId w:val="4"/>
  </w:num>
  <w:num w:numId="6">
    <w:abstractNumId w:val="5"/>
  </w:num>
  <w:num w:numId="7">
    <w:abstractNumId w:val="3"/>
  </w:num>
  <w:num w:numId="8">
    <w:abstractNumId w:val="4"/>
  </w:num>
  <w:num w:numId="9">
    <w:abstractNumId w:val="5"/>
  </w:num>
  <w:num w:numId="10">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Ruiz">
    <w15:presenceInfo w15:providerId="Windows Live" w15:userId="e94bc0aa91faf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B4"/>
    <w:rsid w:val="00000637"/>
    <w:rsid w:val="000006F8"/>
    <w:rsid w:val="00004544"/>
    <w:rsid w:val="000046B6"/>
    <w:rsid w:val="00004BA7"/>
    <w:rsid w:val="00005FC2"/>
    <w:rsid w:val="0001018B"/>
    <w:rsid w:val="00011BC3"/>
    <w:rsid w:val="0001283B"/>
    <w:rsid w:val="0002090C"/>
    <w:rsid w:val="00024621"/>
    <w:rsid w:val="0002467B"/>
    <w:rsid w:val="00025A91"/>
    <w:rsid w:val="00025C56"/>
    <w:rsid w:val="000319B8"/>
    <w:rsid w:val="0003351A"/>
    <w:rsid w:val="00034840"/>
    <w:rsid w:val="00034BF8"/>
    <w:rsid w:val="000361F7"/>
    <w:rsid w:val="00037CEA"/>
    <w:rsid w:val="00037F00"/>
    <w:rsid w:val="00041A10"/>
    <w:rsid w:val="0004245C"/>
    <w:rsid w:val="00042C12"/>
    <w:rsid w:val="000439F3"/>
    <w:rsid w:val="00043F91"/>
    <w:rsid w:val="00044417"/>
    <w:rsid w:val="0004473F"/>
    <w:rsid w:val="00045898"/>
    <w:rsid w:val="00046FE3"/>
    <w:rsid w:val="00050716"/>
    <w:rsid w:val="00050C65"/>
    <w:rsid w:val="000520E3"/>
    <w:rsid w:val="000551E0"/>
    <w:rsid w:val="000554E4"/>
    <w:rsid w:val="000562B9"/>
    <w:rsid w:val="00056DBB"/>
    <w:rsid w:val="000578BD"/>
    <w:rsid w:val="000602E4"/>
    <w:rsid w:val="000605CD"/>
    <w:rsid w:val="00063A6A"/>
    <w:rsid w:val="0006467F"/>
    <w:rsid w:val="00066489"/>
    <w:rsid w:val="000668DA"/>
    <w:rsid w:val="00071D03"/>
    <w:rsid w:val="00073BD9"/>
    <w:rsid w:val="00077A9D"/>
    <w:rsid w:val="00077B09"/>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344"/>
    <w:rsid w:val="000D2842"/>
    <w:rsid w:val="000D2F06"/>
    <w:rsid w:val="000D5554"/>
    <w:rsid w:val="000E08FD"/>
    <w:rsid w:val="000E35FE"/>
    <w:rsid w:val="000E37D1"/>
    <w:rsid w:val="000E7A5D"/>
    <w:rsid w:val="000F0E85"/>
    <w:rsid w:val="000F0F9F"/>
    <w:rsid w:val="000F4E0E"/>
    <w:rsid w:val="00100B2F"/>
    <w:rsid w:val="00100FE2"/>
    <w:rsid w:val="00103634"/>
    <w:rsid w:val="00106E32"/>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3BB8"/>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1E12"/>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1E28"/>
    <w:rsid w:val="002021CF"/>
    <w:rsid w:val="002026F5"/>
    <w:rsid w:val="00206B4D"/>
    <w:rsid w:val="0021202D"/>
    <w:rsid w:val="00214190"/>
    <w:rsid w:val="00216FA9"/>
    <w:rsid w:val="00220209"/>
    <w:rsid w:val="002220D5"/>
    <w:rsid w:val="00223198"/>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6C3A"/>
    <w:rsid w:val="00257403"/>
    <w:rsid w:val="0025777F"/>
    <w:rsid w:val="00261B77"/>
    <w:rsid w:val="002623FD"/>
    <w:rsid w:val="00263890"/>
    <w:rsid w:val="0026479E"/>
    <w:rsid w:val="002665A2"/>
    <w:rsid w:val="00271978"/>
    <w:rsid w:val="00272574"/>
    <w:rsid w:val="00273440"/>
    <w:rsid w:val="0027513B"/>
    <w:rsid w:val="0027593D"/>
    <w:rsid w:val="00275F7E"/>
    <w:rsid w:val="00276B71"/>
    <w:rsid w:val="0027713B"/>
    <w:rsid w:val="002813F6"/>
    <w:rsid w:val="00282192"/>
    <w:rsid w:val="00285954"/>
    <w:rsid w:val="0028727D"/>
    <w:rsid w:val="002915B6"/>
    <w:rsid w:val="0029287A"/>
    <w:rsid w:val="00294C2F"/>
    <w:rsid w:val="0029628E"/>
    <w:rsid w:val="00296EB7"/>
    <w:rsid w:val="00297D97"/>
    <w:rsid w:val="002A31E4"/>
    <w:rsid w:val="002A66E9"/>
    <w:rsid w:val="002B0BCA"/>
    <w:rsid w:val="002B37F5"/>
    <w:rsid w:val="002B4981"/>
    <w:rsid w:val="002B75A2"/>
    <w:rsid w:val="002B7893"/>
    <w:rsid w:val="002C0E6A"/>
    <w:rsid w:val="002C22B4"/>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5CED"/>
    <w:rsid w:val="003066AC"/>
    <w:rsid w:val="00306771"/>
    <w:rsid w:val="003069D6"/>
    <w:rsid w:val="0030792C"/>
    <w:rsid w:val="00307DAD"/>
    <w:rsid w:val="00312344"/>
    <w:rsid w:val="00312F5B"/>
    <w:rsid w:val="0031308C"/>
    <w:rsid w:val="0031392A"/>
    <w:rsid w:val="003167AC"/>
    <w:rsid w:val="00321655"/>
    <w:rsid w:val="0032250E"/>
    <w:rsid w:val="00322580"/>
    <w:rsid w:val="0032279F"/>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219B"/>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5B68"/>
    <w:rsid w:val="003B65E3"/>
    <w:rsid w:val="003B6F7D"/>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3153"/>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289B"/>
    <w:rsid w:val="004539D4"/>
    <w:rsid w:val="00453CFB"/>
    <w:rsid w:val="0045405C"/>
    <w:rsid w:val="00455021"/>
    <w:rsid w:val="00456BA6"/>
    <w:rsid w:val="00461413"/>
    <w:rsid w:val="004614D9"/>
    <w:rsid w:val="00461DA2"/>
    <w:rsid w:val="00462789"/>
    <w:rsid w:val="00462F89"/>
    <w:rsid w:val="004638D9"/>
    <w:rsid w:val="00467F33"/>
    <w:rsid w:val="00471859"/>
    <w:rsid w:val="00475F95"/>
    <w:rsid w:val="00476172"/>
    <w:rsid w:val="00477487"/>
    <w:rsid w:val="0048098C"/>
    <w:rsid w:val="00480BAE"/>
    <w:rsid w:val="00480E4E"/>
    <w:rsid w:val="00481ADA"/>
    <w:rsid w:val="00483436"/>
    <w:rsid w:val="00484615"/>
    <w:rsid w:val="004869B2"/>
    <w:rsid w:val="004915AD"/>
    <w:rsid w:val="00492418"/>
    <w:rsid w:val="00492DD6"/>
    <w:rsid w:val="00493505"/>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DB6"/>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20F2"/>
    <w:rsid w:val="0056451B"/>
    <w:rsid w:val="00565398"/>
    <w:rsid w:val="00565B1B"/>
    <w:rsid w:val="005665B7"/>
    <w:rsid w:val="0056676E"/>
    <w:rsid w:val="00566825"/>
    <w:rsid w:val="00566C4A"/>
    <w:rsid w:val="0056718A"/>
    <w:rsid w:val="00567455"/>
    <w:rsid w:val="00570518"/>
    <w:rsid w:val="00571422"/>
    <w:rsid w:val="00580739"/>
    <w:rsid w:val="00587918"/>
    <w:rsid w:val="005879FB"/>
    <w:rsid w:val="005904F3"/>
    <w:rsid w:val="00590BF9"/>
    <w:rsid w:val="00591118"/>
    <w:rsid w:val="00592174"/>
    <w:rsid w:val="005967E7"/>
    <w:rsid w:val="0059706B"/>
    <w:rsid w:val="0059738E"/>
    <w:rsid w:val="005A1A79"/>
    <w:rsid w:val="005A42BD"/>
    <w:rsid w:val="005A6846"/>
    <w:rsid w:val="005A791C"/>
    <w:rsid w:val="005B372B"/>
    <w:rsid w:val="005B52E8"/>
    <w:rsid w:val="005C001C"/>
    <w:rsid w:val="005C1C6F"/>
    <w:rsid w:val="005C2A6C"/>
    <w:rsid w:val="005C4DB9"/>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3A94"/>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0AB7"/>
    <w:rsid w:val="006410D6"/>
    <w:rsid w:val="006411A5"/>
    <w:rsid w:val="00641221"/>
    <w:rsid w:val="00642B45"/>
    <w:rsid w:val="0064371D"/>
    <w:rsid w:val="00643E4D"/>
    <w:rsid w:val="00645862"/>
    <w:rsid w:val="006458D8"/>
    <w:rsid w:val="00647753"/>
    <w:rsid w:val="0065221D"/>
    <w:rsid w:val="00652887"/>
    <w:rsid w:val="00653B88"/>
    <w:rsid w:val="00654659"/>
    <w:rsid w:val="00655087"/>
    <w:rsid w:val="00655D54"/>
    <w:rsid w:val="00655F4C"/>
    <w:rsid w:val="0065777B"/>
    <w:rsid w:val="00661780"/>
    <w:rsid w:val="00663D7F"/>
    <w:rsid w:val="00663FED"/>
    <w:rsid w:val="00667F99"/>
    <w:rsid w:val="006719DE"/>
    <w:rsid w:val="00673C97"/>
    <w:rsid w:val="00674566"/>
    <w:rsid w:val="006746B1"/>
    <w:rsid w:val="006808E8"/>
    <w:rsid w:val="00682FE2"/>
    <w:rsid w:val="006835D5"/>
    <w:rsid w:val="00684284"/>
    <w:rsid w:val="00684579"/>
    <w:rsid w:val="00684DAB"/>
    <w:rsid w:val="00686750"/>
    <w:rsid w:val="00686CBD"/>
    <w:rsid w:val="00686CC5"/>
    <w:rsid w:val="0068700B"/>
    <w:rsid w:val="0069559D"/>
    <w:rsid w:val="00695D67"/>
    <w:rsid w:val="00696F8C"/>
    <w:rsid w:val="0069700C"/>
    <w:rsid w:val="00697037"/>
    <w:rsid w:val="00697801"/>
    <w:rsid w:val="006A074F"/>
    <w:rsid w:val="006A32E6"/>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6E85"/>
    <w:rsid w:val="006C7D91"/>
    <w:rsid w:val="006C7FED"/>
    <w:rsid w:val="006D0C85"/>
    <w:rsid w:val="006D15EB"/>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004F"/>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1A70"/>
    <w:rsid w:val="0075223F"/>
    <w:rsid w:val="00752DCE"/>
    <w:rsid w:val="00753727"/>
    <w:rsid w:val="00755404"/>
    <w:rsid w:val="00755676"/>
    <w:rsid w:val="0075682F"/>
    <w:rsid w:val="00760E65"/>
    <w:rsid w:val="00763B07"/>
    <w:rsid w:val="00763D41"/>
    <w:rsid w:val="00766CD4"/>
    <w:rsid w:val="0077147D"/>
    <w:rsid w:val="00772085"/>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7E77"/>
    <w:rsid w:val="007D3CF3"/>
    <w:rsid w:val="007D40E6"/>
    <w:rsid w:val="007D58E2"/>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5E1"/>
    <w:rsid w:val="007F7723"/>
    <w:rsid w:val="0080057F"/>
    <w:rsid w:val="008005B3"/>
    <w:rsid w:val="0080262B"/>
    <w:rsid w:val="008027F5"/>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5FDF"/>
    <w:rsid w:val="00837B94"/>
    <w:rsid w:val="00837BC3"/>
    <w:rsid w:val="00840C66"/>
    <w:rsid w:val="008417F4"/>
    <w:rsid w:val="008418F1"/>
    <w:rsid w:val="008434A1"/>
    <w:rsid w:val="00844A58"/>
    <w:rsid w:val="008471DD"/>
    <w:rsid w:val="0084766E"/>
    <w:rsid w:val="00851EA5"/>
    <w:rsid w:val="00852591"/>
    <w:rsid w:val="0085467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4D10"/>
    <w:rsid w:val="008A5B8F"/>
    <w:rsid w:val="008A5EC4"/>
    <w:rsid w:val="008A6BDF"/>
    <w:rsid w:val="008A716B"/>
    <w:rsid w:val="008B5B4F"/>
    <w:rsid w:val="008B7538"/>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5F39"/>
    <w:rsid w:val="008F71EA"/>
    <w:rsid w:val="008F7F10"/>
    <w:rsid w:val="00900F5C"/>
    <w:rsid w:val="0090278A"/>
    <w:rsid w:val="009029A5"/>
    <w:rsid w:val="00910A12"/>
    <w:rsid w:val="009136F9"/>
    <w:rsid w:val="00916274"/>
    <w:rsid w:val="00917AB1"/>
    <w:rsid w:val="0092016B"/>
    <w:rsid w:val="0092078E"/>
    <w:rsid w:val="00921161"/>
    <w:rsid w:val="00922F79"/>
    <w:rsid w:val="00923692"/>
    <w:rsid w:val="00923729"/>
    <w:rsid w:val="00923D04"/>
    <w:rsid w:val="00924154"/>
    <w:rsid w:val="00924749"/>
    <w:rsid w:val="0092599A"/>
    <w:rsid w:val="00926435"/>
    <w:rsid w:val="00930D40"/>
    <w:rsid w:val="009320BE"/>
    <w:rsid w:val="0093245D"/>
    <w:rsid w:val="00932DF7"/>
    <w:rsid w:val="00935FFF"/>
    <w:rsid w:val="00936873"/>
    <w:rsid w:val="00937630"/>
    <w:rsid w:val="00937AFB"/>
    <w:rsid w:val="00941A38"/>
    <w:rsid w:val="00943DB0"/>
    <w:rsid w:val="009445C2"/>
    <w:rsid w:val="00945ABF"/>
    <w:rsid w:val="00947508"/>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1BB0"/>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6E2B"/>
    <w:rsid w:val="009B75D1"/>
    <w:rsid w:val="009C1EA0"/>
    <w:rsid w:val="009C3A17"/>
    <w:rsid w:val="009C47DE"/>
    <w:rsid w:val="009C4D38"/>
    <w:rsid w:val="009C501E"/>
    <w:rsid w:val="009C50FC"/>
    <w:rsid w:val="009D0479"/>
    <w:rsid w:val="009D07D7"/>
    <w:rsid w:val="009D0924"/>
    <w:rsid w:val="009D2B1E"/>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4C77"/>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3216"/>
    <w:rsid w:val="00A34A3A"/>
    <w:rsid w:val="00A34AC3"/>
    <w:rsid w:val="00A37CE5"/>
    <w:rsid w:val="00A404B1"/>
    <w:rsid w:val="00A434D9"/>
    <w:rsid w:val="00A44129"/>
    <w:rsid w:val="00A44FB7"/>
    <w:rsid w:val="00A46EC6"/>
    <w:rsid w:val="00A46FB9"/>
    <w:rsid w:val="00A47071"/>
    <w:rsid w:val="00A51E43"/>
    <w:rsid w:val="00A55A64"/>
    <w:rsid w:val="00A61DE2"/>
    <w:rsid w:val="00A65372"/>
    <w:rsid w:val="00A66446"/>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5F5D"/>
    <w:rsid w:val="00AB7823"/>
    <w:rsid w:val="00AC00FB"/>
    <w:rsid w:val="00AC0F37"/>
    <w:rsid w:val="00AC1CB6"/>
    <w:rsid w:val="00AC2E74"/>
    <w:rsid w:val="00AC37B2"/>
    <w:rsid w:val="00AD059A"/>
    <w:rsid w:val="00AD1980"/>
    <w:rsid w:val="00AD323F"/>
    <w:rsid w:val="00AD414A"/>
    <w:rsid w:val="00AD419B"/>
    <w:rsid w:val="00AD452E"/>
    <w:rsid w:val="00AD595E"/>
    <w:rsid w:val="00AD5DDA"/>
    <w:rsid w:val="00AE1FC9"/>
    <w:rsid w:val="00AE26B0"/>
    <w:rsid w:val="00AE481D"/>
    <w:rsid w:val="00AE737B"/>
    <w:rsid w:val="00AF319E"/>
    <w:rsid w:val="00AF3647"/>
    <w:rsid w:val="00AF41F2"/>
    <w:rsid w:val="00AF69A6"/>
    <w:rsid w:val="00AF6B00"/>
    <w:rsid w:val="00AF6F96"/>
    <w:rsid w:val="00AF75FB"/>
    <w:rsid w:val="00AF7D31"/>
    <w:rsid w:val="00B00435"/>
    <w:rsid w:val="00B00829"/>
    <w:rsid w:val="00B04A30"/>
    <w:rsid w:val="00B062AD"/>
    <w:rsid w:val="00B06C8B"/>
    <w:rsid w:val="00B075B0"/>
    <w:rsid w:val="00B110B4"/>
    <w:rsid w:val="00B11CEA"/>
    <w:rsid w:val="00B17C8F"/>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3218"/>
    <w:rsid w:val="00B5455D"/>
    <w:rsid w:val="00B56B51"/>
    <w:rsid w:val="00B6121E"/>
    <w:rsid w:val="00B61A5C"/>
    <w:rsid w:val="00B62B2E"/>
    <w:rsid w:val="00B637D3"/>
    <w:rsid w:val="00B65A10"/>
    <w:rsid w:val="00B66F4D"/>
    <w:rsid w:val="00B74786"/>
    <w:rsid w:val="00B757FD"/>
    <w:rsid w:val="00B770CF"/>
    <w:rsid w:val="00B80F65"/>
    <w:rsid w:val="00B81556"/>
    <w:rsid w:val="00B82878"/>
    <w:rsid w:val="00B832AE"/>
    <w:rsid w:val="00B83B50"/>
    <w:rsid w:val="00B85C83"/>
    <w:rsid w:val="00B8797E"/>
    <w:rsid w:val="00B90965"/>
    <w:rsid w:val="00B92E82"/>
    <w:rsid w:val="00B93A28"/>
    <w:rsid w:val="00B93F30"/>
    <w:rsid w:val="00B94B25"/>
    <w:rsid w:val="00B958A6"/>
    <w:rsid w:val="00B96FBF"/>
    <w:rsid w:val="00BA1537"/>
    <w:rsid w:val="00BA2636"/>
    <w:rsid w:val="00BA5987"/>
    <w:rsid w:val="00BA6755"/>
    <w:rsid w:val="00BA745B"/>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7B1"/>
    <w:rsid w:val="00C258E4"/>
    <w:rsid w:val="00C25FEE"/>
    <w:rsid w:val="00C31793"/>
    <w:rsid w:val="00C32AC9"/>
    <w:rsid w:val="00C373FE"/>
    <w:rsid w:val="00C37F15"/>
    <w:rsid w:val="00C4329A"/>
    <w:rsid w:val="00C45687"/>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1A9"/>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5F79"/>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609"/>
    <w:rsid w:val="00D807CB"/>
    <w:rsid w:val="00D82A79"/>
    <w:rsid w:val="00D84033"/>
    <w:rsid w:val="00D8426C"/>
    <w:rsid w:val="00D87983"/>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DBA"/>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763"/>
    <w:rsid w:val="00EA186E"/>
    <w:rsid w:val="00EA3851"/>
    <w:rsid w:val="00EA5F8F"/>
    <w:rsid w:val="00EA6423"/>
    <w:rsid w:val="00EB214B"/>
    <w:rsid w:val="00EB30B4"/>
    <w:rsid w:val="00EB6AC4"/>
    <w:rsid w:val="00EB7428"/>
    <w:rsid w:val="00EC0025"/>
    <w:rsid w:val="00EC1380"/>
    <w:rsid w:val="00EC1463"/>
    <w:rsid w:val="00EC3E6A"/>
    <w:rsid w:val="00EC456D"/>
    <w:rsid w:val="00EC5027"/>
    <w:rsid w:val="00EC5E32"/>
    <w:rsid w:val="00EC6A76"/>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1CAD"/>
    <w:rsid w:val="00F228FA"/>
    <w:rsid w:val="00F22B53"/>
    <w:rsid w:val="00F23BCE"/>
    <w:rsid w:val="00F2598F"/>
    <w:rsid w:val="00F272DC"/>
    <w:rsid w:val="00F308B8"/>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0D63"/>
    <w:rsid w:val="00F82F73"/>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53FA"/>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BE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B5B68"/>
    <w:pPr>
      <w:kinsoku w:val="0"/>
      <w:overflowPunct w:val="0"/>
      <w:autoSpaceDE w:val="0"/>
      <w:autoSpaceDN w:val="0"/>
      <w:adjustRightInd w:val="0"/>
      <w:snapToGrid w:val="0"/>
      <w:spacing w:after="240" w:line="400" w:lineRule="exact"/>
      <w:jc w:val="both"/>
    </w:pPr>
    <w:rPr>
      <w:rFonts w:ascii="Minion Pro" w:eastAsia="Times New Roman" w:hAnsi="Minion Pro" w:cs="Times New Roman"/>
      <w:b/>
      <w:snapToGrid w:val="0"/>
      <w:color w:val="000000"/>
      <w:kern w:val="0"/>
      <w:sz w:val="36"/>
      <w:lang w:eastAsia="de-DE" w:bidi="en-US"/>
    </w:rPr>
  </w:style>
  <w:style w:type="paragraph" w:customStyle="1" w:styleId="Mdeck1articletype">
    <w:name w:val="M_deck_1_article_type"/>
    <w:basedOn w:val="Mdeck4text"/>
    <w:next w:val="Mdeck1articletitle"/>
    <w:qFormat/>
    <w:rsid w:val="003B5B68"/>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3B5B68"/>
    <w:pPr>
      <w:widowControl w:val="0"/>
      <w:kinsoku w:val="0"/>
      <w:overflowPunct w:val="0"/>
      <w:autoSpaceDE w:val="0"/>
      <w:autoSpaceDN w:val="0"/>
      <w:adjustRightInd w:val="0"/>
      <w:snapToGrid w:val="0"/>
      <w:spacing w:line="340" w:lineRule="atLeast"/>
      <w:ind w:left="311" w:hanging="198"/>
      <w:jc w:val="both"/>
    </w:pPr>
    <w:rPr>
      <w:rFonts w:ascii="Palatino Linotype" w:eastAsia="Times New Roman" w:hAnsi="Palatino Linotype" w:cs="Times New Roman"/>
      <w:snapToGrid w:val="0"/>
      <w:color w:val="000000"/>
      <w:kern w:val="0"/>
      <w:sz w:val="24"/>
      <w:lang w:eastAsia="de-DE" w:bidi="en-US"/>
    </w:rPr>
  </w:style>
  <w:style w:type="paragraph" w:customStyle="1" w:styleId="Mdeck2authorcorrespondence">
    <w:name w:val="M_deck_2_author_correspondence"/>
    <w:qFormat/>
    <w:rsid w:val="003B5B68"/>
    <w:pPr>
      <w:kinsoku w:val="0"/>
      <w:overflowPunct w:val="0"/>
      <w:autoSpaceDE w:val="0"/>
      <w:autoSpaceDN w:val="0"/>
      <w:adjustRightInd w:val="0"/>
      <w:snapToGrid w:val="0"/>
      <w:spacing w:line="200" w:lineRule="atLeast"/>
      <w:ind w:left="311" w:hanging="198"/>
      <w:jc w:val="both"/>
    </w:pPr>
    <w:rPr>
      <w:rFonts w:ascii="Palatino Linotype" w:eastAsia="Times New Roman" w:hAnsi="Palatino Linotype" w:cs="Times New Roman"/>
      <w:snapToGrid w:val="0"/>
      <w:color w:val="000000"/>
      <w:kern w:val="0"/>
      <w:lang w:eastAsia="de-DE" w:bidi="en-US"/>
    </w:rPr>
  </w:style>
  <w:style w:type="paragraph" w:customStyle="1" w:styleId="Mdeck2authorname">
    <w:name w:val="M_deck_2_author_name"/>
    <w:next w:val="Mdeck3publcationhistory"/>
    <w:qFormat/>
    <w:rsid w:val="003B5B68"/>
    <w:pPr>
      <w:kinsoku w:val="0"/>
      <w:overflowPunct w:val="0"/>
      <w:autoSpaceDE w:val="0"/>
      <w:autoSpaceDN w:val="0"/>
      <w:adjustRightInd w:val="0"/>
      <w:snapToGrid w:val="0"/>
      <w:spacing w:before="240" w:after="120" w:line="320" w:lineRule="atLeast"/>
      <w:jc w:val="both"/>
    </w:pPr>
    <w:rPr>
      <w:rFonts w:ascii="Palatino Linotype" w:eastAsia="Times New Roman" w:hAnsi="Palatino Linotype" w:cs="Times New Roman"/>
      <w:b/>
      <w:snapToGrid w:val="0"/>
      <w:color w:val="000000"/>
      <w:kern w:val="0"/>
      <w:sz w:val="22"/>
      <w:lang w:eastAsia="de-DE" w:bidi="en-US"/>
    </w:rPr>
  </w:style>
  <w:style w:type="paragraph" w:customStyle="1" w:styleId="Mdeck3abstract">
    <w:name w:val="M_deck_3_abstract"/>
    <w:basedOn w:val="Mdeck4text"/>
    <w:next w:val="Mdeck3keywords"/>
    <w:qFormat/>
    <w:rsid w:val="003B5B68"/>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B5B68"/>
    <w:pPr>
      <w:spacing w:before="240"/>
      <w:ind w:left="113" w:firstLine="0"/>
    </w:pPr>
  </w:style>
  <w:style w:type="paragraph" w:customStyle="1" w:styleId="Mdeck3publcationhistory">
    <w:name w:val="M_deck_3_publcation_history"/>
    <w:next w:val="Normal"/>
    <w:qFormat/>
    <w:rsid w:val="003B5B68"/>
    <w:pPr>
      <w:widowControl w:val="0"/>
      <w:kinsoku w:val="0"/>
      <w:overflowPunct w:val="0"/>
      <w:autoSpaceDE w:val="0"/>
      <w:autoSpaceDN w:val="0"/>
      <w:adjustRightInd w:val="0"/>
      <w:snapToGrid w:val="0"/>
      <w:spacing w:before="240" w:line="340" w:lineRule="atLeast"/>
      <w:ind w:left="113"/>
      <w:jc w:val="both"/>
    </w:pPr>
    <w:rPr>
      <w:rFonts w:ascii="Palatino Linotype" w:eastAsia="Times New Roman" w:hAnsi="Palatino Linotype" w:cs="Times New Roman"/>
      <w:i/>
      <w:snapToGrid w:val="0"/>
      <w:color w:val="000000"/>
      <w:kern w:val="0"/>
      <w:sz w:val="24"/>
      <w:lang w:eastAsia="de-DE" w:bidi="en-US"/>
    </w:rPr>
  </w:style>
  <w:style w:type="paragraph" w:customStyle="1" w:styleId="Mdeck4heading1">
    <w:name w:val="M_deck_4_heading_1"/>
    <w:basedOn w:val="MHeading3"/>
    <w:next w:val="Normal"/>
    <w:qFormat/>
    <w:rsid w:val="003B5B68"/>
    <w:pPr>
      <w:spacing w:line="340" w:lineRule="atLeast"/>
      <w:outlineLvl w:val="0"/>
    </w:pPr>
    <w:rPr>
      <w:b/>
      <w:snapToGrid/>
    </w:rPr>
  </w:style>
  <w:style w:type="paragraph" w:customStyle="1" w:styleId="Mdeck4heading2">
    <w:name w:val="M_deck_4_heading_2"/>
    <w:basedOn w:val="MHeading3"/>
    <w:next w:val="Normal"/>
    <w:qFormat/>
    <w:rsid w:val="003B5B68"/>
    <w:pPr>
      <w:outlineLvl w:val="1"/>
    </w:pPr>
    <w:rPr>
      <w:i/>
      <w:snapToGrid/>
    </w:rPr>
  </w:style>
  <w:style w:type="paragraph" w:customStyle="1" w:styleId="Mdeck4heading3">
    <w:name w:val="M_deck_4_heading_3"/>
    <w:basedOn w:val="Mdeck4text"/>
    <w:next w:val="Normal"/>
    <w:qFormat/>
    <w:rsid w:val="003B5B68"/>
    <w:pPr>
      <w:spacing w:before="240" w:after="120" w:line="340" w:lineRule="atLeast"/>
      <w:ind w:firstLineChars="50" w:firstLine="50"/>
      <w:outlineLvl w:val="2"/>
    </w:pPr>
    <w:rPr>
      <w:snapToGrid/>
    </w:rPr>
  </w:style>
  <w:style w:type="paragraph" w:customStyle="1" w:styleId="Mdeck4text">
    <w:name w:val="M_deck_4_text"/>
    <w:qFormat/>
    <w:rsid w:val="003B5B68"/>
    <w:pPr>
      <w:kinsoku w:val="0"/>
      <w:overflowPunct w:val="0"/>
      <w:autoSpaceDE w:val="0"/>
      <w:autoSpaceDN w:val="0"/>
      <w:adjustRightInd w:val="0"/>
      <w:snapToGrid w:val="0"/>
      <w:spacing w:line="320" w:lineRule="atLeast"/>
      <w:ind w:firstLine="425"/>
      <w:jc w:val="both"/>
    </w:pPr>
    <w:rPr>
      <w:rFonts w:ascii="Minion Pro" w:eastAsia="Times New Roman" w:hAnsi="Minion Pro" w:cs="Times New Roman"/>
      <w:snapToGrid w:val="0"/>
      <w:color w:val="000000"/>
      <w:kern w:val="0"/>
      <w:sz w:val="24"/>
      <w:lang w:eastAsia="de-DE" w:bidi="en-US"/>
    </w:rPr>
  </w:style>
  <w:style w:type="paragraph" w:customStyle="1" w:styleId="Mdeck4textbulletlist">
    <w:name w:val="M_deck_4_text_bullet_list"/>
    <w:basedOn w:val="Mdeck4text"/>
    <w:qFormat/>
    <w:rsid w:val="003B5B68"/>
    <w:pPr>
      <w:numPr>
        <w:numId w:val="8"/>
      </w:numPr>
      <w:spacing w:before="120" w:after="120" w:line="340" w:lineRule="atLeast"/>
    </w:pPr>
    <w:rPr>
      <w:snapToGrid/>
    </w:rPr>
  </w:style>
  <w:style w:type="paragraph" w:customStyle="1" w:styleId="Mdeck4textfirstlinezero">
    <w:name w:val="M_deck_4_text_firstline_zero"/>
    <w:basedOn w:val="Mdeck4text"/>
    <w:next w:val="Mdeck4text"/>
    <w:qFormat/>
    <w:rsid w:val="003B5B68"/>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B5B68"/>
    <w:pPr>
      <w:spacing w:line="260" w:lineRule="atLeast"/>
    </w:pPr>
    <w:rPr>
      <w:rFonts w:cs="Times New Roman"/>
      <w:i/>
      <w:kern w:val="0"/>
    </w:rPr>
  </w:style>
  <w:style w:type="paragraph" w:customStyle="1" w:styleId="Mdeck4textlrindent">
    <w:name w:val="M_deck_4_text_lr_indent"/>
    <w:basedOn w:val="Mdeck4text"/>
    <w:qFormat/>
    <w:rsid w:val="003B5B68"/>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B5B68"/>
    <w:pPr>
      <w:numPr>
        <w:numId w:val="9"/>
      </w:numPr>
      <w:spacing w:before="120" w:after="120" w:line="340" w:lineRule="atLeast"/>
    </w:pPr>
    <w:rPr>
      <w:snapToGrid/>
    </w:rPr>
  </w:style>
  <w:style w:type="paragraph" w:customStyle="1" w:styleId="Mdeck5tablebody">
    <w:name w:val="M_deck_5_table_body"/>
    <w:qFormat/>
    <w:rsid w:val="003B5B68"/>
    <w:pPr>
      <w:kinsoku w:val="0"/>
      <w:overflowPunct w:val="0"/>
      <w:autoSpaceDE w:val="0"/>
      <w:autoSpaceDN w:val="0"/>
      <w:adjustRightInd w:val="0"/>
      <w:snapToGrid w:val="0"/>
      <w:spacing w:line="260" w:lineRule="atLeast"/>
      <w:jc w:val="center"/>
    </w:pPr>
    <w:rPr>
      <w:rFonts w:ascii="Minion Pro" w:eastAsia="Times New Roman" w:hAnsi="Minion Pro" w:cs="Times New Roman"/>
      <w:snapToGrid w:val="0"/>
      <w:color w:val="000000"/>
      <w:kern w:val="0"/>
      <w:lang w:eastAsia="de-DE" w:bidi="en-US"/>
    </w:rPr>
  </w:style>
  <w:style w:type="table" w:customStyle="1" w:styleId="Mdeck5tablebodythreelines">
    <w:name w:val="M_deck_5_table_body_three_lines"/>
    <w:basedOn w:val="TableNormal"/>
    <w:uiPriority w:val="99"/>
    <w:rsid w:val="003B5B68"/>
    <w:pPr>
      <w:adjustRightInd w:val="0"/>
      <w:snapToGrid w:val="0"/>
      <w:spacing w:line="300" w:lineRule="exact"/>
      <w:jc w:val="center"/>
    </w:pPr>
    <w:rPr>
      <w:rFonts w:ascii="Palatino Linotype" w:eastAsiaTheme="minorEastAsia" w:hAnsi="Palatino Linotype" w:cs="Times New Roman"/>
      <w:color w:val="000000"/>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B5B68"/>
    <w:pPr>
      <w:kinsoku w:val="0"/>
      <w:overflowPunct w:val="0"/>
      <w:autoSpaceDE w:val="0"/>
      <w:autoSpaceDN w:val="0"/>
      <w:adjustRightInd w:val="0"/>
      <w:snapToGrid w:val="0"/>
      <w:spacing w:after="120" w:line="260" w:lineRule="atLeast"/>
      <w:jc w:val="both"/>
    </w:pPr>
    <w:rPr>
      <w:rFonts w:ascii="Palatino Linotype" w:eastAsia="Times New Roman" w:hAnsi="Palatino Linotype" w:cs="Times New Roman"/>
      <w:snapToGrid w:val="0"/>
      <w:color w:val="000000"/>
      <w:kern w:val="0"/>
      <w:lang w:eastAsia="de-DE" w:bidi="en-US"/>
    </w:rPr>
  </w:style>
  <w:style w:type="paragraph" w:customStyle="1" w:styleId="Mdeck5tablefooter">
    <w:name w:val="M_deck_5_table_footer"/>
    <w:basedOn w:val="Mdeck5tablecaption"/>
    <w:next w:val="Mdeck4text"/>
    <w:qFormat/>
    <w:rsid w:val="003B5B68"/>
    <w:pPr>
      <w:spacing w:line="300" w:lineRule="exact"/>
    </w:pPr>
  </w:style>
  <w:style w:type="paragraph" w:customStyle="1" w:styleId="Mdeck5tableheader">
    <w:name w:val="M_deck_5_table_header"/>
    <w:basedOn w:val="Mdeck5tablefooter"/>
    <w:rsid w:val="003B5B68"/>
  </w:style>
  <w:style w:type="paragraph" w:customStyle="1" w:styleId="Mdeck6figurebody">
    <w:name w:val="M_deck_6_figure_body"/>
    <w:qFormat/>
    <w:rsid w:val="003B5B68"/>
    <w:pPr>
      <w:widowControl w:val="0"/>
      <w:kinsoku w:val="0"/>
      <w:overflowPunct w:val="0"/>
      <w:autoSpaceDE w:val="0"/>
      <w:autoSpaceDN w:val="0"/>
      <w:adjustRightInd w:val="0"/>
      <w:snapToGrid w:val="0"/>
      <w:spacing w:line="340" w:lineRule="atLeast"/>
      <w:jc w:val="center"/>
    </w:pPr>
    <w:rPr>
      <w:rFonts w:ascii="Palatino Linotype" w:eastAsia="Times New Roman" w:hAnsi="Palatino Linotype" w:cs="Times New Roman"/>
      <w:snapToGrid w:val="0"/>
      <w:color w:val="000000"/>
      <w:kern w:val="0"/>
      <w:sz w:val="24"/>
      <w:lang w:eastAsia="de-DE" w:bidi="en-US"/>
    </w:rPr>
  </w:style>
  <w:style w:type="paragraph" w:customStyle="1" w:styleId="Mdeck6figurecaption">
    <w:name w:val="M_deck_6_figure_caption"/>
    <w:next w:val="Mdeck4text"/>
    <w:qFormat/>
    <w:rsid w:val="003B5B68"/>
    <w:pPr>
      <w:adjustRightInd w:val="0"/>
      <w:snapToGrid w:val="0"/>
      <w:spacing w:before="120" w:line="260" w:lineRule="atLeast"/>
      <w:jc w:val="both"/>
    </w:pPr>
    <w:rPr>
      <w:rFonts w:ascii="Palatino Linotype" w:eastAsia="Times New Roman" w:hAnsi="Palatino Linotype" w:cs="Times New Roman"/>
      <w:snapToGrid w:val="0"/>
      <w:color w:val="000000"/>
      <w:kern w:val="0"/>
      <w:lang w:eastAsia="de-DE" w:bidi="en-US"/>
    </w:rPr>
  </w:style>
  <w:style w:type="paragraph" w:customStyle="1" w:styleId="Mdeck7equation">
    <w:name w:val="M_deck_7_equation"/>
    <w:basedOn w:val="Mdeck4text"/>
    <w:qFormat/>
    <w:rsid w:val="003B5B68"/>
    <w:pPr>
      <w:spacing w:before="120" w:after="120"/>
      <w:ind w:left="709" w:firstLine="0"/>
      <w:jc w:val="center"/>
    </w:pPr>
    <w:rPr>
      <w:i/>
      <w:snapToGrid/>
      <w:szCs w:val="24"/>
      <w:lang w:eastAsia="en-US"/>
    </w:rPr>
  </w:style>
  <w:style w:type="paragraph" w:customStyle="1" w:styleId="Mdeck8references">
    <w:name w:val="M_deck_8_references"/>
    <w:qFormat/>
    <w:rsid w:val="003B5B68"/>
    <w:pPr>
      <w:numPr>
        <w:numId w:val="10"/>
      </w:numPr>
      <w:kinsoku w:val="0"/>
      <w:overflowPunct w:val="0"/>
      <w:autoSpaceDE w:val="0"/>
      <w:autoSpaceDN w:val="0"/>
      <w:adjustRightInd w:val="0"/>
      <w:snapToGrid w:val="0"/>
      <w:spacing w:line="260" w:lineRule="atLeast"/>
      <w:jc w:val="both"/>
    </w:pPr>
    <w:rPr>
      <w:rFonts w:ascii="Palatino Linotype" w:eastAsia="Times New Roman" w:hAnsi="Palatino Linotype" w:cs="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uiPriority w:val="35"/>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B5B68"/>
    <w:pPr>
      <w:adjustRightInd w:val="0"/>
      <w:snapToGrid w:val="0"/>
      <w:spacing w:line="260" w:lineRule="atLeast"/>
      <w:ind w:left="850" w:hanging="425"/>
      <w:jc w:val="both"/>
    </w:pPr>
    <w:rPr>
      <w:rFonts w:ascii="Palatino Linotype" w:eastAsia="Times New Roman" w:hAnsi="Palatino Linotype" w:cs="Times New Roman"/>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2"/>
      </w:numPr>
      <w:ind w:left="425" w:hanging="425"/>
    </w:pPr>
  </w:style>
  <w:style w:type="paragraph" w:customStyle="1" w:styleId="MDPI38bullet">
    <w:name w:val="MDPI_3.8_bullet"/>
    <w:basedOn w:val="MDPI31text"/>
    <w:qFormat/>
    <w:rsid w:val="00B83B50"/>
    <w:pPr>
      <w:numPr>
        <w:numId w:val="3"/>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4"/>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Emphasis">
    <w:name w:val="Emphasis"/>
    <w:basedOn w:val="DefaultParagraphFont"/>
    <w:uiPriority w:val="20"/>
    <w:qFormat/>
    <w:rsid w:val="002C22B4"/>
    <w:rPr>
      <w:i/>
      <w:iCs/>
    </w:rPr>
  </w:style>
  <w:style w:type="paragraph" w:styleId="Revision">
    <w:name w:val="Revision"/>
    <w:hidden/>
    <w:uiPriority w:val="99"/>
    <w:semiHidden/>
    <w:rsid w:val="002C22B4"/>
    <w:rPr>
      <w:rFonts w:asciiTheme="minorHAnsi" w:eastAsiaTheme="minorHAnsi" w:hAnsiTheme="minorHAnsi"/>
      <w:kern w:val="0"/>
      <w:sz w:val="22"/>
      <w:szCs w:val="22"/>
      <w:lang w:val="en-GB" w:eastAsia="en-US"/>
    </w:rPr>
  </w:style>
  <w:style w:type="table" w:customStyle="1" w:styleId="TableGrid1">
    <w:name w:val="Table Grid1"/>
    <w:basedOn w:val="TableNormal"/>
    <w:next w:val="TableGrid"/>
    <w:uiPriority w:val="59"/>
    <w:rsid w:val="002C22B4"/>
    <w:rPr>
      <w:rFonts w:asciiTheme="minorHAnsi" w:eastAsiaTheme="minorHAnsi" w:hAnsiTheme="minorHAns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meta-info-data">
    <w:name w:val="article-header__meta-info-data"/>
    <w:basedOn w:val="DefaultParagraphFont"/>
    <w:rsid w:val="002C22B4"/>
  </w:style>
  <w:style w:type="character" w:customStyle="1" w:styleId="UnresolvedMention1">
    <w:name w:val="Unresolved Mention1"/>
    <w:basedOn w:val="DefaultParagraphFont"/>
    <w:uiPriority w:val="99"/>
    <w:semiHidden/>
    <w:unhideWhenUsed/>
    <w:rsid w:val="002C22B4"/>
    <w:rPr>
      <w:color w:val="808080"/>
      <w:shd w:val="clear" w:color="auto" w:fill="E6E6E6"/>
    </w:rPr>
  </w:style>
  <w:style w:type="paragraph" w:customStyle="1" w:styleId="Mdeck4ref-citation">
    <w:name w:val="M_deck_4_ref-citation"/>
    <w:basedOn w:val="BodyText"/>
    <w:qFormat/>
    <w:rsid w:val="003B5B68"/>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20"/>
      <w:lang w:bidi="en-US"/>
    </w:rPr>
  </w:style>
  <w:style w:type="paragraph" w:customStyle="1" w:styleId="Mdeck4ref-citation-red">
    <w:name w:val="M_deck_4_ref-citation-red"/>
    <w:basedOn w:val="BodyText"/>
    <w:qFormat/>
    <w:rsid w:val="003B5B68"/>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3B5B68"/>
    <w:pPr>
      <w:kinsoku w:val="0"/>
      <w:overflowPunct w:val="0"/>
      <w:autoSpaceDE w:val="0"/>
      <w:autoSpaceDN w:val="0"/>
      <w:adjustRightInd w:val="0"/>
      <w:snapToGrid w:val="0"/>
      <w:spacing w:after="240" w:line="400" w:lineRule="exact"/>
      <w:jc w:val="both"/>
    </w:pPr>
    <w:rPr>
      <w:rFonts w:ascii="Minion Pro" w:eastAsia="Times New Roman" w:hAnsi="Minion Pro" w:cs="Times New Roman"/>
      <w:b/>
      <w:snapToGrid w:val="0"/>
      <w:color w:val="000000"/>
      <w:kern w:val="0"/>
      <w:sz w:val="36"/>
      <w:lang w:eastAsia="de-DE" w:bidi="en-US"/>
    </w:rPr>
  </w:style>
  <w:style w:type="paragraph" w:customStyle="1" w:styleId="Mdeck1articletype">
    <w:name w:val="M_deck_1_article_type"/>
    <w:basedOn w:val="Mdeck4text"/>
    <w:next w:val="Mdeck1articletitle"/>
    <w:qFormat/>
    <w:rsid w:val="003B5B68"/>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3B5B68"/>
    <w:pPr>
      <w:widowControl w:val="0"/>
      <w:kinsoku w:val="0"/>
      <w:overflowPunct w:val="0"/>
      <w:autoSpaceDE w:val="0"/>
      <w:autoSpaceDN w:val="0"/>
      <w:adjustRightInd w:val="0"/>
      <w:snapToGrid w:val="0"/>
      <w:spacing w:line="340" w:lineRule="atLeast"/>
      <w:ind w:left="311" w:hanging="198"/>
      <w:jc w:val="both"/>
    </w:pPr>
    <w:rPr>
      <w:rFonts w:ascii="Palatino Linotype" w:eastAsia="Times New Roman" w:hAnsi="Palatino Linotype" w:cs="Times New Roman"/>
      <w:snapToGrid w:val="0"/>
      <w:color w:val="000000"/>
      <w:kern w:val="0"/>
      <w:sz w:val="24"/>
      <w:lang w:eastAsia="de-DE" w:bidi="en-US"/>
    </w:rPr>
  </w:style>
  <w:style w:type="paragraph" w:customStyle="1" w:styleId="Mdeck2authorcorrespondence">
    <w:name w:val="M_deck_2_author_correspondence"/>
    <w:qFormat/>
    <w:rsid w:val="003B5B68"/>
    <w:pPr>
      <w:kinsoku w:val="0"/>
      <w:overflowPunct w:val="0"/>
      <w:autoSpaceDE w:val="0"/>
      <w:autoSpaceDN w:val="0"/>
      <w:adjustRightInd w:val="0"/>
      <w:snapToGrid w:val="0"/>
      <w:spacing w:line="200" w:lineRule="atLeast"/>
      <w:ind w:left="311" w:hanging="198"/>
      <w:jc w:val="both"/>
    </w:pPr>
    <w:rPr>
      <w:rFonts w:ascii="Palatino Linotype" w:eastAsia="Times New Roman" w:hAnsi="Palatino Linotype" w:cs="Times New Roman"/>
      <w:snapToGrid w:val="0"/>
      <w:color w:val="000000"/>
      <w:kern w:val="0"/>
      <w:lang w:eastAsia="de-DE" w:bidi="en-US"/>
    </w:rPr>
  </w:style>
  <w:style w:type="paragraph" w:customStyle="1" w:styleId="Mdeck2authorname">
    <w:name w:val="M_deck_2_author_name"/>
    <w:next w:val="Mdeck3publcationhistory"/>
    <w:qFormat/>
    <w:rsid w:val="003B5B68"/>
    <w:pPr>
      <w:kinsoku w:val="0"/>
      <w:overflowPunct w:val="0"/>
      <w:autoSpaceDE w:val="0"/>
      <w:autoSpaceDN w:val="0"/>
      <w:adjustRightInd w:val="0"/>
      <w:snapToGrid w:val="0"/>
      <w:spacing w:before="240" w:after="120" w:line="320" w:lineRule="atLeast"/>
      <w:jc w:val="both"/>
    </w:pPr>
    <w:rPr>
      <w:rFonts w:ascii="Palatino Linotype" w:eastAsia="Times New Roman" w:hAnsi="Palatino Linotype" w:cs="Times New Roman"/>
      <w:b/>
      <w:snapToGrid w:val="0"/>
      <w:color w:val="000000"/>
      <w:kern w:val="0"/>
      <w:sz w:val="22"/>
      <w:lang w:eastAsia="de-DE" w:bidi="en-US"/>
    </w:rPr>
  </w:style>
  <w:style w:type="paragraph" w:customStyle="1" w:styleId="Mdeck3abstract">
    <w:name w:val="M_deck_3_abstract"/>
    <w:basedOn w:val="Mdeck4text"/>
    <w:next w:val="Mdeck3keywords"/>
    <w:qFormat/>
    <w:rsid w:val="003B5B68"/>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3B5B68"/>
    <w:pPr>
      <w:spacing w:before="240"/>
      <w:ind w:left="113" w:firstLine="0"/>
    </w:pPr>
  </w:style>
  <w:style w:type="paragraph" w:customStyle="1" w:styleId="Mdeck3publcationhistory">
    <w:name w:val="M_deck_3_publcation_history"/>
    <w:next w:val="Normal"/>
    <w:qFormat/>
    <w:rsid w:val="003B5B68"/>
    <w:pPr>
      <w:widowControl w:val="0"/>
      <w:kinsoku w:val="0"/>
      <w:overflowPunct w:val="0"/>
      <w:autoSpaceDE w:val="0"/>
      <w:autoSpaceDN w:val="0"/>
      <w:adjustRightInd w:val="0"/>
      <w:snapToGrid w:val="0"/>
      <w:spacing w:before="240" w:line="340" w:lineRule="atLeast"/>
      <w:ind w:left="113"/>
      <w:jc w:val="both"/>
    </w:pPr>
    <w:rPr>
      <w:rFonts w:ascii="Palatino Linotype" w:eastAsia="Times New Roman" w:hAnsi="Palatino Linotype" w:cs="Times New Roman"/>
      <w:i/>
      <w:snapToGrid w:val="0"/>
      <w:color w:val="000000"/>
      <w:kern w:val="0"/>
      <w:sz w:val="24"/>
      <w:lang w:eastAsia="de-DE" w:bidi="en-US"/>
    </w:rPr>
  </w:style>
  <w:style w:type="paragraph" w:customStyle="1" w:styleId="Mdeck4heading1">
    <w:name w:val="M_deck_4_heading_1"/>
    <w:basedOn w:val="MHeading3"/>
    <w:next w:val="Normal"/>
    <w:qFormat/>
    <w:rsid w:val="003B5B68"/>
    <w:pPr>
      <w:spacing w:line="340" w:lineRule="atLeast"/>
      <w:outlineLvl w:val="0"/>
    </w:pPr>
    <w:rPr>
      <w:b/>
      <w:snapToGrid/>
    </w:rPr>
  </w:style>
  <w:style w:type="paragraph" w:customStyle="1" w:styleId="Mdeck4heading2">
    <w:name w:val="M_deck_4_heading_2"/>
    <w:basedOn w:val="MHeading3"/>
    <w:next w:val="Normal"/>
    <w:qFormat/>
    <w:rsid w:val="003B5B68"/>
    <w:pPr>
      <w:outlineLvl w:val="1"/>
    </w:pPr>
    <w:rPr>
      <w:i/>
      <w:snapToGrid/>
    </w:rPr>
  </w:style>
  <w:style w:type="paragraph" w:customStyle="1" w:styleId="Mdeck4heading3">
    <w:name w:val="M_deck_4_heading_3"/>
    <w:basedOn w:val="Mdeck4text"/>
    <w:next w:val="Normal"/>
    <w:qFormat/>
    <w:rsid w:val="003B5B68"/>
    <w:pPr>
      <w:spacing w:before="240" w:after="120" w:line="340" w:lineRule="atLeast"/>
      <w:ind w:firstLineChars="50" w:firstLine="50"/>
      <w:outlineLvl w:val="2"/>
    </w:pPr>
    <w:rPr>
      <w:snapToGrid/>
    </w:rPr>
  </w:style>
  <w:style w:type="paragraph" w:customStyle="1" w:styleId="Mdeck4text">
    <w:name w:val="M_deck_4_text"/>
    <w:qFormat/>
    <w:rsid w:val="003B5B68"/>
    <w:pPr>
      <w:kinsoku w:val="0"/>
      <w:overflowPunct w:val="0"/>
      <w:autoSpaceDE w:val="0"/>
      <w:autoSpaceDN w:val="0"/>
      <w:adjustRightInd w:val="0"/>
      <w:snapToGrid w:val="0"/>
      <w:spacing w:line="320" w:lineRule="atLeast"/>
      <w:ind w:firstLine="425"/>
      <w:jc w:val="both"/>
    </w:pPr>
    <w:rPr>
      <w:rFonts w:ascii="Minion Pro" w:eastAsia="Times New Roman" w:hAnsi="Minion Pro" w:cs="Times New Roman"/>
      <w:snapToGrid w:val="0"/>
      <w:color w:val="000000"/>
      <w:kern w:val="0"/>
      <w:sz w:val="24"/>
      <w:lang w:eastAsia="de-DE" w:bidi="en-US"/>
    </w:rPr>
  </w:style>
  <w:style w:type="paragraph" w:customStyle="1" w:styleId="Mdeck4textbulletlist">
    <w:name w:val="M_deck_4_text_bullet_list"/>
    <w:basedOn w:val="Mdeck4text"/>
    <w:qFormat/>
    <w:rsid w:val="003B5B68"/>
    <w:pPr>
      <w:numPr>
        <w:numId w:val="8"/>
      </w:numPr>
      <w:spacing w:before="120" w:after="120" w:line="340" w:lineRule="atLeast"/>
    </w:pPr>
    <w:rPr>
      <w:snapToGrid/>
    </w:rPr>
  </w:style>
  <w:style w:type="paragraph" w:customStyle="1" w:styleId="Mdeck4textfirstlinezero">
    <w:name w:val="M_deck_4_text_firstline_zero"/>
    <w:basedOn w:val="Mdeck4text"/>
    <w:next w:val="Mdeck4text"/>
    <w:qFormat/>
    <w:rsid w:val="003B5B68"/>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3B5B68"/>
    <w:pPr>
      <w:spacing w:line="260" w:lineRule="atLeast"/>
    </w:pPr>
    <w:rPr>
      <w:rFonts w:cs="Times New Roman"/>
      <w:i/>
      <w:kern w:val="0"/>
    </w:rPr>
  </w:style>
  <w:style w:type="paragraph" w:customStyle="1" w:styleId="Mdeck4textlrindent">
    <w:name w:val="M_deck_4_text_lr_indent"/>
    <w:basedOn w:val="Mdeck4text"/>
    <w:qFormat/>
    <w:rsid w:val="003B5B68"/>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3B5B68"/>
    <w:pPr>
      <w:numPr>
        <w:numId w:val="9"/>
      </w:numPr>
      <w:spacing w:before="120" w:after="120" w:line="340" w:lineRule="atLeast"/>
    </w:pPr>
    <w:rPr>
      <w:snapToGrid/>
    </w:rPr>
  </w:style>
  <w:style w:type="paragraph" w:customStyle="1" w:styleId="Mdeck5tablebody">
    <w:name w:val="M_deck_5_table_body"/>
    <w:qFormat/>
    <w:rsid w:val="003B5B68"/>
    <w:pPr>
      <w:kinsoku w:val="0"/>
      <w:overflowPunct w:val="0"/>
      <w:autoSpaceDE w:val="0"/>
      <w:autoSpaceDN w:val="0"/>
      <w:adjustRightInd w:val="0"/>
      <w:snapToGrid w:val="0"/>
      <w:spacing w:line="260" w:lineRule="atLeast"/>
      <w:jc w:val="center"/>
    </w:pPr>
    <w:rPr>
      <w:rFonts w:ascii="Minion Pro" w:eastAsia="Times New Roman" w:hAnsi="Minion Pro" w:cs="Times New Roman"/>
      <w:snapToGrid w:val="0"/>
      <w:color w:val="000000"/>
      <w:kern w:val="0"/>
      <w:lang w:eastAsia="de-DE" w:bidi="en-US"/>
    </w:rPr>
  </w:style>
  <w:style w:type="table" w:customStyle="1" w:styleId="Mdeck5tablebodythreelines">
    <w:name w:val="M_deck_5_table_body_three_lines"/>
    <w:basedOn w:val="TableNormal"/>
    <w:uiPriority w:val="99"/>
    <w:rsid w:val="003B5B68"/>
    <w:pPr>
      <w:adjustRightInd w:val="0"/>
      <w:snapToGrid w:val="0"/>
      <w:spacing w:line="300" w:lineRule="exact"/>
      <w:jc w:val="center"/>
    </w:pPr>
    <w:rPr>
      <w:rFonts w:ascii="Palatino Linotype" w:eastAsiaTheme="minorEastAsia" w:hAnsi="Palatino Linotype" w:cs="Times New Roman"/>
      <w:color w:val="000000"/>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3B5B68"/>
    <w:pPr>
      <w:kinsoku w:val="0"/>
      <w:overflowPunct w:val="0"/>
      <w:autoSpaceDE w:val="0"/>
      <w:autoSpaceDN w:val="0"/>
      <w:adjustRightInd w:val="0"/>
      <w:snapToGrid w:val="0"/>
      <w:spacing w:after="120" w:line="260" w:lineRule="atLeast"/>
      <w:jc w:val="both"/>
    </w:pPr>
    <w:rPr>
      <w:rFonts w:ascii="Palatino Linotype" w:eastAsia="Times New Roman" w:hAnsi="Palatino Linotype" w:cs="Times New Roman"/>
      <w:snapToGrid w:val="0"/>
      <w:color w:val="000000"/>
      <w:kern w:val="0"/>
      <w:lang w:eastAsia="de-DE" w:bidi="en-US"/>
    </w:rPr>
  </w:style>
  <w:style w:type="paragraph" w:customStyle="1" w:styleId="Mdeck5tablefooter">
    <w:name w:val="M_deck_5_table_footer"/>
    <w:basedOn w:val="Mdeck5tablecaption"/>
    <w:next w:val="Mdeck4text"/>
    <w:qFormat/>
    <w:rsid w:val="003B5B68"/>
    <w:pPr>
      <w:spacing w:line="300" w:lineRule="exact"/>
    </w:pPr>
  </w:style>
  <w:style w:type="paragraph" w:customStyle="1" w:styleId="Mdeck5tableheader">
    <w:name w:val="M_deck_5_table_header"/>
    <w:basedOn w:val="Mdeck5tablefooter"/>
    <w:rsid w:val="003B5B68"/>
  </w:style>
  <w:style w:type="paragraph" w:customStyle="1" w:styleId="Mdeck6figurebody">
    <w:name w:val="M_deck_6_figure_body"/>
    <w:qFormat/>
    <w:rsid w:val="003B5B68"/>
    <w:pPr>
      <w:widowControl w:val="0"/>
      <w:kinsoku w:val="0"/>
      <w:overflowPunct w:val="0"/>
      <w:autoSpaceDE w:val="0"/>
      <w:autoSpaceDN w:val="0"/>
      <w:adjustRightInd w:val="0"/>
      <w:snapToGrid w:val="0"/>
      <w:spacing w:line="340" w:lineRule="atLeast"/>
      <w:jc w:val="center"/>
    </w:pPr>
    <w:rPr>
      <w:rFonts w:ascii="Palatino Linotype" w:eastAsia="Times New Roman" w:hAnsi="Palatino Linotype" w:cs="Times New Roman"/>
      <w:snapToGrid w:val="0"/>
      <w:color w:val="000000"/>
      <w:kern w:val="0"/>
      <w:sz w:val="24"/>
      <w:lang w:eastAsia="de-DE" w:bidi="en-US"/>
    </w:rPr>
  </w:style>
  <w:style w:type="paragraph" w:customStyle="1" w:styleId="Mdeck6figurecaption">
    <w:name w:val="M_deck_6_figure_caption"/>
    <w:next w:val="Mdeck4text"/>
    <w:qFormat/>
    <w:rsid w:val="003B5B68"/>
    <w:pPr>
      <w:adjustRightInd w:val="0"/>
      <w:snapToGrid w:val="0"/>
      <w:spacing w:before="120" w:line="260" w:lineRule="atLeast"/>
      <w:jc w:val="both"/>
    </w:pPr>
    <w:rPr>
      <w:rFonts w:ascii="Palatino Linotype" w:eastAsia="Times New Roman" w:hAnsi="Palatino Linotype" w:cs="Times New Roman"/>
      <w:snapToGrid w:val="0"/>
      <w:color w:val="000000"/>
      <w:kern w:val="0"/>
      <w:lang w:eastAsia="de-DE" w:bidi="en-US"/>
    </w:rPr>
  </w:style>
  <w:style w:type="paragraph" w:customStyle="1" w:styleId="Mdeck7equation">
    <w:name w:val="M_deck_7_equation"/>
    <w:basedOn w:val="Mdeck4text"/>
    <w:qFormat/>
    <w:rsid w:val="003B5B68"/>
    <w:pPr>
      <w:spacing w:before="120" w:after="120"/>
      <w:ind w:left="709" w:firstLine="0"/>
      <w:jc w:val="center"/>
    </w:pPr>
    <w:rPr>
      <w:i/>
      <w:snapToGrid/>
      <w:szCs w:val="24"/>
      <w:lang w:eastAsia="en-US"/>
    </w:rPr>
  </w:style>
  <w:style w:type="paragraph" w:customStyle="1" w:styleId="Mdeck8references">
    <w:name w:val="M_deck_8_references"/>
    <w:qFormat/>
    <w:rsid w:val="003B5B68"/>
    <w:pPr>
      <w:numPr>
        <w:numId w:val="10"/>
      </w:numPr>
      <w:kinsoku w:val="0"/>
      <w:overflowPunct w:val="0"/>
      <w:autoSpaceDE w:val="0"/>
      <w:autoSpaceDN w:val="0"/>
      <w:adjustRightInd w:val="0"/>
      <w:snapToGrid w:val="0"/>
      <w:spacing w:line="260" w:lineRule="atLeast"/>
      <w:jc w:val="both"/>
    </w:pPr>
    <w:rPr>
      <w:rFonts w:ascii="Palatino Linotype" w:eastAsia="Times New Roman" w:hAnsi="Palatino Linotype" w:cs="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basedOn w:val="DefaultParagraphFont"/>
    <w:link w:val="CommentText"/>
    <w:uiPriority w:val="99"/>
    <w:rsid w:val="00F87A76"/>
    <w:rPr>
      <w:rFonts w:eastAsia="Times New Roman" w:cs="Times New Roman"/>
      <w:color w:val="000000"/>
      <w:kern w:val="0"/>
      <w:sz w:val="24"/>
      <w:lang w:eastAsia="de-DE"/>
    </w:rPr>
  </w:style>
  <w:style w:type="character" w:styleId="CommentReference">
    <w:name w:val="annotation reference"/>
    <w:basedOn w:val="DefaultParagraphFont"/>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basedOn w:val="CommentText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uiPriority w:val="35"/>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3B5B68"/>
    <w:pPr>
      <w:adjustRightInd w:val="0"/>
      <w:snapToGrid w:val="0"/>
      <w:spacing w:line="260" w:lineRule="atLeast"/>
      <w:ind w:left="850" w:hanging="425"/>
      <w:jc w:val="both"/>
    </w:pPr>
    <w:rPr>
      <w:rFonts w:ascii="Palatino Linotype" w:eastAsia="Times New Roman" w:hAnsi="Palatino Linotype" w:cs="Times New Roman"/>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2"/>
      </w:numPr>
      <w:ind w:left="425" w:hanging="425"/>
    </w:pPr>
  </w:style>
  <w:style w:type="paragraph" w:customStyle="1" w:styleId="MDPI38bullet">
    <w:name w:val="MDPI_3.8_bullet"/>
    <w:basedOn w:val="MDPI31text"/>
    <w:qFormat/>
    <w:rsid w:val="00B83B50"/>
    <w:pPr>
      <w:numPr>
        <w:numId w:val="3"/>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4"/>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Emphasis">
    <w:name w:val="Emphasis"/>
    <w:basedOn w:val="DefaultParagraphFont"/>
    <w:uiPriority w:val="20"/>
    <w:qFormat/>
    <w:rsid w:val="002C22B4"/>
    <w:rPr>
      <w:i/>
      <w:iCs/>
    </w:rPr>
  </w:style>
  <w:style w:type="paragraph" w:styleId="Revision">
    <w:name w:val="Revision"/>
    <w:hidden/>
    <w:uiPriority w:val="99"/>
    <w:semiHidden/>
    <w:rsid w:val="002C22B4"/>
    <w:rPr>
      <w:rFonts w:asciiTheme="minorHAnsi" w:eastAsiaTheme="minorHAnsi" w:hAnsiTheme="minorHAnsi"/>
      <w:kern w:val="0"/>
      <w:sz w:val="22"/>
      <w:szCs w:val="22"/>
      <w:lang w:val="en-GB" w:eastAsia="en-US"/>
    </w:rPr>
  </w:style>
  <w:style w:type="table" w:customStyle="1" w:styleId="TableGrid1">
    <w:name w:val="Table Grid1"/>
    <w:basedOn w:val="TableNormal"/>
    <w:next w:val="TableGrid"/>
    <w:uiPriority w:val="59"/>
    <w:rsid w:val="002C22B4"/>
    <w:rPr>
      <w:rFonts w:asciiTheme="minorHAnsi" w:eastAsiaTheme="minorHAnsi" w:hAnsiTheme="minorHAnsi"/>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meta-info-data">
    <w:name w:val="article-header__meta-info-data"/>
    <w:basedOn w:val="DefaultParagraphFont"/>
    <w:rsid w:val="002C22B4"/>
  </w:style>
  <w:style w:type="character" w:customStyle="1" w:styleId="UnresolvedMention1">
    <w:name w:val="Unresolved Mention1"/>
    <w:basedOn w:val="DefaultParagraphFont"/>
    <w:uiPriority w:val="99"/>
    <w:semiHidden/>
    <w:unhideWhenUsed/>
    <w:rsid w:val="002C22B4"/>
    <w:rPr>
      <w:color w:val="808080"/>
      <w:shd w:val="clear" w:color="auto" w:fill="E6E6E6"/>
    </w:rPr>
  </w:style>
  <w:style w:type="paragraph" w:customStyle="1" w:styleId="Mdeck4ref-citation">
    <w:name w:val="M_deck_4_ref-citation"/>
    <w:basedOn w:val="BodyText"/>
    <w:qFormat/>
    <w:rsid w:val="003B5B68"/>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20"/>
      <w:lang w:bidi="en-US"/>
    </w:rPr>
  </w:style>
  <w:style w:type="paragraph" w:customStyle="1" w:styleId="Mdeck4ref-citation-red">
    <w:name w:val="M_deck_4_ref-citation-red"/>
    <w:basedOn w:val="BodyText"/>
    <w:qFormat/>
    <w:rsid w:val="003B5B68"/>
    <w:pPr>
      <w:kinsoku w:val="0"/>
      <w:overflowPunct w:val="0"/>
      <w:autoSpaceDE w:val="0"/>
      <w:autoSpaceDN w:val="0"/>
      <w:adjustRightInd w:val="0"/>
      <w:snapToGrid w:val="0"/>
      <w:spacing w:line="320" w:lineRule="atLeast"/>
      <w:ind w:firstLine="425"/>
    </w:pPr>
    <w:rPr>
      <w:rFonts w:ascii="Palatino Linotype" w:eastAsia="Times New Roman" w:hAnsi="Palatino Linotype"/>
      <w:snapToGrid w:val="0"/>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2702">
      <w:bodyDiv w:val="1"/>
      <w:marLeft w:val="0"/>
      <w:marRight w:val="0"/>
      <w:marTop w:val="0"/>
      <w:marBottom w:val="0"/>
      <w:divBdr>
        <w:top w:val="none" w:sz="0" w:space="0" w:color="auto"/>
        <w:left w:val="none" w:sz="0" w:space="0" w:color="auto"/>
        <w:bottom w:val="none" w:sz="0" w:space="0" w:color="auto"/>
        <w:right w:val="none" w:sz="0" w:space="0" w:color="auto"/>
      </w:divBdr>
    </w:div>
    <w:div w:id="652683795">
      <w:bodyDiv w:val="1"/>
      <w:marLeft w:val="0"/>
      <w:marRight w:val="0"/>
      <w:marTop w:val="0"/>
      <w:marBottom w:val="0"/>
      <w:divBdr>
        <w:top w:val="none" w:sz="0" w:space="0" w:color="auto"/>
        <w:left w:val="none" w:sz="0" w:space="0" w:color="auto"/>
        <w:bottom w:val="none" w:sz="0" w:space="0" w:color="auto"/>
        <w:right w:val="none" w:sz="0" w:space="0" w:color="auto"/>
      </w:divBdr>
    </w:div>
    <w:div w:id="1714771323">
      <w:bodyDiv w:val="1"/>
      <w:marLeft w:val="0"/>
      <w:marRight w:val="0"/>
      <w:marTop w:val="0"/>
      <w:marBottom w:val="0"/>
      <w:divBdr>
        <w:top w:val="none" w:sz="0" w:space="0" w:color="auto"/>
        <w:left w:val="none" w:sz="0" w:space="0" w:color="auto"/>
        <w:bottom w:val="none" w:sz="0" w:space="0" w:color="auto"/>
        <w:right w:val="none" w:sz="0" w:space="0" w:color="auto"/>
      </w:divBdr>
    </w:div>
    <w:div w:id="17647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ld.S@cambridgeassessment.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oyland@liverpool.ac.uk"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jasonh@liverpool.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rrold@liverpool.ac.uk" TargetMode="External"/><Relationship Id="rId14" Type="http://schemas.openxmlformats.org/officeDocument/2006/relationships/header" Target="header1.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20Ruiz\AppData\Roaming\Skype\My%20Skype%20Received%20Files\ijerph-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A951-184E-4563-A26D-B9CDFF7C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ijerph-template.dot</Template>
  <TotalTime>1</TotalTime>
  <Pages>10</Pages>
  <Words>5220</Words>
  <Characters>46570</Characters>
  <Application>Microsoft Office Word</Application>
  <DocSecurity>0</DocSecurity>
  <Lines>388</Lines>
  <Paragraphs>103</Paragraphs>
  <ScaleCrop>false</ScaleCrop>
  <HeadingPairs>
    <vt:vector size="2" baseType="variant">
      <vt:variant>
        <vt:lpstr>Title</vt:lpstr>
      </vt:variant>
      <vt:variant>
        <vt:i4>1</vt:i4>
      </vt:variant>
    </vt:vector>
  </HeadingPairs>
  <TitlesOfParts>
    <vt:vector size="1" baseType="lpstr">
      <vt:lpstr>A</vt:lpstr>
    </vt:vector>
  </TitlesOfParts>
  <Company>The University of Liverpool</Company>
  <LinksUpToDate>false</LinksUpToDate>
  <CharactersWithSpaces>51687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MDPI</dc:creator>
  <cp:lastModifiedBy>Whalen, Rosa</cp:lastModifiedBy>
  <cp:revision>3</cp:revision>
  <dcterms:created xsi:type="dcterms:W3CDTF">2018-03-21T09:26:00Z</dcterms:created>
  <dcterms:modified xsi:type="dcterms:W3CDTF">2018-03-21T09:26:00Z</dcterms:modified>
</cp:coreProperties>
</file>