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4C5" w:rsidRDefault="00BF54C5" w:rsidP="00BF54C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Metabolically healthy and unhealthy obesity; metabolic health status rather than obesity is a more accurate prognostic marker for cardiovascular health</w:t>
      </w:r>
    </w:p>
    <w:p w:rsidR="00BF54C5" w:rsidRDefault="00BF54C5" w:rsidP="00BF54C5">
      <w:pPr>
        <w:spacing w:line="276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765ABA">
        <w:rPr>
          <w:rFonts w:ascii="Times New Roman" w:hAnsi="Times New Roman" w:cs="Times New Roman"/>
          <w:sz w:val="24"/>
          <w:szCs w:val="24"/>
        </w:rPr>
        <w:t>S Sprung</w:t>
      </w:r>
      <w:r w:rsidRPr="0095236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,2</w:t>
      </w:r>
      <w:proofErr w:type="gramEnd"/>
      <w:r w:rsidRPr="00765AB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 A Bowden Davies</w:t>
      </w:r>
      <w:r w:rsidRPr="0095236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,2</w:t>
      </w:r>
      <w:r>
        <w:rPr>
          <w:rFonts w:ascii="Times New Roman" w:hAnsi="Times New Roman" w:cs="Times New Roman"/>
          <w:sz w:val="24"/>
          <w:szCs w:val="24"/>
        </w:rPr>
        <w:t>, J</w:t>
      </w:r>
      <w:r w:rsidRPr="00765ABA">
        <w:rPr>
          <w:rFonts w:ascii="Times New Roman" w:hAnsi="Times New Roman" w:cs="Times New Roman"/>
          <w:sz w:val="24"/>
          <w:szCs w:val="24"/>
        </w:rPr>
        <w:t xml:space="preserve"> A Norman</w:t>
      </w:r>
      <w:r w:rsidRPr="0095236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,2</w:t>
      </w:r>
      <w:r w:rsidRPr="00765AB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65ABA">
        <w:rPr>
          <w:rFonts w:ascii="Times New Roman" w:hAnsi="Times New Roman" w:cs="Times New Roman"/>
          <w:sz w:val="24"/>
          <w:szCs w:val="24"/>
        </w:rPr>
        <w:t xml:space="preserve"> Thompson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65AB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765ABA">
        <w:rPr>
          <w:rFonts w:ascii="Times New Roman" w:hAnsi="Times New Roman" w:cs="Times New Roman"/>
          <w:sz w:val="24"/>
          <w:szCs w:val="24"/>
        </w:rPr>
        <w:t>PH Wilding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2.4</w:t>
      </w:r>
      <w:r w:rsidRPr="00765A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 Jones</w:t>
      </w:r>
      <w:r w:rsidRPr="00FC72A2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5A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765ABA">
        <w:rPr>
          <w:rFonts w:ascii="Times New Roman" w:hAnsi="Times New Roman" w:cs="Times New Roman"/>
          <w:sz w:val="24"/>
          <w:szCs w:val="24"/>
        </w:rPr>
        <w:t>J Kemp</w:t>
      </w:r>
      <w:r w:rsidRPr="00952361">
        <w:rPr>
          <w:rFonts w:ascii="Times New Roman" w:hAnsi="Times New Roman" w:cs="Times New Roman"/>
          <w:sz w:val="24"/>
          <w:szCs w:val="24"/>
          <w:vertAlign w:val="superscript"/>
        </w:rPr>
        <w:t>1,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765AB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DJ Cuthbertson</w:t>
      </w:r>
      <w:r w:rsidRPr="0095236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,2</w:t>
      </w:r>
    </w:p>
    <w:p w:rsidR="00BF54C5" w:rsidRDefault="00BF54C5" w:rsidP="00BF54C5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Department of Musculoskeletal Biology, Institute of Ageing &amp; Chronic Disease, University of Liverpool, Liverpool, UK, 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Obesity and Endocrinology Research Group, University Hospital Aintree, Liverpool, 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  <w:lang w:eastAsia="en-GB"/>
        </w:rPr>
        <w:t xml:space="preserve">Wolfson Centre for Personalised Medicine, Institute of Translational Medicine, University of Liverpool, UK, </w:t>
      </w:r>
      <w:r>
        <w:rPr>
          <w:rFonts w:ascii="Times New Roman" w:hAnsi="Times New Roman"/>
          <w:sz w:val="24"/>
          <w:szCs w:val="24"/>
          <w:vertAlign w:val="superscript"/>
        </w:rPr>
        <w:t>4</w:t>
      </w:r>
      <w:r>
        <w:rPr>
          <w:rFonts w:ascii="Times New Roman" w:hAnsi="Times New Roman"/>
          <w:sz w:val="24"/>
          <w:szCs w:val="24"/>
        </w:rPr>
        <w:t xml:space="preserve">Department of Eye and Vision Sciences, Institute of Ageing &amp; Chronic Disease, University of Liverpool, Liverpool, UK, </w:t>
      </w:r>
      <w:r w:rsidRPr="00414084">
        <w:rPr>
          <w:rFonts w:ascii="Times New Roman" w:hAnsi="Times New Roman"/>
          <w:sz w:val="24"/>
          <w:szCs w:val="24"/>
          <w:vertAlign w:val="superscript"/>
        </w:rPr>
        <w:t>5</w:t>
      </w:r>
      <w:r w:rsidRPr="00FC72A2">
        <w:rPr>
          <w:rFonts w:ascii="Times New Roman" w:hAnsi="Times New Roman"/>
          <w:sz w:val="24"/>
          <w:szCs w:val="24"/>
        </w:rPr>
        <w:t xml:space="preserve">Research Institute for Sport and Exercise Sciences, Liverpool John </w:t>
      </w:r>
      <w:proofErr w:type="spellStart"/>
      <w:r w:rsidRPr="00FC72A2">
        <w:rPr>
          <w:rFonts w:ascii="Times New Roman" w:hAnsi="Times New Roman"/>
          <w:sz w:val="24"/>
          <w:szCs w:val="24"/>
        </w:rPr>
        <w:t>Moores</w:t>
      </w:r>
      <w:proofErr w:type="spellEnd"/>
      <w:r w:rsidRPr="00FC72A2">
        <w:rPr>
          <w:rFonts w:ascii="Times New Roman" w:hAnsi="Times New Roman"/>
          <w:sz w:val="24"/>
          <w:szCs w:val="24"/>
        </w:rPr>
        <w:t xml:space="preserve"> University, Liverpool, UK</w:t>
      </w:r>
      <w:r>
        <w:rPr>
          <w:rFonts w:ascii="Times New Roman" w:hAnsi="Times New Roman"/>
          <w:sz w:val="24"/>
          <w:szCs w:val="24"/>
          <w:vertAlign w:val="superscript"/>
        </w:rPr>
        <w:t>, 6</w:t>
      </w:r>
      <w:r w:rsidRPr="00414084">
        <w:rPr>
          <w:rFonts w:ascii="Times New Roman" w:hAnsi="Times New Roman"/>
          <w:sz w:val="24"/>
          <w:szCs w:val="24"/>
        </w:rPr>
        <w:t>Liverpool</w:t>
      </w:r>
      <w:r>
        <w:rPr>
          <w:rFonts w:ascii="Times New Roman" w:hAnsi="Times New Roman"/>
          <w:sz w:val="24"/>
          <w:szCs w:val="24"/>
        </w:rPr>
        <w:t xml:space="preserve"> Magnetic Resonance Imaging Centre (</w:t>
      </w:r>
      <w:proofErr w:type="spellStart"/>
      <w:r>
        <w:rPr>
          <w:rFonts w:ascii="Times New Roman" w:hAnsi="Times New Roman"/>
          <w:sz w:val="24"/>
          <w:szCs w:val="24"/>
        </w:rPr>
        <w:t>LiMRIC</w:t>
      </w:r>
      <w:proofErr w:type="spellEnd"/>
      <w:r>
        <w:rPr>
          <w:rFonts w:ascii="Times New Roman" w:hAnsi="Times New Roman"/>
          <w:sz w:val="24"/>
          <w:szCs w:val="24"/>
        </w:rPr>
        <w:t>), University of Liverpool, Liverpool, UK.</w:t>
      </w:r>
    </w:p>
    <w:p w:rsidR="00952361" w:rsidRDefault="00952361" w:rsidP="0095236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en-GB"/>
        </w:rPr>
      </w:pPr>
    </w:p>
    <w:p w:rsidR="000E541A" w:rsidRDefault="000E541A" w:rsidP="009523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F7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en-GB"/>
        </w:rPr>
        <w:t>Aims</w:t>
      </w:r>
      <w:r w:rsidR="0095236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en-GB"/>
        </w:rPr>
        <w:t>:</w:t>
      </w:r>
      <w:r w:rsidRPr="003D3F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r w:rsidR="0056334C">
        <w:rPr>
          <w:rFonts w:ascii="Times New Roman" w:hAnsi="Times New Roman" w:cs="Times New Roman"/>
          <w:sz w:val="24"/>
          <w:szCs w:val="24"/>
        </w:rPr>
        <w:t xml:space="preserve">Obesity and the metabolic syndrome are both associated with an adverse cardiovascular risk profile. </w:t>
      </w:r>
      <w:r w:rsidR="0048466A">
        <w:rPr>
          <w:rFonts w:ascii="Times New Roman" w:hAnsi="Times New Roman" w:cs="Times New Roman"/>
          <w:sz w:val="24"/>
          <w:szCs w:val="24"/>
        </w:rPr>
        <w:t>Nevertheless, t</w:t>
      </w:r>
      <w:r w:rsidR="0056334C">
        <w:rPr>
          <w:rFonts w:ascii="Times New Roman" w:hAnsi="Times New Roman" w:cs="Times New Roman"/>
          <w:sz w:val="24"/>
          <w:szCs w:val="24"/>
        </w:rPr>
        <w:t xml:space="preserve">he </w:t>
      </w:r>
      <w:r w:rsidR="00F40856">
        <w:rPr>
          <w:rFonts w:ascii="Times New Roman" w:hAnsi="Times New Roman" w:cs="Times New Roman"/>
          <w:sz w:val="24"/>
          <w:szCs w:val="24"/>
        </w:rPr>
        <w:t>concept of ‘</w:t>
      </w:r>
      <w:r w:rsidR="0056334C">
        <w:rPr>
          <w:rFonts w:ascii="Times New Roman" w:hAnsi="Times New Roman" w:cs="Times New Roman"/>
          <w:sz w:val="24"/>
          <w:szCs w:val="24"/>
        </w:rPr>
        <w:t>metabolically healthy’ obesity</w:t>
      </w:r>
      <w:r w:rsidR="00F40856">
        <w:rPr>
          <w:rFonts w:ascii="Times New Roman" w:hAnsi="Times New Roman" w:cs="Times New Roman"/>
          <w:sz w:val="24"/>
          <w:szCs w:val="24"/>
        </w:rPr>
        <w:t>’</w:t>
      </w:r>
      <w:r w:rsidR="0056334C">
        <w:rPr>
          <w:rFonts w:ascii="Times New Roman" w:hAnsi="Times New Roman" w:cs="Times New Roman"/>
          <w:sz w:val="24"/>
          <w:szCs w:val="24"/>
        </w:rPr>
        <w:t xml:space="preserve"> (MHO) has emerged and </w:t>
      </w:r>
      <w:r w:rsidR="0056334C" w:rsidRPr="0056334C">
        <w:rPr>
          <w:rFonts w:ascii="Times New Roman" w:hAnsi="Times New Roman" w:cs="Times New Roman"/>
          <w:sz w:val="24"/>
          <w:szCs w:val="24"/>
        </w:rPr>
        <w:t xml:space="preserve">epidemiological data suggest that MHO </w:t>
      </w:r>
      <w:r w:rsidR="003517A8">
        <w:rPr>
          <w:rFonts w:ascii="Times New Roman" w:hAnsi="Times New Roman" w:cs="Times New Roman"/>
          <w:sz w:val="24"/>
          <w:szCs w:val="24"/>
        </w:rPr>
        <w:t>bears a</w:t>
      </w:r>
      <w:r w:rsidR="0056334C" w:rsidRPr="0056334C">
        <w:rPr>
          <w:rFonts w:ascii="Times New Roman" w:hAnsi="Times New Roman" w:cs="Times New Roman"/>
          <w:sz w:val="24"/>
          <w:szCs w:val="24"/>
        </w:rPr>
        <w:t xml:space="preserve"> lower risk of cardiovascular disease (CVD) than being </w:t>
      </w:r>
      <w:r w:rsidR="00F40856">
        <w:rPr>
          <w:rFonts w:ascii="Times New Roman" w:hAnsi="Times New Roman" w:cs="Times New Roman"/>
          <w:sz w:val="24"/>
          <w:szCs w:val="24"/>
        </w:rPr>
        <w:t xml:space="preserve">of </w:t>
      </w:r>
      <w:r w:rsidR="00952361">
        <w:rPr>
          <w:rFonts w:ascii="Times New Roman" w:hAnsi="Times New Roman" w:cs="Times New Roman"/>
          <w:sz w:val="24"/>
          <w:szCs w:val="24"/>
        </w:rPr>
        <w:t>healthy</w:t>
      </w:r>
      <w:r w:rsidR="0056334C" w:rsidRPr="0056334C">
        <w:rPr>
          <w:rFonts w:ascii="Times New Roman" w:hAnsi="Times New Roman" w:cs="Times New Roman"/>
          <w:sz w:val="24"/>
          <w:szCs w:val="24"/>
        </w:rPr>
        <w:t xml:space="preserve"> weight yet metabolically unhealthy.</w:t>
      </w:r>
      <w:r w:rsidR="0056334C">
        <w:rPr>
          <w:rFonts w:ascii="Times New Roman" w:hAnsi="Times New Roman" w:cs="Times New Roman"/>
          <w:sz w:val="24"/>
          <w:szCs w:val="24"/>
        </w:rPr>
        <w:t xml:space="preserve"> The aim of the current study </w:t>
      </w:r>
      <w:r w:rsidR="00952361">
        <w:rPr>
          <w:rFonts w:ascii="Times New Roman" w:hAnsi="Times New Roman" w:cs="Times New Roman"/>
          <w:sz w:val="24"/>
          <w:szCs w:val="24"/>
        </w:rPr>
        <w:t>i</w:t>
      </w:r>
      <w:r w:rsidR="0056334C">
        <w:rPr>
          <w:rFonts w:ascii="Times New Roman" w:hAnsi="Times New Roman" w:cs="Times New Roman"/>
          <w:sz w:val="24"/>
          <w:szCs w:val="24"/>
        </w:rPr>
        <w:t xml:space="preserve">s to explore the impact of obesity and metabolic health </w:t>
      </w:r>
      <w:r w:rsidR="0048466A">
        <w:rPr>
          <w:rFonts w:ascii="Times New Roman" w:hAnsi="Times New Roman" w:cs="Times New Roman"/>
          <w:sz w:val="24"/>
          <w:szCs w:val="24"/>
        </w:rPr>
        <w:t>o</w:t>
      </w:r>
      <w:r w:rsidR="003517A8">
        <w:rPr>
          <w:rFonts w:ascii="Times New Roman" w:hAnsi="Times New Roman" w:cs="Times New Roman"/>
          <w:sz w:val="24"/>
          <w:szCs w:val="24"/>
        </w:rPr>
        <w:t>n</w:t>
      </w:r>
      <w:r w:rsidR="0048466A">
        <w:rPr>
          <w:rFonts w:ascii="Times New Roman" w:hAnsi="Times New Roman" w:cs="Times New Roman"/>
          <w:sz w:val="24"/>
          <w:szCs w:val="24"/>
        </w:rPr>
        <w:t xml:space="preserve"> endothelial function</w:t>
      </w:r>
      <w:r w:rsidR="003517A8">
        <w:rPr>
          <w:rFonts w:ascii="Times New Roman" w:hAnsi="Times New Roman" w:cs="Times New Roman"/>
          <w:sz w:val="24"/>
          <w:szCs w:val="24"/>
        </w:rPr>
        <w:t>, an early barometer of CVD,</w:t>
      </w:r>
      <w:r w:rsidR="0048466A">
        <w:rPr>
          <w:rFonts w:ascii="Times New Roman" w:hAnsi="Times New Roman" w:cs="Times New Roman"/>
          <w:sz w:val="24"/>
          <w:szCs w:val="24"/>
        </w:rPr>
        <w:t xml:space="preserve"> by phenotyping participants according to obesity and metabolic health status.</w:t>
      </w:r>
    </w:p>
    <w:p w:rsidR="003B0793" w:rsidRPr="00B71BFF" w:rsidRDefault="000E541A" w:rsidP="009523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F7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en-GB"/>
        </w:rPr>
        <w:t>Methods</w:t>
      </w:r>
      <w:r w:rsidR="0095236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en-GB"/>
        </w:rPr>
        <w:t>:</w:t>
      </w:r>
      <w:r w:rsidRPr="003D3F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r w:rsidR="003B0793">
        <w:rPr>
          <w:rFonts w:ascii="Times New Roman" w:hAnsi="Times New Roman" w:cs="Times New Roman"/>
          <w:sz w:val="24"/>
          <w:szCs w:val="24"/>
        </w:rPr>
        <w:t>Thirty-two</w:t>
      </w:r>
      <w:r w:rsidRPr="003D3F7D">
        <w:rPr>
          <w:rFonts w:ascii="Times New Roman" w:hAnsi="Times New Roman" w:cs="Times New Roman"/>
          <w:sz w:val="24"/>
          <w:szCs w:val="24"/>
        </w:rPr>
        <w:t xml:space="preserve"> participants </w:t>
      </w:r>
      <w:r w:rsidR="003B0793">
        <w:rPr>
          <w:rFonts w:ascii="Times New Roman" w:hAnsi="Times New Roman" w:cs="Times New Roman"/>
          <w:sz w:val="24"/>
          <w:szCs w:val="24"/>
        </w:rPr>
        <w:t>were categorised for obesity status and the International Diabetes Federation (IDF) criteria of metabolic syndrome</w:t>
      </w:r>
      <w:r w:rsidRPr="003D3F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54C5">
        <w:rPr>
          <w:rFonts w:ascii="Times New Roman" w:hAnsi="Times New Roman" w:cs="Times New Roman"/>
          <w:sz w:val="24"/>
          <w:szCs w:val="24"/>
        </w:rPr>
        <w:t>Sixteen</w:t>
      </w:r>
      <w:r w:rsidR="003B0793">
        <w:rPr>
          <w:rFonts w:ascii="Times New Roman" w:hAnsi="Times New Roman" w:cs="Times New Roman"/>
          <w:sz w:val="24"/>
          <w:szCs w:val="24"/>
        </w:rPr>
        <w:t xml:space="preserve"> individuals were non-obese</w:t>
      </w:r>
      <w:r w:rsidR="003517A8">
        <w:rPr>
          <w:rFonts w:ascii="Times New Roman" w:hAnsi="Times New Roman" w:cs="Times New Roman"/>
          <w:sz w:val="24"/>
          <w:szCs w:val="24"/>
        </w:rPr>
        <w:t>,</w:t>
      </w:r>
      <w:r w:rsidR="003B0793">
        <w:rPr>
          <w:rFonts w:ascii="Times New Roman" w:hAnsi="Times New Roman" w:cs="Times New Roman"/>
          <w:sz w:val="24"/>
          <w:szCs w:val="24"/>
        </w:rPr>
        <w:t xml:space="preserve"> of which 7 were</w:t>
      </w:r>
      <w:r w:rsidR="0056334C">
        <w:rPr>
          <w:rFonts w:ascii="Times New Roman" w:hAnsi="Times New Roman" w:cs="Times New Roman"/>
          <w:sz w:val="24"/>
          <w:szCs w:val="24"/>
        </w:rPr>
        <w:t xml:space="preserve"> classified</w:t>
      </w:r>
      <w:r w:rsidR="003B0793">
        <w:rPr>
          <w:rFonts w:ascii="Times New Roman" w:hAnsi="Times New Roman" w:cs="Times New Roman"/>
          <w:sz w:val="24"/>
          <w:szCs w:val="24"/>
        </w:rPr>
        <w:t xml:space="preserve"> ‘</w:t>
      </w:r>
      <w:r w:rsidR="00BF54C5">
        <w:rPr>
          <w:rFonts w:ascii="Times New Roman" w:hAnsi="Times New Roman" w:cs="Times New Roman"/>
          <w:sz w:val="24"/>
          <w:szCs w:val="24"/>
        </w:rPr>
        <w:t xml:space="preserve">metabolically </w:t>
      </w:r>
      <w:r w:rsidR="003B0793">
        <w:rPr>
          <w:rFonts w:ascii="Times New Roman" w:hAnsi="Times New Roman" w:cs="Times New Roman"/>
          <w:sz w:val="24"/>
          <w:szCs w:val="24"/>
        </w:rPr>
        <w:t>unhealthy’</w:t>
      </w:r>
      <w:r w:rsidR="003517A8">
        <w:rPr>
          <w:rFonts w:ascii="Times New Roman" w:hAnsi="Times New Roman" w:cs="Times New Roman"/>
          <w:sz w:val="24"/>
          <w:szCs w:val="24"/>
        </w:rPr>
        <w:t>,</w:t>
      </w:r>
      <w:r w:rsidR="003B0793">
        <w:rPr>
          <w:rFonts w:ascii="Times New Roman" w:hAnsi="Times New Roman" w:cs="Times New Roman"/>
          <w:sz w:val="24"/>
          <w:szCs w:val="24"/>
        </w:rPr>
        <w:t xml:space="preserve"> and 16 individuals were obese</w:t>
      </w:r>
      <w:r w:rsidR="003517A8">
        <w:rPr>
          <w:rFonts w:ascii="Times New Roman" w:hAnsi="Times New Roman" w:cs="Times New Roman"/>
          <w:sz w:val="24"/>
          <w:szCs w:val="24"/>
        </w:rPr>
        <w:t>,</w:t>
      </w:r>
      <w:r w:rsidR="003B0793">
        <w:rPr>
          <w:rFonts w:ascii="Times New Roman" w:hAnsi="Times New Roman" w:cs="Times New Roman"/>
          <w:sz w:val="24"/>
          <w:szCs w:val="24"/>
        </w:rPr>
        <w:t xml:space="preserve"> of which 8 were ‘</w:t>
      </w:r>
      <w:r w:rsidR="00BF54C5">
        <w:rPr>
          <w:rFonts w:ascii="Times New Roman" w:hAnsi="Times New Roman" w:cs="Times New Roman"/>
          <w:sz w:val="24"/>
          <w:szCs w:val="24"/>
        </w:rPr>
        <w:t xml:space="preserve">metabolically </w:t>
      </w:r>
      <w:r w:rsidR="003B0793">
        <w:rPr>
          <w:rFonts w:ascii="Times New Roman" w:hAnsi="Times New Roman" w:cs="Times New Roman"/>
          <w:sz w:val="24"/>
          <w:szCs w:val="24"/>
        </w:rPr>
        <w:t xml:space="preserve">unhealthy’. Habitual </w:t>
      </w:r>
      <w:r w:rsidR="003B0793" w:rsidRPr="00B71BFF">
        <w:rPr>
          <w:rFonts w:ascii="Times New Roman" w:hAnsi="Times New Roman" w:cs="Times New Roman"/>
          <w:sz w:val="24"/>
          <w:szCs w:val="24"/>
        </w:rPr>
        <w:t>physical activity</w:t>
      </w:r>
      <w:r w:rsidR="0048466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8466A">
        <w:rPr>
          <w:rFonts w:ascii="Times New Roman" w:hAnsi="Times New Roman" w:cs="Times New Roman"/>
          <w:sz w:val="24"/>
          <w:szCs w:val="24"/>
        </w:rPr>
        <w:t>SenseWear</w:t>
      </w:r>
      <w:proofErr w:type="spellEnd"/>
      <w:r w:rsidR="0048466A">
        <w:rPr>
          <w:rFonts w:ascii="Times New Roman" w:hAnsi="Times New Roman" w:cs="Times New Roman"/>
          <w:sz w:val="24"/>
          <w:szCs w:val="24"/>
        </w:rPr>
        <w:t xml:space="preserve"> armband)</w:t>
      </w:r>
      <w:r w:rsidR="003B0793" w:rsidRPr="00B71BFF">
        <w:rPr>
          <w:rFonts w:ascii="Times New Roman" w:hAnsi="Times New Roman" w:cs="Times New Roman"/>
          <w:sz w:val="24"/>
          <w:szCs w:val="24"/>
        </w:rPr>
        <w:t>, cardio-respiratory fitnes</w:t>
      </w:r>
      <w:r w:rsidR="003B0793">
        <w:rPr>
          <w:rFonts w:ascii="Times New Roman" w:hAnsi="Times New Roman" w:cs="Times New Roman"/>
          <w:sz w:val="24"/>
          <w:szCs w:val="24"/>
        </w:rPr>
        <w:t>s</w:t>
      </w:r>
      <w:r w:rsidR="0048466A">
        <w:rPr>
          <w:rFonts w:ascii="Times New Roman" w:hAnsi="Times New Roman" w:cs="Times New Roman"/>
          <w:sz w:val="24"/>
          <w:szCs w:val="24"/>
        </w:rPr>
        <w:t xml:space="preserve"> (</w:t>
      </w:r>
      <w:r w:rsidR="003C2F4E">
        <w:rPr>
          <w:rFonts w:ascii="Times New Roman" w:hAnsi="Times New Roman" w:cs="Times New Roman"/>
          <w:sz w:val="24"/>
          <w:szCs w:val="24"/>
        </w:rPr>
        <w:t>V</w:t>
      </w:r>
      <w:r w:rsidR="0048466A" w:rsidRPr="003D3F7D">
        <w:rPr>
          <w:rFonts w:ascii="Times New Roman" w:hAnsi="Times New Roman" w:cs="Times New Roman"/>
          <w:sz w:val="24"/>
          <w:szCs w:val="24"/>
        </w:rPr>
        <w:t>O</w:t>
      </w:r>
      <w:r w:rsidR="0048466A" w:rsidRPr="003D3F7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8466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48466A" w:rsidRPr="00961273">
        <w:rPr>
          <w:rFonts w:ascii="Times New Roman" w:hAnsi="Times New Roman" w:cs="Times New Roman"/>
          <w:sz w:val="24"/>
          <w:szCs w:val="24"/>
        </w:rPr>
        <w:t>peak)</w:t>
      </w:r>
      <w:r w:rsidR="003B0793">
        <w:rPr>
          <w:rFonts w:ascii="Times New Roman" w:hAnsi="Times New Roman" w:cs="Times New Roman"/>
          <w:sz w:val="24"/>
          <w:szCs w:val="24"/>
        </w:rPr>
        <w:t>, liver fat (</w:t>
      </w:r>
      <w:r w:rsidR="0048466A">
        <w:rPr>
          <w:rFonts w:ascii="Times New Roman" w:hAnsi="Times New Roman" w:cs="Times New Roman"/>
          <w:sz w:val="24"/>
          <w:szCs w:val="24"/>
        </w:rPr>
        <w:t>MRS</w:t>
      </w:r>
      <w:r w:rsidR="003B0793">
        <w:rPr>
          <w:rFonts w:ascii="Times New Roman" w:hAnsi="Times New Roman" w:cs="Times New Roman"/>
          <w:sz w:val="24"/>
          <w:szCs w:val="24"/>
        </w:rPr>
        <w:t xml:space="preserve">) and </w:t>
      </w:r>
      <w:r w:rsidR="0048466A">
        <w:rPr>
          <w:rFonts w:ascii="Times New Roman" w:hAnsi="Times New Roman" w:cs="Times New Roman"/>
          <w:sz w:val="24"/>
          <w:szCs w:val="24"/>
        </w:rPr>
        <w:t>endothelial function (FMD)</w:t>
      </w:r>
      <w:r w:rsidR="003B0793">
        <w:rPr>
          <w:rFonts w:ascii="Times New Roman" w:hAnsi="Times New Roman" w:cs="Times New Roman"/>
          <w:sz w:val="24"/>
          <w:szCs w:val="24"/>
        </w:rPr>
        <w:t xml:space="preserve"> were determined. Statistical analysis was performed using b</w:t>
      </w:r>
      <w:r w:rsidR="003B0793" w:rsidRPr="00862A7D">
        <w:rPr>
          <w:rFonts w:ascii="Times New Roman" w:hAnsi="Times New Roman" w:cs="Times New Roman"/>
          <w:sz w:val="24"/>
          <w:szCs w:val="24"/>
        </w:rPr>
        <w:t>etween-group univariate general linear models</w:t>
      </w:r>
      <w:r w:rsidR="0048466A">
        <w:rPr>
          <w:rFonts w:ascii="Times New Roman" w:hAnsi="Times New Roman" w:cs="Times New Roman"/>
          <w:sz w:val="24"/>
          <w:szCs w:val="24"/>
        </w:rPr>
        <w:t>.</w:t>
      </w:r>
    </w:p>
    <w:p w:rsidR="0048466A" w:rsidRDefault="000E541A" w:rsidP="009523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F7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en-GB"/>
        </w:rPr>
        <w:t>Results</w:t>
      </w:r>
      <w:r w:rsidR="0095236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en-GB"/>
        </w:rPr>
        <w:t>:</w:t>
      </w:r>
      <w:r w:rsidRPr="003D3F7D">
        <w:rPr>
          <w:rFonts w:ascii="Times New Roman" w:hAnsi="Times New Roman" w:cs="Times New Roman"/>
          <w:sz w:val="24"/>
          <w:szCs w:val="24"/>
        </w:rPr>
        <w:t xml:space="preserve"> </w:t>
      </w:r>
      <w:r w:rsidR="00E72C4E">
        <w:rPr>
          <w:rFonts w:ascii="Times New Roman" w:hAnsi="Times New Roman" w:cs="Times New Roman"/>
          <w:sz w:val="24"/>
          <w:szCs w:val="24"/>
        </w:rPr>
        <w:t xml:space="preserve">In comparison with their </w:t>
      </w:r>
      <w:r w:rsidR="00952361">
        <w:rPr>
          <w:rFonts w:ascii="Times New Roman" w:hAnsi="Times New Roman" w:cs="Times New Roman"/>
          <w:sz w:val="24"/>
          <w:szCs w:val="24"/>
        </w:rPr>
        <w:t>age-matched, healthy counterparts</w:t>
      </w:r>
      <w:r w:rsidR="00F40856">
        <w:rPr>
          <w:rFonts w:ascii="Times New Roman" w:hAnsi="Times New Roman" w:cs="Times New Roman"/>
          <w:sz w:val="24"/>
          <w:szCs w:val="24"/>
        </w:rPr>
        <w:t xml:space="preserve">, </w:t>
      </w:r>
      <w:r w:rsidR="00E72C4E">
        <w:rPr>
          <w:rFonts w:ascii="Times New Roman" w:hAnsi="Times New Roman" w:cs="Times New Roman"/>
          <w:sz w:val="24"/>
          <w:szCs w:val="24"/>
        </w:rPr>
        <w:t xml:space="preserve">metabolically unhealthy </w:t>
      </w:r>
      <w:r w:rsidR="00BF54C5">
        <w:rPr>
          <w:rFonts w:ascii="Times New Roman" w:hAnsi="Times New Roman" w:cs="Times New Roman"/>
          <w:sz w:val="24"/>
          <w:szCs w:val="24"/>
        </w:rPr>
        <w:t>non-obese</w:t>
      </w:r>
      <w:r w:rsidR="00E72C4E">
        <w:rPr>
          <w:rFonts w:ascii="Times New Roman" w:hAnsi="Times New Roman" w:cs="Times New Roman"/>
          <w:sz w:val="24"/>
          <w:szCs w:val="24"/>
        </w:rPr>
        <w:t xml:space="preserve"> and obese individuals </w:t>
      </w:r>
      <w:r w:rsidR="00F40856">
        <w:rPr>
          <w:rFonts w:ascii="Times New Roman" w:hAnsi="Times New Roman" w:cs="Times New Roman"/>
          <w:sz w:val="24"/>
          <w:szCs w:val="24"/>
        </w:rPr>
        <w:t xml:space="preserve">had </w:t>
      </w:r>
      <w:r w:rsidR="00E72C4E">
        <w:rPr>
          <w:rFonts w:ascii="Times New Roman" w:hAnsi="Times New Roman" w:cs="Times New Roman"/>
          <w:sz w:val="24"/>
          <w:szCs w:val="24"/>
        </w:rPr>
        <w:t>a reduced FMD (p=0.04) and greater liver fat (p=0.02).</w:t>
      </w:r>
      <w:r w:rsidR="003F063A">
        <w:rPr>
          <w:rFonts w:ascii="Times New Roman" w:hAnsi="Times New Roman" w:cs="Times New Roman"/>
          <w:sz w:val="24"/>
          <w:szCs w:val="24"/>
        </w:rPr>
        <w:t xml:space="preserve"> </w:t>
      </w:r>
      <w:r w:rsidR="00952361">
        <w:rPr>
          <w:rFonts w:ascii="Times New Roman" w:hAnsi="Times New Roman" w:cs="Times New Roman"/>
          <w:sz w:val="24"/>
          <w:szCs w:val="24"/>
        </w:rPr>
        <w:t>Habitual physical activity was similar between all groups (p=0.80)</w:t>
      </w:r>
      <w:r w:rsidR="00F40856">
        <w:rPr>
          <w:rFonts w:ascii="Times New Roman" w:hAnsi="Times New Roman" w:cs="Times New Roman"/>
          <w:sz w:val="24"/>
          <w:szCs w:val="24"/>
        </w:rPr>
        <w:t>. H</w:t>
      </w:r>
      <w:r w:rsidR="00952361">
        <w:rPr>
          <w:rFonts w:ascii="Times New Roman" w:hAnsi="Times New Roman" w:cs="Times New Roman"/>
          <w:sz w:val="24"/>
          <w:szCs w:val="24"/>
        </w:rPr>
        <w:t xml:space="preserve">owever, </w:t>
      </w:r>
      <w:r w:rsidR="00BF54C5">
        <w:rPr>
          <w:rFonts w:ascii="Times New Roman" w:hAnsi="Times New Roman" w:cs="Times New Roman"/>
          <w:sz w:val="24"/>
          <w:szCs w:val="24"/>
        </w:rPr>
        <w:t>V</w:t>
      </w:r>
      <w:bookmarkStart w:id="0" w:name="_GoBack"/>
      <w:bookmarkEnd w:id="0"/>
      <w:r w:rsidR="00E72C4E" w:rsidRPr="003D3F7D">
        <w:rPr>
          <w:rFonts w:ascii="Times New Roman" w:hAnsi="Times New Roman" w:cs="Times New Roman"/>
          <w:sz w:val="24"/>
          <w:szCs w:val="24"/>
        </w:rPr>
        <w:t>O</w:t>
      </w:r>
      <w:r w:rsidR="00E72C4E" w:rsidRPr="003D3F7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72C4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E72C4E" w:rsidRPr="00961273">
        <w:rPr>
          <w:rFonts w:ascii="Times New Roman" w:hAnsi="Times New Roman" w:cs="Times New Roman"/>
          <w:sz w:val="24"/>
          <w:szCs w:val="24"/>
        </w:rPr>
        <w:t>peak</w:t>
      </w:r>
      <w:r w:rsidR="00E72C4E">
        <w:rPr>
          <w:rFonts w:ascii="Times New Roman" w:hAnsi="Times New Roman" w:cs="Times New Roman"/>
          <w:sz w:val="24"/>
          <w:szCs w:val="24"/>
        </w:rPr>
        <w:t xml:space="preserve"> was greatest in </w:t>
      </w:r>
      <w:r w:rsidR="00BF54C5">
        <w:rPr>
          <w:rFonts w:ascii="Times New Roman" w:hAnsi="Times New Roman" w:cs="Times New Roman"/>
          <w:sz w:val="24"/>
          <w:szCs w:val="24"/>
        </w:rPr>
        <w:t>MHNO</w:t>
      </w:r>
      <w:r w:rsidR="00E72C4E">
        <w:rPr>
          <w:rFonts w:ascii="Times New Roman" w:hAnsi="Times New Roman" w:cs="Times New Roman"/>
          <w:sz w:val="24"/>
          <w:szCs w:val="24"/>
        </w:rPr>
        <w:t>, similar in MUNO and MHO, and lowest in MUO (p=0.01).</w:t>
      </w:r>
    </w:p>
    <w:p w:rsidR="005C7807" w:rsidRDefault="000E541A" w:rsidP="00952361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3D3F7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en-GB"/>
        </w:rPr>
        <w:t>Conclusions</w:t>
      </w:r>
      <w:r w:rsidR="0095236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en-GB"/>
        </w:rPr>
        <w:t>:</w:t>
      </w:r>
      <w:r w:rsidRPr="003D3F7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en-GB"/>
        </w:rPr>
        <w:t xml:space="preserve"> </w:t>
      </w:r>
      <w:r w:rsidR="009523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Endothelial function appears to be related to metabolic health status</w:t>
      </w:r>
      <w:r w:rsidR="003517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,</w:t>
      </w:r>
      <w:r w:rsidR="009523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r w:rsidR="00BF54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independent of obesity status</w:t>
      </w:r>
      <w:r w:rsidR="00F53DAA">
        <w:rPr>
          <w:rFonts w:ascii="Times New Roman" w:hAnsi="Times New Roman" w:cs="Times New Roman"/>
          <w:sz w:val="24"/>
          <w:szCs w:val="24"/>
        </w:rPr>
        <w:t>.</w:t>
      </w:r>
      <w:r w:rsidR="00952361">
        <w:rPr>
          <w:rFonts w:ascii="Times New Roman" w:hAnsi="Times New Roman" w:cs="Times New Roman"/>
          <w:sz w:val="24"/>
          <w:szCs w:val="24"/>
        </w:rPr>
        <w:t xml:space="preserve"> This study </w:t>
      </w:r>
      <w:r w:rsidR="00F40856">
        <w:rPr>
          <w:rFonts w:ascii="Times New Roman" w:hAnsi="Times New Roman" w:cs="Times New Roman"/>
          <w:sz w:val="24"/>
          <w:szCs w:val="24"/>
        </w:rPr>
        <w:t xml:space="preserve">argues the importance of </w:t>
      </w:r>
      <w:r w:rsidR="00952361">
        <w:rPr>
          <w:rFonts w:ascii="Times New Roman" w:hAnsi="Times New Roman" w:cs="Times New Roman"/>
          <w:sz w:val="24"/>
          <w:szCs w:val="24"/>
        </w:rPr>
        <w:t>the exploration of obesity phenotyping in relation to co-morbidities and mortality</w:t>
      </w:r>
      <w:r w:rsidR="00F40856">
        <w:rPr>
          <w:rFonts w:ascii="Times New Roman" w:hAnsi="Times New Roman" w:cs="Times New Roman"/>
          <w:sz w:val="24"/>
          <w:szCs w:val="24"/>
        </w:rPr>
        <w:t>, i</w:t>
      </w:r>
      <w:r w:rsidR="00952361">
        <w:rPr>
          <w:rFonts w:ascii="Times New Roman" w:hAnsi="Times New Roman" w:cs="Times New Roman"/>
          <w:sz w:val="24"/>
          <w:szCs w:val="24"/>
        </w:rPr>
        <w:t xml:space="preserve">n particular, </w:t>
      </w:r>
      <w:r w:rsidR="003517A8">
        <w:rPr>
          <w:rFonts w:ascii="Times New Roman" w:hAnsi="Times New Roman" w:cs="Times New Roman"/>
          <w:sz w:val="24"/>
          <w:szCs w:val="24"/>
        </w:rPr>
        <w:t>examination of the role of</w:t>
      </w:r>
      <w:r w:rsidR="00952361">
        <w:rPr>
          <w:rFonts w:ascii="Times New Roman" w:hAnsi="Times New Roman" w:cs="Times New Roman"/>
          <w:sz w:val="24"/>
          <w:szCs w:val="24"/>
        </w:rPr>
        <w:t xml:space="preserve"> cardiorespiratory fitness.</w:t>
      </w:r>
    </w:p>
    <w:sectPr w:rsidR="005C78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41A"/>
    <w:rsid w:val="000A21AE"/>
    <w:rsid w:val="000E1DAF"/>
    <w:rsid w:val="000E541A"/>
    <w:rsid w:val="0025004C"/>
    <w:rsid w:val="003517A8"/>
    <w:rsid w:val="003B0793"/>
    <w:rsid w:val="003C2F4E"/>
    <w:rsid w:val="003F063A"/>
    <w:rsid w:val="0048466A"/>
    <w:rsid w:val="0056334C"/>
    <w:rsid w:val="005C7807"/>
    <w:rsid w:val="00765ABA"/>
    <w:rsid w:val="00952361"/>
    <w:rsid w:val="00BF54C5"/>
    <w:rsid w:val="00E72C4E"/>
    <w:rsid w:val="00F40856"/>
    <w:rsid w:val="00F5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D6F737-7C1E-4154-B45F-0DC84053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4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5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Bowden Davies, Kelly</dc:creator>
  <cp:keywords/>
  <dc:description/>
  <cp:lastModifiedBy>Sprung, Tori</cp:lastModifiedBy>
  <cp:revision>3</cp:revision>
  <dcterms:created xsi:type="dcterms:W3CDTF">2017-10-19T15:45:00Z</dcterms:created>
  <dcterms:modified xsi:type="dcterms:W3CDTF">2017-10-19T15:47:00Z</dcterms:modified>
</cp:coreProperties>
</file>