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D8" w:rsidRPr="00AA7804" w:rsidRDefault="00C573D8" w:rsidP="00C573D8">
      <w:pPr>
        <w:spacing w:after="0" w:line="440" w:lineRule="atLeast"/>
        <w:jc w:val="both"/>
        <w:rPr>
          <w:rFonts w:ascii="Arial" w:eastAsia="Times New Roman" w:hAnsi="Arial" w:cs="Arial"/>
          <w:b/>
          <w:bCs/>
          <w:color w:val="000000"/>
          <w:sz w:val="20"/>
          <w:szCs w:val="20"/>
        </w:rPr>
      </w:pPr>
      <w:r w:rsidRPr="00AA7804">
        <w:rPr>
          <w:rFonts w:ascii="Arial" w:hAnsi="Arial" w:cs="Arial"/>
          <w:b/>
          <w:bCs/>
          <w:color w:val="000000"/>
          <w:sz w:val="20"/>
          <w:szCs w:val="20"/>
        </w:rPr>
        <w:t>CAVP-2018-0001.R1</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Evaluation of full S1 gene sequencing of classical and variant infectious bronchitis viruses extracted from allantoic fluid and FTA cards</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Basim Manswr</w:t>
      </w:r>
      <w:r w:rsidRPr="00C573D8">
        <w:rPr>
          <w:rFonts w:ascii="Arial" w:eastAsia="Times New Roman" w:hAnsi="Arial" w:cs="Arial"/>
          <w:color w:val="000000"/>
          <w:sz w:val="20"/>
          <w:szCs w:val="20"/>
          <w:vertAlign w:val="superscript"/>
        </w:rPr>
        <w:t>1</w:t>
      </w:r>
      <w:proofErr w:type="gramStart"/>
      <w:r w:rsidRPr="00C573D8">
        <w:rPr>
          <w:rFonts w:ascii="Arial" w:eastAsia="Times New Roman" w:hAnsi="Arial" w:cs="Arial"/>
          <w:color w:val="000000"/>
          <w:sz w:val="20"/>
          <w:szCs w:val="20"/>
          <w:vertAlign w:val="superscript"/>
        </w:rPr>
        <w:t>,3</w:t>
      </w:r>
      <w:proofErr w:type="gramEnd"/>
      <w:r w:rsidRPr="00C573D8">
        <w:rPr>
          <w:rFonts w:ascii="Arial" w:eastAsia="Times New Roman" w:hAnsi="Arial" w:cs="Arial"/>
          <w:color w:val="000000"/>
          <w:sz w:val="20"/>
          <w:szCs w:val="20"/>
        </w:rPr>
        <w:t>, Christopher Ball</w:t>
      </w:r>
      <w:r w:rsidRPr="00C573D8">
        <w:rPr>
          <w:rFonts w:ascii="Arial" w:eastAsia="Times New Roman" w:hAnsi="Arial" w:cs="Arial"/>
          <w:color w:val="000000"/>
          <w:sz w:val="20"/>
          <w:szCs w:val="20"/>
          <w:vertAlign w:val="superscript"/>
        </w:rPr>
        <w:t>1</w:t>
      </w:r>
      <w:r w:rsidRPr="00C573D8">
        <w:rPr>
          <w:rFonts w:ascii="Arial" w:eastAsia="Times New Roman" w:hAnsi="Arial" w:cs="Arial"/>
          <w:color w:val="000000"/>
          <w:sz w:val="20"/>
          <w:szCs w:val="20"/>
        </w:rPr>
        <w:t>,</w:t>
      </w:r>
      <w:r w:rsidR="004F36C7">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Anne Forrester</w:t>
      </w:r>
      <w:r w:rsidRPr="00C573D8">
        <w:rPr>
          <w:rFonts w:ascii="Arial" w:eastAsia="Times New Roman" w:hAnsi="Arial" w:cs="Arial"/>
          <w:color w:val="000000"/>
          <w:sz w:val="20"/>
          <w:szCs w:val="20"/>
          <w:vertAlign w:val="superscript"/>
        </w:rPr>
        <w:t>1</w:t>
      </w:r>
      <w:r w:rsidRPr="00C573D8">
        <w:rPr>
          <w:rFonts w:ascii="Arial" w:eastAsia="Times New Roman" w:hAnsi="Arial" w:cs="Arial"/>
          <w:color w:val="000000"/>
          <w:sz w:val="20"/>
          <w:szCs w:val="20"/>
        </w:rPr>
        <w:t>, Julian Chantrey</w:t>
      </w:r>
      <w:r w:rsidRPr="00C573D8">
        <w:rPr>
          <w:rFonts w:ascii="Arial" w:eastAsia="Times New Roman" w:hAnsi="Arial" w:cs="Arial"/>
          <w:color w:val="000000"/>
          <w:sz w:val="20"/>
          <w:szCs w:val="20"/>
          <w:vertAlign w:val="superscript"/>
        </w:rPr>
        <w:t>2</w:t>
      </w:r>
      <w:r w:rsidRPr="00C573D8">
        <w:rPr>
          <w:rFonts w:ascii="Arial" w:eastAsia="Times New Roman" w:hAnsi="Arial" w:cs="Arial"/>
          <w:color w:val="000000"/>
          <w:sz w:val="20"/>
          <w:szCs w:val="20"/>
        </w:rPr>
        <w:t xml:space="preserve"> and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Kannan Ganapathy</w:t>
      </w:r>
      <w:r w:rsidRPr="00C573D8">
        <w:rPr>
          <w:rFonts w:ascii="Arial" w:eastAsia="Times New Roman" w:hAnsi="Arial" w:cs="Arial"/>
          <w:color w:val="000000"/>
          <w:sz w:val="20"/>
          <w:szCs w:val="20"/>
          <w:vertAlign w:val="superscript"/>
        </w:rPr>
        <w:t>1#</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vertAlign w:val="superscript"/>
        </w:rPr>
        <w:t>1</w:t>
      </w:r>
      <w:r w:rsidRPr="00C573D8">
        <w:rPr>
          <w:rFonts w:ascii="Arial" w:eastAsia="Times New Roman" w:hAnsi="Arial" w:cs="Arial"/>
          <w:color w:val="000000"/>
          <w:sz w:val="20"/>
          <w:szCs w:val="20"/>
        </w:rPr>
        <w:t xml:space="preserve">Institute of Infection and Global Health, University of Liverpool, Cheshire, UK; </w:t>
      </w:r>
      <w:r w:rsidRPr="00C573D8">
        <w:rPr>
          <w:rFonts w:ascii="Arial" w:eastAsia="Times New Roman" w:hAnsi="Arial" w:cs="Arial"/>
          <w:color w:val="000000"/>
          <w:sz w:val="20"/>
          <w:szCs w:val="20"/>
          <w:vertAlign w:val="superscript"/>
        </w:rPr>
        <w:t>2</w:t>
      </w:r>
      <w:r w:rsidRPr="00C573D8">
        <w:rPr>
          <w:rFonts w:ascii="Arial" w:eastAsia="Times New Roman" w:hAnsi="Arial" w:cs="Arial"/>
          <w:color w:val="000000"/>
          <w:sz w:val="20"/>
          <w:szCs w:val="20"/>
        </w:rPr>
        <w:t xml:space="preserve">Institute of Veterinary Science, University of Liverpool, Cheshire, UK; </w:t>
      </w:r>
      <w:r w:rsidRPr="00C573D8">
        <w:rPr>
          <w:rFonts w:ascii="Arial" w:eastAsia="Times New Roman" w:hAnsi="Arial" w:cs="Arial"/>
          <w:color w:val="000000"/>
          <w:sz w:val="20"/>
          <w:szCs w:val="20"/>
          <w:vertAlign w:val="superscript"/>
        </w:rPr>
        <w:t>3</w:t>
      </w:r>
      <w:r w:rsidRPr="00C573D8">
        <w:rPr>
          <w:rFonts w:ascii="Arial" w:eastAsia="Times New Roman" w:hAnsi="Arial" w:cs="Arial"/>
          <w:color w:val="000000"/>
          <w:sz w:val="20"/>
          <w:szCs w:val="20"/>
        </w:rPr>
        <w:t xml:space="preserve"> Faculty of Veterinary Medicine, </w:t>
      </w:r>
      <w:proofErr w:type="spellStart"/>
      <w:r w:rsidRPr="00C573D8">
        <w:rPr>
          <w:rFonts w:ascii="Arial" w:eastAsia="Times New Roman" w:hAnsi="Arial" w:cs="Arial"/>
          <w:color w:val="000000"/>
          <w:sz w:val="20"/>
          <w:szCs w:val="20"/>
        </w:rPr>
        <w:t>Diyala</w:t>
      </w:r>
      <w:proofErr w:type="spellEnd"/>
      <w:r w:rsidRPr="00C573D8">
        <w:rPr>
          <w:rFonts w:ascii="Arial" w:eastAsia="Times New Roman" w:hAnsi="Arial" w:cs="Arial"/>
          <w:color w:val="000000"/>
          <w:sz w:val="20"/>
          <w:szCs w:val="20"/>
        </w:rPr>
        <w:t xml:space="preserve"> University, Iraq</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lang w:val="fr-FR"/>
        </w:rPr>
        <w:t>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lang w:val="fr-FR"/>
        </w:rPr>
        <w:t>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vertAlign w:val="superscript"/>
        </w:rPr>
        <w:t>#</w:t>
      </w:r>
      <w:proofErr w:type="gramStart"/>
      <w:r w:rsidRPr="00C573D8">
        <w:rPr>
          <w:rFonts w:ascii="Arial" w:eastAsia="Times New Roman" w:hAnsi="Arial" w:cs="Arial"/>
          <w:color w:val="000000"/>
          <w:sz w:val="20"/>
          <w:szCs w:val="20"/>
        </w:rPr>
        <w:t>Corresponding</w:t>
      </w:r>
      <w:proofErr w:type="gramEnd"/>
      <w:r w:rsidRPr="00C573D8">
        <w:rPr>
          <w:rFonts w:ascii="Arial" w:eastAsia="Times New Roman" w:hAnsi="Arial" w:cs="Arial"/>
          <w:color w:val="000000"/>
          <w:sz w:val="20"/>
          <w:szCs w:val="20"/>
        </w:rPr>
        <w:t xml:space="preserve"> author: Kannan Ganapathy, </w:t>
      </w:r>
      <w:hyperlink r:id="rId4" w:history="1">
        <w:r w:rsidRPr="00AA7804">
          <w:rPr>
            <w:rFonts w:ascii="Arial" w:eastAsia="Times New Roman" w:hAnsi="Arial" w:cs="Arial"/>
            <w:color w:val="0563C1"/>
            <w:sz w:val="20"/>
            <w:szCs w:val="20"/>
            <w:u w:val="single"/>
          </w:rPr>
          <w:t>gana@liverpool.ac.uk</w:t>
        </w:r>
      </w:hyperlink>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BM and CB contributed equally to this work</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br w:type="page"/>
      </w:r>
      <w:r w:rsidRPr="00C573D8">
        <w:rPr>
          <w:rFonts w:ascii="Arial" w:eastAsia="Times New Roman" w:hAnsi="Arial" w:cs="Arial"/>
          <w:b/>
          <w:bCs/>
          <w:color w:val="000000"/>
          <w:sz w:val="20"/>
          <w:szCs w:val="20"/>
        </w:rPr>
        <w:lastRenderedPageBreak/>
        <w:t xml:space="preserve">ABSTRACT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Sequence variability in the S1 gene determines the genotype of infectious bronchitis virus (IBV) strains. A single RT</w:t>
      </w:r>
      <w:r w:rsidRPr="00C573D8">
        <w:rPr>
          <w:rFonts w:ascii="Arial" w:eastAsia="Times New Roman" w:hAnsi="Arial" w:cs="Arial"/>
          <w:color w:val="000000"/>
          <w:sz w:val="20"/>
          <w:szCs w:val="20"/>
        </w:rPr>
        <w:noBreakHyphen/>
        <w:t>PCR assay was developed to amplify and sequence the full S1 gene for six classical and variant IBVs (M41, D274, 793B, IS/885/00, IS/1494/06 and Q1) enriched in allantoic fluid (AF) or the same AF but inoculated onto Flinders Technology Association (FTA) cards. Representative</w:t>
      </w:r>
      <w:r w:rsidR="00AA7804">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 xml:space="preserve">strains from each genotype were grown in SPF eggs and RNA was extracted from AF. Full S1 gene amplification was achieved using primer A and primer 22.51. Products were sequenced using primer </w:t>
      </w:r>
      <w:proofErr w:type="gramStart"/>
      <w:r w:rsidRPr="00C573D8">
        <w:rPr>
          <w:rFonts w:ascii="Arial" w:eastAsia="Times New Roman" w:hAnsi="Arial" w:cs="Arial"/>
          <w:color w:val="000000"/>
          <w:sz w:val="20"/>
          <w:szCs w:val="20"/>
        </w:rPr>
        <w:t>A</w:t>
      </w:r>
      <w:proofErr w:type="gramEnd"/>
      <w:r w:rsidRPr="00C573D8">
        <w:rPr>
          <w:rFonts w:ascii="Arial" w:eastAsia="Times New Roman" w:hAnsi="Arial" w:cs="Arial"/>
          <w:color w:val="000000"/>
          <w:sz w:val="20"/>
          <w:szCs w:val="20"/>
        </w:rPr>
        <w:t xml:space="preserve">, 1050+, 1380+ and SX3+ to obtain short sequences covering the full gene. Following serial dilutions of AF, detection limits of the partial assay were higher than those of the full S1 gene.  Partial S1 sequences exhibited higher than average nucleotide similarity percentages (79%; 352bp) compared to full S1 sequences (77%; 1,756bp), suggesting that full S1 analysis allows greater strain differentiation. For IBV detection from AF inoculated FTA cards, four serotypes were incubated for up to 21 days at three temperatures; 4 </w:t>
      </w:r>
      <w:proofErr w:type="spellStart"/>
      <w:r w:rsidRPr="00C573D8">
        <w:rPr>
          <w:rFonts w:ascii="Arial" w:eastAsia="Times New Roman" w:hAnsi="Arial" w:cs="Arial"/>
          <w:color w:val="000000"/>
          <w:sz w:val="20"/>
          <w:szCs w:val="20"/>
          <w:vertAlign w:val="superscript"/>
        </w:rPr>
        <w:t>o</w:t>
      </w:r>
      <w:r w:rsidRPr="00C573D8">
        <w:rPr>
          <w:rFonts w:ascii="Arial" w:eastAsia="Times New Roman" w:hAnsi="Arial" w:cs="Arial"/>
          <w:color w:val="000000"/>
          <w:sz w:val="20"/>
          <w:szCs w:val="20"/>
        </w:rPr>
        <w:t>C</w:t>
      </w:r>
      <w:proofErr w:type="spellEnd"/>
      <w:r w:rsidRPr="00C573D8">
        <w:rPr>
          <w:rFonts w:ascii="Arial" w:eastAsia="Times New Roman" w:hAnsi="Arial" w:cs="Arial"/>
          <w:color w:val="000000"/>
          <w:sz w:val="20"/>
          <w:szCs w:val="20"/>
        </w:rPr>
        <w:t xml:space="preserve">, 24 </w:t>
      </w:r>
      <w:proofErr w:type="spellStart"/>
      <w:r w:rsidRPr="00C573D8">
        <w:rPr>
          <w:rFonts w:ascii="Arial" w:eastAsia="Times New Roman" w:hAnsi="Arial" w:cs="Arial"/>
          <w:color w:val="000000"/>
          <w:sz w:val="20"/>
          <w:szCs w:val="20"/>
          <w:vertAlign w:val="superscript"/>
        </w:rPr>
        <w:t>o</w:t>
      </w:r>
      <w:r w:rsidRPr="00C573D8">
        <w:rPr>
          <w:rFonts w:ascii="Arial" w:eastAsia="Times New Roman" w:hAnsi="Arial" w:cs="Arial"/>
          <w:color w:val="000000"/>
          <w:sz w:val="20"/>
          <w:szCs w:val="20"/>
        </w:rPr>
        <w:t>C</w:t>
      </w:r>
      <w:proofErr w:type="spellEnd"/>
      <w:r w:rsidRPr="00C573D8">
        <w:rPr>
          <w:rFonts w:ascii="Arial" w:eastAsia="Times New Roman" w:hAnsi="Arial" w:cs="Arial"/>
          <w:color w:val="000000"/>
          <w:sz w:val="20"/>
          <w:szCs w:val="20"/>
        </w:rPr>
        <w:t xml:space="preserve"> and 40 </w:t>
      </w:r>
      <w:proofErr w:type="spellStart"/>
      <w:r w:rsidRPr="00C573D8">
        <w:rPr>
          <w:rFonts w:ascii="Arial" w:eastAsia="Times New Roman" w:hAnsi="Arial" w:cs="Arial"/>
          <w:color w:val="000000"/>
          <w:sz w:val="20"/>
          <w:szCs w:val="20"/>
          <w:vertAlign w:val="superscript"/>
        </w:rPr>
        <w:t>o</w:t>
      </w:r>
      <w:r w:rsidRPr="00C573D8">
        <w:rPr>
          <w:rFonts w:ascii="Arial" w:eastAsia="Times New Roman" w:hAnsi="Arial" w:cs="Arial"/>
          <w:color w:val="000000"/>
          <w:sz w:val="20"/>
          <w:szCs w:val="20"/>
        </w:rPr>
        <w:t>C.</w:t>
      </w:r>
      <w:proofErr w:type="spellEnd"/>
      <w:r w:rsidRPr="00C573D8">
        <w:rPr>
          <w:rFonts w:ascii="Arial" w:eastAsia="Times New Roman" w:hAnsi="Arial" w:cs="Arial"/>
          <w:color w:val="000000"/>
          <w:sz w:val="20"/>
          <w:szCs w:val="20"/>
        </w:rPr>
        <w:t xml:space="preserve"> RNA was extracted and tested with partial and full S1 protocols. Through partial sequencing, all IBVs were successfully detected at all sampling points and storage temperatures. In contrast, using full S1 sequencing was not possible to amplify the gene beyond 14 days or when stored at 40</w:t>
      </w:r>
      <w:r w:rsidRPr="00C573D8">
        <w:rPr>
          <w:rFonts w:ascii="Arial" w:eastAsia="Times New Roman" w:hAnsi="Arial" w:cs="Arial"/>
          <w:color w:val="000000"/>
          <w:sz w:val="20"/>
          <w:szCs w:val="20"/>
          <w:vertAlign w:val="superscript"/>
        </w:rPr>
        <w:t>o</w:t>
      </w:r>
      <w:r w:rsidRPr="00C573D8">
        <w:rPr>
          <w:rFonts w:ascii="Arial" w:eastAsia="Times New Roman" w:hAnsi="Arial" w:cs="Arial"/>
          <w:color w:val="000000"/>
          <w:sz w:val="20"/>
          <w:szCs w:val="20"/>
        </w:rPr>
        <w:t>C. Data presented shows that for full S1 sequencing, a substantial amount of RNA is needed. Field samples collected onto FTA cards are unlikely to yield such quantity or quality.</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 xml:space="preserve">Keywords: </w:t>
      </w:r>
      <w:r w:rsidRPr="00C573D8">
        <w:rPr>
          <w:rFonts w:ascii="Arial" w:eastAsia="Times New Roman" w:hAnsi="Arial" w:cs="Arial"/>
          <w:color w:val="000000"/>
          <w:sz w:val="20"/>
          <w:szCs w:val="20"/>
        </w:rPr>
        <w:t>Infectious bronchitis virus, spike gene, sequencing, allantoic fluid, FTA card</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 xml:space="preserve">Abbreviations: </w:t>
      </w:r>
      <w:r w:rsidRPr="00C573D8">
        <w:rPr>
          <w:rFonts w:ascii="Arial" w:eastAsia="Times New Roman" w:hAnsi="Arial" w:cs="Arial"/>
          <w:color w:val="000000"/>
          <w:sz w:val="20"/>
          <w:szCs w:val="20"/>
        </w:rPr>
        <w:t>Infectious bronchitis virus (IBV), Infectious bronchitis (IB), Flinders Technology Association (FTA), allantoic fluid (AF)</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br w:type="page"/>
      </w:r>
      <w:r w:rsidRPr="00C573D8">
        <w:rPr>
          <w:rFonts w:ascii="Arial" w:eastAsia="Times New Roman" w:hAnsi="Arial" w:cs="Arial"/>
          <w:b/>
          <w:bCs/>
          <w:color w:val="000000"/>
          <w:sz w:val="20"/>
          <w:szCs w:val="20"/>
        </w:rPr>
        <w:lastRenderedPageBreak/>
        <w:t xml:space="preserve"> INTRODUCTION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Infectious bronchitis (IB) is an acute viral disease caused by infectious bronchitis viruses (IBVs) that mainly infect the respiratory system in broiler and layer chicken flocks (Cavanagh, 2005). Infection causes economic losses due to high mortality, poor body weight ga</w:t>
      </w:r>
      <w:r w:rsidR="00AA7804">
        <w:rPr>
          <w:rFonts w:ascii="Arial" w:eastAsia="Times New Roman" w:hAnsi="Arial" w:cs="Arial"/>
          <w:color w:val="000000"/>
          <w:sz w:val="20"/>
          <w:szCs w:val="20"/>
        </w:rPr>
        <w:t>in (</w:t>
      </w:r>
      <w:proofErr w:type="spellStart"/>
      <w:r w:rsidR="00AA7804">
        <w:rPr>
          <w:rFonts w:ascii="Arial" w:eastAsia="Times New Roman" w:hAnsi="Arial" w:cs="Arial"/>
          <w:color w:val="000000"/>
          <w:sz w:val="20"/>
          <w:szCs w:val="20"/>
        </w:rPr>
        <w:t>Ignjatovic</w:t>
      </w:r>
      <w:proofErr w:type="spellEnd"/>
      <w:r w:rsidR="00AA7804">
        <w:rPr>
          <w:rFonts w:ascii="Arial" w:eastAsia="Times New Roman" w:hAnsi="Arial" w:cs="Arial"/>
          <w:color w:val="000000"/>
          <w:sz w:val="20"/>
          <w:szCs w:val="20"/>
        </w:rPr>
        <w:t xml:space="preserve"> &amp; </w:t>
      </w:r>
      <w:proofErr w:type="spellStart"/>
      <w:r w:rsidR="00AA7804">
        <w:rPr>
          <w:rFonts w:ascii="Arial" w:eastAsia="Times New Roman" w:hAnsi="Arial" w:cs="Arial"/>
          <w:color w:val="000000"/>
          <w:sz w:val="20"/>
          <w:szCs w:val="20"/>
        </w:rPr>
        <w:t>Sapats</w:t>
      </w:r>
      <w:proofErr w:type="spellEnd"/>
      <w:r w:rsidR="00AA7804">
        <w:rPr>
          <w:rFonts w:ascii="Arial" w:eastAsia="Times New Roman" w:hAnsi="Arial" w:cs="Arial"/>
          <w:color w:val="000000"/>
          <w:sz w:val="20"/>
          <w:szCs w:val="20"/>
        </w:rPr>
        <w:t>, 2000),</w:t>
      </w:r>
      <w:r w:rsidRPr="00C573D8">
        <w:rPr>
          <w:rFonts w:ascii="Arial" w:eastAsia="Times New Roman" w:hAnsi="Arial" w:cs="Arial"/>
          <w:color w:val="000000"/>
          <w:sz w:val="20"/>
          <w:szCs w:val="20"/>
        </w:rPr>
        <w:t> decreased egg production (reaching up to 70%), and reduced egg quality (increased eggshell pigment) in layers (Muneer</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2000). Further complications can occur in some cases, including cystic oviducts (Benyeda</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2009) and false layer syndrome (Crinion &amp; Hofstad, 1972). Certain IBVs, including several Australian strains, have been associated with renal complications such as nephritis (Mahmood</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xml:space="preserve">, 2011) and digestive complications, such as </w:t>
      </w:r>
      <w:proofErr w:type="spellStart"/>
      <w:r w:rsidRPr="00C573D8">
        <w:rPr>
          <w:rFonts w:ascii="Arial" w:eastAsia="Times New Roman" w:hAnsi="Arial" w:cs="Arial"/>
          <w:color w:val="000000"/>
          <w:sz w:val="20"/>
          <w:szCs w:val="20"/>
        </w:rPr>
        <w:t>proventriculitis</w:t>
      </w:r>
      <w:proofErr w:type="spellEnd"/>
      <w:r w:rsidRPr="00C573D8">
        <w:rPr>
          <w:rFonts w:ascii="Arial" w:eastAsia="Times New Roman" w:hAnsi="Arial" w:cs="Arial"/>
          <w:color w:val="000000"/>
          <w:sz w:val="20"/>
          <w:szCs w:val="20"/>
        </w:rPr>
        <w:t xml:space="preserve"> (</w:t>
      </w:r>
      <w:proofErr w:type="spellStart"/>
      <w:r w:rsidRPr="00C573D8">
        <w:rPr>
          <w:rFonts w:ascii="Arial" w:eastAsia="Times New Roman" w:hAnsi="Arial" w:cs="Arial"/>
          <w:color w:val="000000"/>
          <w:sz w:val="20"/>
          <w:szCs w:val="20"/>
        </w:rPr>
        <w:t>Toffan</w:t>
      </w:r>
      <w:proofErr w:type="spellEnd"/>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2013).</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 xml:space="preserve">IBV is a single stranded RNA virus (approximately 27.6kb in size) belonging to the family </w:t>
      </w:r>
      <w:proofErr w:type="spellStart"/>
      <w:r w:rsidRPr="00C573D8">
        <w:rPr>
          <w:rFonts w:ascii="Arial" w:eastAsia="Times New Roman" w:hAnsi="Arial" w:cs="Arial"/>
          <w:i/>
          <w:iCs/>
          <w:color w:val="000000"/>
          <w:sz w:val="20"/>
          <w:szCs w:val="20"/>
        </w:rPr>
        <w:t>Coronaviradae</w:t>
      </w:r>
      <w:proofErr w:type="spellEnd"/>
      <w:r w:rsidRPr="00C573D8">
        <w:rPr>
          <w:rFonts w:ascii="Arial" w:eastAsia="Times New Roman" w:hAnsi="Arial" w:cs="Arial"/>
          <w:color w:val="000000"/>
          <w:sz w:val="20"/>
          <w:szCs w:val="20"/>
        </w:rPr>
        <w:t>. It contains four structural proteins: spike protein (S), small membrane envelope protein (E), membrane protein (M), and nucleoprotein (N). The spike protein comprises 1,145 amino acids and undergoes post translational cleavage to form S1 and S2 subunits (Jackwood &amp; de Wit, 2013). The functions of spike include attachment to host cells, neutralization of antibodies and initiation of protective immunity (Johnson</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2003). Furthermore, it is the most variable of the IBV proteins, with most mutations and recombination events mapping to the S1 region (</w:t>
      </w:r>
      <w:proofErr w:type="spellStart"/>
      <w:r w:rsidRPr="00C573D8">
        <w:rPr>
          <w:rFonts w:ascii="Arial" w:eastAsia="Times New Roman" w:hAnsi="Arial" w:cs="Arial"/>
          <w:color w:val="000000"/>
          <w:sz w:val="20"/>
          <w:szCs w:val="20"/>
        </w:rPr>
        <w:t>Kingham</w:t>
      </w:r>
      <w:proofErr w:type="spellEnd"/>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2000),</w:t>
      </w:r>
      <w:r w:rsidR="00B41896">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which can lead to the emergence of new variant strains (Zhang</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2015).</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The relationship between antigenic differences among IBV strains has been investigated (Jackwood &amp; de Wit, 2013), and previous work has shown that partial S1 sequences have a stronger correlation with protective relatedness between strains, rather than antigenic relatedness (</w:t>
      </w:r>
      <w:proofErr w:type="spellStart"/>
      <w:r w:rsidRPr="00C573D8">
        <w:rPr>
          <w:rFonts w:ascii="Arial" w:eastAsia="Times New Roman" w:hAnsi="Arial" w:cs="Arial"/>
          <w:color w:val="000000"/>
          <w:sz w:val="20"/>
          <w:szCs w:val="20"/>
        </w:rPr>
        <w:t>Ladman</w:t>
      </w:r>
      <w:proofErr w:type="spellEnd"/>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2006). In addition, variation in the nucleotide sequence of S1 may lead to alterations in the virus categorisation, such as receptor binding abilities (Jackwood &amp; de Wit, 2013).</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More than 25 serotypes have been recognized to date, often differing by up to 50% at the amino acid level for S1 gene (Gelb</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2005). Only a minor amino acid sequence alteration, at the very least of a 5% change (25-30 amino acids) in the S1 subunit, is required to affect the protection status conferred by vaccinations of the same serotype (Cavanagh, 2003). As a result, low cross protection is provided by different vaccine virus serotypes (</w:t>
      </w:r>
      <w:proofErr w:type="spellStart"/>
      <w:r w:rsidRPr="00C573D8">
        <w:rPr>
          <w:rFonts w:ascii="Arial" w:eastAsia="Times New Roman" w:hAnsi="Arial" w:cs="Arial"/>
          <w:color w:val="000000"/>
          <w:sz w:val="20"/>
          <w:szCs w:val="20"/>
        </w:rPr>
        <w:t>Kuo</w:t>
      </w:r>
      <w:proofErr w:type="spellEnd"/>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xml:space="preserve">, 2010). </w:t>
      </w:r>
    </w:p>
    <w:p w:rsidR="00C573D8" w:rsidRPr="00E85809" w:rsidRDefault="00C573D8" w:rsidP="00C573D8">
      <w:pPr>
        <w:spacing w:after="0" w:line="440" w:lineRule="atLeast"/>
        <w:jc w:val="both"/>
        <w:rPr>
          <w:rFonts w:ascii="Arial" w:eastAsia="Times New Roman" w:hAnsi="Arial" w:cs="Arial"/>
          <w:b/>
          <w:color w:val="FF0000"/>
          <w:sz w:val="20"/>
          <w:szCs w:val="20"/>
        </w:rPr>
      </w:pPr>
      <w:r w:rsidRPr="00C573D8">
        <w:rPr>
          <w:rFonts w:ascii="Arial" w:eastAsia="Times New Roman" w:hAnsi="Arial" w:cs="Arial"/>
          <w:color w:val="000000"/>
          <w:sz w:val="20"/>
          <w:szCs w:val="20"/>
        </w:rPr>
        <w:t>In recent years, sequence analysis has become a common method to identify strain types, typically being carried out on specific nucleotide regions of the S gene (Cavanagh, 2003) or the N gene (Williams</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1992). Previous studies have focused on analysing different nucleotide regions of the S1 gene (between 228 to 380bp) (</w:t>
      </w:r>
      <w:r w:rsidR="00E85809">
        <w:rPr>
          <w:rFonts w:ascii="Arial" w:eastAsia="Times New Roman" w:hAnsi="Arial" w:cs="Arial"/>
          <w:color w:val="000000"/>
          <w:sz w:val="20"/>
          <w:szCs w:val="20"/>
        </w:rPr>
        <w:t>Wang &amp; Tsai, 1996</w:t>
      </w:r>
      <w:r w:rsidR="00BC3C0A">
        <w:rPr>
          <w:rFonts w:ascii="Arial" w:eastAsia="Times New Roman" w:hAnsi="Arial" w:cs="Arial"/>
          <w:color w:val="000000"/>
          <w:sz w:val="20"/>
          <w:szCs w:val="20"/>
        </w:rPr>
        <w:t>;</w:t>
      </w:r>
      <w:r w:rsidR="00BC3C0A" w:rsidRPr="00C573D8">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Al-Shekaili</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2015</w:t>
      </w:r>
      <w:r w:rsidR="00E85809">
        <w:rPr>
          <w:rFonts w:ascii="Arial" w:eastAsia="Times New Roman" w:hAnsi="Arial" w:cs="Arial"/>
          <w:color w:val="000000"/>
          <w:sz w:val="20"/>
          <w:szCs w:val="20"/>
        </w:rPr>
        <w:t>)</w:t>
      </w:r>
      <w:r w:rsidRPr="00C573D8">
        <w:rPr>
          <w:rFonts w:ascii="Arial" w:eastAsia="Times New Roman" w:hAnsi="Arial" w:cs="Arial"/>
          <w:color w:val="000000"/>
          <w:sz w:val="20"/>
          <w:szCs w:val="20"/>
        </w:rPr>
        <w:t xml:space="preserve"> leading to difficulties when comparing genotype analysis between studies.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For many years, the Mass</w:t>
      </w:r>
      <w:r w:rsidRPr="00AA7804">
        <w:rPr>
          <w:rFonts w:ascii="Arial" w:eastAsia="Times New Roman" w:hAnsi="Arial" w:cs="Arial"/>
          <w:color w:val="000000"/>
          <w:sz w:val="20"/>
          <w:szCs w:val="20"/>
        </w:rPr>
        <w:t>a</w:t>
      </w:r>
      <w:r w:rsidRPr="00C573D8">
        <w:rPr>
          <w:rFonts w:ascii="Arial" w:eastAsia="Times New Roman" w:hAnsi="Arial" w:cs="Arial"/>
          <w:color w:val="000000"/>
          <w:sz w:val="20"/>
          <w:szCs w:val="20"/>
        </w:rPr>
        <w:t xml:space="preserve">chusetts (Mass) serotype, originally isolated in Massachusetts in the 1930s, was the only recognized serotype (via virus neutralisation). </w:t>
      </w:r>
      <w:proofErr w:type="spellStart"/>
      <w:r w:rsidRPr="00C573D8">
        <w:rPr>
          <w:rFonts w:ascii="Arial" w:eastAsia="Times New Roman" w:hAnsi="Arial" w:cs="Arial"/>
          <w:color w:val="000000"/>
          <w:sz w:val="20"/>
          <w:szCs w:val="20"/>
        </w:rPr>
        <w:t>Jungherr</w:t>
      </w:r>
      <w:proofErr w:type="spellEnd"/>
      <w:r w:rsidRPr="00C573D8">
        <w:rPr>
          <w:rFonts w:ascii="Arial" w:eastAsia="Times New Roman" w:hAnsi="Arial" w:cs="Arial"/>
          <w:color w:val="000000"/>
          <w:sz w:val="20"/>
          <w:szCs w:val="20"/>
        </w:rPr>
        <w:t xml:space="preserve"> </w:t>
      </w:r>
      <w:r w:rsidR="006536CC" w:rsidRPr="006536CC">
        <w:rPr>
          <w:rFonts w:ascii="Arial" w:eastAsia="Times New Roman" w:hAnsi="Arial" w:cs="Arial"/>
          <w:i/>
          <w:color w:val="000000"/>
          <w:sz w:val="20"/>
          <w:szCs w:val="20"/>
        </w:rPr>
        <w:t>et al.,</w:t>
      </w:r>
      <w:r w:rsidR="006536CC">
        <w:rPr>
          <w:rFonts w:ascii="Arial" w:eastAsia="Times New Roman" w:hAnsi="Arial" w:cs="Arial"/>
          <w:color w:val="000000"/>
          <w:sz w:val="20"/>
          <w:szCs w:val="20"/>
        </w:rPr>
        <w:t xml:space="preserve"> (1956)</w:t>
      </w:r>
      <w:r w:rsidRPr="00C573D8">
        <w:rPr>
          <w:rFonts w:ascii="Arial" w:eastAsia="Times New Roman" w:hAnsi="Arial" w:cs="Arial"/>
          <w:color w:val="000000"/>
          <w:sz w:val="20"/>
          <w:szCs w:val="20"/>
        </w:rPr>
        <w:t xml:space="preserve"> reported a Connecticut IBV type, which was not cross protected or cross neutralised against </w:t>
      </w:r>
      <w:r w:rsidRPr="00C573D8">
        <w:rPr>
          <w:rFonts w:ascii="Arial" w:eastAsia="Times New Roman" w:hAnsi="Arial" w:cs="Arial"/>
          <w:color w:val="000000"/>
          <w:sz w:val="20"/>
          <w:szCs w:val="20"/>
        </w:rPr>
        <w:lastRenderedPageBreak/>
        <w:t>the Mass IBV strain (Jungherr</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xml:space="preserve">, 1956). During the 1960s, the Australian nephropathogenic strains were first diagnosed and connected to uraemia (Cumming, 1963), including Australia/N1/62 which is considered to be the first strain isolated in the continent (Jackwood, 2012). In 1984, researchers in the </w:t>
      </w:r>
      <w:proofErr w:type="spellStart"/>
      <w:r w:rsidRPr="00C573D8">
        <w:rPr>
          <w:rFonts w:ascii="Arial" w:eastAsia="Times New Roman" w:hAnsi="Arial" w:cs="Arial"/>
          <w:color w:val="000000"/>
          <w:sz w:val="20"/>
          <w:szCs w:val="20"/>
        </w:rPr>
        <w:t>Doorn</w:t>
      </w:r>
      <w:proofErr w:type="spellEnd"/>
      <w:r w:rsidRPr="00C573D8">
        <w:rPr>
          <w:rFonts w:ascii="Arial" w:eastAsia="Times New Roman" w:hAnsi="Arial" w:cs="Arial"/>
          <w:color w:val="000000"/>
          <w:sz w:val="20"/>
          <w:szCs w:val="20"/>
        </w:rPr>
        <w:t xml:space="preserve"> </w:t>
      </w:r>
      <w:r w:rsidR="009C2912">
        <w:rPr>
          <w:rFonts w:ascii="Arial" w:eastAsia="Times New Roman" w:hAnsi="Arial" w:cs="Arial"/>
          <w:color w:val="000000"/>
          <w:sz w:val="20"/>
          <w:szCs w:val="20"/>
        </w:rPr>
        <w:t>I</w:t>
      </w:r>
      <w:r w:rsidR="009C2912" w:rsidRPr="00C573D8">
        <w:rPr>
          <w:rFonts w:ascii="Arial" w:eastAsia="Times New Roman" w:hAnsi="Arial" w:cs="Arial"/>
          <w:color w:val="000000"/>
          <w:sz w:val="20"/>
          <w:szCs w:val="20"/>
        </w:rPr>
        <w:t>nstitute</w:t>
      </w:r>
      <w:r w:rsidR="00B96927">
        <w:rPr>
          <w:rFonts w:ascii="Arial" w:eastAsia="Times New Roman" w:hAnsi="Arial" w:cs="Arial"/>
          <w:color w:val="000000"/>
          <w:sz w:val="20"/>
          <w:szCs w:val="20"/>
        </w:rPr>
        <w:t xml:space="preserve">, The Netherlands </w:t>
      </w:r>
      <w:r w:rsidRPr="00C573D8">
        <w:rPr>
          <w:rFonts w:ascii="Arial" w:eastAsia="Times New Roman" w:hAnsi="Arial" w:cs="Arial"/>
          <w:color w:val="000000"/>
          <w:sz w:val="20"/>
          <w:szCs w:val="20"/>
        </w:rPr>
        <w:t>first isolated the Dutch strain D207 from Mass vaccinated flocks (Davelaar</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1984). The 793B serotype was identified in the 1990s (Parsons</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1992), with sequence data distinct from Dutch and Mass</w:t>
      </w:r>
      <w:r w:rsidR="009C2912">
        <w:rPr>
          <w:rFonts w:ascii="Arial" w:eastAsia="Times New Roman" w:hAnsi="Arial" w:cs="Arial"/>
          <w:color w:val="000000"/>
          <w:sz w:val="20"/>
          <w:szCs w:val="20"/>
        </w:rPr>
        <w:t xml:space="preserve"> strains</w:t>
      </w:r>
      <w:r w:rsidRPr="00C573D8">
        <w:rPr>
          <w:rFonts w:ascii="Arial" w:eastAsia="Times New Roman" w:hAnsi="Arial" w:cs="Arial"/>
          <w:color w:val="000000"/>
          <w:sz w:val="20"/>
          <w:szCs w:val="20"/>
        </w:rPr>
        <w:t xml:space="preserve"> (Cavanagh, 2005). The QX genotype was first described in 1996 in China, and was associated with severe nephritis, proventriculitis, tracheitis, decreased egg production and false layer syndrome (De Wit</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2011). Later, another variant, known as Q1, which can also cause proventriculitis (Yu</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2001), was detected from layer flocks showing respiratory signs, While certain genotypes like 793B and Mass have global distribution (Cook</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w:t>
      </w:r>
      <w:r w:rsidR="00AA2522">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1996), others are considered to have regional importance, such as IS/885/00 (Meir</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xml:space="preserve">, 2004) and IS/1494/06 (GenBank accession number EU780077).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Recently, there has been growing interest in complete S1 sequencing, with reports from Thailand, Sweden and India (amongst others) aiming to further understand the molecular characterisation of IBV (</w:t>
      </w:r>
      <w:proofErr w:type="spellStart"/>
      <w:r w:rsidR="00BC3C0A" w:rsidRPr="00C573D8">
        <w:rPr>
          <w:rFonts w:ascii="Arial" w:eastAsia="Times New Roman" w:hAnsi="Arial" w:cs="Arial"/>
          <w:color w:val="000000"/>
          <w:sz w:val="20"/>
          <w:szCs w:val="20"/>
        </w:rPr>
        <w:t>Pohuang</w:t>
      </w:r>
      <w:proofErr w:type="spellEnd"/>
      <w:r w:rsidR="00BC3C0A" w:rsidRPr="00C573D8">
        <w:rPr>
          <w:rFonts w:ascii="Arial" w:eastAsia="Times New Roman" w:hAnsi="Arial" w:cs="Arial"/>
          <w:i/>
          <w:iCs/>
          <w:color w:val="000000"/>
          <w:sz w:val="20"/>
          <w:szCs w:val="20"/>
        </w:rPr>
        <w:t xml:space="preserve"> et al.</w:t>
      </w:r>
      <w:r w:rsidR="00BC3C0A" w:rsidRPr="00C573D8">
        <w:rPr>
          <w:rFonts w:ascii="Arial" w:eastAsia="Times New Roman" w:hAnsi="Arial" w:cs="Arial"/>
          <w:color w:val="000000"/>
          <w:sz w:val="20"/>
          <w:szCs w:val="20"/>
        </w:rPr>
        <w:t>, 2011</w:t>
      </w:r>
      <w:r w:rsidR="00BC3C0A">
        <w:rPr>
          <w:rFonts w:ascii="Arial" w:eastAsia="Times New Roman" w:hAnsi="Arial" w:cs="Arial"/>
          <w:color w:val="000000"/>
          <w:sz w:val="20"/>
          <w:szCs w:val="20"/>
        </w:rPr>
        <w:t>;</w:t>
      </w:r>
      <w:r w:rsidR="00B41896">
        <w:rPr>
          <w:rFonts w:ascii="Arial" w:eastAsia="Times New Roman" w:hAnsi="Arial" w:cs="Arial"/>
          <w:color w:val="000000"/>
          <w:sz w:val="20"/>
          <w:szCs w:val="20"/>
        </w:rPr>
        <w:t xml:space="preserve"> </w:t>
      </w:r>
      <w:proofErr w:type="spellStart"/>
      <w:r w:rsidRPr="00C573D8">
        <w:rPr>
          <w:rFonts w:ascii="Arial" w:eastAsia="Times New Roman" w:hAnsi="Arial" w:cs="Arial"/>
          <w:color w:val="000000"/>
          <w:sz w:val="20"/>
          <w:szCs w:val="20"/>
        </w:rPr>
        <w:t>Abro</w:t>
      </w:r>
      <w:proofErr w:type="spellEnd"/>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xml:space="preserve">, 2012; </w:t>
      </w:r>
      <w:proofErr w:type="spellStart"/>
      <w:r w:rsidRPr="00C573D8">
        <w:rPr>
          <w:rFonts w:ascii="Arial" w:eastAsia="Times New Roman" w:hAnsi="Arial" w:cs="Arial"/>
          <w:color w:val="000000"/>
          <w:sz w:val="20"/>
          <w:szCs w:val="20"/>
        </w:rPr>
        <w:t>Kamble</w:t>
      </w:r>
      <w:proofErr w:type="spellEnd"/>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xml:space="preserve">, 2016). In addition to the classical IBVs, recombinant viruses have been identified in the field. Sequencing the full S1 gene, rather than a partial segment, will aid in the identification of such variants. In addition, it was suggested during the 8th </w:t>
      </w:r>
      <w:r w:rsidR="009C2912">
        <w:rPr>
          <w:rFonts w:ascii="Arial" w:eastAsia="Times New Roman" w:hAnsi="Arial" w:cs="Arial"/>
          <w:color w:val="000000"/>
          <w:sz w:val="20"/>
          <w:szCs w:val="20"/>
        </w:rPr>
        <w:t>I</w:t>
      </w:r>
      <w:r w:rsidR="009C2912" w:rsidRPr="00C573D8">
        <w:rPr>
          <w:rFonts w:ascii="Arial" w:eastAsia="Times New Roman" w:hAnsi="Arial" w:cs="Arial"/>
          <w:color w:val="000000"/>
          <w:sz w:val="20"/>
          <w:szCs w:val="20"/>
        </w:rPr>
        <w:t xml:space="preserve">nternational </w:t>
      </w:r>
      <w:r w:rsidR="009C2912">
        <w:rPr>
          <w:rFonts w:ascii="Arial" w:eastAsia="Times New Roman" w:hAnsi="Arial" w:cs="Arial"/>
          <w:color w:val="000000"/>
          <w:sz w:val="20"/>
          <w:szCs w:val="20"/>
        </w:rPr>
        <w:t>S</w:t>
      </w:r>
      <w:r w:rsidR="009C2912" w:rsidRPr="00C573D8">
        <w:rPr>
          <w:rFonts w:ascii="Arial" w:eastAsia="Times New Roman" w:hAnsi="Arial" w:cs="Arial"/>
          <w:color w:val="000000"/>
          <w:sz w:val="20"/>
          <w:szCs w:val="20"/>
        </w:rPr>
        <w:t xml:space="preserve">ymposium </w:t>
      </w:r>
      <w:r w:rsidRPr="00C573D8">
        <w:rPr>
          <w:rFonts w:ascii="Arial" w:eastAsia="Times New Roman" w:hAnsi="Arial" w:cs="Arial"/>
          <w:color w:val="000000"/>
          <w:sz w:val="20"/>
          <w:szCs w:val="20"/>
        </w:rPr>
        <w:t>on avian Corona-Pneumoviruses and complicating pathogens (2014), that the full S1 gene should be sequenced to determine the genotype of IBV isolates.  Work in Italy has outlined the benefits of sequencing the full S1 gene and classification of IBV strains into a number of distinct lineages (Valastro</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2016). An earlier study aimed to obtain full S1 sequences by using two primers to amplify and sequence around 1,700 base pairs (</w:t>
      </w:r>
      <w:proofErr w:type="spellStart"/>
      <w:r w:rsidRPr="00C573D8">
        <w:rPr>
          <w:rFonts w:ascii="Arial" w:eastAsia="Times New Roman" w:hAnsi="Arial" w:cs="Arial"/>
          <w:color w:val="000000"/>
          <w:sz w:val="20"/>
          <w:szCs w:val="20"/>
        </w:rPr>
        <w:t>bp</w:t>
      </w:r>
      <w:proofErr w:type="spellEnd"/>
      <w:r w:rsidRPr="00C573D8">
        <w:rPr>
          <w:rFonts w:ascii="Arial" w:eastAsia="Times New Roman" w:hAnsi="Arial" w:cs="Arial"/>
          <w:color w:val="000000"/>
          <w:sz w:val="20"/>
          <w:szCs w:val="20"/>
        </w:rPr>
        <w:t>) from the S1 gene, after purifying and digesting with restriction enzymes (Kwon</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1993). The same primers were used in another study (Abdel-</w:t>
      </w:r>
      <w:proofErr w:type="spellStart"/>
      <w:r w:rsidRPr="00C573D8">
        <w:rPr>
          <w:rFonts w:ascii="Arial" w:eastAsia="Times New Roman" w:hAnsi="Arial" w:cs="Arial"/>
          <w:color w:val="000000"/>
          <w:sz w:val="20"/>
          <w:szCs w:val="20"/>
        </w:rPr>
        <w:t>Moneim</w:t>
      </w:r>
      <w:proofErr w:type="spellEnd"/>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2006), while a separate investigation looked into the differences in S1 and partial N gene sequences</w:t>
      </w:r>
      <w:r w:rsidR="00B41896">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(Huang</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2004).</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Flinders Technology Association (FTA) cards have been utilised for a number of IBV studies looking to detect the virus from clinical or laboratory samples (</w:t>
      </w:r>
      <w:r w:rsidR="009C2912" w:rsidRPr="00C573D8">
        <w:rPr>
          <w:rFonts w:ascii="Arial" w:eastAsia="Times New Roman" w:hAnsi="Arial" w:cs="Arial"/>
          <w:color w:val="000000"/>
          <w:sz w:val="20"/>
          <w:szCs w:val="20"/>
        </w:rPr>
        <w:t>Moscoso</w:t>
      </w:r>
      <w:r w:rsidR="009C2912" w:rsidRPr="00C573D8">
        <w:rPr>
          <w:rFonts w:ascii="Arial" w:eastAsia="Times New Roman" w:hAnsi="Arial" w:cs="Arial"/>
          <w:i/>
          <w:iCs/>
          <w:color w:val="000000"/>
          <w:sz w:val="20"/>
          <w:szCs w:val="20"/>
        </w:rPr>
        <w:t xml:space="preserve"> et al.</w:t>
      </w:r>
      <w:r w:rsidR="009C2912" w:rsidRPr="00C573D8">
        <w:rPr>
          <w:rFonts w:ascii="Arial" w:eastAsia="Times New Roman" w:hAnsi="Arial" w:cs="Arial"/>
          <w:color w:val="000000"/>
          <w:sz w:val="20"/>
          <w:szCs w:val="20"/>
        </w:rPr>
        <w:t>, 2005</w:t>
      </w:r>
      <w:r w:rsidR="009C2912">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Ganapathy</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2015). While the cards are useful for transporting genomic material worldwide, the quality and quantity of RNA eluted varies depending on the initial amount of IBV RNA, storage duration and temperature (</w:t>
      </w:r>
      <w:proofErr w:type="spellStart"/>
      <w:r w:rsidRPr="00C573D8">
        <w:rPr>
          <w:rFonts w:ascii="Arial" w:eastAsia="Times New Roman" w:hAnsi="Arial" w:cs="Arial"/>
          <w:color w:val="000000"/>
          <w:sz w:val="20"/>
          <w:szCs w:val="20"/>
        </w:rPr>
        <w:t>Moscoso</w:t>
      </w:r>
      <w:proofErr w:type="spellEnd"/>
      <w:r w:rsidRPr="00C573D8">
        <w:rPr>
          <w:rFonts w:ascii="Arial" w:eastAsia="Times New Roman" w:hAnsi="Arial" w:cs="Arial"/>
          <w:color w:val="000000"/>
          <w:sz w:val="20"/>
          <w:szCs w:val="20"/>
        </w:rPr>
        <w:t xml:space="preserve"> </w:t>
      </w:r>
      <w:r w:rsidR="00105C60" w:rsidRPr="002B6E20">
        <w:rPr>
          <w:rFonts w:ascii="Arial" w:eastAsia="Times New Roman" w:hAnsi="Arial" w:cs="Arial"/>
          <w:i/>
          <w:color w:val="000000"/>
          <w:sz w:val="20"/>
          <w:szCs w:val="20"/>
        </w:rPr>
        <w:t>et al.,</w:t>
      </w:r>
      <w:r w:rsidRPr="00C573D8">
        <w:rPr>
          <w:rFonts w:ascii="Arial" w:eastAsia="Times New Roman" w:hAnsi="Arial" w:cs="Arial"/>
          <w:color w:val="000000"/>
          <w:sz w:val="20"/>
          <w:szCs w:val="20"/>
        </w:rPr>
        <w:t xml:space="preserve"> 2005), and the extraction methodology. Previous work has outlined that for IBV, a partial S1 amplification and sequencing from FTA card extraction is successful to a viral concentration of 10</w:t>
      </w:r>
      <w:r w:rsidRPr="00C573D8">
        <w:rPr>
          <w:rFonts w:ascii="Arial" w:eastAsia="Times New Roman" w:hAnsi="Arial" w:cs="Arial"/>
          <w:color w:val="000000"/>
          <w:sz w:val="20"/>
          <w:szCs w:val="20"/>
          <w:vertAlign w:val="superscript"/>
        </w:rPr>
        <w:t xml:space="preserve">0.2 </w:t>
      </w:r>
      <w:r w:rsidRPr="00C573D8">
        <w:rPr>
          <w:rFonts w:ascii="Arial" w:eastAsia="Times New Roman" w:hAnsi="Arial" w:cs="Arial"/>
          <w:color w:val="000000"/>
          <w:sz w:val="20"/>
          <w:szCs w:val="20"/>
        </w:rPr>
        <w:t>EID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/ml</w:t>
      </w:r>
      <w:r w:rsidR="009C2912">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(Awad</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2012). For IBV, it has been shown that RNA can be successfully extracted from field samples embedded onto FTA cards, and following RT-PCR and sequencing, genotypes can be determined based on the partial S1 gene (</w:t>
      </w:r>
      <w:r w:rsidR="009C2912" w:rsidRPr="00C573D8">
        <w:rPr>
          <w:rFonts w:ascii="Arial" w:eastAsia="Times New Roman" w:hAnsi="Arial" w:cs="Arial"/>
          <w:color w:val="000000"/>
          <w:sz w:val="20"/>
          <w:szCs w:val="20"/>
        </w:rPr>
        <w:t xml:space="preserve">Ganapathy </w:t>
      </w:r>
      <w:r w:rsidR="009C2912" w:rsidRPr="002B6E20">
        <w:rPr>
          <w:rFonts w:ascii="Arial" w:eastAsia="Times New Roman" w:hAnsi="Arial" w:cs="Arial"/>
          <w:i/>
          <w:color w:val="000000"/>
          <w:sz w:val="20"/>
          <w:szCs w:val="20"/>
        </w:rPr>
        <w:t>et al</w:t>
      </w:r>
      <w:r w:rsidR="009C2912" w:rsidRPr="00C573D8">
        <w:rPr>
          <w:rFonts w:ascii="Arial" w:eastAsia="Times New Roman" w:hAnsi="Arial" w:cs="Arial"/>
          <w:color w:val="000000"/>
          <w:sz w:val="20"/>
          <w:szCs w:val="20"/>
        </w:rPr>
        <w:t>., 2015</w:t>
      </w:r>
      <w:r w:rsidR="009C2912">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Ball</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xml:space="preserve">, 2016).  </w:t>
      </w:r>
      <w:proofErr w:type="spellStart"/>
      <w:r w:rsidRPr="00C573D8">
        <w:rPr>
          <w:rFonts w:ascii="Arial" w:eastAsia="Times New Roman" w:hAnsi="Arial" w:cs="Arial"/>
          <w:color w:val="000000"/>
          <w:sz w:val="20"/>
          <w:szCs w:val="20"/>
        </w:rPr>
        <w:t>Moscoso</w:t>
      </w:r>
      <w:proofErr w:type="spellEnd"/>
      <w:r w:rsidRPr="00C573D8">
        <w:rPr>
          <w:rFonts w:ascii="Arial" w:eastAsia="Times New Roman" w:hAnsi="Arial" w:cs="Arial"/>
          <w:color w:val="000000"/>
          <w:sz w:val="20"/>
          <w:szCs w:val="20"/>
        </w:rPr>
        <w:t xml:space="preserve"> </w:t>
      </w:r>
      <w:r w:rsidR="00105C60" w:rsidRPr="002B6E20">
        <w:rPr>
          <w:rFonts w:ascii="Arial" w:eastAsia="Times New Roman" w:hAnsi="Arial" w:cs="Arial"/>
          <w:i/>
          <w:color w:val="000000"/>
          <w:sz w:val="20"/>
          <w:szCs w:val="20"/>
        </w:rPr>
        <w:t xml:space="preserve">et al. </w:t>
      </w:r>
      <w:r w:rsidRPr="00C573D8">
        <w:rPr>
          <w:rFonts w:ascii="Arial" w:eastAsia="Times New Roman" w:hAnsi="Arial" w:cs="Arial"/>
          <w:color w:val="000000"/>
          <w:sz w:val="20"/>
          <w:szCs w:val="20"/>
        </w:rPr>
        <w:t xml:space="preserve">(2005) and Awad </w:t>
      </w:r>
      <w:r w:rsidR="00105C60" w:rsidRPr="002B6E20">
        <w:rPr>
          <w:rFonts w:ascii="Arial" w:eastAsia="Times New Roman" w:hAnsi="Arial" w:cs="Arial"/>
          <w:i/>
          <w:color w:val="000000"/>
          <w:sz w:val="20"/>
          <w:szCs w:val="20"/>
        </w:rPr>
        <w:t xml:space="preserve">et al. </w:t>
      </w:r>
      <w:r w:rsidRPr="00C573D8">
        <w:rPr>
          <w:rFonts w:ascii="Arial" w:eastAsia="Times New Roman" w:hAnsi="Arial" w:cs="Arial"/>
          <w:color w:val="000000"/>
          <w:sz w:val="20"/>
          <w:szCs w:val="20"/>
        </w:rPr>
        <w:t xml:space="preserve">(2014) also demonstrated </w:t>
      </w:r>
      <w:r w:rsidRPr="00C573D8">
        <w:rPr>
          <w:rFonts w:ascii="Arial" w:eastAsia="Times New Roman" w:hAnsi="Arial" w:cs="Arial"/>
          <w:color w:val="000000"/>
          <w:sz w:val="20"/>
          <w:szCs w:val="20"/>
        </w:rPr>
        <w:lastRenderedPageBreak/>
        <w:t>the effects of different temperature storage of IBV inoculated FTA cards (</w:t>
      </w:r>
      <w:proofErr w:type="spellStart"/>
      <w:r w:rsidRPr="00C573D8">
        <w:rPr>
          <w:rFonts w:ascii="Arial" w:eastAsia="Times New Roman" w:hAnsi="Arial" w:cs="Arial"/>
          <w:color w:val="000000"/>
          <w:sz w:val="20"/>
          <w:szCs w:val="20"/>
        </w:rPr>
        <w:t>Moscoso</w:t>
      </w:r>
      <w:proofErr w:type="spellEnd"/>
      <w:r w:rsidRPr="00C573D8">
        <w:rPr>
          <w:rFonts w:ascii="Arial" w:eastAsia="Times New Roman" w:hAnsi="Arial" w:cs="Arial"/>
          <w:color w:val="000000"/>
          <w:sz w:val="20"/>
          <w:szCs w:val="20"/>
        </w:rPr>
        <w:t xml:space="preserve"> </w:t>
      </w:r>
      <w:r w:rsidR="00105C60" w:rsidRPr="002B6E20">
        <w:rPr>
          <w:rFonts w:ascii="Arial" w:eastAsia="Times New Roman" w:hAnsi="Arial" w:cs="Arial"/>
          <w:i/>
          <w:color w:val="000000"/>
          <w:sz w:val="20"/>
          <w:szCs w:val="20"/>
        </w:rPr>
        <w:t>et al</w:t>
      </w:r>
      <w:r w:rsidRPr="00C573D8">
        <w:rPr>
          <w:rFonts w:ascii="Arial" w:eastAsia="Times New Roman" w:hAnsi="Arial" w:cs="Arial"/>
          <w:color w:val="000000"/>
          <w:sz w:val="20"/>
          <w:szCs w:val="20"/>
        </w:rPr>
        <w:t>., 2005</w:t>
      </w:r>
      <w:r w:rsidR="009C2912">
        <w:rPr>
          <w:rFonts w:ascii="Arial" w:eastAsia="Times New Roman" w:hAnsi="Arial" w:cs="Arial"/>
          <w:color w:val="000000"/>
          <w:sz w:val="20"/>
          <w:szCs w:val="20"/>
        </w:rPr>
        <w:t>;</w:t>
      </w:r>
      <w:r w:rsidR="009C2912" w:rsidRPr="009C2912">
        <w:rPr>
          <w:rFonts w:ascii="Arial" w:eastAsia="Times New Roman" w:hAnsi="Arial" w:cs="Arial"/>
          <w:color w:val="000000"/>
          <w:sz w:val="20"/>
          <w:szCs w:val="20"/>
        </w:rPr>
        <w:t xml:space="preserve"> </w:t>
      </w:r>
      <w:r w:rsidR="009C2912" w:rsidRPr="00C573D8">
        <w:rPr>
          <w:rFonts w:ascii="Arial" w:eastAsia="Times New Roman" w:hAnsi="Arial" w:cs="Arial"/>
          <w:color w:val="000000"/>
          <w:sz w:val="20"/>
          <w:szCs w:val="20"/>
        </w:rPr>
        <w:t>Awad</w:t>
      </w:r>
      <w:r w:rsidR="009C2912" w:rsidRPr="00C573D8">
        <w:rPr>
          <w:rFonts w:ascii="Arial" w:eastAsia="Times New Roman" w:hAnsi="Arial" w:cs="Arial"/>
          <w:i/>
          <w:iCs/>
          <w:color w:val="000000"/>
          <w:sz w:val="20"/>
          <w:szCs w:val="20"/>
        </w:rPr>
        <w:t xml:space="preserve"> et al.</w:t>
      </w:r>
      <w:r w:rsidR="009C2912" w:rsidRPr="00C573D8">
        <w:rPr>
          <w:rFonts w:ascii="Arial" w:eastAsia="Times New Roman" w:hAnsi="Arial" w:cs="Arial"/>
          <w:color w:val="000000"/>
          <w:sz w:val="20"/>
          <w:szCs w:val="20"/>
        </w:rPr>
        <w:t>, 2014</w:t>
      </w:r>
      <w:r w:rsidRPr="00C573D8">
        <w:rPr>
          <w:rFonts w:ascii="Arial" w:eastAsia="Times New Roman" w:hAnsi="Arial" w:cs="Arial"/>
          <w:color w:val="000000"/>
          <w:sz w:val="20"/>
          <w:szCs w:val="20"/>
        </w:rPr>
        <w:t xml:space="preserve">). However, to date, the feasibility of full S1 gene sequencing from FTA cards has not been examined.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The aim of this study was to develop and evaluate a single RT-PCR assay in order to amplify and sequence the full S1 gene of six common IBV genotypes grown in allantoic fluid. The sensitivity of the scheme was investigated using RNA extracted from allantoic fluid, both directly and after inoculation onto FTA cards, and field samples submitted on FTA cards.  The influence of storage temperatures on detectability of these IBV strains, through full and partial S1 PCR and sequencing were also assessed.</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 MATERIALS AND METHODS</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 xml:space="preserve"> Virus strains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The following virulent IBV strains were used in this study: 793B (10</w:t>
      </w:r>
      <w:r w:rsidRPr="00C573D8">
        <w:rPr>
          <w:rFonts w:ascii="Arial" w:eastAsia="Times New Roman" w:hAnsi="Arial" w:cs="Arial"/>
          <w:color w:val="000000"/>
          <w:sz w:val="20"/>
          <w:szCs w:val="20"/>
          <w:vertAlign w:val="superscript"/>
        </w:rPr>
        <w:t>6.4</w:t>
      </w:r>
      <w:r w:rsidRPr="00C573D8">
        <w:rPr>
          <w:rFonts w:ascii="Arial" w:eastAsia="Times New Roman" w:hAnsi="Arial" w:cs="Arial"/>
          <w:color w:val="000000"/>
          <w:sz w:val="20"/>
          <w:szCs w:val="20"/>
        </w:rPr>
        <w:t xml:space="preserve"> CD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/ml), M41 (10</w:t>
      </w:r>
      <w:r w:rsidRPr="00C573D8">
        <w:rPr>
          <w:rFonts w:ascii="Arial" w:eastAsia="Times New Roman" w:hAnsi="Arial" w:cs="Arial"/>
          <w:color w:val="000000"/>
          <w:sz w:val="20"/>
          <w:szCs w:val="20"/>
          <w:vertAlign w:val="superscript"/>
        </w:rPr>
        <w:t>6.3</w:t>
      </w:r>
      <w:r w:rsidRPr="00C573D8">
        <w:rPr>
          <w:rFonts w:ascii="Arial" w:eastAsia="Times New Roman" w:hAnsi="Arial" w:cs="Arial"/>
          <w:color w:val="000000"/>
          <w:sz w:val="20"/>
          <w:szCs w:val="20"/>
        </w:rPr>
        <w:t xml:space="preserve"> CD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/ml), D274 (10</w:t>
      </w:r>
      <w:r w:rsidRPr="00C573D8">
        <w:rPr>
          <w:rFonts w:ascii="Arial" w:eastAsia="Times New Roman" w:hAnsi="Arial" w:cs="Arial"/>
          <w:color w:val="000000"/>
          <w:sz w:val="20"/>
          <w:szCs w:val="20"/>
          <w:vertAlign w:val="superscript"/>
        </w:rPr>
        <w:t xml:space="preserve">6.75 </w:t>
      </w:r>
      <w:r w:rsidRPr="00C573D8">
        <w:rPr>
          <w:rFonts w:ascii="Arial" w:eastAsia="Times New Roman" w:hAnsi="Arial" w:cs="Arial"/>
          <w:color w:val="000000"/>
          <w:sz w:val="20"/>
          <w:szCs w:val="20"/>
        </w:rPr>
        <w:t>CD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/ml), QX (10</w:t>
      </w:r>
      <w:r w:rsidRPr="00C573D8">
        <w:rPr>
          <w:rFonts w:ascii="Arial" w:eastAsia="Times New Roman" w:hAnsi="Arial" w:cs="Arial"/>
          <w:color w:val="000000"/>
          <w:sz w:val="20"/>
          <w:szCs w:val="20"/>
          <w:vertAlign w:val="superscript"/>
        </w:rPr>
        <w:t>6.3</w:t>
      </w:r>
      <w:r w:rsidRPr="00C573D8">
        <w:rPr>
          <w:rFonts w:ascii="Arial" w:eastAsia="Times New Roman" w:hAnsi="Arial" w:cs="Arial"/>
          <w:color w:val="000000"/>
          <w:sz w:val="20"/>
          <w:szCs w:val="20"/>
        </w:rPr>
        <w:t xml:space="preserve"> CD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/ml), Q1 (10</w:t>
      </w:r>
      <w:r w:rsidRPr="00C573D8">
        <w:rPr>
          <w:rFonts w:ascii="Arial" w:eastAsia="Times New Roman" w:hAnsi="Arial" w:cs="Arial"/>
          <w:color w:val="000000"/>
          <w:sz w:val="20"/>
          <w:szCs w:val="20"/>
          <w:vertAlign w:val="superscript"/>
        </w:rPr>
        <w:t>5.5</w:t>
      </w:r>
      <w:r w:rsidRPr="00C573D8">
        <w:rPr>
          <w:rFonts w:ascii="Arial" w:eastAsia="Times New Roman" w:hAnsi="Arial" w:cs="Arial"/>
          <w:color w:val="000000"/>
          <w:sz w:val="20"/>
          <w:szCs w:val="20"/>
        </w:rPr>
        <w:t xml:space="preserve"> CD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/ml), IS/1494/06 (10</w:t>
      </w:r>
      <w:r w:rsidRPr="00C573D8">
        <w:rPr>
          <w:rFonts w:ascii="Arial" w:eastAsia="Times New Roman" w:hAnsi="Arial" w:cs="Arial"/>
          <w:color w:val="000000"/>
          <w:sz w:val="20"/>
          <w:szCs w:val="20"/>
          <w:vertAlign w:val="superscript"/>
        </w:rPr>
        <w:t>6.3</w:t>
      </w:r>
      <w:r w:rsidRPr="00C573D8">
        <w:rPr>
          <w:rFonts w:ascii="Arial" w:eastAsia="Times New Roman" w:hAnsi="Arial" w:cs="Arial"/>
          <w:color w:val="000000"/>
          <w:sz w:val="20"/>
          <w:szCs w:val="20"/>
        </w:rPr>
        <w:t xml:space="preserve"> CD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/ml) and IS/885/00 (10</w:t>
      </w:r>
      <w:r w:rsidRPr="00C573D8">
        <w:rPr>
          <w:rFonts w:ascii="Arial" w:eastAsia="Times New Roman" w:hAnsi="Arial" w:cs="Arial"/>
          <w:color w:val="000000"/>
          <w:sz w:val="20"/>
          <w:szCs w:val="20"/>
          <w:vertAlign w:val="superscript"/>
        </w:rPr>
        <w:t>6.3</w:t>
      </w:r>
      <w:r w:rsidRPr="00C573D8">
        <w:rPr>
          <w:rFonts w:ascii="Arial" w:eastAsia="Times New Roman" w:hAnsi="Arial" w:cs="Arial"/>
          <w:color w:val="000000"/>
          <w:sz w:val="20"/>
          <w:szCs w:val="20"/>
        </w:rPr>
        <w:t xml:space="preserve"> CD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/ml)</w:t>
      </w:r>
      <w:r w:rsidR="009C2912">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(Ganapathy</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2012</w:t>
      </w:r>
      <w:r w:rsidR="009C2912">
        <w:rPr>
          <w:rFonts w:ascii="Arial" w:eastAsia="Times New Roman" w:hAnsi="Arial" w:cs="Arial"/>
          <w:color w:val="000000"/>
          <w:sz w:val="20"/>
          <w:szCs w:val="20"/>
        </w:rPr>
        <w:t xml:space="preserve">; </w:t>
      </w:r>
      <w:r w:rsidR="009C2912" w:rsidRPr="00C573D8">
        <w:rPr>
          <w:rFonts w:ascii="Arial" w:eastAsia="Times New Roman" w:hAnsi="Arial" w:cs="Arial"/>
          <w:color w:val="000000"/>
          <w:sz w:val="20"/>
          <w:szCs w:val="20"/>
        </w:rPr>
        <w:t>Chhabra</w:t>
      </w:r>
      <w:r w:rsidR="009C2912" w:rsidRPr="00C573D8">
        <w:rPr>
          <w:rFonts w:ascii="Arial" w:eastAsia="Times New Roman" w:hAnsi="Arial" w:cs="Arial"/>
          <w:i/>
          <w:iCs/>
          <w:color w:val="000000"/>
          <w:sz w:val="20"/>
          <w:szCs w:val="20"/>
        </w:rPr>
        <w:t xml:space="preserve"> et al.</w:t>
      </w:r>
      <w:r w:rsidR="009C2912">
        <w:rPr>
          <w:rFonts w:ascii="Arial" w:eastAsia="Times New Roman" w:hAnsi="Arial" w:cs="Arial"/>
          <w:color w:val="000000"/>
          <w:sz w:val="20"/>
          <w:szCs w:val="20"/>
        </w:rPr>
        <w:t>, 2015</w:t>
      </w:r>
      <w:r w:rsidRPr="00C573D8">
        <w:rPr>
          <w:rFonts w:ascii="Arial" w:eastAsia="Times New Roman" w:hAnsi="Arial" w:cs="Arial"/>
          <w:color w:val="000000"/>
          <w:sz w:val="20"/>
          <w:szCs w:val="20"/>
        </w:rPr>
        <w:t>). Viruses were passaged in embryonated specific-pathogen free (SPF) chicken eggs and titrated in tracheal organ cultures (TOCs) to determine the median ciliostatic dose per ml (CD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/ml) (Cook</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xml:space="preserve">, 1976).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RNA extraction from allantoic fluid and FTA cards</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i/>
          <w:iCs/>
          <w:color w:val="000000"/>
          <w:sz w:val="20"/>
          <w:szCs w:val="20"/>
        </w:rPr>
        <w:t>Allantoic fluid</w:t>
      </w:r>
      <w:r w:rsidRPr="00C573D8">
        <w:rPr>
          <w:rFonts w:ascii="Arial" w:eastAsia="Times New Roman" w:hAnsi="Arial" w:cs="Arial"/>
          <w:color w:val="000000"/>
          <w:sz w:val="20"/>
          <w:szCs w:val="20"/>
        </w:rPr>
        <w:t xml:space="preserve">: Viral RNA was extracted using the </w:t>
      </w:r>
      <w:proofErr w:type="spellStart"/>
      <w:r w:rsidRPr="00C573D8">
        <w:rPr>
          <w:rFonts w:ascii="Arial" w:eastAsia="Times New Roman" w:hAnsi="Arial" w:cs="Arial"/>
          <w:color w:val="000000"/>
          <w:sz w:val="20"/>
          <w:szCs w:val="20"/>
        </w:rPr>
        <w:t>QIAamp</w:t>
      </w:r>
      <w:proofErr w:type="spellEnd"/>
      <w:r w:rsidRPr="00C573D8">
        <w:rPr>
          <w:rFonts w:ascii="Arial" w:eastAsia="Times New Roman" w:hAnsi="Arial" w:cs="Arial"/>
          <w:color w:val="000000"/>
          <w:sz w:val="20"/>
          <w:szCs w:val="20"/>
        </w:rPr>
        <w:t xml:space="preserve"> viral RNA Mini Kit (</w:t>
      </w:r>
      <w:proofErr w:type="spellStart"/>
      <w:r w:rsidRPr="00C573D8">
        <w:rPr>
          <w:rFonts w:ascii="Arial" w:eastAsia="Times New Roman" w:hAnsi="Arial" w:cs="Arial"/>
          <w:color w:val="000000"/>
          <w:sz w:val="20"/>
          <w:szCs w:val="20"/>
        </w:rPr>
        <w:t>Qiagen</w:t>
      </w:r>
      <w:proofErr w:type="spellEnd"/>
      <w:r w:rsidRPr="00C573D8">
        <w:rPr>
          <w:rFonts w:ascii="Arial" w:eastAsia="Times New Roman" w:hAnsi="Arial" w:cs="Arial"/>
          <w:color w:val="000000"/>
          <w:sz w:val="20"/>
          <w:szCs w:val="20"/>
        </w:rPr>
        <w:t xml:space="preserve">, UK) according to the manufacturer’s instructions from 100 µl of neat and diluted allantoic fluid.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i/>
          <w:iCs/>
          <w:color w:val="000000"/>
          <w:sz w:val="20"/>
          <w:szCs w:val="20"/>
        </w:rPr>
        <w:t> Extraction from FTA cards</w:t>
      </w:r>
      <w:r w:rsidRPr="00C573D8">
        <w:rPr>
          <w:rFonts w:ascii="Arial" w:eastAsia="Times New Roman" w:hAnsi="Arial" w:cs="Arial"/>
          <w:color w:val="000000"/>
          <w:sz w:val="20"/>
          <w:szCs w:val="20"/>
        </w:rPr>
        <w:t>: FTA cards (</w:t>
      </w:r>
      <w:proofErr w:type="spellStart"/>
      <w:r w:rsidRPr="00C573D8">
        <w:rPr>
          <w:rFonts w:ascii="Arial" w:eastAsia="Times New Roman" w:hAnsi="Arial" w:cs="Arial"/>
          <w:color w:val="000000"/>
          <w:sz w:val="20"/>
          <w:szCs w:val="20"/>
        </w:rPr>
        <w:t>Whatman</w:t>
      </w:r>
      <w:r w:rsidRPr="00C573D8">
        <w:rPr>
          <w:rFonts w:ascii="Arial" w:eastAsia="Times New Roman" w:hAnsi="Arial" w:cs="Arial"/>
          <w:color w:val="000000"/>
          <w:sz w:val="20"/>
          <w:szCs w:val="20"/>
          <w:vertAlign w:val="superscript"/>
        </w:rPr>
        <w:t>TM</w:t>
      </w:r>
      <w:proofErr w:type="spellEnd"/>
      <w:r w:rsidRPr="00C573D8">
        <w:rPr>
          <w:rFonts w:ascii="Arial" w:eastAsia="Times New Roman" w:hAnsi="Arial" w:cs="Arial"/>
          <w:color w:val="000000"/>
          <w:sz w:val="20"/>
          <w:szCs w:val="20"/>
        </w:rPr>
        <w:t>)</w:t>
      </w:r>
      <w:r w:rsidRPr="00C573D8">
        <w:rPr>
          <w:rFonts w:ascii="Arial" w:eastAsia="Times New Roman" w:hAnsi="Arial" w:cs="Arial"/>
          <w:color w:val="000000"/>
          <w:sz w:val="20"/>
          <w:szCs w:val="20"/>
          <w:vertAlign w:val="superscript"/>
        </w:rPr>
        <w:t xml:space="preserve"> </w:t>
      </w:r>
      <w:r w:rsidRPr="00C573D8">
        <w:rPr>
          <w:rFonts w:ascii="Arial" w:eastAsia="Times New Roman" w:hAnsi="Arial" w:cs="Arial"/>
          <w:color w:val="000000"/>
          <w:sz w:val="20"/>
          <w:szCs w:val="20"/>
        </w:rPr>
        <w:t>were inoculated with 100µl of ten-fold diluted allantoic fluid for each virulent strain. The inoculated FTA cards were stored at three different temperatures; 4</w:t>
      </w:r>
      <w:r w:rsidRPr="00C573D8">
        <w:rPr>
          <w:rFonts w:ascii="Arial" w:eastAsia="Times New Roman" w:hAnsi="Arial" w:cs="Arial"/>
          <w:color w:val="000000"/>
          <w:sz w:val="20"/>
          <w:szCs w:val="20"/>
          <w:vertAlign w:val="superscript"/>
        </w:rPr>
        <w:t>o</w:t>
      </w:r>
      <w:r w:rsidRPr="00C573D8">
        <w:rPr>
          <w:rFonts w:ascii="Arial" w:eastAsia="Times New Roman" w:hAnsi="Arial" w:cs="Arial"/>
          <w:color w:val="000000"/>
          <w:sz w:val="20"/>
          <w:szCs w:val="20"/>
        </w:rPr>
        <w:t>C, 40</w:t>
      </w:r>
      <w:r w:rsidRPr="00C573D8">
        <w:rPr>
          <w:rFonts w:ascii="Arial" w:eastAsia="Times New Roman" w:hAnsi="Arial" w:cs="Arial"/>
          <w:color w:val="000000"/>
          <w:sz w:val="20"/>
          <w:szCs w:val="20"/>
          <w:vertAlign w:val="superscript"/>
        </w:rPr>
        <w:t>o</w:t>
      </w:r>
      <w:r w:rsidRPr="00C573D8">
        <w:rPr>
          <w:rFonts w:ascii="Arial" w:eastAsia="Times New Roman" w:hAnsi="Arial" w:cs="Arial"/>
          <w:color w:val="000000"/>
          <w:sz w:val="20"/>
          <w:szCs w:val="20"/>
        </w:rPr>
        <w:t>C and room temperature, defined as 22-26</w:t>
      </w:r>
      <w:r w:rsidRPr="00C573D8">
        <w:rPr>
          <w:rFonts w:ascii="Arial" w:eastAsia="Times New Roman" w:hAnsi="Arial" w:cs="Arial"/>
          <w:color w:val="000000"/>
          <w:sz w:val="20"/>
          <w:szCs w:val="20"/>
          <w:vertAlign w:val="superscript"/>
        </w:rPr>
        <w:t>o</w:t>
      </w:r>
      <w:r w:rsidRPr="00C573D8">
        <w:rPr>
          <w:rFonts w:ascii="Arial" w:eastAsia="Times New Roman" w:hAnsi="Arial" w:cs="Arial"/>
          <w:color w:val="000000"/>
          <w:sz w:val="20"/>
          <w:szCs w:val="20"/>
        </w:rPr>
        <w:t>C. For each sampling point (1, 2, 3, 7, 14, 21 days post inoculation)</w:t>
      </w:r>
      <w:r w:rsidR="000C22A6">
        <w:rPr>
          <w:rFonts w:ascii="Arial" w:eastAsia="Times New Roman" w:hAnsi="Arial" w:cs="Arial"/>
          <w:color w:val="000000"/>
          <w:sz w:val="20"/>
          <w:szCs w:val="20"/>
        </w:rPr>
        <w:t xml:space="preserve"> [dpi</w:t>
      </w:r>
      <w:r w:rsidR="00BC3C0A">
        <w:rPr>
          <w:rFonts w:ascii="Arial" w:eastAsia="Times New Roman" w:hAnsi="Arial" w:cs="Arial"/>
          <w:color w:val="000000"/>
          <w:sz w:val="20"/>
          <w:szCs w:val="20"/>
        </w:rPr>
        <w:t>]</w:t>
      </w:r>
      <w:r w:rsidRPr="00C573D8">
        <w:rPr>
          <w:rFonts w:ascii="Arial" w:eastAsia="Times New Roman" w:hAnsi="Arial" w:cs="Arial"/>
          <w:color w:val="000000"/>
          <w:sz w:val="20"/>
          <w:szCs w:val="20"/>
        </w:rPr>
        <w:t xml:space="preserve">, a single, complete FTA circle from each dilution and each temperature was removed using sterile scissors, placed into 1000 µl of TE buffer ((10 </w:t>
      </w:r>
      <w:proofErr w:type="spellStart"/>
      <w:r w:rsidRPr="00C573D8">
        <w:rPr>
          <w:rFonts w:ascii="Arial" w:eastAsia="Times New Roman" w:hAnsi="Arial" w:cs="Arial"/>
          <w:color w:val="000000"/>
          <w:sz w:val="20"/>
          <w:szCs w:val="20"/>
        </w:rPr>
        <w:t>mM</w:t>
      </w:r>
      <w:proofErr w:type="spellEnd"/>
      <w:r w:rsidRPr="00C573D8">
        <w:rPr>
          <w:rFonts w:ascii="Arial" w:eastAsia="Times New Roman" w:hAnsi="Arial" w:cs="Arial"/>
          <w:color w:val="000000"/>
          <w:sz w:val="20"/>
          <w:szCs w:val="20"/>
        </w:rPr>
        <w:t xml:space="preserve"> </w:t>
      </w:r>
      <w:proofErr w:type="spellStart"/>
      <w:r w:rsidRPr="00C573D8">
        <w:rPr>
          <w:rFonts w:ascii="Arial" w:eastAsia="Times New Roman" w:hAnsi="Arial" w:cs="Arial"/>
          <w:color w:val="000000"/>
          <w:sz w:val="20"/>
          <w:szCs w:val="20"/>
        </w:rPr>
        <w:t>Tris-HCl</w:t>
      </w:r>
      <w:proofErr w:type="spellEnd"/>
      <w:r w:rsidRPr="00C573D8">
        <w:rPr>
          <w:rFonts w:ascii="Arial" w:eastAsia="Times New Roman" w:hAnsi="Arial" w:cs="Arial"/>
          <w:color w:val="000000"/>
          <w:sz w:val="20"/>
          <w:szCs w:val="20"/>
        </w:rPr>
        <w:t xml:space="preserve"> (pH 8.0), 1 </w:t>
      </w:r>
      <w:proofErr w:type="spellStart"/>
      <w:r w:rsidRPr="00C573D8">
        <w:rPr>
          <w:rFonts w:ascii="Arial" w:eastAsia="Times New Roman" w:hAnsi="Arial" w:cs="Arial"/>
          <w:color w:val="000000"/>
          <w:sz w:val="20"/>
          <w:szCs w:val="20"/>
        </w:rPr>
        <w:t>mM</w:t>
      </w:r>
      <w:proofErr w:type="spellEnd"/>
      <w:r w:rsidRPr="00C573D8">
        <w:rPr>
          <w:rFonts w:ascii="Arial" w:eastAsia="Times New Roman" w:hAnsi="Arial" w:cs="Arial"/>
          <w:color w:val="000000"/>
          <w:sz w:val="20"/>
          <w:szCs w:val="20"/>
        </w:rPr>
        <w:t xml:space="preserve"> EDTA (pH 8.0) (Thermo Fisher Scientific, USA)) and incubated for 10-15 minutes (Sakai</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xml:space="preserve">, 2015). After </w:t>
      </w:r>
      <w:proofErr w:type="spellStart"/>
      <w:r w:rsidRPr="00C573D8">
        <w:rPr>
          <w:rFonts w:ascii="Arial" w:eastAsia="Times New Roman" w:hAnsi="Arial" w:cs="Arial"/>
          <w:color w:val="000000"/>
          <w:sz w:val="20"/>
          <w:szCs w:val="20"/>
        </w:rPr>
        <w:t>vortexing</w:t>
      </w:r>
      <w:proofErr w:type="spellEnd"/>
      <w:r w:rsidRPr="00C573D8">
        <w:rPr>
          <w:rFonts w:ascii="Arial" w:eastAsia="Times New Roman" w:hAnsi="Arial" w:cs="Arial"/>
          <w:color w:val="000000"/>
          <w:sz w:val="20"/>
          <w:szCs w:val="20"/>
        </w:rPr>
        <w:t xml:space="preserve">, 100 µl was taken and processed for RNA extraction using the </w:t>
      </w:r>
      <w:proofErr w:type="spellStart"/>
      <w:r w:rsidRPr="00B41896">
        <w:rPr>
          <w:rFonts w:ascii="Arial" w:eastAsia="Times New Roman" w:hAnsi="Arial" w:cs="Arial"/>
          <w:color w:val="000000"/>
          <w:sz w:val="20"/>
          <w:szCs w:val="20"/>
        </w:rPr>
        <w:t>QIAamp</w:t>
      </w:r>
      <w:proofErr w:type="spellEnd"/>
      <w:r w:rsidRPr="00B41896">
        <w:rPr>
          <w:rFonts w:ascii="Arial" w:eastAsia="Times New Roman" w:hAnsi="Arial" w:cs="Arial"/>
          <w:color w:val="000000"/>
          <w:sz w:val="20"/>
          <w:szCs w:val="20"/>
        </w:rPr>
        <w:t xml:space="preserve"> viral RNA Mini Kit (</w:t>
      </w:r>
      <w:proofErr w:type="spellStart"/>
      <w:r w:rsidRPr="00B41896">
        <w:rPr>
          <w:rFonts w:ascii="Arial" w:eastAsia="Times New Roman" w:hAnsi="Arial" w:cs="Arial"/>
          <w:color w:val="000000"/>
          <w:sz w:val="20"/>
          <w:szCs w:val="20"/>
        </w:rPr>
        <w:t>Qiagen</w:t>
      </w:r>
      <w:proofErr w:type="spellEnd"/>
      <w:r w:rsidRPr="00B41896">
        <w:rPr>
          <w:rFonts w:ascii="Arial" w:eastAsia="Times New Roman" w:hAnsi="Arial" w:cs="Arial"/>
          <w:color w:val="000000"/>
          <w:sz w:val="20"/>
          <w:szCs w:val="20"/>
        </w:rPr>
        <w:t>, UK) according</w:t>
      </w:r>
      <w:r w:rsidRPr="00C573D8">
        <w:rPr>
          <w:rFonts w:ascii="Arial" w:eastAsia="Times New Roman" w:hAnsi="Arial" w:cs="Arial"/>
          <w:color w:val="000000"/>
          <w:sz w:val="20"/>
          <w:szCs w:val="20"/>
        </w:rPr>
        <w:t xml:space="preserve"> to manufacturing instructions.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 IBV RT-PCR and sequencing</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i/>
          <w:iCs/>
          <w:color w:val="000000"/>
          <w:sz w:val="20"/>
          <w:szCs w:val="20"/>
        </w:rPr>
        <w:t>Partial S1 RT-PCR:</w:t>
      </w:r>
      <w:r w:rsidRPr="00C573D8">
        <w:rPr>
          <w:rFonts w:ascii="Arial" w:eastAsia="Times New Roman" w:hAnsi="Arial" w:cs="Arial"/>
          <w:b/>
          <w:bCs/>
          <w:color w:val="000000"/>
          <w:sz w:val="20"/>
          <w:szCs w:val="20"/>
        </w:rPr>
        <w:t xml:space="preserve"> </w:t>
      </w:r>
      <w:r w:rsidRPr="00C573D8">
        <w:rPr>
          <w:rFonts w:ascii="Arial" w:eastAsia="Times New Roman" w:hAnsi="Arial" w:cs="Arial"/>
          <w:color w:val="000000"/>
          <w:sz w:val="20"/>
          <w:szCs w:val="20"/>
        </w:rPr>
        <w:t>Extracted RNA was used</w:t>
      </w:r>
      <w:r w:rsidR="00A34BE4">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for both partial and full S1 amplifications. For partial S1 amplification,</w:t>
      </w:r>
      <w:r w:rsidRPr="00C573D8">
        <w:rPr>
          <w:rFonts w:ascii="Arial" w:eastAsia="Times New Roman" w:hAnsi="Arial" w:cs="Arial"/>
          <w:i/>
          <w:iCs/>
          <w:color w:val="000000"/>
          <w:sz w:val="20"/>
          <w:szCs w:val="20"/>
        </w:rPr>
        <w:t xml:space="preserve"> </w:t>
      </w:r>
      <w:r w:rsidRPr="00C573D8">
        <w:rPr>
          <w:rFonts w:ascii="Arial" w:eastAsia="Times New Roman" w:hAnsi="Arial" w:cs="Arial"/>
          <w:color w:val="000000"/>
          <w:sz w:val="20"/>
          <w:szCs w:val="20"/>
        </w:rPr>
        <w:t>RT-PCR targeting a 393bp partial sequence of the S1 gene was conducted (</w:t>
      </w:r>
      <w:r w:rsidR="006536CC">
        <w:rPr>
          <w:rFonts w:ascii="Arial" w:eastAsia="Times New Roman" w:hAnsi="Arial" w:cs="Arial"/>
          <w:color w:val="000000"/>
          <w:sz w:val="20"/>
          <w:szCs w:val="20"/>
        </w:rPr>
        <w:t>Ganapathy</w:t>
      </w:r>
      <w:r w:rsidR="00A34BE4" w:rsidRPr="00C573D8">
        <w:rPr>
          <w:rFonts w:ascii="Arial" w:eastAsia="Times New Roman" w:hAnsi="Arial" w:cs="Arial"/>
          <w:color w:val="000000"/>
          <w:sz w:val="20"/>
          <w:szCs w:val="20"/>
        </w:rPr>
        <w:t xml:space="preserve"> </w:t>
      </w:r>
      <w:r w:rsidR="00A34BE4" w:rsidRPr="00A34BE4">
        <w:rPr>
          <w:rFonts w:ascii="Arial" w:eastAsia="Times New Roman" w:hAnsi="Arial" w:cs="Arial"/>
          <w:i/>
          <w:color w:val="000000"/>
          <w:sz w:val="20"/>
          <w:szCs w:val="20"/>
        </w:rPr>
        <w:t>et al.,</w:t>
      </w:r>
      <w:r w:rsidR="00A34BE4" w:rsidRPr="00C573D8">
        <w:rPr>
          <w:rFonts w:ascii="Arial" w:eastAsia="Times New Roman" w:hAnsi="Arial" w:cs="Arial"/>
          <w:color w:val="000000"/>
          <w:sz w:val="20"/>
          <w:szCs w:val="20"/>
        </w:rPr>
        <w:t xml:space="preserve"> 2015</w:t>
      </w:r>
      <w:r w:rsidR="00A34BE4">
        <w:rPr>
          <w:rFonts w:ascii="Arial" w:eastAsia="Times New Roman" w:hAnsi="Arial" w:cs="Arial"/>
          <w:color w:val="000000"/>
          <w:sz w:val="20"/>
          <w:szCs w:val="20"/>
        </w:rPr>
        <w:t xml:space="preserve">; </w:t>
      </w:r>
      <w:r w:rsidR="006536CC">
        <w:rPr>
          <w:rFonts w:ascii="Arial" w:eastAsia="Times New Roman" w:hAnsi="Arial" w:cs="Arial"/>
          <w:color w:val="000000"/>
          <w:sz w:val="20"/>
          <w:szCs w:val="20"/>
        </w:rPr>
        <w:t>Ball</w:t>
      </w:r>
      <w:r w:rsidRPr="00C573D8">
        <w:rPr>
          <w:rFonts w:ascii="Arial" w:eastAsia="Times New Roman" w:hAnsi="Arial" w:cs="Arial"/>
          <w:color w:val="000000"/>
          <w:sz w:val="20"/>
          <w:szCs w:val="20"/>
        </w:rPr>
        <w:t xml:space="preserve"> </w:t>
      </w:r>
      <w:r w:rsidRPr="00A34BE4">
        <w:rPr>
          <w:rFonts w:ascii="Arial" w:eastAsia="Times New Roman" w:hAnsi="Arial" w:cs="Arial"/>
          <w:i/>
          <w:color w:val="000000"/>
          <w:sz w:val="20"/>
          <w:szCs w:val="20"/>
        </w:rPr>
        <w:t>et al</w:t>
      </w:r>
      <w:r w:rsidR="002B6E20">
        <w:rPr>
          <w:rFonts w:ascii="Arial" w:eastAsia="Times New Roman" w:hAnsi="Arial" w:cs="Arial"/>
          <w:color w:val="000000"/>
          <w:sz w:val="20"/>
          <w:szCs w:val="20"/>
        </w:rPr>
        <w:t>., 2016</w:t>
      </w:r>
      <w:r w:rsidRPr="00C573D8">
        <w:rPr>
          <w:rFonts w:ascii="Arial" w:eastAsia="Times New Roman" w:hAnsi="Arial" w:cs="Arial"/>
          <w:color w:val="000000"/>
          <w:sz w:val="20"/>
          <w:szCs w:val="20"/>
        </w:rPr>
        <w:t xml:space="preserve">), followed by gel electrophoresis.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i/>
          <w:iCs/>
          <w:color w:val="000000"/>
          <w:sz w:val="20"/>
          <w:szCs w:val="20"/>
        </w:rPr>
        <w:t>Full S1 RT-PCR:</w:t>
      </w:r>
      <w:r w:rsidRPr="00C573D8">
        <w:rPr>
          <w:rFonts w:ascii="Arial" w:eastAsia="Times New Roman" w:hAnsi="Arial" w:cs="Arial"/>
          <w:b/>
          <w:bCs/>
          <w:color w:val="000000"/>
          <w:sz w:val="20"/>
          <w:szCs w:val="20"/>
        </w:rPr>
        <w:t xml:space="preserve"> </w:t>
      </w:r>
      <w:r w:rsidRPr="00C573D8">
        <w:rPr>
          <w:rFonts w:ascii="Arial" w:eastAsia="Times New Roman" w:hAnsi="Arial" w:cs="Arial"/>
          <w:color w:val="000000"/>
          <w:sz w:val="20"/>
          <w:szCs w:val="20"/>
        </w:rPr>
        <w:t>For full S1 amplification,</w:t>
      </w:r>
      <w:r w:rsidRPr="00C573D8">
        <w:rPr>
          <w:rFonts w:ascii="Arial" w:eastAsia="Times New Roman" w:hAnsi="Arial" w:cs="Arial"/>
          <w:b/>
          <w:bCs/>
          <w:i/>
          <w:iCs/>
          <w:color w:val="000000"/>
          <w:sz w:val="20"/>
          <w:szCs w:val="20"/>
        </w:rPr>
        <w:t xml:space="preserve"> </w:t>
      </w:r>
      <w:r w:rsidRPr="00C573D8">
        <w:rPr>
          <w:rFonts w:ascii="Arial" w:eastAsia="Times New Roman" w:hAnsi="Arial" w:cs="Arial"/>
          <w:color w:val="000000"/>
          <w:sz w:val="20"/>
          <w:szCs w:val="20"/>
        </w:rPr>
        <w:t xml:space="preserve">reverse transcription was conducted using the primer 22.51 (5’ GAACGTCTAAAACGACGTGTTCC 3’) (Table 1). The reaction mix comprised of 5x first strand buffer [250 </w:t>
      </w:r>
      <w:proofErr w:type="spellStart"/>
      <w:r w:rsidRPr="00C573D8">
        <w:rPr>
          <w:rFonts w:ascii="Arial" w:eastAsia="Times New Roman" w:hAnsi="Arial" w:cs="Arial"/>
          <w:color w:val="000000"/>
          <w:sz w:val="20"/>
          <w:szCs w:val="20"/>
        </w:rPr>
        <w:t>mM</w:t>
      </w:r>
      <w:proofErr w:type="spellEnd"/>
      <w:r w:rsidRPr="00C573D8">
        <w:rPr>
          <w:rFonts w:ascii="Arial" w:eastAsia="Times New Roman" w:hAnsi="Arial" w:cs="Arial"/>
          <w:color w:val="000000"/>
          <w:sz w:val="20"/>
          <w:szCs w:val="20"/>
        </w:rPr>
        <w:t xml:space="preserve"> </w:t>
      </w:r>
      <w:proofErr w:type="spellStart"/>
      <w:r w:rsidRPr="00C573D8">
        <w:rPr>
          <w:rFonts w:ascii="Arial" w:eastAsia="Times New Roman" w:hAnsi="Arial" w:cs="Arial"/>
          <w:color w:val="000000"/>
          <w:sz w:val="20"/>
          <w:szCs w:val="20"/>
        </w:rPr>
        <w:t>Tris-HCl</w:t>
      </w:r>
      <w:proofErr w:type="spellEnd"/>
      <w:r w:rsidRPr="00C573D8">
        <w:rPr>
          <w:rFonts w:ascii="Arial" w:eastAsia="Times New Roman" w:hAnsi="Arial" w:cs="Arial"/>
          <w:color w:val="000000"/>
          <w:sz w:val="20"/>
          <w:szCs w:val="20"/>
        </w:rPr>
        <w:t xml:space="preserve"> (pH 8.3), 375 </w:t>
      </w:r>
      <w:proofErr w:type="spellStart"/>
      <w:r w:rsidRPr="00C573D8">
        <w:rPr>
          <w:rFonts w:ascii="Arial" w:eastAsia="Times New Roman" w:hAnsi="Arial" w:cs="Arial"/>
          <w:color w:val="000000"/>
          <w:sz w:val="20"/>
          <w:szCs w:val="20"/>
        </w:rPr>
        <w:t>mM</w:t>
      </w:r>
      <w:proofErr w:type="spellEnd"/>
      <w:r w:rsidRPr="00C573D8">
        <w:rPr>
          <w:rFonts w:ascii="Arial" w:eastAsia="Times New Roman" w:hAnsi="Arial" w:cs="Arial"/>
          <w:color w:val="000000"/>
          <w:sz w:val="20"/>
          <w:szCs w:val="20"/>
        </w:rPr>
        <w:t xml:space="preserve"> </w:t>
      </w:r>
      <w:proofErr w:type="spellStart"/>
      <w:r w:rsidRPr="00C573D8">
        <w:rPr>
          <w:rFonts w:ascii="Arial" w:eastAsia="Times New Roman" w:hAnsi="Arial" w:cs="Arial"/>
          <w:color w:val="000000"/>
          <w:sz w:val="20"/>
          <w:szCs w:val="20"/>
        </w:rPr>
        <w:t>KCl</w:t>
      </w:r>
      <w:proofErr w:type="spellEnd"/>
      <w:r w:rsidRPr="00C573D8">
        <w:rPr>
          <w:rFonts w:ascii="Arial" w:eastAsia="Times New Roman" w:hAnsi="Arial" w:cs="Arial"/>
          <w:color w:val="000000"/>
          <w:sz w:val="20"/>
          <w:szCs w:val="20"/>
        </w:rPr>
        <w:t xml:space="preserve">, 15 </w:t>
      </w:r>
      <w:proofErr w:type="spellStart"/>
      <w:r w:rsidRPr="00C573D8">
        <w:rPr>
          <w:rFonts w:ascii="Arial" w:eastAsia="Times New Roman" w:hAnsi="Arial" w:cs="Arial"/>
          <w:color w:val="000000"/>
          <w:sz w:val="20"/>
          <w:szCs w:val="20"/>
        </w:rPr>
        <w:t>mM</w:t>
      </w:r>
      <w:proofErr w:type="spellEnd"/>
      <w:r w:rsidRPr="00C573D8">
        <w:rPr>
          <w:rFonts w:ascii="Arial" w:eastAsia="Times New Roman" w:hAnsi="Arial" w:cs="Arial"/>
          <w:color w:val="000000"/>
          <w:sz w:val="20"/>
          <w:szCs w:val="20"/>
        </w:rPr>
        <w:t xml:space="preserve"> MgCl</w:t>
      </w:r>
      <w:r w:rsidRPr="00C573D8">
        <w:rPr>
          <w:rFonts w:ascii="Arial" w:eastAsia="Times New Roman" w:hAnsi="Arial" w:cs="Arial"/>
          <w:color w:val="000000"/>
          <w:sz w:val="20"/>
          <w:szCs w:val="20"/>
          <w:vertAlign w:val="subscript"/>
        </w:rPr>
        <w:t>2</w:t>
      </w:r>
      <w:r w:rsidRPr="00C573D8">
        <w:rPr>
          <w:rFonts w:ascii="Arial" w:eastAsia="Times New Roman" w:hAnsi="Arial" w:cs="Arial"/>
          <w:color w:val="000000"/>
          <w:sz w:val="20"/>
          <w:szCs w:val="20"/>
        </w:rPr>
        <w:t xml:space="preserve">; Invitrogen], </w:t>
      </w:r>
      <w:proofErr w:type="spellStart"/>
      <w:r w:rsidRPr="00C573D8">
        <w:rPr>
          <w:rFonts w:ascii="Arial" w:eastAsia="Times New Roman" w:hAnsi="Arial" w:cs="Arial"/>
          <w:color w:val="000000"/>
          <w:sz w:val="20"/>
          <w:szCs w:val="20"/>
        </w:rPr>
        <w:t>dithiothreitol</w:t>
      </w:r>
      <w:proofErr w:type="spellEnd"/>
      <w:r w:rsidRPr="00C573D8">
        <w:rPr>
          <w:rFonts w:ascii="Arial" w:eastAsia="Times New Roman" w:hAnsi="Arial" w:cs="Arial"/>
          <w:color w:val="000000"/>
          <w:sz w:val="20"/>
          <w:szCs w:val="20"/>
        </w:rPr>
        <w:t xml:space="preserve"> (DTT) [100 </w:t>
      </w:r>
      <w:proofErr w:type="spellStart"/>
      <w:r w:rsidRPr="00C573D8">
        <w:rPr>
          <w:rFonts w:ascii="Arial" w:eastAsia="Times New Roman" w:hAnsi="Arial" w:cs="Arial"/>
          <w:color w:val="000000"/>
          <w:sz w:val="20"/>
          <w:szCs w:val="20"/>
        </w:rPr>
        <w:t>mM</w:t>
      </w:r>
      <w:proofErr w:type="spellEnd"/>
      <w:r w:rsidRPr="00C573D8">
        <w:rPr>
          <w:rFonts w:ascii="Arial" w:eastAsia="Times New Roman" w:hAnsi="Arial" w:cs="Arial"/>
          <w:color w:val="000000"/>
          <w:sz w:val="20"/>
          <w:szCs w:val="20"/>
        </w:rPr>
        <w:t>; Invitrogen], dNTPs (</w:t>
      </w:r>
      <w:proofErr w:type="spellStart"/>
      <w:r w:rsidRPr="00C573D8">
        <w:rPr>
          <w:rFonts w:ascii="Arial" w:eastAsia="Times New Roman" w:hAnsi="Arial" w:cs="Arial"/>
          <w:color w:val="000000"/>
          <w:sz w:val="20"/>
          <w:szCs w:val="20"/>
        </w:rPr>
        <w:t>dATP</w:t>
      </w:r>
      <w:proofErr w:type="spellEnd"/>
      <w:r w:rsidRPr="00C573D8">
        <w:rPr>
          <w:rFonts w:ascii="Arial" w:eastAsia="Times New Roman" w:hAnsi="Arial" w:cs="Arial"/>
          <w:color w:val="000000"/>
          <w:sz w:val="20"/>
          <w:szCs w:val="20"/>
        </w:rPr>
        <w:t xml:space="preserve">, </w:t>
      </w:r>
      <w:proofErr w:type="spellStart"/>
      <w:r w:rsidRPr="00C573D8">
        <w:rPr>
          <w:rFonts w:ascii="Arial" w:eastAsia="Times New Roman" w:hAnsi="Arial" w:cs="Arial"/>
          <w:color w:val="000000"/>
          <w:sz w:val="20"/>
          <w:szCs w:val="20"/>
        </w:rPr>
        <w:t>dCTP</w:t>
      </w:r>
      <w:proofErr w:type="spellEnd"/>
      <w:r w:rsidRPr="00C573D8">
        <w:rPr>
          <w:rFonts w:ascii="Arial" w:eastAsia="Times New Roman" w:hAnsi="Arial" w:cs="Arial"/>
          <w:color w:val="000000"/>
          <w:sz w:val="20"/>
          <w:szCs w:val="20"/>
        </w:rPr>
        <w:t xml:space="preserve">, </w:t>
      </w:r>
      <w:proofErr w:type="spellStart"/>
      <w:r w:rsidRPr="00C573D8">
        <w:rPr>
          <w:rFonts w:ascii="Arial" w:eastAsia="Times New Roman" w:hAnsi="Arial" w:cs="Arial"/>
          <w:color w:val="000000"/>
          <w:sz w:val="20"/>
          <w:szCs w:val="20"/>
        </w:rPr>
        <w:t>dGTP</w:t>
      </w:r>
      <w:proofErr w:type="spellEnd"/>
      <w:r w:rsidRPr="00C573D8">
        <w:rPr>
          <w:rFonts w:ascii="Arial" w:eastAsia="Times New Roman" w:hAnsi="Arial" w:cs="Arial"/>
          <w:color w:val="000000"/>
          <w:sz w:val="20"/>
          <w:szCs w:val="20"/>
        </w:rPr>
        <w:t xml:space="preserve">, </w:t>
      </w:r>
      <w:proofErr w:type="spellStart"/>
      <w:r w:rsidRPr="00C573D8">
        <w:rPr>
          <w:rFonts w:ascii="Arial" w:eastAsia="Times New Roman" w:hAnsi="Arial" w:cs="Arial"/>
          <w:color w:val="000000"/>
          <w:sz w:val="20"/>
          <w:szCs w:val="20"/>
        </w:rPr>
        <w:t>dTTP</w:t>
      </w:r>
      <w:proofErr w:type="spellEnd"/>
      <w:r w:rsidRPr="00C573D8">
        <w:rPr>
          <w:rFonts w:ascii="Arial" w:eastAsia="Times New Roman" w:hAnsi="Arial" w:cs="Arial"/>
          <w:color w:val="000000"/>
          <w:sz w:val="20"/>
          <w:szCs w:val="20"/>
        </w:rPr>
        <w:t xml:space="preserve">) [10mM], </w:t>
      </w:r>
      <w:proofErr w:type="spellStart"/>
      <w:r w:rsidRPr="00C573D8">
        <w:rPr>
          <w:rFonts w:ascii="Arial" w:eastAsia="Times New Roman" w:hAnsi="Arial" w:cs="Arial"/>
          <w:color w:val="000000"/>
          <w:sz w:val="20"/>
          <w:szCs w:val="20"/>
        </w:rPr>
        <w:t>RNasin</w:t>
      </w:r>
      <w:proofErr w:type="spellEnd"/>
      <w:r w:rsidRPr="00C573D8">
        <w:rPr>
          <w:rFonts w:ascii="Arial" w:eastAsia="Times New Roman" w:hAnsi="Arial" w:cs="Arial"/>
          <w:color w:val="000000"/>
          <w:sz w:val="20"/>
          <w:szCs w:val="20"/>
        </w:rPr>
        <w:t xml:space="preserve"> ribonuclease inhibitor [20 U/µl; </w:t>
      </w:r>
      <w:proofErr w:type="spellStart"/>
      <w:r w:rsidRPr="00C573D8">
        <w:rPr>
          <w:rFonts w:ascii="Arial" w:eastAsia="Times New Roman" w:hAnsi="Arial" w:cs="Arial"/>
          <w:color w:val="000000"/>
          <w:sz w:val="20"/>
          <w:szCs w:val="20"/>
        </w:rPr>
        <w:lastRenderedPageBreak/>
        <w:t>Promega</w:t>
      </w:r>
      <w:proofErr w:type="spellEnd"/>
      <w:r w:rsidRPr="00C573D8">
        <w:rPr>
          <w:rFonts w:ascii="Arial" w:eastAsia="Times New Roman" w:hAnsi="Arial" w:cs="Arial"/>
          <w:color w:val="000000"/>
          <w:sz w:val="20"/>
          <w:szCs w:val="20"/>
        </w:rPr>
        <w:t xml:space="preserve">], Superscript III Reverse Transcriptase [200U/µl; Invitrogen], oligonucleotide [10 </w:t>
      </w:r>
      <w:proofErr w:type="spellStart"/>
      <w:r w:rsidRPr="00C573D8">
        <w:rPr>
          <w:rFonts w:ascii="Arial" w:eastAsia="Times New Roman" w:hAnsi="Arial" w:cs="Arial"/>
          <w:color w:val="000000"/>
          <w:sz w:val="20"/>
          <w:szCs w:val="20"/>
        </w:rPr>
        <w:t>pmol</w:t>
      </w:r>
      <w:proofErr w:type="spellEnd"/>
      <w:r w:rsidRPr="00C573D8">
        <w:rPr>
          <w:rFonts w:ascii="Arial" w:eastAsia="Times New Roman" w:hAnsi="Arial" w:cs="Arial"/>
          <w:color w:val="000000"/>
          <w:sz w:val="20"/>
          <w:szCs w:val="20"/>
        </w:rPr>
        <w:t>], sterile distilled water [2.13 µl] and 0.5 µl of template RNA. Reverse transcription conditions were: 48</w:t>
      </w:r>
      <w:r w:rsidR="00A34BE4">
        <w:rPr>
          <w:rFonts w:ascii="Arial" w:eastAsia="Times New Roman" w:hAnsi="Arial" w:cs="Arial"/>
          <w:color w:val="000000"/>
          <w:sz w:val="20"/>
          <w:szCs w:val="20"/>
        </w:rPr>
        <w:t>° C for 45 min, and 94</w:t>
      </w:r>
      <w:r w:rsidRPr="00C573D8">
        <w:rPr>
          <w:rFonts w:ascii="Arial" w:eastAsia="Times New Roman" w:hAnsi="Arial" w:cs="Arial"/>
          <w:color w:val="000000"/>
          <w:sz w:val="20"/>
          <w:szCs w:val="20"/>
        </w:rPr>
        <w:t>°</w:t>
      </w:r>
      <w:r w:rsidR="00A34BE4">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 xml:space="preserve">C for 5 min. Generated cDNA was then amplified in a one-step PCR using primer A and primer 22.51 (Table 2). The PCR mixture included </w:t>
      </w:r>
      <w:proofErr w:type="spellStart"/>
      <w:r w:rsidRPr="00C573D8">
        <w:rPr>
          <w:rFonts w:ascii="Arial" w:eastAsia="Times New Roman" w:hAnsi="Arial" w:cs="Arial"/>
          <w:color w:val="000000"/>
          <w:sz w:val="20"/>
          <w:szCs w:val="20"/>
        </w:rPr>
        <w:t>Supermix</w:t>
      </w:r>
      <w:proofErr w:type="spellEnd"/>
      <w:r w:rsidRPr="00C573D8">
        <w:rPr>
          <w:rFonts w:ascii="Arial" w:eastAsia="Times New Roman" w:hAnsi="Arial" w:cs="Arial"/>
          <w:color w:val="000000"/>
          <w:sz w:val="20"/>
          <w:szCs w:val="20"/>
        </w:rPr>
        <w:t xml:space="preserve"> [22 </w:t>
      </w:r>
      <w:proofErr w:type="spellStart"/>
      <w:r w:rsidRPr="00C573D8">
        <w:rPr>
          <w:rFonts w:ascii="Arial" w:eastAsia="Times New Roman" w:hAnsi="Arial" w:cs="Arial"/>
          <w:color w:val="000000"/>
          <w:sz w:val="20"/>
          <w:szCs w:val="20"/>
        </w:rPr>
        <w:t>mM</w:t>
      </w:r>
      <w:proofErr w:type="spellEnd"/>
      <w:r w:rsidRPr="00C573D8">
        <w:rPr>
          <w:rFonts w:ascii="Arial" w:eastAsia="Times New Roman" w:hAnsi="Arial" w:cs="Arial"/>
          <w:color w:val="000000"/>
          <w:sz w:val="20"/>
          <w:szCs w:val="20"/>
        </w:rPr>
        <w:t xml:space="preserve"> </w:t>
      </w:r>
      <w:proofErr w:type="spellStart"/>
      <w:r w:rsidRPr="00C573D8">
        <w:rPr>
          <w:rFonts w:ascii="Arial" w:eastAsia="Times New Roman" w:hAnsi="Arial" w:cs="Arial"/>
          <w:color w:val="000000"/>
          <w:sz w:val="20"/>
          <w:szCs w:val="20"/>
        </w:rPr>
        <w:t>Tris-HCl</w:t>
      </w:r>
      <w:proofErr w:type="spellEnd"/>
      <w:r w:rsidRPr="00C573D8">
        <w:rPr>
          <w:rFonts w:ascii="Arial" w:eastAsia="Times New Roman" w:hAnsi="Arial" w:cs="Arial"/>
          <w:color w:val="000000"/>
          <w:sz w:val="20"/>
          <w:szCs w:val="20"/>
        </w:rPr>
        <w:t xml:space="preserve"> (pH 8.4), 55 </w:t>
      </w:r>
      <w:proofErr w:type="spellStart"/>
      <w:r w:rsidRPr="00C573D8">
        <w:rPr>
          <w:rFonts w:ascii="Arial" w:eastAsia="Times New Roman" w:hAnsi="Arial" w:cs="Arial"/>
          <w:color w:val="000000"/>
          <w:sz w:val="20"/>
          <w:szCs w:val="20"/>
        </w:rPr>
        <w:t>mM</w:t>
      </w:r>
      <w:proofErr w:type="spellEnd"/>
      <w:r w:rsidRPr="00C573D8">
        <w:rPr>
          <w:rFonts w:ascii="Arial" w:eastAsia="Times New Roman" w:hAnsi="Arial" w:cs="Arial"/>
          <w:color w:val="000000"/>
          <w:sz w:val="20"/>
          <w:szCs w:val="20"/>
        </w:rPr>
        <w:t xml:space="preserve"> </w:t>
      </w:r>
      <w:proofErr w:type="spellStart"/>
      <w:r w:rsidRPr="00C573D8">
        <w:rPr>
          <w:rFonts w:ascii="Arial" w:eastAsia="Times New Roman" w:hAnsi="Arial" w:cs="Arial"/>
          <w:color w:val="000000"/>
          <w:sz w:val="20"/>
          <w:szCs w:val="20"/>
        </w:rPr>
        <w:t>KCl</w:t>
      </w:r>
      <w:proofErr w:type="spellEnd"/>
      <w:r w:rsidRPr="00C573D8">
        <w:rPr>
          <w:rFonts w:ascii="Arial" w:eastAsia="Times New Roman" w:hAnsi="Arial" w:cs="Arial"/>
          <w:color w:val="000000"/>
          <w:sz w:val="20"/>
          <w:szCs w:val="20"/>
        </w:rPr>
        <w:t xml:space="preserve">, 1.65 </w:t>
      </w:r>
      <w:proofErr w:type="spellStart"/>
      <w:r w:rsidRPr="00C573D8">
        <w:rPr>
          <w:rFonts w:ascii="Arial" w:eastAsia="Times New Roman" w:hAnsi="Arial" w:cs="Arial"/>
          <w:color w:val="000000"/>
          <w:sz w:val="20"/>
          <w:szCs w:val="20"/>
        </w:rPr>
        <w:t>mM</w:t>
      </w:r>
      <w:proofErr w:type="spellEnd"/>
      <w:r w:rsidRPr="00C573D8">
        <w:rPr>
          <w:rFonts w:ascii="Arial" w:eastAsia="Times New Roman" w:hAnsi="Arial" w:cs="Arial"/>
          <w:color w:val="000000"/>
          <w:sz w:val="20"/>
          <w:szCs w:val="20"/>
        </w:rPr>
        <w:t xml:space="preserve"> MgCl</w:t>
      </w:r>
      <w:r w:rsidRPr="00C573D8">
        <w:rPr>
          <w:rFonts w:ascii="Arial" w:eastAsia="Times New Roman" w:hAnsi="Arial" w:cs="Arial"/>
          <w:color w:val="000000"/>
          <w:sz w:val="20"/>
          <w:szCs w:val="20"/>
          <w:vertAlign w:val="subscript"/>
        </w:rPr>
        <w:t>2</w:t>
      </w:r>
      <w:r w:rsidRPr="00C573D8">
        <w:rPr>
          <w:rFonts w:ascii="Arial" w:eastAsia="Times New Roman" w:hAnsi="Arial" w:cs="Arial"/>
          <w:color w:val="000000"/>
          <w:sz w:val="20"/>
          <w:szCs w:val="20"/>
        </w:rPr>
        <w:t xml:space="preserve">, 220 µM dNTPs, 22 U/ml recombinant </w:t>
      </w:r>
      <w:proofErr w:type="spellStart"/>
      <w:r w:rsidRPr="00C573D8">
        <w:rPr>
          <w:rFonts w:ascii="Arial" w:eastAsia="Times New Roman" w:hAnsi="Arial" w:cs="Arial"/>
          <w:color w:val="000000"/>
          <w:sz w:val="20"/>
          <w:szCs w:val="20"/>
        </w:rPr>
        <w:t>Taq</w:t>
      </w:r>
      <w:proofErr w:type="spellEnd"/>
      <w:r w:rsidRPr="00C573D8">
        <w:rPr>
          <w:rFonts w:ascii="Arial" w:eastAsia="Times New Roman" w:hAnsi="Arial" w:cs="Arial"/>
          <w:color w:val="000000"/>
          <w:sz w:val="20"/>
          <w:szCs w:val="20"/>
        </w:rPr>
        <w:t xml:space="preserve"> DNA polymerase, and stabilizers; Invitrogen], forward and reverse primers [10 </w:t>
      </w:r>
      <w:proofErr w:type="spellStart"/>
      <w:r w:rsidRPr="00C573D8">
        <w:rPr>
          <w:rFonts w:ascii="Arial" w:eastAsia="Times New Roman" w:hAnsi="Arial" w:cs="Arial"/>
          <w:color w:val="000000"/>
          <w:sz w:val="20"/>
          <w:szCs w:val="20"/>
        </w:rPr>
        <w:t>pmol</w:t>
      </w:r>
      <w:proofErr w:type="spellEnd"/>
      <w:r w:rsidRPr="00C573D8">
        <w:rPr>
          <w:rFonts w:ascii="Arial" w:eastAsia="Times New Roman" w:hAnsi="Arial" w:cs="Arial"/>
          <w:color w:val="000000"/>
          <w:sz w:val="20"/>
          <w:szCs w:val="20"/>
        </w:rPr>
        <w:t xml:space="preserve">] and 0.5 µl of cDNA. Cycling conditions were: 35 cycles </w:t>
      </w:r>
      <w:r w:rsidR="00A34BE4">
        <w:rPr>
          <w:rFonts w:ascii="Arial" w:eastAsia="Times New Roman" w:hAnsi="Arial" w:cs="Arial"/>
          <w:color w:val="000000"/>
          <w:sz w:val="20"/>
          <w:szCs w:val="20"/>
        </w:rPr>
        <w:t>of denaturation at 94° C for 60s, annealing at 54</w:t>
      </w:r>
      <w:r w:rsidRPr="00C573D8">
        <w:rPr>
          <w:rFonts w:ascii="Arial" w:eastAsia="Times New Roman" w:hAnsi="Arial" w:cs="Arial"/>
          <w:color w:val="000000"/>
          <w:sz w:val="20"/>
          <w:szCs w:val="20"/>
        </w:rPr>
        <w:t>°</w:t>
      </w:r>
      <w:r w:rsidR="00A34BE4">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C fo</w:t>
      </w:r>
      <w:r w:rsidR="00A34BE4">
        <w:rPr>
          <w:rFonts w:ascii="Arial" w:eastAsia="Times New Roman" w:hAnsi="Arial" w:cs="Arial"/>
          <w:color w:val="000000"/>
          <w:sz w:val="20"/>
          <w:szCs w:val="20"/>
        </w:rPr>
        <w:t>r 30s, extension at 72°C for 60</w:t>
      </w:r>
      <w:r w:rsidRPr="00C573D8">
        <w:rPr>
          <w:rFonts w:ascii="Arial" w:eastAsia="Times New Roman" w:hAnsi="Arial" w:cs="Arial"/>
          <w:color w:val="000000"/>
          <w:sz w:val="20"/>
          <w:szCs w:val="20"/>
        </w:rPr>
        <w:t>s, and a final extension at 72°</w:t>
      </w:r>
      <w:r w:rsidR="00A34BE4">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C for 10 min. Products were visualised on an agarose gel.</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i/>
          <w:iCs/>
          <w:color w:val="000000"/>
          <w:sz w:val="20"/>
          <w:szCs w:val="20"/>
        </w:rPr>
        <w:t>Partial and full S1 sequencing</w:t>
      </w:r>
      <w:r w:rsidRPr="00C573D8">
        <w:rPr>
          <w:rFonts w:ascii="Arial" w:eastAsia="Times New Roman" w:hAnsi="Arial" w:cs="Arial"/>
          <w:b/>
          <w:bCs/>
          <w:color w:val="000000"/>
          <w:sz w:val="20"/>
          <w:szCs w:val="20"/>
        </w:rPr>
        <w:t xml:space="preserve">: </w:t>
      </w:r>
      <w:r w:rsidRPr="00C573D8">
        <w:rPr>
          <w:rFonts w:ascii="Arial" w:eastAsia="Times New Roman" w:hAnsi="Arial" w:cs="Arial"/>
          <w:color w:val="000000"/>
          <w:sz w:val="20"/>
          <w:szCs w:val="20"/>
        </w:rPr>
        <w:t>Positive amplicons (partial or full) were purified (</w:t>
      </w:r>
      <w:proofErr w:type="spellStart"/>
      <w:r w:rsidRPr="00C573D8">
        <w:rPr>
          <w:rFonts w:ascii="Arial" w:eastAsia="Times New Roman" w:hAnsi="Arial" w:cs="Arial"/>
          <w:color w:val="000000"/>
          <w:sz w:val="20"/>
          <w:szCs w:val="20"/>
        </w:rPr>
        <w:t>ExoSAP</w:t>
      </w:r>
      <w:proofErr w:type="spellEnd"/>
      <w:r w:rsidRPr="00C573D8">
        <w:rPr>
          <w:rFonts w:ascii="Arial" w:eastAsia="Times New Roman" w:hAnsi="Arial" w:cs="Arial"/>
          <w:color w:val="000000"/>
          <w:sz w:val="20"/>
          <w:szCs w:val="20"/>
        </w:rPr>
        <w:t xml:space="preserve">-IT, </w:t>
      </w:r>
      <w:proofErr w:type="spellStart"/>
      <w:r w:rsidRPr="00C573D8">
        <w:rPr>
          <w:rFonts w:ascii="Arial" w:eastAsia="Times New Roman" w:hAnsi="Arial" w:cs="Arial"/>
          <w:color w:val="000000"/>
          <w:sz w:val="20"/>
          <w:szCs w:val="20"/>
        </w:rPr>
        <w:t>Affymetrix</w:t>
      </w:r>
      <w:proofErr w:type="spellEnd"/>
      <w:r w:rsidRPr="00C573D8">
        <w:rPr>
          <w:rFonts w:ascii="Arial" w:eastAsia="Times New Roman" w:hAnsi="Arial" w:cs="Arial"/>
          <w:color w:val="000000"/>
          <w:sz w:val="20"/>
          <w:szCs w:val="20"/>
        </w:rPr>
        <w:t>, Santa Clara, CA</w:t>
      </w:r>
      <w:r w:rsidR="00A34BE4">
        <w:rPr>
          <w:rFonts w:ascii="Arial" w:eastAsia="Times New Roman" w:hAnsi="Arial" w:cs="Arial"/>
          <w:color w:val="000000"/>
          <w:sz w:val="20"/>
          <w:szCs w:val="20"/>
        </w:rPr>
        <w:t>,</w:t>
      </w:r>
      <w:r w:rsidR="00BC3C0A">
        <w:rPr>
          <w:rFonts w:ascii="Arial" w:eastAsia="Times New Roman" w:hAnsi="Arial" w:cs="Arial"/>
          <w:color w:val="000000"/>
          <w:sz w:val="20"/>
          <w:szCs w:val="20"/>
        </w:rPr>
        <w:t xml:space="preserve"> </w:t>
      </w:r>
      <w:r w:rsidR="00A34BE4">
        <w:rPr>
          <w:rFonts w:ascii="Arial" w:eastAsia="Times New Roman" w:hAnsi="Arial" w:cs="Arial"/>
          <w:color w:val="000000"/>
          <w:sz w:val="20"/>
          <w:szCs w:val="20"/>
        </w:rPr>
        <w:t>USA</w:t>
      </w:r>
      <w:r w:rsidRPr="00C573D8">
        <w:rPr>
          <w:rFonts w:ascii="Arial" w:eastAsia="Times New Roman" w:hAnsi="Arial" w:cs="Arial"/>
          <w:color w:val="000000"/>
          <w:sz w:val="20"/>
          <w:szCs w:val="20"/>
        </w:rPr>
        <w:t xml:space="preserve">) and sent for commercial Sanger sequencing (Source </w:t>
      </w:r>
      <w:proofErr w:type="spellStart"/>
      <w:r w:rsidRPr="00C573D8">
        <w:rPr>
          <w:rFonts w:ascii="Arial" w:eastAsia="Times New Roman" w:hAnsi="Arial" w:cs="Arial"/>
          <w:color w:val="000000"/>
          <w:sz w:val="20"/>
          <w:szCs w:val="20"/>
        </w:rPr>
        <w:t>BioScience</w:t>
      </w:r>
      <w:proofErr w:type="spellEnd"/>
      <w:r w:rsidRPr="00C573D8">
        <w:rPr>
          <w:rFonts w:ascii="Arial" w:eastAsia="Times New Roman" w:hAnsi="Arial" w:cs="Arial"/>
          <w:color w:val="000000"/>
          <w:sz w:val="20"/>
          <w:szCs w:val="20"/>
        </w:rPr>
        <w:t>). For partial sequencing, the positive sense SX3+ primer (Worthington</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2008) was utilised. For full S1 sequencing, the following prime</w:t>
      </w:r>
      <w:r w:rsidR="00736E4E">
        <w:rPr>
          <w:rFonts w:ascii="Arial" w:eastAsia="Times New Roman" w:hAnsi="Arial" w:cs="Arial"/>
          <w:color w:val="000000"/>
          <w:sz w:val="20"/>
          <w:szCs w:val="20"/>
        </w:rPr>
        <w:t>rs were used; primer A (</w:t>
      </w:r>
      <w:proofErr w:type="spellStart"/>
      <w:r w:rsidR="00736E4E">
        <w:rPr>
          <w:rFonts w:ascii="Arial" w:eastAsia="Times New Roman" w:hAnsi="Arial" w:cs="Arial"/>
          <w:color w:val="000000"/>
          <w:sz w:val="20"/>
          <w:szCs w:val="20"/>
        </w:rPr>
        <w:t>Pohuang</w:t>
      </w:r>
      <w:proofErr w:type="spellEnd"/>
      <w:r w:rsidRPr="00C573D8">
        <w:rPr>
          <w:rFonts w:ascii="Arial" w:eastAsia="Times New Roman" w:hAnsi="Arial" w:cs="Arial"/>
          <w:color w:val="000000"/>
          <w:sz w:val="20"/>
          <w:szCs w:val="20"/>
        </w:rPr>
        <w:t xml:space="preserve"> </w:t>
      </w:r>
      <w:r w:rsidRPr="00A34BE4">
        <w:rPr>
          <w:rFonts w:ascii="Arial" w:eastAsia="Times New Roman" w:hAnsi="Arial" w:cs="Arial"/>
          <w:i/>
          <w:color w:val="000000"/>
          <w:sz w:val="20"/>
          <w:szCs w:val="20"/>
        </w:rPr>
        <w:t>et al.,</w:t>
      </w:r>
      <w:r w:rsidRPr="00C573D8">
        <w:rPr>
          <w:rFonts w:ascii="Arial" w:eastAsia="Times New Roman" w:hAnsi="Arial" w:cs="Arial"/>
          <w:color w:val="000000"/>
          <w:sz w:val="20"/>
          <w:szCs w:val="20"/>
        </w:rPr>
        <w:t xml:space="preserve"> 2011), SX3+ (Worthington, </w:t>
      </w:r>
      <w:r w:rsidRPr="00A34BE4">
        <w:rPr>
          <w:rFonts w:ascii="Arial" w:eastAsia="Times New Roman" w:hAnsi="Arial" w:cs="Arial"/>
          <w:i/>
          <w:color w:val="000000"/>
          <w:sz w:val="20"/>
          <w:szCs w:val="20"/>
        </w:rPr>
        <w:t>et al</w:t>
      </w:r>
      <w:r w:rsidRPr="00C573D8">
        <w:rPr>
          <w:rFonts w:ascii="Arial" w:eastAsia="Times New Roman" w:hAnsi="Arial" w:cs="Arial"/>
          <w:color w:val="000000"/>
          <w:sz w:val="20"/>
          <w:szCs w:val="20"/>
        </w:rPr>
        <w:t>., 2008), 1050+ and 1380+ (</w:t>
      </w:r>
      <w:proofErr w:type="spellStart"/>
      <w:r w:rsidRPr="00C573D8">
        <w:rPr>
          <w:rFonts w:ascii="Arial" w:eastAsia="Times New Roman" w:hAnsi="Arial" w:cs="Arial"/>
          <w:color w:val="000000"/>
          <w:sz w:val="20"/>
          <w:szCs w:val="20"/>
        </w:rPr>
        <w:t>Falchieri</w:t>
      </w:r>
      <w:proofErr w:type="spellEnd"/>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2013) (Table 1). Sequences were then concatena</w:t>
      </w:r>
      <w:r w:rsidR="00A34BE4">
        <w:rPr>
          <w:rFonts w:ascii="Arial" w:eastAsia="Times New Roman" w:hAnsi="Arial" w:cs="Arial"/>
          <w:color w:val="000000"/>
          <w:sz w:val="20"/>
          <w:szCs w:val="20"/>
        </w:rPr>
        <w:t xml:space="preserve">ted into a single </w:t>
      </w:r>
      <w:proofErr w:type="spellStart"/>
      <w:r w:rsidR="00A34BE4">
        <w:rPr>
          <w:rFonts w:ascii="Arial" w:eastAsia="Times New Roman" w:hAnsi="Arial" w:cs="Arial"/>
          <w:color w:val="000000"/>
          <w:sz w:val="20"/>
          <w:szCs w:val="20"/>
        </w:rPr>
        <w:t>contig</w:t>
      </w:r>
      <w:proofErr w:type="spellEnd"/>
      <w:r w:rsidR="00A34BE4">
        <w:rPr>
          <w:rFonts w:ascii="Arial" w:eastAsia="Times New Roman" w:hAnsi="Arial" w:cs="Arial"/>
          <w:color w:val="000000"/>
          <w:sz w:val="20"/>
          <w:szCs w:val="20"/>
        </w:rPr>
        <w:t xml:space="preserve"> using </w:t>
      </w:r>
      <w:proofErr w:type="spellStart"/>
      <w:r w:rsidRPr="00C573D8">
        <w:rPr>
          <w:rFonts w:ascii="Arial" w:eastAsia="Times New Roman" w:hAnsi="Arial" w:cs="Arial"/>
          <w:color w:val="000000"/>
          <w:sz w:val="20"/>
          <w:szCs w:val="20"/>
        </w:rPr>
        <w:t>ChromasPRO</w:t>
      </w:r>
      <w:proofErr w:type="spellEnd"/>
      <w:r w:rsidRPr="00C573D8">
        <w:rPr>
          <w:rFonts w:ascii="Arial" w:eastAsia="Times New Roman" w:hAnsi="Arial" w:cs="Arial"/>
          <w:color w:val="000000"/>
          <w:sz w:val="20"/>
          <w:szCs w:val="20"/>
        </w:rPr>
        <w:t xml:space="preserve"> v1.7.3. An additional assay was used for the amplification and sequencing of QX for inclusion with analysis (</w:t>
      </w:r>
      <w:proofErr w:type="spellStart"/>
      <w:r w:rsidRPr="00C573D8">
        <w:rPr>
          <w:rFonts w:ascii="Arial" w:eastAsia="Times New Roman" w:hAnsi="Arial" w:cs="Arial"/>
          <w:color w:val="000000"/>
          <w:sz w:val="20"/>
          <w:szCs w:val="20"/>
        </w:rPr>
        <w:t>Falchi</w:t>
      </w:r>
      <w:r w:rsidR="00736E4E">
        <w:rPr>
          <w:rFonts w:ascii="Arial" w:eastAsia="Times New Roman" w:hAnsi="Arial" w:cs="Arial"/>
          <w:color w:val="000000"/>
          <w:sz w:val="20"/>
          <w:szCs w:val="20"/>
        </w:rPr>
        <w:t>eri</w:t>
      </w:r>
      <w:proofErr w:type="spellEnd"/>
      <w:r w:rsidRPr="00C573D8">
        <w:rPr>
          <w:rFonts w:ascii="Arial" w:eastAsia="Times New Roman" w:hAnsi="Arial" w:cs="Arial"/>
          <w:color w:val="000000"/>
          <w:sz w:val="20"/>
          <w:szCs w:val="20"/>
        </w:rPr>
        <w:t xml:space="preserve"> </w:t>
      </w:r>
      <w:r w:rsidRPr="00A34BE4">
        <w:rPr>
          <w:rFonts w:ascii="Arial" w:eastAsia="Times New Roman" w:hAnsi="Arial" w:cs="Arial"/>
          <w:i/>
          <w:color w:val="000000"/>
          <w:sz w:val="20"/>
          <w:szCs w:val="20"/>
        </w:rPr>
        <w:t>et al.,</w:t>
      </w:r>
      <w:r w:rsidRPr="00C573D8">
        <w:rPr>
          <w:rFonts w:ascii="Arial" w:eastAsia="Times New Roman" w:hAnsi="Arial" w:cs="Arial"/>
          <w:color w:val="000000"/>
          <w:sz w:val="20"/>
          <w:szCs w:val="20"/>
        </w:rPr>
        <w:t xml:space="preserve"> 2013). In brief, the primer RT QX negative (5’</w:t>
      </w:r>
      <w:r w:rsidRPr="00C573D8">
        <w:rPr>
          <w:rFonts w:ascii="Arial" w:eastAsia="Times New Roman" w:hAnsi="Arial" w:cs="Arial"/>
          <w:color w:val="000000"/>
          <w:sz w:val="20"/>
          <w:szCs w:val="20"/>
        </w:rPr>
        <w:noBreakHyphen/>
        <w:t>CATCTTTAACGAACCATCTGG-3’) was used for the RT-stage. For amplification, the primers QX S1 start positive (5’-CCAGTTGTGAATTTGAAGAAAGAACAAAAGACCGACTTAG-3’) and QX S1 end negative (5’-CGAACCATCTGGTTCAATACAAAATCTGC-3’) were used in one step PCR amplification.</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i/>
          <w:iCs/>
          <w:color w:val="000000"/>
          <w:sz w:val="20"/>
          <w:szCs w:val="20"/>
        </w:rPr>
        <w:t>Phylogenetic analysis:</w:t>
      </w:r>
      <w:r w:rsidRPr="00C573D8">
        <w:rPr>
          <w:rFonts w:ascii="Arial" w:eastAsia="Times New Roman" w:hAnsi="Arial" w:cs="Arial"/>
          <w:b/>
          <w:bCs/>
          <w:color w:val="000000"/>
          <w:sz w:val="20"/>
          <w:szCs w:val="20"/>
        </w:rPr>
        <w:t xml:space="preserve"> </w:t>
      </w:r>
      <w:r w:rsidRPr="00C573D8">
        <w:rPr>
          <w:rFonts w:ascii="Arial" w:eastAsia="Times New Roman" w:hAnsi="Arial" w:cs="Arial"/>
          <w:color w:val="000000"/>
          <w:sz w:val="20"/>
          <w:szCs w:val="20"/>
        </w:rPr>
        <w:t xml:space="preserve">Reads for the full S1 sequencing were initially examined for their quality and </w:t>
      </w:r>
      <w:proofErr w:type="spellStart"/>
      <w:r w:rsidRPr="00C573D8">
        <w:rPr>
          <w:rFonts w:ascii="Arial" w:eastAsia="Times New Roman" w:hAnsi="Arial" w:cs="Arial"/>
          <w:color w:val="000000"/>
          <w:sz w:val="20"/>
          <w:szCs w:val="20"/>
        </w:rPr>
        <w:t>contigs</w:t>
      </w:r>
      <w:proofErr w:type="spellEnd"/>
      <w:r w:rsidRPr="00C573D8">
        <w:rPr>
          <w:rFonts w:ascii="Arial" w:eastAsia="Times New Roman" w:hAnsi="Arial" w:cs="Arial"/>
          <w:color w:val="000000"/>
          <w:sz w:val="20"/>
          <w:szCs w:val="20"/>
        </w:rPr>
        <w:t xml:space="preserve"> were assembled from each sequencing primer (Primer A, 1050+, 1380+ and SX3+) using </w:t>
      </w:r>
      <w:proofErr w:type="spellStart"/>
      <w:r w:rsidRPr="00C573D8">
        <w:rPr>
          <w:rFonts w:ascii="Arial" w:eastAsia="Times New Roman" w:hAnsi="Arial" w:cs="Arial"/>
          <w:color w:val="000000"/>
          <w:sz w:val="20"/>
          <w:szCs w:val="20"/>
        </w:rPr>
        <w:t>ChromasPRO</w:t>
      </w:r>
      <w:proofErr w:type="spellEnd"/>
      <w:r w:rsidRPr="00C573D8">
        <w:rPr>
          <w:rFonts w:ascii="Arial" w:eastAsia="Times New Roman" w:hAnsi="Arial" w:cs="Arial"/>
          <w:color w:val="000000"/>
          <w:sz w:val="20"/>
          <w:szCs w:val="20"/>
        </w:rPr>
        <w:t xml:space="preserve"> v1.7.3 (http//technelysium.com.au/). Sequences were then trimmed to cover the full S1 gene. Partial S1 sequences [SX3+ (Cavanagh </w:t>
      </w:r>
      <w:r w:rsidRPr="00A34BE4">
        <w:rPr>
          <w:rFonts w:ascii="Arial" w:eastAsia="Times New Roman" w:hAnsi="Arial" w:cs="Arial"/>
          <w:i/>
          <w:color w:val="000000"/>
          <w:sz w:val="20"/>
          <w:szCs w:val="20"/>
        </w:rPr>
        <w:t xml:space="preserve">et al., </w:t>
      </w:r>
      <w:r w:rsidRPr="00C573D8">
        <w:rPr>
          <w:rFonts w:ascii="Arial" w:eastAsia="Times New Roman" w:hAnsi="Arial" w:cs="Arial"/>
          <w:color w:val="000000"/>
          <w:sz w:val="20"/>
          <w:szCs w:val="20"/>
        </w:rPr>
        <w:t>1999)] were processed using the same methodology. BLAST comparisons against the NCBI database (</w:t>
      </w:r>
      <w:proofErr w:type="spellStart"/>
      <w:r w:rsidRPr="00C573D8">
        <w:rPr>
          <w:rFonts w:ascii="Arial" w:eastAsia="Times New Roman" w:hAnsi="Arial" w:cs="Arial"/>
          <w:color w:val="000000"/>
          <w:sz w:val="20"/>
          <w:szCs w:val="20"/>
        </w:rPr>
        <w:t>GenBank</w:t>
      </w:r>
      <w:proofErr w:type="spellEnd"/>
      <w:r w:rsidRPr="00C573D8">
        <w:rPr>
          <w:rFonts w:ascii="Arial" w:eastAsia="Times New Roman" w:hAnsi="Arial" w:cs="Arial"/>
          <w:color w:val="000000"/>
          <w:sz w:val="20"/>
          <w:szCs w:val="20"/>
        </w:rPr>
        <w:t>) were carried out to confirm strain identity. Alignments for all S1 sequences and reference genomes were carried out in MEGA6 (Tamura</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xml:space="preserve">, 2013), with phylogeny comparisons using the maximum likelihood calculation with 1000 bootstrap replicates. Reference strains used were D274 (X15832), 793B (AF093794), IS/885/00 (AY279533), IS/1494/06 (EU780077), Q1 (AF286302), QX (KF297571), M41 (AY561711), H120 vaccine C (KU736750), H120 vaccine D (KU736751), Ma5 vaccine (KU736747), </w:t>
      </w:r>
      <w:proofErr w:type="spellStart"/>
      <w:r w:rsidRPr="00C573D8">
        <w:rPr>
          <w:rFonts w:ascii="Arial" w:eastAsia="Times New Roman" w:hAnsi="Arial" w:cs="Arial"/>
          <w:color w:val="000000"/>
          <w:sz w:val="20"/>
          <w:szCs w:val="20"/>
        </w:rPr>
        <w:t>Beaudette</w:t>
      </w:r>
      <w:proofErr w:type="spellEnd"/>
      <w:r w:rsidRPr="00C573D8">
        <w:rPr>
          <w:rFonts w:ascii="Arial" w:eastAsia="Times New Roman" w:hAnsi="Arial" w:cs="Arial"/>
          <w:color w:val="000000"/>
          <w:sz w:val="20"/>
          <w:szCs w:val="20"/>
        </w:rPr>
        <w:t xml:space="preserve"> strain (DQ001336), Ark-DPI (KX529820), IBV Quebec strain (AF349621), IBV T strain (AY775779) and Connecticut vaccine (EU283058).</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Field samples</w:t>
      </w:r>
    </w:p>
    <w:p w:rsidR="00440FBA" w:rsidRPr="00C573D8" w:rsidRDefault="00440FBA" w:rsidP="00440FBA">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Twenty-five tissues and swab samples collected from flocks</w:t>
      </w:r>
      <w:r>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in the Middle East</w:t>
      </w:r>
      <w:r>
        <w:rPr>
          <w:rFonts w:ascii="Arial" w:eastAsia="Times New Roman" w:hAnsi="Arial" w:cs="Arial"/>
          <w:color w:val="000000"/>
          <w:sz w:val="20"/>
          <w:szCs w:val="20"/>
        </w:rPr>
        <w:t>, which</w:t>
      </w:r>
      <w:r w:rsidRPr="00C573D8">
        <w:rPr>
          <w:rFonts w:ascii="Arial" w:eastAsia="Times New Roman" w:hAnsi="Arial" w:cs="Arial"/>
          <w:color w:val="000000"/>
          <w:sz w:val="20"/>
          <w:szCs w:val="20"/>
        </w:rPr>
        <w:t xml:space="preserve"> were previously confirmed as IBV </w:t>
      </w:r>
      <w:r>
        <w:rPr>
          <w:rFonts w:ascii="Arial" w:eastAsia="Times New Roman" w:hAnsi="Arial" w:cs="Arial"/>
          <w:color w:val="000000"/>
          <w:sz w:val="20"/>
          <w:szCs w:val="20"/>
        </w:rPr>
        <w:t>positiv</w:t>
      </w:r>
      <w:r w:rsidRPr="00C573D8">
        <w:rPr>
          <w:rFonts w:ascii="Arial" w:eastAsia="Times New Roman" w:hAnsi="Arial" w:cs="Arial"/>
          <w:color w:val="000000"/>
          <w:sz w:val="20"/>
          <w:szCs w:val="20"/>
        </w:rPr>
        <w:t>e</w:t>
      </w:r>
      <w:r>
        <w:rPr>
          <w:rFonts w:ascii="Arial" w:eastAsia="Times New Roman" w:hAnsi="Arial" w:cs="Arial"/>
          <w:color w:val="000000"/>
          <w:sz w:val="20"/>
          <w:szCs w:val="20"/>
        </w:rPr>
        <w:t xml:space="preserve"> were used</w:t>
      </w:r>
      <w:r w:rsidRPr="00C573D8">
        <w:rPr>
          <w:rFonts w:ascii="Arial" w:eastAsia="Times New Roman" w:hAnsi="Arial" w:cs="Arial"/>
          <w:color w:val="000000"/>
          <w:sz w:val="20"/>
          <w:szCs w:val="20"/>
        </w:rPr>
        <w:t xml:space="preserve"> </w:t>
      </w:r>
      <w:r w:rsidR="00736E4E">
        <w:rPr>
          <w:rFonts w:ascii="Arial" w:eastAsia="Times New Roman" w:hAnsi="Arial" w:cs="Arial"/>
          <w:color w:val="000000"/>
          <w:sz w:val="20"/>
          <w:szCs w:val="20"/>
        </w:rPr>
        <w:t>(Ganapathy</w:t>
      </w:r>
      <w:r w:rsidR="00C573D8" w:rsidRPr="00C573D8">
        <w:rPr>
          <w:rFonts w:ascii="Arial" w:eastAsia="Times New Roman" w:hAnsi="Arial" w:cs="Arial"/>
          <w:color w:val="000000"/>
          <w:sz w:val="20"/>
          <w:szCs w:val="20"/>
        </w:rPr>
        <w:t xml:space="preserve"> </w:t>
      </w:r>
      <w:r w:rsidR="00C573D8" w:rsidRPr="00A34BE4">
        <w:rPr>
          <w:rFonts w:ascii="Arial" w:eastAsia="Times New Roman" w:hAnsi="Arial" w:cs="Arial"/>
          <w:i/>
          <w:color w:val="000000"/>
          <w:sz w:val="20"/>
          <w:szCs w:val="20"/>
        </w:rPr>
        <w:t>et al</w:t>
      </w:r>
      <w:r w:rsidR="00C573D8" w:rsidRPr="00C573D8">
        <w:rPr>
          <w:rFonts w:ascii="Arial" w:eastAsia="Times New Roman" w:hAnsi="Arial" w:cs="Arial"/>
          <w:color w:val="000000"/>
          <w:sz w:val="20"/>
          <w:szCs w:val="20"/>
        </w:rPr>
        <w:t>., 2015).  </w:t>
      </w:r>
      <w:r>
        <w:rPr>
          <w:rFonts w:ascii="Arial" w:eastAsia="Times New Roman" w:hAnsi="Arial" w:cs="Arial"/>
          <w:color w:val="000000"/>
          <w:sz w:val="20"/>
          <w:szCs w:val="20"/>
        </w:rPr>
        <w:t xml:space="preserve">These samples were imprinted onto FTA cards. </w:t>
      </w:r>
      <w:r w:rsidRPr="00C573D8">
        <w:rPr>
          <w:rFonts w:ascii="Arial" w:eastAsia="Times New Roman" w:hAnsi="Arial" w:cs="Arial"/>
          <w:color w:val="000000"/>
          <w:sz w:val="20"/>
          <w:szCs w:val="20"/>
        </w:rPr>
        <w:t xml:space="preserve">RNA </w:t>
      </w:r>
      <w:r>
        <w:rPr>
          <w:rFonts w:ascii="Arial" w:eastAsia="Times New Roman" w:hAnsi="Arial" w:cs="Arial"/>
          <w:color w:val="000000"/>
          <w:sz w:val="20"/>
          <w:szCs w:val="20"/>
        </w:rPr>
        <w:t xml:space="preserve">was extracted from these samples and </w:t>
      </w:r>
      <w:r w:rsidRPr="00C573D8">
        <w:rPr>
          <w:rFonts w:ascii="Arial" w:eastAsia="Times New Roman" w:hAnsi="Arial" w:cs="Arial"/>
          <w:color w:val="000000"/>
          <w:sz w:val="20"/>
          <w:szCs w:val="20"/>
        </w:rPr>
        <w:t xml:space="preserve">subjected to the full S1 RT-PCR described above.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 </w:t>
      </w:r>
      <w:bookmarkStart w:id="0" w:name="_GoBack"/>
      <w:bookmarkEnd w:id="0"/>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lastRenderedPageBreak/>
        <w:t>RESULTS</w:t>
      </w:r>
    </w:p>
    <w:p w:rsidR="00C573D8" w:rsidRPr="00C573D8" w:rsidRDefault="00C573D8" w:rsidP="00C573D8">
      <w:pPr>
        <w:spacing w:after="0" w:line="400" w:lineRule="atLeast"/>
        <w:rPr>
          <w:rFonts w:ascii="Arial" w:eastAsia="Times New Roman" w:hAnsi="Arial" w:cs="Arial"/>
          <w:color w:val="000000"/>
          <w:sz w:val="20"/>
          <w:szCs w:val="20"/>
        </w:rPr>
      </w:pPr>
      <w:r w:rsidRPr="00C573D8">
        <w:rPr>
          <w:rFonts w:ascii="Arial" w:eastAsia="Times New Roman" w:hAnsi="Arial" w:cs="Arial"/>
          <w:b/>
          <w:bCs/>
          <w:color w:val="000000"/>
          <w:sz w:val="20"/>
          <w:szCs w:val="20"/>
        </w:rPr>
        <w:t xml:space="preserve">Detection limits for partial </w:t>
      </w:r>
      <w:r w:rsidRPr="00C573D8">
        <w:rPr>
          <w:rFonts w:ascii="Arial" w:eastAsia="Times New Roman" w:hAnsi="Arial" w:cs="Arial"/>
          <w:b/>
          <w:bCs/>
          <w:i/>
          <w:iCs/>
          <w:color w:val="000000"/>
          <w:sz w:val="20"/>
          <w:szCs w:val="20"/>
        </w:rPr>
        <w:t>versus</w:t>
      </w:r>
      <w:r w:rsidRPr="00C573D8">
        <w:rPr>
          <w:rFonts w:ascii="Arial" w:eastAsia="Times New Roman" w:hAnsi="Arial" w:cs="Arial"/>
          <w:b/>
          <w:bCs/>
          <w:color w:val="000000"/>
          <w:sz w:val="20"/>
          <w:szCs w:val="20"/>
        </w:rPr>
        <w:t xml:space="preserve"> full S1.</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Results showed that the minimum detection limits for the full S1 gene from virus enriched allantoic fluid were 10</w:t>
      </w:r>
      <w:r w:rsidRPr="00C573D8">
        <w:rPr>
          <w:rFonts w:ascii="Arial" w:eastAsia="Times New Roman" w:hAnsi="Arial" w:cs="Arial"/>
          <w:color w:val="000000"/>
          <w:sz w:val="20"/>
          <w:szCs w:val="20"/>
          <w:vertAlign w:val="superscript"/>
        </w:rPr>
        <w:t>-2</w:t>
      </w:r>
      <w:r w:rsidRPr="00C573D8">
        <w:rPr>
          <w:rFonts w:ascii="Arial" w:eastAsia="Times New Roman" w:hAnsi="Arial" w:cs="Arial"/>
          <w:color w:val="000000"/>
          <w:sz w:val="20"/>
          <w:szCs w:val="20"/>
        </w:rPr>
        <w:t xml:space="preserve"> for all strains except for M41, which was 10</w:t>
      </w:r>
      <w:r w:rsidRPr="00C573D8">
        <w:rPr>
          <w:rFonts w:ascii="Arial" w:eastAsia="Times New Roman" w:hAnsi="Arial" w:cs="Arial"/>
          <w:color w:val="000000"/>
          <w:sz w:val="20"/>
          <w:szCs w:val="20"/>
          <w:vertAlign w:val="superscript"/>
        </w:rPr>
        <w:t>-3</w:t>
      </w:r>
      <w:r w:rsidRPr="00C573D8">
        <w:rPr>
          <w:rFonts w:ascii="Arial" w:eastAsia="Times New Roman" w:hAnsi="Arial" w:cs="Arial"/>
          <w:color w:val="000000"/>
          <w:sz w:val="20"/>
          <w:szCs w:val="20"/>
        </w:rPr>
        <w:t xml:space="preserve"> (10</w:t>
      </w:r>
      <w:r w:rsidRPr="00C573D8">
        <w:rPr>
          <w:rFonts w:ascii="Arial" w:eastAsia="Times New Roman" w:hAnsi="Arial" w:cs="Arial"/>
          <w:color w:val="000000"/>
          <w:sz w:val="20"/>
          <w:szCs w:val="20"/>
          <w:vertAlign w:val="superscript"/>
        </w:rPr>
        <w:t xml:space="preserve">3.5 </w:t>
      </w:r>
      <w:r w:rsidRPr="00C573D8">
        <w:rPr>
          <w:rFonts w:ascii="Arial" w:eastAsia="Times New Roman" w:hAnsi="Arial" w:cs="Arial"/>
          <w:color w:val="000000"/>
          <w:sz w:val="20"/>
          <w:szCs w:val="20"/>
        </w:rPr>
        <w:t>CD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/ml</w:t>
      </w:r>
      <w:r w:rsidRPr="00C573D8">
        <w:rPr>
          <w:rFonts w:ascii="Arial" w:eastAsia="Times New Roman" w:hAnsi="Arial" w:cs="Arial"/>
          <w:color w:val="000000"/>
          <w:sz w:val="20"/>
          <w:szCs w:val="20"/>
          <w:vertAlign w:val="superscript"/>
        </w:rPr>
        <w:t xml:space="preserve"> </w:t>
      </w:r>
      <w:r w:rsidRPr="00C573D8">
        <w:rPr>
          <w:rFonts w:ascii="Arial" w:eastAsia="Times New Roman" w:hAnsi="Arial" w:cs="Arial"/>
          <w:color w:val="000000"/>
          <w:sz w:val="20"/>
          <w:szCs w:val="20"/>
        </w:rPr>
        <w:t>). In contrast, the detection limits for the partial S1 detection were at 10</w:t>
      </w:r>
      <w:r w:rsidRPr="00C573D8">
        <w:rPr>
          <w:rFonts w:ascii="Arial" w:eastAsia="Times New Roman" w:hAnsi="Arial" w:cs="Arial"/>
          <w:color w:val="000000"/>
          <w:sz w:val="20"/>
          <w:szCs w:val="20"/>
          <w:vertAlign w:val="superscript"/>
        </w:rPr>
        <w:t>-7</w:t>
      </w:r>
      <w:r w:rsidRPr="00C573D8">
        <w:rPr>
          <w:rFonts w:ascii="Arial" w:eastAsia="Times New Roman" w:hAnsi="Arial" w:cs="Arial"/>
          <w:color w:val="000000"/>
          <w:sz w:val="20"/>
          <w:szCs w:val="20"/>
        </w:rPr>
        <w:t xml:space="preserve"> for all strains except for Q1, which was 10</w:t>
      </w:r>
      <w:r w:rsidRPr="00C573D8">
        <w:rPr>
          <w:rFonts w:ascii="Arial" w:eastAsia="Times New Roman" w:hAnsi="Arial" w:cs="Arial"/>
          <w:color w:val="000000"/>
          <w:sz w:val="20"/>
          <w:szCs w:val="20"/>
          <w:vertAlign w:val="superscript"/>
        </w:rPr>
        <w:t>-6</w:t>
      </w:r>
      <w:r w:rsidRPr="00C573D8">
        <w:rPr>
          <w:rFonts w:ascii="Arial" w:eastAsia="Times New Roman" w:hAnsi="Arial" w:cs="Arial"/>
          <w:color w:val="000000"/>
          <w:sz w:val="20"/>
          <w:szCs w:val="20"/>
        </w:rPr>
        <w:t xml:space="preserve"> (10</w:t>
      </w:r>
      <w:r w:rsidRPr="00C573D8">
        <w:rPr>
          <w:rFonts w:ascii="Arial" w:eastAsia="Times New Roman" w:hAnsi="Arial" w:cs="Arial"/>
          <w:color w:val="000000"/>
          <w:sz w:val="20"/>
          <w:szCs w:val="20"/>
          <w:vertAlign w:val="superscript"/>
        </w:rPr>
        <w:t xml:space="preserve">0.5 </w:t>
      </w:r>
      <w:r w:rsidRPr="00C573D8">
        <w:rPr>
          <w:rFonts w:ascii="Arial" w:eastAsia="Times New Roman" w:hAnsi="Arial" w:cs="Arial"/>
          <w:color w:val="000000"/>
          <w:sz w:val="20"/>
          <w:szCs w:val="20"/>
        </w:rPr>
        <w:t>CD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 xml:space="preserve">/ml) (Table 2; supplementary </w:t>
      </w:r>
      <w:r w:rsidR="009501B8">
        <w:rPr>
          <w:rFonts w:ascii="Arial" w:eastAsia="Times New Roman" w:hAnsi="Arial" w:cs="Arial"/>
          <w:color w:val="000000"/>
          <w:sz w:val="20"/>
          <w:szCs w:val="20"/>
        </w:rPr>
        <w:t>F</w:t>
      </w:r>
      <w:r w:rsidR="009501B8" w:rsidRPr="00C573D8">
        <w:rPr>
          <w:rFonts w:ascii="Arial" w:eastAsia="Times New Roman" w:hAnsi="Arial" w:cs="Arial"/>
          <w:color w:val="000000"/>
          <w:sz w:val="20"/>
          <w:szCs w:val="20"/>
        </w:rPr>
        <w:t xml:space="preserve">igure </w:t>
      </w:r>
      <w:r w:rsidRPr="00C573D8">
        <w:rPr>
          <w:rFonts w:ascii="Arial" w:eastAsia="Times New Roman" w:hAnsi="Arial" w:cs="Arial"/>
          <w:color w:val="000000"/>
          <w:sz w:val="20"/>
          <w:szCs w:val="20"/>
        </w:rPr>
        <w:t>1).</w:t>
      </w:r>
    </w:p>
    <w:p w:rsidR="00C573D8" w:rsidRPr="00C573D8" w:rsidRDefault="00C573D8" w:rsidP="00C573D8">
      <w:pPr>
        <w:spacing w:after="0" w:line="440" w:lineRule="atLeast"/>
        <w:rPr>
          <w:rFonts w:ascii="Arial" w:eastAsia="Times New Roman" w:hAnsi="Arial" w:cs="Arial"/>
          <w:color w:val="000000"/>
          <w:sz w:val="20"/>
          <w:szCs w:val="20"/>
        </w:rPr>
      </w:pPr>
      <w:r w:rsidRPr="00C573D8">
        <w:rPr>
          <w:rFonts w:ascii="Arial" w:eastAsia="Times New Roman" w:hAnsi="Arial" w:cs="Arial"/>
          <w:b/>
          <w:bCs/>
          <w:color w:val="000000"/>
          <w:sz w:val="20"/>
          <w:szCs w:val="20"/>
        </w:rPr>
        <w:t>Nucleotide sequence and phylogenetic analysis</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The seven partial S1 sequences exhibited a higher average of nucleotide similarity (79%) when compared to the full S1 sequences (77%) with the range being 72-84% for both the partial and</w:t>
      </w:r>
      <w:r w:rsidRPr="00C573D8">
        <w:rPr>
          <w:rFonts w:ascii="Arial" w:eastAsia="Times New Roman" w:hAnsi="Arial" w:cs="Arial"/>
          <w:i/>
          <w:iCs/>
          <w:color w:val="000000"/>
          <w:sz w:val="20"/>
          <w:szCs w:val="20"/>
        </w:rPr>
        <w:t xml:space="preserve"> </w:t>
      </w:r>
      <w:r w:rsidRPr="00C573D8">
        <w:rPr>
          <w:rFonts w:ascii="Arial" w:eastAsia="Times New Roman" w:hAnsi="Arial" w:cs="Arial"/>
          <w:color w:val="000000"/>
          <w:sz w:val="20"/>
          <w:szCs w:val="20"/>
        </w:rPr>
        <w:t>full S1 (Table 3). This was true for both the classical and variant strains. M41 demonstrated a similarity of 77% (full) and 80% (partial) to D274, whereas the closely related IS/885/00 strain had 82% (full) and 83%</w:t>
      </w:r>
      <w:r w:rsidR="00A34BE4">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 xml:space="preserve">(partial) similarity with IS/1494/06. Similarly, the Q1 strain had 77% (full) and 79% (partial) similarity with QX.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Amino acid analysis</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 xml:space="preserve">Similar to the nucleotide sequences, full S1 amino acid sequences had a lower similarity compared to partial sequences overall (Table 4). Strain comparisons showed that M41 had 77% and 73% similarity to D274 and 793B respectively, compared to the partial amino acid sequence </w:t>
      </w:r>
      <w:r w:rsidR="00BC3C0A">
        <w:rPr>
          <w:rFonts w:ascii="Arial" w:eastAsia="Times New Roman" w:hAnsi="Arial" w:cs="Arial"/>
          <w:color w:val="000000"/>
          <w:sz w:val="20"/>
          <w:szCs w:val="20"/>
        </w:rPr>
        <w:t>where similarity</w:t>
      </w:r>
      <w:r w:rsidR="00BC3C0A" w:rsidRPr="00C573D8">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 xml:space="preserve">was higher (80% for both). IS/885/00 showed 82% (full) and 83% (partial) </w:t>
      </w:r>
      <w:r w:rsidR="00BC3C0A">
        <w:rPr>
          <w:rFonts w:ascii="Arial" w:eastAsia="Times New Roman" w:hAnsi="Arial" w:cs="Arial"/>
          <w:color w:val="000000"/>
          <w:sz w:val="20"/>
          <w:szCs w:val="20"/>
        </w:rPr>
        <w:t xml:space="preserve">similarity </w:t>
      </w:r>
      <w:r w:rsidRPr="00C573D8">
        <w:rPr>
          <w:rFonts w:ascii="Arial" w:eastAsia="Times New Roman" w:hAnsi="Arial" w:cs="Arial"/>
          <w:color w:val="000000"/>
          <w:sz w:val="20"/>
          <w:szCs w:val="20"/>
        </w:rPr>
        <w:t xml:space="preserve">compared with IS/1494/06. Similarly, Q1 had 77% (full) and 79% (partial) </w:t>
      </w:r>
      <w:r w:rsidR="00BC3C0A">
        <w:rPr>
          <w:rFonts w:ascii="Arial" w:eastAsia="Times New Roman" w:hAnsi="Arial" w:cs="Arial"/>
          <w:color w:val="000000"/>
          <w:sz w:val="20"/>
          <w:szCs w:val="20"/>
        </w:rPr>
        <w:t xml:space="preserve">similarity </w:t>
      </w:r>
      <w:r w:rsidRPr="00C573D8">
        <w:rPr>
          <w:rFonts w:ascii="Arial" w:eastAsia="Times New Roman" w:hAnsi="Arial" w:cs="Arial"/>
          <w:color w:val="000000"/>
          <w:sz w:val="20"/>
          <w:szCs w:val="20"/>
        </w:rPr>
        <w:t>compared with QX.</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 xml:space="preserve">Sensitivity of IBV detection following inoculation onto FTA cards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IBV detection using both full and partial S1 RT-PCR varied between strains (Table 5). Partial RT-PCR detected all strains, at all temperatures, up to 21 dpi. However, the assay was the least sensitive for the FTA cards stored at 40</w:t>
      </w:r>
      <w:r w:rsidRPr="00C573D8">
        <w:rPr>
          <w:rFonts w:ascii="Arial" w:eastAsia="Times New Roman" w:hAnsi="Arial" w:cs="Arial"/>
          <w:color w:val="000000"/>
          <w:sz w:val="20"/>
          <w:szCs w:val="20"/>
          <w:vertAlign w:val="superscript"/>
        </w:rPr>
        <w:t>o</w:t>
      </w:r>
      <w:r w:rsidRPr="00C573D8">
        <w:rPr>
          <w:rFonts w:ascii="Arial" w:eastAsia="Times New Roman" w:hAnsi="Arial" w:cs="Arial"/>
          <w:color w:val="000000"/>
          <w:sz w:val="20"/>
          <w:szCs w:val="20"/>
        </w:rPr>
        <w:t>C at 21 dpi. For example, IS/1494/06 was only detected at the neat concentration for 40</w:t>
      </w:r>
      <w:r w:rsidRPr="00C573D8">
        <w:rPr>
          <w:rFonts w:ascii="Arial" w:eastAsia="Times New Roman" w:hAnsi="Arial" w:cs="Arial"/>
          <w:color w:val="000000"/>
          <w:sz w:val="20"/>
          <w:szCs w:val="20"/>
          <w:vertAlign w:val="superscript"/>
        </w:rPr>
        <w:t>o</w:t>
      </w:r>
      <w:r w:rsidRPr="00C573D8">
        <w:rPr>
          <w:rFonts w:ascii="Arial" w:eastAsia="Times New Roman" w:hAnsi="Arial" w:cs="Arial"/>
          <w:color w:val="000000"/>
          <w:sz w:val="20"/>
          <w:szCs w:val="20"/>
        </w:rPr>
        <w:t>C, compared to room temperature (10</w:t>
      </w:r>
      <w:r w:rsidRPr="00C573D8">
        <w:rPr>
          <w:rFonts w:ascii="Arial" w:eastAsia="Times New Roman" w:hAnsi="Arial" w:cs="Arial"/>
          <w:color w:val="000000"/>
          <w:sz w:val="20"/>
          <w:szCs w:val="20"/>
          <w:vertAlign w:val="superscript"/>
        </w:rPr>
        <w:t xml:space="preserve">-3 </w:t>
      </w:r>
      <w:r w:rsidRPr="00C573D8">
        <w:rPr>
          <w:rFonts w:ascii="Arial" w:eastAsia="Times New Roman" w:hAnsi="Arial" w:cs="Arial"/>
          <w:color w:val="000000"/>
          <w:sz w:val="20"/>
          <w:szCs w:val="20"/>
        </w:rPr>
        <w:t>dilution factor; 10</w:t>
      </w:r>
      <w:r w:rsidRPr="00C573D8">
        <w:rPr>
          <w:rFonts w:ascii="Arial" w:eastAsia="Times New Roman" w:hAnsi="Arial" w:cs="Arial"/>
          <w:color w:val="000000"/>
          <w:sz w:val="20"/>
          <w:szCs w:val="20"/>
          <w:vertAlign w:val="superscript"/>
        </w:rPr>
        <w:t xml:space="preserve">3.5 </w:t>
      </w:r>
      <w:r w:rsidRPr="00C573D8">
        <w:rPr>
          <w:rFonts w:ascii="Arial" w:eastAsia="Times New Roman" w:hAnsi="Arial" w:cs="Arial"/>
          <w:color w:val="000000"/>
          <w:sz w:val="20"/>
          <w:szCs w:val="20"/>
        </w:rPr>
        <w:t>CD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/ml) and 4</w:t>
      </w:r>
      <w:r w:rsidRPr="00C573D8">
        <w:rPr>
          <w:rFonts w:ascii="Arial" w:eastAsia="Times New Roman" w:hAnsi="Arial" w:cs="Arial"/>
          <w:color w:val="000000"/>
          <w:sz w:val="20"/>
          <w:szCs w:val="20"/>
          <w:vertAlign w:val="superscript"/>
        </w:rPr>
        <w:t>o</w:t>
      </w:r>
      <w:r w:rsidRPr="00C573D8">
        <w:rPr>
          <w:rFonts w:ascii="Arial" w:eastAsia="Times New Roman" w:hAnsi="Arial" w:cs="Arial"/>
          <w:color w:val="000000"/>
          <w:sz w:val="20"/>
          <w:szCs w:val="20"/>
        </w:rPr>
        <w:t>C (10</w:t>
      </w:r>
      <w:r w:rsidRPr="00C573D8">
        <w:rPr>
          <w:rFonts w:ascii="Arial" w:eastAsia="Times New Roman" w:hAnsi="Arial" w:cs="Arial"/>
          <w:color w:val="000000"/>
          <w:sz w:val="20"/>
          <w:szCs w:val="20"/>
          <w:vertAlign w:val="superscript"/>
        </w:rPr>
        <w:t>-4</w:t>
      </w:r>
      <w:r w:rsidRPr="00C573D8">
        <w:rPr>
          <w:rFonts w:ascii="Arial" w:eastAsia="Times New Roman" w:hAnsi="Arial" w:cs="Arial"/>
          <w:color w:val="000000"/>
          <w:sz w:val="20"/>
          <w:szCs w:val="20"/>
        </w:rPr>
        <w:t xml:space="preserve"> dilution factor; 10</w:t>
      </w:r>
      <w:r w:rsidRPr="00C573D8">
        <w:rPr>
          <w:rFonts w:ascii="Arial" w:eastAsia="Times New Roman" w:hAnsi="Arial" w:cs="Arial"/>
          <w:color w:val="000000"/>
          <w:sz w:val="20"/>
          <w:szCs w:val="20"/>
          <w:vertAlign w:val="superscript"/>
        </w:rPr>
        <w:t xml:space="preserve">2.5 </w:t>
      </w:r>
      <w:r w:rsidRPr="00C573D8">
        <w:rPr>
          <w:rFonts w:ascii="Arial" w:eastAsia="Times New Roman" w:hAnsi="Arial" w:cs="Arial"/>
          <w:color w:val="000000"/>
          <w:sz w:val="20"/>
          <w:szCs w:val="20"/>
        </w:rPr>
        <w:t>CD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 xml:space="preserve">/ml).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For the full S1 detection, we only detected IBV from the cards stored at 4</w:t>
      </w:r>
      <w:r w:rsidRPr="00C573D8">
        <w:rPr>
          <w:rFonts w:ascii="Arial" w:eastAsia="Times New Roman" w:hAnsi="Arial" w:cs="Arial"/>
          <w:color w:val="000000"/>
          <w:sz w:val="20"/>
          <w:szCs w:val="20"/>
          <w:vertAlign w:val="superscript"/>
        </w:rPr>
        <w:t>o</w:t>
      </w:r>
      <w:r w:rsidRPr="00C573D8">
        <w:rPr>
          <w:rFonts w:ascii="Arial" w:eastAsia="Times New Roman" w:hAnsi="Arial" w:cs="Arial"/>
          <w:color w:val="000000"/>
          <w:sz w:val="20"/>
          <w:szCs w:val="20"/>
        </w:rPr>
        <w:t>C and room temperature (Table 6). Additionally, the lowest dilution we identified IBV at was 10</w:t>
      </w:r>
      <w:r w:rsidRPr="00C573D8">
        <w:rPr>
          <w:rFonts w:ascii="Arial" w:eastAsia="Times New Roman" w:hAnsi="Arial" w:cs="Arial"/>
          <w:color w:val="000000"/>
          <w:sz w:val="20"/>
          <w:szCs w:val="20"/>
          <w:vertAlign w:val="superscript"/>
        </w:rPr>
        <w:t>-1</w:t>
      </w:r>
      <w:r w:rsidRPr="00C573D8">
        <w:rPr>
          <w:rFonts w:ascii="Arial" w:eastAsia="Times New Roman" w:hAnsi="Arial" w:cs="Arial"/>
          <w:color w:val="000000"/>
          <w:sz w:val="20"/>
          <w:szCs w:val="20"/>
        </w:rPr>
        <w:t>. No cards stored at 40</w:t>
      </w:r>
      <w:r w:rsidRPr="00C573D8">
        <w:rPr>
          <w:rFonts w:ascii="Arial" w:eastAsia="Times New Roman" w:hAnsi="Arial" w:cs="Arial"/>
          <w:color w:val="000000"/>
          <w:sz w:val="20"/>
          <w:szCs w:val="20"/>
          <w:vertAlign w:val="superscript"/>
        </w:rPr>
        <w:t>o</w:t>
      </w:r>
      <w:r w:rsidRPr="00C573D8">
        <w:rPr>
          <w:rFonts w:ascii="Arial" w:eastAsia="Times New Roman" w:hAnsi="Arial" w:cs="Arial"/>
          <w:color w:val="000000"/>
          <w:sz w:val="20"/>
          <w:szCs w:val="20"/>
        </w:rPr>
        <w:t>C were positive for the full S1 gene, and no IBV was detected at any temperatures past 14 dpi.</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Sensitivity of IBV detection from field samples</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 xml:space="preserve">Of the 25 tested samples, 76% were from tissue samples and 24% from swabs. We were able to amplify the full S1 gene for three samples (12%), whereas all samples were positive using partial S1 amplification.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DISCUSSION</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lastRenderedPageBreak/>
        <w:t>The current study aimed to establish and test a universal RT-PCR scheme used for detection and sequencing of the full S1 gene of six globally distributed IBV strains (M41, 793B, D274, IS/1494/06, IS/885/00 and Q1).  Common practice for IBV research and diagnosis is to extract RNA for RT-PCR and sequencing.  Subsequently part</w:t>
      </w:r>
      <w:r w:rsidR="00B96927">
        <w:rPr>
          <w:rFonts w:ascii="Arial" w:eastAsia="Times New Roman" w:hAnsi="Arial" w:cs="Arial"/>
          <w:color w:val="000000"/>
          <w:sz w:val="20"/>
          <w:szCs w:val="20"/>
        </w:rPr>
        <w:t xml:space="preserve"> of the</w:t>
      </w:r>
      <w:r w:rsidR="002B6E20">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S1 gene is analysed and cross-compared for differentiation between the strains (Wang &amp; Huang, 2000). Many laboratories rely on a partial S1 gene assay, but a single full S1 gene assay capable of amplifying a number of common IBV serotypes has not been reported to date. One reason is that conserved sequences of approximately 20 nucleotides within the S1 gene are limited among genetically different IBV strains, decreasing the availability of applicable universal oligonucleotides (</w:t>
      </w:r>
      <w:proofErr w:type="spellStart"/>
      <w:r w:rsidRPr="00C573D8">
        <w:rPr>
          <w:rFonts w:ascii="Arial" w:eastAsia="Times New Roman" w:hAnsi="Arial" w:cs="Arial"/>
          <w:color w:val="000000"/>
          <w:sz w:val="20"/>
          <w:szCs w:val="20"/>
        </w:rPr>
        <w:t>Adzhar</w:t>
      </w:r>
      <w:proofErr w:type="spellEnd"/>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xml:space="preserve">, 1996).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The full S1 protocol described in this study gave a lower average of S1 nucleotide similarity between genotypes when compared to the partial S1 assay, demonstrating that full S1 sequencing is a more accurate method to differentiate between strains. This is partly due to a single nucleotide variation affecting 0.3% similarity for a partial sequence (350bp), compared to 0.06% for a full S1 gene sequence (1,600bp). Such changes may cause an alteration in the virulent properties (Fang</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2005).</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For research and more widely for the diagnostic differentiation of IBVs, genotyping is commonly conducted using a partial sequence containing a hypervariable region (HVR) of S1. However, such an approach shows inconsistencies compared to full S1 genotyping (Mo</w:t>
      </w:r>
      <w:r w:rsidRPr="00C573D8">
        <w:rPr>
          <w:rFonts w:ascii="Arial" w:eastAsia="Times New Roman" w:hAnsi="Arial" w:cs="Arial"/>
          <w:i/>
          <w:iCs/>
          <w:color w:val="000000"/>
          <w:sz w:val="20"/>
          <w:szCs w:val="20"/>
        </w:rPr>
        <w:t xml:space="preserve"> et al.</w:t>
      </w:r>
      <w:r w:rsidRPr="00C573D8">
        <w:rPr>
          <w:rFonts w:ascii="Arial" w:eastAsia="Times New Roman" w:hAnsi="Arial" w:cs="Arial"/>
          <w:color w:val="000000"/>
          <w:sz w:val="20"/>
          <w:szCs w:val="20"/>
        </w:rPr>
        <w:t>, 2013). Importantly, phylogenetic assessment in this study demonstrated that both the full and partial sequencing were able to distinguish individual genotypes. However, it should be noted that</w:t>
      </w:r>
      <w:r w:rsidR="00A34BE4">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 xml:space="preserve">relying solely on partial sequences for phylogeny may give a false representation, as comparisons are dependent on the region sequenced. As a result, using the full S1 gene sequence demonstrates a better representation of strain differences (Valastro </w:t>
      </w:r>
      <w:r w:rsidRPr="00A34BE4">
        <w:rPr>
          <w:rFonts w:ascii="Arial" w:eastAsia="Times New Roman" w:hAnsi="Arial" w:cs="Arial"/>
          <w:i/>
          <w:color w:val="000000"/>
          <w:sz w:val="20"/>
          <w:szCs w:val="20"/>
        </w:rPr>
        <w:t>et al.,</w:t>
      </w:r>
      <w:r w:rsidRPr="00C573D8">
        <w:rPr>
          <w:rFonts w:ascii="Arial" w:eastAsia="Times New Roman" w:hAnsi="Arial" w:cs="Arial"/>
          <w:color w:val="000000"/>
          <w:sz w:val="20"/>
          <w:szCs w:val="20"/>
        </w:rPr>
        <w:t xml:space="preserve"> 2016). Due to this, using the full S1 sequence when possible would be advantageous and would allow for more accurate comparisons between studies.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Not all laboratories are able to isolate and propagate IBV. Instead, a number of countries are dependent on utilising FTA cards to transport potential IBV positive samples (such as tracheal or oropharyngeal swabs, tissues of lungs, caecal tonsil and kidneys) for diagnosis, as these cards are a safe method of storing and shipp</w:t>
      </w:r>
      <w:r w:rsidR="00736E4E">
        <w:rPr>
          <w:rFonts w:ascii="Arial" w:eastAsia="Times New Roman" w:hAnsi="Arial" w:cs="Arial"/>
          <w:color w:val="000000"/>
          <w:sz w:val="20"/>
          <w:szCs w:val="20"/>
        </w:rPr>
        <w:t>ing genomic material (Ganapathy</w:t>
      </w:r>
      <w:r w:rsidRPr="00C573D8">
        <w:rPr>
          <w:rFonts w:ascii="Arial" w:eastAsia="Times New Roman" w:hAnsi="Arial" w:cs="Arial"/>
          <w:color w:val="000000"/>
          <w:sz w:val="20"/>
          <w:szCs w:val="20"/>
        </w:rPr>
        <w:t xml:space="preserve"> </w:t>
      </w:r>
      <w:r w:rsidRPr="00A34BE4">
        <w:rPr>
          <w:rFonts w:ascii="Arial" w:eastAsia="Times New Roman" w:hAnsi="Arial" w:cs="Arial"/>
          <w:i/>
          <w:color w:val="000000"/>
          <w:sz w:val="20"/>
          <w:szCs w:val="20"/>
        </w:rPr>
        <w:t>et al.,</w:t>
      </w:r>
      <w:r w:rsidRPr="00C573D8">
        <w:rPr>
          <w:rFonts w:ascii="Arial" w:eastAsia="Times New Roman" w:hAnsi="Arial" w:cs="Arial"/>
          <w:color w:val="000000"/>
          <w:sz w:val="20"/>
          <w:szCs w:val="20"/>
        </w:rPr>
        <w:t xml:space="preserve"> 2015). To date, there has been no published attempt to extract and sequence a full S1 genome from samples embedded onto FTA cards. This study </w:t>
      </w:r>
      <w:r w:rsidR="00B96927">
        <w:rPr>
          <w:rFonts w:ascii="Arial" w:eastAsia="Times New Roman" w:hAnsi="Arial" w:cs="Arial"/>
          <w:color w:val="000000"/>
          <w:sz w:val="20"/>
          <w:szCs w:val="20"/>
        </w:rPr>
        <w:t>showed</w:t>
      </w:r>
      <w:r w:rsidR="00B96927" w:rsidRPr="00C573D8">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 xml:space="preserve">that for RNA extracted from allantoic fluid or FTA cards, the partial S1 RT-PCR demonstrated greater detection limits compared to the full S1. This may be due to the significant difference in amplicon length: 0.39kb and 1.72kb for the partial and full S1 gene respectively. Successful molecular characterization of small sequence lengths (383 </w:t>
      </w:r>
      <w:proofErr w:type="spellStart"/>
      <w:r w:rsidRPr="00C573D8">
        <w:rPr>
          <w:rFonts w:ascii="Arial" w:eastAsia="Times New Roman" w:hAnsi="Arial" w:cs="Arial"/>
          <w:color w:val="000000"/>
          <w:sz w:val="20"/>
          <w:szCs w:val="20"/>
        </w:rPr>
        <w:t>bp</w:t>
      </w:r>
      <w:proofErr w:type="spellEnd"/>
      <w:r w:rsidRPr="00C573D8">
        <w:rPr>
          <w:rFonts w:ascii="Arial" w:eastAsia="Times New Roman" w:hAnsi="Arial" w:cs="Arial"/>
          <w:color w:val="000000"/>
          <w:sz w:val="20"/>
          <w:szCs w:val="20"/>
        </w:rPr>
        <w:t>) of virus RNAs from FTA cards, including those that were stored under non favourable environmental conditions (at 41</w:t>
      </w:r>
      <w:r w:rsidRPr="00C573D8">
        <w:rPr>
          <w:rFonts w:ascii="Arial" w:eastAsia="Times New Roman" w:hAnsi="Arial" w:cs="Arial"/>
          <w:color w:val="000000"/>
          <w:sz w:val="20"/>
          <w:szCs w:val="20"/>
          <w:vertAlign w:val="superscript"/>
        </w:rPr>
        <w:t>o</w:t>
      </w:r>
      <w:r w:rsidR="00B96927">
        <w:rPr>
          <w:rFonts w:ascii="Arial" w:eastAsia="Times New Roman" w:hAnsi="Arial" w:cs="Arial"/>
          <w:color w:val="000000"/>
          <w:sz w:val="20"/>
          <w:szCs w:val="20"/>
          <w:vertAlign w:val="superscript"/>
        </w:rPr>
        <w:t xml:space="preserve"> </w:t>
      </w:r>
      <w:r w:rsidRPr="00C573D8">
        <w:rPr>
          <w:rFonts w:ascii="Arial" w:eastAsia="Times New Roman" w:hAnsi="Arial" w:cs="Arial"/>
          <w:color w:val="000000"/>
          <w:sz w:val="20"/>
          <w:szCs w:val="20"/>
        </w:rPr>
        <w:t>C for at least 15 days), has been previously demonstrated (</w:t>
      </w:r>
      <w:proofErr w:type="spellStart"/>
      <w:r w:rsidRPr="00C573D8">
        <w:rPr>
          <w:rFonts w:ascii="Arial" w:eastAsia="Times New Roman" w:hAnsi="Arial" w:cs="Arial"/>
          <w:color w:val="000000"/>
          <w:sz w:val="20"/>
          <w:szCs w:val="20"/>
        </w:rPr>
        <w:t>Moscos</w:t>
      </w:r>
      <w:r w:rsidR="00736E4E">
        <w:rPr>
          <w:rFonts w:ascii="Arial" w:eastAsia="Times New Roman" w:hAnsi="Arial" w:cs="Arial"/>
          <w:color w:val="000000"/>
          <w:sz w:val="20"/>
          <w:szCs w:val="20"/>
        </w:rPr>
        <w:t>o</w:t>
      </w:r>
      <w:proofErr w:type="spellEnd"/>
      <w:r w:rsidRPr="00C573D8">
        <w:rPr>
          <w:rFonts w:ascii="Arial" w:eastAsia="Times New Roman" w:hAnsi="Arial" w:cs="Arial"/>
          <w:color w:val="000000"/>
          <w:sz w:val="20"/>
          <w:szCs w:val="20"/>
        </w:rPr>
        <w:t xml:space="preserve"> </w:t>
      </w:r>
      <w:r w:rsidRPr="00A34BE4">
        <w:rPr>
          <w:rFonts w:ascii="Arial" w:eastAsia="Times New Roman" w:hAnsi="Arial" w:cs="Arial"/>
          <w:i/>
          <w:color w:val="000000"/>
          <w:sz w:val="20"/>
          <w:szCs w:val="20"/>
        </w:rPr>
        <w:t>et al.,</w:t>
      </w:r>
      <w:r w:rsidRPr="00C573D8">
        <w:rPr>
          <w:rFonts w:ascii="Arial" w:eastAsia="Times New Roman" w:hAnsi="Arial" w:cs="Arial"/>
          <w:color w:val="000000"/>
          <w:sz w:val="20"/>
          <w:szCs w:val="20"/>
        </w:rPr>
        <w:t xml:space="preserve"> 2005). In addition, recent work has</w:t>
      </w:r>
      <w:r w:rsidR="00A34BE4">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 xml:space="preserve">shown difficulty in amplifying a viral nucleotide product greater than 900 </w:t>
      </w:r>
      <w:proofErr w:type="spellStart"/>
      <w:r w:rsidRPr="00C573D8">
        <w:rPr>
          <w:rFonts w:ascii="Arial" w:eastAsia="Times New Roman" w:hAnsi="Arial" w:cs="Arial"/>
          <w:color w:val="000000"/>
          <w:sz w:val="20"/>
          <w:szCs w:val="20"/>
        </w:rPr>
        <w:t>bp</w:t>
      </w:r>
      <w:proofErr w:type="spellEnd"/>
      <w:r w:rsidRPr="00C573D8">
        <w:rPr>
          <w:rFonts w:ascii="Arial" w:eastAsia="Times New Roman" w:hAnsi="Arial" w:cs="Arial"/>
          <w:color w:val="000000"/>
          <w:sz w:val="20"/>
          <w:szCs w:val="20"/>
        </w:rPr>
        <w:t xml:space="preserve">, despite detecting a 290 </w:t>
      </w:r>
      <w:proofErr w:type="spellStart"/>
      <w:r w:rsidRPr="00C573D8">
        <w:rPr>
          <w:rFonts w:ascii="Arial" w:eastAsia="Times New Roman" w:hAnsi="Arial" w:cs="Arial"/>
          <w:color w:val="000000"/>
          <w:sz w:val="20"/>
          <w:szCs w:val="20"/>
        </w:rPr>
        <w:t>bp</w:t>
      </w:r>
      <w:proofErr w:type="spellEnd"/>
      <w:r w:rsidRPr="00C573D8">
        <w:rPr>
          <w:rFonts w:ascii="Arial" w:eastAsia="Times New Roman" w:hAnsi="Arial" w:cs="Arial"/>
          <w:color w:val="000000"/>
          <w:sz w:val="20"/>
          <w:szCs w:val="20"/>
        </w:rPr>
        <w:t xml:space="preserve"> product from the same sample aft</w:t>
      </w:r>
      <w:r w:rsidR="00736E4E">
        <w:rPr>
          <w:rFonts w:ascii="Arial" w:eastAsia="Times New Roman" w:hAnsi="Arial" w:cs="Arial"/>
          <w:color w:val="000000"/>
          <w:sz w:val="20"/>
          <w:szCs w:val="20"/>
        </w:rPr>
        <w:t xml:space="preserve">er </w:t>
      </w:r>
      <w:r w:rsidR="00736E4E">
        <w:rPr>
          <w:rFonts w:ascii="Arial" w:eastAsia="Times New Roman" w:hAnsi="Arial" w:cs="Arial"/>
          <w:color w:val="000000"/>
          <w:sz w:val="20"/>
          <w:szCs w:val="20"/>
        </w:rPr>
        <w:lastRenderedPageBreak/>
        <w:t>six months of storage (Sakai</w:t>
      </w:r>
      <w:r w:rsidRPr="00C573D8">
        <w:rPr>
          <w:rFonts w:ascii="Arial" w:eastAsia="Times New Roman" w:hAnsi="Arial" w:cs="Arial"/>
          <w:color w:val="000000"/>
          <w:sz w:val="20"/>
          <w:szCs w:val="20"/>
        </w:rPr>
        <w:t xml:space="preserve"> </w:t>
      </w:r>
      <w:r w:rsidRPr="00A34BE4">
        <w:rPr>
          <w:rFonts w:ascii="Arial" w:eastAsia="Times New Roman" w:hAnsi="Arial" w:cs="Arial"/>
          <w:i/>
          <w:color w:val="000000"/>
          <w:sz w:val="20"/>
          <w:szCs w:val="20"/>
        </w:rPr>
        <w:t>et al.,</w:t>
      </w:r>
      <w:r w:rsidRPr="00C573D8">
        <w:rPr>
          <w:rFonts w:ascii="Arial" w:eastAsia="Times New Roman" w:hAnsi="Arial" w:cs="Arial"/>
          <w:color w:val="000000"/>
          <w:sz w:val="20"/>
          <w:szCs w:val="20"/>
        </w:rPr>
        <w:t xml:space="preserve"> 2015). This work has shown that the partial assay was able to detect IBV RNA inoculated onto FTA cards for up to 21 dpi for all storage conditions, including at 40</w:t>
      </w:r>
      <w:r w:rsidRPr="00C573D8">
        <w:rPr>
          <w:rFonts w:ascii="Arial" w:eastAsia="Times New Roman" w:hAnsi="Arial" w:cs="Arial"/>
          <w:color w:val="000000"/>
          <w:sz w:val="20"/>
          <w:szCs w:val="20"/>
          <w:vertAlign w:val="superscript"/>
        </w:rPr>
        <w:t>o</w:t>
      </w:r>
      <w:r w:rsidR="00A34BE4">
        <w:rPr>
          <w:rFonts w:ascii="Arial" w:eastAsia="Times New Roman" w:hAnsi="Arial" w:cs="Arial"/>
          <w:color w:val="000000"/>
          <w:sz w:val="20"/>
          <w:szCs w:val="20"/>
          <w:vertAlign w:val="superscript"/>
        </w:rPr>
        <w:t xml:space="preserve"> </w:t>
      </w:r>
      <w:r w:rsidRPr="00C573D8">
        <w:rPr>
          <w:rFonts w:ascii="Arial" w:eastAsia="Times New Roman" w:hAnsi="Arial" w:cs="Arial"/>
          <w:color w:val="000000"/>
          <w:sz w:val="20"/>
          <w:szCs w:val="20"/>
        </w:rPr>
        <w:t xml:space="preserve">C - a common summer temperature in many Middle East countries. In </w:t>
      </w:r>
      <w:r w:rsidR="000C22A6">
        <w:rPr>
          <w:rFonts w:ascii="Arial" w:eastAsia="Times New Roman" w:hAnsi="Arial" w:cs="Arial"/>
          <w:color w:val="000000"/>
          <w:sz w:val="20"/>
          <w:szCs w:val="20"/>
        </w:rPr>
        <w:t>contrast</w:t>
      </w:r>
      <w:r w:rsidRPr="00C573D8">
        <w:rPr>
          <w:rFonts w:ascii="Arial" w:eastAsia="Times New Roman" w:hAnsi="Arial" w:cs="Arial"/>
          <w:color w:val="000000"/>
          <w:sz w:val="20"/>
          <w:szCs w:val="20"/>
        </w:rPr>
        <w:t xml:space="preserve">, this was not possible for the full S1 gene (1,700 </w:t>
      </w:r>
      <w:proofErr w:type="spellStart"/>
      <w:r w:rsidRPr="00C573D8">
        <w:rPr>
          <w:rFonts w:ascii="Arial" w:eastAsia="Times New Roman" w:hAnsi="Arial" w:cs="Arial"/>
          <w:color w:val="000000"/>
          <w:sz w:val="20"/>
          <w:szCs w:val="20"/>
        </w:rPr>
        <w:t>bp</w:t>
      </w:r>
      <w:proofErr w:type="spellEnd"/>
      <w:r w:rsidRPr="00C573D8">
        <w:rPr>
          <w:rFonts w:ascii="Arial" w:eastAsia="Times New Roman" w:hAnsi="Arial" w:cs="Arial"/>
          <w:color w:val="000000"/>
          <w:sz w:val="20"/>
          <w:szCs w:val="20"/>
        </w:rPr>
        <w:t>), even when applying the phenol chlorof</w:t>
      </w:r>
      <w:r w:rsidR="00736E4E">
        <w:rPr>
          <w:rFonts w:ascii="Arial" w:eastAsia="Times New Roman" w:hAnsi="Arial" w:cs="Arial"/>
          <w:color w:val="000000"/>
          <w:sz w:val="20"/>
          <w:szCs w:val="20"/>
        </w:rPr>
        <w:t>orm method for extraction (Awad</w:t>
      </w:r>
      <w:r w:rsidRPr="00C573D8">
        <w:rPr>
          <w:rFonts w:ascii="Arial" w:eastAsia="Times New Roman" w:hAnsi="Arial" w:cs="Arial"/>
          <w:color w:val="000000"/>
          <w:sz w:val="20"/>
          <w:szCs w:val="20"/>
        </w:rPr>
        <w:t xml:space="preserve"> </w:t>
      </w:r>
      <w:r w:rsidRPr="00A34BE4">
        <w:rPr>
          <w:rFonts w:ascii="Arial" w:eastAsia="Times New Roman" w:hAnsi="Arial" w:cs="Arial"/>
          <w:i/>
          <w:color w:val="000000"/>
          <w:sz w:val="20"/>
          <w:szCs w:val="20"/>
        </w:rPr>
        <w:t>et al.,</w:t>
      </w:r>
      <w:r w:rsidRPr="00C573D8">
        <w:rPr>
          <w:rFonts w:ascii="Arial" w:eastAsia="Times New Roman" w:hAnsi="Arial" w:cs="Arial"/>
          <w:color w:val="000000"/>
          <w:sz w:val="20"/>
          <w:szCs w:val="20"/>
        </w:rPr>
        <w:t xml:space="preserve"> 2014). Furthermore, incubating the FTA cards in TE buffer overnight for further RNA elution accompanied with occasional </w:t>
      </w:r>
      <w:proofErr w:type="spellStart"/>
      <w:r w:rsidRPr="00C573D8">
        <w:rPr>
          <w:rFonts w:ascii="Arial" w:eastAsia="Times New Roman" w:hAnsi="Arial" w:cs="Arial"/>
          <w:color w:val="000000"/>
          <w:sz w:val="20"/>
          <w:szCs w:val="20"/>
        </w:rPr>
        <w:t>vortexing</w:t>
      </w:r>
      <w:proofErr w:type="spellEnd"/>
      <w:r w:rsidRPr="00C573D8">
        <w:rPr>
          <w:rFonts w:ascii="Arial" w:eastAsia="Times New Roman" w:hAnsi="Arial" w:cs="Arial"/>
          <w:color w:val="000000"/>
          <w:sz w:val="20"/>
          <w:szCs w:val="20"/>
        </w:rPr>
        <w:t xml:space="preserve"> resulted in no change in the amount of viral load when quantified using qRT-PCR. From data presented here, it appears that the sensitivity for the larger target (full S1) detection is affected by virus titre, and duration and temperature of storage.</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 xml:space="preserve">Following the successful detection and sequencing of partial and full S1 genes of 793B, M41, D274, QX, Q1, IS/885/00 and IS/1494/06, an attempt to utilise the above S1 protocols for field samples collected via FTA cards </w:t>
      </w:r>
      <w:r w:rsidR="00736E4E">
        <w:rPr>
          <w:rFonts w:ascii="Arial" w:eastAsia="Times New Roman" w:hAnsi="Arial" w:cs="Arial"/>
          <w:color w:val="000000"/>
          <w:sz w:val="20"/>
          <w:szCs w:val="20"/>
        </w:rPr>
        <w:t>from the Middle East (Ganapathy</w:t>
      </w:r>
      <w:r w:rsidRPr="00C573D8">
        <w:rPr>
          <w:rFonts w:ascii="Arial" w:eastAsia="Times New Roman" w:hAnsi="Arial" w:cs="Arial"/>
          <w:color w:val="000000"/>
          <w:sz w:val="20"/>
          <w:szCs w:val="20"/>
        </w:rPr>
        <w:t xml:space="preserve"> </w:t>
      </w:r>
      <w:r w:rsidRPr="00A34BE4">
        <w:rPr>
          <w:rFonts w:ascii="Arial" w:eastAsia="Times New Roman" w:hAnsi="Arial" w:cs="Arial"/>
          <w:i/>
          <w:color w:val="000000"/>
          <w:sz w:val="20"/>
          <w:szCs w:val="20"/>
        </w:rPr>
        <w:t>et al.,</w:t>
      </w:r>
      <w:r w:rsidRPr="00C573D8">
        <w:rPr>
          <w:rFonts w:ascii="Arial" w:eastAsia="Times New Roman" w:hAnsi="Arial" w:cs="Arial"/>
          <w:color w:val="000000"/>
          <w:sz w:val="20"/>
          <w:szCs w:val="20"/>
        </w:rPr>
        <w:t xml:space="preserve"> 2015) was carried out. From a total number of 25 partial S1 positive IBV samples, only three samples were positive via similarity to the full S1. This detection level reflects the low sensitivity of this assay when FTA card samples were stored in different conditions to this study. Further optimisation of the full S1 RT-PCR, including optimisation of RNA extraction from the FTA cards, may be necessary to increase detection limits. In our study, we attempted to mimic field practices, where oropharyngeal swabs or tissue samples collected at necropsy</w:t>
      </w:r>
      <w:r w:rsidR="000C22A6">
        <w:rPr>
          <w:rFonts w:ascii="Arial" w:eastAsia="Times New Roman" w:hAnsi="Arial" w:cs="Arial"/>
          <w:color w:val="000000"/>
          <w:sz w:val="20"/>
          <w:szCs w:val="20"/>
        </w:rPr>
        <w:t>,</w:t>
      </w:r>
      <w:r w:rsidRPr="00C573D8">
        <w:rPr>
          <w:rFonts w:ascii="Arial" w:eastAsia="Times New Roman" w:hAnsi="Arial" w:cs="Arial"/>
          <w:color w:val="000000"/>
          <w:sz w:val="20"/>
          <w:szCs w:val="20"/>
        </w:rPr>
        <w:t xml:space="preserve"> or IBV-enriched allantoic fluids are embedded onto FTA cards, then stored and/or transported at different temperatures to local or international laboratories for detection of IBVs. It app</w:t>
      </w:r>
      <w:r w:rsidR="000C22A6">
        <w:rPr>
          <w:rFonts w:ascii="Arial" w:eastAsia="Times New Roman" w:hAnsi="Arial" w:cs="Arial"/>
          <w:color w:val="000000"/>
          <w:sz w:val="20"/>
          <w:szCs w:val="20"/>
        </w:rPr>
        <w:t>ears that temperatures up to 40</w:t>
      </w:r>
      <w:r w:rsidRPr="00C573D8">
        <w:rPr>
          <w:rFonts w:ascii="Arial" w:eastAsia="Times New Roman" w:hAnsi="Arial" w:cs="Arial"/>
          <w:color w:val="000000"/>
          <w:sz w:val="20"/>
          <w:szCs w:val="20"/>
        </w:rPr>
        <w:t>°</w:t>
      </w:r>
      <w:r w:rsidR="000C22A6">
        <w:rPr>
          <w:rFonts w:ascii="Arial" w:eastAsia="Times New Roman" w:hAnsi="Arial" w:cs="Arial"/>
          <w:color w:val="000000"/>
          <w:sz w:val="20"/>
          <w:szCs w:val="20"/>
        </w:rPr>
        <w:t xml:space="preserve"> </w:t>
      </w:r>
      <w:r w:rsidRPr="00C573D8">
        <w:rPr>
          <w:rFonts w:ascii="Arial" w:eastAsia="Times New Roman" w:hAnsi="Arial" w:cs="Arial"/>
          <w:color w:val="000000"/>
          <w:sz w:val="20"/>
          <w:szCs w:val="20"/>
        </w:rPr>
        <w:t>C, with storage for up to 21 days, has no negative impact on the recovery of sufficient RNA for a successful partial S1 RT-PCR and s</w:t>
      </w:r>
      <w:r w:rsidR="00A34BE4">
        <w:rPr>
          <w:rFonts w:ascii="Arial" w:eastAsia="Times New Roman" w:hAnsi="Arial" w:cs="Arial"/>
          <w:color w:val="000000"/>
          <w:sz w:val="20"/>
          <w:szCs w:val="20"/>
        </w:rPr>
        <w:t>equencing. However, it recovers</w:t>
      </w:r>
      <w:r w:rsidRPr="00C573D8">
        <w:rPr>
          <w:rFonts w:ascii="Arial" w:eastAsia="Times New Roman" w:hAnsi="Arial" w:cs="Arial"/>
          <w:color w:val="000000"/>
          <w:sz w:val="20"/>
          <w:szCs w:val="20"/>
        </w:rPr>
        <w:t> inadequate RNA for a full S1 RT-PCR or sequencing.</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 xml:space="preserve">In conclusion, the full S1 scheme presented in this study is mostly suitable for IBV enriched samples (e.g. allantoic fluid). Clinical samples (either swabs or tissues) that have been directly obtained from the field or </w:t>
      </w:r>
      <w:r w:rsidRPr="00C573D8">
        <w:rPr>
          <w:rFonts w:ascii="Arial" w:eastAsia="Times New Roman" w:hAnsi="Arial" w:cs="Arial"/>
          <w:i/>
          <w:iCs/>
          <w:color w:val="000000"/>
          <w:sz w:val="20"/>
          <w:szCs w:val="20"/>
        </w:rPr>
        <w:t>in vivo</w:t>
      </w:r>
      <w:r w:rsidRPr="00C573D8">
        <w:rPr>
          <w:rFonts w:ascii="Arial" w:eastAsia="Times New Roman" w:hAnsi="Arial" w:cs="Arial"/>
          <w:color w:val="000000"/>
          <w:sz w:val="20"/>
          <w:szCs w:val="20"/>
        </w:rPr>
        <w:t xml:space="preserve"> experiments, including those imprinted on FTA cards, are unlikely to provide sufficient genome quantit</w:t>
      </w:r>
      <w:r w:rsidR="00C53A40">
        <w:rPr>
          <w:rFonts w:ascii="Arial" w:eastAsia="Times New Roman" w:hAnsi="Arial" w:cs="Arial"/>
          <w:color w:val="000000"/>
          <w:sz w:val="20"/>
          <w:szCs w:val="20"/>
        </w:rPr>
        <w:t>ies for the full S1 detection.</w:t>
      </w:r>
      <w:r w:rsidRPr="00C573D8">
        <w:rPr>
          <w:rFonts w:ascii="Arial" w:eastAsia="Times New Roman" w:hAnsi="Arial" w:cs="Arial"/>
          <w:color w:val="000000"/>
          <w:sz w:val="20"/>
          <w:szCs w:val="20"/>
        </w:rPr>
        <w:t xml:space="preserve"> The partial S1 scheme was effective in detecting and differentiating IBV in enriched allantoic fluids and those embedded onto FTA cards.</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ACKNOWLEDGEMENTS</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BM is in receipt of a studentship from the Iraq government. The funders had no role in study design, data collection and interpretation, or the decision to submit the work for publication. All authors declare no conflict of interest.</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 </w:t>
      </w:r>
    </w:p>
    <w:p w:rsidR="00C573D8" w:rsidRDefault="00C573D8" w:rsidP="00C573D8">
      <w:pPr>
        <w:spacing w:after="0" w:line="440" w:lineRule="atLeast"/>
        <w:jc w:val="both"/>
        <w:rPr>
          <w:rFonts w:ascii="Arial" w:eastAsia="Times New Roman" w:hAnsi="Arial" w:cs="Arial"/>
          <w:b/>
          <w:bCs/>
          <w:color w:val="000000"/>
          <w:sz w:val="20"/>
          <w:szCs w:val="20"/>
        </w:rPr>
      </w:pPr>
      <w:r w:rsidRPr="00C573D8">
        <w:rPr>
          <w:rFonts w:ascii="Arial" w:eastAsia="Times New Roman" w:hAnsi="Arial" w:cs="Arial"/>
          <w:b/>
          <w:bCs/>
          <w:color w:val="000000"/>
          <w:sz w:val="20"/>
          <w:szCs w:val="20"/>
        </w:rPr>
        <w:t xml:space="preserve">REFERENCES </w:t>
      </w:r>
    </w:p>
    <w:p w:rsidR="00AA7804" w:rsidRPr="002B6E20" w:rsidRDefault="00AA7804" w:rsidP="00C573D8">
      <w:pPr>
        <w:spacing w:after="0" w:line="440" w:lineRule="atLeast"/>
        <w:jc w:val="both"/>
        <w:rPr>
          <w:rFonts w:ascii="Arial" w:eastAsia="Times New Roman" w:hAnsi="Arial" w:cs="Arial"/>
          <w:color w:val="000000"/>
          <w:sz w:val="20"/>
          <w:szCs w:val="20"/>
        </w:rPr>
      </w:pPr>
    </w:p>
    <w:p w:rsidR="00C573D8" w:rsidRPr="00C573D8" w:rsidRDefault="00C573D8" w:rsidP="00C573D8">
      <w:pPr>
        <w:spacing w:after="0" w:line="240" w:lineRule="auto"/>
        <w:ind w:left="720" w:hanging="720"/>
        <w:rPr>
          <w:rFonts w:ascii="Arial" w:eastAsia="Times New Roman" w:hAnsi="Arial" w:cs="Arial"/>
          <w:color w:val="000000"/>
          <w:sz w:val="20"/>
          <w:szCs w:val="20"/>
        </w:rPr>
      </w:pPr>
      <w:r w:rsidRPr="00C573D8">
        <w:rPr>
          <w:rFonts w:ascii="Arial" w:eastAsia="Times New Roman" w:hAnsi="Arial" w:cs="Arial"/>
          <w:color w:val="000000"/>
          <w:sz w:val="20"/>
          <w:szCs w:val="20"/>
        </w:rPr>
        <w:lastRenderedPageBreak/>
        <w:t> </w:t>
      </w:r>
    </w:p>
    <w:p w:rsidR="00FB793A" w:rsidRPr="0028359C" w:rsidRDefault="00FB793A" w:rsidP="00FB793A">
      <w:pPr>
        <w:pStyle w:val="EndNoteBibliography"/>
        <w:spacing w:after="0"/>
        <w:ind w:left="720" w:hanging="720"/>
        <w:jc w:val="both"/>
      </w:pPr>
      <w:r>
        <w:rPr>
          <w:szCs w:val="20"/>
        </w:rPr>
        <w:fldChar w:fldCharType="begin"/>
      </w:r>
      <w:r>
        <w:rPr>
          <w:szCs w:val="20"/>
        </w:rPr>
        <w:instrText xml:space="preserve"> ADDIN EN.REFLIST </w:instrText>
      </w:r>
      <w:r>
        <w:rPr>
          <w:szCs w:val="20"/>
        </w:rPr>
        <w:fldChar w:fldCharType="separate"/>
      </w:r>
      <w:r w:rsidRPr="0028359C">
        <w:t xml:space="preserve">Abdel-Moneim, A.S., El-Kady, M.F., Ladman, B.S. &amp; Gelb, J., Jr. (2006). S1 gene sequence analysis of a nephropathogenic strain of avian infectious bronchitis virus in Egypt. </w:t>
      </w:r>
      <w:r w:rsidRPr="0028359C">
        <w:rPr>
          <w:i/>
        </w:rPr>
        <w:t xml:space="preserve">Virology Journal, </w:t>
      </w:r>
      <w:r w:rsidRPr="0028359C">
        <w:t xml:space="preserve">3, 78. </w:t>
      </w:r>
    </w:p>
    <w:p w:rsidR="00FB793A" w:rsidRPr="0028359C" w:rsidRDefault="00FB793A" w:rsidP="00FB793A">
      <w:pPr>
        <w:pStyle w:val="EndNoteBibliography"/>
        <w:spacing w:after="0"/>
        <w:ind w:left="720" w:hanging="720"/>
        <w:jc w:val="both"/>
      </w:pPr>
      <w:r w:rsidRPr="0028359C">
        <w:t xml:space="preserve">Abro, S.H., Renstrom, L.H., Ullman, K., Isaksson, M., Zohari, S., Jansson, D.S., Belak, S. &amp; Baule, C. (2012). Emergence of novel strains of avian infectious bronchitis virus in Sweden. </w:t>
      </w:r>
      <w:r w:rsidRPr="0028359C">
        <w:rPr>
          <w:i/>
        </w:rPr>
        <w:t xml:space="preserve">Veterinary Microbiology, </w:t>
      </w:r>
      <w:r w:rsidRPr="0028359C">
        <w:t xml:space="preserve">155, 237-246. </w:t>
      </w:r>
    </w:p>
    <w:p w:rsidR="00FB793A" w:rsidRPr="0028359C" w:rsidRDefault="00FB793A" w:rsidP="00FB793A">
      <w:pPr>
        <w:pStyle w:val="EndNoteBibliography"/>
        <w:spacing w:after="0"/>
        <w:ind w:left="720" w:hanging="720"/>
        <w:jc w:val="both"/>
      </w:pPr>
      <w:r w:rsidRPr="0028359C">
        <w:t xml:space="preserve">Adzhar, A., Shaw, K., Britton, P. &amp; Cavanagh, D. (1996). Universal oligonucleotides for the detection of infectious bronchitis virus by the polymerase chain reaction. </w:t>
      </w:r>
      <w:r w:rsidRPr="0028359C">
        <w:rPr>
          <w:i/>
        </w:rPr>
        <w:t xml:space="preserve">Avian Pathology, </w:t>
      </w:r>
      <w:r w:rsidRPr="0028359C">
        <w:t xml:space="preserve">25, 817-836. </w:t>
      </w:r>
    </w:p>
    <w:p w:rsidR="00FB793A" w:rsidRPr="0028359C" w:rsidRDefault="00FB793A" w:rsidP="00FB793A">
      <w:pPr>
        <w:pStyle w:val="EndNoteBibliography"/>
        <w:spacing w:after="0"/>
        <w:ind w:left="720" w:hanging="720"/>
        <w:jc w:val="both"/>
      </w:pPr>
      <w:r w:rsidRPr="0028359C">
        <w:t xml:space="preserve">Al-Shekaili, T., Baylis, M. &amp; Ganapathy, K. (2015). Molecular detection of infectious bronchitis and avian metapneumoviruses in Oman backyard poultry. </w:t>
      </w:r>
      <w:r w:rsidRPr="0028359C">
        <w:rPr>
          <w:i/>
        </w:rPr>
        <w:t xml:space="preserve">Research in Veterinary Science, </w:t>
      </w:r>
      <w:r w:rsidRPr="0028359C">
        <w:t xml:space="preserve">99, 46-52. </w:t>
      </w:r>
    </w:p>
    <w:p w:rsidR="00FB793A" w:rsidRPr="0028359C" w:rsidRDefault="00FB793A" w:rsidP="00FB793A">
      <w:pPr>
        <w:pStyle w:val="EndNoteBibliography"/>
        <w:spacing w:after="0"/>
        <w:ind w:left="720" w:hanging="720"/>
        <w:jc w:val="both"/>
      </w:pPr>
      <w:r w:rsidRPr="0028359C">
        <w:t xml:space="preserve">Awad, F., Forrester, A., Baylis, M. &amp; Ganapathy, K. (2012). Detection of multiple poultry respiratory pathogens from FTA® card. In M. Leirz, Huffels-Redman, U., Kaleta,E.F., Heckman, J (Ed.), </w:t>
      </w:r>
      <w:r w:rsidRPr="0028359C">
        <w:rPr>
          <w:i/>
        </w:rPr>
        <w:t>VII International Symposium on Avian Corona-and Pneumovirus Infections</w:t>
      </w:r>
      <w:r w:rsidRPr="0028359C">
        <w:t xml:space="preserve"> pp. 136–137. Druckerei Schroder, Rauischholzhausen, Germany.</w:t>
      </w:r>
    </w:p>
    <w:p w:rsidR="00FB793A" w:rsidRPr="0028359C" w:rsidRDefault="00FB793A" w:rsidP="00FB793A">
      <w:pPr>
        <w:pStyle w:val="EndNoteBibliography"/>
        <w:spacing w:after="0"/>
        <w:ind w:left="720" w:hanging="720"/>
        <w:jc w:val="both"/>
      </w:pPr>
      <w:r w:rsidRPr="0028359C">
        <w:t xml:space="preserve">Awad, F., Baylis, M., Jones, R.C. &amp; Ganapathy, K. (2014). Evaluation of Flinders Technology Associates cards for storage and molecular detection of avian metapneumoviruses. </w:t>
      </w:r>
      <w:r w:rsidRPr="0028359C">
        <w:rPr>
          <w:i/>
        </w:rPr>
        <w:t xml:space="preserve">Avian Pathology, </w:t>
      </w:r>
      <w:r w:rsidRPr="0028359C">
        <w:t xml:space="preserve">43, 125-129. </w:t>
      </w:r>
    </w:p>
    <w:p w:rsidR="00FB793A" w:rsidRPr="0028359C" w:rsidRDefault="00FB793A" w:rsidP="00FB793A">
      <w:pPr>
        <w:pStyle w:val="EndNoteBibliography"/>
        <w:spacing w:after="0"/>
        <w:ind w:left="720" w:hanging="720"/>
        <w:jc w:val="both"/>
      </w:pPr>
      <w:r w:rsidRPr="0028359C">
        <w:t xml:space="preserve">Ball, C., Forrester, A. &amp; Ganapathy, K. (2016). Detection of variant infectious bronchitis viruses in Sri Lanka (2012-2015). </w:t>
      </w:r>
      <w:r w:rsidRPr="0028359C">
        <w:rPr>
          <w:i/>
        </w:rPr>
        <w:t xml:space="preserve">Archives of Virology, </w:t>
      </w:r>
      <w:r w:rsidRPr="0028359C">
        <w:t xml:space="preserve">161, 1697-1699. </w:t>
      </w:r>
    </w:p>
    <w:p w:rsidR="00FB793A" w:rsidRPr="0028359C" w:rsidRDefault="00FB793A" w:rsidP="00FB793A">
      <w:pPr>
        <w:pStyle w:val="EndNoteBibliography"/>
        <w:spacing w:after="0"/>
        <w:ind w:left="720" w:hanging="720"/>
        <w:jc w:val="both"/>
      </w:pPr>
      <w:r w:rsidRPr="0028359C">
        <w:t xml:space="preserve">Benyeda, Z., Mato, T., Suveges, T., Szabo, E., Kardi, V., Abonyi-Toth, Z., Rusvai, M. &amp; Palya, V. (2009). Comparison of the pathogenicity of QX-like, M41 and 793/B infectious bronchitis strains from different pathological conditions. </w:t>
      </w:r>
      <w:r w:rsidRPr="0028359C">
        <w:rPr>
          <w:i/>
        </w:rPr>
        <w:t xml:space="preserve">Avian Pathology, </w:t>
      </w:r>
      <w:r w:rsidRPr="0028359C">
        <w:t xml:space="preserve">38, 449-456. </w:t>
      </w:r>
    </w:p>
    <w:p w:rsidR="00FB793A" w:rsidRPr="0028359C" w:rsidRDefault="00FB793A" w:rsidP="00FB793A">
      <w:pPr>
        <w:pStyle w:val="EndNoteBibliography"/>
        <w:spacing w:after="0"/>
        <w:ind w:left="720" w:hanging="720"/>
        <w:jc w:val="both"/>
      </w:pPr>
      <w:r w:rsidRPr="0028359C">
        <w:t xml:space="preserve">Cavanagh, D. (2003). Severe acute respiratory syndrome vaccine development: experiences of vaccination against avian infectious bronchitis coronavirus. </w:t>
      </w:r>
      <w:r w:rsidRPr="0028359C">
        <w:rPr>
          <w:i/>
        </w:rPr>
        <w:t xml:space="preserve">Avian Pathology, </w:t>
      </w:r>
      <w:r w:rsidRPr="0028359C">
        <w:t xml:space="preserve">32, 567-582. </w:t>
      </w:r>
    </w:p>
    <w:p w:rsidR="00FB793A" w:rsidRPr="0028359C" w:rsidRDefault="00FB793A" w:rsidP="00FB793A">
      <w:pPr>
        <w:pStyle w:val="EndNoteBibliography"/>
        <w:spacing w:after="0"/>
        <w:ind w:left="720" w:hanging="720"/>
        <w:jc w:val="both"/>
      </w:pPr>
      <w:r w:rsidRPr="0028359C">
        <w:t xml:space="preserve">Cavanagh, D. (2005). Coronaviruses in poultry and other birds. </w:t>
      </w:r>
      <w:r w:rsidRPr="0028359C">
        <w:rPr>
          <w:i/>
        </w:rPr>
        <w:t xml:space="preserve">Avian Pathology, </w:t>
      </w:r>
      <w:r w:rsidRPr="0028359C">
        <w:t xml:space="preserve">34, 439-448. </w:t>
      </w:r>
    </w:p>
    <w:p w:rsidR="00FB793A" w:rsidRPr="0028359C" w:rsidRDefault="00FB793A" w:rsidP="00FB793A">
      <w:pPr>
        <w:pStyle w:val="EndNoteBibliography"/>
        <w:spacing w:after="0"/>
        <w:ind w:left="720" w:hanging="720"/>
        <w:jc w:val="both"/>
      </w:pPr>
      <w:r w:rsidRPr="0028359C">
        <w:t xml:space="preserve">Chhabra, R., Forrester, A., Lemiere, S., Awad, F., Chantrey, J. &amp; Ganapathy, K. (2015). Mucosal, Cellular, and Humoral Immune Responses Induced by Different Live Infectious Bronchitis Virus Vaccination Regimes and Protection Conferred against Infectious Bronchitis Virus Q1 Strain. </w:t>
      </w:r>
      <w:r w:rsidRPr="0028359C">
        <w:rPr>
          <w:i/>
        </w:rPr>
        <w:t xml:space="preserve">Clinical and Vaccine Immunology, </w:t>
      </w:r>
      <w:r w:rsidRPr="0028359C">
        <w:t xml:space="preserve">22, 1050-1059. </w:t>
      </w:r>
    </w:p>
    <w:p w:rsidR="00FB793A" w:rsidRPr="0028359C" w:rsidRDefault="00FB793A" w:rsidP="00FB793A">
      <w:pPr>
        <w:pStyle w:val="EndNoteBibliography"/>
        <w:spacing w:after="0"/>
        <w:ind w:left="720" w:hanging="720"/>
        <w:jc w:val="both"/>
      </w:pPr>
      <w:r w:rsidRPr="0028359C">
        <w:t xml:space="preserve">Cook, J.K.A., Darbyshire, J.H. &amp; Peters, R.W. (1976). The use of chicken tracheal organ cultures for the isolation and assay of avian infectious bronchitis virus. </w:t>
      </w:r>
      <w:r w:rsidRPr="0028359C">
        <w:rPr>
          <w:i/>
        </w:rPr>
        <w:t xml:space="preserve">Archives of Virology, </w:t>
      </w:r>
      <w:r w:rsidRPr="0028359C">
        <w:t xml:space="preserve">50, 109-118. </w:t>
      </w:r>
    </w:p>
    <w:p w:rsidR="00FB793A" w:rsidRPr="0028359C" w:rsidRDefault="00FB793A" w:rsidP="00FB793A">
      <w:pPr>
        <w:pStyle w:val="EndNoteBibliography"/>
        <w:spacing w:after="0"/>
        <w:ind w:left="720" w:hanging="720"/>
        <w:jc w:val="both"/>
      </w:pPr>
      <w:r w:rsidRPr="0028359C">
        <w:lastRenderedPageBreak/>
        <w:t xml:space="preserve">Cook, J.K.A., Orbell, S.J., Woods, M.A. &amp; Huggins, M.B. (1996). A survey of the presence of a new infectious bronchitis virus designated 4/91 (793B). </w:t>
      </w:r>
      <w:r w:rsidRPr="0028359C">
        <w:rPr>
          <w:i/>
        </w:rPr>
        <w:t xml:space="preserve">Veterinary Record, </w:t>
      </w:r>
      <w:r w:rsidRPr="0028359C">
        <w:t xml:space="preserve">138, 178-180. </w:t>
      </w:r>
    </w:p>
    <w:p w:rsidR="00FB793A" w:rsidRPr="0028359C" w:rsidRDefault="00FB793A" w:rsidP="00FB793A">
      <w:pPr>
        <w:pStyle w:val="EndNoteBibliography"/>
        <w:spacing w:after="0"/>
        <w:ind w:left="720" w:hanging="720"/>
        <w:jc w:val="both"/>
      </w:pPr>
      <w:r w:rsidRPr="0028359C">
        <w:t xml:space="preserve">Crinion, R.A. &amp; Hofstad, M.S. (1972). Pathogenicity of four serotypes of avian infectious bronchitis virus for the oviduct of young chickens of various ages. </w:t>
      </w:r>
      <w:r w:rsidRPr="0028359C">
        <w:rPr>
          <w:i/>
        </w:rPr>
        <w:t xml:space="preserve">Avian Diseases, </w:t>
      </w:r>
      <w:r w:rsidRPr="0028359C">
        <w:t xml:space="preserve">16, 351-363. </w:t>
      </w:r>
    </w:p>
    <w:p w:rsidR="00FB793A" w:rsidRPr="0028359C" w:rsidRDefault="00FB793A" w:rsidP="00FB793A">
      <w:pPr>
        <w:pStyle w:val="EndNoteBibliography"/>
        <w:spacing w:after="0"/>
        <w:ind w:left="720" w:hanging="720"/>
        <w:jc w:val="both"/>
      </w:pPr>
      <w:r w:rsidRPr="0028359C">
        <w:t xml:space="preserve">Cumming, R.B. (1963). Infectious avian nephrosis (uraemia) in Australia. </w:t>
      </w:r>
      <w:r w:rsidRPr="0028359C">
        <w:rPr>
          <w:i/>
        </w:rPr>
        <w:t xml:space="preserve">Australian Veterinary Journal, </w:t>
      </w:r>
      <w:r w:rsidRPr="0028359C">
        <w:t xml:space="preserve">39, 145-147. </w:t>
      </w:r>
    </w:p>
    <w:p w:rsidR="00FB793A" w:rsidRPr="0028359C" w:rsidRDefault="00FB793A" w:rsidP="00FB793A">
      <w:pPr>
        <w:pStyle w:val="EndNoteBibliography"/>
        <w:spacing w:after="0"/>
        <w:ind w:left="720" w:hanging="720"/>
        <w:jc w:val="both"/>
      </w:pPr>
      <w:r w:rsidRPr="0028359C">
        <w:t xml:space="preserve">Davelaar, F., Kouwenhoven, B. &amp; Burger, A. (1984). Occurrence and significance of infectious bronchitis virus variant strains in egg and broiler production in the Netherlands. </w:t>
      </w:r>
      <w:r w:rsidRPr="0028359C">
        <w:rPr>
          <w:i/>
        </w:rPr>
        <w:t xml:space="preserve">Veterinary Quarterly, </w:t>
      </w:r>
      <w:r w:rsidRPr="0028359C">
        <w:t xml:space="preserve">6, 114-120. </w:t>
      </w:r>
    </w:p>
    <w:p w:rsidR="00FB793A" w:rsidRPr="0028359C" w:rsidRDefault="00FB793A" w:rsidP="00FB793A">
      <w:pPr>
        <w:pStyle w:val="EndNoteBibliography"/>
        <w:spacing w:after="0"/>
        <w:ind w:left="720" w:hanging="720"/>
        <w:jc w:val="both"/>
      </w:pPr>
      <w:r w:rsidRPr="0028359C">
        <w:t xml:space="preserve">De Wit, J., Cook, J.K. &amp; Van der Heijden, H.M. (2011). Infectious bronchitis virus variants: a review of the history, current situation and control measures. </w:t>
      </w:r>
      <w:r w:rsidRPr="0028359C">
        <w:rPr>
          <w:i/>
        </w:rPr>
        <w:t xml:space="preserve">Avian Pathology, </w:t>
      </w:r>
      <w:r w:rsidRPr="0028359C">
        <w:t xml:space="preserve">40, 223-235. </w:t>
      </w:r>
    </w:p>
    <w:p w:rsidR="00FB793A" w:rsidRPr="0028359C" w:rsidRDefault="00FB793A" w:rsidP="00FB793A">
      <w:pPr>
        <w:pStyle w:val="EndNoteBibliography"/>
        <w:spacing w:after="0"/>
        <w:ind w:left="720" w:hanging="720"/>
        <w:jc w:val="both"/>
      </w:pPr>
      <w:r w:rsidRPr="0028359C">
        <w:t xml:space="preserve">Falchieri, M., Lupini, C., Cecchinato, M., Catelli, E., Kontolaimou, M. &amp; Naylor, C.J. (2013). Avian metapneumoviruses expressing Infectious Bronchitis virus genes are stable and induce protection. </w:t>
      </w:r>
      <w:r w:rsidRPr="0028359C">
        <w:rPr>
          <w:i/>
        </w:rPr>
        <w:t xml:space="preserve">Vaccine, </w:t>
      </w:r>
      <w:r w:rsidRPr="0028359C">
        <w:t xml:space="preserve">31, 2565-2571. </w:t>
      </w:r>
    </w:p>
    <w:p w:rsidR="00FB793A" w:rsidRPr="0028359C" w:rsidRDefault="00FB793A" w:rsidP="00FB793A">
      <w:pPr>
        <w:pStyle w:val="EndNoteBibliography"/>
        <w:spacing w:after="0"/>
        <w:ind w:left="720" w:hanging="720"/>
        <w:jc w:val="both"/>
      </w:pPr>
      <w:r w:rsidRPr="0028359C">
        <w:t xml:space="preserve">Fang, S.G., Shen, S., Tay, F.P.L. &amp; Liu, D.X. (2005). Selection of and recombination between minor variants lead to the adaptation of an avian coronavirus to primate cells. </w:t>
      </w:r>
      <w:r w:rsidRPr="0028359C">
        <w:rPr>
          <w:i/>
        </w:rPr>
        <w:t xml:space="preserve">Biochemical and Biophysical Research Communications, </w:t>
      </w:r>
      <w:r w:rsidRPr="0028359C">
        <w:t xml:space="preserve">336, 417-423. </w:t>
      </w:r>
    </w:p>
    <w:p w:rsidR="00FB793A" w:rsidRPr="0028359C" w:rsidRDefault="00FB793A" w:rsidP="00FB793A">
      <w:pPr>
        <w:pStyle w:val="EndNoteBibliography"/>
        <w:spacing w:after="0"/>
        <w:ind w:left="720" w:hanging="720"/>
        <w:jc w:val="both"/>
      </w:pPr>
      <w:r w:rsidRPr="0028359C">
        <w:t xml:space="preserve">Ganapathy, K., Wilkins, M., Forrester, A., Lemiere, S., Cserep, T., McMullin, P. &amp; Jones, R.C. (2012). QX-like infectious bronchitis virus isolated from cases of proventriculitis in commercial broilers in England. </w:t>
      </w:r>
      <w:r w:rsidRPr="0028359C">
        <w:rPr>
          <w:i/>
        </w:rPr>
        <w:t xml:space="preserve">Veterinary Record, </w:t>
      </w:r>
      <w:r w:rsidRPr="0028359C">
        <w:t xml:space="preserve">171, 597. </w:t>
      </w:r>
    </w:p>
    <w:p w:rsidR="00FB793A" w:rsidRPr="0028359C" w:rsidRDefault="00FB793A" w:rsidP="00FB793A">
      <w:pPr>
        <w:pStyle w:val="EndNoteBibliography"/>
        <w:spacing w:after="0"/>
        <w:ind w:left="720" w:hanging="720"/>
        <w:jc w:val="both"/>
      </w:pPr>
      <w:r w:rsidRPr="0028359C">
        <w:t xml:space="preserve">Ganapathy, K., Ball, C. &amp; Forrester, A. (2015). Genotypes of infectious bronchitis viruses circulating in the Middle East between 2009 and 2014. </w:t>
      </w:r>
      <w:r w:rsidRPr="0028359C">
        <w:rPr>
          <w:i/>
        </w:rPr>
        <w:t xml:space="preserve">Virus Research, </w:t>
      </w:r>
      <w:r w:rsidRPr="0028359C">
        <w:t xml:space="preserve">210, 198-204. </w:t>
      </w:r>
    </w:p>
    <w:p w:rsidR="00FB793A" w:rsidRPr="0028359C" w:rsidRDefault="00FB793A" w:rsidP="00FB793A">
      <w:pPr>
        <w:pStyle w:val="EndNoteBibliography"/>
        <w:spacing w:after="0"/>
        <w:ind w:left="720" w:hanging="720"/>
        <w:jc w:val="both"/>
      </w:pPr>
      <w:r w:rsidRPr="0028359C">
        <w:t xml:space="preserve">Gelb, J., Weisman, Y., Ladman, B.S. &amp; Meir, R. (2005). S1 gene characteristics and efficacy of vaccination against infectious bronchitis virus field isolates from the United States and Israel (1996 to 2000). </w:t>
      </w:r>
      <w:r w:rsidRPr="0028359C">
        <w:rPr>
          <w:i/>
        </w:rPr>
        <w:t xml:space="preserve">Avian Pathology, </w:t>
      </w:r>
      <w:r w:rsidRPr="0028359C">
        <w:t xml:space="preserve">34, 194-203. </w:t>
      </w:r>
    </w:p>
    <w:p w:rsidR="00FB793A" w:rsidRPr="0028359C" w:rsidRDefault="00FB793A" w:rsidP="00FB793A">
      <w:pPr>
        <w:pStyle w:val="EndNoteBibliography"/>
        <w:spacing w:after="0"/>
        <w:ind w:left="720" w:hanging="720"/>
        <w:jc w:val="both"/>
      </w:pPr>
      <w:r w:rsidRPr="0028359C">
        <w:t xml:space="preserve">Huang, Y.-P., Lee, H.-C., Cheng, M.-C. &amp; Wang, C.-H. (2004). S1 and N gene analysis of avian infectious bronchitis viruses in Taiwan. </w:t>
      </w:r>
      <w:r w:rsidRPr="0028359C">
        <w:rPr>
          <w:i/>
        </w:rPr>
        <w:t xml:space="preserve">Avian Diseases, </w:t>
      </w:r>
      <w:r w:rsidRPr="0028359C">
        <w:t xml:space="preserve">48, 581-589. </w:t>
      </w:r>
    </w:p>
    <w:p w:rsidR="00FB793A" w:rsidRPr="0028359C" w:rsidRDefault="00FB793A" w:rsidP="00FB793A">
      <w:pPr>
        <w:pStyle w:val="EndNoteBibliography"/>
        <w:spacing w:after="0"/>
        <w:ind w:left="720" w:hanging="720"/>
        <w:jc w:val="both"/>
      </w:pPr>
      <w:r w:rsidRPr="0028359C">
        <w:t xml:space="preserve">Ignjatovic, J. &amp; Sapats, S. (2000). Avian infectious bronchitis virus. </w:t>
      </w:r>
      <w:r w:rsidRPr="0028359C">
        <w:rPr>
          <w:i/>
        </w:rPr>
        <w:t xml:space="preserve">Revue Scientifique et Technique, </w:t>
      </w:r>
      <w:r w:rsidRPr="0028359C">
        <w:t xml:space="preserve">19, 493-508. </w:t>
      </w:r>
    </w:p>
    <w:p w:rsidR="00FB793A" w:rsidRPr="0028359C" w:rsidRDefault="00FB793A" w:rsidP="00FB793A">
      <w:pPr>
        <w:pStyle w:val="EndNoteBibliography"/>
        <w:spacing w:after="0"/>
        <w:ind w:left="720" w:hanging="720"/>
        <w:jc w:val="both"/>
      </w:pPr>
      <w:r w:rsidRPr="0028359C">
        <w:t xml:space="preserve">Jackwood, M.W. (2012). Review of infectious bronchitis virus around the world. </w:t>
      </w:r>
      <w:r w:rsidRPr="0028359C">
        <w:rPr>
          <w:i/>
        </w:rPr>
        <w:t xml:space="preserve">Avian Diseases, </w:t>
      </w:r>
      <w:r w:rsidRPr="0028359C">
        <w:t xml:space="preserve">56, 634-641. </w:t>
      </w:r>
    </w:p>
    <w:p w:rsidR="00FB793A" w:rsidRPr="0028359C" w:rsidRDefault="00FB793A" w:rsidP="00FB793A">
      <w:pPr>
        <w:pStyle w:val="EndNoteBibliography"/>
        <w:spacing w:after="0"/>
        <w:ind w:left="720" w:hanging="720"/>
        <w:jc w:val="both"/>
      </w:pPr>
      <w:r w:rsidRPr="0028359C">
        <w:t xml:space="preserve">Jackwood, M.W. &amp; de Wit, J.J. (2013). Infectious bronchitis. In D.E. Swayne, John R. Glisson, Larry R. McDougald, J.R. Glisson, Lisa K. Nolan, D.L. Suarez &amp; V. Nair (Eds.), </w:t>
      </w:r>
      <w:r w:rsidRPr="0028359C">
        <w:rPr>
          <w:i/>
        </w:rPr>
        <w:t xml:space="preserve">Diseases of poultry </w:t>
      </w:r>
      <w:r w:rsidRPr="0028359C">
        <w:t>13th ed. pp. 139-159). Ames: John Wiley and Sons, Inc.</w:t>
      </w:r>
    </w:p>
    <w:p w:rsidR="00FB793A" w:rsidRPr="0028359C" w:rsidRDefault="00FB793A" w:rsidP="00FB793A">
      <w:pPr>
        <w:pStyle w:val="EndNoteBibliography"/>
        <w:spacing w:after="0"/>
        <w:ind w:left="720" w:hanging="720"/>
        <w:jc w:val="both"/>
      </w:pPr>
      <w:r w:rsidRPr="0028359C">
        <w:t xml:space="preserve">Johnson, M.A., Pooley, C., Ignjatovic, J. &amp; Tyack, S.G. (2003). A recombinant fowl adenovirus expressing the S1 gene of infectious bronchitis virus protects against challenge with infectious bronchitis virus. </w:t>
      </w:r>
      <w:r w:rsidRPr="0028359C">
        <w:rPr>
          <w:i/>
        </w:rPr>
        <w:t xml:space="preserve">Vaccine, </w:t>
      </w:r>
      <w:r w:rsidRPr="0028359C">
        <w:t xml:space="preserve">21, 2730-2736. </w:t>
      </w:r>
    </w:p>
    <w:p w:rsidR="00FB793A" w:rsidRPr="0028359C" w:rsidRDefault="00FB793A" w:rsidP="00FB793A">
      <w:pPr>
        <w:pStyle w:val="EndNoteBibliography"/>
        <w:spacing w:after="0"/>
        <w:ind w:left="720" w:hanging="720"/>
        <w:jc w:val="both"/>
      </w:pPr>
      <w:r w:rsidRPr="0028359C">
        <w:lastRenderedPageBreak/>
        <w:t xml:space="preserve">Jungherr, E.L., Chomiak, T.W. &amp; Luginbuhl, R.E. (1956). Proceedings of the 60th annual meeting of United States Livestock Sanitary Association </w:t>
      </w:r>
      <w:r w:rsidRPr="0028359C">
        <w:rPr>
          <w:i/>
        </w:rPr>
        <w:t>Immunologic Differences In Strains of Infectious Bronchitis</w:t>
      </w:r>
      <w:r w:rsidRPr="0028359C">
        <w:t xml:space="preserve">, 203-209. </w:t>
      </w:r>
    </w:p>
    <w:p w:rsidR="00FB793A" w:rsidRPr="0028359C" w:rsidRDefault="00FB793A" w:rsidP="00FB793A">
      <w:pPr>
        <w:pStyle w:val="EndNoteBibliography"/>
        <w:spacing w:after="0"/>
        <w:ind w:left="720" w:hanging="720"/>
        <w:jc w:val="both"/>
      </w:pPr>
      <w:r w:rsidRPr="0028359C">
        <w:t xml:space="preserve">Kamble, N.M., Pillai, A.S., Gaikwad, S.S., Shukla, S.K., Khulape, S.A., Dey, S. &amp; Mohan, C.M. (2016). Evolutionary and bioinformatic analysis of the spike glycoprotein gene of H120 vaccine strain protectotype of infectious bronchitis virus from India. </w:t>
      </w:r>
      <w:r w:rsidRPr="0028359C">
        <w:rPr>
          <w:i/>
        </w:rPr>
        <w:t xml:space="preserve">Biotechnology and Applied Biochemistry, </w:t>
      </w:r>
      <w:r w:rsidRPr="0028359C">
        <w:t xml:space="preserve">63, 106-112. </w:t>
      </w:r>
    </w:p>
    <w:p w:rsidR="00FB793A" w:rsidRPr="0028359C" w:rsidRDefault="00FB793A" w:rsidP="00FB793A">
      <w:pPr>
        <w:pStyle w:val="EndNoteBibliography"/>
        <w:spacing w:after="0"/>
        <w:ind w:left="720" w:hanging="720"/>
        <w:jc w:val="both"/>
      </w:pPr>
      <w:r w:rsidRPr="0028359C">
        <w:t xml:space="preserve">Kingham, B.F., Keeler, C.L., Jr., Nix, W.A., Ladman, B.S. &amp; Gelb, J., Jr. (2000). Identification of avian infectious bronchitis virus by direct automated cycle sequencing of the S-1 gene. </w:t>
      </w:r>
      <w:r w:rsidRPr="0028359C">
        <w:rPr>
          <w:i/>
        </w:rPr>
        <w:t xml:space="preserve">Avian Diseases, </w:t>
      </w:r>
      <w:r w:rsidRPr="0028359C">
        <w:t xml:space="preserve">44, 325-335. </w:t>
      </w:r>
    </w:p>
    <w:p w:rsidR="00FB793A" w:rsidRPr="0028359C" w:rsidRDefault="00FB793A" w:rsidP="00FB793A">
      <w:pPr>
        <w:pStyle w:val="EndNoteBibliography"/>
        <w:spacing w:after="0"/>
        <w:ind w:left="720" w:hanging="720"/>
        <w:jc w:val="both"/>
      </w:pPr>
      <w:r w:rsidRPr="0028359C">
        <w:t xml:space="preserve">Kuo, S.M., Wang, C.H., Hou, M.H., Huang, Y.P., Kao, H.W. &amp; Su, H.L. (2010). Evolution of infectious bronchitis virus in Taiwan: characterisation of RNA recombination in the nucleocapsid gene. </w:t>
      </w:r>
      <w:r w:rsidRPr="0028359C">
        <w:rPr>
          <w:i/>
        </w:rPr>
        <w:t xml:space="preserve">Veterinary Microbiology, </w:t>
      </w:r>
      <w:r w:rsidRPr="0028359C">
        <w:t xml:space="preserve">144, 293-302. </w:t>
      </w:r>
    </w:p>
    <w:p w:rsidR="00FB793A" w:rsidRPr="0028359C" w:rsidRDefault="00FB793A" w:rsidP="00FB793A">
      <w:pPr>
        <w:pStyle w:val="EndNoteBibliography"/>
        <w:spacing w:after="0"/>
        <w:ind w:left="720" w:hanging="720"/>
        <w:jc w:val="both"/>
      </w:pPr>
      <w:r w:rsidRPr="0028359C">
        <w:t xml:space="preserve">Kwon, H.M., Jackwood, M.W. &amp; Gelb, J., Jr. (1993). Differentiation of infectious bronchitis virus serotypes using polymerase chain reaction and restriction fragment length polymorphism analysis. </w:t>
      </w:r>
      <w:r w:rsidRPr="0028359C">
        <w:rPr>
          <w:i/>
        </w:rPr>
        <w:t xml:space="preserve">Avian Diseases, </w:t>
      </w:r>
      <w:r w:rsidRPr="0028359C">
        <w:t xml:space="preserve">37, 194-202. </w:t>
      </w:r>
    </w:p>
    <w:p w:rsidR="00FB793A" w:rsidRPr="0028359C" w:rsidRDefault="00FB793A" w:rsidP="00FB793A">
      <w:pPr>
        <w:pStyle w:val="EndNoteBibliography"/>
        <w:spacing w:after="0"/>
        <w:ind w:left="720" w:hanging="720"/>
        <w:jc w:val="both"/>
      </w:pPr>
      <w:r w:rsidRPr="0028359C">
        <w:t xml:space="preserve">Ladman, B.S., Loupos, A.B. &amp; Gelb, J., Jr. (2006). Infectious bronchitis virus S1 gene sequence comparison is a better predictor of challenge of immunity in chickens than serotyping by virus neutralization. </w:t>
      </w:r>
      <w:r w:rsidRPr="0028359C">
        <w:rPr>
          <w:i/>
        </w:rPr>
        <w:t xml:space="preserve">Avian Pathology, </w:t>
      </w:r>
      <w:r w:rsidRPr="0028359C">
        <w:t xml:space="preserve">35, 127-133. </w:t>
      </w:r>
    </w:p>
    <w:p w:rsidR="00FB793A" w:rsidRPr="0028359C" w:rsidRDefault="00FB793A" w:rsidP="00FB793A">
      <w:pPr>
        <w:pStyle w:val="EndNoteBibliography"/>
        <w:spacing w:after="0"/>
        <w:ind w:left="720" w:hanging="720"/>
        <w:jc w:val="both"/>
      </w:pPr>
      <w:r w:rsidRPr="0028359C">
        <w:t xml:space="preserve">Mahmood, Z.H., Sleman, R.R. &amp; Uthman, A.U. (2011). Isolation and molecular characterization of Sul/01/09 avian infectious bronchitis virus, indicates the emergence of a new genotype in the Middle East. </w:t>
      </w:r>
      <w:r w:rsidRPr="0028359C">
        <w:rPr>
          <w:i/>
        </w:rPr>
        <w:t xml:space="preserve">Veterinary Microbiology, </w:t>
      </w:r>
      <w:r w:rsidRPr="0028359C">
        <w:t xml:space="preserve">150, 21-27. </w:t>
      </w:r>
    </w:p>
    <w:p w:rsidR="00FB793A" w:rsidRPr="0028359C" w:rsidRDefault="00FB793A" w:rsidP="00FB793A">
      <w:pPr>
        <w:pStyle w:val="EndNoteBibliography"/>
        <w:spacing w:after="0"/>
        <w:ind w:left="720" w:hanging="720"/>
        <w:jc w:val="both"/>
      </w:pPr>
      <w:r w:rsidRPr="0028359C">
        <w:t xml:space="preserve">Meir, R., Rosenblut, E., Perl, S., Kass, N., Ayali, G., Perk, S. &amp; Hemsani, E. (2004). Identification of a novel nephropathogenic infectious bronchitis virus in Israel. </w:t>
      </w:r>
      <w:r w:rsidRPr="0028359C">
        <w:rPr>
          <w:i/>
        </w:rPr>
        <w:t xml:space="preserve">Avian Diseases, </w:t>
      </w:r>
      <w:r w:rsidRPr="0028359C">
        <w:t xml:space="preserve">48, 635-641. </w:t>
      </w:r>
    </w:p>
    <w:p w:rsidR="00FB793A" w:rsidRPr="0028359C" w:rsidRDefault="00FB793A" w:rsidP="00FB793A">
      <w:pPr>
        <w:pStyle w:val="EndNoteBibliography"/>
        <w:spacing w:after="0"/>
        <w:ind w:left="720" w:hanging="720"/>
        <w:jc w:val="both"/>
      </w:pPr>
      <w:r w:rsidRPr="0028359C">
        <w:t xml:space="preserve">Mo, M.L., Li, M., Huang, B.C., Fan, W.S., Wei, P., Wei, T.C., Cheng, Q.Y., Wei, Z.J. &amp; Lang, Y.H. (2013). Molecular characterization of major structural protein genes of avian coronavirus infectious bronchitis virus isolates in southern china. </w:t>
      </w:r>
      <w:r w:rsidRPr="0028359C">
        <w:rPr>
          <w:i/>
        </w:rPr>
        <w:t xml:space="preserve">Viruses, </w:t>
      </w:r>
      <w:r w:rsidRPr="0028359C">
        <w:t xml:space="preserve">5, 3007-3020. </w:t>
      </w:r>
    </w:p>
    <w:p w:rsidR="00FB793A" w:rsidRPr="0028359C" w:rsidRDefault="00FB793A" w:rsidP="00FB793A">
      <w:pPr>
        <w:pStyle w:val="EndNoteBibliography"/>
        <w:spacing w:after="0"/>
        <w:ind w:left="720" w:hanging="720"/>
        <w:jc w:val="both"/>
      </w:pPr>
      <w:r w:rsidRPr="0028359C">
        <w:t xml:space="preserve">Moscoso, H., Raybon, E.O., Thayer, S.G. &amp; Hofacre, C.L. (2005). Molecular detection and serotyping of infectious bronchitis virus from FTA filter paper. </w:t>
      </w:r>
      <w:r w:rsidRPr="0028359C">
        <w:rPr>
          <w:i/>
        </w:rPr>
        <w:t xml:space="preserve">Avian Diseases, </w:t>
      </w:r>
      <w:r w:rsidRPr="0028359C">
        <w:t xml:space="preserve">49, 24-29. </w:t>
      </w:r>
    </w:p>
    <w:p w:rsidR="00FB793A" w:rsidRPr="0028359C" w:rsidRDefault="00FB793A" w:rsidP="00FB793A">
      <w:pPr>
        <w:pStyle w:val="EndNoteBibliography"/>
        <w:spacing w:after="0"/>
        <w:ind w:left="720" w:hanging="720"/>
        <w:jc w:val="both"/>
      </w:pPr>
      <w:r w:rsidRPr="0028359C">
        <w:t xml:space="preserve">Muneer, M.A., Chaudhry, K.M. &amp; Khawaja, K.N. (2000). Losses due to infectious bronchitis virus infection in laying and breeding hens. </w:t>
      </w:r>
      <w:r w:rsidRPr="0028359C">
        <w:rPr>
          <w:i/>
        </w:rPr>
        <w:t xml:space="preserve">Pakistan veterinary journal., </w:t>
      </w:r>
      <w:r w:rsidRPr="0028359C">
        <w:t xml:space="preserve">20, 64-70. </w:t>
      </w:r>
    </w:p>
    <w:p w:rsidR="00FB793A" w:rsidRPr="0028359C" w:rsidRDefault="00FB793A" w:rsidP="00FB793A">
      <w:pPr>
        <w:pStyle w:val="EndNoteBibliography"/>
        <w:spacing w:after="0"/>
        <w:ind w:left="720" w:hanging="720"/>
        <w:jc w:val="both"/>
      </w:pPr>
      <w:r w:rsidRPr="0028359C">
        <w:t xml:space="preserve">Parsons, D., Ellis, M.M., Cavanagh, D. &amp; Cook, J.K. (1992). Characterisation of an infectious bronchitis virus isolated from vaccinated broiler breeder flocks. </w:t>
      </w:r>
      <w:r w:rsidRPr="0028359C">
        <w:rPr>
          <w:i/>
        </w:rPr>
        <w:t xml:space="preserve">Veterinary Record, </w:t>
      </w:r>
      <w:r w:rsidRPr="0028359C">
        <w:t xml:space="preserve">131, 408-411. </w:t>
      </w:r>
    </w:p>
    <w:p w:rsidR="00FB793A" w:rsidRPr="0028359C" w:rsidRDefault="00FB793A" w:rsidP="00FB793A">
      <w:pPr>
        <w:pStyle w:val="EndNoteBibliography"/>
        <w:spacing w:after="0"/>
        <w:ind w:left="720" w:hanging="720"/>
        <w:jc w:val="both"/>
      </w:pPr>
      <w:r w:rsidRPr="0028359C">
        <w:t xml:space="preserve">Pohuang, T., Chansiripornchai, N., Tawatsin, A. &amp; Sasipreeyajan, J. (2011). Sequence analysis of S1 genes of infectious bronchitis virus isolated in Thailand during 2008-2009: identification of natural recombination in the field isolates. </w:t>
      </w:r>
      <w:r w:rsidRPr="0028359C">
        <w:rPr>
          <w:i/>
        </w:rPr>
        <w:t xml:space="preserve">Virus Genes, </w:t>
      </w:r>
      <w:r w:rsidRPr="0028359C">
        <w:t xml:space="preserve">43, 254-260. </w:t>
      </w:r>
    </w:p>
    <w:p w:rsidR="00FB793A" w:rsidRPr="0028359C" w:rsidRDefault="00FB793A" w:rsidP="00FB793A">
      <w:pPr>
        <w:pStyle w:val="EndNoteBibliography"/>
        <w:spacing w:after="0"/>
        <w:ind w:left="720" w:hanging="720"/>
        <w:jc w:val="both"/>
      </w:pPr>
      <w:r w:rsidRPr="0028359C">
        <w:lastRenderedPageBreak/>
        <w:t xml:space="preserve">Sakai, T., Ishii, A., Segawa, T., Takagi, Y., Kobayashi, Y. &amp; Itou, T. (2015). Establishing conditions for the storage and elution of rabies virus RNA using FTA((R)) cards. </w:t>
      </w:r>
      <w:r w:rsidRPr="0028359C">
        <w:rPr>
          <w:i/>
        </w:rPr>
        <w:t xml:space="preserve">Journal of Veterinary Medical Science, </w:t>
      </w:r>
      <w:r w:rsidRPr="0028359C">
        <w:t xml:space="preserve">77, 461-465. </w:t>
      </w:r>
    </w:p>
    <w:p w:rsidR="00FB793A" w:rsidRPr="0028359C" w:rsidRDefault="00FB793A" w:rsidP="00FB793A">
      <w:pPr>
        <w:pStyle w:val="EndNoteBibliography"/>
        <w:spacing w:after="0"/>
        <w:ind w:left="720" w:hanging="720"/>
        <w:jc w:val="both"/>
      </w:pPr>
      <w:r w:rsidRPr="0028359C">
        <w:t xml:space="preserve">Tamura, K., Stecher, G., Peterson, D., Filipski, A. &amp; Kumar, S. (2013). MEGA6: Molecular Evolutionary Genetics Analysis version 6.0. </w:t>
      </w:r>
      <w:r w:rsidRPr="0028359C">
        <w:rPr>
          <w:i/>
        </w:rPr>
        <w:t xml:space="preserve">Molecular Biology and Evolution, </w:t>
      </w:r>
      <w:r w:rsidRPr="0028359C">
        <w:t xml:space="preserve">30, 2725-2729. </w:t>
      </w:r>
    </w:p>
    <w:p w:rsidR="00FB793A" w:rsidRPr="0028359C" w:rsidRDefault="00FB793A" w:rsidP="00FB793A">
      <w:pPr>
        <w:pStyle w:val="EndNoteBibliography"/>
        <w:spacing w:after="0"/>
        <w:ind w:left="720" w:hanging="720"/>
        <w:jc w:val="both"/>
      </w:pPr>
      <w:r w:rsidRPr="0028359C">
        <w:t xml:space="preserve">Toffan, A., Bonci, M., Bano, L., Bano, L., Valastro, V., Vascellari, M., Capua, I. &amp; Terregino, C. (2013). Diagnostic and clinical observation on the infectious bronchitis virus strain Q1 in Italy. </w:t>
      </w:r>
      <w:r w:rsidRPr="0028359C">
        <w:rPr>
          <w:i/>
        </w:rPr>
        <w:t xml:space="preserve">Veterinaria Italiana, </w:t>
      </w:r>
      <w:r w:rsidRPr="0028359C">
        <w:t xml:space="preserve">49, 347-355. </w:t>
      </w:r>
    </w:p>
    <w:p w:rsidR="00FB793A" w:rsidRPr="0028359C" w:rsidRDefault="00FB793A" w:rsidP="00FB793A">
      <w:pPr>
        <w:pStyle w:val="EndNoteBibliography"/>
        <w:spacing w:after="0"/>
        <w:ind w:left="720" w:hanging="720"/>
        <w:jc w:val="both"/>
      </w:pPr>
      <w:r w:rsidRPr="0028359C">
        <w:t xml:space="preserve">Valastro, V., Holmes, E.C., Britton, P., Fusaro, A., Jackwood, M.W., Cattoli, G. &amp; Monne, I. (2016). S1 gene-based phylogeny of infectious bronchitis virus: An attempt to harmonize virus classification. </w:t>
      </w:r>
      <w:r w:rsidRPr="0028359C">
        <w:rPr>
          <w:i/>
        </w:rPr>
        <w:t xml:space="preserve">Infection, Genetics and Evolution, </w:t>
      </w:r>
      <w:r w:rsidRPr="0028359C">
        <w:t xml:space="preserve">39, 349-364. </w:t>
      </w:r>
    </w:p>
    <w:p w:rsidR="00FB793A" w:rsidRPr="0028359C" w:rsidRDefault="00FB793A" w:rsidP="00FB793A">
      <w:pPr>
        <w:pStyle w:val="EndNoteBibliography"/>
        <w:spacing w:after="0"/>
        <w:ind w:left="720" w:hanging="720"/>
        <w:jc w:val="both"/>
      </w:pPr>
      <w:r w:rsidRPr="0028359C">
        <w:t xml:space="preserve">Wang, C.H. &amp; Tsai, C.T. (1996). Genetic grouping for the isolates of avian infectious bronchitis virus in Taiwan. </w:t>
      </w:r>
      <w:r w:rsidRPr="0028359C">
        <w:rPr>
          <w:i/>
        </w:rPr>
        <w:t xml:space="preserve">Archives of Virology, </w:t>
      </w:r>
      <w:r w:rsidRPr="0028359C">
        <w:t xml:space="preserve">141, 1677-1688. </w:t>
      </w:r>
    </w:p>
    <w:p w:rsidR="00FB793A" w:rsidRDefault="00FB793A" w:rsidP="00FB793A">
      <w:pPr>
        <w:pStyle w:val="EndNoteBibliography"/>
        <w:spacing w:after="0"/>
        <w:ind w:left="720" w:hanging="720"/>
        <w:jc w:val="both"/>
      </w:pPr>
      <w:r w:rsidRPr="0028359C">
        <w:t xml:space="preserve">Wang, C.H. &amp; Huang, Y.C. (2000). Relationship between serotypes and genotypes based on the hypervariable region of the S1 gene of infectious bronchitis virus. </w:t>
      </w:r>
      <w:r w:rsidRPr="0028359C">
        <w:rPr>
          <w:i/>
        </w:rPr>
        <w:t xml:space="preserve">Archives of Virology, </w:t>
      </w:r>
      <w:r w:rsidRPr="0028359C">
        <w:t xml:space="preserve">145, 291-300. </w:t>
      </w:r>
    </w:p>
    <w:p w:rsidR="00B41896" w:rsidRPr="00B41896" w:rsidRDefault="00B41896" w:rsidP="00B41896">
      <w:pPr>
        <w:spacing w:after="0" w:line="240" w:lineRule="auto"/>
        <w:ind w:left="720" w:hanging="720"/>
        <w:rPr>
          <w:rFonts w:ascii="Arial" w:eastAsia="Times New Roman" w:hAnsi="Arial" w:cs="Arial"/>
          <w:color w:val="000000"/>
          <w:sz w:val="20"/>
          <w:szCs w:val="20"/>
        </w:rPr>
      </w:pPr>
      <w:r w:rsidRPr="00C573D8">
        <w:rPr>
          <w:rFonts w:ascii="Arial" w:eastAsia="Times New Roman" w:hAnsi="Arial" w:cs="Arial"/>
          <w:color w:val="000000"/>
          <w:sz w:val="20"/>
          <w:szCs w:val="20"/>
        </w:rPr>
        <w:t xml:space="preserve">Williams, A.K., Wang, L., Sneed, L.W. &amp; Collisson, E.W. (1992). Comparative analyses of the nucleocapsid genes of several strains of infectious bronchitis virus and other coronaviruses. </w:t>
      </w:r>
      <w:r w:rsidRPr="00C573D8">
        <w:rPr>
          <w:rFonts w:ascii="Arial" w:eastAsia="Times New Roman" w:hAnsi="Arial" w:cs="Arial"/>
          <w:i/>
          <w:iCs/>
          <w:color w:val="000000"/>
          <w:sz w:val="20"/>
          <w:szCs w:val="20"/>
        </w:rPr>
        <w:t xml:space="preserve">Virus Research, </w:t>
      </w:r>
      <w:r>
        <w:rPr>
          <w:rFonts w:ascii="Arial" w:eastAsia="Times New Roman" w:hAnsi="Arial" w:cs="Arial"/>
          <w:iCs/>
          <w:color w:val="000000"/>
          <w:sz w:val="20"/>
          <w:szCs w:val="20"/>
        </w:rPr>
        <w:t xml:space="preserve">3, </w:t>
      </w:r>
      <w:r w:rsidRPr="00C573D8">
        <w:rPr>
          <w:rFonts w:ascii="Arial" w:eastAsia="Times New Roman" w:hAnsi="Arial" w:cs="Arial"/>
          <w:color w:val="000000"/>
          <w:sz w:val="20"/>
          <w:szCs w:val="20"/>
        </w:rPr>
        <w:t>213-222.</w:t>
      </w:r>
    </w:p>
    <w:p w:rsidR="00FB793A" w:rsidRPr="0028359C" w:rsidRDefault="00FB793A" w:rsidP="00FB793A">
      <w:pPr>
        <w:pStyle w:val="EndNoteBibliography"/>
        <w:spacing w:after="0"/>
        <w:ind w:left="720" w:hanging="720"/>
        <w:jc w:val="both"/>
      </w:pPr>
      <w:r w:rsidRPr="0028359C">
        <w:t xml:space="preserve">Worthington, K.J., Currie, R.J. &amp; Jones, R.C. (2008). A reverse transcriptase-polymerase chain reaction survey of infectious bronchitis virus genotypes in Western Europe from 2002 to 2006. </w:t>
      </w:r>
      <w:r w:rsidRPr="0028359C">
        <w:rPr>
          <w:i/>
        </w:rPr>
        <w:t xml:space="preserve">Avian Pathology, </w:t>
      </w:r>
      <w:r w:rsidRPr="0028359C">
        <w:t xml:space="preserve">37, 247-257. </w:t>
      </w:r>
    </w:p>
    <w:p w:rsidR="00FB793A" w:rsidRPr="0028359C" w:rsidRDefault="00FB793A" w:rsidP="00FB793A">
      <w:pPr>
        <w:pStyle w:val="EndNoteBibliography"/>
        <w:spacing w:after="0"/>
        <w:ind w:left="720" w:hanging="720"/>
        <w:jc w:val="both"/>
      </w:pPr>
      <w:r w:rsidRPr="0028359C">
        <w:t xml:space="preserve">Yu, L., Wang, Z., Jiang, Y., Low, S. &amp; Kwang, J. (2001). Molecular epidemiology of infectious bronchitis virus isolates from China and Southeast Asia. </w:t>
      </w:r>
      <w:r w:rsidRPr="0028359C">
        <w:rPr>
          <w:i/>
        </w:rPr>
        <w:t xml:space="preserve">Avian Diseases, </w:t>
      </w:r>
      <w:r w:rsidRPr="0028359C">
        <w:t xml:space="preserve">45, 201-209. </w:t>
      </w:r>
    </w:p>
    <w:p w:rsidR="00FB793A" w:rsidRPr="0028359C" w:rsidRDefault="00FB793A" w:rsidP="00FB793A">
      <w:pPr>
        <w:pStyle w:val="EndNoteBibliography"/>
        <w:ind w:left="720" w:hanging="720"/>
        <w:jc w:val="both"/>
      </w:pPr>
      <w:r w:rsidRPr="0028359C">
        <w:t xml:space="preserve">Zhang, T., Han, Z., Xu, Q., Wang, Q., Gao, M., Wu, W., Shao, Y., Li, H., Kong, X. &amp; Liu, S. (2015). Serotype shift of a 793/B genotype infectious bronchitis coronavirus by natural recombination. </w:t>
      </w:r>
      <w:r w:rsidRPr="0028359C">
        <w:rPr>
          <w:i/>
        </w:rPr>
        <w:t xml:space="preserve">Infection, Genetics and Evolution, </w:t>
      </w:r>
      <w:r w:rsidRPr="0028359C">
        <w:t xml:space="preserve">32, 377-387. </w:t>
      </w:r>
    </w:p>
    <w:p w:rsidR="00C573D8" w:rsidRPr="00C573D8" w:rsidRDefault="00FB793A" w:rsidP="00FB793A">
      <w:pPr>
        <w:spacing w:after="0" w:line="240" w:lineRule="auto"/>
        <w:rPr>
          <w:rFonts w:ascii="Arial" w:eastAsia="Times New Roman" w:hAnsi="Arial" w:cs="Arial"/>
          <w:sz w:val="20"/>
          <w:szCs w:val="20"/>
        </w:rPr>
      </w:pPr>
      <w:r>
        <w:rPr>
          <w:rFonts w:ascii="Arial" w:hAnsi="Arial" w:cs="Arial"/>
          <w:sz w:val="20"/>
          <w:szCs w:val="20"/>
        </w:rPr>
        <w:fldChar w:fldCharType="end"/>
      </w:r>
      <w:r w:rsidR="00C573D8" w:rsidRPr="00C573D8">
        <w:rPr>
          <w:rFonts w:ascii="Arial" w:eastAsia="Times New Roman" w:hAnsi="Arial" w:cs="Arial"/>
          <w:color w:val="000000"/>
          <w:sz w:val="20"/>
          <w:szCs w:val="20"/>
        </w:rPr>
        <w:br w:type="page"/>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lastRenderedPageBreak/>
        <w:t>Table 1.</w:t>
      </w:r>
      <w:r w:rsidRPr="00C573D8">
        <w:rPr>
          <w:rFonts w:ascii="Arial" w:eastAsia="Times New Roman" w:hAnsi="Arial" w:cs="Arial"/>
          <w:color w:val="000000"/>
          <w:sz w:val="20"/>
          <w:szCs w:val="20"/>
        </w:rPr>
        <w:t xml:space="preserve"> Primers used for amplification and sequencing of IBV strains in this study.</w:t>
      </w:r>
    </w:p>
    <w:tbl>
      <w:tblPr>
        <w:tblW w:w="11205" w:type="dxa"/>
        <w:jc w:val="center"/>
        <w:tblCellMar>
          <w:left w:w="0" w:type="dxa"/>
          <w:right w:w="0" w:type="dxa"/>
        </w:tblCellMar>
        <w:tblLook w:val="04A0" w:firstRow="1" w:lastRow="0" w:firstColumn="1" w:lastColumn="0" w:noHBand="0" w:noVBand="1"/>
      </w:tblPr>
      <w:tblGrid>
        <w:gridCol w:w="1843"/>
        <w:gridCol w:w="4760"/>
        <w:gridCol w:w="806"/>
        <w:gridCol w:w="1028"/>
        <w:gridCol w:w="1050"/>
        <w:gridCol w:w="1985"/>
      </w:tblGrid>
      <w:tr w:rsidR="00C573D8" w:rsidRPr="00C573D8" w:rsidTr="00C573D8">
        <w:trPr>
          <w:trHeight w:val="293"/>
          <w:jc w:val="center"/>
        </w:trPr>
        <w:tc>
          <w:tcPr>
            <w:tcW w:w="1843"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Oligonucleotide</w:t>
            </w:r>
          </w:p>
        </w:tc>
        <w:tc>
          <w:tcPr>
            <w:tcW w:w="4134"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Sequence (</w:t>
            </w:r>
            <w:r w:rsidRPr="00C573D8">
              <w:rPr>
                <w:rFonts w:ascii="Arial" w:eastAsia="Times New Roman" w:hAnsi="Arial" w:cs="Arial"/>
                <w:b/>
                <w:bCs/>
                <w:sz w:val="20"/>
                <w:szCs w:val="20"/>
              </w:rPr>
              <w:t>5’-3’)</w:t>
            </w:r>
          </w:p>
        </w:tc>
        <w:tc>
          <w:tcPr>
            <w:tcW w:w="579"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Sense</w:t>
            </w:r>
          </w:p>
        </w:tc>
        <w:tc>
          <w:tcPr>
            <w:tcW w:w="1028"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Length</w:t>
            </w:r>
          </w:p>
        </w:tc>
        <w:tc>
          <w:tcPr>
            <w:tcW w:w="850"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Location (kb)</w:t>
            </w:r>
          </w:p>
        </w:tc>
        <w:tc>
          <w:tcPr>
            <w:tcW w:w="1985"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Reference</w:t>
            </w:r>
          </w:p>
        </w:tc>
      </w:tr>
      <w:tr w:rsidR="00C573D8" w:rsidRPr="00C573D8" w:rsidTr="00C573D8">
        <w:trPr>
          <w:trHeight w:val="537"/>
          <w:jc w:val="center"/>
        </w:trPr>
        <w:tc>
          <w:tcPr>
            <w:tcW w:w="1843"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Primer A</w:t>
            </w:r>
          </w:p>
        </w:tc>
        <w:tc>
          <w:tcPr>
            <w:tcW w:w="4134"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GCCAGTTGTTAATTTGAAAAC</w:t>
            </w:r>
          </w:p>
        </w:tc>
        <w:tc>
          <w:tcPr>
            <w:tcW w:w="579" w:type="dxa"/>
            <w:tcBorders>
              <w:top w:val="nil"/>
              <w:left w:val="nil"/>
              <w:bottom w:val="nil"/>
              <w:right w:val="nil"/>
            </w:tcBorders>
            <w:tcMar>
              <w:top w:w="0" w:type="dxa"/>
              <w:left w:w="108" w:type="dxa"/>
              <w:bottom w:w="0" w:type="dxa"/>
              <w:right w:w="108" w:type="dxa"/>
            </w:tcMar>
            <w:hideMark/>
          </w:tcPr>
          <w:p w:rsidR="00C573D8" w:rsidRPr="002B6E20" w:rsidRDefault="00C573D8" w:rsidP="00C573D8">
            <w:pPr>
              <w:spacing w:after="0" w:line="240" w:lineRule="auto"/>
              <w:jc w:val="center"/>
              <w:rPr>
                <w:rFonts w:ascii="Arial" w:eastAsia="Times New Roman" w:hAnsi="Arial" w:cs="Arial"/>
                <w:sz w:val="20"/>
                <w:szCs w:val="20"/>
                <w:vertAlign w:val="superscript"/>
              </w:rPr>
            </w:pPr>
            <w:r w:rsidRPr="00C573D8">
              <w:rPr>
                <w:rFonts w:ascii="Arial" w:eastAsia="Times New Roman" w:hAnsi="Arial" w:cs="Arial"/>
                <w:color w:val="000000"/>
                <w:sz w:val="20"/>
                <w:szCs w:val="20"/>
              </w:rPr>
              <w:t>F</w:t>
            </w:r>
            <w:r w:rsidR="00EE7E69">
              <w:rPr>
                <w:rFonts w:ascii="Arial" w:eastAsia="Times New Roman" w:hAnsi="Arial" w:cs="Arial"/>
                <w:color w:val="000000"/>
                <w:sz w:val="20"/>
                <w:szCs w:val="20"/>
                <w:vertAlign w:val="superscript"/>
              </w:rPr>
              <w:t>a</w:t>
            </w:r>
          </w:p>
        </w:tc>
        <w:tc>
          <w:tcPr>
            <w:tcW w:w="1028"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19</w:t>
            </w:r>
          </w:p>
        </w:tc>
        <w:tc>
          <w:tcPr>
            <w:tcW w:w="850" w:type="dxa"/>
            <w:tcBorders>
              <w:top w:val="nil"/>
              <w:left w:val="nil"/>
              <w:bottom w:val="nil"/>
              <w:right w:val="nil"/>
            </w:tcBorders>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 xml:space="preserve">20.25 </w:t>
            </w:r>
          </w:p>
        </w:tc>
        <w:tc>
          <w:tcPr>
            <w:tcW w:w="1985"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roofErr w:type="spellStart"/>
            <w:r w:rsidRPr="00C573D8">
              <w:rPr>
                <w:rFonts w:ascii="Arial" w:eastAsia="Times New Roman" w:hAnsi="Arial" w:cs="Arial"/>
                <w:color w:val="000000"/>
                <w:sz w:val="20"/>
                <w:szCs w:val="20"/>
              </w:rPr>
              <w:t>Pohuang</w:t>
            </w:r>
            <w:proofErr w:type="spellEnd"/>
            <w:r w:rsidRPr="00C573D8">
              <w:rPr>
                <w:rFonts w:ascii="Arial" w:eastAsia="Times New Roman" w:hAnsi="Arial" w:cs="Arial"/>
                <w:color w:val="000000"/>
                <w:sz w:val="20"/>
                <w:szCs w:val="20"/>
              </w:rPr>
              <w:t xml:space="preserve">, </w:t>
            </w:r>
          </w:p>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et al., 2011)</w:t>
            </w:r>
          </w:p>
        </w:tc>
      </w:tr>
      <w:tr w:rsidR="00C573D8" w:rsidRPr="00C573D8" w:rsidTr="00C573D8">
        <w:trPr>
          <w:trHeight w:val="537"/>
          <w:jc w:val="center"/>
        </w:trPr>
        <w:tc>
          <w:tcPr>
            <w:tcW w:w="1843"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Primer 22.51</w:t>
            </w:r>
          </w:p>
        </w:tc>
        <w:tc>
          <w:tcPr>
            <w:tcW w:w="4134"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GAACGTCTAAAACGACGTGTTCC</w:t>
            </w:r>
          </w:p>
        </w:tc>
        <w:tc>
          <w:tcPr>
            <w:tcW w:w="579" w:type="dxa"/>
            <w:tcBorders>
              <w:top w:val="nil"/>
              <w:left w:val="nil"/>
              <w:bottom w:val="nil"/>
              <w:right w:val="nil"/>
            </w:tcBorders>
            <w:tcMar>
              <w:top w:w="0" w:type="dxa"/>
              <w:left w:w="108" w:type="dxa"/>
              <w:bottom w:w="0" w:type="dxa"/>
              <w:right w:w="108" w:type="dxa"/>
            </w:tcMar>
            <w:hideMark/>
          </w:tcPr>
          <w:p w:rsidR="00C573D8" w:rsidRPr="002B6E20" w:rsidRDefault="00C573D8" w:rsidP="00C573D8">
            <w:pPr>
              <w:spacing w:after="0" w:line="240" w:lineRule="auto"/>
              <w:jc w:val="center"/>
              <w:rPr>
                <w:rFonts w:ascii="Arial" w:eastAsia="Times New Roman" w:hAnsi="Arial" w:cs="Arial"/>
                <w:sz w:val="20"/>
                <w:szCs w:val="20"/>
                <w:vertAlign w:val="superscript"/>
              </w:rPr>
            </w:pPr>
            <w:r w:rsidRPr="00C573D8">
              <w:rPr>
                <w:rFonts w:ascii="Arial" w:eastAsia="Times New Roman" w:hAnsi="Arial" w:cs="Arial"/>
                <w:color w:val="000000"/>
                <w:sz w:val="20"/>
                <w:szCs w:val="20"/>
              </w:rPr>
              <w:t>R</w:t>
            </w:r>
            <w:r w:rsidR="00EE7E69">
              <w:rPr>
                <w:rFonts w:ascii="Arial" w:eastAsia="Times New Roman" w:hAnsi="Arial" w:cs="Arial"/>
                <w:color w:val="000000"/>
                <w:sz w:val="20"/>
                <w:szCs w:val="20"/>
                <w:vertAlign w:val="superscript"/>
              </w:rPr>
              <w:t>b</w:t>
            </w:r>
          </w:p>
        </w:tc>
        <w:tc>
          <w:tcPr>
            <w:tcW w:w="1028"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23</w:t>
            </w:r>
          </w:p>
        </w:tc>
        <w:tc>
          <w:tcPr>
            <w:tcW w:w="850" w:type="dxa"/>
            <w:tcBorders>
              <w:top w:val="nil"/>
              <w:left w:val="nil"/>
              <w:bottom w:val="nil"/>
              <w:right w:val="nil"/>
            </w:tcBorders>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xml:space="preserve">22.51 </w:t>
            </w:r>
          </w:p>
        </w:tc>
        <w:tc>
          <w:tcPr>
            <w:tcW w:w="1985"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xml:space="preserve">In </w:t>
            </w:r>
          </w:p>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house</w:t>
            </w:r>
          </w:p>
        </w:tc>
      </w:tr>
      <w:tr w:rsidR="00C573D8" w:rsidRPr="00C573D8" w:rsidTr="00C573D8">
        <w:trPr>
          <w:trHeight w:val="537"/>
          <w:jc w:val="center"/>
        </w:trPr>
        <w:tc>
          <w:tcPr>
            <w:tcW w:w="1843"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1050+</w:t>
            </w:r>
          </w:p>
        </w:tc>
        <w:tc>
          <w:tcPr>
            <w:tcW w:w="4134"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GGTTTAATTCCTTGTCAGTTTCTCTTACTTATGG</w:t>
            </w:r>
          </w:p>
        </w:tc>
        <w:tc>
          <w:tcPr>
            <w:tcW w:w="579" w:type="dxa"/>
            <w:tcBorders>
              <w:top w:val="nil"/>
              <w:left w:val="nil"/>
              <w:bottom w:val="nil"/>
              <w:right w:val="nil"/>
            </w:tcBorders>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F</w:t>
            </w:r>
          </w:p>
        </w:tc>
        <w:tc>
          <w:tcPr>
            <w:tcW w:w="1028"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34</w:t>
            </w:r>
          </w:p>
        </w:tc>
        <w:tc>
          <w:tcPr>
            <w:tcW w:w="850" w:type="dxa"/>
            <w:tcBorders>
              <w:top w:val="nil"/>
              <w:left w:val="nil"/>
              <w:bottom w:val="nil"/>
              <w:right w:val="nil"/>
            </w:tcBorders>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xml:space="preserve">21.36 </w:t>
            </w:r>
          </w:p>
        </w:tc>
        <w:tc>
          <w:tcPr>
            <w:tcW w:w="1985"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roofErr w:type="spellStart"/>
            <w:r w:rsidRPr="00C573D8">
              <w:rPr>
                <w:rFonts w:ascii="Arial" w:eastAsia="Times New Roman" w:hAnsi="Arial" w:cs="Arial"/>
                <w:color w:val="000000"/>
                <w:sz w:val="20"/>
                <w:szCs w:val="20"/>
              </w:rPr>
              <w:t>Falchieri</w:t>
            </w:r>
            <w:proofErr w:type="spellEnd"/>
            <w:r w:rsidRPr="00C573D8">
              <w:rPr>
                <w:rFonts w:ascii="Arial" w:eastAsia="Times New Roman" w:hAnsi="Arial" w:cs="Arial"/>
                <w:color w:val="000000"/>
                <w:sz w:val="20"/>
                <w:szCs w:val="20"/>
              </w:rPr>
              <w:t xml:space="preserve">, </w:t>
            </w:r>
          </w:p>
          <w:p w:rsidR="00C573D8" w:rsidRPr="00C573D8" w:rsidRDefault="00C573D8" w:rsidP="00C573D8">
            <w:pPr>
              <w:spacing w:after="0" w:line="240" w:lineRule="auto"/>
              <w:jc w:val="center"/>
              <w:rPr>
                <w:rFonts w:ascii="Arial" w:eastAsia="Times New Roman" w:hAnsi="Arial" w:cs="Arial"/>
                <w:sz w:val="20"/>
                <w:szCs w:val="20"/>
              </w:rPr>
            </w:pPr>
            <w:proofErr w:type="spellStart"/>
            <w:r w:rsidRPr="00C573D8">
              <w:rPr>
                <w:rFonts w:ascii="Arial" w:eastAsia="Times New Roman" w:hAnsi="Arial" w:cs="Arial"/>
                <w:color w:val="000000"/>
                <w:sz w:val="20"/>
                <w:szCs w:val="20"/>
              </w:rPr>
              <w:t>etal</w:t>
            </w:r>
            <w:proofErr w:type="spellEnd"/>
            <w:r w:rsidRPr="00C573D8">
              <w:rPr>
                <w:rFonts w:ascii="Arial" w:eastAsia="Times New Roman" w:hAnsi="Arial" w:cs="Arial"/>
                <w:color w:val="000000"/>
                <w:sz w:val="20"/>
                <w:szCs w:val="20"/>
              </w:rPr>
              <w:t>., 2013)</w:t>
            </w:r>
          </w:p>
        </w:tc>
      </w:tr>
      <w:tr w:rsidR="00C573D8" w:rsidRPr="00C573D8" w:rsidTr="00C573D8">
        <w:trPr>
          <w:trHeight w:val="537"/>
          <w:jc w:val="center"/>
        </w:trPr>
        <w:tc>
          <w:tcPr>
            <w:tcW w:w="1843"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1380+</w:t>
            </w:r>
          </w:p>
        </w:tc>
        <w:tc>
          <w:tcPr>
            <w:tcW w:w="4134"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GCTGCTAATTTTAGTTATTTAGCAGATGGTGG</w:t>
            </w:r>
          </w:p>
        </w:tc>
        <w:tc>
          <w:tcPr>
            <w:tcW w:w="579" w:type="dxa"/>
            <w:tcBorders>
              <w:top w:val="nil"/>
              <w:left w:val="nil"/>
              <w:bottom w:val="nil"/>
              <w:right w:val="nil"/>
            </w:tcBorders>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F</w:t>
            </w:r>
          </w:p>
        </w:tc>
        <w:tc>
          <w:tcPr>
            <w:tcW w:w="1028"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32</w:t>
            </w:r>
          </w:p>
        </w:tc>
        <w:tc>
          <w:tcPr>
            <w:tcW w:w="850" w:type="dxa"/>
            <w:tcBorders>
              <w:top w:val="nil"/>
              <w:left w:val="nil"/>
              <w:bottom w:val="nil"/>
              <w:right w:val="nil"/>
            </w:tcBorders>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xml:space="preserve">21.69 </w:t>
            </w:r>
          </w:p>
        </w:tc>
        <w:tc>
          <w:tcPr>
            <w:tcW w:w="1985" w:type="dxa"/>
            <w:tcBorders>
              <w:top w:val="nil"/>
              <w:left w:val="nil"/>
              <w:bottom w:val="nil"/>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roofErr w:type="spellStart"/>
            <w:r w:rsidRPr="00C573D8">
              <w:rPr>
                <w:rFonts w:ascii="Arial" w:eastAsia="Times New Roman" w:hAnsi="Arial" w:cs="Arial"/>
                <w:color w:val="000000"/>
                <w:sz w:val="20"/>
                <w:szCs w:val="20"/>
              </w:rPr>
              <w:t>Falchieri</w:t>
            </w:r>
            <w:proofErr w:type="spellEnd"/>
            <w:r w:rsidRPr="00C573D8">
              <w:rPr>
                <w:rFonts w:ascii="Arial" w:eastAsia="Times New Roman" w:hAnsi="Arial" w:cs="Arial"/>
                <w:color w:val="000000"/>
                <w:sz w:val="20"/>
                <w:szCs w:val="20"/>
              </w:rPr>
              <w:t xml:space="preserve">, </w:t>
            </w:r>
          </w:p>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et al., 2013)</w:t>
            </w:r>
          </w:p>
        </w:tc>
      </w:tr>
      <w:tr w:rsidR="00C573D8" w:rsidRPr="00C573D8" w:rsidTr="00C573D8">
        <w:trPr>
          <w:trHeight w:val="537"/>
          <w:jc w:val="center"/>
        </w:trPr>
        <w:tc>
          <w:tcPr>
            <w:tcW w:w="1843" w:type="dxa"/>
            <w:tcBorders>
              <w:top w:val="nil"/>
              <w:left w:val="nil"/>
              <w:bottom w:val="single" w:sz="4" w:space="0" w:color="000000"/>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SX3+</w:t>
            </w:r>
          </w:p>
        </w:tc>
        <w:tc>
          <w:tcPr>
            <w:tcW w:w="4134" w:type="dxa"/>
            <w:tcBorders>
              <w:top w:val="nil"/>
              <w:left w:val="nil"/>
              <w:bottom w:val="single" w:sz="4" w:space="0" w:color="000000"/>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TAATACTGG C/T AATTTTTCAGA</w:t>
            </w:r>
          </w:p>
        </w:tc>
        <w:tc>
          <w:tcPr>
            <w:tcW w:w="579" w:type="dxa"/>
            <w:tcBorders>
              <w:top w:val="nil"/>
              <w:left w:val="nil"/>
              <w:bottom w:val="single" w:sz="4" w:space="0" w:color="000000"/>
              <w:right w:val="nil"/>
            </w:tcBorders>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F</w:t>
            </w:r>
          </w:p>
        </w:tc>
        <w:tc>
          <w:tcPr>
            <w:tcW w:w="1028" w:type="dxa"/>
            <w:tcBorders>
              <w:top w:val="nil"/>
              <w:left w:val="nil"/>
              <w:bottom w:val="single" w:sz="4" w:space="0" w:color="000000"/>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21</w:t>
            </w:r>
          </w:p>
        </w:tc>
        <w:tc>
          <w:tcPr>
            <w:tcW w:w="850" w:type="dxa"/>
            <w:tcBorders>
              <w:top w:val="nil"/>
              <w:left w:val="nil"/>
              <w:bottom w:val="single" w:sz="4" w:space="0" w:color="000000"/>
              <w:right w:val="nil"/>
            </w:tcBorders>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xml:space="preserve">21.03 </w:t>
            </w:r>
          </w:p>
        </w:tc>
        <w:tc>
          <w:tcPr>
            <w:tcW w:w="1985" w:type="dxa"/>
            <w:tcBorders>
              <w:top w:val="nil"/>
              <w:left w:val="nil"/>
              <w:bottom w:val="single" w:sz="4" w:space="0" w:color="000000"/>
              <w:right w:val="nil"/>
            </w:tcBorders>
            <w:noWrap/>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xml:space="preserve">(Worthington, </w:t>
            </w:r>
          </w:p>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et al., 2008)</w:t>
            </w:r>
          </w:p>
        </w:tc>
      </w:tr>
    </w:tbl>
    <w:p w:rsidR="00C573D8" w:rsidRPr="00C573D8" w:rsidRDefault="00EE7E69" w:rsidP="00C573D8">
      <w:pPr>
        <w:spacing w:after="0" w:line="240" w:lineRule="auto"/>
        <w:rPr>
          <w:rFonts w:ascii="Arial" w:eastAsia="Times New Roman" w:hAnsi="Arial" w:cs="Arial"/>
          <w:color w:val="000000"/>
          <w:sz w:val="20"/>
          <w:szCs w:val="20"/>
        </w:rPr>
      </w:pPr>
      <w:proofErr w:type="gramStart"/>
      <w:r>
        <w:rPr>
          <w:rFonts w:ascii="Arial" w:eastAsia="Times New Roman" w:hAnsi="Arial" w:cs="Arial"/>
          <w:color w:val="000000"/>
          <w:sz w:val="20"/>
          <w:szCs w:val="20"/>
          <w:vertAlign w:val="superscript"/>
        </w:rPr>
        <w:t>a</w:t>
      </w:r>
      <w:proofErr w:type="gramEnd"/>
      <w:r w:rsidR="002B6E20">
        <w:rPr>
          <w:rFonts w:ascii="Arial" w:eastAsia="Times New Roman" w:hAnsi="Arial" w:cs="Arial"/>
          <w:color w:val="000000"/>
          <w:sz w:val="20"/>
          <w:szCs w:val="20"/>
          <w:vertAlign w:val="superscript"/>
        </w:rPr>
        <w:t xml:space="preserve"> </w:t>
      </w:r>
      <w:r w:rsidR="00C573D8" w:rsidRPr="00C573D8">
        <w:rPr>
          <w:rFonts w:ascii="Arial" w:eastAsia="Times New Roman" w:hAnsi="Arial" w:cs="Arial"/>
          <w:color w:val="000000"/>
          <w:sz w:val="20"/>
          <w:szCs w:val="20"/>
        </w:rPr>
        <w:t>F=Forward</w:t>
      </w:r>
    </w:p>
    <w:p w:rsidR="00C573D8" w:rsidRPr="00C573D8" w:rsidRDefault="00EE7E69" w:rsidP="00C573D8">
      <w:pPr>
        <w:spacing w:after="0" w:line="240" w:lineRule="auto"/>
        <w:rPr>
          <w:rFonts w:ascii="Arial" w:eastAsia="Times New Roman" w:hAnsi="Arial" w:cs="Arial"/>
          <w:color w:val="000000"/>
          <w:sz w:val="20"/>
          <w:szCs w:val="20"/>
        </w:rPr>
      </w:pPr>
      <w:proofErr w:type="gramStart"/>
      <w:r>
        <w:rPr>
          <w:rFonts w:ascii="Arial" w:eastAsia="Times New Roman" w:hAnsi="Arial" w:cs="Arial"/>
          <w:color w:val="000000"/>
          <w:sz w:val="20"/>
          <w:szCs w:val="20"/>
          <w:vertAlign w:val="superscript"/>
        </w:rPr>
        <w:t>b</w:t>
      </w:r>
      <w:proofErr w:type="gramEnd"/>
      <w:r w:rsidR="002B6E20">
        <w:rPr>
          <w:rFonts w:ascii="Arial" w:eastAsia="Times New Roman" w:hAnsi="Arial" w:cs="Arial"/>
          <w:color w:val="000000"/>
          <w:sz w:val="20"/>
          <w:szCs w:val="20"/>
          <w:vertAlign w:val="superscript"/>
        </w:rPr>
        <w:t xml:space="preserve"> </w:t>
      </w:r>
      <w:r w:rsidR="00C573D8" w:rsidRPr="00C573D8">
        <w:rPr>
          <w:rFonts w:ascii="Arial" w:eastAsia="Times New Roman" w:hAnsi="Arial" w:cs="Arial"/>
          <w:color w:val="000000"/>
          <w:sz w:val="20"/>
          <w:szCs w:val="20"/>
        </w:rPr>
        <w:t xml:space="preserve">R=Reverse </w:t>
      </w:r>
    </w:p>
    <w:p w:rsidR="00C573D8" w:rsidRPr="00C573D8" w:rsidRDefault="00C573D8" w:rsidP="00C573D8">
      <w:pPr>
        <w:spacing w:after="0" w:line="240" w:lineRule="auto"/>
        <w:rPr>
          <w:rFonts w:ascii="Arial" w:eastAsia="Times New Roman" w:hAnsi="Arial" w:cs="Arial"/>
          <w:color w:val="000000"/>
          <w:sz w:val="20"/>
          <w:szCs w:val="20"/>
        </w:rPr>
      </w:pPr>
      <w:r w:rsidRPr="00C573D8">
        <w:rPr>
          <w:rFonts w:ascii="Arial" w:eastAsia="Times New Roman" w:hAnsi="Arial" w:cs="Arial"/>
          <w:color w:val="000000"/>
          <w:sz w:val="20"/>
          <w:szCs w:val="20"/>
        </w:rPr>
        <w:t> </w:t>
      </w:r>
    </w:p>
    <w:p w:rsidR="00C573D8" w:rsidRPr="00C573D8" w:rsidRDefault="00C573D8" w:rsidP="00C573D8">
      <w:pPr>
        <w:spacing w:after="0" w:line="48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br w:type="page"/>
      </w:r>
      <w:r w:rsidRPr="00C573D8">
        <w:rPr>
          <w:rFonts w:ascii="Arial" w:eastAsia="Times New Roman" w:hAnsi="Arial" w:cs="Arial"/>
          <w:b/>
          <w:bCs/>
          <w:color w:val="000000"/>
          <w:sz w:val="20"/>
          <w:szCs w:val="20"/>
        </w:rPr>
        <w:lastRenderedPageBreak/>
        <w:t xml:space="preserve">Table 2. </w:t>
      </w:r>
      <w:r w:rsidRPr="00C573D8">
        <w:rPr>
          <w:rFonts w:ascii="Arial" w:eastAsia="Times New Roman" w:hAnsi="Arial" w:cs="Arial"/>
          <w:color w:val="000000"/>
          <w:sz w:val="20"/>
          <w:szCs w:val="20"/>
        </w:rPr>
        <w:t>Partial and full S1 detection limits and corresponding CD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/ml values from diluted allantoic fluid.</w:t>
      </w:r>
      <w:r w:rsidRPr="00C573D8">
        <w:rPr>
          <w:rFonts w:ascii="Arial" w:eastAsia="Times New Roman" w:hAnsi="Arial" w:cs="Arial"/>
          <w:b/>
          <w:bCs/>
          <w:color w:val="000000"/>
          <w:sz w:val="20"/>
          <w:szCs w:val="20"/>
        </w:rPr>
        <w:t>                               </w:t>
      </w:r>
    </w:p>
    <w:p w:rsidR="00C573D8" w:rsidRPr="00C573D8" w:rsidRDefault="00C573D8" w:rsidP="00C573D8">
      <w:pPr>
        <w:spacing w:after="0" w:line="440" w:lineRule="atLeast"/>
        <w:rPr>
          <w:rFonts w:ascii="Arial" w:eastAsia="Times New Roman" w:hAnsi="Arial" w:cs="Arial"/>
          <w:color w:val="000000"/>
          <w:sz w:val="20"/>
          <w:szCs w:val="20"/>
        </w:rPr>
      </w:pPr>
      <w:r w:rsidRPr="00C573D8">
        <w:rPr>
          <w:rFonts w:ascii="Arial" w:eastAsia="Times New Roman" w:hAnsi="Arial" w:cs="Arial"/>
          <w:color w:val="000000"/>
          <w:sz w:val="20"/>
          <w:szCs w:val="20"/>
        </w:rPr>
        <w:t xml:space="preserve">                     </w:t>
      </w:r>
    </w:p>
    <w:tbl>
      <w:tblPr>
        <w:tblW w:w="8580" w:type="dxa"/>
        <w:jc w:val="center"/>
        <w:tblCellMar>
          <w:left w:w="0" w:type="dxa"/>
          <w:right w:w="0" w:type="dxa"/>
        </w:tblCellMar>
        <w:tblLook w:val="04A0" w:firstRow="1" w:lastRow="0" w:firstColumn="1" w:lastColumn="0" w:noHBand="0" w:noVBand="1"/>
      </w:tblPr>
      <w:tblGrid>
        <w:gridCol w:w="1786"/>
        <w:gridCol w:w="1481"/>
        <w:gridCol w:w="1144"/>
        <w:gridCol w:w="1310"/>
        <w:gridCol w:w="1387"/>
        <w:gridCol w:w="1472"/>
      </w:tblGrid>
      <w:tr w:rsidR="00C573D8" w:rsidRPr="00C573D8" w:rsidTr="00C573D8">
        <w:trPr>
          <w:trHeight w:val="276"/>
          <w:jc w:val="center"/>
        </w:trPr>
        <w:tc>
          <w:tcPr>
            <w:tcW w:w="1606"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sz w:val="20"/>
                <w:szCs w:val="20"/>
              </w:rPr>
              <w:t> </w:t>
            </w:r>
          </w:p>
        </w:tc>
        <w:tc>
          <w:tcPr>
            <w:tcW w:w="1332"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sz w:val="20"/>
                <w:szCs w:val="20"/>
              </w:rPr>
              <w:t> </w:t>
            </w:r>
          </w:p>
        </w:tc>
        <w:tc>
          <w:tcPr>
            <w:tcW w:w="2207" w:type="dxa"/>
            <w:gridSpan w:val="2"/>
            <w:tcBorders>
              <w:top w:val="single" w:sz="4" w:space="0" w:color="000000"/>
              <w:left w:val="nil"/>
              <w:bottom w:val="single" w:sz="4" w:space="0" w:color="000000"/>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sz w:val="20"/>
                <w:szCs w:val="20"/>
              </w:rPr>
              <w:t>Allantoic fluid detection limits</w:t>
            </w:r>
          </w:p>
        </w:tc>
        <w:tc>
          <w:tcPr>
            <w:tcW w:w="1247" w:type="dxa"/>
            <w:tcBorders>
              <w:top w:val="single" w:sz="4" w:space="0" w:color="000000"/>
              <w:left w:val="nil"/>
              <w:bottom w:val="single" w:sz="4" w:space="0" w:color="000000"/>
              <w:right w:val="nil"/>
            </w:tcBorders>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sz w:val="20"/>
                <w:szCs w:val="20"/>
              </w:rPr>
              <w:t> </w:t>
            </w:r>
          </w:p>
        </w:tc>
        <w:tc>
          <w:tcPr>
            <w:tcW w:w="1107" w:type="dxa"/>
            <w:tcBorders>
              <w:top w:val="single" w:sz="4" w:space="0" w:color="000000"/>
              <w:left w:val="nil"/>
              <w:bottom w:val="single" w:sz="4" w:space="0" w:color="000000"/>
              <w:right w:val="nil"/>
            </w:tcBorders>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sz w:val="20"/>
                <w:szCs w:val="20"/>
              </w:rPr>
              <w:t> </w:t>
            </w:r>
          </w:p>
        </w:tc>
      </w:tr>
      <w:tr w:rsidR="00C573D8" w:rsidRPr="00C573D8" w:rsidTr="00C573D8">
        <w:trPr>
          <w:trHeight w:val="305"/>
          <w:jc w:val="center"/>
        </w:trPr>
        <w:tc>
          <w:tcPr>
            <w:tcW w:w="1606" w:type="dxa"/>
            <w:vMerge w:val="restart"/>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sz w:val="20"/>
                <w:szCs w:val="20"/>
              </w:rPr>
              <w:t>IBV Strain</w:t>
            </w:r>
          </w:p>
        </w:tc>
        <w:tc>
          <w:tcPr>
            <w:tcW w:w="1332" w:type="dxa"/>
            <w:vMerge w:val="restart"/>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sz w:val="20"/>
                <w:szCs w:val="20"/>
              </w:rPr>
              <w:t>Titre (CD</w:t>
            </w:r>
            <w:r w:rsidRPr="00C573D8">
              <w:rPr>
                <w:rFonts w:ascii="Arial" w:eastAsia="Times New Roman" w:hAnsi="Arial" w:cs="Arial"/>
                <w:b/>
                <w:bCs/>
                <w:sz w:val="20"/>
                <w:szCs w:val="20"/>
                <w:vertAlign w:val="subscript"/>
              </w:rPr>
              <w:t>50</w:t>
            </w:r>
            <w:r w:rsidRPr="00C573D8">
              <w:rPr>
                <w:rFonts w:ascii="Arial" w:eastAsia="Times New Roman" w:hAnsi="Arial" w:cs="Arial"/>
                <w:b/>
                <w:bCs/>
                <w:sz w:val="20"/>
                <w:szCs w:val="20"/>
              </w:rPr>
              <w:t>/ml)</w:t>
            </w:r>
          </w:p>
        </w:tc>
        <w:tc>
          <w:tcPr>
            <w:tcW w:w="2207" w:type="dxa"/>
            <w:gridSpan w:val="2"/>
            <w:tcBorders>
              <w:top w:val="nil"/>
              <w:left w:val="nil"/>
              <w:bottom w:val="single" w:sz="4" w:space="0" w:color="000000"/>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Dilution factor</w:t>
            </w:r>
          </w:p>
        </w:tc>
        <w:tc>
          <w:tcPr>
            <w:tcW w:w="2571" w:type="dxa"/>
            <w:gridSpan w:val="2"/>
            <w:tcBorders>
              <w:top w:val="nil"/>
              <w:left w:val="nil"/>
              <w:bottom w:val="single" w:sz="4" w:space="0" w:color="000000"/>
              <w:right w:val="nil"/>
            </w:tcBorders>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sz w:val="20"/>
                <w:szCs w:val="20"/>
              </w:rPr>
              <w:t>Corresponding  CD</w:t>
            </w:r>
            <w:r w:rsidRPr="00C573D8">
              <w:rPr>
                <w:rFonts w:ascii="Arial" w:eastAsia="Times New Roman" w:hAnsi="Arial" w:cs="Arial"/>
                <w:b/>
                <w:bCs/>
                <w:sz w:val="20"/>
                <w:szCs w:val="20"/>
                <w:vertAlign w:val="subscript"/>
              </w:rPr>
              <w:t>50</w:t>
            </w:r>
            <w:r w:rsidRPr="00C573D8">
              <w:rPr>
                <w:rFonts w:ascii="Arial" w:eastAsia="Times New Roman" w:hAnsi="Arial" w:cs="Arial"/>
                <w:b/>
                <w:bCs/>
                <w:sz w:val="20"/>
                <w:szCs w:val="20"/>
              </w:rPr>
              <w:t xml:space="preserve">/ml </w:t>
            </w:r>
          </w:p>
        </w:tc>
      </w:tr>
      <w:tr w:rsidR="00C573D8" w:rsidRPr="00C573D8" w:rsidTr="00C573D8">
        <w:trPr>
          <w:trHeight w:val="569"/>
          <w:jc w:val="center"/>
        </w:trPr>
        <w:tc>
          <w:tcPr>
            <w:tcW w:w="0" w:type="auto"/>
            <w:vMerge/>
            <w:vAlign w:val="center"/>
            <w:hideMark/>
          </w:tcPr>
          <w:p w:rsidR="00C573D8" w:rsidRPr="00C573D8" w:rsidRDefault="00C573D8" w:rsidP="00C573D8">
            <w:pPr>
              <w:spacing w:after="0" w:line="240" w:lineRule="auto"/>
              <w:rPr>
                <w:rFonts w:ascii="Arial" w:eastAsia="Times New Roman" w:hAnsi="Arial" w:cs="Arial"/>
                <w:sz w:val="20"/>
                <w:szCs w:val="20"/>
              </w:rPr>
            </w:pPr>
          </w:p>
        </w:tc>
        <w:tc>
          <w:tcPr>
            <w:tcW w:w="0" w:type="auto"/>
            <w:vMerge/>
            <w:vAlign w:val="center"/>
            <w:hideMark/>
          </w:tcPr>
          <w:p w:rsidR="00C573D8" w:rsidRPr="00C573D8" w:rsidRDefault="00C573D8" w:rsidP="00C573D8">
            <w:pPr>
              <w:spacing w:after="0" w:line="240" w:lineRule="auto"/>
              <w:rPr>
                <w:rFonts w:ascii="Arial" w:eastAsia="Times New Roman" w:hAnsi="Arial" w:cs="Arial"/>
                <w:sz w:val="20"/>
                <w:szCs w:val="20"/>
              </w:rPr>
            </w:pPr>
          </w:p>
        </w:tc>
        <w:tc>
          <w:tcPr>
            <w:tcW w:w="1029" w:type="dxa"/>
            <w:tcMar>
              <w:top w:w="0" w:type="dxa"/>
              <w:left w:w="108" w:type="dxa"/>
              <w:bottom w:w="0" w:type="dxa"/>
              <w:right w:w="108" w:type="dxa"/>
            </w:tcMar>
            <w:vAlign w:val="center"/>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i/>
                <w:iCs/>
                <w:sz w:val="20"/>
                <w:szCs w:val="20"/>
              </w:rPr>
              <w:t>Partial S1</w:t>
            </w:r>
          </w:p>
        </w:tc>
        <w:tc>
          <w:tcPr>
            <w:tcW w:w="962" w:type="dxa"/>
            <w:tcMar>
              <w:top w:w="0" w:type="dxa"/>
              <w:left w:w="108" w:type="dxa"/>
              <w:bottom w:w="0" w:type="dxa"/>
              <w:right w:w="108" w:type="dxa"/>
            </w:tcMa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sz w:val="20"/>
                <w:szCs w:val="20"/>
              </w:rPr>
              <w:t> </w:t>
            </w:r>
          </w:p>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sz w:val="20"/>
                <w:szCs w:val="20"/>
              </w:rPr>
              <w:t>Full S1</w:t>
            </w:r>
          </w:p>
        </w:tc>
        <w:tc>
          <w:tcPr>
            <w:tcW w:w="1247" w:type="dxa"/>
            <w:tcMar>
              <w:top w:w="0" w:type="dxa"/>
              <w:left w:w="108" w:type="dxa"/>
              <w:bottom w:w="0" w:type="dxa"/>
              <w:right w:w="108" w:type="dxa"/>
            </w:tcMar>
            <w:vAlign w:val="center"/>
            <w:hideMark/>
          </w:tcPr>
          <w:p w:rsidR="00C573D8" w:rsidRPr="00C573D8" w:rsidRDefault="00C573D8" w:rsidP="00C573D8">
            <w:pPr>
              <w:spacing w:after="0" w:line="240" w:lineRule="auto"/>
              <w:jc w:val="both"/>
              <w:rPr>
                <w:rFonts w:ascii="Arial" w:eastAsia="Times New Roman" w:hAnsi="Arial" w:cs="Arial"/>
                <w:sz w:val="20"/>
                <w:szCs w:val="20"/>
              </w:rPr>
            </w:pPr>
            <w:r w:rsidRPr="00C573D8">
              <w:rPr>
                <w:rFonts w:ascii="Arial" w:eastAsia="Times New Roman" w:hAnsi="Arial" w:cs="Arial"/>
                <w:i/>
                <w:iCs/>
                <w:sz w:val="20"/>
                <w:szCs w:val="20"/>
              </w:rPr>
              <w:t>Partial S1</w:t>
            </w:r>
          </w:p>
        </w:tc>
        <w:tc>
          <w:tcPr>
            <w:tcW w:w="1107" w:type="dxa"/>
            <w:tcMar>
              <w:top w:w="0" w:type="dxa"/>
              <w:left w:w="108" w:type="dxa"/>
              <w:bottom w:w="0" w:type="dxa"/>
              <w:right w:w="108" w:type="dxa"/>
            </w:tcMar>
            <w:vAlign w:val="center"/>
            <w:hideMark/>
          </w:tcPr>
          <w:p w:rsidR="00C573D8" w:rsidRPr="00C573D8" w:rsidRDefault="00C573D8" w:rsidP="00C573D8">
            <w:pPr>
              <w:spacing w:after="0" w:line="240" w:lineRule="auto"/>
              <w:jc w:val="both"/>
              <w:rPr>
                <w:rFonts w:ascii="Arial" w:eastAsia="Times New Roman" w:hAnsi="Arial" w:cs="Arial"/>
                <w:sz w:val="20"/>
                <w:szCs w:val="20"/>
              </w:rPr>
            </w:pPr>
            <w:r w:rsidRPr="00C573D8">
              <w:rPr>
                <w:rFonts w:ascii="Arial" w:eastAsia="Times New Roman" w:hAnsi="Arial" w:cs="Arial"/>
                <w:i/>
                <w:iCs/>
                <w:sz w:val="20"/>
                <w:szCs w:val="20"/>
              </w:rPr>
              <w:t> </w:t>
            </w:r>
          </w:p>
          <w:p w:rsidR="00C573D8" w:rsidRPr="00C573D8" w:rsidRDefault="00C573D8" w:rsidP="00C573D8">
            <w:pPr>
              <w:spacing w:after="0" w:line="240" w:lineRule="auto"/>
              <w:jc w:val="both"/>
              <w:rPr>
                <w:rFonts w:ascii="Arial" w:eastAsia="Times New Roman" w:hAnsi="Arial" w:cs="Arial"/>
                <w:sz w:val="20"/>
                <w:szCs w:val="20"/>
              </w:rPr>
            </w:pPr>
            <w:r w:rsidRPr="00C573D8">
              <w:rPr>
                <w:rFonts w:ascii="Arial" w:eastAsia="Times New Roman" w:hAnsi="Arial" w:cs="Arial"/>
                <w:i/>
                <w:iCs/>
                <w:sz w:val="20"/>
                <w:szCs w:val="20"/>
              </w:rPr>
              <w:t>Full S1</w:t>
            </w:r>
          </w:p>
        </w:tc>
      </w:tr>
      <w:tr w:rsidR="00C573D8" w:rsidRPr="00C573D8" w:rsidTr="00C573D8">
        <w:trPr>
          <w:trHeight w:val="337"/>
          <w:jc w:val="center"/>
        </w:trPr>
        <w:tc>
          <w:tcPr>
            <w:tcW w:w="1606" w:type="dxa"/>
            <w:tcBorders>
              <w:top w:val="single" w:sz="4" w:space="0" w:color="000000"/>
              <w:left w:val="nil"/>
              <w:bottom w:val="nil"/>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793B</w:t>
            </w:r>
          </w:p>
        </w:tc>
        <w:tc>
          <w:tcPr>
            <w:tcW w:w="1332" w:type="dxa"/>
            <w:tcBorders>
              <w:top w:val="single" w:sz="4" w:space="0" w:color="000000"/>
              <w:left w:val="nil"/>
              <w:bottom w:val="nil"/>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6.38</w:t>
            </w:r>
          </w:p>
        </w:tc>
        <w:tc>
          <w:tcPr>
            <w:tcW w:w="1029" w:type="dxa"/>
            <w:tcBorders>
              <w:top w:val="single" w:sz="4" w:space="0" w:color="000000"/>
              <w:left w:val="nil"/>
              <w:bottom w:val="nil"/>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-7</w:t>
            </w:r>
          </w:p>
        </w:tc>
        <w:tc>
          <w:tcPr>
            <w:tcW w:w="962" w:type="dxa"/>
            <w:tcBorders>
              <w:top w:val="single" w:sz="4" w:space="0" w:color="000000"/>
              <w:left w:val="nil"/>
              <w:bottom w:val="nil"/>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-2</w:t>
            </w:r>
          </w:p>
        </w:tc>
        <w:tc>
          <w:tcPr>
            <w:tcW w:w="1247" w:type="dxa"/>
            <w:tcBorders>
              <w:top w:val="single" w:sz="4" w:space="0" w:color="000000"/>
              <w:left w:val="nil"/>
              <w:bottom w:val="nil"/>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0.62</w:t>
            </w:r>
          </w:p>
        </w:tc>
        <w:tc>
          <w:tcPr>
            <w:tcW w:w="1107" w:type="dxa"/>
            <w:tcBorders>
              <w:top w:val="single" w:sz="4" w:space="0" w:color="000000"/>
              <w:left w:val="nil"/>
              <w:bottom w:val="nil"/>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4.062</w:t>
            </w:r>
          </w:p>
        </w:tc>
      </w:tr>
      <w:tr w:rsidR="00C573D8" w:rsidRPr="00C573D8" w:rsidTr="00C573D8">
        <w:trPr>
          <w:trHeight w:val="337"/>
          <w:jc w:val="center"/>
        </w:trPr>
        <w:tc>
          <w:tcPr>
            <w:tcW w:w="1606"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M41</w:t>
            </w:r>
          </w:p>
        </w:tc>
        <w:tc>
          <w:tcPr>
            <w:tcW w:w="1332"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6.33</w:t>
            </w:r>
          </w:p>
        </w:tc>
        <w:tc>
          <w:tcPr>
            <w:tcW w:w="1029"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-7</w:t>
            </w:r>
          </w:p>
        </w:tc>
        <w:tc>
          <w:tcPr>
            <w:tcW w:w="962"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-3</w:t>
            </w:r>
          </w:p>
        </w:tc>
        <w:tc>
          <w:tcPr>
            <w:tcW w:w="1247"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0.67</w:t>
            </w:r>
          </w:p>
        </w:tc>
        <w:tc>
          <w:tcPr>
            <w:tcW w:w="1107"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4.067</w:t>
            </w:r>
          </w:p>
        </w:tc>
      </w:tr>
      <w:tr w:rsidR="00C573D8" w:rsidRPr="00C573D8" w:rsidTr="00C573D8">
        <w:trPr>
          <w:trHeight w:val="337"/>
          <w:jc w:val="center"/>
        </w:trPr>
        <w:tc>
          <w:tcPr>
            <w:tcW w:w="1606"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D274</w:t>
            </w:r>
          </w:p>
        </w:tc>
        <w:tc>
          <w:tcPr>
            <w:tcW w:w="1332"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6.75</w:t>
            </w:r>
          </w:p>
        </w:tc>
        <w:tc>
          <w:tcPr>
            <w:tcW w:w="1029"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-7</w:t>
            </w:r>
          </w:p>
        </w:tc>
        <w:tc>
          <w:tcPr>
            <w:tcW w:w="962"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-2</w:t>
            </w:r>
          </w:p>
        </w:tc>
        <w:tc>
          <w:tcPr>
            <w:tcW w:w="1247"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0.25</w:t>
            </w:r>
          </w:p>
        </w:tc>
        <w:tc>
          <w:tcPr>
            <w:tcW w:w="1107"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4.025</w:t>
            </w:r>
          </w:p>
        </w:tc>
      </w:tr>
      <w:tr w:rsidR="00C573D8" w:rsidRPr="00C573D8" w:rsidTr="00C573D8">
        <w:trPr>
          <w:trHeight w:val="337"/>
          <w:jc w:val="center"/>
        </w:trPr>
        <w:tc>
          <w:tcPr>
            <w:tcW w:w="1606"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QX</w:t>
            </w:r>
          </w:p>
        </w:tc>
        <w:tc>
          <w:tcPr>
            <w:tcW w:w="1332"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6.39</w:t>
            </w:r>
          </w:p>
        </w:tc>
        <w:tc>
          <w:tcPr>
            <w:tcW w:w="1029"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-7</w:t>
            </w:r>
          </w:p>
        </w:tc>
        <w:tc>
          <w:tcPr>
            <w:tcW w:w="962"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-2</w:t>
            </w:r>
          </w:p>
        </w:tc>
        <w:tc>
          <w:tcPr>
            <w:tcW w:w="1247"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0.61</w:t>
            </w:r>
          </w:p>
        </w:tc>
        <w:tc>
          <w:tcPr>
            <w:tcW w:w="1107"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4.061</w:t>
            </w:r>
          </w:p>
        </w:tc>
      </w:tr>
      <w:tr w:rsidR="00C573D8" w:rsidRPr="00C573D8" w:rsidTr="00C573D8">
        <w:trPr>
          <w:trHeight w:val="337"/>
          <w:jc w:val="center"/>
        </w:trPr>
        <w:tc>
          <w:tcPr>
            <w:tcW w:w="1606"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Q1</w:t>
            </w:r>
          </w:p>
        </w:tc>
        <w:tc>
          <w:tcPr>
            <w:tcW w:w="1332"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5.5</w:t>
            </w:r>
          </w:p>
        </w:tc>
        <w:tc>
          <w:tcPr>
            <w:tcW w:w="1029"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-6</w:t>
            </w:r>
          </w:p>
        </w:tc>
        <w:tc>
          <w:tcPr>
            <w:tcW w:w="962"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-2</w:t>
            </w:r>
          </w:p>
        </w:tc>
        <w:tc>
          <w:tcPr>
            <w:tcW w:w="1247"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0.50</w:t>
            </w:r>
          </w:p>
        </w:tc>
        <w:tc>
          <w:tcPr>
            <w:tcW w:w="1107"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3.050</w:t>
            </w:r>
          </w:p>
        </w:tc>
      </w:tr>
      <w:tr w:rsidR="00C573D8" w:rsidRPr="00C573D8" w:rsidTr="00C573D8">
        <w:trPr>
          <w:trHeight w:val="337"/>
          <w:jc w:val="center"/>
        </w:trPr>
        <w:tc>
          <w:tcPr>
            <w:tcW w:w="1606"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IS/885/00</w:t>
            </w:r>
          </w:p>
        </w:tc>
        <w:tc>
          <w:tcPr>
            <w:tcW w:w="1332"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6.5</w:t>
            </w:r>
          </w:p>
        </w:tc>
        <w:tc>
          <w:tcPr>
            <w:tcW w:w="1029"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-7</w:t>
            </w:r>
          </w:p>
        </w:tc>
        <w:tc>
          <w:tcPr>
            <w:tcW w:w="962"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-2</w:t>
            </w:r>
          </w:p>
        </w:tc>
        <w:tc>
          <w:tcPr>
            <w:tcW w:w="1247"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0.50</w:t>
            </w:r>
          </w:p>
        </w:tc>
        <w:tc>
          <w:tcPr>
            <w:tcW w:w="1107" w:type="dxa"/>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4.050</w:t>
            </w:r>
          </w:p>
        </w:tc>
      </w:tr>
      <w:tr w:rsidR="00C573D8" w:rsidRPr="00C573D8" w:rsidTr="00C573D8">
        <w:trPr>
          <w:trHeight w:val="337"/>
          <w:jc w:val="center"/>
        </w:trPr>
        <w:tc>
          <w:tcPr>
            <w:tcW w:w="1606" w:type="dxa"/>
            <w:tcBorders>
              <w:top w:val="nil"/>
              <w:left w:val="nil"/>
              <w:bottom w:val="single" w:sz="4" w:space="0" w:color="000000"/>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IS/1494/06</w:t>
            </w:r>
          </w:p>
        </w:tc>
        <w:tc>
          <w:tcPr>
            <w:tcW w:w="1332" w:type="dxa"/>
            <w:tcBorders>
              <w:top w:val="nil"/>
              <w:left w:val="nil"/>
              <w:bottom w:val="single" w:sz="4" w:space="0" w:color="000000"/>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6.5</w:t>
            </w:r>
          </w:p>
        </w:tc>
        <w:tc>
          <w:tcPr>
            <w:tcW w:w="1029" w:type="dxa"/>
            <w:tcBorders>
              <w:top w:val="nil"/>
              <w:left w:val="nil"/>
              <w:bottom w:val="single" w:sz="4" w:space="0" w:color="000000"/>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-7</w:t>
            </w:r>
          </w:p>
        </w:tc>
        <w:tc>
          <w:tcPr>
            <w:tcW w:w="962" w:type="dxa"/>
            <w:tcBorders>
              <w:top w:val="nil"/>
              <w:left w:val="nil"/>
              <w:bottom w:val="single" w:sz="4" w:space="0" w:color="000000"/>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-2</w:t>
            </w:r>
          </w:p>
        </w:tc>
        <w:tc>
          <w:tcPr>
            <w:tcW w:w="1247" w:type="dxa"/>
            <w:tcBorders>
              <w:top w:val="nil"/>
              <w:left w:val="nil"/>
              <w:bottom w:val="single" w:sz="4" w:space="0" w:color="000000"/>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0.50</w:t>
            </w:r>
          </w:p>
        </w:tc>
        <w:tc>
          <w:tcPr>
            <w:tcW w:w="1107" w:type="dxa"/>
            <w:tcBorders>
              <w:top w:val="nil"/>
              <w:left w:val="nil"/>
              <w:bottom w:val="single" w:sz="4" w:space="0" w:color="000000"/>
              <w:right w:val="nil"/>
            </w:tcBorders>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sz w:val="20"/>
                <w:szCs w:val="20"/>
              </w:rPr>
              <w:t>10</w:t>
            </w:r>
            <w:r w:rsidRPr="00C573D8">
              <w:rPr>
                <w:rFonts w:ascii="Arial" w:eastAsia="Times New Roman" w:hAnsi="Arial" w:cs="Arial"/>
                <w:sz w:val="20"/>
                <w:szCs w:val="20"/>
                <w:vertAlign w:val="superscript"/>
              </w:rPr>
              <w:t>4.050</w:t>
            </w:r>
          </w:p>
        </w:tc>
      </w:tr>
    </w:tbl>
    <w:p w:rsidR="00C573D8" w:rsidRPr="00C573D8" w:rsidRDefault="00C573D8" w:rsidP="00C573D8">
      <w:pPr>
        <w:spacing w:after="0" w:line="440" w:lineRule="atLeast"/>
        <w:rPr>
          <w:rFonts w:ascii="Arial" w:eastAsia="Times New Roman" w:hAnsi="Arial" w:cs="Arial"/>
          <w:color w:val="000000"/>
          <w:sz w:val="20"/>
          <w:szCs w:val="20"/>
        </w:rPr>
      </w:pPr>
      <w:r w:rsidRPr="00C573D8">
        <w:rPr>
          <w:rFonts w:ascii="Arial" w:eastAsia="Times New Roman" w:hAnsi="Arial" w:cs="Arial"/>
          <w:color w:val="000000"/>
          <w:sz w:val="20"/>
          <w:szCs w:val="20"/>
        </w:rPr>
        <w:t> </w:t>
      </w:r>
    </w:p>
    <w:p w:rsidR="00C573D8" w:rsidRPr="00C573D8" w:rsidRDefault="00C573D8" w:rsidP="00C573D8">
      <w:pPr>
        <w:spacing w:after="0" w:line="440" w:lineRule="atLeast"/>
        <w:rPr>
          <w:rFonts w:ascii="Arial" w:eastAsia="Times New Roman" w:hAnsi="Arial" w:cs="Arial"/>
          <w:color w:val="000000"/>
          <w:sz w:val="20"/>
          <w:szCs w:val="20"/>
        </w:rPr>
      </w:pPr>
      <w:r w:rsidRPr="00C573D8">
        <w:rPr>
          <w:rFonts w:ascii="Arial" w:eastAsia="Times New Roman" w:hAnsi="Arial" w:cs="Arial"/>
          <w:color w:val="000000"/>
          <w:sz w:val="20"/>
          <w:szCs w:val="20"/>
        </w:rPr>
        <w:t xml:space="preserve">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br w:type="page"/>
      </w:r>
      <w:r w:rsidRPr="00C573D8">
        <w:rPr>
          <w:rFonts w:ascii="Arial" w:eastAsia="Times New Roman" w:hAnsi="Arial" w:cs="Arial"/>
          <w:b/>
          <w:bCs/>
          <w:color w:val="000000"/>
          <w:sz w:val="20"/>
          <w:szCs w:val="20"/>
        </w:rPr>
        <w:lastRenderedPageBreak/>
        <w:t>Table 3.</w:t>
      </w:r>
      <w:r w:rsidRPr="00C573D8">
        <w:rPr>
          <w:rFonts w:ascii="Arial" w:eastAsia="Times New Roman" w:hAnsi="Arial" w:cs="Arial"/>
          <w:color w:val="000000"/>
          <w:sz w:val="20"/>
          <w:szCs w:val="20"/>
        </w:rPr>
        <w:t xml:space="preserve"> Nucleotide identity (%) comparison of the seven IBV strains used in this study based on the full S1 and partial S1.</w:t>
      </w:r>
    </w:p>
    <w:tbl>
      <w:tblPr>
        <w:tblW w:w="11466" w:type="dxa"/>
        <w:jc w:val="center"/>
        <w:tblCellMar>
          <w:left w:w="0" w:type="dxa"/>
          <w:right w:w="0" w:type="dxa"/>
        </w:tblCellMar>
        <w:tblLook w:val="04A0" w:firstRow="1" w:lastRow="0" w:firstColumn="1" w:lastColumn="0" w:noHBand="0" w:noVBand="1"/>
      </w:tblPr>
      <w:tblGrid>
        <w:gridCol w:w="1248"/>
        <w:gridCol w:w="811"/>
        <w:gridCol w:w="918"/>
        <w:gridCol w:w="891"/>
        <w:gridCol w:w="1121"/>
        <w:gridCol w:w="1234"/>
        <w:gridCol w:w="1100"/>
        <w:gridCol w:w="1156"/>
        <w:gridCol w:w="2987"/>
      </w:tblGrid>
      <w:tr w:rsidR="00C573D8" w:rsidRPr="00C573D8" w:rsidTr="00C573D8">
        <w:trPr>
          <w:trHeight w:val="269"/>
          <w:jc w:val="center"/>
        </w:trPr>
        <w:tc>
          <w:tcPr>
            <w:tcW w:w="11250" w:type="dxa"/>
            <w:gridSpan w:val="9"/>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Nucleotide identity (%) / Full S1</w:t>
            </w:r>
          </w:p>
        </w:tc>
      </w:tr>
      <w:tr w:rsidR="00C573D8" w:rsidRPr="00C573D8" w:rsidTr="00C573D8">
        <w:trPr>
          <w:trHeight w:val="269"/>
          <w:jc w:val="center"/>
        </w:trPr>
        <w:tc>
          <w:tcPr>
            <w:tcW w:w="1224"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color w:val="000000"/>
                <w:sz w:val="20"/>
                <w:szCs w:val="20"/>
              </w:rPr>
              <w:t> </w:t>
            </w:r>
          </w:p>
        </w:tc>
        <w:tc>
          <w:tcPr>
            <w:tcW w:w="796"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M41</w:t>
            </w:r>
          </w:p>
        </w:tc>
        <w:tc>
          <w:tcPr>
            <w:tcW w:w="901"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D274</w:t>
            </w:r>
          </w:p>
        </w:tc>
        <w:tc>
          <w:tcPr>
            <w:tcW w:w="874"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793B</w:t>
            </w:r>
          </w:p>
        </w:tc>
        <w:tc>
          <w:tcPr>
            <w:tcW w:w="1100"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IS/885/00</w:t>
            </w:r>
          </w:p>
        </w:tc>
        <w:tc>
          <w:tcPr>
            <w:tcW w:w="1211"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IS/1494/06</w:t>
            </w:r>
          </w:p>
        </w:tc>
        <w:tc>
          <w:tcPr>
            <w:tcW w:w="1079"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Q1</w:t>
            </w:r>
          </w:p>
        </w:tc>
        <w:tc>
          <w:tcPr>
            <w:tcW w:w="1134"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QX</w:t>
            </w:r>
          </w:p>
        </w:tc>
        <w:tc>
          <w:tcPr>
            <w:tcW w:w="1203"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color w:val="000000"/>
                <w:sz w:val="20"/>
                <w:szCs w:val="20"/>
              </w:rPr>
              <w:t> </w:t>
            </w:r>
          </w:p>
        </w:tc>
      </w:tr>
      <w:tr w:rsidR="00C573D8" w:rsidRPr="00C573D8" w:rsidTr="00C573D8">
        <w:trPr>
          <w:trHeight w:val="269"/>
          <w:jc w:val="center"/>
        </w:trPr>
        <w:tc>
          <w:tcPr>
            <w:tcW w:w="1224" w:type="dxa"/>
            <w:noWrap/>
            <w:tcMar>
              <w:top w:w="0" w:type="dxa"/>
              <w:left w:w="108" w:type="dxa"/>
              <w:bottom w:w="0" w:type="dxa"/>
              <w:right w:w="108" w:type="dxa"/>
            </w:tcMar>
            <w:vAlign w:val="bottom"/>
            <w:hideMark/>
          </w:tcPr>
          <w:p w:rsidR="00C573D8" w:rsidRPr="00C573D8" w:rsidRDefault="00C573D8" w:rsidP="00C573D8">
            <w:pPr>
              <w:spacing w:after="0" w:line="240" w:lineRule="auto"/>
              <w:jc w:val="right"/>
              <w:rPr>
                <w:rFonts w:ascii="Arial" w:eastAsia="Times New Roman" w:hAnsi="Arial" w:cs="Arial"/>
                <w:sz w:val="20"/>
                <w:szCs w:val="20"/>
              </w:rPr>
            </w:pPr>
            <w:r w:rsidRPr="00C573D8">
              <w:rPr>
                <w:rFonts w:ascii="Arial" w:eastAsia="Times New Roman" w:hAnsi="Arial" w:cs="Arial"/>
                <w:i/>
                <w:iCs/>
                <w:color w:val="000000"/>
                <w:sz w:val="20"/>
                <w:szCs w:val="20"/>
              </w:rPr>
              <w:t>M41</w:t>
            </w:r>
          </w:p>
        </w:tc>
        <w:tc>
          <w:tcPr>
            <w:tcW w:w="796" w:type="dxa"/>
            <w:shd w:val="clear" w:color="auto" w:fill="C2C2C2"/>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901"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77</w:t>
            </w:r>
          </w:p>
        </w:tc>
        <w:tc>
          <w:tcPr>
            <w:tcW w:w="874"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73</w:t>
            </w:r>
          </w:p>
        </w:tc>
        <w:tc>
          <w:tcPr>
            <w:tcW w:w="110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77</w:t>
            </w:r>
          </w:p>
        </w:tc>
        <w:tc>
          <w:tcPr>
            <w:tcW w:w="1211"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79</w:t>
            </w:r>
          </w:p>
        </w:tc>
        <w:tc>
          <w:tcPr>
            <w:tcW w:w="1079"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73</w:t>
            </w:r>
          </w:p>
        </w:tc>
        <w:tc>
          <w:tcPr>
            <w:tcW w:w="1134"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72</w:t>
            </w:r>
          </w:p>
        </w:tc>
        <w:tc>
          <w:tcPr>
            <w:tcW w:w="1203"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i/>
                <w:iCs/>
                <w:color w:val="000000"/>
                <w:sz w:val="20"/>
                <w:szCs w:val="20"/>
              </w:rPr>
              <w:t>M41</w:t>
            </w:r>
          </w:p>
        </w:tc>
      </w:tr>
      <w:tr w:rsidR="00C573D8" w:rsidRPr="00C573D8" w:rsidTr="00C573D8">
        <w:trPr>
          <w:trHeight w:val="269"/>
          <w:jc w:val="center"/>
        </w:trPr>
        <w:tc>
          <w:tcPr>
            <w:tcW w:w="1224" w:type="dxa"/>
            <w:noWrap/>
            <w:tcMar>
              <w:top w:w="0" w:type="dxa"/>
              <w:left w:w="108" w:type="dxa"/>
              <w:bottom w:w="0" w:type="dxa"/>
              <w:right w:w="108" w:type="dxa"/>
            </w:tcMar>
            <w:vAlign w:val="bottom"/>
            <w:hideMark/>
          </w:tcPr>
          <w:p w:rsidR="00C573D8" w:rsidRPr="00C573D8" w:rsidRDefault="00C573D8" w:rsidP="00C573D8">
            <w:pPr>
              <w:spacing w:after="0" w:line="240" w:lineRule="auto"/>
              <w:jc w:val="right"/>
              <w:rPr>
                <w:rFonts w:ascii="Arial" w:eastAsia="Times New Roman" w:hAnsi="Arial" w:cs="Arial"/>
                <w:sz w:val="20"/>
                <w:szCs w:val="20"/>
              </w:rPr>
            </w:pPr>
            <w:r w:rsidRPr="00C573D8">
              <w:rPr>
                <w:rFonts w:ascii="Arial" w:eastAsia="Times New Roman" w:hAnsi="Arial" w:cs="Arial"/>
                <w:i/>
                <w:iCs/>
                <w:color w:val="000000"/>
                <w:sz w:val="20"/>
                <w:szCs w:val="20"/>
              </w:rPr>
              <w:t>D274</w:t>
            </w:r>
          </w:p>
        </w:tc>
        <w:tc>
          <w:tcPr>
            <w:tcW w:w="79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84</w:t>
            </w:r>
          </w:p>
        </w:tc>
        <w:tc>
          <w:tcPr>
            <w:tcW w:w="901" w:type="dxa"/>
            <w:shd w:val="clear" w:color="auto" w:fill="C2C2C2"/>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874"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77</w:t>
            </w:r>
          </w:p>
        </w:tc>
        <w:tc>
          <w:tcPr>
            <w:tcW w:w="110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82</w:t>
            </w:r>
          </w:p>
        </w:tc>
        <w:tc>
          <w:tcPr>
            <w:tcW w:w="1211"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84</w:t>
            </w:r>
          </w:p>
        </w:tc>
        <w:tc>
          <w:tcPr>
            <w:tcW w:w="1079"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79</w:t>
            </w:r>
          </w:p>
        </w:tc>
        <w:tc>
          <w:tcPr>
            <w:tcW w:w="1134"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77</w:t>
            </w:r>
          </w:p>
        </w:tc>
        <w:tc>
          <w:tcPr>
            <w:tcW w:w="1203"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i/>
                <w:iCs/>
                <w:color w:val="000000"/>
                <w:sz w:val="20"/>
                <w:szCs w:val="20"/>
              </w:rPr>
              <w:t>D274</w:t>
            </w:r>
          </w:p>
        </w:tc>
      </w:tr>
      <w:tr w:rsidR="00C573D8" w:rsidRPr="00C573D8" w:rsidTr="00C573D8">
        <w:trPr>
          <w:trHeight w:val="269"/>
          <w:jc w:val="center"/>
        </w:trPr>
        <w:tc>
          <w:tcPr>
            <w:tcW w:w="1224" w:type="dxa"/>
            <w:noWrap/>
            <w:tcMar>
              <w:top w:w="0" w:type="dxa"/>
              <w:left w:w="108" w:type="dxa"/>
              <w:bottom w:w="0" w:type="dxa"/>
              <w:right w:w="108" w:type="dxa"/>
            </w:tcMar>
            <w:vAlign w:val="bottom"/>
            <w:hideMark/>
          </w:tcPr>
          <w:p w:rsidR="00C573D8" w:rsidRPr="00C573D8" w:rsidRDefault="00C573D8" w:rsidP="00C573D8">
            <w:pPr>
              <w:spacing w:after="0" w:line="240" w:lineRule="auto"/>
              <w:jc w:val="right"/>
              <w:rPr>
                <w:rFonts w:ascii="Arial" w:eastAsia="Times New Roman" w:hAnsi="Arial" w:cs="Arial"/>
                <w:sz w:val="20"/>
                <w:szCs w:val="20"/>
              </w:rPr>
            </w:pPr>
            <w:r w:rsidRPr="00C573D8">
              <w:rPr>
                <w:rFonts w:ascii="Arial" w:eastAsia="Times New Roman" w:hAnsi="Arial" w:cs="Arial"/>
                <w:i/>
                <w:iCs/>
                <w:color w:val="000000"/>
                <w:sz w:val="20"/>
                <w:szCs w:val="20"/>
              </w:rPr>
              <w:t>793B</w:t>
            </w:r>
          </w:p>
        </w:tc>
        <w:tc>
          <w:tcPr>
            <w:tcW w:w="79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78</w:t>
            </w:r>
          </w:p>
        </w:tc>
        <w:tc>
          <w:tcPr>
            <w:tcW w:w="901"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81</w:t>
            </w:r>
          </w:p>
        </w:tc>
        <w:tc>
          <w:tcPr>
            <w:tcW w:w="874" w:type="dxa"/>
            <w:shd w:val="clear" w:color="auto" w:fill="C2C2C2"/>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10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79</w:t>
            </w:r>
          </w:p>
        </w:tc>
        <w:tc>
          <w:tcPr>
            <w:tcW w:w="1211"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77</w:t>
            </w:r>
          </w:p>
        </w:tc>
        <w:tc>
          <w:tcPr>
            <w:tcW w:w="1079"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75</w:t>
            </w:r>
          </w:p>
        </w:tc>
        <w:tc>
          <w:tcPr>
            <w:tcW w:w="1134"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76</w:t>
            </w:r>
          </w:p>
        </w:tc>
        <w:tc>
          <w:tcPr>
            <w:tcW w:w="1203"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i/>
                <w:iCs/>
                <w:color w:val="000000"/>
                <w:sz w:val="20"/>
                <w:szCs w:val="20"/>
              </w:rPr>
              <w:t>793B</w:t>
            </w:r>
          </w:p>
        </w:tc>
      </w:tr>
      <w:tr w:rsidR="00C573D8" w:rsidRPr="00C573D8" w:rsidTr="00C573D8">
        <w:trPr>
          <w:trHeight w:val="269"/>
          <w:jc w:val="center"/>
        </w:trPr>
        <w:tc>
          <w:tcPr>
            <w:tcW w:w="1224" w:type="dxa"/>
            <w:noWrap/>
            <w:tcMar>
              <w:top w:w="0" w:type="dxa"/>
              <w:left w:w="108" w:type="dxa"/>
              <w:bottom w:w="0" w:type="dxa"/>
              <w:right w:w="108" w:type="dxa"/>
            </w:tcMar>
            <w:vAlign w:val="bottom"/>
            <w:hideMark/>
          </w:tcPr>
          <w:p w:rsidR="00C573D8" w:rsidRPr="00C573D8" w:rsidRDefault="00C573D8" w:rsidP="00C573D8">
            <w:pPr>
              <w:spacing w:after="0" w:line="240" w:lineRule="auto"/>
              <w:jc w:val="right"/>
              <w:rPr>
                <w:rFonts w:ascii="Arial" w:eastAsia="Times New Roman" w:hAnsi="Arial" w:cs="Arial"/>
                <w:sz w:val="20"/>
                <w:szCs w:val="20"/>
              </w:rPr>
            </w:pPr>
            <w:r w:rsidRPr="00C573D8">
              <w:rPr>
                <w:rFonts w:ascii="Arial" w:eastAsia="Times New Roman" w:hAnsi="Arial" w:cs="Arial"/>
                <w:i/>
                <w:iCs/>
                <w:color w:val="000000"/>
                <w:sz w:val="20"/>
                <w:szCs w:val="20"/>
              </w:rPr>
              <w:t>IS/885/00</w:t>
            </w:r>
          </w:p>
        </w:tc>
        <w:tc>
          <w:tcPr>
            <w:tcW w:w="79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83</w:t>
            </w:r>
          </w:p>
        </w:tc>
        <w:tc>
          <w:tcPr>
            <w:tcW w:w="901"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79</w:t>
            </w:r>
          </w:p>
        </w:tc>
        <w:tc>
          <w:tcPr>
            <w:tcW w:w="874"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82</w:t>
            </w:r>
          </w:p>
        </w:tc>
        <w:tc>
          <w:tcPr>
            <w:tcW w:w="1100" w:type="dxa"/>
            <w:shd w:val="clear" w:color="auto" w:fill="C2C2C2"/>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211"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82</w:t>
            </w:r>
          </w:p>
        </w:tc>
        <w:tc>
          <w:tcPr>
            <w:tcW w:w="1079"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79</w:t>
            </w:r>
          </w:p>
        </w:tc>
        <w:tc>
          <w:tcPr>
            <w:tcW w:w="1134"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73</w:t>
            </w:r>
          </w:p>
        </w:tc>
        <w:tc>
          <w:tcPr>
            <w:tcW w:w="1203"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i/>
                <w:iCs/>
                <w:color w:val="000000"/>
                <w:sz w:val="20"/>
                <w:szCs w:val="20"/>
              </w:rPr>
              <w:t>IS/885/00</w:t>
            </w:r>
          </w:p>
        </w:tc>
      </w:tr>
      <w:tr w:rsidR="00C573D8" w:rsidRPr="00C573D8" w:rsidTr="00C573D8">
        <w:trPr>
          <w:trHeight w:val="269"/>
          <w:jc w:val="center"/>
        </w:trPr>
        <w:tc>
          <w:tcPr>
            <w:tcW w:w="1224" w:type="dxa"/>
            <w:noWrap/>
            <w:tcMar>
              <w:top w:w="0" w:type="dxa"/>
              <w:left w:w="108" w:type="dxa"/>
              <w:bottom w:w="0" w:type="dxa"/>
              <w:right w:w="108" w:type="dxa"/>
            </w:tcMar>
            <w:vAlign w:val="bottom"/>
            <w:hideMark/>
          </w:tcPr>
          <w:p w:rsidR="00C573D8" w:rsidRPr="00C573D8" w:rsidRDefault="00C573D8" w:rsidP="00C573D8">
            <w:pPr>
              <w:spacing w:after="0" w:line="240" w:lineRule="auto"/>
              <w:jc w:val="right"/>
              <w:rPr>
                <w:rFonts w:ascii="Arial" w:eastAsia="Times New Roman" w:hAnsi="Arial" w:cs="Arial"/>
                <w:sz w:val="20"/>
                <w:szCs w:val="20"/>
              </w:rPr>
            </w:pPr>
            <w:r w:rsidRPr="00C573D8">
              <w:rPr>
                <w:rFonts w:ascii="Arial" w:eastAsia="Times New Roman" w:hAnsi="Arial" w:cs="Arial"/>
                <w:i/>
                <w:iCs/>
                <w:color w:val="000000"/>
                <w:sz w:val="20"/>
                <w:szCs w:val="20"/>
              </w:rPr>
              <w:t>IS/1494/06</w:t>
            </w:r>
          </w:p>
        </w:tc>
        <w:tc>
          <w:tcPr>
            <w:tcW w:w="79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81</w:t>
            </w:r>
          </w:p>
        </w:tc>
        <w:tc>
          <w:tcPr>
            <w:tcW w:w="901"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79</w:t>
            </w:r>
          </w:p>
        </w:tc>
        <w:tc>
          <w:tcPr>
            <w:tcW w:w="874"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79</w:t>
            </w:r>
          </w:p>
        </w:tc>
        <w:tc>
          <w:tcPr>
            <w:tcW w:w="110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83</w:t>
            </w:r>
          </w:p>
        </w:tc>
        <w:tc>
          <w:tcPr>
            <w:tcW w:w="1211" w:type="dxa"/>
            <w:shd w:val="clear" w:color="auto" w:fill="C2C2C2"/>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079"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82</w:t>
            </w:r>
          </w:p>
        </w:tc>
        <w:tc>
          <w:tcPr>
            <w:tcW w:w="1134"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81</w:t>
            </w:r>
          </w:p>
        </w:tc>
        <w:tc>
          <w:tcPr>
            <w:tcW w:w="1203"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i/>
                <w:iCs/>
                <w:color w:val="000000"/>
                <w:sz w:val="20"/>
                <w:szCs w:val="20"/>
              </w:rPr>
              <w:t>IS/1494/06</w:t>
            </w:r>
          </w:p>
        </w:tc>
      </w:tr>
      <w:tr w:rsidR="00C573D8" w:rsidRPr="00C573D8" w:rsidTr="00C573D8">
        <w:trPr>
          <w:trHeight w:val="269"/>
          <w:jc w:val="center"/>
        </w:trPr>
        <w:tc>
          <w:tcPr>
            <w:tcW w:w="1224" w:type="dxa"/>
            <w:noWrap/>
            <w:tcMar>
              <w:top w:w="0" w:type="dxa"/>
              <w:left w:w="108" w:type="dxa"/>
              <w:bottom w:w="0" w:type="dxa"/>
              <w:right w:w="108" w:type="dxa"/>
            </w:tcMar>
            <w:vAlign w:val="bottom"/>
            <w:hideMark/>
          </w:tcPr>
          <w:p w:rsidR="00C573D8" w:rsidRPr="00C573D8" w:rsidRDefault="00C573D8" w:rsidP="00C573D8">
            <w:pPr>
              <w:spacing w:after="0" w:line="240" w:lineRule="auto"/>
              <w:jc w:val="right"/>
              <w:rPr>
                <w:rFonts w:ascii="Arial" w:eastAsia="Times New Roman" w:hAnsi="Arial" w:cs="Arial"/>
                <w:sz w:val="20"/>
                <w:szCs w:val="20"/>
              </w:rPr>
            </w:pPr>
            <w:r w:rsidRPr="00C573D8">
              <w:rPr>
                <w:rFonts w:ascii="Arial" w:eastAsia="Times New Roman" w:hAnsi="Arial" w:cs="Arial"/>
                <w:i/>
                <w:iCs/>
                <w:color w:val="000000"/>
                <w:sz w:val="20"/>
                <w:szCs w:val="20"/>
              </w:rPr>
              <w:t>Q1</w:t>
            </w:r>
          </w:p>
        </w:tc>
        <w:tc>
          <w:tcPr>
            <w:tcW w:w="79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81</w:t>
            </w:r>
          </w:p>
        </w:tc>
        <w:tc>
          <w:tcPr>
            <w:tcW w:w="901"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84</w:t>
            </w:r>
          </w:p>
        </w:tc>
        <w:tc>
          <w:tcPr>
            <w:tcW w:w="874"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79</w:t>
            </w:r>
          </w:p>
        </w:tc>
        <w:tc>
          <w:tcPr>
            <w:tcW w:w="110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83</w:t>
            </w:r>
          </w:p>
        </w:tc>
        <w:tc>
          <w:tcPr>
            <w:tcW w:w="1211"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82</w:t>
            </w:r>
          </w:p>
        </w:tc>
        <w:tc>
          <w:tcPr>
            <w:tcW w:w="1079" w:type="dxa"/>
            <w:shd w:val="clear" w:color="auto" w:fill="C2C2C2"/>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134"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77</w:t>
            </w:r>
          </w:p>
        </w:tc>
        <w:tc>
          <w:tcPr>
            <w:tcW w:w="1203"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i/>
                <w:iCs/>
                <w:color w:val="000000"/>
                <w:sz w:val="20"/>
                <w:szCs w:val="20"/>
              </w:rPr>
              <w:t>Q1</w:t>
            </w:r>
          </w:p>
        </w:tc>
      </w:tr>
      <w:tr w:rsidR="00C573D8" w:rsidRPr="00C573D8" w:rsidTr="00C573D8">
        <w:trPr>
          <w:trHeight w:val="269"/>
          <w:jc w:val="center"/>
        </w:trPr>
        <w:tc>
          <w:tcPr>
            <w:tcW w:w="1224" w:type="dxa"/>
            <w:noWrap/>
            <w:tcMar>
              <w:top w:w="0" w:type="dxa"/>
              <w:left w:w="108" w:type="dxa"/>
              <w:bottom w:w="0" w:type="dxa"/>
              <w:right w:w="108" w:type="dxa"/>
            </w:tcMar>
            <w:vAlign w:val="bottom"/>
            <w:hideMark/>
          </w:tcPr>
          <w:p w:rsidR="00C573D8" w:rsidRPr="00C573D8" w:rsidRDefault="00C573D8" w:rsidP="00C573D8">
            <w:pPr>
              <w:spacing w:after="0" w:line="240" w:lineRule="auto"/>
              <w:jc w:val="right"/>
              <w:rPr>
                <w:rFonts w:ascii="Arial" w:eastAsia="Times New Roman" w:hAnsi="Arial" w:cs="Arial"/>
                <w:sz w:val="20"/>
                <w:szCs w:val="20"/>
              </w:rPr>
            </w:pPr>
            <w:r w:rsidRPr="00C573D8">
              <w:rPr>
                <w:rFonts w:ascii="Arial" w:eastAsia="Times New Roman" w:hAnsi="Arial" w:cs="Arial"/>
                <w:i/>
                <w:iCs/>
                <w:color w:val="000000"/>
                <w:sz w:val="20"/>
                <w:szCs w:val="20"/>
              </w:rPr>
              <w:t>QX</w:t>
            </w:r>
          </w:p>
        </w:tc>
        <w:tc>
          <w:tcPr>
            <w:tcW w:w="79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81</w:t>
            </w:r>
          </w:p>
        </w:tc>
        <w:tc>
          <w:tcPr>
            <w:tcW w:w="901"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75</w:t>
            </w:r>
          </w:p>
        </w:tc>
        <w:tc>
          <w:tcPr>
            <w:tcW w:w="874"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78</w:t>
            </w:r>
          </w:p>
        </w:tc>
        <w:tc>
          <w:tcPr>
            <w:tcW w:w="110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72</w:t>
            </w:r>
          </w:p>
        </w:tc>
        <w:tc>
          <w:tcPr>
            <w:tcW w:w="1211"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74</w:t>
            </w:r>
          </w:p>
        </w:tc>
        <w:tc>
          <w:tcPr>
            <w:tcW w:w="1079"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80</w:t>
            </w:r>
          </w:p>
        </w:tc>
        <w:tc>
          <w:tcPr>
            <w:tcW w:w="1134" w:type="dxa"/>
            <w:shd w:val="clear" w:color="auto" w:fill="C2C2C2"/>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203"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i/>
                <w:iCs/>
                <w:color w:val="000000"/>
                <w:sz w:val="20"/>
                <w:szCs w:val="20"/>
              </w:rPr>
              <w:t>QX</w:t>
            </w:r>
          </w:p>
        </w:tc>
      </w:tr>
      <w:tr w:rsidR="00C573D8" w:rsidRPr="00C573D8" w:rsidTr="00C573D8">
        <w:trPr>
          <w:trHeight w:val="269"/>
          <w:jc w:val="center"/>
        </w:trPr>
        <w:tc>
          <w:tcPr>
            <w:tcW w:w="1224"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color w:val="000000"/>
                <w:sz w:val="20"/>
                <w:szCs w:val="20"/>
              </w:rPr>
              <w:t> </w:t>
            </w:r>
          </w:p>
        </w:tc>
        <w:tc>
          <w:tcPr>
            <w:tcW w:w="796"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M41</w:t>
            </w:r>
          </w:p>
        </w:tc>
        <w:tc>
          <w:tcPr>
            <w:tcW w:w="901"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D274</w:t>
            </w:r>
          </w:p>
        </w:tc>
        <w:tc>
          <w:tcPr>
            <w:tcW w:w="874"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793B</w:t>
            </w:r>
          </w:p>
        </w:tc>
        <w:tc>
          <w:tcPr>
            <w:tcW w:w="1100"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IS/885/00</w:t>
            </w:r>
          </w:p>
        </w:tc>
        <w:tc>
          <w:tcPr>
            <w:tcW w:w="1211"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IS/1494/06</w:t>
            </w:r>
          </w:p>
        </w:tc>
        <w:tc>
          <w:tcPr>
            <w:tcW w:w="1079"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Q1</w:t>
            </w:r>
          </w:p>
        </w:tc>
        <w:tc>
          <w:tcPr>
            <w:tcW w:w="1134"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QX</w:t>
            </w:r>
          </w:p>
        </w:tc>
        <w:tc>
          <w:tcPr>
            <w:tcW w:w="1203"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color w:val="000000"/>
                <w:sz w:val="20"/>
                <w:szCs w:val="20"/>
              </w:rPr>
              <w:t> </w:t>
            </w:r>
          </w:p>
        </w:tc>
      </w:tr>
      <w:tr w:rsidR="00C573D8" w:rsidRPr="00C573D8" w:rsidTr="00C573D8">
        <w:trPr>
          <w:trHeight w:val="269"/>
          <w:jc w:val="center"/>
        </w:trPr>
        <w:tc>
          <w:tcPr>
            <w:tcW w:w="11250" w:type="dxa"/>
            <w:gridSpan w:val="9"/>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Nucleotide identity (%) / Partial S1</w:t>
            </w:r>
          </w:p>
        </w:tc>
      </w:tr>
    </w:tbl>
    <w:p w:rsidR="00C573D8" w:rsidRPr="00C573D8" w:rsidRDefault="00C573D8" w:rsidP="00C573D8">
      <w:pPr>
        <w:spacing w:after="0" w:line="240" w:lineRule="auto"/>
        <w:rPr>
          <w:rFonts w:ascii="Arial" w:eastAsia="Times New Roman" w:hAnsi="Arial" w:cs="Arial"/>
          <w:color w:val="000000"/>
          <w:sz w:val="20"/>
          <w:szCs w:val="20"/>
        </w:rPr>
      </w:pPr>
      <w:r w:rsidRPr="00C573D8">
        <w:rPr>
          <w:rFonts w:ascii="Arial" w:eastAsia="Times New Roman" w:hAnsi="Arial" w:cs="Arial"/>
          <w:color w:val="000000"/>
          <w:sz w:val="20"/>
          <w:szCs w:val="20"/>
        </w:rPr>
        <w:t>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br w:type="page"/>
      </w:r>
      <w:r w:rsidRPr="00C573D8">
        <w:rPr>
          <w:rFonts w:ascii="Arial" w:eastAsia="Times New Roman" w:hAnsi="Arial" w:cs="Arial"/>
          <w:b/>
          <w:bCs/>
          <w:color w:val="000000"/>
          <w:sz w:val="20"/>
          <w:szCs w:val="20"/>
        </w:rPr>
        <w:lastRenderedPageBreak/>
        <w:t>Table 4.</w:t>
      </w:r>
      <w:r w:rsidRPr="00C573D8">
        <w:rPr>
          <w:rFonts w:ascii="Arial" w:eastAsia="Times New Roman" w:hAnsi="Arial" w:cs="Arial"/>
          <w:color w:val="000000"/>
          <w:sz w:val="20"/>
          <w:szCs w:val="20"/>
        </w:rPr>
        <w:t xml:space="preserve"> Amino acid identity (%) comparison of the seven IBV strains used in this study based on the full S1 and partial S1.</w:t>
      </w:r>
    </w:p>
    <w:tbl>
      <w:tblPr>
        <w:tblW w:w="11408" w:type="dxa"/>
        <w:jc w:val="center"/>
        <w:tblCellMar>
          <w:left w:w="0" w:type="dxa"/>
          <w:right w:w="0" w:type="dxa"/>
        </w:tblCellMar>
        <w:tblLook w:val="04A0" w:firstRow="1" w:lastRow="0" w:firstColumn="1" w:lastColumn="0" w:noHBand="0" w:noVBand="1"/>
      </w:tblPr>
      <w:tblGrid>
        <w:gridCol w:w="1261"/>
        <w:gridCol w:w="895"/>
        <w:gridCol w:w="935"/>
        <w:gridCol w:w="966"/>
        <w:gridCol w:w="1076"/>
        <w:gridCol w:w="1307"/>
        <w:gridCol w:w="980"/>
        <w:gridCol w:w="839"/>
        <w:gridCol w:w="3149"/>
      </w:tblGrid>
      <w:tr w:rsidR="00C573D8" w:rsidRPr="00C573D8" w:rsidTr="00C573D8">
        <w:trPr>
          <w:trHeight w:val="269"/>
          <w:jc w:val="center"/>
        </w:trPr>
        <w:tc>
          <w:tcPr>
            <w:tcW w:w="11192" w:type="dxa"/>
            <w:gridSpan w:val="9"/>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Amino acid identity (%) / Full S1</w:t>
            </w:r>
          </w:p>
        </w:tc>
      </w:tr>
      <w:tr w:rsidR="00C573D8" w:rsidRPr="00C573D8" w:rsidTr="00C573D8">
        <w:trPr>
          <w:trHeight w:val="269"/>
          <w:jc w:val="center"/>
        </w:trPr>
        <w:tc>
          <w:tcPr>
            <w:tcW w:w="1259"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color w:val="000000"/>
                <w:sz w:val="20"/>
                <w:szCs w:val="20"/>
              </w:rPr>
              <w:t> </w:t>
            </w:r>
          </w:p>
        </w:tc>
        <w:tc>
          <w:tcPr>
            <w:tcW w:w="893"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M41</w:t>
            </w:r>
          </w:p>
        </w:tc>
        <w:tc>
          <w:tcPr>
            <w:tcW w:w="932"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D274</w:t>
            </w:r>
          </w:p>
        </w:tc>
        <w:tc>
          <w:tcPr>
            <w:tcW w:w="963"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793B</w:t>
            </w:r>
          </w:p>
        </w:tc>
        <w:tc>
          <w:tcPr>
            <w:tcW w:w="888"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IS/885/00</w:t>
            </w:r>
          </w:p>
        </w:tc>
        <w:tc>
          <w:tcPr>
            <w:tcW w:w="1303"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IS/1494/06</w:t>
            </w:r>
          </w:p>
        </w:tc>
        <w:tc>
          <w:tcPr>
            <w:tcW w:w="977"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Q1</w:t>
            </w:r>
          </w:p>
        </w:tc>
        <w:tc>
          <w:tcPr>
            <w:tcW w:w="837"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QX</w:t>
            </w:r>
          </w:p>
        </w:tc>
        <w:tc>
          <w:tcPr>
            <w:tcW w:w="1412"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color w:val="000000"/>
                <w:sz w:val="20"/>
                <w:szCs w:val="20"/>
              </w:rPr>
              <w:t> </w:t>
            </w:r>
          </w:p>
        </w:tc>
      </w:tr>
      <w:tr w:rsidR="00C573D8" w:rsidRPr="00C573D8" w:rsidTr="00C573D8">
        <w:trPr>
          <w:trHeight w:val="269"/>
          <w:jc w:val="center"/>
        </w:trPr>
        <w:tc>
          <w:tcPr>
            <w:tcW w:w="1259" w:type="dxa"/>
            <w:noWrap/>
            <w:tcMar>
              <w:top w:w="0" w:type="dxa"/>
              <w:left w:w="108" w:type="dxa"/>
              <w:bottom w:w="0" w:type="dxa"/>
              <w:right w:w="108" w:type="dxa"/>
            </w:tcMar>
            <w:vAlign w:val="bottom"/>
            <w:hideMark/>
          </w:tcPr>
          <w:p w:rsidR="00C573D8" w:rsidRPr="00C573D8" w:rsidRDefault="00C573D8" w:rsidP="00C573D8">
            <w:pPr>
              <w:spacing w:after="0" w:line="240" w:lineRule="auto"/>
              <w:jc w:val="right"/>
              <w:rPr>
                <w:rFonts w:ascii="Arial" w:eastAsia="Times New Roman" w:hAnsi="Arial" w:cs="Arial"/>
                <w:sz w:val="20"/>
                <w:szCs w:val="20"/>
              </w:rPr>
            </w:pPr>
            <w:r w:rsidRPr="00C573D8">
              <w:rPr>
                <w:rFonts w:ascii="Arial" w:eastAsia="Times New Roman" w:hAnsi="Arial" w:cs="Arial"/>
                <w:i/>
                <w:iCs/>
                <w:color w:val="000000"/>
                <w:sz w:val="20"/>
                <w:szCs w:val="20"/>
              </w:rPr>
              <w:t>M41</w:t>
            </w:r>
          </w:p>
        </w:tc>
        <w:tc>
          <w:tcPr>
            <w:tcW w:w="893" w:type="dxa"/>
            <w:shd w:val="clear" w:color="auto" w:fill="C2C2C2"/>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932"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62</w:t>
            </w:r>
          </w:p>
        </w:tc>
        <w:tc>
          <w:tcPr>
            <w:tcW w:w="96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53</w:t>
            </w:r>
          </w:p>
        </w:tc>
        <w:tc>
          <w:tcPr>
            <w:tcW w:w="888"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60</w:t>
            </w:r>
          </w:p>
        </w:tc>
        <w:tc>
          <w:tcPr>
            <w:tcW w:w="130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52</w:t>
            </w:r>
          </w:p>
        </w:tc>
        <w:tc>
          <w:tcPr>
            <w:tcW w:w="97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56</w:t>
            </w:r>
          </w:p>
        </w:tc>
        <w:tc>
          <w:tcPr>
            <w:tcW w:w="83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52</w:t>
            </w:r>
          </w:p>
        </w:tc>
        <w:tc>
          <w:tcPr>
            <w:tcW w:w="1412"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i/>
                <w:iCs/>
                <w:color w:val="000000"/>
                <w:sz w:val="20"/>
                <w:szCs w:val="20"/>
              </w:rPr>
              <w:t>M41</w:t>
            </w:r>
          </w:p>
        </w:tc>
      </w:tr>
      <w:tr w:rsidR="00C573D8" w:rsidRPr="00C573D8" w:rsidTr="00C573D8">
        <w:trPr>
          <w:trHeight w:val="269"/>
          <w:jc w:val="center"/>
        </w:trPr>
        <w:tc>
          <w:tcPr>
            <w:tcW w:w="1259" w:type="dxa"/>
            <w:noWrap/>
            <w:tcMar>
              <w:top w:w="0" w:type="dxa"/>
              <w:left w:w="108" w:type="dxa"/>
              <w:bottom w:w="0" w:type="dxa"/>
              <w:right w:w="108" w:type="dxa"/>
            </w:tcMar>
            <w:vAlign w:val="bottom"/>
            <w:hideMark/>
          </w:tcPr>
          <w:p w:rsidR="00C573D8" w:rsidRPr="00C573D8" w:rsidRDefault="00C573D8" w:rsidP="00C573D8">
            <w:pPr>
              <w:spacing w:after="0" w:line="240" w:lineRule="auto"/>
              <w:jc w:val="right"/>
              <w:rPr>
                <w:rFonts w:ascii="Arial" w:eastAsia="Times New Roman" w:hAnsi="Arial" w:cs="Arial"/>
                <w:sz w:val="20"/>
                <w:szCs w:val="20"/>
              </w:rPr>
            </w:pPr>
            <w:r w:rsidRPr="00C573D8">
              <w:rPr>
                <w:rFonts w:ascii="Arial" w:eastAsia="Times New Roman" w:hAnsi="Arial" w:cs="Arial"/>
                <w:i/>
                <w:iCs/>
                <w:color w:val="000000"/>
                <w:sz w:val="20"/>
                <w:szCs w:val="20"/>
              </w:rPr>
              <w:t>D274</w:t>
            </w:r>
          </w:p>
        </w:tc>
        <w:tc>
          <w:tcPr>
            <w:tcW w:w="89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79</w:t>
            </w:r>
          </w:p>
        </w:tc>
        <w:tc>
          <w:tcPr>
            <w:tcW w:w="932" w:type="dxa"/>
            <w:shd w:val="clear" w:color="auto" w:fill="C2C2C2"/>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96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61</w:t>
            </w:r>
          </w:p>
        </w:tc>
        <w:tc>
          <w:tcPr>
            <w:tcW w:w="888"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66</w:t>
            </w:r>
          </w:p>
        </w:tc>
        <w:tc>
          <w:tcPr>
            <w:tcW w:w="130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73</w:t>
            </w:r>
          </w:p>
        </w:tc>
        <w:tc>
          <w:tcPr>
            <w:tcW w:w="97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63</w:t>
            </w:r>
          </w:p>
        </w:tc>
        <w:tc>
          <w:tcPr>
            <w:tcW w:w="83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60</w:t>
            </w:r>
          </w:p>
        </w:tc>
        <w:tc>
          <w:tcPr>
            <w:tcW w:w="1412"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i/>
                <w:iCs/>
                <w:color w:val="000000"/>
                <w:sz w:val="20"/>
                <w:szCs w:val="20"/>
              </w:rPr>
              <w:t>D274</w:t>
            </w:r>
          </w:p>
        </w:tc>
      </w:tr>
      <w:tr w:rsidR="00C573D8" w:rsidRPr="00C573D8" w:rsidTr="00C573D8">
        <w:trPr>
          <w:trHeight w:val="269"/>
          <w:jc w:val="center"/>
        </w:trPr>
        <w:tc>
          <w:tcPr>
            <w:tcW w:w="1259" w:type="dxa"/>
            <w:noWrap/>
            <w:tcMar>
              <w:top w:w="0" w:type="dxa"/>
              <w:left w:w="108" w:type="dxa"/>
              <w:bottom w:w="0" w:type="dxa"/>
              <w:right w:w="108" w:type="dxa"/>
            </w:tcMar>
            <w:vAlign w:val="bottom"/>
            <w:hideMark/>
          </w:tcPr>
          <w:p w:rsidR="00C573D8" w:rsidRPr="00C573D8" w:rsidRDefault="00C573D8" w:rsidP="00C573D8">
            <w:pPr>
              <w:spacing w:after="0" w:line="240" w:lineRule="auto"/>
              <w:jc w:val="right"/>
              <w:rPr>
                <w:rFonts w:ascii="Arial" w:eastAsia="Times New Roman" w:hAnsi="Arial" w:cs="Arial"/>
                <w:sz w:val="20"/>
                <w:szCs w:val="20"/>
              </w:rPr>
            </w:pPr>
            <w:r w:rsidRPr="00C573D8">
              <w:rPr>
                <w:rFonts w:ascii="Arial" w:eastAsia="Times New Roman" w:hAnsi="Arial" w:cs="Arial"/>
                <w:i/>
                <w:iCs/>
                <w:color w:val="000000"/>
                <w:sz w:val="20"/>
                <w:szCs w:val="20"/>
              </w:rPr>
              <w:t>793B</w:t>
            </w:r>
          </w:p>
        </w:tc>
        <w:tc>
          <w:tcPr>
            <w:tcW w:w="89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72</w:t>
            </w:r>
          </w:p>
        </w:tc>
        <w:tc>
          <w:tcPr>
            <w:tcW w:w="932"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74</w:t>
            </w:r>
          </w:p>
        </w:tc>
        <w:tc>
          <w:tcPr>
            <w:tcW w:w="963" w:type="dxa"/>
            <w:shd w:val="clear" w:color="auto" w:fill="C2C2C2"/>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888"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65</w:t>
            </w:r>
          </w:p>
        </w:tc>
        <w:tc>
          <w:tcPr>
            <w:tcW w:w="130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62</w:t>
            </w:r>
          </w:p>
        </w:tc>
        <w:tc>
          <w:tcPr>
            <w:tcW w:w="97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57</w:t>
            </w:r>
          </w:p>
        </w:tc>
        <w:tc>
          <w:tcPr>
            <w:tcW w:w="83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58</w:t>
            </w:r>
          </w:p>
        </w:tc>
        <w:tc>
          <w:tcPr>
            <w:tcW w:w="1412"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i/>
                <w:iCs/>
                <w:color w:val="000000"/>
                <w:sz w:val="20"/>
                <w:szCs w:val="20"/>
              </w:rPr>
              <w:t>793B</w:t>
            </w:r>
          </w:p>
        </w:tc>
      </w:tr>
      <w:tr w:rsidR="00C573D8" w:rsidRPr="00C573D8" w:rsidTr="00C573D8">
        <w:trPr>
          <w:trHeight w:val="269"/>
          <w:jc w:val="center"/>
        </w:trPr>
        <w:tc>
          <w:tcPr>
            <w:tcW w:w="1259" w:type="dxa"/>
            <w:noWrap/>
            <w:tcMar>
              <w:top w:w="0" w:type="dxa"/>
              <w:left w:w="108" w:type="dxa"/>
              <w:bottom w:w="0" w:type="dxa"/>
              <w:right w:w="108" w:type="dxa"/>
            </w:tcMar>
            <w:vAlign w:val="bottom"/>
            <w:hideMark/>
          </w:tcPr>
          <w:p w:rsidR="00C573D8" w:rsidRPr="00C573D8" w:rsidRDefault="00C573D8" w:rsidP="00C573D8">
            <w:pPr>
              <w:spacing w:after="0" w:line="240" w:lineRule="auto"/>
              <w:jc w:val="right"/>
              <w:rPr>
                <w:rFonts w:ascii="Arial" w:eastAsia="Times New Roman" w:hAnsi="Arial" w:cs="Arial"/>
                <w:sz w:val="20"/>
                <w:szCs w:val="20"/>
              </w:rPr>
            </w:pPr>
            <w:r w:rsidRPr="00C573D8">
              <w:rPr>
                <w:rFonts w:ascii="Arial" w:eastAsia="Times New Roman" w:hAnsi="Arial" w:cs="Arial"/>
                <w:i/>
                <w:iCs/>
                <w:color w:val="000000"/>
                <w:sz w:val="20"/>
                <w:szCs w:val="20"/>
              </w:rPr>
              <w:t>IS/885/00</w:t>
            </w:r>
          </w:p>
        </w:tc>
        <w:tc>
          <w:tcPr>
            <w:tcW w:w="89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78</w:t>
            </w:r>
          </w:p>
        </w:tc>
        <w:tc>
          <w:tcPr>
            <w:tcW w:w="932"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78</w:t>
            </w:r>
          </w:p>
        </w:tc>
        <w:tc>
          <w:tcPr>
            <w:tcW w:w="96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78</w:t>
            </w:r>
          </w:p>
        </w:tc>
        <w:tc>
          <w:tcPr>
            <w:tcW w:w="888" w:type="dxa"/>
            <w:shd w:val="clear" w:color="auto" w:fill="C2C2C2"/>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30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67</w:t>
            </w:r>
          </w:p>
        </w:tc>
        <w:tc>
          <w:tcPr>
            <w:tcW w:w="97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63</w:t>
            </w:r>
          </w:p>
        </w:tc>
        <w:tc>
          <w:tcPr>
            <w:tcW w:w="83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54</w:t>
            </w:r>
          </w:p>
        </w:tc>
        <w:tc>
          <w:tcPr>
            <w:tcW w:w="1412"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i/>
                <w:iCs/>
                <w:color w:val="000000"/>
                <w:sz w:val="20"/>
                <w:szCs w:val="20"/>
              </w:rPr>
              <w:t>IS/885/00</w:t>
            </w:r>
          </w:p>
        </w:tc>
      </w:tr>
      <w:tr w:rsidR="00C573D8" w:rsidRPr="00C573D8" w:rsidTr="00C573D8">
        <w:trPr>
          <w:trHeight w:val="269"/>
          <w:jc w:val="center"/>
        </w:trPr>
        <w:tc>
          <w:tcPr>
            <w:tcW w:w="1259" w:type="dxa"/>
            <w:noWrap/>
            <w:tcMar>
              <w:top w:w="0" w:type="dxa"/>
              <w:left w:w="108" w:type="dxa"/>
              <w:bottom w:w="0" w:type="dxa"/>
              <w:right w:w="108" w:type="dxa"/>
            </w:tcMar>
            <w:vAlign w:val="bottom"/>
            <w:hideMark/>
          </w:tcPr>
          <w:p w:rsidR="00C573D8" w:rsidRPr="00C573D8" w:rsidRDefault="00C573D8" w:rsidP="00C573D8">
            <w:pPr>
              <w:spacing w:after="0" w:line="240" w:lineRule="auto"/>
              <w:jc w:val="right"/>
              <w:rPr>
                <w:rFonts w:ascii="Arial" w:eastAsia="Times New Roman" w:hAnsi="Arial" w:cs="Arial"/>
                <w:sz w:val="20"/>
                <w:szCs w:val="20"/>
              </w:rPr>
            </w:pPr>
            <w:r w:rsidRPr="00C573D8">
              <w:rPr>
                <w:rFonts w:ascii="Arial" w:eastAsia="Times New Roman" w:hAnsi="Arial" w:cs="Arial"/>
                <w:i/>
                <w:iCs/>
                <w:color w:val="000000"/>
                <w:sz w:val="20"/>
                <w:szCs w:val="20"/>
              </w:rPr>
              <w:t>IS/1494/06</w:t>
            </w:r>
          </w:p>
        </w:tc>
        <w:tc>
          <w:tcPr>
            <w:tcW w:w="89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76</w:t>
            </w:r>
          </w:p>
        </w:tc>
        <w:tc>
          <w:tcPr>
            <w:tcW w:w="932"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79</w:t>
            </w:r>
          </w:p>
        </w:tc>
        <w:tc>
          <w:tcPr>
            <w:tcW w:w="96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75</w:t>
            </w:r>
          </w:p>
        </w:tc>
        <w:tc>
          <w:tcPr>
            <w:tcW w:w="888"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85</w:t>
            </w:r>
          </w:p>
        </w:tc>
        <w:tc>
          <w:tcPr>
            <w:tcW w:w="1303" w:type="dxa"/>
            <w:shd w:val="clear" w:color="auto" w:fill="C2C2C2"/>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97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55</w:t>
            </w:r>
          </w:p>
        </w:tc>
        <w:tc>
          <w:tcPr>
            <w:tcW w:w="83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61</w:t>
            </w:r>
          </w:p>
        </w:tc>
        <w:tc>
          <w:tcPr>
            <w:tcW w:w="1412"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i/>
                <w:iCs/>
                <w:color w:val="000000"/>
                <w:sz w:val="20"/>
                <w:szCs w:val="20"/>
              </w:rPr>
              <w:t>IS/1494/06</w:t>
            </w:r>
          </w:p>
        </w:tc>
      </w:tr>
      <w:tr w:rsidR="00C573D8" w:rsidRPr="00C573D8" w:rsidTr="00C573D8">
        <w:trPr>
          <w:trHeight w:val="269"/>
          <w:jc w:val="center"/>
        </w:trPr>
        <w:tc>
          <w:tcPr>
            <w:tcW w:w="1259" w:type="dxa"/>
            <w:noWrap/>
            <w:tcMar>
              <w:top w:w="0" w:type="dxa"/>
              <w:left w:w="108" w:type="dxa"/>
              <w:bottom w:w="0" w:type="dxa"/>
              <w:right w:w="108" w:type="dxa"/>
            </w:tcMar>
            <w:vAlign w:val="bottom"/>
            <w:hideMark/>
          </w:tcPr>
          <w:p w:rsidR="00C573D8" w:rsidRPr="00C573D8" w:rsidRDefault="00C573D8" w:rsidP="00C573D8">
            <w:pPr>
              <w:spacing w:after="0" w:line="240" w:lineRule="auto"/>
              <w:jc w:val="right"/>
              <w:rPr>
                <w:rFonts w:ascii="Arial" w:eastAsia="Times New Roman" w:hAnsi="Arial" w:cs="Arial"/>
                <w:sz w:val="20"/>
                <w:szCs w:val="20"/>
              </w:rPr>
            </w:pPr>
            <w:r w:rsidRPr="00C573D8">
              <w:rPr>
                <w:rFonts w:ascii="Arial" w:eastAsia="Times New Roman" w:hAnsi="Arial" w:cs="Arial"/>
                <w:i/>
                <w:iCs/>
                <w:color w:val="000000"/>
                <w:sz w:val="20"/>
                <w:szCs w:val="20"/>
              </w:rPr>
              <w:t>Q1</w:t>
            </w:r>
          </w:p>
        </w:tc>
        <w:tc>
          <w:tcPr>
            <w:tcW w:w="89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77</w:t>
            </w:r>
          </w:p>
        </w:tc>
        <w:tc>
          <w:tcPr>
            <w:tcW w:w="932"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84</w:t>
            </w:r>
          </w:p>
        </w:tc>
        <w:tc>
          <w:tcPr>
            <w:tcW w:w="96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76</w:t>
            </w:r>
          </w:p>
        </w:tc>
        <w:tc>
          <w:tcPr>
            <w:tcW w:w="888"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82</w:t>
            </w:r>
          </w:p>
        </w:tc>
        <w:tc>
          <w:tcPr>
            <w:tcW w:w="130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83</w:t>
            </w:r>
          </w:p>
        </w:tc>
        <w:tc>
          <w:tcPr>
            <w:tcW w:w="977" w:type="dxa"/>
            <w:shd w:val="clear" w:color="auto" w:fill="C2C2C2"/>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83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56</w:t>
            </w:r>
          </w:p>
        </w:tc>
        <w:tc>
          <w:tcPr>
            <w:tcW w:w="1412"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i/>
                <w:iCs/>
                <w:color w:val="000000"/>
                <w:sz w:val="20"/>
                <w:szCs w:val="20"/>
              </w:rPr>
              <w:t>Q1</w:t>
            </w:r>
          </w:p>
        </w:tc>
      </w:tr>
      <w:tr w:rsidR="00C573D8" w:rsidRPr="00C573D8" w:rsidTr="00C573D8">
        <w:trPr>
          <w:trHeight w:val="269"/>
          <w:jc w:val="center"/>
        </w:trPr>
        <w:tc>
          <w:tcPr>
            <w:tcW w:w="1259" w:type="dxa"/>
            <w:noWrap/>
            <w:tcMar>
              <w:top w:w="0" w:type="dxa"/>
              <w:left w:w="108" w:type="dxa"/>
              <w:bottom w:w="0" w:type="dxa"/>
              <w:right w:w="108" w:type="dxa"/>
            </w:tcMar>
            <w:vAlign w:val="bottom"/>
            <w:hideMark/>
          </w:tcPr>
          <w:p w:rsidR="00C573D8" w:rsidRPr="00C573D8" w:rsidRDefault="00C573D8" w:rsidP="00C573D8">
            <w:pPr>
              <w:spacing w:after="0" w:line="240" w:lineRule="auto"/>
              <w:jc w:val="right"/>
              <w:rPr>
                <w:rFonts w:ascii="Arial" w:eastAsia="Times New Roman" w:hAnsi="Arial" w:cs="Arial"/>
                <w:sz w:val="20"/>
                <w:szCs w:val="20"/>
              </w:rPr>
            </w:pPr>
            <w:r w:rsidRPr="00C573D8">
              <w:rPr>
                <w:rFonts w:ascii="Arial" w:eastAsia="Times New Roman" w:hAnsi="Arial" w:cs="Arial"/>
                <w:i/>
                <w:iCs/>
                <w:color w:val="000000"/>
                <w:sz w:val="20"/>
                <w:szCs w:val="20"/>
              </w:rPr>
              <w:t>QX</w:t>
            </w:r>
          </w:p>
        </w:tc>
        <w:tc>
          <w:tcPr>
            <w:tcW w:w="89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76</w:t>
            </w:r>
          </w:p>
        </w:tc>
        <w:tc>
          <w:tcPr>
            <w:tcW w:w="932"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56</w:t>
            </w:r>
          </w:p>
        </w:tc>
        <w:tc>
          <w:tcPr>
            <w:tcW w:w="96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59</w:t>
            </w:r>
          </w:p>
        </w:tc>
        <w:tc>
          <w:tcPr>
            <w:tcW w:w="888"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48</w:t>
            </w:r>
          </w:p>
        </w:tc>
        <w:tc>
          <w:tcPr>
            <w:tcW w:w="1303"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52</w:t>
            </w:r>
          </w:p>
        </w:tc>
        <w:tc>
          <w:tcPr>
            <w:tcW w:w="97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79</w:t>
            </w:r>
          </w:p>
        </w:tc>
        <w:tc>
          <w:tcPr>
            <w:tcW w:w="837" w:type="dxa"/>
            <w:shd w:val="clear" w:color="auto" w:fill="C2C2C2"/>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412"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i/>
                <w:iCs/>
                <w:color w:val="000000"/>
                <w:sz w:val="20"/>
                <w:szCs w:val="20"/>
              </w:rPr>
              <w:t>QX</w:t>
            </w:r>
          </w:p>
        </w:tc>
      </w:tr>
      <w:tr w:rsidR="00C573D8" w:rsidRPr="00C573D8" w:rsidTr="00C573D8">
        <w:trPr>
          <w:trHeight w:val="269"/>
          <w:jc w:val="center"/>
        </w:trPr>
        <w:tc>
          <w:tcPr>
            <w:tcW w:w="1259"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color w:val="000000"/>
                <w:sz w:val="20"/>
                <w:szCs w:val="20"/>
              </w:rPr>
              <w:t> </w:t>
            </w:r>
          </w:p>
        </w:tc>
        <w:tc>
          <w:tcPr>
            <w:tcW w:w="893"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M41</w:t>
            </w:r>
          </w:p>
        </w:tc>
        <w:tc>
          <w:tcPr>
            <w:tcW w:w="932"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D274</w:t>
            </w:r>
          </w:p>
        </w:tc>
        <w:tc>
          <w:tcPr>
            <w:tcW w:w="963"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793B</w:t>
            </w:r>
          </w:p>
        </w:tc>
        <w:tc>
          <w:tcPr>
            <w:tcW w:w="888"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IS/885/00</w:t>
            </w:r>
          </w:p>
        </w:tc>
        <w:tc>
          <w:tcPr>
            <w:tcW w:w="1303"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IS/1494/06</w:t>
            </w:r>
          </w:p>
        </w:tc>
        <w:tc>
          <w:tcPr>
            <w:tcW w:w="977"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Q1</w:t>
            </w:r>
          </w:p>
        </w:tc>
        <w:tc>
          <w:tcPr>
            <w:tcW w:w="837"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QX</w:t>
            </w:r>
          </w:p>
        </w:tc>
        <w:tc>
          <w:tcPr>
            <w:tcW w:w="1412"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color w:val="000000"/>
                <w:sz w:val="20"/>
                <w:szCs w:val="20"/>
              </w:rPr>
              <w:t> </w:t>
            </w:r>
          </w:p>
        </w:tc>
      </w:tr>
      <w:tr w:rsidR="00C573D8" w:rsidRPr="00C573D8" w:rsidTr="00C573D8">
        <w:trPr>
          <w:trHeight w:val="269"/>
          <w:jc w:val="center"/>
        </w:trPr>
        <w:tc>
          <w:tcPr>
            <w:tcW w:w="11192" w:type="dxa"/>
            <w:gridSpan w:val="9"/>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Amino acid identity (%) / Partial S1</w:t>
            </w:r>
          </w:p>
        </w:tc>
      </w:tr>
    </w:tbl>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br w:type="page"/>
      </w:r>
      <w:r w:rsidRPr="00C573D8">
        <w:rPr>
          <w:rFonts w:ascii="Arial" w:eastAsia="Times New Roman" w:hAnsi="Arial" w:cs="Arial"/>
          <w:b/>
          <w:bCs/>
          <w:color w:val="000000"/>
          <w:sz w:val="20"/>
          <w:szCs w:val="20"/>
        </w:rPr>
        <w:lastRenderedPageBreak/>
        <w:t>Table 5.</w:t>
      </w:r>
      <w:r w:rsidRPr="00C573D8">
        <w:rPr>
          <w:rFonts w:ascii="Arial" w:eastAsia="Times New Roman" w:hAnsi="Arial" w:cs="Arial"/>
          <w:color w:val="000000"/>
          <w:sz w:val="20"/>
          <w:szCs w:val="20"/>
        </w:rPr>
        <w:t xml:space="preserve"> IBV detection limits (CD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 xml:space="preserve">/ml) using the partial-S1 assay from FTA cards following IBV strain inoculation and up to 21 days incubation at varying temperatures.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 </w:t>
      </w:r>
    </w:p>
    <w:tbl>
      <w:tblPr>
        <w:tblW w:w="16064" w:type="dxa"/>
        <w:jc w:val="center"/>
        <w:tblCellMar>
          <w:left w:w="0" w:type="dxa"/>
          <w:right w:w="0" w:type="dxa"/>
        </w:tblCellMar>
        <w:tblLook w:val="04A0" w:firstRow="1" w:lastRow="0" w:firstColumn="1" w:lastColumn="0" w:noHBand="0" w:noVBand="1"/>
      </w:tblPr>
      <w:tblGrid>
        <w:gridCol w:w="677"/>
        <w:gridCol w:w="808"/>
        <w:gridCol w:w="808"/>
        <w:gridCol w:w="1636"/>
        <w:gridCol w:w="273"/>
        <w:gridCol w:w="808"/>
        <w:gridCol w:w="884"/>
        <w:gridCol w:w="1636"/>
        <w:gridCol w:w="273"/>
        <w:gridCol w:w="808"/>
        <w:gridCol w:w="884"/>
        <w:gridCol w:w="1636"/>
        <w:gridCol w:w="273"/>
        <w:gridCol w:w="884"/>
        <w:gridCol w:w="808"/>
        <w:gridCol w:w="2968"/>
      </w:tblGrid>
      <w:tr w:rsidR="00C573D8" w:rsidRPr="00C573D8" w:rsidTr="00C573D8">
        <w:trPr>
          <w:trHeight w:val="269"/>
          <w:jc w:val="center"/>
        </w:trPr>
        <w:tc>
          <w:tcPr>
            <w:tcW w:w="660"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color w:val="000000"/>
                <w:sz w:val="20"/>
                <w:szCs w:val="20"/>
              </w:rPr>
              <w:t> </w:t>
            </w:r>
          </w:p>
        </w:tc>
        <w:tc>
          <w:tcPr>
            <w:tcW w:w="14972" w:type="dxa"/>
            <w:gridSpan w:val="15"/>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Strain</w:t>
            </w:r>
          </w:p>
        </w:tc>
      </w:tr>
      <w:tr w:rsidR="00C573D8" w:rsidRPr="00C573D8" w:rsidTr="00C573D8">
        <w:trPr>
          <w:trHeight w:val="269"/>
          <w:jc w:val="center"/>
        </w:trPr>
        <w:tc>
          <w:tcPr>
            <w:tcW w:w="66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3164" w:type="dxa"/>
            <w:gridSpan w:val="3"/>
            <w:tcBorders>
              <w:top w:val="nil"/>
              <w:left w:val="nil"/>
              <w:bottom w:val="nil"/>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M41</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3238" w:type="dxa"/>
            <w:gridSpan w:val="3"/>
            <w:tcBorders>
              <w:top w:val="nil"/>
              <w:left w:val="nil"/>
              <w:bottom w:val="nil"/>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793B</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3238" w:type="dxa"/>
            <w:gridSpan w:val="3"/>
            <w:tcBorders>
              <w:top w:val="nil"/>
              <w:left w:val="nil"/>
              <w:bottom w:val="nil"/>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IS/1494/06</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3238" w:type="dxa"/>
            <w:gridSpan w:val="3"/>
            <w:tcBorders>
              <w:top w:val="nil"/>
              <w:left w:val="nil"/>
              <w:bottom w:val="nil"/>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Q1</w:t>
            </w:r>
          </w:p>
        </w:tc>
      </w:tr>
      <w:tr w:rsidR="00C573D8" w:rsidRPr="00C573D8" w:rsidTr="00C573D8">
        <w:trPr>
          <w:trHeight w:val="309"/>
          <w:jc w:val="center"/>
        </w:trPr>
        <w:tc>
          <w:tcPr>
            <w:tcW w:w="66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14972" w:type="dxa"/>
            <w:gridSpan w:val="15"/>
            <w:tcBorders>
              <w:top w:val="single" w:sz="4" w:space="0" w:color="000000"/>
              <w:left w:val="nil"/>
              <w:bottom w:val="nil"/>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Temperature (</w:t>
            </w:r>
            <w:proofErr w:type="spellStart"/>
            <w:r w:rsidRPr="00C573D8">
              <w:rPr>
                <w:rFonts w:ascii="Arial" w:eastAsia="Times New Roman" w:hAnsi="Arial" w:cs="Arial"/>
                <w:b/>
                <w:bCs/>
                <w:color w:val="000000"/>
                <w:sz w:val="20"/>
                <w:szCs w:val="20"/>
                <w:vertAlign w:val="superscript"/>
              </w:rPr>
              <w:t>o</w:t>
            </w:r>
            <w:r w:rsidRPr="00C573D8">
              <w:rPr>
                <w:rFonts w:ascii="Arial" w:eastAsia="Times New Roman" w:hAnsi="Arial" w:cs="Arial"/>
                <w:b/>
                <w:bCs/>
                <w:color w:val="000000"/>
                <w:sz w:val="20"/>
                <w:szCs w:val="20"/>
              </w:rPr>
              <w:t>C</w:t>
            </w:r>
            <w:proofErr w:type="spellEnd"/>
            <w:r w:rsidRPr="00C573D8">
              <w:rPr>
                <w:rFonts w:ascii="Arial" w:eastAsia="Times New Roman" w:hAnsi="Arial" w:cs="Arial"/>
                <w:b/>
                <w:bCs/>
                <w:color w:val="000000"/>
                <w:sz w:val="20"/>
                <w:szCs w:val="20"/>
              </w:rPr>
              <w:t>)</w:t>
            </w:r>
          </w:p>
        </w:tc>
      </w:tr>
      <w:tr w:rsidR="00C573D8" w:rsidRPr="00C573D8" w:rsidTr="00C573D8">
        <w:trPr>
          <w:trHeight w:val="537"/>
          <w:jc w:val="center"/>
        </w:trPr>
        <w:tc>
          <w:tcPr>
            <w:tcW w:w="660"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DPI</w:t>
            </w:r>
          </w:p>
        </w:tc>
        <w:tc>
          <w:tcPr>
            <w:tcW w:w="786"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w:t>
            </w:r>
          </w:p>
        </w:tc>
        <w:tc>
          <w:tcPr>
            <w:tcW w:w="786"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40</w:t>
            </w:r>
          </w:p>
        </w:tc>
        <w:tc>
          <w:tcPr>
            <w:tcW w:w="1160"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Room</w:t>
            </w:r>
          </w:p>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Temperature</w:t>
            </w:r>
          </w:p>
        </w:tc>
        <w:tc>
          <w:tcPr>
            <w:tcW w:w="266" w:type="dxa"/>
            <w:tcBorders>
              <w:top w:val="single" w:sz="8" w:space="0" w:color="000000"/>
              <w:left w:val="nil"/>
              <w:bottom w:val="single" w:sz="8"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rPr>
                <w:rFonts w:ascii="Arial" w:eastAsia="Times New Roman" w:hAnsi="Arial" w:cs="Arial"/>
                <w:sz w:val="20"/>
                <w:szCs w:val="20"/>
              </w:rPr>
            </w:pPr>
          </w:p>
        </w:tc>
        <w:tc>
          <w:tcPr>
            <w:tcW w:w="786"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w:t>
            </w:r>
          </w:p>
        </w:tc>
        <w:tc>
          <w:tcPr>
            <w:tcW w:w="860"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40</w:t>
            </w:r>
          </w:p>
        </w:tc>
        <w:tc>
          <w:tcPr>
            <w:tcW w:w="1160"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Room</w:t>
            </w:r>
          </w:p>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Temperature</w:t>
            </w:r>
          </w:p>
        </w:tc>
        <w:tc>
          <w:tcPr>
            <w:tcW w:w="266" w:type="dxa"/>
            <w:tcBorders>
              <w:top w:val="single" w:sz="8" w:space="0" w:color="000000"/>
              <w:left w:val="nil"/>
              <w:bottom w:val="single" w:sz="8"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rPr>
                <w:rFonts w:ascii="Arial" w:eastAsia="Times New Roman" w:hAnsi="Arial" w:cs="Arial"/>
                <w:sz w:val="20"/>
                <w:szCs w:val="20"/>
              </w:rPr>
            </w:pPr>
          </w:p>
        </w:tc>
        <w:tc>
          <w:tcPr>
            <w:tcW w:w="786"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w:t>
            </w:r>
          </w:p>
        </w:tc>
        <w:tc>
          <w:tcPr>
            <w:tcW w:w="860"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40</w:t>
            </w:r>
          </w:p>
        </w:tc>
        <w:tc>
          <w:tcPr>
            <w:tcW w:w="1160"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Room</w:t>
            </w:r>
          </w:p>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Temperature</w:t>
            </w:r>
          </w:p>
        </w:tc>
        <w:tc>
          <w:tcPr>
            <w:tcW w:w="266" w:type="dxa"/>
            <w:tcBorders>
              <w:top w:val="single" w:sz="8" w:space="0" w:color="000000"/>
              <w:left w:val="nil"/>
              <w:bottom w:val="single" w:sz="8"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rPr>
                <w:rFonts w:ascii="Arial" w:eastAsia="Times New Roman" w:hAnsi="Arial" w:cs="Arial"/>
                <w:sz w:val="20"/>
                <w:szCs w:val="20"/>
              </w:rPr>
            </w:pPr>
          </w:p>
        </w:tc>
        <w:tc>
          <w:tcPr>
            <w:tcW w:w="860"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w:t>
            </w:r>
          </w:p>
        </w:tc>
        <w:tc>
          <w:tcPr>
            <w:tcW w:w="786"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40</w:t>
            </w:r>
          </w:p>
        </w:tc>
        <w:tc>
          <w:tcPr>
            <w:tcW w:w="1160"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Room</w:t>
            </w:r>
          </w:p>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Temperature</w:t>
            </w:r>
          </w:p>
        </w:tc>
      </w:tr>
      <w:tr w:rsidR="00C573D8" w:rsidRPr="00C573D8" w:rsidTr="00C573D8">
        <w:trPr>
          <w:trHeight w:val="309"/>
          <w:jc w:val="center"/>
        </w:trPr>
        <w:tc>
          <w:tcPr>
            <w:tcW w:w="6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w:t>
            </w: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3.33</w:t>
            </w: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3.33</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3.33</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3.38</w:t>
            </w:r>
          </w:p>
        </w:tc>
        <w:tc>
          <w:tcPr>
            <w:tcW w:w="8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3.38</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2.38</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8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8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1.5</w:t>
            </w: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1.5</w:t>
            </w:r>
          </w:p>
        </w:tc>
      </w:tr>
      <w:tr w:rsidR="00C573D8" w:rsidRPr="00C573D8" w:rsidTr="00C573D8">
        <w:trPr>
          <w:trHeight w:val="309"/>
          <w:jc w:val="center"/>
        </w:trPr>
        <w:tc>
          <w:tcPr>
            <w:tcW w:w="6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2</w:t>
            </w: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3.33</w:t>
            </w: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4.33</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3.33</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2.38</w:t>
            </w:r>
          </w:p>
        </w:tc>
        <w:tc>
          <w:tcPr>
            <w:tcW w:w="8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3.38</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2.38</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8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8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1.5</w:t>
            </w: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1.5</w:t>
            </w:r>
          </w:p>
        </w:tc>
      </w:tr>
      <w:tr w:rsidR="00C573D8" w:rsidRPr="00C573D8" w:rsidTr="00C573D8">
        <w:trPr>
          <w:trHeight w:val="309"/>
          <w:jc w:val="center"/>
        </w:trPr>
        <w:tc>
          <w:tcPr>
            <w:tcW w:w="6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3</w:t>
            </w: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1.33</w:t>
            </w: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3.33</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2.33</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2.38</w:t>
            </w:r>
          </w:p>
        </w:tc>
        <w:tc>
          <w:tcPr>
            <w:tcW w:w="8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3.38</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2.38</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4.5</w:t>
            </w:r>
          </w:p>
        </w:tc>
        <w:tc>
          <w:tcPr>
            <w:tcW w:w="8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4</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8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1.5</w:t>
            </w: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1.5</w:t>
            </w:r>
          </w:p>
        </w:tc>
      </w:tr>
      <w:tr w:rsidR="00C573D8" w:rsidRPr="00C573D8" w:rsidTr="00C573D8">
        <w:trPr>
          <w:trHeight w:val="309"/>
          <w:jc w:val="center"/>
        </w:trPr>
        <w:tc>
          <w:tcPr>
            <w:tcW w:w="6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w:t>
            </w: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2.33</w:t>
            </w: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5.33</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3.33</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3.38</w:t>
            </w:r>
          </w:p>
        </w:tc>
        <w:tc>
          <w:tcPr>
            <w:tcW w:w="8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4.38</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3.38</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3.5</w:t>
            </w:r>
          </w:p>
        </w:tc>
        <w:tc>
          <w:tcPr>
            <w:tcW w:w="8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4.5</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4.5</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8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r>
      <w:tr w:rsidR="00C573D8" w:rsidRPr="00C573D8" w:rsidTr="00C573D8">
        <w:trPr>
          <w:trHeight w:val="309"/>
          <w:jc w:val="center"/>
        </w:trPr>
        <w:tc>
          <w:tcPr>
            <w:tcW w:w="6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14</w:t>
            </w: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1.33</w:t>
            </w: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3.33</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2.33</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2.38</w:t>
            </w:r>
          </w:p>
        </w:tc>
        <w:tc>
          <w:tcPr>
            <w:tcW w:w="8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3.38</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3.38</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8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5.5</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1.5</w:t>
            </w:r>
          </w:p>
        </w:tc>
        <w:tc>
          <w:tcPr>
            <w:tcW w:w="266"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8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78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116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1.5</w:t>
            </w:r>
          </w:p>
        </w:tc>
      </w:tr>
      <w:tr w:rsidR="00C573D8" w:rsidRPr="00C573D8" w:rsidTr="00C573D8">
        <w:trPr>
          <w:trHeight w:val="309"/>
          <w:jc w:val="center"/>
        </w:trPr>
        <w:tc>
          <w:tcPr>
            <w:tcW w:w="660"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21</w:t>
            </w:r>
          </w:p>
        </w:tc>
        <w:tc>
          <w:tcPr>
            <w:tcW w:w="786"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1.33</w:t>
            </w:r>
          </w:p>
        </w:tc>
        <w:tc>
          <w:tcPr>
            <w:tcW w:w="786"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3.33</w:t>
            </w:r>
          </w:p>
        </w:tc>
        <w:tc>
          <w:tcPr>
            <w:tcW w:w="1160"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2.33</w:t>
            </w:r>
          </w:p>
        </w:tc>
        <w:tc>
          <w:tcPr>
            <w:tcW w:w="266" w:type="dxa"/>
            <w:tcBorders>
              <w:top w:val="nil"/>
              <w:left w:val="nil"/>
              <w:bottom w:val="single" w:sz="8"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786"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2.38</w:t>
            </w:r>
          </w:p>
        </w:tc>
        <w:tc>
          <w:tcPr>
            <w:tcW w:w="860"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3.38</w:t>
            </w:r>
          </w:p>
        </w:tc>
        <w:tc>
          <w:tcPr>
            <w:tcW w:w="1160"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3.38</w:t>
            </w:r>
          </w:p>
        </w:tc>
        <w:tc>
          <w:tcPr>
            <w:tcW w:w="266" w:type="dxa"/>
            <w:tcBorders>
              <w:top w:val="nil"/>
              <w:left w:val="nil"/>
              <w:bottom w:val="single" w:sz="8"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786"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c>
          <w:tcPr>
            <w:tcW w:w="860"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2B6E20" w:rsidRDefault="00C573D8" w:rsidP="00C573D8">
            <w:pPr>
              <w:spacing w:after="0" w:line="240" w:lineRule="auto"/>
              <w:jc w:val="center"/>
              <w:rPr>
                <w:rFonts w:ascii="Arial" w:eastAsia="Times New Roman" w:hAnsi="Arial" w:cs="Arial"/>
                <w:sz w:val="20"/>
                <w:szCs w:val="20"/>
                <w:vertAlign w:val="superscript"/>
              </w:rPr>
            </w:pPr>
            <w:r w:rsidRPr="00C573D8">
              <w:rPr>
                <w:rFonts w:ascii="Arial" w:eastAsia="Times New Roman" w:hAnsi="Arial" w:cs="Arial"/>
                <w:color w:val="000000"/>
                <w:sz w:val="20"/>
                <w:szCs w:val="20"/>
              </w:rPr>
              <w:t>+</w:t>
            </w:r>
            <w:r w:rsidR="00EE7E69">
              <w:rPr>
                <w:rFonts w:ascii="Arial" w:eastAsia="Times New Roman" w:hAnsi="Arial" w:cs="Arial"/>
                <w:color w:val="000000"/>
                <w:sz w:val="20"/>
                <w:szCs w:val="20"/>
                <w:vertAlign w:val="superscript"/>
              </w:rPr>
              <w:t>a</w:t>
            </w:r>
          </w:p>
        </w:tc>
        <w:tc>
          <w:tcPr>
            <w:tcW w:w="1160"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3.5</w:t>
            </w:r>
          </w:p>
        </w:tc>
        <w:tc>
          <w:tcPr>
            <w:tcW w:w="266" w:type="dxa"/>
            <w:tcBorders>
              <w:top w:val="nil"/>
              <w:left w:val="nil"/>
              <w:bottom w:val="single" w:sz="8"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860"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1.5</w:t>
            </w:r>
          </w:p>
        </w:tc>
        <w:tc>
          <w:tcPr>
            <w:tcW w:w="786"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4.5</w:t>
            </w:r>
          </w:p>
        </w:tc>
        <w:tc>
          <w:tcPr>
            <w:tcW w:w="1160"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2.5</w:t>
            </w:r>
          </w:p>
        </w:tc>
      </w:tr>
    </w:tbl>
    <w:p w:rsidR="00C573D8" w:rsidRPr="00C573D8" w:rsidRDefault="00EE7E69" w:rsidP="00C573D8">
      <w:pPr>
        <w:spacing w:after="0" w:line="440" w:lineRule="atLeast"/>
        <w:jc w:val="both"/>
        <w:rPr>
          <w:rFonts w:ascii="Arial" w:eastAsia="Times New Roman" w:hAnsi="Arial" w:cs="Arial"/>
          <w:color w:val="000000"/>
          <w:sz w:val="20"/>
          <w:szCs w:val="20"/>
        </w:rPr>
      </w:pPr>
      <w:r>
        <w:rPr>
          <w:rFonts w:ascii="Arial" w:eastAsia="Times New Roman" w:hAnsi="Arial" w:cs="Arial"/>
          <w:color w:val="000000"/>
          <w:sz w:val="20"/>
          <w:szCs w:val="20"/>
          <w:vertAlign w:val="superscript"/>
        </w:rPr>
        <w:t>a</w:t>
      </w:r>
      <w:r w:rsidR="002B6E20">
        <w:rPr>
          <w:rFonts w:ascii="Arial" w:eastAsia="Times New Roman" w:hAnsi="Arial" w:cs="Arial"/>
          <w:color w:val="000000"/>
          <w:sz w:val="20"/>
          <w:szCs w:val="20"/>
          <w:vertAlign w:val="superscript"/>
        </w:rPr>
        <w:t xml:space="preserve"> </w:t>
      </w:r>
      <w:r w:rsidR="002B6E20">
        <w:rPr>
          <w:rFonts w:ascii="Arial" w:eastAsia="Times New Roman" w:hAnsi="Arial" w:cs="Arial"/>
          <w:color w:val="000000"/>
          <w:sz w:val="20"/>
          <w:szCs w:val="20"/>
        </w:rPr>
        <w:t>V</w:t>
      </w:r>
      <w:r>
        <w:rPr>
          <w:rFonts w:ascii="Arial" w:eastAsia="Times New Roman" w:hAnsi="Arial" w:cs="Arial"/>
          <w:color w:val="000000"/>
          <w:sz w:val="20"/>
          <w:szCs w:val="20"/>
        </w:rPr>
        <w:t>irus was only detected in the undiluted fluid</w:t>
      </w:r>
    </w:p>
    <w:p w:rsidR="00C573D8" w:rsidRPr="00C573D8" w:rsidRDefault="00C573D8" w:rsidP="00C573D8">
      <w:pPr>
        <w:spacing w:after="0" w:line="440" w:lineRule="atLeast"/>
        <w:rPr>
          <w:rFonts w:ascii="Arial" w:eastAsia="Times New Roman" w:hAnsi="Arial" w:cs="Arial"/>
          <w:color w:val="000000"/>
          <w:sz w:val="20"/>
          <w:szCs w:val="20"/>
        </w:rPr>
      </w:pPr>
      <w:r w:rsidRPr="00C573D8">
        <w:rPr>
          <w:rFonts w:ascii="Arial" w:eastAsia="Times New Roman" w:hAnsi="Arial" w:cs="Arial"/>
          <w:color w:val="000000"/>
          <w:sz w:val="20"/>
          <w:szCs w:val="20"/>
        </w:rPr>
        <w:t xml:space="preserve">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br w:type="page"/>
      </w:r>
      <w:r w:rsidRPr="00C573D8">
        <w:rPr>
          <w:rFonts w:ascii="Arial" w:eastAsia="Times New Roman" w:hAnsi="Arial" w:cs="Arial"/>
          <w:b/>
          <w:bCs/>
          <w:color w:val="000000"/>
          <w:sz w:val="20"/>
          <w:szCs w:val="20"/>
        </w:rPr>
        <w:lastRenderedPageBreak/>
        <w:t>Table 6.</w:t>
      </w:r>
      <w:r w:rsidRPr="00C573D8">
        <w:rPr>
          <w:rFonts w:ascii="Arial" w:eastAsia="Times New Roman" w:hAnsi="Arial" w:cs="Arial"/>
          <w:color w:val="000000"/>
          <w:sz w:val="20"/>
          <w:szCs w:val="20"/>
        </w:rPr>
        <w:t xml:space="preserve"> IBV detection limits (CD</w:t>
      </w:r>
      <w:r w:rsidRPr="00C573D8">
        <w:rPr>
          <w:rFonts w:ascii="Arial" w:eastAsia="Times New Roman" w:hAnsi="Arial" w:cs="Arial"/>
          <w:color w:val="000000"/>
          <w:sz w:val="20"/>
          <w:szCs w:val="20"/>
          <w:vertAlign w:val="subscript"/>
        </w:rPr>
        <w:t>50</w:t>
      </w:r>
      <w:r w:rsidRPr="00C573D8">
        <w:rPr>
          <w:rFonts w:ascii="Arial" w:eastAsia="Times New Roman" w:hAnsi="Arial" w:cs="Arial"/>
          <w:color w:val="000000"/>
          <w:sz w:val="20"/>
          <w:szCs w:val="20"/>
        </w:rPr>
        <w:t xml:space="preserve">/ml) using the full S1 assay from FTA cards following IBV strain inoculation and up to 21 days of storage at different temperatures. </w:t>
      </w:r>
    </w:p>
    <w:tbl>
      <w:tblPr>
        <w:tblW w:w="15359" w:type="dxa"/>
        <w:jc w:val="center"/>
        <w:tblCellMar>
          <w:left w:w="0" w:type="dxa"/>
          <w:right w:w="0" w:type="dxa"/>
        </w:tblCellMar>
        <w:tblLook w:val="04A0" w:firstRow="1" w:lastRow="0" w:firstColumn="1" w:lastColumn="0" w:noHBand="0" w:noVBand="1"/>
      </w:tblPr>
      <w:tblGrid>
        <w:gridCol w:w="678"/>
        <w:gridCol w:w="977"/>
        <w:gridCol w:w="516"/>
        <w:gridCol w:w="1636"/>
        <w:gridCol w:w="280"/>
        <w:gridCol w:w="976"/>
        <w:gridCol w:w="515"/>
        <w:gridCol w:w="1636"/>
        <w:gridCol w:w="280"/>
        <w:gridCol w:w="976"/>
        <w:gridCol w:w="515"/>
        <w:gridCol w:w="1636"/>
        <w:gridCol w:w="280"/>
        <w:gridCol w:w="976"/>
        <w:gridCol w:w="515"/>
        <w:gridCol w:w="2967"/>
      </w:tblGrid>
      <w:tr w:rsidR="00C573D8" w:rsidRPr="00C573D8" w:rsidTr="002B6E20">
        <w:trPr>
          <w:trHeight w:val="269"/>
          <w:jc w:val="center"/>
        </w:trPr>
        <w:tc>
          <w:tcPr>
            <w:tcW w:w="678" w:type="dxa"/>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r w:rsidRPr="00C573D8">
              <w:rPr>
                <w:rFonts w:ascii="Arial" w:eastAsia="Times New Roman" w:hAnsi="Arial" w:cs="Arial"/>
                <w:color w:val="000000"/>
                <w:sz w:val="20"/>
                <w:szCs w:val="20"/>
              </w:rPr>
              <w:t> </w:t>
            </w:r>
          </w:p>
        </w:tc>
        <w:tc>
          <w:tcPr>
            <w:tcW w:w="14681" w:type="dxa"/>
            <w:gridSpan w:val="15"/>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Strain</w:t>
            </w:r>
          </w:p>
        </w:tc>
      </w:tr>
      <w:tr w:rsidR="00C573D8" w:rsidRPr="00C573D8" w:rsidTr="002B6E20">
        <w:trPr>
          <w:trHeight w:val="269"/>
          <w:jc w:val="center"/>
        </w:trPr>
        <w:tc>
          <w:tcPr>
            <w:tcW w:w="678"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3129" w:type="dxa"/>
            <w:gridSpan w:val="3"/>
            <w:tcBorders>
              <w:top w:val="nil"/>
              <w:left w:val="nil"/>
              <w:bottom w:val="nil"/>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M41</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3127" w:type="dxa"/>
            <w:gridSpan w:val="3"/>
            <w:tcBorders>
              <w:top w:val="nil"/>
              <w:left w:val="nil"/>
              <w:bottom w:val="nil"/>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793B</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3127" w:type="dxa"/>
            <w:gridSpan w:val="3"/>
            <w:tcBorders>
              <w:top w:val="nil"/>
              <w:left w:val="nil"/>
              <w:bottom w:val="nil"/>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IS/1494/06</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4458" w:type="dxa"/>
            <w:gridSpan w:val="3"/>
            <w:tcBorders>
              <w:top w:val="nil"/>
              <w:left w:val="nil"/>
              <w:bottom w:val="nil"/>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Q1</w:t>
            </w:r>
          </w:p>
        </w:tc>
      </w:tr>
      <w:tr w:rsidR="00C573D8" w:rsidRPr="00C573D8" w:rsidTr="002B6E20">
        <w:trPr>
          <w:trHeight w:val="309"/>
          <w:jc w:val="center"/>
        </w:trPr>
        <w:tc>
          <w:tcPr>
            <w:tcW w:w="678"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14681" w:type="dxa"/>
            <w:gridSpan w:val="15"/>
            <w:tcBorders>
              <w:top w:val="single" w:sz="4" w:space="0" w:color="000000"/>
              <w:left w:val="nil"/>
              <w:bottom w:val="nil"/>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Temperature (</w:t>
            </w:r>
            <w:proofErr w:type="spellStart"/>
            <w:r w:rsidRPr="00C573D8">
              <w:rPr>
                <w:rFonts w:ascii="Arial" w:eastAsia="Times New Roman" w:hAnsi="Arial" w:cs="Arial"/>
                <w:b/>
                <w:bCs/>
                <w:color w:val="000000"/>
                <w:sz w:val="20"/>
                <w:szCs w:val="20"/>
                <w:vertAlign w:val="superscript"/>
              </w:rPr>
              <w:t>o</w:t>
            </w:r>
            <w:r w:rsidRPr="00C573D8">
              <w:rPr>
                <w:rFonts w:ascii="Arial" w:eastAsia="Times New Roman" w:hAnsi="Arial" w:cs="Arial"/>
                <w:b/>
                <w:bCs/>
                <w:color w:val="000000"/>
                <w:sz w:val="20"/>
                <w:szCs w:val="20"/>
              </w:rPr>
              <w:t>C</w:t>
            </w:r>
            <w:proofErr w:type="spellEnd"/>
            <w:r w:rsidRPr="00C573D8">
              <w:rPr>
                <w:rFonts w:ascii="Arial" w:eastAsia="Times New Roman" w:hAnsi="Arial" w:cs="Arial"/>
                <w:b/>
                <w:bCs/>
                <w:color w:val="000000"/>
                <w:sz w:val="20"/>
                <w:szCs w:val="20"/>
              </w:rPr>
              <w:t>)</w:t>
            </w:r>
          </w:p>
        </w:tc>
      </w:tr>
      <w:tr w:rsidR="00C573D8" w:rsidRPr="00C573D8" w:rsidTr="002B6E20">
        <w:trPr>
          <w:trHeight w:val="537"/>
          <w:jc w:val="center"/>
        </w:trPr>
        <w:tc>
          <w:tcPr>
            <w:tcW w:w="678"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b/>
                <w:bCs/>
                <w:color w:val="000000"/>
                <w:sz w:val="20"/>
                <w:szCs w:val="20"/>
              </w:rPr>
              <w:t>DPI</w:t>
            </w:r>
          </w:p>
        </w:tc>
        <w:tc>
          <w:tcPr>
            <w:tcW w:w="977"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w:t>
            </w:r>
          </w:p>
        </w:tc>
        <w:tc>
          <w:tcPr>
            <w:tcW w:w="516"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40</w:t>
            </w:r>
          </w:p>
        </w:tc>
        <w:tc>
          <w:tcPr>
            <w:tcW w:w="1636"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Room</w:t>
            </w:r>
          </w:p>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Temperature</w:t>
            </w:r>
          </w:p>
        </w:tc>
        <w:tc>
          <w:tcPr>
            <w:tcW w:w="280" w:type="dxa"/>
            <w:tcBorders>
              <w:top w:val="single" w:sz="8" w:space="0" w:color="000000"/>
              <w:left w:val="nil"/>
              <w:bottom w:val="single" w:sz="8"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rPr>
                <w:rFonts w:ascii="Arial" w:eastAsia="Times New Roman" w:hAnsi="Arial" w:cs="Arial"/>
                <w:sz w:val="20"/>
                <w:szCs w:val="20"/>
              </w:rPr>
            </w:pPr>
          </w:p>
        </w:tc>
        <w:tc>
          <w:tcPr>
            <w:tcW w:w="976"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w:t>
            </w:r>
          </w:p>
        </w:tc>
        <w:tc>
          <w:tcPr>
            <w:tcW w:w="515"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40</w:t>
            </w:r>
          </w:p>
        </w:tc>
        <w:tc>
          <w:tcPr>
            <w:tcW w:w="1636"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Room</w:t>
            </w:r>
          </w:p>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Temperature</w:t>
            </w:r>
          </w:p>
        </w:tc>
        <w:tc>
          <w:tcPr>
            <w:tcW w:w="280" w:type="dxa"/>
            <w:tcBorders>
              <w:top w:val="single" w:sz="8" w:space="0" w:color="000000"/>
              <w:left w:val="nil"/>
              <w:bottom w:val="single" w:sz="8"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rPr>
                <w:rFonts w:ascii="Arial" w:eastAsia="Times New Roman" w:hAnsi="Arial" w:cs="Arial"/>
                <w:sz w:val="20"/>
                <w:szCs w:val="20"/>
              </w:rPr>
            </w:pPr>
          </w:p>
        </w:tc>
        <w:tc>
          <w:tcPr>
            <w:tcW w:w="976"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w:t>
            </w:r>
          </w:p>
        </w:tc>
        <w:tc>
          <w:tcPr>
            <w:tcW w:w="515"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40</w:t>
            </w:r>
          </w:p>
        </w:tc>
        <w:tc>
          <w:tcPr>
            <w:tcW w:w="1636"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Room</w:t>
            </w:r>
          </w:p>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Temperature</w:t>
            </w:r>
          </w:p>
        </w:tc>
        <w:tc>
          <w:tcPr>
            <w:tcW w:w="280" w:type="dxa"/>
            <w:tcBorders>
              <w:top w:val="single" w:sz="8" w:space="0" w:color="000000"/>
              <w:left w:val="nil"/>
              <w:bottom w:val="single" w:sz="8"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rPr>
                <w:rFonts w:ascii="Arial" w:eastAsia="Times New Roman" w:hAnsi="Arial" w:cs="Arial"/>
                <w:sz w:val="20"/>
                <w:szCs w:val="20"/>
              </w:rPr>
            </w:pPr>
          </w:p>
        </w:tc>
        <w:tc>
          <w:tcPr>
            <w:tcW w:w="976"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w:t>
            </w:r>
          </w:p>
        </w:tc>
        <w:tc>
          <w:tcPr>
            <w:tcW w:w="515"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40</w:t>
            </w:r>
          </w:p>
        </w:tc>
        <w:tc>
          <w:tcPr>
            <w:tcW w:w="2967" w:type="dxa"/>
            <w:tcBorders>
              <w:top w:val="single" w:sz="4" w:space="0" w:color="000000"/>
              <w:left w:val="nil"/>
              <w:bottom w:val="single" w:sz="4" w:space="0" w:color="000000"/>
              <w:right w:val="nil"/>
            </w:tcBorders>
            <w:noWrap/>
            <w:tcMar>
              <w:top w:w="0" w:type="dxa"/>
              <w:left w:w="108" w:type="dxa"/>
              <w:bottom w:w="0" w:type="dxa"/>
              <w:right w:w="108" w:type="dxa"/>
            </w:tcMar>
            <w:vAlign w:val="center"/>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Room</w:t>
            </w:r>
          </w:p>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i/>
                <w:iCs/>
                <w:color w:val="000000"/>
                <w:sz w:val="20"/>
                <w:szCs w:val="20"/>
              </w:rPr>
              <w:t>Temperature</w:t>
            </w:r>
          </w:p>
        </w:tc>
      </w:tr>
      <w:tr w:rsidR="00C573D8" w:rsidRPr="00C573D8" w:rsidTr="002B6E20">
        <w:trPr>
          <w:trHeight w:val="309"/>
          <w:jc w:val="center"/>
        </w:trPr>
        <w:tc>
          <w:tcPr>
            <w:tcW w:w="678"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w:t>
            </w:r>
          </w:p>
        </w:tc>
        <w:tc>
          <w:tcPr>
            <w:tcW w:w="97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5.33</w:t>
            </w:r>
            <w:r w:rsidRPr="00C573D8">
              <w:rPr>
                <w:rFonts w:ascii="Arial" w:eastAsia="Times New Roman" w:hAnsi="Arial" w:cs="Arial"/>
                <w:color w:val="000000"/>
                <w:sz w:val="20"/>
                <w:szCs w:val="20"/>
              </w:rPr>
              <w:t> </w:t>
            </w:r>
          </w:p>
        </w:tc>
        <w:tc>
          <w:tcPr>
            <w:tcW w:w="516" w:type="dxa"/>
            <w:noWrap/>
            <w:tcMar>
              <w:top w:w="0" w:type="dxa"/>
              <w:left w:w="108" w:type="dxa"/>
              <w:bottom w:w="0" w:type="dxa"/>
              <w:right w:w="108" w:type="dxa"/>
            </w:tcMar>
            <w:vAlign w:val="bottom"/>
            <w:hideMark/>
          </w:tcPr>
          <w:p w:rsidR="00C573D8" w:rsidRPr="00FE6DE9" w:rsidRDefault="00C573D8" w:rsidP="00C573D8">
            <w:pPr>
              <w:spacing w:after="0" w:line="240" w:lineRule="auto"/>
              <w:jc w:val="center"/>
              <w:rPr>
                <w:rFonts w:ascii="Arial" w:eastAsia="Times New Roman" w:hAnsi="Arial" w:cs="Arial"/>
                <w:sz w:val="20"/>
                <w:szCs w:val="20"/>
                <w:vertAlign w:val="superscript"/>
              </w:rPr>
            </w:pPr>
            <w:r w:rsidRPr="00C573D8">
              <w:rPr>
                <w:rFonts w:ascii="Arial" w:eastAsia="Times New Roman" w:hAnsi="Arial" w:cs="Arial"/>
                <w:color w:val="000000"/>
                <w:sz w:val="20"/>
                <w:szCs w:val="20"/>
              </w:rPr>
              <w:t>- </w:t>
            </w:r>
            <w:r w:rsidR="00FE6DE9">
              <w:rPr>
                <w:rFonts w:ascii="Arial" w:eastAsia="Times New Roman" w:hAnsi="Arial" w:cs="Arial"/>
                <w:color w:val="000000"/>
                <w:sz w:val="20"/>
                <w:szCs w:val="20"/>
                <w:vertAlign w:val="superscript"/>
              </w:rPr>
              <w:t>b</w:t>
            </w:r>
          </w:p>
        </w:tc>
        <w:tc>
          <w:tcPr>
            <w:tcW w:w="163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5.33</w:t>
            </w:r>
            <w:r w:rsidRPr="00C573D8">
              <w:rPr>
                <w:rFonts w:ascii="Arial" w:eastAsia="Times New Roman" w:hAnsi="Arial" w:cs="Arial"/>
                <w:color w:val="000000"/>
                <w:sz w:val="20"/>
                <w:szCs w:val="20"/>
              </w:rPr>
              <w:t> </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97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5.38</w:t>
            </w:r>
            <w:r w:rsidRPr="00C573D8">
              <w:rPr>
                <w:rFonts w:ascii="Arial" w:eastAsia="Times New Roman" w:hAnsi="Arial" w:cs="Arial"/>
                <w:color w:val="000000"/>
                <w:sz w:val="20"/>
                <w:szCs w:val="20"/>
              </w:rPr>
              <w:t> </w:t>
            </w:r>
          </w:p>
        </w:tc>
        <w:tc>
          <w:tcPr>
            <w:tcW w:w="515"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
        </w:tc>
        <w:tc>
          <w:tcPr>
            <w:tcW w:w="163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5.5</w:t>
            </w:r>
            <w:r w:rsidRPr="00C573D8">
              <w:rPr>
                <w:rFonts w:ascii="Arial" w:eastAsia="Times New Roman" w:hAnsi="Arial" w:cs="Arial"/>
                <w:color w:val="000000"/>
                <w:sz w:val="20"/>
                <w:szCs w:val="20"/>
              </w:rPr>
              <w:t> </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97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5.5</w:t>
            </w:r>
            <w:r w:rsidRPr="00C573D8">
              <w:rPr>
                <w:rFonts w:ascii="Arial" w:eastAsia="Times New Roman" w:hAnsi="Arial" w:cs="Arial"/>
                <w:color w:val="000000"/>
                <w:sz w:val="20"/>
                <w:szCs w:val="20"/>
              </w:rPr>
              <w:t> </w:t>
            </w:r>
          </w:p>
        </w:tc>
        <w:tc>
          <w:tcPr>
            <w:tcW w:w="515"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63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5.5</w:t>
            </w:r>
            <w:r w:rsidRPr="00C573D8">
              <w:rPr>
                <w:rFonts w:ascii="Arial" w:eastAsia="Times New Roman" w:hAnsi="Arial" w:cs="Arial"/>
                <w:color w:val="000000"/>
                <w:sz w:val="20"/>
                <w:szCs w:val="20"/>
              </w:rPr>
              <w:t> </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97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4.5</w:t>
            </w:r>
            <w:r w:rsidRPr="00C573D8">
              <w:rPr>
                <w:rFonts w:ascii="Arial" w:eastAsia="Times New Roman" w:hAnsi="Arial" w:cs="Arial"/>
                <w:color w:val="000000"/>
                <w:sz w:val="20"/>
                <w:szCs w:val="20"/>
              </w:rPr>
              <w:t> </w:t>
            </w:r>
          </w:p>
        </w:tc>
        <w:tc>
          <w:tcPr>
            <w:tcW w:w="515"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296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4.5</w:t>
            </w:r>
            <w:r w:rsidRPr="00C573D8">
              <w:rPr>
                <w:rFonts w:ascii="Arial" w:eastAsia="Times New Roman" w:hAnsi="Arial" w:cs="Arial"/>
                <w:color w:val="000000"/>
                <w:sz w:val="20"/>
                <w:szCs w:val="20"/>
              </w:rPr>
              <w:t> </w:t>
            </w:r>
          </w:p>
        </w:tc>
      </w:tr>
      <w:tr w:rsidR="00C573D8" w:rsidRPr="00C573D8" w:rsidTr="002B6E20">
        <w:trPr>
          <w:trHeight w:val="269"/>
          <w:jc w:val="center"/>
        </w:trPr>
        <w:tc>
          <w:tcPr>
            <w:tcW w:w="678"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2</w:t>
            </w:r>
          </w:p>
        </w:tc>
        <w:tc>
          <w:tcPr>
            <w:tcW w:w="97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5.33</w:t>
            </w:r>
            <w:r w:rsidRPr="00C573D8">
              <w:rPr>
                <w:rFonts w:ascii="Arial" w:eastAsia="Times New Roman" w:hAnsi="Arial" w:cs="Arial"/>
                <w:color w:val="000000"/>
                <w:sz w:val="20"/>
                <w:szCs w:val="20"/>
              </w:rPr>
              <w:t> </w:t>
            </w:r>
          </w:p>
        </w:tc>
        <w:tc>
          <w:tcPr>
            <w:tcW w:w="51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636" w:type="dxa"/>
            <w:noWrap/>
            <w:tcMar>
              <w:top w:w="0" w:type="dxa"/>
              <w:left w:w="108" w:type="dxa"/>
              <w:bottom w:w="0" w:type="dxa"/>
              <w:right w:w="108" w:type="dxa"/>
            </w:tcMar>
            <w:vAlign w:val="bottom"/>
            <w:hideMark/>
          </w:tcPr>
          <w:p w:rsidR="00C573D8" w:rsidRPr="00FE6DE9" w:rsidRDefault="00C573D8" w:rsidP="00C573D8">
            <w:pPr>
              <w:spacing w:after="0" w:line="240" w:lineRule="auto"/>
              <w:jc w:val="center"/>
              <w:rPr>
                <w:rFonts w:ascii="Arial" w:eastAsia="Times New Roman" w:hAnsi="Arial" w:cs="Arial"/>
                <w:sz w:val="20"/>
                <w:szCs w:val="20"/>
                <w:vertAlign w:val="superscript"/>
              </w:rPr>
            </w:pPr>
            <w:r w:rsidRPr="00C573D8">
              <w:rPr>
                <w:rFonts w:ascii="Arial" w:eastAsia="Times New Roman" w:hAnsi="Arial" w:cs="Arial"/>
                <w:color w:val="000000"/>
                <w:sz w:val="20"/>
                <w:szCs w:val="20"/>
              </w:rPr>
              <w:t>+</w:t>
            </w:r>
            <w:r w:rsidR="00FE6DE9">
              <w:rPr>
                <w:rFonts w:ascii="Arial" w:eastAsia="Times New Roman" w:hAnsi="Arial" w:cs="Arial"/>
                <w:color w:val="000000"/>
                <w:sz w:val="20"/>
                <w:szCs w:val="20"/>
                <w:vertAlign w:val="superscript"/>
              </w:rPr>
              <w:t>a</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97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5.38</w:t>
            </w:r>
            <w:r w:rsidRPr="00C573D8">
              <w:rPr>
                <w:rFonts w:ascii="Arial" w:eastAsia="Times New Roman" w:hAnsi="Arial" w:cs="Arial"/>
                <w:color w:val="000000"/>
                <w:sz w:val="20"/>
                <w:szCs w:val="20"/>
              </w:rPr>
              <w:t> </w:t>
            </w:r>
          </w:p>
        </w:tc>
        <w:tc>
          <w:tcPr>
            <w:tcW w:w="515"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63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5.5</w:t>
            </w:r>
            <w:r w:rsidRPr="00C573D8">
              <w:rPr>
                <w:rFonts w:ascii="Arial" w:eastAsia="Times New Roman" w:hAnsi="Arial" w:cs="Arial"/>
                <w:color w:val="000000"/>
                <w:sz w:val="20"/>
                <w:szCs w:val="20"/>
              </w:rPr>
              <w:t> </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97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5.5</w:t>
            </w:r>
            <w:r w:rsidRPr="00C573D8">
              <w:rPr>
                <w:rFonts w:ascii="Arial" w:eastAsia="Times New Roman" w:hAnsi="Arial" w:cs="Arial"/>
                <w:color w:val="000000"/>
                <w:sz w:val="20"/>
                <w:szCs w:val="20"/>
              </w:rPr>
              <w:t> </w:t>
            </w:r>
          </w:p>
        </w:tc>
        <w:tc>
          <w:tcPr>
            <w:tcW w:w="515"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63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5.5</w:t>
            </w:r>
            <w:r w:rsidRPr="00C573D8">
              <w:rPr>
                <w:rFonts w:ascii="Arial" w:eastAsia="Times New Roman" w:hAnsi="Arial" w:cs="Arial"/>
                <w:color w:val="000000"/>
                <w:sz w:val="20"/>
                <w:szCs w:val="20"/>
              </w:rPr>
              <w:t> </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97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4.5</w:t>
            </w:r>
            <w:r w:rsidRPr="00C573D8">
              <w:rPr>
                <w:rFonts w:ascii="Arial" w:eastAsia="Times New Roman" w:hAnsi="Arial" w:cs="Arial"/>
                <w:color w:val="000000"/>
                <w:sz w:val="20"/>
                <w:szCs w:val="20"/>
              </w:rPr>
              <w:t> </w:t>
            </w:r>
          </w:p>
        </w:tc>
        <w:tc>
          <w:tcPr>
            <w:tcW w:w="515"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296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
        </w:tc>
      </w:tr>
      <w:tr w:rsidR="00C573D8" w:rsidRPr="00C573D8" w:rsidTr="002B6E20">
        <w:trPr>
          <w:trHeight w:val="269"/>
          <w:jc w:val="center"/>
        </w:trPr>
        <w:tc>
          <w:tcPr>
            <w:tcW w:w="678"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3</w:t>
            </w:r>
          </w:p>
        </w:tc>
        <w:tc>
          <w:tcPr>
            <w:tcW w:w="97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5.33</w:t>
            </w:r>
            <w:r w:rsidRPr="00C573D8">
              <w:rPr>
                <w:rFonts w:ascii="Arial" w:eastAsia="Times New Roman" w:hAnsi="Arial" w:cs="Arial"/>
                <w:color w:val="000000"/>
                <w:sz w:val="20"/>
                <w:szCs w:val="20"/>
              </w:rPr>
              <w:t> </w:t>
            </w:r>
          </w:p>
        </w:tc>
        <w:tc>
          <w:tcPr>
            <w:tcW w:w="51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63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97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5.38</w:t>
            </w:r>
            <w:r w:rsidRPr="00C573D8">
              <w:rPr>
                <w:rFonts w:ascii="Arial" w:eastAsia="Times New Roman" w:hAnsi="Arial" w:cs="Arial"/>
                <w:color w:val="000000"/>
                <w:sz w:val="20"/>
                <w:szCs w:val="20"/>
              </w:rPr>
              <w:t> </w:t>
            </w:r>
          </w:p>
        </w:tc>
        <w:tc>
          <w:tcPr>
            <w:tcW w:w="515"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63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97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5.5</w:t>
            </w:r>
            <w:r w:rsidRPr="00C573D8">
              <w:rPr>
                <w:rFonts w:ascii="Arial" w:eastAsia="Times New Roman" w:hAnsi="Arial" w:cs="Arial"/>
                <w:color w:val="000000"/>
                <w:sz w:val="20"/>
                <w:szCs w:val="20"/>
              </w:rPr>
              <w:t> </w:t>
            </w:r>
          </w:p>
        </w:tc>
        <w:tc>
          <w:tcPr>
            <w:tcW w:w="515"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63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5.5</w:t>
            </w:r>
            <w:r w:rsidRPr="00C573D8">
              <w:rPr>
                <w:rFonts w:ascii="Arial" w:eastAsia="Times New Roman" w:hAnsi="Arial" w:cs="Arial"/>
                <w:color w:val="000000"/>
                <w:sz w:val="20"/>
                <w:szCs w:val="20"/>
              </w:rPr>
              <w:t> </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97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4.5</w:t>
            </w:r>
            <w:r w:rsidRPr="00C573D8">
              <w:rPr>
                <w:rFonts w:ascii="Arial" w:eastAsia="Times New Roman" w:hAnsi="Arial" w:cs="Arial"/>
                <w:color w:val="000000"/>
                <w:sz w:val="20"/>
                <w:szCs w:val="20"/>
              </w:rPr>
              <w:t> </w:t>
            </w:r>
          </w:p>
        </w:tc>
        <w:tc>
          <w:tcPr>
            <w:tcW w:w="515"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296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r>
      <w:tr w:rsidR="00C573D8" w:rsidRPr="00C573D8" w:rsidTr="002B6E20">
        <w:trPr>
          <w:trHeight w:val="269"/>
          <w:jc w:val="center"/>
        </w:trPr>
        <w:tc>
          <w:tcPr>
            <w:tcW w:w="678"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7</w:t>
            </w:r>
          </w:p>
        </w:tc>
        <w:tc>
          <w:tcPr>
            <w:tcW w:w="97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
        </w:tc>
        <w:tc>
          <w:tcPr>
            <w:tcW w:w="51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63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97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
        </w:tc>
        <w:tc>
          <w:tcPr>
            <w:tcW w:w="515"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63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97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
        </w:tc>
        <w:tc>
          <w:tcPr>
            <w:tcW w:w="515"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
        </w:tc>
        <w:tc>
          <w:tcPr>
            <w:tcW w:w="163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97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10</w:t>
            </w:r>
            <w:r w:rsidRPr="00C573D8">
              <w:rPr>
                <w:rFonts w:ascii="Arial" w:eastAsia="Times New Roman" w:hAnsi="Arial" w:cs="Arial"/>
                <w:color w:val="000000"/>
                <w:sz w:val="20"/>
                <w:szCs w:val="20"/>
                <w:vertAlign w:val="superscript"/>
              </w:rPr>
              <w:t>4.5</w:t>
            </w:r>
            <w:r w:rsidRPr="00C573D8">
              <w:rPr>
                <w:rFonts w:ascii="Arial" w:eastAsia="Times New Roman" w:hAnsi="Arial" w:cs="Arial"/>
                <w:color w:val="000000"/>
                <w:sz w:val="20"/>
                <w:szCs w:val="20"/>
              </w:rPr>
              <w:t> </w:t>
            </w:r>
          </w:p>
        </w:tc>
        <w:tc>
          <w:tcPr>
            <w:tcW w:w="515"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296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r>
      <w:tr w:rsidR="00C573D8" w:rsidRPr="00C573D8" w:rsidTr="002B6E20">
        <w:trPr>
          <w:trHeight w:val="269"/>
          <w:jc w:val="center"/>
        </w:trPr>
        <w:tc>
          <w:tcPr>
            <w:tcW w:w="678"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14</w:t>
            </w:r>
          </w:p>
        </w:tc>
        <w:tc>
          <w:tcPr>
            <w:tcW w:w="97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
        </w:tc>
        <w:tc>
          <w:tcPr>
            <w:tcW w:w="51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63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97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515"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63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97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
        </w:tc>
        <w:tc>
          <w:tcPr>
            <w:tcW w:w="515"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
        </w:tc>
        <w:tc>
          <w:tcPr>
            <w:tcW w:w="163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
        </w:tc>
        <w:tc>
          <w:tcPr>
            <w:tcW w:w="280" w:type="dxa"/>
            <w:noWrap/>
            <w:tcMar>
              <w:top w:w="0" w:type="dxa"/>
              <w:left w:w="108" w:type="dxa"/>
              <w:bottom w:w="0" w:type="dxa"/>
              <w:right w:w="108" w:type="dxa"/>
            </w:tcMar>
            <w:vAlign w:val="bottom"/>
            <w:hideMark/>
          </w:tcPr>
          <w:p w:rsidR="00C573D8" w:rsidRPr="00C573D8" w:rsidRDefault="00C573D8" w:rsidP="00C573D8">
            <w:pPr>
              <w:spacing w:after="0" w:line="240" w:lineRule="auto"/>
              <w:rPr>
                <w:rFonts w:ascii="Arial" w:eastAsia="Times New Roman" w:hAnsi="Arial" w:cs="Arial"/>
                <w:sz w:val="20"/>
                <w:szCs w:val="20"/>
              </w:rPr>
            </w:pPr>
          </w:p>
        </w:tc>
        <w:tc>
          <w:tcPr>
            <w:tcW w:w="976"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515"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2967" w:type="dxa"/>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r>
      <w:tr w:rsidR="00C573D8" w:rsidRPr="00C573D8" w:rsidTr="002B6E20">
        <w:trPr>
          <w:trHeight w:val="269"/>
          <w:jc w:val="center"/>
        </w:trPr>
        <w:tc>
          <w:tcPr>
            <w:tcW w:w="678"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21</w:t>
            </w:r>
          </w:p>
        </w:tc>
        <w:tc>
          <w:tcPr>
            <w:tcW w:w="977"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516"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636"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280"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976"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515"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1636"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280"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976"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
        </w:tc>
        <w:tc>
          <w:tcPr>
            <w:tcW w:w="515"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
        </w:tc>
        <w:tc>
          <w:tcPr>
            <w:tcW w:w="1636"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w:t>
            </w:r>
          </w:p>
        </w:tc>
        <w:tc>
          <w:tcPr>
            <w:tcW w:w="280"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976"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515"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c>
          <w:tcPr>
            <w:tcW w:w="2967" w:type="dxa"/>
            <w:tcBorders>
              <w:top w:val="nil"/>
              <w:left w:val="nil"/>
              <w:bottom w:val="single" w:sz="4" w:space="0" w:color="000000"/>
              <w:right w:val="nil"/>
            </w:tcBorders>
            <w:noWrap/>
            <w:tcMar>
              <w:top w:w="0" w:type="dxa"/>
              <w:left w:w="108" w:type="dxa"/>
              <w:bottom w:w="0" w:type="dxa"/>
              <w:right w:w="108" w:type="dxa"/>
            </w:tcMar>
            <w:vAlign w:val="bottom"/>
            <w:hideMark/>
          </w:tcPr>
          <w:p w:rsidR="00C573D8" w:rsidRPr="00C573D8" w:rsidRDefault="00C573D8" w:rsidP="00C573D8">
            <w:pPr>
              <w:spacing w:after="0" w:line="240" w:lineRule="auto"/>
              <w:jc w:val="center"/>
              <w:rPr>
                <w:rFonts w:ascii="Arial" w:eastAsia="Times New Roman" w:hAnsi="Arial" w:cs="Arial"/>
                <w:sz w:val="20"/>
                <w:szCs w:val="20"/>
              </w:rPr>
            </w:pPr>
            <w:r w:rsidRPr="00C573D8">
              <w:rPr>
                <w:rFonts w:ascii="Arial" w:eastAsia="Times New Roman" w:hAnsi="Arial" w:cs="Arial"/>
                <w:color w:val="000000"/>
                <w:sz w:val="20"/>
                <w:szCs w:val="20"/>
              </w:rPr>
              <w:t>- </w:t>
            </w:r>
          </w:p>
        </w:tc>
      </w:tr>
    </w:tbl>
    <w:p w:rsidR="002B6E20" w:rsidRPr="00C573D8" w:rsidRDefault="002B6E20" w:rsidP="002B6E20">
      <w:pPr>
        <w:spacing w:after="0" w:line="440" w:lineRule="atLeast"/>
        <w:jc w:val="both"/>
        <w:rPr>
          <w:rFonts w:ascii="Arial" w:eastAsia="Times New Roman" w:hAnsi="Arial" w:cs="Arial"/>
          <w:color w:val="000000"/>
          <w:sz w:val="20"/>
          <w:szCs w:val="20"/>
        </w:rPr>
      </w:pPr>
      <w:r>
        <w:rPr>
          <w:rFonts w:ascii="Arial" w:eastAsia="Times New Roman" w:hAnsi="Arial" w:cs="Arial"/>
          <w:color w:val="000000"/>
          <w:sz w:val="20"/>
          <w:szCs w:val="20"/>
          <w:vertAlign w:val="superscript"/>
        </w:rPr>
        <w:t xml:space="preserve">a </w:t>
      </w:r>
      <w:r>
        <w:rPr>
          <w:rFonts w:ascii="Arial" w:eastAsia="Times New Roman" w:hAnsi="Arial" w:cs="Arial"/>
          <w:color w:val="000000"/>
          <w:sz w:val="20"/>
          <w:szCs w:val="20"/>
        </w:rPr>
        <w:t>+ Virus was only detected in the undiluted fluid</w:t>
      </w:r>
    </w:p>
    <w:p w:rsidR="00C573D8" w:rsidRPr="00C573D8" w:rsidRDefault="00EE7E69" w:rsidP="00C573D8">
      <w:pPr>
        <w:spacing w:after="0" w:line="440" w:lineRule="atLeast"/>
        <w:jc w:val="both"/>
        <w:rPr>
          <w:rFonts w:ascii="Arial" w:eastAsia="Times New Roman" w:hAnsi="Arial" w:cs="Arial"/>
          <w:color w:val="000000"/>
          <w:sz w:val="20"/>
          <w:szCs w:val="20"/>
        </w:rPr>
      </w:pPr>
      <w:r>
        <w:rPr>
          <w:rFonts w:ascii="Arial" w:eastAsia="Times New Roman" w:hAnsi="Arial" w:cs="Arial"/>
          <w:color w:val="000000"/>
          <w:sz w:val="20"/>
          <w:szCs w:val="20"/>
          <w:vertAlign w:val="superscript"/>
        </w:rPr>
        <w:t xml:space="preserve">b </w:t>
      </w:r>
      <w:r w:rsidR="00C573D8" w:rsidRPr="00C573D8">
        <w:rPr>
          <w:rFonts w:ascii="Arial" w:eastAsia="Times New Roman" w:hAnsi="Arial" w:cs="Arial"/>
          <w:color w:val="000000"/>
          <w:sz w:val="20"/>
          <w:szCs w:val="20"/>
        </w:rPr>
        <w:t>-</w:t>
      </w:r>
      <w:r w:rsidR="002B6E20">
        <w:rPr>
          <w:rFonts w:ascii="Arial" w:eastAsia="Times New Roman" w:hAnsi="Arial" w:cs="Arial"/>
          <w:color w:val="000000"/>
          <w:sz w:val="20"/>
          <w:szCs w:val="20"/>
        </w:rPr>
        <w:t xml:space="preserve"> </w:t>
      </w:r>
      <w:r w:rsidR="00C573D8" w:rsidRPr="00C573D8">
        <w:rPr>
          <w:rFonts w:ascii="Arial" w:eastAsia="Times New Roman" w:hAnsi="Arial" w:cs="Arial"/>
          <w:color w:val="000000"/>
          <w:sz w:val="20"/>
          <w:szCs w:val="20"/>
        </w:rPr>
        <w:t>No IBV was detected.</w:t>
      </w:r>
    </w:p>
    <w:p w:rsidR="00C573D8" w:rsidRPr="00C573D8" w:rsidRDefault="00C573D8" w:rsidP="00C573D8">
      <w:pPr>
        <w:spacing w:after="0" w:line="440" w:lineRule="atLeast"/>
        <w:rPr>
          <w:rFonts w:ascii="Arial" w:eastAsia="Times New Roman" w:hAnsi="Arial" w:cs="Arial"/>
          <w:color w:val="000000"/>
          <w:sz w:val="20"/>
          <w:szCs w:val="20"/>
        </w:rPr>
      </w:pPr>
      <w:r w:rsidRPr="00C573D8">
        <w:rPr>
          <w:rFonts w:ascii="Arial" w:eastAsia="Times New Roman" w:hAnsi="Arial" w:cs="Arial"/>
          <w:b/>
          <w:bCs/>
          <w:color w:val="000000"/>
          <w:sz w:val="20"/>
          <w:szCs w:val="20"/>
        </w:rPr>
        <w:br w:type="page"/>
      </w:r>
      <w:r w:rsidRPr="00C573D8">
        <w:rPr>
          <w:rFonts w:ascii="Arial" w:eastAsia="Times New Roman" w:hAnsi="Arial" w:cs="Arial"/>
          <w:b/>
          <w:bCs/>
          <w:color w:val="000000"/>
          <w:sz w:val="20"/>
          <w:szCs w:val="20"/>
        </w:rPr>
        <w:lastRenderedPageBreak/>
        <w:t>List of figures</w:t>
      </w:r>
    </w:p>
    <w:p w:rsidR="00C573D8" w:rsidRPr="00C573D8" w:rsidRDefault="00C573D8" w:rsidP="00C573D8">
      <w:pPr>
        <w:shd w:val="clear" w:color="auto" w:fill="FFFFFF"/>
        <w:spacing w:after="0" w:line="360" w:lineRule="atLeast"/>
        <w:jc w:val="both"/>
        <w:rPr>
          <w:rFonts w:ascii="Arial" w:eastAsia="Times New Roman" w:hAnsi="Arial" w:cs="Arial"/>
          <w:b/>
          <w:bCs/>
          <w:color w:val="5B9BD5"/>
          <w:sz w:val="20"/>
          <w:szCs w:val="20"/>
        </w:rPr>
      </w:pPr>
      <w:r w:rsidRPr="00C573D8">
        <w:rPr>
          <w:rFonts w:ascii="Arial" w:eastAsia="Times New Roman" w:hAnsi="Arial" w:cs="Arial"/>
          <w:b/>
          <w:bCs/>
          <w:color w:val="000000"/>
          <w:sz w:val="20"/>
          <w:szCs w:val="20"/>
        </w:rPr>
        <w:t xml:space="preserve">Figure 1. </w:t>
      </w:r>
      <w:r w:rsidRPr="00C573D8">
        <w:rPr>
          <w:rFonts w:ascii="Arial" w:eastAsia="Times New Roman" w:hAnsi="Arial" w:cs="Arial"/>
          <w:color w:val="000000"/>
          <w:sz w:val="20"/>
          <w:szCs w:val="20"/>
        </w:rPr>
        <w:t>Phylogenetic tree based on both the partial (grey circle) and full (black triangle) S1 nucleotide sequence among the IBV strains used in this study and reference strains. Analysis inferred using maximum likelihood analysis with Tamura 3-parameter and 1000 bootstrap replicates.</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color w:val="000000"/>
          <w:sz w:val="20"/>
          <w:szCs w:val="20"/>
        </w:rPr>
        <w:t> </w:t>
      </w:r>
    </w:p>
    <w:p w:rsidR="00C573D8" w:rsidRPr="00C573D8" w:rsidRDefault="00C573D8" w:rsidP="00C573D8">
      <w:pPr>
        <w:spacing w:after="0" w:line="440" w:lineRule="atLeast"/>
        <w:jc w:val="both"/>
        <w:rPr>
          <w:rFonts w:ascii="Arial" w:eastAsia="Times New Roman" w:hAnsi="Arial" w:cs="Arial"/>
          <w:color w:val="000000"/>
          <w:sz w:val="20"/>
          <w:szCs w:val="20"/>
        </w:rPr>
      </w:pPr>
      <w:r w:rsidRPr="00C573D8">
        <w:rPr>
          <w:rFonts w:ascii="Arial" w:eastAsia="Times New Roman" w:hAnsi="Arial" w:cs="Arial"/>
          <w:b/>
          <w:bCs/>
          <w:color w:val="000000"/>
          <w:sz w:val="20"/>
          <w:szCs w:val="20"/>
        </w:rPr>
        <w:t>Supplementary Figure 1. (A)</w:t>
      </w:r>
      <w:r w:rsidRPr="00C573D8">
        <w:rPr>
          <w:rFonts w:ascii="Arial" w:eastAsia="Times New Roman" w:hAnsi="Arial" w:cs="Arial"/>
          <w:color w:val="000000"/>
          <w:sz w:val="20"/>
          <w:szCs w:val="20"/>
        </w:rPr>
        <w:t xml:space="preserve"> Sensitivity testing of partial S1 RT-PCR assay applied to 793B infected allantoic fluid. DNA marker (lane 1), serial dilutions of 793B infected allantoic fluid (lanes 2-9). </w:t>
      </w:r>
      <w:r w:rsidRPr="00C573D8">
        <w:rPr>
          <w:rFonts w:ascii="Arial" w:eastAsia="Times New Roman" w:hAnsi="Arial" w:cs="Arial"/>
          <w:b/>
          <w:bCs/>
          <w:color w:val="000000"/>
          <w:sz w:val="20"/>
          <w:szCs w:val="20"/>
        </w:rPr>
        <w:t xml:space="preserve">(B) </w:t>
      </w:r>
      <w:r w:rsidRPr="00C573D8">
        <w:rPr>
          <w:rFonts w:ascii="Arial" w:eastAsia="Times New Roman" w:hAnsi="Arial" w:cs="Arial"/>
          <w:color w:val="000000"/>
          <w:sz w:val="20"/>
          <w:szCs w:val="20"/>
        </w:rPr>
        <w:t>Sensitivity testing of full S1 RT-PCR assay applied to 793B infected allantoic fluid. DNA marker (lane 1), serial dilutions of 793B infected allantoic fluid (lanes 2-5).</w:t>
      </w:r>
    </w:p>
    <w:p w:rsidR="00D238C8" w:rsidRPr="00AA7804" w:rsidRDefault="00D238C8">
      <w:pPr>
        <w:rPr>
          <w:rFonts w:ascii="Arial" w:hAnsi="Arial" w:cs="Arial"/>
          <w:sz w:val="20"/>
          <w:szCs w:val="20"/>
        </w:rPr>
      </w:pPr>
    </w:p>
    <w:sectPr w:rsidR="00D238C8" w:rsidRPr="00AA7804" w:rsidSect="006964C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D8"/>
    <w:rsid w:val="000C22A6"/>
    <w:rsid w:val="00105C60"/>
    <w:rsid w:val="00292026"/>
    <w:rsid w:val="002B6E20"/>
    <w:rsid w:val="00363A60"/>
    <w:rsid w:val="00440FBA"/>
    <w:rsid w:val="004F36C7"/>
    <w:rsid w:val="005C00BA"/>
    <w:rsid w:val="006536CC"/>
    <w:rsid w:val="006964C9"/>
    <w:rsid w:val="00736E4E"/>
    <w:rsid w:val="00806A58"/>
    <w:rsid w:val="009501B8"/>
    <w:rsid w:val="00974163"/>
    <w:rsid w:val="00975574"/>
    <w:rsid w:val="009C2912"/>
    <w:rsid w:val="00A34BE4"/>
    <w:rsid w:val="00A47566"/>
    <w:rsid w:val="00AA2522"/>
    <w:rsid w:val="00AA7804"/>
    <w:rsid w:val="00B41896"/>
    <w:rsid w:val="00B96927"/>
    <w:rsid w:val="00BC3C0A"/>
    <w:rsid w:val="00BE4F69"/>
    <w:rsid w:val="00C0481E"/>
    <w:rsid w:val="00C53A40"/>
    <w:rsid w:val="00C573D8"/>
    <w:rsid w:val="00D238C8"/>
    <w:rsid w:val="00D71280"/>
    <w:rsid w:val="00D9019D"/>
    <w:rsid w:val="00E85809"/>
    <w:rsid w:val="00EE7E69"/>
    <w:rsid w:val="00FB793A"/>
    <w:rsid w:val="00FE6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94BB0C-2A85-4027-9F2D-FC8076EE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C573D8"/>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C573D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7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804"/>
    <w:rPr>
      <w:rFonts w:ascii="Tahoma" w:hAnsi="Tahoma" w:cs="Tahoma"/>
      <w:sz w:val="16"/>
      <w:szCs w:val="16"/>
    </w:rPr>
  </w:style>
  <w:style w:type="character" w:styleId="LineNumber">
    <w:name w:val="line number"/>
    <w:basedOn w:val="DefaultParagraphFont"/>
    <w:uiPriority w:val="99"/>
    <w:semiHidden/>
    <w:unhideWhenUsed/>
    <w:rsid w:val="005C00BA"/>
  </w:style>
  <w:style w:type="paragraph" w:customStyle="1" w:styleId="EndNoteBibliography">
    <w:name w:val="EndNote Bibliography"/>
    <w:basedOn w:val="Normal"/>
    <w:link w:val="EndNoteBibliographyChar"/>
    <w:rsid w:val="00FB793A"/>
    <w:pPr>
      <w:spacing w:line="240" w:lineRule="auto"/>
    </w:pPr>
    <w:rPr>
      <w:rFonts w:ascii="Arial" w:hAnsi="Arial" w:cs="Arial"/>
      <w:noProof/>
      <w:sz w:val="20"/>
      <w:lang w:val="en-US"/>
    </w:rPr>
  </w:style>
  <w:style w:type="character" w:customStyle="1" w:styleId="EndNoteBibliographyChar">
    <w:name w:val="EndNote Bibliography Char"/>
    <w:basedOn w:val="DefaultParagraphFont"/>
    <w:link w:val="EndNoteBibliography"/>
    <w:rsid w:val="00FB793A"/>
    <w:rPr>
      <w:rFonts w:ascii="Arial" w:hAnsi="Arial" w:cs="Arial"/>
      <w:noProo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21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ana@liverpo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5811</Words>
  <Characters>33126</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Hough</dc:creator>
  <cp:lastModifiedBy>Ganapathy, Kannan</cp:lastModifiedBy>
  <cp:revision>2</cp:revision>
  <dcterms:created xsi:type="dcterms:W3CDTF">2018-04-13T10:58:00Z</dcterms:created>
  <dcterms:modified xsi:type="dcterms:W3CDTF">2018-04-13T10:58:00Z</dcterms:modified>
</cp:coreProperties>
</file>