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20CCA" w14:textId="77777777" w:rsidR="00F14845" w:rsidRDefault="00F14845" w:rsidP="00F14845">
      <w:pPr>
        <w:spacing w:after="0" w:line="240" w:lineRule="auto"/>
        <w:jc w:val="center"/>
        <w:rPr>
          <w:rFonts w:ascii="Times New Roman" w:hAnsi="Times New Roman" w:cs="Times New Roman"/>
          <w:b/>
          <w:sz w:val="28"/>
          <w:szCs w:val="28"/>
        </w:rPr>
      </w:pPr>
      <w:bookmarkStart w:id="0" w:name="_GoBack"/>
      <w:bookmarkEnd w:id="0"/>
    </w:p>
    <w:p w14:paraId="08D54F77" w14:textId="580EB10B" w:rsidR="003D2AF8" w:rsidRDefault="003D2AF8" w:rsidP="00F148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w:t>
      </w:r>
      <w:r w:rsidR="00CD6805" w:rsidRPr="00CD6805">
        <w:rPr>
          <w:rFonts w:ascii="Times New Roman" w:hAnsi="Times New Roman" w:cs="Times New Roman"/>
          <w:b/>
          <w:sz w:val="28"/>
          <w:szCs w:val="28"/>
        </w:rPr>
        <w:t xml:space="preserve">nformation </w:t>
      </w:r>
      <w:r w:rsidR="00AB3230">
        <w:rPr>
          <w:rFonts w:ascii="Times New Roman" w:hAnsi="Times New Roman" w:cs="Times New Roman"/>
          <w:b/>
          <w:sz w:val="28"/>
          <w:szCs w:val="28"/>
        </w:rPr>
        <w:t>T</w:t>
      </w:r>
      <w:r w:rsidR="00CD6805" w:rsidRPr="00CD6805">
        <w:rPr>
          <w:rFonts w:ascii="Times New Roman" w:hAnsi="Times New Roman" w:cs="Times New Roman"/>
          <w:b/>
          <w:sz w:val="28"/>
          <w:szCs w:val="28"/>
        </w:rPr>
        <w:t xml:space="preserve">ransmission </w:t>
      </w:r>
      <w:r w:rsidR="00AB3230">
        <w:rPr>
          <w:rFonts w:ascii="Times New Roman" w:hAnsi="Times New Roman" w:cs="Times New Roman"/>
          <w:b/>
          <w:sz w:val="28"/>
          <w:szCs w:val="28"/>
        </w:rPr>
        <w:t>a</w:t>
      </w:r>
      <w:r w:rsidR="00CD6805" w:rsidRPr="00CD6805">
        <w:rPr>
          <w:rFonts w:ascii="Times New Roman" w:hAnsi="Times New Roman" w:cs="Times New Roman"/>
          <w:b/>
          <w:sz w:val="28"/>
          <w:szCs w:val="28"/>
        </w:rPr>
        <w:t xml:space="preserve">cross European </w:t>
      </w:r>
      <w:r w:rsidR="00AB3230">
        <w:rPr>
          <w:rFonts w:ascii="Times New Roman" w:hAnsi="Times New Roman" w:cs="Times New Roman"/>
          <w:b/>
          <w:sz w:val="28"/>
          <w:szCs w:val="28"/>
        </w:rPr>
        <w:t>E</w:t>
      </w:r>
      <w:r w:rsidR="00CD6805" w:rsidRPr="00CD6805">
        <w:rPr>
          <w:rFonts w:ascii="Times New Roman" w:hAnsi="Times New Roman" w:cs="Times New Roman"/>
          <w:b/>
          <w:sz w:val="28"/>
          <w:szCs w:val="28"/>
        </w:rPr>
        <w:t xml:space="preserve">quity </w:t>
      </w:r>
      <w:r w:rsidR="00AB3230">
        <w:rPr>
          <w:rFonts w:ascii="Times New Roman" w:hAnsi="Times New Roman" w:cs="Times New Roman"/>
          <w:b/>
          <w:sz w:val="28"/>
          <w:szCs w:val="28"/>
        </w:rPr>
        <w:t>M</w:t>
      </w:r>
      <w:r w:rsidR="00CD6805" w:rsidRPr="00CD6805">
        <w:rPr>
          <w:rFonts w:ascii="Times New Roman" w:hAnsi="Times New Roman" w:cs="Times New Roman"/>
          <w:b/>
          <w:sz w:val="28"/>
          <w:szCs w:val="28"/>
        </w:rPr>
        <w:t xml:space="preserve">arkets </w:t>
      </w:r>
    </w:p>
    <w:p w14:paraId="62077D10" w14:textId="3184B6EF" w:rsidR="00735BB5" w:rsidRDefault="00AB3230" w:rsidP="00F148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w:t>
      </w:r>
      <w:r w:rsidR="003D2AF8">
        <w:rPr>
          <w:rFonts w:ascii="Times New Roman" w:hAnsi="Times New Roman" w:cs="Times New Roman"/>
          <w:b/>
          <w:sz w:val="28"/>
          <w:szCs w:val="28"/>
        </w:rPr>
        <w:t xml:space="preserve">uring </w:t>
      </w:r>
      <w:r>
        <w:rPr>
          <w:rFonts w:ascii="Times New Roman" w:hAnsi="Times New Roman" w:cs="Times New Roman"/>
          <w:b/>
          <w:sz w:val="28"/>
          <w:szCs w:val="28"/>
        </w:rPr>
        <w:t>C</w:t>
      </w:r>
      <w:r w:rsidR="003D2AF8">
        <w:rPr>
          <w:rFonts w:ascii="Times New Roman" w:hAnsi="Times New Roman" w:cs="Times New Roman"/>
          <w:b/>
          <w:sz w:val="28"/>
          <w:szCs w:val="28"/>
        </w:rPr>
        <w:t xml:space="preserve">risis </w:t>
      </w:r>
      <w:r>
        <w:rPr>
          <w:rFonts w:ascii="Times New Roman" w:hAnsi="Times New Roman" w:cs="Times New Roman"/>
          <w:b/>
          <w:sz w:val="28"/>
          <w:szCs w:val="28"/>
        </w:rPr>
        <w:t>P</w:t>
      </w:r>
      <w:r w:rsidR="003D2AF8">
        <w:rPr>
          <w:rFonts w:ascii="Times New Roman" w:hAnsi="Times New Roman" w:cs="Times New Roman"/>
          <w:b/>
          <w:sz w:val="28"/>
          <w:szCs w:val="28"/>
        </w:rPr>
        <w:t>eriods</w:t>
      </w:r>
    </w:p>
    <w:p w14:paraId="5FB58C45" w14:textId="43FA03E5" w:rsidR="008B783A" w:rsidRPr="008B783A" w:rsidRDefault="00024AED" w:rsidP="00F1484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01D15F94" w14:textId="77777777" w:rsidR="00F14845" w:rsidRDefault="00F14845" w:rsidP="00F14845">
      <w:pPr>
        <w:spacing w:after="0" w:line="240" w:lineRule="auto"/>
        <w:jc w:val="center"/>
        <w:rPr>
          <w:rFonts w:ascii="Times New Roman" w:hAnsi="Times New Roman" w:cs="Times New Roman"/>
          <w:sz w:val="24"/>
          <w:szCs w:val="24"/>
        </w:rPr>
      </w:pPr>
    </w:p>
    <w:p w14:paraId="07D93656" w14:textId="77777777" w:rsidR="003219AF" w:rsidRDefault="003219AF"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Jing Chen</w:t>
      </w:r>
    </w:p>
    <w:p w14:paraId="1296CC32" w14:textId="77777777" w:rsidR="003219AF" w:rsidRDefault="003219AF"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School of Mathematics</w:t>
      </w:r>
    </w:p>
    <w:p w14:paraId="146C9F9A" w14:textId="77777777" w:rsidR="003219AF" w:rsidRDefault="003219AF"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Cardiff University</w:t>
      </w:r>
    </w:p>
    <w:p w14:paraId="255D1FDC" w14:textId="77777777" w:rsidR="003219AF" w:rsidRDefault="003219AF" w:rsidP="00F14845">
      <w:pPr>
        <w:spacing w:after="0" w:line="240" w:lineRule="auto"/>
        <w:jc w:val="center"/>
        <w:rPr>
          <w:rFonts w:ascii="Times New Roman" w:hAnsi="Times New Roman" w:cs="Times New Roman"/>
          <w:sz w:val="24"/>
          <w:szCs w:val="24"/>
        </w:rPr>
      </w:pPr>
    </w:p>
    <w:p w14:paraId="38B627CA" w14:textId="26339EBB" w:rsidR="003219AF" w:rsidRPr="00AA4800" w:rsidRDefault="003219AF" w:rsidP="00F14845">
      <w:pPr>
        <w:spacing w:after="0" w:line="240" w:lineRule="auto"/>
        <w:jc w:val="center"/>
        <w:rPr>
          <w:rFonts w:ascii="Times New Roman" w:hAnsi="Times New Roman" w:cs="Times New Roman"/>
          <w:sz w:val="24"/>
          <w:szCs w:val="24"/>
        </w:rPr>
      </w:pPr>
      <w:r w:rsidRPr="00AA4800">
        <w:rPr>
          <w:rFonts w:ascii="Times New Roman" w:hAnsi="Times New Roman" w:cs="Times New Roman"/>
          <w:sz w:val="24"/>
          <w:szCs w:val="24"/>
        </w:rPr>
        <w:t>David G. McMillan</w:t>
      </w:r>
    </w:p>
    <w:p w14:paraId="3F213039" w14:textId="77777777" w:rsidR="003219AF" w:rsidRPr="00AA4800" w:rsidRDefault="003219AF" w:rsidP="00F14845">
      <w:pPr>
        <w:spacing w:after="0" w:line="240" w:lineRule="auto"/>
        <w:jc w:val="center"/>
        <w:rPr>
          <w:rFonts w:ascii="Times New Roman" w:hAnsi="Times New Roman" w:cs="Times New Roman"/>
          <w:sz w:val="24"/>
          <w:szCs w:val="24"/>
        </w:rPr>
      </w:pPr>
      <w:r w:rsidRPr="00AA4800">
        <w:rPr>
          <w:rFonts w:ascii="Times New Roman" w:hAnsi="Times New Roman" w:cs="Times New Roman"/>
          <w:sz w:val="24"/>
          <w:szCs w:val="24"/>
        </w:rPr>
        <w:t>Accounting and Finance Division</w:t>
      </w:r>
    </w:p>
    <w:p w14:paraId="7743CB40" w14:textId="77777777" w:rsidR="003219AF" w:rsidRPr="00AA4800" w:rsidRDefault="003219AF" w:rsidP="00F14845">
      <w:pPr>
        <w:spacing w:after="0" w:line="240" w:lineRule="auto"/>
        <w:jc w:val="center"/>
        <w:rPr>
          <w:rFonts w:ascii="Times New Roman" w:hAnsi="Times New Roman" w:cs="Times New Roman"/>
          <w:sz w:val="24"/>
          <w:szCs w:val="24"/>
        </w:rPr>
      </w:pPr>
      <w:r w:rsidRPr="00AA4800">
        <w:rPr>
          <w:rFonts w:ascii="Times New Roman" w:hAnsi="Times New Roman" w:cs="Times New Roman"/>
          <w:sz w:val="24"/>
          <w:szCs w:val="24"/>
        </w:rPr>
        <w:t>Stirling Management School</w:t>
      </w:r>
    </w:p>
    <w:p w14:paraId="7ED96090" w14:textId="77777777" w:rsidR="003219AF" w:rsidRPr="00AA4800" w:rsidRDefault="003219AF" w:rsidP="00F14845">
      <w:pPr>
        <w:spacing w:after="0" w:line="240" w:lineRule="auto"/>
        <w:jc w:val="center"/>
        <w:rPr>
          <w:rFonts w:ascii="Times New Roman" w:hAnsi="Times New Roman" w:cs="Times New Roman"/>
          <w:sz w:val="24"/>
          <w:szCs w:val="24"/>
        </w:rPr>
      </w:pPr>
      <w:r w:rsidRPr="00AA4800">
        <w:rPr>
          <w:rFonts w:ascii="Times New Roman" w:hAnsi="Times New Roman" w:cs="Times New Roman"/>
          <w:sz w:val="24"/>
          <w:szCs w:val="24"/>
        </w:rPr>
        <w:t>University of Stirling</w:t>
      </w:r>
    </w:p>
    <w:p w14:paraId="745A805A" w14:textId="77777777" w:rsidR="003219AF" w:rsidRDefault="003219AF" w:rsidP="00F14845">
      <w:pPr>
        <w:spacing w:after="0" w:line="240" w:lineRule="auto"/>
        <w:jc w:val="center"/>
        <w:rPr>
          <w:rFonts w:ascii="Times New Roman" w:hAnsi="Times New Roman" w:cs="Times New Roman"/>
          <w:sz w:val="24"/>
          <w:szCs w:val="24"/>
        </w:rPr>
      </w:pPr>
    </w:p>
    <w:p w14:paraId="4E850957" w14:textId="60C424D9" w:rsidR="00F14845" w:rsidRDefault="00F14845"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Mike Buckle</w:t>
      </w:r>
    </w:p>
    <w:p w14:paraId="5FC6754B" w14:textId="5CF89308" w:rsidR="00F14845" w:rsidRDefault="00F14845"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Management School</w:t>
      </w:r>
    </w:p>
    <w:p w14:paraId="472D93F7" w14:textId="3A924073" w:rsidR="00F14845" w:rsidRPr="00AA4800" w:rsidRDefault="00F14845"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University of Liverpool</w:t>
      </w:r>
    </w:p>
    <w:p w14:paraId="52D30DA7" w14:textId="77777777" w:rsidR="008B783A" w:rsidRDefault="008B783A" w:rsidP="00F14845">
      <w:pPr>
        <w:spacing w:after="0" w:line="240" w:lineRule="auto"/>
        <w:jc w:val="center"/>
        <w:rPr>
          <w:rFonts w:ascii="Times New Roman" w:hAnsi="Times New Roman" w:cs="Times New Roman"/>
          <w:sz w:val="24"/>
          <w:szCs w:val="24"/>
        </w:rPr>
      </w:pPr>
    </w:p>
    <w:p w14:paraId="584C5B19" w14:textId="77777777" w:rsidR="00F14845" w:rsidRPr="008B783A" w:rsidRDefault="00F14845" w:rsidP="00F14845">
      <w:pPr>
        <w:spacing w:after="0" w:line="240" w:lineRule="auto"/>
        <w:jc w:val="center"/>
        <w:rPr>
          <w:rFonts w:ascii="Times New Roman" w:hAnsi="Times New Roman" w:cs="Times New Roman"/>
          <w:sz w:val="24"/>
          <w:szCs w:val="24"/>
        </w:rPr>
      </w:pPr>
    </w:p>
    <w:p w14:paraId="05BFB0AA" w14:textId="09E7E4EE" w:rsidR="008B783A" w:rsidRDefault="008B783A" w:rsidP="00F14845">
      <w:pPr>
        <w:spacing w:after="0" w:line="240" w:lineRule="auto"/>
        <w:jc w:val="center"/>
        <w:rPr>
          <w:rFonts w:ascii="Times New Roman" w:hAnsi="Times New Roman" w:cs="Times New Roman"/>
          <w:sz w:val="24"/>
          <w:szCs w:val="24"/>
        </w:rPr>
      </w:pPr>
      <w:r w:rsidRPr="008B783A">
        <w:rPr>
          <w:rFonts w:ascii="Times New Roman" w:hAnsi="Times New Roman" w:cs="Times New Roman"/>
          <w:sz w:val="24"/>
          <w:szCs w:val="24"/>
        </w:rPr>
        <w:t>October 2016</w:t>
      </w:r>
    </w:p>
    <w:p w14:paraId="17BF4DD4" w14:textId="59912478" w:rsidR="00F14845" w:rsidRDefault="00F14845" w:rsidP="00F14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Revised </w:t>
      </w:r>
      <w:r w:rsidR="00AB3230">
        <w:rPr>
          <w:rFonts w:ascii="Times New Roman" w:hAnsi="Times New Roman" w:cs="Times New Roman"/>
          <w:sz w:val="24"/>
          <w:szCs w:val="24"/>
        </w:rPr>
        <w:t xml:space="preserve">December </w:t>
      </w:r>
      <w:r>
        <w:rPr>
          <w:rFonts w:ascii="Times New Roman" w:hAnsi="Times New Roman" w:cs="Times New Roman"/>
          <w:sz w:val="24"/>
          <w:szCs w:val="24"/>
        </w:rPr>
        <w:t>2017</w:t>
      </w:r>
    </w:p>
    <w:p w14:paraId="20644851" w14:textId="77777777" w:rsidR="00F14845" w:rsidRDefault="00F14845" w:rsidP="00F14845">
      <w:pPr>
        <w:spacing w:after="0" w:line="240" w:lineRule="auto"/>
        <w:jc w:val="center"/>
        <w:rPr>
          <w:rFonts w:ascii="Times New Roman" w:hAnsi="Times New Roman" w:cs="Times New Roman"/>
          <w:sz w:val="24"/>
          <w:szCs w:val="24"/>
        </w:rPr>
      </w:pPr>
    </w:p>
    <w:p w14:paraId="044FBFFB" w14:textId="77777777" w:rsidR="00F14845" w:rsidRPr="008B783A" w:rsidRDefault="00F14845" w:rsidP="00F14845">
      <w:pPr>
        <w:spacing w:after="0" w:line="240" w:lineRule="auto"/>
        <w:jc w:val="center"/>
        <w:rPr>
          <w:rFonts w:ascii="Times New Roman" w:hAnsi="Times New Roman" w:cs="Times New Roman"/>
          <w:sz w:val="24"/>
          <w:szCs w:val="24"/>
        </w:rPr>
      </w:pPr>
    </w:p>
    <w:p w14:paraId="5455AD73" w14:textId="77777777" w:rsidR="005F5EBE" w:rsidRPr="00A47D41" w:rsidRDefault="005F5EBE" w:rsidP="00F14845">
      <w:pPr>
        <w:spacing w:after="0" w:line="240" w:lineRule="auto"/>
        <w:jc w:val="center"/>
        <w:rPr>
          <w:rFonts w:ascii="Times New Roman" w:hAnsi="Times New Roman" w:cs="Times New Roman"/>
          <w:b/>
          <w:sz w:val="24"/>
          <w:szCs w:val="24"/>
        </w:rPr>
      </w:pPr>
      <w:r w:rsidRPr="00A47D41">
        <w:rPr>
          <w:rFonts w:ascii="Times New Roman" w:hAnsi="Times New Roman" w:cs="Times New Roman"/>
          <w:b/>
          <w:sz w:val="24"/>
          <w:szCs w:val="24"/>
        </w:rPr>
        <w:t>Abstract</w:t>
      </w:r>
    </w:p>
    <w:p w14:paraId="55E29915" w14:textId="131DE61A" w:rsidR="007F3F51" w:rsidRDefault="00A22B60" w:rsidP="00F14845">
      <w:pPr>
        <w:spacing w:line="240" w:lineRule="auto"/>
        <w:jc w:val="both"/>
        <w:rPr>
          <w:rFonts w:ascii="Times New Roman" w:hAnsi="Times New Roman" w:cs="Times New Roman"/>
          <w:sz w:val="24"/>
          <w:szCs w:val="24"/>
        </w:rPr>
      </w:pPr>
      <w:r w:rsidRPr="00E86E7E">
        <w:rPr>
          <w:rFonts w:ascii="Times New Roman" w:hAnsi="Times New Roman" w:cs="Times New Roman"/>
          <w:sz w:val="24"/>
          <w:szCs w:val="24"/>
        </w:rPr>
        <w:t>To</w:t>
      </w:r>
      <w:r w:rsidR="001647B8" w:rsidRPr="00E86E7E">
        <w:rPr>
          <w:rFonts w:ascii="Times New Roman" w:hAnsi="Times New Roman" w:cs="Times New Roman"/>
          <w:sz w:val="24"/>
          <w:szCs w:val="24"/>
        </w:rPr>
        <w:t xml:space="preserve"> respond to the </w:t>
      </w:r>
      <w:r w:rsidR="00B70CF0">
        <w:rPr>
          <w:rFonts w:ascii="Times New Roman" w:hAnsi="Times New Roman" w:cs="Times New Roman"/>
          <w:sz w:val="24"/>
          <w:szCs w:val="24"/>
        </w:rPr>
        <w:t xml:space="preserve">market turmoil following the </w:t>
      </w:r>
      <w:r w:rsidR="001647B8" w:rsidRPr="00E86E7E">
        <w:rPr>
          <w:rFonts w:ascii="Times New Roman" w:hAnsi="Times New Roman" w:cs="Times New Roman"/>
          <w:sz w:val="24"/>
          <w:szCs w:val="24"/>
        </w:rPr>
        <w:t xml:space="preserve">demise of Lehman Brothers in September 2008, </w:t>
      </w:r>
      <w:r w:rsidR="00B70CF0">
        <w:rPr>
          <w:rFonts w:ascii="Times New Roman" w:hAnsi="Times New Roman" w:cs="Times New Roman"/>
          <w:sz w:val="24"/>
          <w:szCs w:val="24"/>
        </w:rPr>
        <w:t xml:space="preserve">the </w:t>
      </w:r>
      <w:r w:rsidR="001647B8" w:rsidRPr="00E86E7E">
        <w:rPr>
          <w:rFonts w:ascii="Times New Roman" w:hAnsi="Times New Roman" w:cs="Times New Roman"/>
          <w:sz w:val="24"/>
          <w:szCs w:val="24"/>
        </w:rPr>
        <w:t>majority of European countries imposed short selling restrictions</w:t>
      </w:r>
      <w:r w:rsidR="000A53EE">
        <w:rPr>
          <w:rFonts w:ascii="Times New Roman" w:hAnsi="Times New Roman" w:cs="Times New Roman"/>
          <w:sz w:val="24"/>
          <w:szCs w:val="24"/>
        </w:rPr>
        <w:t xml:space="preserve"> on their equity markets</w:t>
      </w:r>
      <w:r w:rsidR="00B70CF0">
        <w:rPr>
          <w:rFonts w:ascii="Times New Roman" w:hAnsi="Times New Roman" w:cs="Times New Roman"/>
          <w:sz w:val="24"/>
          <w:szCs w:val="24"/>
        </w:rPr>
        <w:t>. S</w:t>
      </w:r>
      <w:r w:rsidR="00F51E5A" w:rsidRPr="00E86E7E">
        <w:rPr>
          <w:rFonts w:ascii="Times New Roman" w:hAnsi="Times New Roman" w:cs="Times New Roman"/>
          <w:sz w:val="24"/>
          <w:szCs w:val="24"/>
        </w:rPr>
        <w:t xml:space="preserve">uch </w:t>
      </w:r>
      <w:r w:rsidR="00B70CF0">
        <w:rPr>
          <w:rFonts w:ascii="Times New Roman" w:hAnsi="Times New Roman" w:cs="Times New Roman"/>
          <w:sz w:val="24"/>
          <w:szCs w:val="24"/>
        </w:rPr>
        <w:t xml:space="preserve">a </w:t>
      </w:r>
      <w:r w:rsidR="00F51E5A" w:rsidRPr="00E86E7E">
        <w:rPr>
          <w:rFonts w:ascii="Times New Roman" w:hAnsi="Times New Roman" w:cs="Times New Roman"/>
          <w:sz w:val="24"/>
          <w:szCs w:val="24"/>
        </w:rPr>
        <w:t xml:space="preserve">regulatory </w:t>
      </w:r>
      <w:r w:rsidR="00B70CF0">
        <w:rPr>
          <w:rFonts w:ascii="Times New Roman" w:hAnsi="Times New Roman" w:cs="Times New Roman"/>
          <w:sz w:val="24"/>
          <w:szCs w:val="24"/>
        </w:rPr>
        <w:t>intervention</w:t>
      </w:r>
      <w:r w:rsidR="00F51E5A" w:rsidRPr="00E86E7E">
        <w:rPr>
          <w:rFonts w:ascii="Times New Roman" w:hAnsi="Times New Roman" w:cs="Times New Roman"/>
          <w:sz w:val="24"/>
          <w:szCs w:val="24"/>
        </w:rPr>
        <w:t xml:space="preserve"> </w:t>
      </w:r>
      <w:r w:rsidR="00B70CF0">
        <w:rPr>
          <w:rFonts w:ascii="Times New Roman" w:hAnsi="Times New Roman" w:cs="Times New Roman"/>
          <w:sz w:val="24"/>
          <w:szCs w:val="24"/>
        </w:rPr>
        <w:t xml:space="preserve">is likely to have </w:t>
      </w:r>
      <w:r w:rsidR="00F51E5A" w:rsidRPr="00E86E7E">
        <w:rPr>
          <w:rFonts w:ascii="Times New Roman" w:hAnsi="Times New Roman" w:cs="Times New Roman"/>
          <w:sz w:val="24"/>
          <w:szCs w:val="24"/>
        </w:rPr>
        <w:t xml:space="preserve">impact on the price formation </w:t>
      </w:r>
      <w:r w:rsidR="00B70CF0">
        <w:rPr>
          <w:rFonts w:ascii="Times New Roman" w:hAnsi="Times New Roman" w:cs="Times New Roman"/>
          <w:sz w:val="24"/>
          <w:szCs w:val="24"/>
        </w:rPr>
        <w:t xml:space="preserve">process </w:t>
      </w:r>
      <w:r w:rsidR="000A53EE">
        <w:rPr>
          <w:rFonts w:ascii="Times New Roman" w:hAnsi="Times New Roman" w:cs="Times New Roman"/>
          <w:sz w:val="24"/>
          <w:szCs w:val="24"/>
        </w:rPr>
        <w:t>and</w:t>
      </w:r>
      <w:r w:rsidR="00F51E5A" w:rsidRPr="00E86E7E">
        <w:rPr>
          <w:rFonts w:ascii="Times New Roman" w:hAnsi="Times New Roman" w:cs="Times New Roman"/>
          <w:sz w:val="24"/>
          <w:szCs w:val="24"/>
        </w:rPr>
        <w:t xml:space="preserve"> </w:t>
      </w:r>
      <w:r w:rsidR="00DD3B00">
        <w:rPr>
          <w:rFonts w:ascii="Times New Roman" w:hAnsi="Times New Roman" w:cs="Times New Roman"/>
          <w:sz w:val="24"/>
          <w:szCs w:val="24"/>
        </w:rPr>
        <w:t>information transmission between markets.</w:t>
      </w:r>
      <w:r w:rsidR="00743161">
        <w:rPr>
          <w:rFonts w:ascii="Times New Roman" w:hAnsi="Times New Roman" w:cs="Times New Roman"/>
          <w:sz w:val="24"/>
          <w:szCs w:val="24"/>
        </w:rPr>
        <w:t xml:space="preserve"> </w:t>
      </w:r>
      <w:r w:rsidR="00B70CF0">
        <w:rPr>
          <w:rFonts w:ascii="Times New Roman" w:hAnsi="Times New Roman" w:cs="Times New Roman"/>
          <w:sz w:val="24"/>
          <w:szCs w:val="24"/>
        </w:rPr>
        <w:t>W</w:t>
      </w:r>
      <w:r w:rsidR="00F51E5A" w:rsidRPr="00E86E7E">
        <w:rPr>
          <w:rFonts w:ascii="Times New Roman" w:hAnsi="Times New Roman" w:cs="Times New Roman"/>
          <w:sz w:val="24"/>
          <w:szCs w:val="24"/>
        </w:rPr>
        <w:t>e find that</w:t>
      </w:r>
      <w:r w:rsidR="00743161">
        <w:rPr>
          <w:rFonts w:ascii="Times New Roman" w:hAnsi="Times New Roman" w:cs="Times New Roman"/>
          <w:sz w:val="24"/>
          <w:szCs w:val="24"/>
        </w:rPr>
        <w:t xml:space="preserve"> </w:t>
      </w:r>
      <w:r w:rsidR="00F51E5A" w:rsidRPr="00E86E7E">
        <w:rPr>
          <w:rFonts w:ascii="Times New Roman" w:hAnsi="Times New Roman" w:cs="Times New Roman"/>
          <w:sz w:val="24"/>
          <w:szCs w:val="24"/>
        </w:rPr>
        <w:t xml:space="preserve">the </w:t>
      </w:r>
      <w:r w:rsidR="00EE3CE8" w:rsidRPr="00E86E7E">
        <w:rPr>
          <w:rFonts w:ascii="Times New Roman" w:hAnsi="Times New Roman" w:cs="Times New Roman"/>
          <w:sz w:val="24"/>
          <w:szCs w:val="24"/>
        </w:rPr>
        <w:t>long</w:t>
      </w:r>
      <w:r w:rsidR="00EE3CE8">
        <w:rPr>
          <w:rFonts w:ascii="Times New Roman" w:hAnsi="Times New Roman" w:cs="Times New Roman"/>
          <w:sz w:val="24"/>
          <w:szCs w:val="24"/>
        </w:rPr>
        <w:t>-</w:t>
      </w:r>
      <w:r w:rsidR="00F51E5A" w:rsidRPr="00E86E7E">
        <w:rPr>
          <w:rFonts w:ascii="Times New Roman" w:hAnsi="Times New Roman" w:cs="Times New Roman"/>
          <w:sz w:val="24"/>
          <w:szCs w:val="24"/>
        </w:rPr>
        <w:t xml:space="preserve">run cointegrating </w:t>
      </w:r>
      <w:r w:rsidR="00AC20C2">
        <w:rPr>
          <w:rFonts w:ascii="Times New Roman" w:hAnsi="Times New Roman" w:cs="Times New Roman"/>
          <w:sz w:val="24"/>
          <w:szCs w:val="24"/>
        </w:rPr>
        <w:t>relation</w:t>
      </w:r>
      <w:r w:rsidR="00F51E5A" w:rsidRPr="00E86E7E">
        <w:rPr>
          <w:rFonts w:ascii="Times New Roman" w:hAnsi="Times New Roman" w:cs="Times New Roman"/>
          <w:sz w:val="24"/>
          <w:szCs w:val="24"/>
        </w:rPr>
        <w:t xml:space="preserve"> </w:t>
      </w:r>
      <w:r w:rsidR="00B70CF0">
        <w:rPr>
          <w:rFonts w:ascii="Times New Roman" w:hAnsi="Times New Roman" w:cs="Times New Roman"/>
          <w:sz w:val="24"/>
          <w:szCs w:val="24"/>
        </w:rPr>
        <w:t>between</w:t>
      </w:r>
      <w:r w:rsidR="00F51E5A" w:rsidRPr="00E86E7E">
        <w:rPr>
          <w:rFonts w:ascii="Times New Roman" w:hAnsi="Times New Roman" w:cs="Times New Roman"/>
          <w:sz w:val="24"/>
          <w:szCs w:val="24"/>
        </w:rPr>
        <w:t xml:space="preserve"> </w:t>
      </w:r>
      <w:r w:rsidR="00390651">
        <w:rPr>
          <w:rFonts w:ascii="Times New Roman" w:hAnsi="Times New Roman" w:cs="Times New Roman"/>
          <w:sz w:val="24"/>
          <w:szCs w:val="24"/>
        </w:rPr>
        <w:t xml:space="preserve">the </w:t>
      </w:r>
      <w:r w:rsidRPr="00E86E7E">
        <w:rPr>
          <w:rFonts w:ascii="Times New Roman" w:hAnsi="Times New Roman" w:cs="Times New Roman"/>
          <w:sz w:val="24"/>
          <w:szCs w:val="24"/>
        </w:rPr>
        <w:t>high and low risk country groups</w:t>
      </w:r>
      <w:r w:rsidR="00B70CF0">
        <w:rPr>
          <w:rFonts w:ascii="Times New Roman" w:hAnsi="Times New Roman" w:cs="Times New Roman"/>
          <w:sz w:val="24"/>
          <w:szCs w:val="24"/>
        </w:rPr>
        <w:t xml:space="preserve"> in Europe</w:t>
      </w:r>
      <w:r w:rsidRPr="00E86E7E">
        <w:rPr>
          <w:rFonts w:ascii="Times New Roman" w:hAnsi="Times New Roman" w:cs="Times New Roman"/>
          <w:sz w:val="24"/>
          <w:szCs w:val="24"/>
        </w:rPr>
        <w:t xml:space="preserve"> </w:t>
      </w:r>
      <w:r w:rsidR="00D10D31">
        <w:rPr>
          <w:rFonts w:ascii="Times New Roman" w:hAnsi="Times New Roman" w:cs="Times New Roman"/>
          <w:sz w:val="24"/>
          <w:szCs w:val="24"/>
        </w:rPr>
        <w:t xml:space="preserve">broke </w:t>
      </w:r>
      <w:r w:rsidRPr="00E86E7E">
        <w:rPr>
          <w:rFonts w:ascii="Times New Roman" w:hAnsi="Times New Roman" w:cs="Times New Roman"/>
          <w:sz w:val="24"/>
          <w:szCs w:val="24"/>
        </w:rPr>
        <w:t>down as the crisis emerge</w:t>
      </w:r>
      <w:r w:rsidR="005A57A8">
        <w:rPr>
          <w:rFonts w:ascii="Times New Roman" w:hAnsi="Times New Roman" w:cs="Times New Roman"/>
          <w:sz w:val="24"/>
          <w:szCs w:val="24"/>
        </w:rPr>
        <w:t>d</w:t>
      </w:r>
      <w:r w:rsidRPr="00E86E7E">
        <w:rPr>
          <w:rFonts w:ascii="Times New Roman" w:hAnsi="Times New Roman" w:cs="Times New Roman"/>
          <w:sz w:val="24"/>
          <w:szCs w:val="24"/>
        </w:rPr>
        <w:t xml:space="preserve"> and the regulatory remedy </w:t>
      </w:r>
      <w:r w:rsidR="00DD3B00">
        <w:rPr>
          <w:rFonts w:ascii="Times New Roman" w:hAnsi="Times New Roman" w:cs="Times New Roman"/>
          <w:sz w:val="24"/>
          <w:szCs w:val="24"/>
        </w:rPr>
        <w:t>failed to</w:t>
      </w:r>
      <w:r w:rsidRPr="00E86E7E">
        <w:rPr>
          <w:rFonts w:ascii="Times New Roman" w:hAnsi="Times New Roman" w:cs="Times New Roman"/>
          <w:sz w:val="24"/>
          <w:szCs w:val="24"/>
        </w:rPr>
        <w:t xml:space="preserve"> correct th</w:t>
      </w:r>
      <w:r w:rsidR="00DD3B00">
        <w:rPr>
          <w:rFonts w:ascii="Times New Roman" w:hAnsi="Times New Roman" w:cs="Times New Roman"/>
          <w:sz w:val="24"/>
          <w:szCs w:val="24"/>
        </w:rPr>
        <w:t>is</w:t>
      </w:r>
      <w:r w:rsidRPr="00E86E7E">
        <w:rPr>
          <w:rFonts w:ascii="Times New Roman" w:hAnsi="Times New Roman" w:cs="Times New Roman"/>
          <w:sz w:val="24"/>
          <w:szCs w:val="24"/>
        </w:rPr>
        <w:t xml:space="preserve">. Furthermore, </w:t>
      </w:r>
      <w:r w:rsidR="00B70CF0">
        <w:rPr>
          <w:rFonts w:ascii="Times New Roman" w:hAnsi="Times New Roman" w:cs="Times New Roman"/>
          <w:sz w:val="24"/>
          <w:szCs w:val="24"/>
        </w:rPr>
        <w:t xml:space="preserve">we find </w:t>
      </w:r>
      <w:r w:rsidR="00743161">
        <w:rPr>
          <w:rFonts w:ascii="Times New Roman" w:hAnsi="Times New Roman" w:cs="Times New Roman"/>
          <w:sz w:val="24"/>
          <w:szCs w:val="24"/>
        </w:rPr>
        <w:t xml:space="preserve">the information transmission </w:t>
      </w:r>
      <w:r w:rsidR="00B70CF0">
        <w:rPr>
          <w:rFonts w:ascii="Times New Roman" w:hAnsi="Times New Roman" w:cs="Times New Roman"/>
          <w:sz w:val="24"/>
          <w:szCs w:val="24"/>
        </w:rPr>
        <w:t xml:space="preserve">between markets has </w:t>
      </w:r>
      <w:r w:rsidR="00743161">
        <w:rPr>
          <w:rFonts w:ascii="Times New Roman" w:hAnsi="Times New Roman" w:cs="Times New Roman"/>
          <w:sz w:val="24"/>
          <w:szCs w:val="24"/>
        </w:rPr>
        <w:t>reversed from</w:t>
      </w:r>
      <w:r w:rsidR="007F1673">
        <w:rPr>
          <w:rFonts w:ascii="Times New Roman" w:hAnsi="Times New Roman" w:cs="Times New Roman"/>
          <w:sz w:val="24"/>
          <w:szCs w:val="24"/>
        </w:rPr>
        <w:t xml:space="preserve"> the</w:t>
      </w:r>
      <w:r w:rsidR="00743161">
        <w:rPr>
          <w:rFonts w:ascii="Times New Roman" w:hAnsi="Times New Roman" w:cs="Times New Roman"/>
          <w:sz w:val="24"/>
          <w:szCs w:val="24"/>
        </w:rPr>
        <w:t xml:space="preserve"> high</w:t>
      </w:r>
      <w:r w:rsidR="003A0E3E">
        <w:rPr>
          <w:rFonts w:ascii="Times New Roman" w:hAnsi="Times New Roman" w:cs="Times New Roman"/>
          <w:sz w:val="24"/>
          <w:szCs w:val="24"/>
        </w:rPr>
        <w:t xml:space="preserve"> risk</w:t>
      </w:r>
      <w:r w:rsidR="00743161">
        <w:rPr>
          <w:rFonts w:ascii="Times New Roman" w:hAnsi="Times New Roman" w:cs="Times New Roman"/>
          <w:sz w:val="24"/>
          <w:szCs w:val="24"/>
        </w:rPr>
        <w:t xml:space="preserve"> to low risk markets </w:t>
      </w:r>
      <w:r w:rsidR="007F3F51">
        <w:rPr>
          <w:rFonts w:ascii="Times New Roman" w:hAnsi="Times New Roman" w:cs="Times New Roman"/>
          <w:sz w:val="24"/>
          <w:szCs w:val="24"/>
        </w:rPr>
        <w:t xml:space="preserve">in the </w:t>
      </w:r>
      <w:r w:rsidR="009B6F27">
        <w:rPr>
          <w:rFonts w:ascii="Times New Roman" w:hAnsi="Times New Roman" w:cs="Times New Roman"/>
          <w:sz w:val="24"/>
          <w:szCs w:val="24"/>
        </w:rPr>
        <w:t>period following the Lehman demise and imposition of the ban</w:t>
      </w:r>
      <w:r w:rsidR="00B70CF0">
        <w:rPr>
          <w:rFonts w:ascii="Times New Roman" w:hAnsi="Times New Roman" w:cs="Times New Roman"/>
          <w:sz w:val="24"/>
          <w:szCs w:val="24"/>
        </w:rPr>
        <w:t>.</w:t>
      </w:r>
      <w:r w:rsidR="00743161">
        <w:rPr>
          <w:rFonts w:ascii="Times New Roman" w:hAnsi="Times New Roman" w:cs="Times New Roman"/>
          <w:sz w:val="24"/>
          <w:szCs w:val="24"/>
        </w:rPr>
        <w:t xml:space="preserve"> F</w:t>
      </w:r>
      <w:r w:rsidR="007F3F51">
        <w:rPr>
          <w:rFonts w:ascii="Times New Roman" w:hAnsi="Times New Roman" w:cs="Times New Roman"/>
          <w:sz w:val="24"/>
          <w:szCs w:val="24"/>
        </w:rPr>
        <w:t>urther</w:t>
      </w:r>
      <w:r w:rsidR="00743161">
        <w:rPr>
          <w:rFonts w:ascii="Times New Roman" w:hAnsi="Times New Roman" w:cs="Times New Roman"/>
          <w:sz w:val="24"/>
          <w:szCs w:val="24"/>
        </w:rPr>
        <w:t xml:space="preserve">, we notice </w:t>
      </w:r>
      <w:r w:rsidR="00B70CF0">
        <w:rPr>
          <w:rFonts w:ascii="Times New Roman" w:hAnsi="Times New Roman" w:cs="Times New Roman"/>
          <w:sz w:val="24"/>
          <w:szCs w:val="24"/>
        </w:rPr>
        <w:t>a</w:t>
      </w:r>
      <w:r w:rsidR="00743161">
        <w:rPr>
          <w:rFonts w:ascii="Times New Roman" w:hAnsi="Times New Roman" w:cs="Times New Roman"/>
          <w:sz w:val="24"/>
          <w:szCs w:val="24"/>
        </w:rPr>
        <w:t xml:space="preserve"> similar revers</w:t>
      </w:r>
      <w:r w:rsidR="00B70CF0">
        <w:rPr>
          <w:rFonts w:ascii="Times New Roman" w:hAnsi="Times New Roman" w:cs="Times New Roman"/>
          <w:sz w:val="24"/>
          <w:szCs w:val="24"/>
        </w:rPr>
        <w:t>al</w:t>
      </w:r>
      <w:r w:rsidR="00743161">
        <w:rPr>
          <w:rFonts w:ascii="Times New Roman" w:hAnsi="Times New Roman" w:cs="Times New Roman"/>
          <w:sz w:val="24"/>
          <w:szCs w:val="24"/>
        </w:rPr>
        <w:t xml:space="preserve"> in </w:t>
      </w:r>
      <w:r w:rsidRPr="00E86E7E">
        <w:rPr>
          <w:rFonts w:ascii="Times New Roman" w:hAnsi="Times New Roman" w:cs="Times New Roman"/>
          <w:sz w:val="24"/>
          <w:szCs w:val="24"/>
        </w:rPr>
        <w:t xml:space="preserve">the </w:t>
      </w:r>
      <w:proofErr w:type="spellStart"/>
      <w:r w:rsidRPr="00E86E7E">
        <w:rPr>
          <w:rFonts w:ascii="Times New Roman" w:hAnsi="Times New Roman" w:cs="Times New Roman"/>
          <w:sz w:val="24"/>
          <w:szCs w:val="24"/>
        </w:rPr>
        <w:t>spillover</w:t>
      </w:r>
      <w:proofErr w:type="spellEnd"/>
      <w:r w:rsidRPr="00E86E7E">
        <w:rPr>
          <w:rFonts w:ascii="Times New Roman" w:hAnsi="Times New Roman" w:cs="Times New Roman"/>
          <w:sz w:val="24"/>
          <w:szCs w:val="24"/>
        </w:rPr>
        <w:t xml:space="preserve"> </w:t>
      </w:r>
      <w:r w:rsidR="00743161">
        <w:rPr>
          <w:rFonts w:ascii="Times New Roman" w:hAnsi="Times New Roman" w:cs="Times New Roman"/>
          <w:sz w:val="24"/>
          <w:szCs w:val="24"/>
        </w:rPr>
        <w:t>of</w:t>
      </w:r>
      <w:r w:rsidRPr="00E86E7E">
        <w:rPr>
          <w:rFonts w:ascii="Times New Roman" w:hAnsi="Times New Roman" w:cs="Times New Roman"/>
          <w:sz w:val="24"/>
          <w:szCs w:val="24"/>
        </w:rPr>
        <w:t xml:space="preserve"> both return and volatility </w:t>
      </w:r>
      <w:r w:rsidR="00743161">
        <w:rPr>
          <w:rFonts w:ascii="Times New Roman" w:hAnsi="Times New Roman" w:cs="Times New Roman"/>
          <w:sz w:val="24"/>
          <w:szCs w:val="24"/>
        </w:rPr>
        <w:t xml:space="preserve">processes </w:t>
      </w:r>
      <w:r w:rsidR="00DD3B00">
        <w:rPr>
          <w:rFonts w:ascii="Times New Roman" w:hAnsi="Times New Roman" w:cs="Times New Roman"/>
          <w:sz w:val="24"/>
          <w:szCs w:val="24"/>
        </w:rPr>
        <w:t>between</w:t>
      </w:r>
      <w:r w:rsidR="00743161">
        <w:rPr>
          <w:rFonts w:ascii="Times New Roman" w:hAnsi="Times New Roman" w:cs="Times New Roman"/>
          <w:sz w:val="24"/>
          <w:szCs w:val="24"/>
        </w:rPr>
        <w:t xml:space="preserve"> the different risk-level country groups. </w:t>
      </w:r>
      <w:r w:rsidRPr="00E86E7E">
        <w:rPr>
          <w:rFonts w:ascii="Times New Roman" w:hAnsi="Times New Roman" w:cs="Times New Roman"/>
          <w:sz w:val="24"/>
          <w:szCs w:val="24"/>
        </w:rPr>
        <w:t>We</w:t>
      </w:r>
      <w:r w:rsidR="00743161">
        <w:rPr>
          <w:rFonts w:ascii="Times New Roman" w:hAnsi="Times New Roman" w:cs="Times New Roman"/>
          <w:sz w:val="24"/>
          <w:szCs w:val="24"/>
        </w:rPr>
        <w:t xml:space="preserve">, therefore, </w:t>
      </w:r>
      <w:r w:rsidRPr="00E86E7E">
        <w:rPr>
          <w:rFonts w:ascii="Times New Roman" w:hAnsi="Times New Roman" w:cs="Times New Roman"/>
          <w:sz w:val="24"/>
          <w:szCs w:val="24"/>
        </w:rPr>
        <w:t>conclude that</w:t>
      </w:r>
      <w:r w:rsidR="007F3F51">
        <w:rPr>
          <w:rFonts w:ascii="Times New Roman" w:hAnsi="Times New Roman" w:cs="Times New Roman"/>
          <w:sz w:val="24"/>
          <w:szCs w:val="24"/>
        </w:rPr>
        <w:t>, overall,</w:t>
      </w:r>
      <w:r w:rsidRPr="00E86E7E">
        <w:rPr>
          <w:rFonts w:ascii="Times New Roman" w:hAnsi="Times New Roman" w:cs="Times New Roman"/>
          <w:sz w:val="24"/>
          <w:szCs w:val="24"/>
        </w:rPr>
        <w:t xml:space="preserve"> the 2008 short selling ban ha</w:t>
      </w:r>
      <w:r w:rsidR="00B70CF0">
        <w:rPr>
          <w:rFonts w:ascii="Times New Roman" w:hAnsi="Times New Roman" w:cs="Times New Roman"/>
          <w:sz w:val="24"/>
          <w:szCs w:val="24"/>
        </w:rPr>
        <w:t>d</w:t>
      </w:r>
      <w:r w:rsidRPr="00E86E7E">
        <w:rPr>
          <w:rFonts w:ascii="Times New Roman" w:hAnsi="Times New Roman" w:cs="Times New Roman"/>
          <w:sz w:val="24"/>
          <w:szCs w:val="24"/>
        </w:rPr>
        <w:t xml:space="preserve"> an adverse impact on information transmission between the identified country portfolios in </w:t>
      </w:r>
      <w:r w:rsidR="00B70CF0">
        <w:rPr>
          <w:rFonts w:ascii="Times New Roman" w:hAnsi="Times New Roman" w:cs="Times New Roman"/>
          <w:sz w:val="24"/>
          <w:szCs w:val="24"/>
        </w:rPr>
        <w:t>both the l</w:t>
      </w:r>
      <w:r w:rsidRPr="00E86E7E">
        <w:rPr>
          <w:rFonts w:ascii="Times New Roman" w:hAnsi="Times New Roman" w:cs="Times New Roman"/>
          <w:sz w:val="24"/>
          <w:szCs w:val="24"/>
        </w:rPr>
        <w:t xml:space="preserve">ong </w:t>
      </w:r>
      <w:r w:rsidR="00B70CF0">
        <w:rPr>
          <w:rFonts w:ascii="Times New Roman" w:hAnsi="Times New Roman" w:cs="Times New Roman"/>
          <w:sz w:val="24"/>
          <w:szCs w:val="24"/>
        </w:rPr>
        <w:t xml:space="preserve">and </w:t>
      </w:r>
      <w:r w:rsidRPr="00E86E7E">
        <w:rPr>
          <w:rFonts w:ascii="Times New Roman" w:hAnsi="Times New Roman" w:cs="Times New Roman"/>
          <w:sz w:val="24"/>
          <w:szCs w:val="24"/>
        </w:rPr>
        <w:t>short run</w:t>
      </w:r>
      <w:r w:rsidR="000A53EE">
        <w:rPr>
          <w:rFonts w:ascii="Times New Roman" w:hAnsi="Times New Roman" w:cs="Times New Roman"/>
          <w:sz w:val="24"/>
          <w:szCs w:val="24"/>
        </w:rPr>
        <w:t xml:space="preserve">. </w:t>
      </w:r>
      <w:r w:rsidR="007F3F51">
        <w:rPr>
          <w:rFonts w:ascii="Times New Roman" w:hAnsi="Times New Roman" w:cs="Times New Roman"/>
          <w:sz w:val="24"/>
          <w:szCs w:val="24"/>
        </w:rPr>
        <w:t>Notably, the ban did not restore the pre-crisis transmission channels.</w:t>
      </w:r>
    </w:p>
    <w:p w14:paraId="452476EC" w14:textId="7E2036A8" w:rsidR="005F5EBE" w:rsidRPr="00A47D41" w:rsidRDefault="00743161" w:rsidP="003219A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F5EBE" w:rsidRPr="00A47D41">
        <w:rPr>
          <w:rFonts w:ascii="Times New Roman" w:hAnsi="Times New Roman" w:cs="Times New Roman"/>
          <w:b/>
          <w:i/>
          <w:sz w:val="24"/>
          <w:szCs w:val="24"/>
        </w:rPr>
        <w:t>Key words:</w:t>
      </w:r>
      <w:r w:rsidR="00A61336" w:rsidRPr="00A47D41">
        <w:rPr>
          <w:rFonts w:ascii="Times New Roman" w:hAnsi="Times New Roman" w:cs="Times New Roman"/>
          <w:sz w:val="24"/>
          <w:szCs w:val="24"/>
        </w:rPr>
        <w:t xml:space="preserve"> </w:t>
      </w:r>
      <w:r w:rsidR="006164A8" w:rsidRPr="00A47D41">
        <w:rPr>
          <w:rFonts w:ascii="Times New Roman" w:hAnsi="Times New Roman" w:cs="Times New Roman"/>
          <w:sz w:val="24"/>
          <w:szCs w:val="24"/>
        </w:rPr>
        <w:t xml:space="preserve">Short Selling, </w:t>
      </w:r>
      <w:r w:rsidR="00A61336" w:rsidRPr="00A47D41">
        <w:rPr>
          <w:rFonts w:ascii="Times New Roman" w:hAnsi="Times New Roman" w:cs="Times New Roman"/>
          <w:sz w:val="24"/>
          <w:szCs w:val="24"/>
        </w:rPr>
        <w:t xml:space="preserve">Cointegration, </w:t>
      </w:r>
      <w:proofErr w:type="spellStart"/>
      <w:r w:rsidR="00A61336" w:rsidRPr="00A47D41">
        <w:rPr>
          <w:rFonts w:ascii="Times New Roman" w:hAnsi="Times New Roman" w:cs="Times New Roman"/>
          <w:sz w:val="24"/>
          <w:szCs w:val="24"/>
        </w:rPr>
        <w:t>Spillover</w:t>
      </w:r>
      <w:proofErr w:type="spellEnd"/>
      <w:r w:rsidR="001424EC" w:rsidRPr="00A47D41">
        <w:rPr>
          <w:rFonts w:ascii="Times New Roman" w:hAnsi="Times New Roman" w:cs="Times New Roman"/>
          <w:sz w:val="24"/>
          <w:szCs w:val="24"/>
        </w:rPr>
        <w:t>, Causality</w:t>
      </w:r>
      <w:r w:rsidR="00A61336" w:rsidRPr="00A47D41">
        <w:rPr>
          <w:rFonts w:ascii="Times New Roman" w:hAnsi="Times New Roman" w:cs="Times New Roman"/>
          <w:sz w:val="24"/>
          <w:szCs w:val="24"/>
        </w:rPr>
        <w:t xml:space="preserve"> </w:t>
      </w:r>
    </w:p>
    <w:p w14:paraId="0D489073" w14:textId="2FA6B4D6" w:rsidR="00734A7E" w:rsidRPr="007D2CCA" w:rsidRDefault="005F5EBE" w:rsidP="003219AF">
      <w:pPr>
        <w:spacing w:after="0" w:line="480" w:lineRule="auto"/>
        <w:rPr>
          <w:rFonts w:ascii="Times New Roman" w:hAnsi="Times New Roman" w:cs="Times New Roman"/>
          <w:b/>
          <w:sz w:val="24"/>
          <w:szCs w:val="24"/>
          <w:lang w:val="fr-FR"/>
        </w:rPr>
      </w:pPr>
      <w:r w:rsidRPr="007D2CCA">
        <w:rPr>
          <w:rFonts w:ascii="Times New Roman" w:hAnsi="Times New Roman" w:cs="Times New Roman"/>
          <w:b/>
          <w:i/>
          <w:sz w:val="24"/>
          <w:szCs w:val="24"/>
          <w:lang w:val="fr-FR"/>
        </w:rPr>
        <w:t>JEL classification:</w:t>
      </w:r>
      <w:r w:rsidRPr="007D2CCA">
        <w:rPr>
          <w:rFonts w:ascii="Times New Roman" w:hAnsi="Times New Roman" w:cs="Times New Roman"/>
          <w:sz w:val="24"/>
          <w:szCs w:val="24"/>
          <w:lang w:val="fr-FR"/>
        </w:rPr>
        <w:t xml:space="preserve"> </w:t>
      </w:r>
      <w:r w:rsidR="006164A8" w:rsidRPr="007D2CCA">
        <w:rPr>
          <w:rFonts w:ascii="Times New Roman" w:hAnsi="Times New Roman" w:cs="Times New Roman"/>
          <w:sz w:val="24"/>
          <w:szCs w:val="24"/>
          <w:lang w:val="fr-FR"/>
        </w:rPr>
        <w:t xml:space="preserve">G12, </w:t>
      </w:r>
      <w:r w:rsidR="00A61336" w:rsidRPr="007D2CCA">
        <w:rPr>
          <w:rFonts w:ascii="Times New Roman" w:hAnsi="Times New Roman" w:cs="Times New Roman"/>
          <w:sz w:val="24"/>
          <w:szCs w:val="24"/>
          <w:lang w:val="fr-FR"/>
        </w:rPr>
        <w:t>G15, G18, C32</w:t>
      </w:r>
    </w:p>
    <w:p w14:paraId="111DB96C" w14:textId="77777777" w:rsidR="00CA5F34" w:rsidRDefault="00CA5F34" w:rsidP="00FD26BF">
      <w:pPr>
        <w:spacing w:line="480" w:lineRule="auto"/>
        <w:rPr>
          <w:rFonts w:ascii="Times New Roman" w:hAnsi="Times New Roman" w:cs="Times New Roman"/>
          <w:sz w:val="16"/>
          <w:szCs w:val="16"/>
        </w:rPr>
      </w:pPr>
    </w:p>
    <w:p w14:paraId="0CBFD6D9" w14:textId="77777777" w:rsidR="00F14845" w:rsidRDefault="00F14845">
      <w:pPr>
        <w:rPr>
          <w:rFonts w:ascii="Times New Roman" w:hAnsi="Times New Roman" w:cs="Times New Roman"/>
          <w:b/>
          <w:sz w:val="28"/>
          <w:szCs w:val="28"/>
        </w:rPr>
      </w:pPr>
      <w:r>
        <w:rPr>
          <w:rFonts w:ascii="Times New Roman" w:hAnsi="Times New Roman" w:cs="Times New Roman"/>
          <w:b/>
          <w:sz w:val="28"/>
          <w:szCs w:val="28"/>
        </w:rPr>
        <w:br w:type="page"/>
      </w:r>
    </w:p>
    <w:p w14:paraId="0B9F2E16" w14:textId="1B466608" w:rsidR="003D2AF8" w:rsidRDefault="003D2AF8" w:rsidP="00AB32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I</w:t>
      </w:r>
      <w:r w:rsidRPr="00CD6805">
        <w:rPr>
          <w:rFonts w:ascii="Times New Roman" w:hAnsi="Times New Roman" w:cs="Times New Roman"/>
          <w:b/>
          <w:sz w:val="28"/>
          <w:szCs w:val="28"/>
        </w:rPr>
        <w:t xml:space="preserve">nformation </w:t>
      </w:r>
      <w:r w:rsidR="00AB3230">
        <w:rPr>
          <w:rFonts w:ascii="Times New Roman" w:hAnsi="Times New Roman" w:cs="Times New Roman"/>
          <w:b/>
          <w:sz w:val="28"/>
          <w:szCs w:val="28"/>
        </w:rPr>
        <w:t>T</w:t>
      </w:r>
      <w:r w:rsidRPr="00CD6805">
        <w:rPr>
          <w:rFonts w:ascii="Times New Roman" w:hAnsi="Times New Roman" w:cs="Times New Roman"/>
          <w:b/>
          <w:sz w:val="28"/>
          <w:szCs w:val="28"/>
        </w:rPr>
        <w:t xml:space="preserve">ransmission across European </w:t>
      </w:r>
      <w:r w:rsidR="00AB3230">
        <w:rPr>
          <w:rFonts w:ascii="Times New Roman" w:hAnsi="Times New Roman" w:cs="Times New Roman"/>
          <w:b/>
          <w:sz w:val="28"/>
          <w:szCs w:val="28"/>
        </w:rPr>
        <w:t>E</w:t>
      </w:r>
      <w:r w:rsidRPr="00CD6805">
        <w:rPr>
          <w:rFonts w:ascii="Times New Roman" w:hAnsi="Times New Roman" w:cs="Times New Roman"/>
          <w:b/>
          <w:sz w:val="28"/>
          <w:szCs w:val="28"/>
        </w:rPr>
        <w:t xml:space="preserve">quity </w:t>
      </w:r>
      <w:r w:rsidR="00AB3230">
        <w:rPr>
          <w:rFonts w:ascii="Times New Roman" w:hAnsi="Times New Roman" w:cs="Times New Roman"/>
          <w:b/>
          <w:sz w:val="28"/>
          <w:szCs w:val="28"/>
        </w:rPr>
        <w:t>M</w:t>
      </w:r>
      <w:r w:rsidRPr="00CD6805">
        <w:rPr>
          <w:rFonts w:ascii="Times New Roman" w:hAnsi="Times New Roman" w:cs="Times New Roman"/>
          <w:b/>
          <w:sz w:val="28"/>
          <w:szCs w:val="28"/>
        </w:rPr>
        <w:t xml:space="preserve">arkets </w:t>
      </w:r>
    </w:p>
    <w:p w14:paraId="03F7E927" w14:textId="32826852" w:rsidR="00CD0A7B" w:rsidRDefault="00AB3230" w:rsidP="00AB3230">
      <w:pPr>
        <w:spacing w:after="0" w:line="480" w:lineRule="auto"/>
        <w:jc w:val="center"/>
        <w:rPr>
          <w:rFonts w:ascii="Times New Roman" w:hAnsi="Times New Roman" w:cs="Times New Roman"/>
          <w:b/>
          <w:sz w:val="24"/>
          <w:szCs w:val="24"/>
        </w:rPr>
      </w:pPr>
      <w:r>
        <w:rPr>
          <w:rFonts w:ascii="Times New Roman" w:hAnsi="Times New Roman" w:cs="Times New Roman"/>
          <w:b/>
          <w:sz w:val="28"/>
          <w:szCs w:val="28"/>
        </w:rPr>
        <w:t>D</w:t>
      </w:r>
      <w:r w:rsidR="003D2AF8">
        <w:rPr>
          <w:rFonts w:ascii="Times New Roman" w:hAnsi="Times New Roman" w:cs="Times New Roman"/>
          <w:b/>
          <w:sz w:val="28"/>
          <w:szCs w:val="28"/>
        </w:rPr>
        <w:t xml:space="preserve">uring </w:t>
      </w:r>
      <w:r>
        <w:rPr>
          <w:rFonts w:ascii="Times New Roman" w:hAnsi="Times New Roman" w:cs="Times New Roman"/>
          <w:b/>
          <w:sz w:val="28"/>
          <w:szCs w:val="28"/>
        </w:rPr>
        <w:t>C</w:t>
      </w:r>
      <w:r w:rsidR="003D2AF8">
        <w:rPr>
          <w:rFonts w:ascii="Times New Roman" w:hAnsi="Times New Roman" w:cs="Times New Roman"/>
          <w:b/>
          <w:sz w:val="28"/>
          <w:szCs w:val="28"/>
        </w:rPr>
        <w:t xml:space="preserve">risis </w:t>
      </w:r>
      <w:r>
        <w:rPr>
          <w:rFonts w:ascii="Times New Roman" w:hAnsi="Times New Roman" w:cs="Times New Roman"/>
          <w:b/>
          <w:sz w:val="28"/>
          <w:szCs w:val="28"/>
        </w:rPr>
        <w:t>P</w:t>
      </w:r>
      <w:r w:rsidR="003D2AF8">
        <w:rPr>
          <w:rFonts w:ascii="Times New Roman" w:hAnsi="Times New Roman" w:cs="Times New Roman"/>
          <w:b/>
          <w:sz w:val="28"/>
          <w:szCs w:val="28"/>
        </w:rPr>
        <w:t>eriods</w:t>
      </w:r>
    </w:p>
    <w:p w14:paraId="5E1DFCE0" w14:textId="77777777" w:rsidR="009D0A78" w:rsidRPr="00A47D41" w:rsidRDefault="009D0A78" w:rsidP="00F03CE7">
      <w:pPr>
        <w:spacing w:after="0" w:line="480" w:lineRule="auto"/>
        <w:rPr>
          <w:rFonts w:ascii="Times New Roman" w:hAnsi="Times New Roman" w:cs="Times New Roman"/>
          <w:b/>
          <w:sz w:val="24"/>
          <w:szCs w:val="24"/>
        </w:rPr>
      </w:pPr>
      <w:r w:rsidRPr="00A47D41">
        <w:rPr>
          <w:rFonts w:ascii="Times New Roman" w:hAnsi="Times New Roman" w:cs="Times New Roman"/>
          <w:b/>
          <w:sz w:val="24"/>
          <w:szCs w:val="24"/>
        </w:rPr>
        <w:t>1. Introduction.</w:t>
      </w:r>
    </w:p>
    <w:p w14:paraId="2E833A4A" w14:textId="58E0A539" w:rsidR="008143AD" w:rsidRDefault="009D0A78" w:rsidP="00F03CE7">
      <w:pPr>
        <w:autoSpaceDE w:val="0"/>
        <w:autoSpaceDN w:val="0"/>
        <w:adjustRightInd w:val="0"/>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The bankruptcy of Lehman Brothers, officially announced on September 14, 2008</w:t>
      </w:r>
      <w:r w:rsidR="00B62155">
        <w:rPr>
          <w:rFonts w:ascii="Times New Roman" w:hAnsi="Times New Roman" w:cs="Times New Roman"/>
          <w:sz w:val="24"/>
          <w:szCs w:val="24"/>
        </w:rPr>
        <w:t>,</w:t>
      </w:r>
      <w:r w:rsidRPr="00A47D41">
        <w:rPr>
          <w:rStyle w:val="FootnoteReference"/>
          <w:rFonts w:ascii="Times New Roman" w:hAnsi="Times New Roman" w:cs="Times New Roman"/>
          <w:sz w:val="24"/>
          <w:szCs w:val="24"/>
        </w:rPr>
        <w:footnoteReference w:id="1"/>
      </w:r>
      <w:r w:rsidRPr="00A47D41">
        <w:rPr>
          <w:rFonts w:ascii="Times New Roman" w:hAnsi="Times New Roman" w:cs="Times New Roman"/>
          <w:sz w:val="24"/>
          <w:szCs w:val="24"/>
        </w:rPr>
        <w:t xml:space="preserve"> </w:t>
      </w:r>
      <w:r w:rsidR="00052218">
        <w:rPr>
          <w:rFonts w:ascii="Times New Roman" w:hAnsi="Times New Roman" w:cs="Times New Roman"/>
          <w:sz w:val="24"/>
          <w:szCs w:val="24"/>
        </w:rPr>
        <w:t>unleashed a wave of information to the market including that on the riskiness of sub-prime mortgages, asset-backed securities, credit-default swaps, the viability of certain financial institutions and hedge funds, the freezing of credit markets and expectation of an economic downturn, to mention a few. This was followed by policy responses that included short-selling restrictions, falling interest rates and, for some markets, quantitative easing</w:t>
      </w:r>
      <w:r w:rsidR="008143AD">
        <w:rPr>
          <w:rFonts w:ascii="Times New Roman" w:hAnsi="Times New Roman" w:cs="Times New Roman"/>
          <w:sz w:val="24"/>
          <w:szCs w:val="24"/>
        </w:rPr>
        <w:t xml:space="preserve">, along with </w:t>
      </w:r>
      <w:r w:rsidR="00A57DE2">
        <w:rPr>
          <w:rFonts w:ascii="Times New Roman" w:hAnsi="Times New Roman" w:cs="Times New Roman"/>
          <w:sz w:val="24"/>
          <w:szCs w:val="24"/>
        </w:rPr>
        <w:t xml:space="preserve">targeted </w:t>
      </w:r>
      <w:r w:rsidR="008143AD">
        <w:rPr>
          <w:rFonts w:ascii="Times New Roman" w:hAnsi="Times New Roman" w:cs="Times New Roman"/>
          <w:sz w:val="24"/>
          <w:szCs w:val="24"/>
        </w:rPr>
        <w:t>recapitalisation plans, such as the US</w:t>
      </w:r>
      <w:r w:rsidR="00052218">
        <w:rPr>
          <w:rFonts w:ascii="Times New Roman" w:hAnsi="Times New Roman" w:cs="Times New Roman"/>
          <w:sz w:val="24"/>
          <w:szCs w:val="24"/>
        </w:rPr>
        <w:t xml:space="preserve"> </w:t>
      </w:r>
      <w:r w:rsidR="008143AD" w:rsidRPr="00A47D41">
        <w:rPr>
          <w:rFonts w:ascii="Times New Roman" w:hAnsi="Times New Roman" w:cs="Times New Roman"/>
          <w:sz w:val="24"/>
          <w:szCs w:val="24"/>
        </w:rPr>
        <w:t>Troub</w:t>
      </w:r>
      <w:r w:rsidR="008143AD">
        <w:rPr>
          <w:rFonts w:ascii="Times New Roman" w:hAnsi="Times New Roman" w:cs="Times New Roman"/>
          <w:sz w:val="24"/>
          <w:szCs w:val="24"/>
        </w:rPr>
        <w:t xml:space="preserve">led Asset Relief Program (TARP), </w:t>
      </w:r>
      <w:r w:rsidR="00A57DE2">
        <w:rPr>
          <w:rFonts w:ascii="Times New Roman" w:hAnsi="Times New Roman" w:cs="Times New Roman"/>
          <w:sz w:val="24"/>
          <w:szCs w:val="24"/>
        </w:rPr>
        <w:t>and a similar plan</w:t>
      </w:r>
      <w:r w:rsidR="008143AD">
        <w:rPr>
          <w:rFonts w:ascii="Times New Roman" w:hAnsi="Times New Roman" w:cs="Times New Roman"/>
          <w:sz w:val="24"/>
          <w:szCs w:val="24"/>
        </w:rPr>
        <w:t xml:space="preserve"> in the UK. This paper seeks to examine how this wave of </w:t>
      </w:r>
      <w:r w:rsidR="00E07080">
        <w:rPr>
          <w:rFonts w:ascii="Times New Roman" w:hAnsi="Times New Roman" w:cs="Times New Roman"/>
          <w:sz w:val="24"/>
          <w:szCs w:val="24"/>
        </w:rPr>
        <w:t>new information impacted market transmission mechanisms and whe</w:t>
      </w:r>
      <w:r w:rsidR="00A57DE2">
        <w:rPr>
          <w:rFonts w:ascii="Times New Roman" w:hAnsi="Times New Roman" w:cs="Times New Roman"/>
          <w:sz w:val="24"/>
          <w:szCs w:val="24"/>
        </w:rPr>
        <w:t>ther</w:t>
      </w:r>
      <w:r w:rsidR="00E07080">
        <w:rPr>
          <w:rFonts w:ascii="Times New Roman" w:hAnsi="Times New Roman" w:cs="Times New Roman"/>
          <w:sz w:val="24"/>
          <w:szCs w:val="24"/>
        </w:rPr>
        <w:t xml:space="preserve"> it led to a long-run or short-run influence</w:t>
      </w:r>
      <w:r w:rsidR="00A57DE2">
        <w:rPr>
          <w:rFonts w:ascii="Times New Roman" w:hAnsi="Times New Roman" w:cs="Times New Roman"/>
          <w:sz w:val="24"/>
          <w:szCs w:val="24"/>
        </w:rPr>
        <w:t xml:space="preserve"> on market behaviour</w:t>
      </w:r>
      <w:r w:rsidR="00E07080">
        <w:rPr>
          <w:rFonts w:ascii="Times New Roman" w:hAnsi="Times New Roman" w:cs="Times New Roman"/>
          <w:sz w:val="24"/>
          <w:szCs w:val="24"/>
        </w:rPr>
        <w:t xml:space="preserve">. To do this we consider a cointegrating VAR </w:t>
      </w:r>
      <w:r w:rsidR="004A1E34">
        <w:rPr>
          <w:rFonts w:ascii="Times New Roman" w:hAnsi="Times New Roman" w:cs="Times New Roman"/>
          <w:sz w:val="24"/>
          <w:szCs w:val="24"/>
        </w:rPr>
        <w:t xml:space="preserve">(vector autoregression) </w:t>
      </w:r>
      <w:r w:rsidR="00B62155">
        <w:rPr>
          <w:rFonts w:ascii="Times New Roman" w:hAnsi="Times New Roman" w:cs="Times New Roman"/>
          <w:sz w:val="24"/>
          <w:szCs w:val="24"/>
        </w:rPr>
        <w:t xml:space="preserve">with MV-GARCH </w:t>
      </w:r>
      <w:r w:rsidR="004A1E34">
        <w:rPr>
          <w:rFonts w:ascii="Times New Roman" w:hAnsi="Times New Roman" w:cs="Times New Roman"/>
          <w:sz w:val="24"/>
          <w:szCs w:val="24"/>
        </w:rPr>
        <w:t>(</w:t>
      </w:r>
      <w:r w:rsidR="00B62155">
        <w:rPr>
          <w:rFonts w:ascii="Times New Roman" w:hAnsi="Times New Roman" w:cs="Times New Roman"/>
          <w:sz w:val="24"/>
          <w:szCs w:val="24"/>
        </w:rPr>
        <w:t>multivariate-</w:t>
      </w:r>
      <w:r w:rsidR="004A1E34">
        <w:rPr>
          <w:rFonts w:ascii="Times New Roman" w:hAnsi="Times New Roman" w:cs="Times New Roman"/>
          <w:sz w:val="24"/>
          <w:szCs w:val="24"/>
        </w:rPr>
        <w:t xml:space="preserve">generalised autoregressive conditional heteroscedasticity) </w:t>
      </w:r>
      <w:r w:rsidR="00B62155">
        <w:rPr>
          <w:rFonts w:ascii="Times New Roman" w:hAnsi="Times New Roman" w:cs="Times New Roman"/>
          <w:sz w:val="24"/>
          <w:szCs w:val="24"/>
        </w:rPr>
        <w:t>errors in order to allow the capture of information from stock price movement in both the long- and short-run as well as within volatility.</w:t>
      </w:r>
      <w:r w:rsidR="00E07080">
        <w:rPr>
          <w:rFonts w:ascii="Times New Roman" w:hAnsi="Times New Roman" w:cs="Times New Roman"/>
          <w:sz w:val="24"/>
          <w:szCs w:val="24"/>
        </w:rPr>
        <w:t xml:space="preserve"> </w:t>
      </w:r>
      <w:r w:rsidR="00B62155">
        <w:rPr>
          <w:rFonts w:ascii="Times New Roman" w:hAnsi="Times New Roman" w:cs="Times New Roman"/>
          <w:sz w:val="24"/>
          <w:szCs w:val="24"/>
        </w:rPr>
        <w:t>Notably, t</w:t>
      </w:r>
      <w:r w:rsidR="007178D8">
        <w:rPr>
          <w:rFonts w:ascii="Times New Roman" w:hAnsi="Times New Roman" w:cs="Times New Roman"/>
          <w:sz w:val="24"/>
          <w:szCs w:val="24"/>
        </w:rPr>
        <w:t xml:space="preserve">his will allow us to determine the direction of causality </w:t>
      </w:r>
      <w:r w:rsidR="00AE2B66">
        <w:rPr>
          <w:rFonts w:ascii="Times New Roman" w:hAnsi="Times New Roman" w:cs="Times New Roman"/>
          <w:sz w:val="24"/>
          <w:szCs w:val="24"/>
        </w:rPr>
        <w:t>between markets and thus the flow of information for both the mean and variance of the stock return process. Of notable interest therefore</w:t>
      </w:r>
      <w:r w:rsidR="0086619F">
        <w:rPr>
          <w:rFonts w:ascii="Times New Roman" w:hAnsi="Times New Roman" w:cs="Times New Roman"/>
          <w:sz w:val="24"/>
          <w:szCs w:val="24"/>
        </w:rPr>
        <w:t>,</w:t>
      </w:r>
      <w:r w:rsidR="00AE2B66">
        <w:rPr>
          <w:rFonts w:ascii="Times New Roman" w:hAnsi="Times New Roman" w:cs="Times New Roman"/>
          <w:sz w:val="24"/>
          <w:szCs w:val="24"/>
        </w:rPr>
        <w:t xml:space="preserve"> is whether the events that </w:t>
      </w:r>
      <w:r w:rsidR="00A57DE2">
        <w:rPr>
          <w:rFonts w:ascii="Times New Roman" w:hAnsi="Times New Roman" w:cs="Times New Roman"/>
          <w:sz w:val="24"/>
          <w:szCs w:val="24"/>
        </w:rPr>
        <w:t xml:space="preserve">began </w:t>
      </w:r>
      <w:r w:rsidR="00AE2B66">
        <w:rPr>
          <w:rFonts w:ascii="Times New Roman" w:hAnsi="Times New Roman" w:cs="Times New Roman"/>
          <w:sz w:val="24"/>
          <w:szCs w:val="24"/>
        </w:rPr>
        <w:t>with Lehman’s bankruptcy affected the transmission of information between markets. We focus on the behaviour of European markets, which ha</w:t>
      </w:r>
      <w:r w:rsidR="00EA6638">
        <w:rPr>
          <w:rFonts w:ascii="Times New Roman" w:hAnsi="Times New Roman" w:cs="Times New Roman"/>
          <w:sz w:val="24"/>
          <w:szCs w:val="24"/>
        </w:rPr>
        <w:t>ve</w:t>
      </w:r>
      <w:r w:rsidR="00AE2B66">
        <w:rPr>
          <w:rFonts w:ascii="Times New Roman" w:hAnsi="Times New Roman" w:cs="Times New Roman"/>
          <w:sz w:val="24"/>
          <w:szCs w:val="24"/>
        </w:rPr>
        <w:t xml:space="preserve"> been additionally buffeted by the sovereign de</w:t>
      </w:r>
      <w:r w:rsidR="00EA6638">
        <w:rPr>
          <w:rFonts w:ascii="Times New Roman" w:hAnsi="Times New Roman" w:cs="Times New Roman"/>
          <w:sz w:val="24"/>
          <w:szCs w:val="24"/>
        </w:rPr>
        <w:t xml:space="preserve">bt crisis. </w:t>
      </w:r>
      <w:r w:rsidR="00AE2B66">
        <w:rPr>
          <w:rFonts w:ascii="Times New Roman" w:hAnsi="Times New Roman" w:cs="Times New Roman"/>
          <w:sz w:val="24"/>
          <w:szCs w:val="24"/>
        </w:rPr>
        <w:t xml:space="preserve"> </w:t>
      </w:r>
    </w:p>
    <w:p w14:paraId="2BFB8BAF" w14:textId="695C35DA" w:rsidR="00A27D6E" w:rsidRDefault="0021217F" w:rsidP="0098391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Relevant for this work, </w:t>
      </w:r>
      <w:r w:rsidR="008034F0">
        <w:rPr>
          <w:rFonts w:ascii="Times New Roman" w:hAnsi="Times New Roman" w:cs="Times New Roman"/>
          <w:sz w:val="24"/>
          <w:szCs w:val="24"/>
        </w:rPr>
        <w:t>shortly</w:t>
      </w:r>
      <w:r w:rsidR="00581FEC">
        <w:rPr>
          <w:rFonts w:ascii="Times New Roman" w:hAnsi="Times New Roman" w:cs="Times New Roman"/>
          <w:sz w:val="24"/>
          <w:szCs w:val="24"/>
        </w:rPr>
        <w:t xml:space="preserve"> after Lehman </w:t>
      </w:r>
      <w:r w:rsidR="008034F0">
        <w:rPr>
          <w:rFonts w:ascii="Times New Roman" w:hAnsi="Times New Roman" w:cs="Times New Roman"/>
          <w:sz w:val="24"/>
          <w:szCs w:val="24"/>
        </w:rPr>
        <w:t xml:space="preserve">Brothers </w:t>
      </w:r>
      <w:r w:rsidR="00581FEC">
        <w:rPr>
          <w:rFonts w:ascii="Times New Roman" w:hAnsi="Times New Roman" w:cs="Times New Roman"/>
          <w:sz w:val="24"/>
          <w:szCs w:val="24"/>
        </w:rPr>
        <w:t>fil</w:t>
      </w:r>
      <w:r w:rsidR="00DA7838">
        <w:rPr>
          <w:rFonts w:ascii="Times New Roman" w:hAnsi="Times New Roman" w:cs="Times New Roman"/>
          <w:sz w:val="24"/>
          <w:szCs w:val="24"/>
        </w:rPr>
        <w:t xml:space="preserve">ed </w:t>
      </w:r>
      <w:r w:rsidR="00581FEC">
        <w:rPr>
          <w:rFonts w:ascii="Times New Roman" w:hAnsi="Times New Roman" w:cs="Times New Roman"/>
          <w:sz w:val="24"/>
          <w:szCs w:val="24"/>
        </w:rPr>
        <w:t>for bankruptcy</w:t>
      </w:r>
      <w:r w:rsidR="00DA7838">
        <w:rPr>
          <w:rFonts w:ascii="Times New Roman" w:hAnsi="Times New Roman" w:cs="Times New Roman"/>
          <w:sz w:val="24"/>
          <w:szCs w:val="24"/>
        </w:rPr>
        <w:t>, a short selling ban was imposed</w:t>
      </w:r>
      <w:r w:rsidR="00AC20C2">
        <w:rPr>
          <w:rFonts w:ascii="Times New Roman" w:hAnsi="Times New Roman" w:cs="Times New Roman"/>
          <w:sz w:val="24"/>
          <w:szCs w:val="24"/>
        </w:rPr>
        <w:t>.</w:t>
      </w:r>
      <w:r w:rsidR="006115A6" w:rsidRPr="00A47D41">
        <w:rPr>
          <w:rStyle w:val="FootnoteReference"/>
          <w:rFonts w:ascii="Times New Roman" w:hAnsi="Times New Roman" w:cs="Times New Roman"/>
          <w:sz w:val="24"/>
          <w:szCs w:val="24"/>
        </w:rPr>
        <w:footnoteReference w:id="2"/>
      </w:r>
      <w:r w:rsidR="00581FEC">
        <w:rPr>
          <w:rFonts w:ascii="Times New Roman" w:hAnsi="Times New Roman" w:cs="Times New Roman"/>
          <w:sz w:val="24"/>
          <w:szCs w:val="24"/>
        </w:rPr>
        <w:t xml:space="preserve"> </w:t>
      </w:r>
      <w:r>
        <w:rPr>
          <w:rFonts w:ascii="Times New Roman" w:hAnsi="Times New Roman" w:cs="Times New Roman"/>
          <w:sz w:val="24"/>
          <w:szCs w:val="24"/>
        </w:rPr>
        <w:t xml:space="preserve">Thus, </w:t>
      </w:r>
      <w:r w:rsidR="00DA7838">
        <w:rPr>
          <w:rFonts w:ascii="Times New Roman" w:hAnsi="Times New Roman" w:cs="Times New Roman"/>
          <w:sz w:val="24"/>
          <w:szCs w:val="24"/>
        </w:rPr>
        <w:t>the market received a substantial amount of news in a short period of time. This makes it difficult to disentangle the different effects impacting on market</w:t>
      </w:r>
      <w:r w:rsidR="00223E00">
        <w:rPr>
          <w:rFonts w:ascii="Times New Roman" w:hAnsi="Times New Roman" w:cs="Times New Roman"/>
          <w:sz w:val="24"/>
          <w:szCs w:val="24"/>
        </w:rPr>
        <w:t xml:space="preserve"> </w:t>
      </w:r>
      <w:r w:rsidR="00223E00">
        <w:rPr>
          <w:rFonts w:ascii="Times New Roman" w:hAnsi="Times New Roman" w:cs="Times New Roman"/>
          <w:sz w:val="24"/>
          <w:szCs w:val="24"/>
        </w:rPr>
        <w:lastRenderedPageBreak/>
        <w:t>behaviour</w:t>
      </w:r>
      <w:r w:rsidR="00DA7838">
        <w:rPr>
          <w:rFonts w:ascii="Times New Roman" w:hAnsi="Times New Roman" w:cs="Times New Roman"/>
          <w:sz w:val="24"/>
          <w:szCs w:val="24"/>
        </w:rPr>
        <w:t>.</w:t>
      </w:r>
      <w:r w:rsidR="0085421C">
        <w:rPr>
          <w:rFonts w:ascii="Times New Roman" w:hAnsi="Times New Roman" w:cs="Times New Roman"/>
          <w:sz w:val="24"/>
          <w:szCs w:val="24"/>
        </w:rPr>
        <w:t xml:space="preserve"> </w:t>
      </w:r>
      <w:r w:rsidR="00DA7838">
        <w:rPr>
          <w:rFonts w:ascii="Times New Roman" w:hAnsi="Times New Roman" w:cs="Times New Roman"/>
          <w:sz w:val="24"/>
          <w:szCs w:val="24"/>
        </w:rPr>
        <w:t>Therefore, i</w:t>
      </w:r>
      <w:r w:rsidR="00C35D64">
        <w:rPr>
          <w:rFonts w:ascii="Times New Roman" w:hAnsi="Times New Roman" w:cs="Times New Roman"/>
          <w:sz w:val="24"/>
          <w:szCs w:val="24"/>
        </w:rPr>
        <w:t xml:space="preserve">n order to </w:t>
      </w:r>
      <w:r w:rsidR="00DA7838">
        <w:rPr>
          <w:rFonts w:ascii="Times New Roman" w:hAnsi="Times New Roman" w:cs="Times New Roman"/>
          <w:sz w:val="24"/>
          <w:szCs w:val="24"/>
        </w:rPr>
        <w:t xml:space="preserve">consider these different effects, </w:t>
      </w:r>
      <w:r w:rsidR="009963B9">
        <w:rPr>
          <w:rFonts w:ascii="Times New Roman" w:hAnsi="Times New Roman" w:cs="Times New Roman"/>
          <w:sz w:val="24"/>
          <w:szCs w:val="24"/>
        </w:rPr>
        <w:t>we study</w:t>
      </w:r>
      <w:r w:rsidR="0085421C">
        <w:rPr>
          <w:rFonts w:ascii="Times New Roman" w:hAnsi="Times New Roman" w:cs="Times New Roman"/>
          <w:sz w:val="24"/>
          <w:szCs w:val="24"/>
        </w:rPr>
        <w:t xml:space="preserve"> both the long and short-run </w:t>
      </w:r>
      <w:r w:rsidR="009963B9">
        <w:rPr>
          <w:rFonts w:ascii="Times New Roman" w:hAnsi="Times New Roman" w:cs="Times New Roman"/>
          <w:sz w:val="24"/>
          <w:szCs w:val="24"/>
        </w:rPr>
        <w:t xml:space="preserve">effects of </w:t>
      </w:r>
      <w:r w:rsidR="00DA7838">
        <w:rPr>
          <w:rFonts w:ascii="Times New Roman" w:hAnsi="Times New Roman" w:cs="Times New Roman"/>
          <w:sz w:val="24"/>
          <w:szCs w:val="24"/>
        </w:rPr>
        <w:t xml:space="preserve">information transmission </w:t>
      </w:r>
      <w:r w:rsidR="009963B9">
        <w:rPr>
          <w:rFonts w:ascii="Times New Roman" w:hAnsi="Times New Roman" w:cs="Times New Roman"/>
          <w:sz w:val="24"/>
          <w:szCs w:val="24"/>
        </w:rPr>
        <w:t xml:space="preserve">on the </w:t>
      </w:r>
      <w:r w:rsidR="0085421C">
        <w:rPr>
          <w:rFonts w:ascii="Times New Roman" w:hAnsi="Times New Roman" w:cs="Times New Roman"/>
          <w:sz w:val="24"/>
          <w:szCs w:val="24"/>
        </w:rPr>
        <w:t>market</w:t>
      </w:r>
      <w:r w:rsidR="00DA7838">
        <w:rPr>
          <w:rFonts w:ascii="Times New Roman" w:hAnsi="Times New Roman" w:cs="Times New Roman"/>
          <w:sz w:val="24"/>
          <w:szCs w:val="24"/>
        </w:rPr>
        <w:t xml:space="preserve"> </w:t>
      </w:r>
      <w:r w:rsidR="00C35D64">
        <w:rPr>
          <w:rFonts w:ascii="Times New Roman" w:hAnsi="Times New Roman" w:cs="Times New Roman"/>
          <w:sz w:val="24"/>
          <w:szCs w:val="24"/>
        </w:rPr>
        <w:t xml:space="preserve">before and after the </w:t>
      </w:r>
      <w:r w:rsidR="00223E00">
        <w:rPr>
          <w:rFonts w:ascii="Times New Roman" w:hAnsi="Times New Roman" w:cs="Times New Roman"/>
          <w:sz w:val="24"/>
          <w:szCs w:val="24"/>
        </w:rPr>
        <w:t>start</w:t>
      </w:r>
      <w:r w:rsidR="00DA7838">
        <w:rPr>
          <w:rFonts w:ascii="Times New Roman" w:hAnsi="Times New Roman" w:cs="Times New Roman"/>
          <w:sz w:val="24"/>
          <w:szCs w:val="24"/>
        </w:rPr>
        <w:t xml:space="preserve"> of these </w:t>
      </w:r>
      <w:r w:rsidR="00C35D64">
        <w:rPr>
          <w:rFonts w:ascii="Times New Roman" w:hAnsi="Times New Roman" w:cs="Times New Roman"/>
          <w:sz w:val="24"/>
          <w:szCs w:val="24"/>
        </w:rPr>
        <w:t>event</w:t>
      </w:r>
      <w:r w:rsidR="00DA7838">
        <w:rPr>
          <w:rFonts w:ascii="Times New Roman" w:hAnsi="Times New Roman" w:cs="Times New Roman"/>
          <w:sz w:val="24"/>
          <w:szCs w:val="24"/>
        </w:rPr>
        <w:t>s</w:t>
      </w:r>
      <w:r w:rsidR="00C35D64">
        <w:rPr>
          <w:rFonts w:ascii="Times New Roman" w:hAnsi="Times New Roman" w:cs="Times New Roman"/>
          <w:sz w:val="24"/>
          <w:szCs w:val="24"/>
        </w:rPr>
        <w:t>.</w:t>
      </w:r>
      <w:r w:rsidR="0085421C">
        <w:rPr>
          <w:rFonts w:ascii="Times New Roman" w:hAnsi="Times New Roman" w:cs="Times New Roman"/>
          <w:sz w:val="24"/>
          <w:szCs w:val="24"/>
        </w:rPr>
        <w:t xml:space="preserve"> If we</w:t>
      </w:r>
      <w:r w:rsidR="00C35D64">
        <w:rPr>
          <w:rFonts w:ascii="Times New Roman" w:hAnsi="Times New Roman" w:cs="Times New Roman"/>
          <w:sz w:val="24"/>
          <w:szCs w:val="24"/>
        </w:rPr>
        <w:t xml:space="preserve"> </w:t>
      </w:r>
      <w:r w:rsidR="00110BC3">
        <w:rPr>
          <w:rFonts w:ascii="Times New Roman" w:hAnsi="Times New Roman" w:cs="Times New Roman"/>
          <w:sz w:val="24"/>
          <w:szCs w:val="24"/>
        </w:rPr>
        <w:t xml:space="preserve">observe </w:t>
      </w:r>
      <w:r w:rsidR="00C35D64">
        <w:rPr>
          <w:rFonts w:ascii="Times New Roman" w:hAnsi="Times New Roman" w:cs="Times New Roman"/>
          <w:sz w:val="24"/>
          <w:szCs w:val="24"/>
        </w:rPr>
        <w:t>a</w:t>
      </w:r>
      <w:r w:rsidR="0085421C">
        <w:rPr>
          <w:rFonts w:ascii="Times New Roman" w:hAnsi="Times New Roman" w:cs="Times New Roman"/>
          <w:sz w:val="24"/>
          <w:szCs w:val="24"/>
        </w:rPr>
        <w:t xml:space="preserve"> long run shift</w:t>
      </w:r>
      <w:r w:rsidR="00DA7838">
        <w:rPr>
          <w:rFonts w:ascii="Times New Roman" w:hAnsi="Times New Roman" w:cs="Times New Roman"/>
          <w:sz w:val="24"/>
          <w:szCs w:val="24"/>
        </w:rPr>
        <w:t xml:space="preserve"> in the behaviour of markets</w:t>
      </w:r>
      <w:r w:rsidR="0085421C">
        <w:rPr>
          <w:rFonts w:ascii="Times New Roman" w:hAnsi="Times New Roman" w:cs="Times New Roman"/>
          <w:sz w:val="24"/>
          <w:szCs w:val="24"/>
        </w:rPr>
        <w:t xml:space="preserve">, </w:t>
      </w:r>
      <w:r w:rsidR="00C35D64">
        <w:rPr>
          <w:rFonts w:ascii="Times New Roman" w:hAnsi="Times New Roman" w:cs="Times New Roman"/>
          <w:sz w:val="24"/>
          <w:szCs w:val="24"/>
        </w:rPr>
        <w:t xml:space="preserve">this may support </w:t>
      </w:r>
      <w:r w:rsidR="0085421C">
        <w:rPr>
          <w:rFonts w:ascii="Times New Roman" w:hAnsi="Times New Roman" w:cs="Times New Roman"/>
          <w:sz w:val="24"/>
          <w:szCs w:val="24"/>
        </w:rPr>
        <w:t xml:space="preserve">the </w:t>
      </w:r>
      <w:r w:rsidR="00C35D64">
        <w:rPr>
          <w:rFonts w:ascii="Times New Roman" w:hAnsi="Times New Roman" w:cs="Times New Roman"/>
          <w:sz w:val="24"/>
          <w:szCs w:val="24"/>
        </w:rPr>
        <w:t xml:space="preserve">argument that the </w:t>
      </w:r>
      <w:r w:rsidR="0085421C">
        <w:rPr>
          <w:rFonts w:ascii="Times New Roman" w:hAnsi="Times New Roman" w:cs="Times New Roman"/>
          <w:sz w:val="24"/>
          <w:szCs w:val="24"/>
        </w:rPr>
        <w:t xml:space="preserve">liquidity </w:t>
      </w:r>
      <w:r w:rsidR="00AC20C2">
        <w:rPr>
          <w:rFonts w:ascii="Times New Roman" w:hAnsi="Times New Roman" w:cs="Times New Roman"/>
          <w:sz w:val="24"/>
          <w:szCs w:val="24"/>
        </w:rPr>
        <w:t xml:space="preserve">freeze </w:t>
      </w:r>
      <w:r w:rsidR="0085421C">
        <w:rPr>
          <w:rFonts w:ascii="Times New Roman" w:hAnsi="Times New Roman" w:cs="Times New Roman"/>
          <w:sz w:val="24"/>
          <w:szCs w:val="24"/>
        </w:rPr>
        <w:t xml:space="preserve">and extreme volatility </w:t>
      </w:r>
      <w:r w:rsidR="00DA7838">
        <w:rPr>
          <w:rFonts w:ascii="Times New Roman" w:hAnsi="Times New Roman" w:cs="Times New Roman"/>
          <w:sz w:val="24"/>
          <w:szCs w:val="24"/>
        </w:rPr>
        <w:t xml:space="preserve">initiated </w:t>
      </w:r>
      <w:r w:rsidR="0085421C">
        <w:rPr>
          <w:rFonts w:ascii="Times New Roman" w:hAnsi="Times New Roman" w:cs="Times New Roman"/>
          <w:sz w:val="24"/>
          <w:szCs w:val="24"/>
        </w:rPr>
        <w:t xml:space="preserve">by </w:t>
      </w:r>
      <w:r w:rsidR="00C35D64">
        <w:rPr>
          <w:rFonts w:ascii="Times New Roman" w:hAnsi="Times New Roman" w:cs="Times New Roman"/>
          <w:sz w:val="24"/>
          <w:szCs w:val="24"/>
        </w:rPr>
        <w:t xml:space="preserve">the demise of </w:t>
      </w:r>
      <w:r w:rsidR="0085421C">
        <w:rPr>
          <w:rFonts w:ascii="Times New Roman" w:hAnsi="Times New Roman" w:cs="Times New Roman"/>
          <w:sz w:val="24"/>
          <w:szCs w:val="24"/>
        </w:rPr>
        <w:t>Lehman</w:t>
      </w:r>
      <w:r w:rsidR="00C35D64">
        <w:rPr>
          <w:rFonts w:ascii="Times New Roman" w:hAnsi="Times New Roman" w:cs="Times New Roman"/>
          <w:sz w:val="24"/>
          <w:szCs w:val="24"/>
        </w:rPr>
        <w:t xml:space="preserve"> Brothers</w:t>
      </w:r>
      <w:r w:rsidR="0085421C">
        <w:rPr>
          <w:rFonts w:ascii="Times New Roman" w:hAnsi="Times New Roman" w:cs="Times New Roman"/>
          <w:sz w:val="24"/>
          <w:szCs w:val="24"/>
        </w:rPr>
        <w:t xml:space="preserve"> </w:t>
      </w:r>
      <w:r w:rsidR="00DA7838">
        <w:rPr>
          <w:rFonts w:ascii="Times New Roman" w:hAnsi="Times New Roman" w:cs="Times New Roman"/>
          <w:sz w:val="24"/>
          <w:szCs w:val="24"/>
        </w:rPr>
        <w:t>altered investor’s perception of economic conditions. Thus, it</w:t>
      </w:r>
      <w:r w:rsidR="00C35D64">
        <w:rPr>
          <w:rFonts w:ascii="Times New Roman" w:hAnsi="Times New Roman" w:cs="Times New Roman"/>
          <w:sz w:val="24"/>
          <w:szCs w:val="24"/>
        </w:rPr>
        <w:t xml:space="preserve"> </w:t>
      </w:r>
      <w:r w:rsidR="0085421C">
        <w:rPr>
          <w:rFonts w:ascii="Times New Roman" w:hAnsi="Times New Roman" w:cs="Times New Roman"/>
          <w:sz w:val="24"/>
          <w:szCs w:val="24"/>
        </w:rPr>
        <w:t xml:space="preserve">would be </w:t>
      </w:r>
      <w:r w:rsidR="00223E00">
        <w:rPr>
          <w:rFonts w:ascii="Times New Roman" w:hAnsi="Times New Roman" w:cs="Times New Roman"/>
          <w:sz w:val="24"/>
          <w:szCs w:val="24"/>
        </w:rPr>
        <w:t xml:space="preserve">expected </w:t>
      </w:r>
      <w:r w:rsidR="0085421C">
        <w:rPr>
          <w:rFonts w:ascii="Times New Roman" w:hAnsi="Times New Roman" w:cs="Times New Roman"/>
          <w:sz w:val="24"/>
          <w:szCs w:val="24"/>
        </w:rPr>
        <w:t>that the market remained volatile</w:t>
      </w:r>
      <w:r w:rsidR="00DA7838">
        <w:rPr>
          <w:rFonts w:ascii="Times New Roman" w:hAnsi="Times New Roman" w:cs="Times New Roman"/>
          <w:sz w:val="24"/>
          <w:szCs w:val="24"/>
        </w:rPr>
        <w:t xml:space="preserve">. In contrast, </w:t>
      </w:r>
      <w:r w:rsidR="002D0642">
        <w:rPr>
          <w:rFonts w:ascii="Times New Roman" w:hAnsi="Times New Roman" w:cs="Times New Roman"/>
          <w:sz w:val="24"/>
          <w:szCs w:val="24"/>
        </w:rPr>
        <w:t xml:space="preserve">if </w:t>
      </w:r>
      <w:r w:rsidR="00DA7838">
        <w:rPr>
          <w:rFonts w:ascii="Times New Roman" w:hAnsi="Times New Roman" w:cs="Times New Roman"/>
          <w:sz w:val="24"/>
          <w:szCs w:val="24"/>
        </w:rPr>
        <w:t xml:space="preserve">only short-run effects </w:t>
      </w:r>
      <w:r w:rsidR="002D0642">
        <w:rPr>
          <w:rFonts w:ascii="Times New Roman" w:hAnsi="Times New Roman" w:cs="Times New Roman"/>
          <w:sz w:val="24"/>
          <w:szCs w:val="24"/>
        </w:rPr>
        <w:t>are reported then this may be due to temporary effects, such as the short sell</w:t>
      </w:r>
      <w:r w:rsidR="0085421C">
        <w:rPr>
          <w:rFonts w:ascii="Times New Roman" w:hAnsi="Times New Roman" w:cs="Times New Roman"/>
          <w:sz w:val="24"/>
          <w:szCs w:val="24"/>
        </w:rPr>
        <w:t xml:space="preserve"> </w:t>
      </w:r>
      <w:r w:rsidR="002D0642">
        <w:rPr>
          <w:rFonts w:ascii="Times New Roman" w:hAnsi="Times New Roman" w:cs="Times New Roman"/>
          <w:sz w:val="24"/>
          <w:szCs w:val="24"/>
        </w:rPr>
        <w:t>ban and other measures taken by regulatory bodies.</w:t>
      </w:r>
      <w:r w:rsidR="0085421C">
        <w:rPr>
          <w:rFonts w:ascii="Times New Roman" w:hAnsi="Times New Roman" w:cs="Times New Roman"/>
          <w:sz w:val="24"/>
          <w:szCs w:val="24"/>
        </w:rPr>
        <w:t xml:space="preserve"> </w:t>
      </w:r>
      <w:r w:rsidR="006E6FBE">
        <w:rPr>
          <w:rFonts w:ascii="Times New Roman" w:hAnsi="Times New Roman" w:cs="Times New Roman"/>
          <w:sz w:val="24"/>
          <w:szCs w:val="24"/>
        </w:rPr>
        <w:t xml:space="preserve">Thus, the </w:t>
      </w:r>
      <w:r w:rsidR="00C35D64">
        <w:rPr>
          <w:rFonts w:ascii="Times New Roman" w:hAnsi="Times New Roman" w:cs="Times New Roman"/>
          <w:sz w:val="24"/>
          <w:szCs w:val="24"/>
        </w:rPr>
        <w:t>addition</w:t>
      </w:r>
      <w:r w:rsidR="006E6FBE">
        <w:rPr>
          <w:rFonts w:ascii="Times New Roman" w:hAnsi="Times New Roman" w:cs="Times New Roman"/>
          <w:sz w:val="24"/>
          <w:szCs w:val="24"/>
        </w:rPr>
        <w:t xml:space="preserve">al </w:t>
      </w:r>
      <w:r w:rsidR="00C35D64">
        <w:rPr>
          <w:rFonts w:ascii="Times New Roman" w:hAnsi="Times New Roman" w:cs="Times New Roman"/>
          <w:sz w:val="24"/>
          <w:szCs w:val="24"/>
        </w:rPr>
        <w:t xml:space="preserve">understanding of </w:t>
      </w:r>
      <w:r w:rsidR="006E6FBE">
        <w:rPr>
          <w:rFonts w:ascii="Times New Roman" w:hAnsi="Times New Roman" w:cs="Times New Roman"/>
          <w:sz w:val="24"/>
          <w:szCs w:val="24"/>
        </w:rPr>
        <w:t xml:space="preserve">examining news </w:t>
      </w:r>
      <w:r w:rsidR="00C35D64">
        <w:rPr>
          <w:rFonts w:ascii="Times New Roman" w:hAnsi="Times New Roman" w:cs="Times New Roman"/>
          <w:sz w:val="24"/>
          <w:szCs w:val="24"/>
        </w:rPr>
        <w:t xml:space="preserve">on </w:t>
      </w:r>
      <w:r w:rsidR="001A0F9A">
        <w:rPr>
          <w:rFonts w:ascii="Times New Roman" w:hAnsi="Times New Roman" w:cs="Times New Roman"/>
          <w:sz w:val="24"/>
          <w:szCs w:val="24"/>
        </w:rPr>
        <w:t>short-term</w:t>
      </w:r>
      <w:r w:rsidR="00C35D64">
        <w:rPr>
          <w:rFonts w:ascii="Times New Roman" w:hAnsi="Times New Roman" w:cs="Times New Roman"/>
          <w:sz w:val="24"/>
          <w:szCs w:val="24"/>
        </w:rPr>
        <w:t xml:space="preserve"> </w:t>
      </w:r>
      <w:proofErr w:type="spellStart"/>
      <w:r w:rsidR="00C35D64">
        <w:rPr>
          <w:rFonts w:ascii="Times New Roman" w:hAnsi="Times New Roman" w:cs="Times New Roman"/>
          <w:sz w:val="24"/>
          <w:szCs w:val="24"/>
        </w:rPr>
        <w:t>spillovers</w:t>
      </w:r>
      <w:proofErr w:type="spellEnd"/>
      <w:r w:rsidR="00C35D64">
        <w:rPr>
          <w:rFonts w:ascii="Times New Roman" w:hAnsi="Times New Roman" w:cs="Times New Roman"/>
          <w:sz w:val="24"/>
          <w:szCs w:val="24"/>
        </w:rPr>
        <w:t xml:space="preserve"> between markets would help us </w:t>
      </w:r>
      <w:r w:rsidR="009963B9">
        <w:rPr>
          <w:rFonts w:ascii="Times New Roman" w:hAnsi="Times New Roman" w:cs="Times New Roman"/>
          <w:sz w:val="24"/>
          <w:szCs w:val="24"/>
        </w:rPr>
        <w:t xml:space="preserve">comprehend </w:t>
      </w:r>
      <w:r w:rsidR="0085421C">
        <w:rPr>
          <w:rFonts w:ascii="Times New Roman" w:hAnsi="Times New Roman" w:cs="Times New Roman"/>
          <w:sz w:val="24"/>
          <w:szCs w:val="24"/>
        </w:rPr>
        <w:t xml:space="preserve">whether </w:t>
      </w:r>
      <w:r w:rsidR="006E6FBE">
        <w:rPr>
          <w:rFonts w:ascii="Times New Roman" w:hAnsi="Times New Roman" w:cs="Times New Roman"/>
          <w:sz w:val="24"/>
          <w:szCs w:val="24"/>
        </w:rPr>
        <w:t xml:space="preserve">regulatory </w:t>
      </w:r>
      <w:r w:rsidR="00C35D64">
        <w:rPr>
          <w:rFonts w:ascii="Times New Roman" w:hAnsi="Times New Roman" w:cs="Times New Roman"/>
          <w:sz w:val="24"/>
          <w:szCs w:val="24"/>
        </w:rPr>
        <w:t xml:space="preserve">restrictions </w:t>
      </w:r>
      <w:r w:rsidR="00327152">
        <w:rPr>
          <w:rFonts w:ascii="Times New Roman" w:hAnsi="Times New Roman" w:cs="Times New Roman"/>
          <w:sz w:val="24"/>
          <w:szCs w:val="24"/>
        </w:rPr>
        <w:t>are</w:t>
      </w:r>
      <w:r w:rsidR="0085421C">
        <w:rPr>
          <w:rFonts w:ascii="Times New Roman" w:hAnsi="Times New Roman" w:cs="Times New Roman"/>
          <w:sz w:val="24"/>
          <w:szCs w:val="24"/>
        </w:rPr>
        <w:t xml:space="preserve"> effective</w:t>
      </w:r>
      <w:r w:rsidR="00C35D64">
        <w:rPr>
          <w:rFonts w:ascii="Times New Roman" w:hAnsi="Times New Roman" w:cs="Times New Roman"/>
          <w:sz w:val="24"/>
          <w:szCs w:val="24"/>
        </w:rPr>
        <w:t xml:space="preserve"> </w:t>
      </w:r>
      <w:r w:rsidR="009963B9">
        <w:rPr>
          <w:rFonts w:ascii="Times New Roman" w:hAnsi="Times New Roman" w:cs="Times New Roman"/>
          <w:sz w:val="24"/>
          <w:szCs w:val="24"/>
        </w:rPr>
        <w:t>in such circumstance</w:t>
      </w:r>
      <w:r w:rsidR="00F67B3B">
        <w:rPr>
          <w:rFonts w:ascii="Times New Roman" w:hAnsi="Times New Roman" w:cs="Times New Roman"/>
          <w:sz w:val="24"/>
          <w:szCs w:val="24"/>
        </w:rPr>
        <w:t>s</w:t>
      </w:r>
      <w:r w:rsidR="0085421C">
        <w:rPr>
          <w:rFonts w:ascii="Times New Roman" w:hAnsi="Times New Roman" w:cs="Times New Roman"/>
          <w:sz w:val="24"/>
          <w:szCs w:val="24"/>
        </w:rPr>
        <w:t>. Therefore, we seek to contribute to the literature by</w:t>
      </w:r>
      <w:r w:rsidR="00B964B9" w:rsidRPr="00B964B9">
        <w:rPr>
          <w:rFonts w:ascii="Times New Roman" w:hAnsi="Times New Roman" w:cs="Times New Roman"/>
          <w:sz w:val="24"/>
          <w:szCs w:val="24"/>
        </w:rPr>
        <w:t xml:space="preserve"> </w:t>
      </w:r>
      <w:r w:rsidR="00B964B9">
        <w:rPr>
          <w:rFonts w:ascii="Times New Roman" w:hAnsi="Times New Roman" w:cs="Times New Roman"/>
          <w:sz w:val="24"/>
          <w:szCs w:val="24"/>
        </w:rPr>
        <w:t>investigating</w:t>
      </w:r>
      <w:r w:rsidR="0085421C">
        <w:rPr>
          <w:rFonts w:ascii="Times New Roman" w:hAnsi="Times New Roman" w:cs="Times New Roman"/>
          <w:sz w:val="24"/>
          <w:szCs w:val="24"/>
        </w:rPr>
        <w:t xml:space="preserve"> </w:t>
      </w:r>
      <w:r w:rsidR="006B1926">
        <w:rPr>
          <w:rFonts w:ascii="Times New Roman" w:hAnsi="Times New Roman" w:cs="Times New Roman"/>
          <w:sz w:val="24"/>
          <w:szCs w:val="24"/>
        </w:rPr>
        <w:t xml:space="preserve">both long-run and short-term information flows </w:t>
      </w:r>
      <w:r w:rsidR="00643EC8">
        <w:rPr>
          <w:rFonts w:ascii="Times New Roman" w:hAnsi="Times New Roman" w:cs="Times New Roman"/>
          <w:sz w:val="24"/>
          <w:szCs w:val="24"/>
        </w:rPr>
        <w:t xml:space="preserve">and price movements </w:t>
      </w:r>
      <w:r w:rsidR="0085421C">
        <w:rPr>
          <w:rFonts w:ascii="Times New Roman" w:hAnsi="Times New Roman" w:cs="Times New Roman"/>
          <w:sz w:val="24"/>
          <w:szCs w:val="24"/>
        </w:rPr>
        <w:t xml:space="preserve">before and after the </w:t>
      </w:r>
      <w:r w:rsidR="006E6FBE">
        <w:rPr>
          <w:rFonts w:ascii="Times New Roman" w:hAnsi="Times New Roman" w:cs="Times New Roman"/>
          <w:sz w:val="24"/>
          <w:szCs w:val="24"/>
        </w:rPr>
        <w:t xml:space="preserve">events surrounding the </w:t>
      </w:r>
      <w:r w:rsidR="0085421C">
        <w:rPr>
          <w:rFonts w:ascii="Times New Roman" w:hAnsi="Times New Roman" w:cs="Times New Roman"/>
          <w:sz w:val="24"/>
          <w:szCs w:val="24"/>
        </w:rPr>
        <w:t>Lehman</w:t>
      </w:r>
      <w:r w:rsidR="006B1926">
        <w:rPr>
          <w:rFonts w:ascii="Times New Roman" w:hAnsi="Times New Roman" w:cs="Times New Roman"/>
          <w:sz w:val="24"/>
          <w:szCs w:val="24"/>
        </w:rPr>
        <w:t xml:space="preserve"> Brothers</w:t>
      </w:r>
      <w:r w:rsidR="00B964B9">
        <w:rPr>
          <w:rFonts w:ascii="Times New Roman" w:hAnsi="Times New Roman" w:cs="Times New Roman"/>
          <w:sz w:val="24"/>
          <w:szCs w:val="24"/>
        </w:rPr>
        <w:t xml:space="preserve"> </w:t>
      </w:r>
      <w:r w:rsidR="006E6FBE">
        <w:rPr>
          <w:rFonts w:ascii="Times New Roman" w:hAnsi="Times New Roman" w:cs="Times New Roman"/>
          <w:sz w:val="24"/>
          <w:szCs w:val="24"/>
        </w:rPr>
        <w:t xml:space="preserve">collapse </w:t>
      </w:r>
      <w:r w:rsidR="0085421C">
        <w:rPr>
          <w:rFonts w:ascii="Times New Roman" w:hAnsi="Times New Roman" w:cs="Times New Roman"/>
          <w:sz w:val="24"/>
          <w:szCs w:val="24"/>
        </w:rPr>
        <w:t>in 2008.</w:t>
      </w:r>
    </w:p>
    <w:p w14:paraId="6B00B540" w14:textId="41EA14F3" w:rsidR="006115A6" w:rsidRPr="000F7C1E" w:rsidRDefault="006115A6" w:rsidP="00F03CE7">
      <w:pPr>
        <w:spacing w:after="0" w:line="480" w:lineRule="auto"/>
        <w:ind w:firstLine="720"/>
        <w:jc w:val="both"/>
        <w:rPr>
          <w:rFonts w:ascii="Times New Roman" w:hAnsi="Times New Roman" w:cs="Times New Roman"/>
          <w:sz w:val="24"/>
          <w:szCs w:val="24"/>
        </w:rPr>
      </w:pPr>
      <w:r w:rsidRPr="000F7C1E">
        <w:rPr>
          <w:rFonts w:ascii="Times New Roman" w:hAnsi="Times New Roman" w:cs="Times New Roman"/>
          <w:sz w:val="24"/>
          <w:szCs w:val="24"/>
        </w:rPr>
        <w:t xml:space="preserve">In </w:t>
      </w:r>
      <w:r w:rsidR="006B1926" w:rsidRPr="000F7C1E">
        <w:rPr>
          <w:rFonts w:ascii="Times New Roman" w:hAnsi="Times New Roman" w:cs="Times New Roman"/>
          <w:sz w:val="24"/>
          <w:szCs w:val="24"/>
        </w:rPr>
        <w:t>this study w</w:t>
      </w:r>
      <w:r w:rsidRPr="000F7C1E">
        <w:rPr>
          <w:rFonts w:ascii="Times New Roman" w:hAnsi="Times New Roman" w:cs="Times New Roman"/>
          <w:sz w:val="24"/>
          <w:szCs w:val="24"/>
        </w:rPr>
        <w:t>e</w:t>
      </w:r>
      <w:r w:rsidR="009D0A78" w:rsidRPr="000F7C1E">
        <w:rPr>
          <w:rFonts w:ascii="Times New Roman" w:hAnsi="Times New Roman" w:cs="Times New Roman"/>
          <w:sz w:val="24"/>
          <w:szCs w:val="24"/>
        </w:rPr>
        <w:t xml:space="preserve"> </w:t>
      </w:r>
      <w:r w:rsidR="003F6AD2" w:rsidRPr="000F7C1E">
        <w:rPr>
          <w:rFonts w:ascii="Times New Roman" w:hAnsi="Times New Roman" w:cs="Times New Roman"/>
          <w:sz w:val="24"/>
          <w:szCs w:val="24"/>
        </w:rPr>
        <w:t xml:space="preserve">examine information transmission from </w:t>
      </w:r>
      <w:r w:rsidR="00F827A8">
        <w:rPr>
          <w:rFonts w:ascii="Times New Roman" w:hAnsi="Times New Roman" w:cs="Times New Roman"/>
          <w:sz w:val="24"/>
          <w:szCs w:val="24"/>
        </w:rPr>
        <w:t xml:space="preserve">above </w:t>
      </w:r>
      <w:r w:rsidR="003F6AD2" w:rsidRPr="000F7C1E">
        <w:rPr>
          <w:rFonts w:ascii="Times New Roman" w:hAnsi="Times New Roman" w:cs="Times New Roman"/>
          <w:sz w:val="24"/>
          <w:szCs w:val="24"/>
        </w:rPr>
        <w:t xml:space="preserve">three </w:t>
      </w:r>
      <w:r w:rsidR="00F827A8">
        <w:rPr>
          <w:rFonts w:ascii="Times New Roman" w:hAnsi="Times New Roman" w:cs="Times New Roman"/>
          <w:sz w:val="24"/>
          <w:szCs w:val="24"/>
        </w:rPr>
        <w:t xml:space="preserve">described </w:t>
      </w:r>
      <w:r w:rsidR="003F6AD2" w:rsidRPr="000F7C1E">
        <w:rPr>
          <w:rFonts w:ascii="Times New Roman" w:hAnsi="Times New Roman" w:cs="Times New Roman"/>
          <w:sz w:val="24"/>
          <w:szCs w:val="24"/>
        </w:rPr>
        <w:t>perspectives</w:t>
      </w:r>
      <w:r w:rsidR="00F827A8">
        <w:rPr>
          <w:rFonts w:ascii="Times New Roman" w:hAnsi="Times New Roman" w:cs="Times New Roman"/>
          <w:sz w:val="24"/>
          <w:szCs w:val="24"/>
        </w:rPr>
        <w:t>. I</w:t>
      </w:r>
      <w:r w:rsidR="003F6AD2" w:rsidRPr="000F7C1E">
        <w:rPr>
          <w:rFonts w:ascii="Times New Roman" w:hAnsi="Times New Roman" w:cs="Times New Roman"/>
          <w:sz w:val="24"/>
          <w:szCs w:val="24"/>
        </w:rPr>
        <w:t>n order to do so</w:t>
      </w:r>
      <w:r w:rsidR="00F827A8">
        <w:rPr>
          <w:rFonts w:ascii="Times New Roman" w:hAnsi="Times New Roman" w:cs="Times New Roman"/>
          <w:sz w:val="24"/>
          <w:szCs w:val="24"/>
        </w:rPr>
        <w:t>,</w:t>
      </w:r>
      <w:r w:rsidR="003F6AD2" w:rsidRPr="000F7C1E">
        <w:rPr>
          <w:rFonts w:ascii="Times New Roman" w:hAnsi="Times New Roman" w:cs="Times New Roman"/>
          <w:sz w:val="24"/>
          <w:szCs w:val="24"/>
        </w:rPr>
        <w:t xml:space="preserve"> </w:t>
      </w:r>
      <w:r w:rsidR="00F827A8">
        <w:rPr>
          <w:rFonts w:ascii="Times New Roman" w:hAnsi="Times New Roman" w:cs="Times New Roman"/>
          <w:sz w:val="24"/>
          <w:szCs w:val="24"/>
        </w:rPr>
        <w:t xml:space="preserve">we </w:t>
      </w:r>
      <w:r w:rsidR="003F6AD2" w:rsidRPr="000F7C1E">
        <w:rPr>
          <w:rFonts w:ascii="Times New Roman" w:hAnsi="Times New Roman" w:cs="Times New Roman"/>
          <w:sz w:val="24"/>
          <w:szCs w:val="24"/>
        </w:rPr>
        <w:t xml:space="preserve">construct two </w:t>
      </w:r>
      <w:r w:rsidR="005435BF" w:rsidRPr="000F7C1E">
        <w:rPr>
          <w:rFonts w:ascii="Times New Roman" w:hAnsi="Times New Roman" w:cs="Times New Roman"/>
          <w:sz w:val="24"/>
          <w:szCs w:val="24"/>
        </w:rPr>
        <w:t xml:space="preserve">European </w:t>
      </w:r>
      <w:r w:rsidR="003F6AD2" w:rsidRPr="000F7C1E">
        <w:rPr>
          <w:rFonts w:ascii="Times New Roman" w:hAnsi="Times New Roman" w:cs="Times New Roman"/>
          <w:sz w:val="24"/>
          <w:szCs w:val="24"/>
        </w:rPr>
        <w:t>stock index based portfolios</w:t>
      </w:r>
      <w:r w:rsidRPr="000F7C1E">
        <w:rPr>
          <w:rFonts w:ascii="Times New Roman" w:hAnsi="Times New Roman" w:cs="Times New Roman"/>
          <w:sz w:val="24"/>
          <w:szCs w:val="24"/>
        </w:rPr>
        <w:t>:</w:t>
      </w:r>
      <w:r w:rsidR="003F6AD2" w:rsidRPr="000F7C1E">
        <w:rPr>
          <w:rFonts w:ascii="Times New Roman" w:hAnsi="Times New Roman" w:cs="Times New Roman"/>
          <w:sz w:val="24"/>
          <w:szCs w:val="24"/>
        </w:rPr>
        <w:t xml:space="preserve"> one relating to </w:t>
      </w:r>
      <w:r w:rsidR="00C70A5B" w:rsidRPr="000F7C1E">
        <w:rPr>
          <w:rFonts w:ascii="Times New Roman" w:hAnsi="Times New Roman" w:cs="Times New Roman"/>
          <w:sz w:val="24"/>
          <w:szCs w:val="24"/>
        </w:rPr>
        <w:t>‘</w:t>
      </w:r>
      <w:r w:rsidR="003F6AD2" w:rsidRPr="000F7C1E">
        <w:rPr>
          <w:rFonts w:ascii="Times New Roman" w:hAnsi="Times New Roman" w:cs="Times New Roman"/>
          <w:sz w:val="24"/>
          <w:szCs w:val="24"/>
        </w:rPr>
        <w:t>safe</w:t>
      </w:r>
      <w:r w:rsidR="00C70A5B" w:rsidRPr="000F7C1E">
        <w:rPr>
          <w:rFonts w:ascii="Times New Roman" w:hAnsi="Times New Roman" w:cs="Times New Roman"/>
          <w:sz w:val="24"/>
          <w:szCs w:val="24"/>
        </w:rPr>
        <w:t>’</w:t>
      </w:r>
      <w:r w:rsidR="003F6AD2" w:rsidRPr="000F7C1E">
        <w:rPr>
          <w:rFonts w:ascii="Times New Roman" w:hAnsi="Times New Roman" w:cs="Times New Roman"/>
          <w:sz w:val="24"/>
          <w:szCs w:val="24"/>
        </w:rPr>
        <w:t xml:space="preserve"> markets and </w:t>
      </w:r>
      <w:r w:rsidRPr="000F7C1E">
        <w:rPr>
          <w:rFonts w:ascii="Times New Roman" w:hAnsi="Times New Roman" w:cs="Times New Roman"/>
          <w:sz w:val="24"/>
          <w:szCs w:val="24"/>
        </w:rPr>
        <w:t xml:space="preserve">the other </w:t>
      </w:r>
      <w:r w:rsidR="003F6AD2" w:rsidRPr="000F7C1E">
        <w:rPr>
          <w:rFonts w:ascii="Times New Roman" w:hAnsi="Times New Roman" w:cs="Times New Roman"/>
          <w:sz w:val="24"/>
          <w:szCs w:val="24"/>
        </w:rPr>
        <w:t xml:space="preserve">to </w:t>
      </w:r>
      <w:r w:rsidR="00C70A5B" w:rsidRPr="000F7C1E">
        <w:rPr>
          <w:rFonts w:ascii="Times New Roman" w:hAnsi="Times New Roman" w:cs="Times New Roman"/>
          <w:sz w:val="24"/>
          <w:szCs w:val="24"/>
        </w:rPr>
        <w:t>‘</w:t>
      </w:r>
      <w:r w:rsidR="003F6AD2" w:rsidRPr="000F7C1E">
        <w:rPr>
          <w:rFonts w:ascii="Times New Roman" w:hAnsi="Times New Roman" w:cs="Times New Roman"/>
          <w:sz w:val="24"/>
          <w:szCs w:val="24"/>
        </w:rPr>
        <w:t>risky</w:t>
      </w:r>
      <w:r w:rsidR="00C70A5B" w:rsidRPr="000F7C1E">
        <w:rPr>
          <w:rFonts w:ascii="Times New Roman" w:hAnsi="Times New Roman" w:cs="Times New Roman"/>
          <w:sz w:val="24"/>
          <w:szCs w:val="24"/>
        </w:rPr>
        <w:t>’</w:t>
      </w:r>
      <w:r w:rsidR="003F6AD2" w:rsidRPr="000F7C1E">
        <w:rPr>
          <w:rFonts w:ascii="Times New Roman" w:hAnsi="Times New Roman" w:cs="Times New Roman"/>
          <w:sz w:val="24"/>
          <w:szCs w:val="24"/>
        </w:rPr>
        <w:t xml:space="preserve"> markets</w:t>
      </w:r>
      <w:r w:rsidR="00C70A5B" w:rsidRPr="000F7C1E">
        <w:rPr>
          <w:rFonts w:ascii="Times New Roman" w:hAnsi="Times New Roman" w:cs="Times New Roman"/>
          <w:sz w:val="24"/>
          <w:szCs w:val="24"/>
        </w:rPr>
        <w:t xml:space="preserve">. </w:t>
      </w:r>
      <w:r w:rsidR="003B75D0" w:rsidRPr="000F7C1E">
        <w:rPr>
          <w:rFonts w:ascii="Times New Roman" w:hAnsi="Times New Roman" w:cs="Times New Roman"/>
          <w:sz w:val="24"/>
          <w:szCs w:val="24"/>
        </w:rPr>
        <w:t xml:space="preserve">Specifically, we examine the nature of </w:t>
      </w:r>
      <w:r w:rsidR="009D0A78" w:rsidRPr="000F7C1E">
        <w:rPr>
          <w:rFonts w:ascii="Times New Roman" w:hAnsi="Times New Roman" w:cs="Times New Roman"/>
          <w:sz w:val="24"/>
          <w:szCs w:val="24"/>
        </w:rPr>
        <w:t>the long</w:t>
      </w:r>
      <w:r w:rsidR="003E69CD" w:rsidRPr="000F7C1E">
        <w:rPr>
          <w:rFonts w:ascii="Times New Roman" w:hAnsi="Times New Roman" w:cs="Times New Roman"/>
          <w:sz w:val="24"/>
          <w:szCs w:val="24"/>
        </w:rPr>
        <w:t>-</w:t>
      </w:r>
      <w:r w:rsidR="009D0A78" w:rsidRPr="000F7C1E">
        <w:rPr>
          <w:rFonts w:ascii="Times New Roman" w:hAnsi="Times New Roman" w:cs="Times New Roman"/>
          <w:sz w:val="24"/>
          <w:szCs w:val="24"/>
        </w:rPr>
        <w:t>run dynamics in the underlying market structure through cointegration test</w:t>
      </w:r>
      <w:r w:rsidRPr="000F7C1E">
        <w:rPr>
          <w:rFonts w:ascii="Times New Roman" w:hAnsi="Times New Roman" w:cs="Times New Roman"/>
          <w:sz w:val="24"/>
          <w:szCs w:val="24"/>
        </w:rPr>
        <w:t>s</w:t>
      </w:r>
      <w:r w:rsidR="009D0A78" w:rsidRPr="000F7C1E">
        <w:rPr>
          <w:rFonts w:ascii="Times New Roman" w:hAnsi="Times New Roman" w:cs="Times New Roman"/>
          <w:sz w:val="24"/>
          <w:szCs w:val="24"/>
        </w:rPr>
        <w:t xml:space="preserve"> across </w:t>
      </w:r>
      <w:r w:rsidR="005435BF" w:rsidRPr="000F7C1E">
        <w:rPr>
          <w:rFonts w:ascii="Times New Roman" w:hAnsi="Times New Roman" w:cs="Times New Roman"/>
          <w:sz w:val="24"/>
          <w:szCs w:val="24"/>
        </w:rPr>
        <w:t xml:space="preserve">the </w:t>
      </w:r>
      <w:r w:rsidR="009D0A78" w:rsidRPr="000F7C1E">
        <w:rPr>
          <w:rFonts w:ascii="Times New Roman" w:hAnsi="Times New Roman" w:cs="Times New Roman"/>
          <w:sz w:val="24"/>
          <w:szCs w:val="24"/>
        </w:rPr>
        <w:t>selected European stock market</w:t>
      </w:r>
      <w:r w:rsidR="00B62831">
        <w:rPr>
          <w:rFonts w:ascii="Times New Roman" w:hAnsi="Times New Roman" w:cs="Times New Roman"/>
          <w:sz w:val="24"/>
          <w:szCs w:val="24"/>
        </w:rPr>
        <w:t xml:space="preserve"> portfolios</w:t>
      </w:r>
      <w:r w:rsidR="009D0A78" w:rsidRPr="000F7C1E">
        <w:rPr>
          <w:rFonts w:ascii="Times New Roman" w:hAnsi="Times New Roman" w:cs="Times New Roman"/>
          <w:sz w:val="24"/>
          <w:szCs w:val="24"/>
        </w:rPr>
        <w:t xml:space="preserve">. </w:t>
      </w:r>
      <w:r w:rsidR="003E69CD" w:rsidRPr="000F7C1E">
        <w:rPr>
          <w:rFonts w:ascii="Times New Roman" w:hAnsi="Times New Roman" w:cs="Times New Roman"/>
          <w:sz w:val="24"/>
          <w:szCs w:val="24"/>
        </w:rPr>
        <w:t xml:space="preserve">If the </w:t>
      </w:r>
      <w:r w:rsidR="003B75D0" w:rsidRPr="000F7C1E">
        <w:rPr>
          <w:rFonts w:ascii="Times New Roman" w:hAnsi="Times New Roman" w:cs="Times New Roman"/>
          <w:sz w:val="24"/>
          <w:szCs w:val="24"/>
        </w:rPr>
        <w:t>markets are affected by common (global) shocks</w:t>
      </w:r>
      <w:r w:rsidR="003E69CD" w:rsidRPr="000F7C1E">
        <w:rPr>
          <w:rFonts w:ascii="Times New Roman" w:hAnsi="Times New Roman" w:cs="Times New Roman"/>
          <w:sz w:val="24"/>
          <w:szCs w:val="24"/>
        </w:rPr>
        <w:t>,</w:t>
      </w:r>
      <w:r w:rsidR="003B75D0" w:rsidRPr="000F7C1E">
        <w:rPr>
          <w:rFonts w:ascii="Times New Roman" w:hAnsi="Times New Roman" w:cs="Times New Roman"/>
          <w:sz w:val="24"/>
          <w:szCs w:val="24"/>
        </w:rPr>
        <w:t xml:space="preserve"> we would expect to see a common stochastic trend between the two sets of markets. However, if market specific information dominates </w:t>
      </w:r>
      <w:r w:rsidR="003E69CD" w:rsidRPr="000F7C1E">
        <w:rPr>
          <w:rFonts w:ascii="Times New Roman" w:hAnsi="Times New Roman" w:cs="Times New Roman"/>
          <w:sz w:val="24"/>
          <w:szCs w:val="24"/>
        </w:rPr>
        <w:t xml:space="preserve">the movement of the price series of the two portfolios, we </w:t>
      </w:r>
      <w:r w:rsidR="003B75D0" w:rsidRPr="000F7C1E">
        <w:rPr>
          <w:rFonts w:ascii="Times New Roman" w:hAnsi="Times New Roman" w:cs="Times New Roman"/>
          <w:sz w:val="24"/>
          <w:szCs w:val="24"/>
        </w:rPr>
        <w:t xml:space="preserve">would not </w:t>
      </w:r>
      <w:r w:rsidR="003E69CD" w:rsidRPr="000F7C1E">
        <w:rPr>
          <w:rFonts w:ascii="Times New Roman" w:hAnsi="Times New Roman" w:cs="Times New Roman"/>
          <w:sz w:val="24"/>
          <w:szCs w:val="24"/>
        </w:rPr>
        <w:t>observe co-movement</w:t>
      </w:r>
      <w:r w:rsidR="003B75D0" w:rsidRPr="000F7C1E">
        <w:rPr>
          <w:rFonts w:ascii="Times New Roman" w:hAnsi="Times New Roman" w:cs="Times New Roman"/>
          <w:sz w:val="24"/>
          <w:szCs w:val="24"/>
        </w:rPr>
        <w:t xml:space="preserve">. </w:t>
      </w:r>
      <w:r w:rsidRPr="000F7C1E">
        <w:rPr>
          <w:rFonts w:ascii="Times New Roman" w:hAnsi="Times New Roman" w:cs="Times New Roman"/>
          <w:sz w:val="24"/>
          <w:szCs w:val="24"/>
        </w:rPr>
        <w:t xml:space="preserve">We impose </w:t>
      </w:r>
      <w:r w:rsidR="00B62831">
        <w:rPr>
          <w:rFonts w:ascii="Times New Roman" w:hAnsi="Times New Roman" w:cs="Times New Roman"/>
          <w:sz w:val="24"/>
          <w:szCs w:val="24"/>
        </w:rPr>
        <w:t xml:space="preserve">a breakpoint </w:t>
      </w:r>
      <w:r w:rsidRPr="000F7C1E">
        <w:rPr>
          <w:rFonts w:ascii="Times New Roman" w:hAnsi="Times New Roman" w:cs="Times New Roman"/>
          <w:sz w:val="24"/>
          <w:szCs w:val="24"/>
        </w:rPr>
        <w:t>date</w:t>
      </w:r>
      <w:r w:rsidR="006B1926" w:rsidRPr="000F7C1E">
        <w:rPr>
          <w:rFonts w:ascii="Times New Roman" w:hAnsi="Times New Roman" w:cs="Times New Roman"/>
          <w:sz w:val="24"/>
          <w:szCs w:val="24"/>
        </w:rPr>
        <w:t xml:space="preserve"> </w:t>
      </w:r>
      <w:r w:rsidR="00B62831">
        <w:rPr>
          <w:rFonts w:ascii="Times New Roman" w:hAnsi="Times New Roman" w:cs="Times New Roman"/>
          <w:sz w:val="24"/>
          <w:szCs w:val="24"/>
        </w:rPr>
        <w:t xml:space="preserve">in order to partition </w:t>
      </w:r>
      <w:r w:rsidRPr="000F7C1E">
        <w:rPr>
          <w:rFonts w:ascii="Times New Roman" w:hAnsi="Times New Roman" w:cs="Times New Roman"/>
          <w:sz w:val="24"/>
          <w:szCs w:val="24"/>
        </w:rPr>
        <w:t>our data sample into two sub</w:t>
      </w:r>
      <w:r w:rsidR="00C70A5B" w:rsidRPr="000F7C1E">
        <w:rPr>
          <w:rFonts w:ascii="Times New Roman" w:hAnsi="Times New Roman" w:cs="Times New Roman"/>
          <w:sz w:val="24"/>
          <w:szCs w:val="24"/>
        </w:rPr>
        <w:t>-</w:t>
      </w:r>
      <w:r w:rsidRPr="000F7C1E">
        <w:rPr>
          <w:rFonts w:ascii="Times New Roman" w:hAnsi="Times New Roman" w:cs="Times New Roman"/>
          <w:sz w:val="24"/>
          <w:szCs w:val="24"/>
        </w:rPr>
        <w:t xml:space="preserve">periods. </w:t>
      </w:r>
      <w:r w:rsidR="00B62831">
        <w:rPr>
          <w:rFonts w:ascii="Times New Roman" w:hAnsi="Times New Roman" w:cs="Times New Roman"/>
          <w:sz w:val="24"/>
          <w:szCs w:val="24"/>
        </w:rPr>
        <w:t xml:space="preserve">While the date we </w:t>
      </w:r>
      <w:r w:rsidR="00F827A8">
        <w:rPr>
          <w:rFonts w:ascii="Times New Roman" w:hAnsi="Times New Roman" w:cs="Times New Roman"/>
          <w:sz w:val="24"/>
          <w:szCs w:val="24"/>
        </w:rPr>
        <w:t xml:space="preserve">choose is relatively arbitrary, we </w:t>
      </w:r>
      <w:r w:rsidR="00B62831">
        <w:rPr>
          <w:rFonts w:ascii="Times New Roman" w:hAnsi="Times New Roman" w:cs="Times New Roman"/>
          <w:sz w:val="24"/>
          <w:szCs w:val="24"/>
        </w:rPr>
        <w:t xml:space="preserve">use the introduction of the short sell ban, other dates (e.g., </w:t>
      </w:r>
      <w:r w:rsidRPr="000F7C1E">
        <w:rPr>
          <w:rFonts w:ascii="Times New Roman" w:hAnsi="Times New Roman" w:cs="Times New Roman"/>
          <w:sz w:val="24"/>
          <w:szCs w:val="24"/>
        </w:rPr>
        <w:t>Lehman</w:t>
      </w:r>
      <w:r w:rsidR="00B62831">
        <w:rPr>
          <w:rFonts w:ascii="Times New Roman" w:hAnsi="Times New Roman" w:cs="Times New Roman"/>
          <w:sz w:val="24"/>
          <w:szCs w:val="24"/>
        </w:rPr>
        <w:t>’s</w:t>
      </w:r>
      <w:r w:rsidR="000F6CBE" w:rsidRPr="000F7C1E">
        <w:rPr>
          <w:rFonts w:ascii="Times New Roman" w:hAnsi="Times New Roman" w:cs="Times New Roman"/>
          <w:sz w:val="24"/>
          <w:szCs w:val="24"/>
        </w:rPr>
        <w:t xml:space="preserve"> collapse</w:t>
      </w:r>
      <w:r w:rsidR="00B62831">
        <w:rPr>
          <w:rFonts w:ascii="Times New Roman" w:hAnsi="Times New Roman" w:cs="Times New Roman"/>
          <w:sz w:val="24"/>
          <w:szCs w:val="24"/>
        </w:rPr>
        <w:t xml:space="preserve">) </w:t>
      </w:r>
      <w:r w:rsidR="00F827A8">
        <w:rPr>
          <w:rFonts w:ascii="Times New Roman" w:hAnsi="Times New Roman" w:cs="Times New Roman"/>
          <w:sz w:val="24"/>
          <w:szCs w:val="24"/>
        </w:rPr>
        <w:t>produce similar results to those reported</w:t>
      </w:r>
      <w:r w:rsidR="00B62831">
        <w:rPr>
          <w:rFonts w:ascii="Times New Roman" w:hAnsi="Times New Roman" w:cs="Times New Roman"/>
          <w:sz w:val="24"/>
          <w:szCs w:val="24"/>
        </w:rPr>
        <w:t xml:space="preserve">. </w:t>
      </w:r>
      <w:r w:rsidR="00F827A8">
        <w:rPr>
          <w:rFonts w:ascii="Times New Roman" w:hAnsi="Times New Roman" w:cs="Times New Roman"/>
          <w:sz w:val="24"/>
          <w:szCs w:val="24"/>
        </w:rPr>
        <w:t>Furthermore, we</w:t>
      </w:r>
      <w:r w:rsidR="00B62831">
        <w:rPr>
          <w:rFonts w:ascii="Times New Roman" w:hAnsi="Times New Roman" w:cs="Times New Roman"/>
          <w:sz w:val="24"/>
          <w:szCs w:val="24"/>
        </w:rPr>
        <w:t xml:space="preserve"> also consider</w:t>
      </w:r>
      <w:r w:rsidRPr="000F7C1E">
        <w:rPr>
          <w:rFonts w:ascii="Times New Roman" w:hAnsi="Times New Roman" w:cs="Times New Roman"/>
          <w:sz w:val="24"/>
          <w:szCs w:val="24"/>
        </w:rPr>
        <w:t xml:space="preserve"> the Gregory and Hansen (1996) </w:t>
      </w:r>
      <w:r w:rsidR="00B62831">
        <w:rPr>
          <w:rFonts w:ascii="Times New Roman" w:hAnsi="Times New Roman" w:cs="Times New Roman"/>
          <w:sz w:val="24"/>
          <w:szCs w:val="24"/>
        </w:rPr>
        <w:t xml:space="preserve">cointegration </w:t>
      </w:r>
      <w:r w:rsidRPr="000F7C1E">
        <w:rPr>
          <w:rFonts w:ascii="Times New Roman" w:hAnsi="Times New Roman" w:cs="Times New Roman"/>
          <w:sz w:val="24"/>
          <w:szCs w:val="24"/>
        </w:rPr>
        <w:t>test with breaks</w:t>
      </w:r>
      <w:r w:rsidR="00CD0A7B">
        <w:rPr>
          <w:rFonts w:ascii="Times New Roman" w:hAnsi="Times New Roman" w:cs="Times New Roman"/>
          <w:sz w:val="24"/>
          <w:szCs w:val="24"/>
        </w:rPr>
        <w:t xml:space="preserve"> with similar resu</w:t>
      </w:r>
      <w:r w:rsidR="00F827A8">
        <w:rPr>
          <w:rFonts w:ascii="Times New Roman" w:hAnsi="Times New Roman" w:cs="Times New Roman"/>
          <w:sz w:val="24"/>
          <w:szCs w:val="24"/>
        </w:rPr>
        <w:t>l</w:t>
      </w:r>
      <w:r w:rsidR="00CD0A7B">
        <w:rPr>
          <w:rFonts w:ascii="Times New Roman" w:hAnsi="Times New Roman" w:cs="Times New Roman"/>
          <w:sz w:val="24"/>
          <w:szCs w:val="24"/>
        </w:rPr>
        <w:t>t</w:t>
      </w:r>
      <w:r w:rsidR="00F827A8">
        <w:rPr>
          <w:rFonts w:ascii="Times New Roman" w:hAnsi="Times New Roman" w:cs="Times New Roman"/>
          <w:sz w:val="24"/>
          <w:szCs w:val="24"/>
        </w:rPr>
        <w:t>s</w:t>
      </w:r>
      <w:r w:rsidRPr="000F7C1E">
        <w:rPr>
          <w:rFonts w:ascii="Times New Roman" w:hAnsi="Times New Roman" w:cs="Times New Roman"/>
          <w:sz w:val="24"/>
          <w:szCs w:val="24"/>
        </w:rPr>
        <w:t xml:space="preserve">. </w:t>
      </w:r>
    </w:p>
    <w:p w14:paraId="53238CB8" w14:textId="5DACA91E" w:rsidR="000C76A0" w:rsidRDefault="003B75D0" w:rsidP="00F03CE7">
      <w:pPr>
        <w:spacing w:after="0" w:line="480" w:lineRule="auto"/>
        <w:ind w:firstLine="720"/>
        <w:jc w:val="both"/>
        <w:rPr>
          <w:rFonts w:ascii="Times New Roman" w:hAnsi="Times New Roman" w:cs="Times New Roman"/>
          <w:b/>
          <w:sz w:val="24"/>
          <w:szCs w:val="24"/>
        </w:rPr>
      </w:pPr>
      <w:r w:rsidRPr="000F7C1E">
        <w:rPr>
          <w:rFonts w:ascii="Times New Roman" w:hAnsi="Times New Roman" w:cs="Times New Roman"/>
          <w:sz w:val="24"/>
          <w:szCs w:val="24"/>
        </w:rPr>
        <w:lastRenderedPageBreak/>
        <w:t xml:space="preserve">To further </w:t>
      </w:r>
      <w:r w:rsidR="009D0A78" w:rsidRPr="000F7C1E">
        <w:rPr>
          <w:rFonts w:ascii="Times New Roman" w:hAnsi="Times New Roman" w:cs="Times New Roman"/>
          <w:sz w:val="24"/>
          <w:szCs w:val="24"/>
        </w:rPr>
        <w:t>understand the</w:t>
      </w:r>
      <w:r w:rsidR="002D5E1F" w:rsidRPr="000F7C1E">
        <w:rPr>
          <w:rFonts w:ascii="Times New Roman" w:hAnsi="Times New Roman" w:cs="Times New Roman"/>
          <w:sz w:val="24"/>
          <w:szCs w:val="24"/>
        </w:rPr>
        <w:t xml:space="preserve"> instantaneous</w:t>
      </w:r>
      <w:r w:rsidR="009D0A78" w:rsidRPr="000F7C1E">
        <w:rPr>
          <w:rFonts w:ascii="Times New Roman" w:hAnsi="Times New Roman" w:cs="Times New Roman"/>
          <w:sz w:val="24"/>
          <w:szCs w:val="24"/>
        </w:rPr>
        <w:t xml:space="preserve"> information shock transmission</w:t>
      </w:r>
      <w:r w:rsidR="009D0A78" w:rsidRPr="00A47D41">
        <w:rPr>
          <w:rFonts w:ascii="Times New Roman" w:hAnsi="Times New Roman" w:cs="Times New Roman"/>
          <w:sz w:val="24"/>
          <w:szCs w:val="24"/>
        </w:rPr>
        <w:t xml:space="preserve"> mechanism within European markets and their interaction with the global market, we also look at the </w:t>
      </w:r>
      <w:r>
        <w:rPr>
          <w:rFonts w:ascii="Times New Roman" w:hAnsi="Times New Roman" w:cs="Times New Roman"/>
          <w:sz w:val="24"/>
          <w:szCs w:val="24"/>
        </w:rPr>
        <w:t xml:space="preserve">nature of </w:t>
      </w:r>
      <w:r w:rsidR="009D0A78" w:rsidRPr="00A47D41">
        <w:rPr>
          <w:rFonts w:ascii="Times New Roman" w:hAnsi="Times New Roman" w:cs="Times New Roman"/>
          <w:sz w:val="24"/>
          <w:szCs w:val="24"/>
        </w:rPr>
        <w:t>causa</w:t>
      </w:r>
      <w:r>
        <w:rPr>
          <w:rFonts w:ascii="Times New Roman" w:hAnsi="Times New Roman" w:cs="Times New Roman"/>
          <w:sz w:val="24"/>
          <w:szCs w:val="24"/>
        </w:rPr>
        <w:t>lity between them. Under normal conditions we might expect information to disseminate from the safer (larger) markets</w:t>
      </w:r>
      <w:r w:rsidR="002D5E1F">
        <w:rPr>
          <w:rFonts w:ascii="Times New Roman" w:hAnsi="Times New Roman" w:cs="Times New Roman"/>
          <w:sz w:val="24"/>
          <w:szCs w:val="24"/>
        </w:rPr>
        <w:t>;</w:t>
      </w:r>
      <w:r>
        <w:rPr>
          <w:rFonts w:ascii="Times New Roman" w:hAnsi="Times New Roman" w:cs="Times New Roman"/>
          <w:sz w:val="24"/>
          <w:szCs w:val="24"/>
        </w:rPr>
        <w:t xml:space="preserve"> however, it is of interest to know whether this remains true under periods of stress. </w:t>
      </w:r>
      <w:r w:rsidR="0021217F">
        <w:rPr>
          <w:rFonts w:ascii="Times New Roman" w:hAnsi="Times New Roman" w:cs="Times New Roman"/>
          <w:sz w:val="24"/>
          <w:szCs w:val="24"/>
        </w:rPr>
        <w:t xml:space="preserve">In addition to causality in the conditional mean, </w:t>
      </w:r>
      <w:r w:rsidR="009D0A78" w:rsidRPr="00A47D41">
        <w:rPr>
          <w:rFonts w:ascii="Times New Roman" w:hAnsi="Times New Roman" w:cs="Times New Roman"/>
          <w:sz w:val="24"/>
          <w:szCs w:val="24"/>
        </w:rPr>
        <w:t>we apply a multivariate GARCH model to study the shock transmission through the time</w:t>
      </w:r>
      <w:r w:rsidR="00B25A88">
        <w:rPr>
          <w:rFonts w:ascii="Times New Roman" w:hAnsi="Times New Roman" w:cs="Times New Roman"/>
          <w:sz w:val="24"/>
          <w:szCs w:val="24"/>
        </w:rPr>
        <w:t>-</w:t>
      </w:r>
      <w:r w:rsidR="009D0A78" w:rsidRPr="00A47D41">
        <w:rPr>
          <w:rFonts w:ascii="Times New Roman" w:hAnsi="Times New Roman" w:cs="Times New Roman"/>
          <w:sz w:val="24"/>
          <w:szCs w:val="24"/>
        </w:rPr>
        <w:t>varying factor loading among the European markets</w:t>
      </w:r>
      <w:r w:rsidR="002D5E1F">
        <w:rPr>
          <w:rFonts w:ascii="Times New Roman" w:hAnsi="Times New Roman" w:cs="Times New Roman"/>
          <w:sz w:val="24"/>
          <w:szCs w:val="24"/>
        </w:rPr>
        <w:t xml:space="preserve"> and this explains the causation structure in variance/</w:t>
      </w:r>
      <w:r w:rsidR="00B964B9">
        <w:rPr>
          <w:rFonts w:ascii="Times New Roman" w:hAnsi="Times New Roman" w:cs="Times New Roman"/>
          <w:sz w:val="24"/>
          <w:szCs w:val="24"/>
        </w:rPr>
        <w:t>volatility. This</w:t>
      </w:r>
      <w:r w:rsidR="002E7CC2">
        <w:rPr>
          <w:rFonts w:ascii="Times New Roman" w:hAnsi="Times New Roman" w:cs="Times New Roman"/>
          <w:sz w:val="24"/>
          <w:szCs w:val="24"/>
        </w:rPr>
        <w:t xml:space="preserve"> would </w:t>
      </w:r>
      <w:r w:rsidR="002D5E1F">
        <w:rPr>
          <w:rFonts w:ascii="Times New Roman" w:hAnsi="Times New Roman" w:cs="Times New Roman"/>
          <w:sz w:val="24"/>
          <w:szCs w:val="24"/>
        </w:rPr>
        <w:t xml:space="preserve">fully </w:t>
      </w:r>
      <w:r w:rsidR="002E7CC2">
        <w:rPr>
          <w:rFonts w:ascii="Times New Roman" w:hAnsi="Times New Roman" w:cs="Times New Roman"/>
          <w:sz w:val="24"/>
          <w:szCs w:val="24"/>
        </w:rPr>
        <w:t>echo our interest</w:t>
      </w:r>
      <w:r>
        <w:rPr>
          <w:rFonts w:ascii="Times New Roman" w:hAnsi="Times New Roman" w:cs="Times New Roman"/>
          <w:sz w:val="24"/>
          <w:szCs w:val="24"/>
        </w:rPr>
        <w:t xml:space="preserve"> in understanding the </w:t>
      </w:r>
      <w:r w:rsidR="002E7CC2">
        <w:rPr>
          <w:rFonts w:ascii="Times New Roman" w:hAnsi="Times New Roman" w:cs="Times New Roman"/>
          <w:sz w:val="24"/>
          <w:szCs w:val="24"/>
        </w:rPr>
        <w:t xml:space="preserve">information transmission structure, the </w:t>
      </w:r>
      <w:r>
        <w:rPr>
          <w:rFonts w:ascii="Times New Roman" w:hAnsi="Times New Roman" w:cs="Times New Roman"/>
          <w:sz w:val="24"/>
          <w:szCs w:val="24"/>
        </w:rPr>
        <w:t xml:space="preserve">direction of information flows and whether </w:t>
      </w:r>
      <w:r w:rsidR="002E7CC2">
        <w:rPr>
          <w:rFonts w:ascii="Times New Roman" w:hAnsi="Times New Roman" w:cs="Times New Roman"/>
          <w:sz w:val="24"/>
          <w:szCs w:val="24"/>
        </w:rPr>
        <w:t>these</w:t>
      </w:r>
      <w:r>
        <w:rPr>
          <w:rFonts w:ascii="Times New Roman" w:hAnsi="Times New Roman" w:cs="Times New Roman"/>
          <w:sz w:val="24"/>
          <w:szCs w:val="24"/>
        </w:rPr>
        <w:t xml:space="preserve"> changes are </w:t>
      </w:r>
      <w:r w:rsidR="000E295F">
        <w:rPr>
          <w:rFonts w:ascii="Times New Roman" w:hAnsi="Times New Roman" w:cs="Times New Roman"/>
          <w:sz w:val="24"/>
          <w:szCs w:val="24"/>
        </w:rPr>
        <w:t xml:space="preserve">the </w:t>
      </w:r>
      <w:r>
        <w:rPr>
          <w:rFonts w:ascii="Times New Roman" w:hAnsi="Times New Roman" w:cs="Times New Roman"/>
          <w:sz w:val="24"/>
          <w:szCs w:val="24"/>
        </w:rPr>
        <w:t xml:space="preserve">result of the market turbulence </w:t>
      </w:r>
      <w:r w:rsidR="000E295F">
        <w:rPr>
          <w:rFonts w:ascii="Times New Roman" w:hAnsi="Times New Roman" w:cs="Times New Roman"/>
          <w:sz w:val="24"/>
          <w:szCs w:val="24"/>
        </w:rPr>
        <w:t xml:space="preserve">at </w:t>
      </w:r>
      <w:r>
        <w:rPr>
          <w:rFonts w:ascii="Times New Roman" w:hAnsi="Times New Roman" w:cs="Times New Roman"/>
          <w:sz w:val="24"/>
          <w:szCs w:val="24"/>
        </w:rPr>
        <w:t xml:space="preserve">the time. </w:t>
      </w:r>
      <w:r w:rsidR="006B1926">
        <w:rPr>
          <w:rFonts w:ascii="Times New Roman" w:hAnsi="Times New Roman" w:cs="Times New Roman"/>
          <w:sz w:val="24"/>
          <w:szCs w:val="24"/>
        </w:rPr>
        <w:t xml:space="preserve">We examine all </w:t>
      </w:r>
      <w:r w:rsidR="002E7CC2">
        <w:rPr>
          <w:rFonts w:ascii="Times New Roman" w:hAnsi="Times New Roman" w:cs="Times New Roman"/>
          <w:sz w:val="24"/>
          <w:szCs w:val="24"/>
        </w:rPr>
        <w:t xml:space="preserve">these aspects in </w:t>
      </w:r>
      <w:r w:rsidR="006B1926">
        <w:rPr>
          <w:rFonts w:ascii="Times New Roman" w:hAnsi="Times New Roman" w:cs="Times New Roman"/>
          <w:sz w:val="24"/>
          <w:szCs w:val="24"/>
        </w:rPr>
        <w:t xml:space="preserve">both </w:t>
      </w:r>
      <w:r w:rsidR="002E7CC2">
        <w:rPr>
          <w:rFonts w:ascii="Times New Roman" w:hAnsi="Times New Roman" w:cs="Times New Roman"/>
          <w:sz w:val="24"/>
          <w:szCs w:val="24"/>
        </w:rPr>
        <w:t xml:space="preserve">the price generating process </w:t>
      </w:r>
      <w:r w:rsidR="001A0F9A">
        <w:rPr>
          <w:rFonts w:ascii="Times New Roman" w:hAnsi="Times New Roman" w:cs="Times New Roman"/>
          <w:sz w:val="24"/>
          <w:szCs w:val="24"/>
        </w:rPr>
        <w:t xml:space="preserve">(non-stationary) </w:t>
      </w:r>
      <w:r w:rsidR="006B1926">
        <w:rPr>
          <w:rFonts w:ascii="Times New Roman" w:hAnsi="Times New Roman" w:cs="Times New Roman"/>
          <w:sz w:val="24"/>
          <w:szCs w:val="24"/>
        </w:rPr>
        <w:t>and</w:t>
      </w:r>
      <w:r w:rsidR="002E7CC2">
        <w:rPr>
          <w:rFonts w:ascii="Times New Roman" w:hAnsi="Times New Roman" w:cs="Times New Roman"/>
          <w:sz w:val="24"/>
          <w:szCs w:val="24"/>
        </w:rPr>
        <w:t xml:space="preserve"> the return process</w:t>
      </w:r>
      <w:r w:rsidR="001A0F9A">
        <w:rPr>
          <w:rFonts w:ascii="Times New Roman" w:hAnsi="Times New Roman" w:cs="Times New Roman"/>
          <w:sz w:val="24"/>
          <w:szCs w:val="24"/>
        </w:rPr>
        <w:t xml:space="preserve"> (stationary).</w:t>
      </w:r>
      <w:r w:rsidR="001A0F9A">
        <w:rPr>
          <w:rFonts w:ascii="Times New Roman" w:hAnsi="Times New Roman" w:cs="Times New Roman"/>
          <w:b/>
          <w:sz w:val="24"/>
          <w:szCs w:val="24"/>
        </w:rPr>
        <w:t xml:space="preserve"> </w:t>
      </w:r>
    </w:p>
    <w:p w14:paraId="1D637E0D" w14:textId="6DE75FAD" w:rsidR="00BE4EDC" w:rsidRDefault="009D0A78" w:rsidP="00F03CE7">
      <w:pPr>
        <w:spacing w:after="0" w:line="480" w:lineRule="auto"/>
        <w:ind w:firstLine="720"/>
        <w:jc w:val="both"/>
        <w:rPr>
          <w:rFonts w:ascii="Times New Roman" w:hAnsi="Times New Roman" w:cs="Times New Roman"/>
          <w:sz w:val="24"/>
          <w:szCs w:val="24"/>
        </w:rPr>
      </w:pPr>
      <w:r w:rsidRPr="00A47D41">
        <w:rPr>
          <w:rFonts w:ascii="Times New Roman" w:hAnsi="Times New Roman" w:cs="Times New Roman"/>
          <w:sz w:val="24"/>
          <w:szCs w:val="24"/>
        </w:rPr>
        <w:t>Our findings s</w:t>
      </w:r>
      <w:r w:rsidR="000E295F">
        <w:rPr>
          <w:rFonts w:ascii="Times New Roman" w:hAnsi="Times New Roman" w:cs="Times New Roman"/>
          <w:sz w:val="24"/>
          <w:szCs w:val="24"/>
        </w:rPr>
        <w:t xml:space="preserve">uggest </w:t>
      </w:r>
      <w:r w:rsidRPr="00A47D41">
        <w:rPr>
          <w:rFonts w:ascii="Times New Roman" w:hAnsi="Times New Roman" w:cs="Times New Roman"/>
          <w:sz w:val="24"/>
          <w:szCs w:val="24"/>
        </w:rPr>
        <w:t xml:space="preserve">that </w:t>
      </w:r>
      <w:r w:rsidR="00B62831">
        <w:rPr>
          <w:rFonts w:ascii="Times New Roman" w:hAnsi="Times New Roman" w:cs="Times New Roman"/>
          <w:sz w:val="24"/>
          <w:szCs w:val="24"/>
        </w:rPr>
        <w:t xml:space="preserve">following </w:t>
      </w:r>
      <w:r w:rsidRPr="00A47D41">
        <w:rPr>
          <w:rFonts w:ascii="Times New Roman" w:hAnsi="Times New Roman" w:cs="Times New Roman"/>
          <w:sz w:val="24"/>
          <w:szCs w:val="24"/>
        </w:rPr>
        <w:t xml:space="preserve">the </w:t>
      </w:r>
      <w:r w:rsidR="00CF0FA2">
        <w:rPr>
          <w:rFonts w:ascii="Times New Roman" w:hAnsi="Times New Roman" w:cs="Times New Roman"/>
          <w:sz w:val="24"/>
          <w:szCs w:val="24"/>
        </w:rPr>
        <w:t>bankruptcy</w:t>
      </w:r>
      <w:r w:rsidR="00CF0FA2" w:rsidRPr="00A47D41">
        <w:rPr>
          <w:rFonts w:ascii="Times New Roman" w:hAnsi="Times New Roman" w:cs="Times New Roman"/>
          <w:sz w:val="24"/>
          <w:szCs w:val="24"/>
        </w:rPr>
        <w:t xml:space="preserve"> </w:t>
      </w:r>
      <w:r w:rsidRPr="00A47D41">
        <w:rPr>
          <w:rFonts w:ascii="Times New Roman" w:hAnsi="Times New Roman" w:cs="Times New Roman"/>
          <w:sz w:val="24"/>
          <w:szCs w:val="24"/>
        </w:rPr>
        <w:t>of Lehman Brothers</w:t>
      </w:r>
      <w:r w:rsidR="000E295F">
        <w:rPr>
          <w:rFonts w:ascii="Times New Roman" w:hAnsi="Times New Roman" w:cs="Times New Roman"/>
          <w:sz w:val="24"/>
          <w:szCs w:val="24"/>
        </w:rPr>
        <w:t>,</w:t>
      </w:r>
      <w:r w:rsidRPr="00A47D41">
        <w:rPr>
          <w:rFonts w:ascii="Times New Roman" w:hAnsi="Times New Roman" w:cs="Times New Roman"/>
          <w:sz w:val="24"/>
          <w:szCs w:val="24"/>
        </w:rPr>
        <w:t xml:space="preserve"> </w:t>
      </w:r>
      <w:r w:rsidR="000E295F">
        <w:rPr>
          <w:rFonts w:ascii="Times New Roman" w:hAnsi="Times New Roman" w:cs="Times New Roman"/>
          <w:sz w:val="24"/>
          <w:szCs w:val="24"/>
        </w:rPr>
        <w:t>this le</w:t>
      </w:r>
      <w:r w:rsidR="00B62831">
        <w:rPr>
          <w:rFonts w:ascii="Times New Roman" w:hAnsi="Times New Roman" w:cs="Times New Roman"/>
          <w:sz w:val="24"/>
          <w:szCs w:val="24"/>
        </w:rPr>
        <w:t xml:space="preserve">d to </w:t>
      </w:r>
      <w:r w:rsidRPr="00A47D41">
        <w:rPr>
          <w:rFonts w:ascii="Times New Roman" w:hAnsi="Times New Roman" w:cs="Times New Roman"/>
          <w:sz w:val="24"/>
          <w:szCs w:val="24"/>
        </w:rPr>
        <w:t xml:space="preserve">an end of the cointegrating relation between European countries. The </w:t>
      </w:r>
      <w:r w:rsidR="005A355A">
        <w:rPr>
          <w:rFonts w:ascii="Times New Roman" w:hAnsi="Times New Roman" w:cs="Times New Roman"/>
          <w:sz w:val="24"/>
          <w:szCs w:val="24"/>
        </w:rPr>
        <w:t xml:space="preserve">‘safe’ </w:t>
      </w:r>
      <w:r w:rsidRPr="00A47D41">
        <w:rPr>
          <w:rFonts w:ascii="Times New Roman" w:hAnsi="Times New Roman" w:cs="Times New Roman"/>
          <w:sz w:val="24"/>
          <w:szCs w:val="24"/>
        </w:rPr>
        <w:t>stock markets of the UK, Germany and France no longer exhibit</w:t>
      </w:r>
      <w:r w:rsidRPr="00A47D41">
        <w:rPr>
          <w:rFonts w:ascii="Times New Roman" w:hAnsi="Times New Roman" w:cs="Times New Roman"/>
          <w:b/>
          <w:sz w:val="24"/>
          <w:szCs w:val="24"/>
        </w:rPr>
        <w:t xml:space="preserve"> </w:t>
      </w:r>
      <w:r w:rsidRPr="00A47D41">
        <w:rPr>
          <w:rFonts w:ascii="Times New Roman" w:hAnsi="Times New Roman" w:cs="Times New Roman"/>
          <w:sz w:val="24"/>
          <w:szCs w:val="24"/>
        </w:rPr>
        <w:t xml:space="preserve">co-movement with the </w:t>
      </w:r>
      <w:r w:rsidR="005A355A">
        <w:rPr>
          <w:rFonts w:ascii="Times New Roman" w:hAnsi="Times New Roman" w:cs="Times New Roman"/>
          <w:sz w:val="24"/>
          <w:szCs w:val="24"/>
        </w:rPr>
        <w:t>‘</w:t>
      </w:r>
      <w:r w:rsidRPr="00A47D41">
        <w:rPr>
          <w:rFonts w:ascii="Times New Roman" w:hAnsi="Times New Roman" w:cs="Times New Roman"/>
          <w:sz w:val="24"/>
          <w:szCs w:val="24"/>
        </w:rPr>
        <w:t>risk</w:t>
      </w:r>
      <w:r w:rsidR="005A355A">
        <w:rPr>
          <w:rFonts w:ascii="Times New Roman" w:hAnsi="Times New Roman" w:cs="Times New Roman"/>
          <w:sz w:val="24"/>
          <w:szCs w:val="24"/>
        </w:rPr>
        <w:t>y’</w:t>
      </w:r>
      <w:r w:rsidRPr="00A47D41">
        <w:rPr>
          <w:rFonts w:ascii="Times New Roman" w:hAnsi="Times New Roman" w:cs="Times New Roman"/>
          <w:sz w:val="24"/>
          <w:szCs w:val="24"/>
        </w:rPr>
        <w:t xml:space="preserve"> markets of Spain, Italy, Ireland and Greece after September 2008. We argue that the disappearance of the long</w:t>
      </w:r>
      <w:r w:rsidR="000C520E">
        <w:rPr>
          <w:rFonts w:ascii="Times New Roman" w:hAnsi="Times New Roman" w:cs="Times New Roman"/>
          <w:sz w:val="24"/>
          <w:szCs w:val="24"/>
        </w:rPr>
        <w:t>-</w:t>
      </w:r>
      <w:r w:rsidRPr="00A47D41">
        <w:rPr>
          <w:rFonts w:ascii="Times New Roman" w:hAnsi="Times New Roman" w:cs="Times New Roman"/>
          <w:sz w:val="24"/>
          <w:szCs w:val="24"/>
        </w:rPr>
        <w:t xml:space="preserve">run cointegrating relation between </w:t>
      </w:r>
      <w:r w:rsidR="000E295F">
        <w:rPr>
          <w:rFonts w:ascii="Times New Roman" w:hAnsi="Times New Roman" w:cs="Times New Roman"/>
          <w:sz w:val="24"/>
          <w:szCs w:val="24"/>
        </w:rPr>
        <w:t xml:space="preserve">these </w:t>
      </w:r>
      <w:r w:rsidR="000C520E">
        <w:rPr>
          <w:rFonts w:ascii="Times New Roman" w:hAnsi="Times New Roman" w:cs="Times New Roman"/>
          <w:sz w:val="24"/>
          <w:szCs w:val="24"/>
        </w:rPr>
        <w:t xml:space="preserve">two groups of </w:t>
      </w:r>
      <w:r w:rsidRPr="00A47D41">
        <w:rPr>
          <w:rFonts w:ascii="Times New Roman" w:hAnsi="Times New Roman" w:cs="Times New Roman"/>
          <w:sz w:val="24"/>
          <w:szCs w:val="24"/>
        </w:rPr>
        <w:t>stock markets is due to the extreme events that distorted market order and its underlying dynamics</w:t>
      </w:r>
      <w:r w:rsidR="000E295F">
        <w:rPr>
          <w:rFonts w:ascii="Times New Roman" w:hAnsi="Times New Roman" w:cs="Times New Roman"/>
          <w:sz w:val="24"/>
          <w:szCs w:val="24"/>
        </w:rPr>
        <w:t>.</w:t>
      </w:r>
      <w:r w:rsidRPr="00A47D41">
        <w:rPr>
          <w:rFonts w:ascii="Times New Roman" w:hAnsi="Times New Roman" w:cs="Times New Roman"/>
          <w:sz w:val="24"/>
          <w:szCs w:val="24"/>
        </w:rPr>
        <w:t xml:space="preserve"> More importantly, we </w:t>
      </w:r>
      <w:r w:rsidR="00B62831">
        <w:rPr>
          <w:rFonts w:ascii="Times New Roman" w:hAnsi="Times New Roman" w:cs="Times New Roman"/>
          <w:sz w:val="24"/>
          <w:szCs w:val="24"/>
        </w:rPr>
        <w:t xml:space="preserve">note </w:t>
      </w:r>
      <w:r w:rsidRPr="00A47D41">
        <w:rPr>
          <w:rFonts w:ascii="Times New Roman" w:hAnsi="Times New Roman" w:cs="Times New Roman"/>
          <w:sz w:val="24"/>
          <w:szCs w:val="24"/>
        </w:rPr>
        <w:t xml:space="preserve">that the imposition of short selling restrictions did not lead to the re-establishment of the </w:t>
      </w:r>
      <w:r w:rsidR="000C520E" w:rsidRPr="00A47D41">
        <w:rPr>
          <w:rFonts w:ascii="Times New Roman" w:hAnsi="Times New Roman" w:cs="Times New Roman"/>
          <w:sz w:val="24"/>
          <w:szCs w:val="24"/>
        </w:rPr>
        <w:t>long</w:t>
      </w:r>
      <w:r w:rsidR="000C520E">
        <w:rPr>
          <w:rFonts w:ascii="Times New Roman" w:hAnsi="Times New Roman" w:cs="Times New Roman"/>
          <w:sz w:val="24"/>
          <w:szCs w:val="24"/>
        </w:rPr>
        <w:t>-</w:t>
      </w:r>
      <w:r w:rsidRPr="00A47D41">
        <w:rPr>
          <w:rFonts w:ascii="Times New Roman" w:hAnsi="Times New Roman" w:cs="Times New Roman"/>
          <w:sz w:val="24"/>
          <w:szCs w:val="24"/>
        </w:rPr>
        <w:t xml:space="preserve">run relation between these markets. In addition, Granger causality results suggest that information transmission between the selected markets prior to </w:t>
      </w:r>
      <w:r w:rsidR="008635E5">
        <w:rPr>
          <w:rFonts w:ascii="Times New Roman" w:hAnsi="Times New Roman" w:cs="Times New Roman"/>
          <w:sz w:val="24"/>
          <w:szCs w:val="24"/>
        </w:rPr>
        <w:t>September 2008 was from the low-</w:t>
      </w:r>
      <w:r w:rsidRPr="00A47D41">
        <w:rPr>
          <w:rFonts w:ascii="Times New Roman" w:hAnsi="Times New Roman" w:cs="Times New Roman"/>
          <w:sz w:val="24"/>
          <w:szCs w:val="24"/>
        </w:rPr>
        <w:t>risk</w:t>
      </w:r>
      <w:r w:rsidR="00A47D41" w:rsidRPr="00A47D41">
        <w:rPr>
          <w:rFonts w:ascii="Times New Roman" w:hAnsi="Times New Roman" w:cs="Times New Roman"/>
          <w:sz w:val="24"/>
          <w:szCs w:val="24"/>
        </w:rPr>
        <w:t xml:space="preserve"> group of countries to the high-</w:t>
      </w:r>
      <w:r w:rsidRPr="00A47D41">
        <w:rPr>
          <w:rFonts w:ascii="Times New Roman" w:hAnsi="Times New Roman" w:cs="Times New Roman"/>
          <w:sz w:val="24"/>
          <w:szCs w:val="24"/>
        </w:rPr>
        <w:t xml:space="preserve">risk group. After this point the causality </w:t>
      </w:r>
      <w:r w:rsidR="000C520E">
        <w:rPr>
          <w:rFonts w:ascii="Times New Roman" w:hAnsi="Times New Roman" w:cs="Times New Roman"/>
          <w:sz w:val="24"/>
          <w:szCs w:val="24"/>
        </w:rPr>
        <w:t>became</w:t>
      </w:r>
      <w:r w:rsidR="000C520E" w:rsidRPr="00A47D41">
        <w:rPr>
          <w:rFonts w:ascii="Times New Roman" w:hAnsi="Times New Roman" w:cs="Times New Roman"/>
          <w:sz w:val="24"/>
          <w:szCs w:val="24"/>
        </w:rPr>
        <w:t xml:space="preserve"> </w:t>
      </w:r>
      <w:r w:rsidRPr="00A47D41">
        <w:rPr>
          <w:rFonts w:ascii="Times New Roman" w:hAnsi="Times New Roman" w:cs="Times New Roman"/>
          <w:sz w:val="24"/>
          <w:szCs w:val="24"/>
        </w:rPr>
        <w:t>bi-directional. This suggests the flow of information has changed following September 2008. This, we argue, is due to the inability of investors to sell high-risk country stocks</w:t>
      </w:r>
      <w:r w:rsidR="00A47D41" w:rsidRPr="00A47D41">
        <w:rPr>
          <w:rFonts w:ascii="Times New Roman" w:hAnsi="Times New Roman" w:cs="Times New Roman"/>
          <w:sz w:val="24"/>
          <w:szCs w:val="24"/>
        </w:rPr>
        <w:t>,</w:t>
      </w:r>
      <w:r w:rsidRPr="00A47D41">
        <w:rPr>
          <w:rFonts w:ascii="Times New Roman" w:hAnsi="Times New Roman" w:cs="Times New Roman"/>
          <w:sz w:val="24"/>
          <w:szCs w:val="24"/>
        </w:rPr>
        <w:t xml:space="preserve"> following the imposition of short selling </w:t>
      </w:r>
      <w:r w:rsidR="008D60DA">
        <w:rPr>
          <w:rFonts w:ascii="Times New Roman" w:hAnsi="Times New Roman" w:cs="Times New Roman"/>
          <w:sz w:val="24"/>
          <w:szCs w:val="24"/>
        </w:rPr>
        <w:t>re</w:t>
      </w:r>
      <w:r w:rsidR="00C70A5B">
        <w:rPr>
          <w:rFonts w:ascii="Times New Roman" w:hAnsi="Times New Roman" w:cs="Times New Roman"/>
          <w:sz w:val="24"/>
          <w:szCs w:val="24"/>
        </w:rPr>
        <w:t>strictions</w:t>
      </w:r>
      <w:r w:rsidRPr="00A47D41">
        <w:rPr>
          <w:rFonts w:ascii="Times New Roman" w:hAnsi="Times New Roman" w:cs="Times New Roman"/>
          <w:sz w:val="24"/>
          <w:szCs w:val="24"/>
        </w:rPr>
        <w:t>.</w:t>
      </w:r>
      <w:r w:rsidR="00C3024A" w:rsidRPr="00A47D41">
        <w:rPr>
          <w:rFonts w:ascii="Times New Roman" w:hAnsi="Times New Roman" w:cs="Times New Roman"/>
          <w:sz w:val="24"/>
          <w:szCs w:val="24"/>
        </w:rPr>
        <w:t xml:space="preserve"> Finally, evidence from the volatility tests suggests </w:t>
      </w:r>
      <w:r w:rsidR="00C3024A" w:rsidRPr="00A47D41">
        <w:rPr>
          <w:rFonts w:ascii="Times New Roman" w:hAnsi="Times New Roman" w:cs="Times New Roman"/>
          <w:sz w:val="24"/>
          <w:szCs w:val="24"/>
        </w:rPr>
        <w:lastRenderedPageBreak/>
        <w:t xml:space="preserve">a reversal of the usual transmission </w:t>
      </w:r>
      <w:r w:rsidR="00B974C6" w:rsidRPr="00A47D41">
        <w:rPr>
          <w:rFonts w:ascii="Times New Roman" w:hAnsi="Times New Roman" w:cs="Times New Roman"/>
          <w:sz w:val="24"/>
          <w:szCs w:val="24"/>
        </w:rPr>
        <w:t xml:space="preserve">of </w:t>
      </w:r>
      <w:proofErr w:type="spellStart"/>
      <w:r w:rsidR="00B974C6" w:rsidRPr="00A47D41">
        <w:rPr>
          <w:rFonts w:ascii="Times New Roman" w:hAnsi="Times New Roman" w:cs="Times New Roman"/>
          <w:sz w:val="24"/>
          <w:szCs w:val="24"/>
        </w:rPr>
        <w:t>spillover</w:t>
      </w:r>
      <w:proofErr w:type="spellEnd"/>
      <w:r w:rsidR="00B974C6" w:rsidRPr="00A47D41">
        <w:rPr>
          <w:rFonts w:ascii="Times New Roman" w:hAnsi="Times New Roman" w:cs="Times New Roman"/>
          <w:sz w:val="24"/>
          <w:szCs w:val="24"/>
        </w:rPr>
        <w:t xml:space="preserve"> effects </w:t>
      </w:r>
      <w:r w:rsidR="00A47D41" w:rsidRPr="00A47D41">
        <w:rPr>
          <w:rFonts w:ascii="Times New Roman" w:hAnsi="Times New Roman" w:cs="Times New Roman"/>
          <w:sz w:val="24"/>
          <w:szCs w:val="24"/>
        </w:rPr>
        <w:t>from low</w:t>
      </w:r>
      <w:r w:rsidR="000C520E">
        <w:rPr>
          <w:rFonts w:ascii="Times New Roman" w:hAnsi="Times New Roman" w:cs="Times New Roman"/>
          <w:sz w:val="24"/>
          <w:szCs w:val="24"/>
        </w:rPr>
        <w:t>-</w:t>
      </w:r>
      <w:r w:rsidR="00A47D41" w:rsidRPr="00A47D41">
        <w:rPr>
          <w:rFonts w:ascii="Times New Roman" w:hAnsi="Times New Roman" w:cs="Times New Roman"/>
          <w:sz w:val="24"/>
          <w:szCs w:val="24"/>
        </w:rPr>
        <w:t xml:space="preserve"> to high-</w:t>
      </w:r>
      <w:r w:rsidR="00B974C6" w:rsidRPr="00A47D41">
        <w:rPr>
          <w:rFonts w:ascii="Times New Roman" w:hAnsi="Times New Roman" w:cs="Times New Roman"/>
          <w:sz w:val="24"/>
          <w:szCs w:val="24"/>
        </w:rPr>
        <w:t xml:space="preserve">risk markets after the </w:t>
      </w:r>
      <w:r w:rsidR="00B62831">
        <w:rPr>
          <w:rFonts w:ascii="Times New Roman" w:hAnsi="Times New Roman" w:cs="Times New Roman"/>
          <w:sz w:val="24"/>
          <w:szCs w:val="24"/>
        </w:rPr>
        <w:t>start of the crisis</w:t>
      </w:r>
      <w:r w:rsidR="00B974C6" w:rsidRPr="00A47D41">
        <w:rPr>
          <w:rFonts w:ascii="Times New Roman" w:hAnsi="Times New Roman" w:cs="Times New Roman"/>
          <w:sz w:val="24"/>
          <w:szCs w:val="24"/>
        </w:rPr>
        <w:t xml:space="preserve">, </w:t>
      </w:r>
      <w:r w:rsidR="00B62831">
        <w:rPr>
          <w:rFonts w:ascii="Times New Roman" w:hAnsi="Times New Roman" w:cs="Times New Roman"/>
          <w:sz w:val="24"/>
          <w:szCs w:val="24"/>
        </w:rPr>
        <w:t xml:space="preserve">although this </w:t>
      </w:r>
      <w:r w:rsidR="00B974C6" w:rsidRPr="00A47D41">
        <w:rPr>
          <w:rFonts w:ascii="Times New Roman" w:hAnsi="Times New Roman" w:cs="Times New Roman"/>
          <w:sz w:val="24"/>
          <w:szCs w:val="24"/>
        </w:rPr>
        <w:t>reverted back as the Eurozone crisis began.</w:t>
      </w:r>
      <w:r w:rsidR="000C76A0">
        <w:rPr>
          <w:rFonts w:ascii="Times New Roman" w:hAnsi="Times New Roman" w:cs="Times New Roman"/>
          <w:sz w:val="24"/>
          <w:szCs w:val="24"/>
        </w:rPr>
        <w:t xml:space="preserve"> </w:t>
      </w:r>
    </w:p>
    <w:p w14:paraId="51339FBA" w14:textId="26CF1F5F" w:rsidR="009D0A78" w:rsidRDefault="0086619F" w:rsidP="00F03C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w:t>
      </w:r>
      <w:r w:rsidR="000C520E">
        <w:rPr>
          <w:rFonts w:ascii="Times New Roman" w:hAnsi="Times New Roman" w:cs="Times New Roman"/>
          <w:sz w:val="24"/>
          <w:szCs w:val="24"/>
        </w:rPr>
        <w:t>we provide evidence</w:t>
      </w:r>
      <w:r w:rsidR="000C76A0" w:rsidRPr="00E86E7E">
        <w:rPr>
          <w:rFonts w:ascii="Times New Roman" w:hAnsi="Times New Roman" w:cs="Times New Roman"/>
          <w:sz w:val="24"/>
          <w:szCs w:val="24"/>
        </w:rPr>
        <w:t xml:space="preserve"> </w:t>
      </w:r>
      <w:r w:rsidR="00B62831">
        <w:rPr>
          <w:rFonts w:ascii="Times New Roman" w:hAnsi="Times New Roman" w:cs="Times New Roman"/>
          <w:sz w:val="24"/>
          <w:szCs w:val="24"/>
        </w:rPr>
        <w:t xml:space="preserve">of </w:t>
      </w:r>
      <w:r w:rsidR="000C76A0" w:rsidRPr="00E86E7E">
        <w:rPr>
          <w:rFonts w:ascii="Times New Roman" w:hAnsi="Times New Roman" w:cs="Times New Roman"/>
          <w:sz w:val="24"/>
          <w:szCs w:val="24"/>
        </w:rPr>
        <w:t>the long run co-movement disappearance</w:t>
      </w:r>
      <w:r w:rsidR="00BE4EDC" w:rsidRPr="00E86E7E">
        <w:rPr>
          <w:rFonts w:ascii="Times New Roman" w:hAnsi="Times New Roman" w:cs="Times New Roman"/>
          <w:sz w:val="24"/>
          <w:szCs w:val="24"/>
        </w:rPr>
        <w:t xml:space="preserve"> and</w:t>
      </w:r>
      <w:r w:rsidR="000C76A0" w:rsidRPr="00E86E7E">
        <w:rPr>
          <w:rFonts w:ascii="Times New Roman" w:hAnsi="Times New Roman" w:cs="Times New Roman"/>
          <w:sz w:val="24"/>
          <w:szCs w:val="24"/>
        </w:rPr>
        <w:t xml:space="preserve"> </w:t>
      </w:r>
      <w:r w:rsidR="00BE4EDC" w:rsidRPr="00E86E7E">
        <w:rPr>
          <w:rFonts w:ascii="Times New Roman" w:hAnsi="Times New Roman" w:cs="Times New Roman"/>
          <w:sz w:val="24"/>
          <w:szCs w:val="24"/>
        </w:rPr>
        <w:t xml:space="preserve">the </w:t>
      </w:r>
      <w:r w:rsidR="00B62831">
        <w:rPr>
          <w:rFonts w:ascii="Times New Roman" w:hAnsi="Times New Roman" w:cs="Times New Roman"/>
          <w:sz w:val="24"/>
          <w:szCs w:val="24"/>
        </w:rPr>
        <w:t>reversal</w:t>
      </w:r>
      <w:r w:rsidR="000C76A0" w:rsidRPr="00E86E7E">
        <w:rPr>
          <w:rFonts w:ascii="Times New Roman" w:hAnsi="Times New Roman" w:cs="Times New Roman"/>
          <w:sz w:val="24"/>
          <w:szCs w:val="24"/>
        </w:rPr>
        <w:t xml:space="preserve"> of the </w:t>
      </w:r>
      <w:proofErr w:type="spellStart"/>
      <w:r w:rsidR="000C76A0" w:rsidRPr="00E86E7E">
        <w:rPr>
          <w:rFonts w:ascii="Times New Roman" w:hAnsi="Times New Roman" w:cs="Times New Roman"/>
          <w:sz w:val="24"/>
          <w:szCs w:val="24"/>
        </w:rPr>
        <w:t>spillover</w:t>
      </w:r>
      <w:proofErr w:type="spellEnd"/>
      <w:r w:rsidR="000C76A0" w:rsidRPr="00E86E7E">
        <w:rPr>
          <w:rFonts w:ascii="Times New Roman" w:hAnsi="Times New Roman" w:cs="Times New Roman"/>
          <w:sz w:val="24"/>
          <w:szCs w:val="24"/>
        </w:rPr>
        <w:t xml:space="preserve"> effects in both return and volatility processes</w:t>
      </w:r>
      <w:r w:rsidR="00B62831">
        <w:rPr>
          <w:rFonts w:ascii="Times New Roman" w:hAnsi="Times New Roman" w:cs="Times New Roman"/>
          <w:sz w:val="24"/>
          <w:szCs w:val="24"/>
        </w:rPr>
        <w:t xml:space="preserve">. This </w:t>
      </w:r>
      <w:r w:rsidR="00BE4EDC" w:rsidRPr="00E86E7E">
        <w:rPr>
          <w:rFonts w:ascii="Times New Roman" w:hAnsi="Times New Roman" w:cs="Times New Roman"/>
          <w:sz w:val="24"/>
          <w:szCs w:val="24"/>
        </w:rPr>
        <w:t>suggest</w:t>
      </w:r>
      <w:r w:rsidR="00B62831">
        <w:rPr>
          <w:rFonts w:ascii="Times New Roman" w:hAnsi="Times New Roman" w:cs="Times New Roman"/>
          <w:sz w:val="24"/>
          <w:szCs w:val="24"/>
        </w:rPr>
        <w:t>s</w:t>
      </w:r>
      <w:r w:rsidR="00BE4EDC" w:rsidRPr="00E86E7E">
        <w:rPr>
          <w:rFonts w:ascii="Times New Roman" w:hAnsi="Times New Roman" w:cs="Times New Roman"/>
          <w:sz w:val="24"/>
          <w:szCs w:val="24"/>
        </w:rPr>
        <w:t xml:space="preserve"> changes in </w:t>
      </w:r>
      <w:r w:rsidR="000C76A0" w:rsidRPr="00E86E7E">
        <w:rPr>
          <w:rFonts w:ascii="Times New Roman" w:hAnsi="Times New Roman" w:cs="Times New Roman"/>
          <w:sz w:val="24"/>
          <w:szCs w:val="24"/>
        </w:rPr>
        <w:t xml:space="preserve">information transmission flows </w:t>
      </w:r>
      <w:r w:rsidR="00B62831">
        <w:rPr>
          <w:rFonts w:ascii="Times New Roman" w:hAnsi="Times New Roman" w:cs="Times New Roman"/>
          <w:sz w:val="24"/>
          <w:szCs w:val="24"/>
        </w:rPr>
        <w:t xml:space="preserve">between </w:t>
      </w:r>
      <w:r w:rsidR="000C76A0" w:rsidRPr="00E86E7E">
        <w:rPr>
          <w:rFonts w:ascii="Times New Roman" w:hAnsi="Times New Roman" w:cs="Times New Roman"/>
          <w:sz w:val="24"/>
          <w:szCs w:val="24"/>
        </w:rPr>
        <w:t>market</w:t>
      </w:r>
      <w:r w:rsidR="00B62831">
        <w:rPr>
          <w:rFonts w:ascii="Times New Roman" w:hAnsi="Times New Roman" w:cs="Times New Roman"/>
          <w:sz w:val="24"/>
          <w:szCs w:val="24"/>
        </w:rPr>
        <w:t>s due to enhanced risk arising from the influx of news and adding a layer of complexity in decision-making.</w:t>
      </w:r>
      <w:r w:rsidR="000C76A0" w:rsidRPr="00E86E7E">
        <w:rPr>
          <w:rFonts w:ascii="Times New Roman" w:hAnsi="Times New Roman" w:cs="Times New Roman"/>
          <w:sz w:val="24"/>
          <w:szCs w:val="24"/>
        </w:rPr>
        <w:t xml:space="preserve"> </w:t>
      </w:r>
      <w:r w:rsidR="00B62831">
        <w:rPr>
          <w:rFonts w:ascii="Times New Roman" w:hAnsi="Times New Roman" w:cs="Times New Roman"/>
          <w:sz w:val="24"/>
          <w:szCs w:val="24"/>
        </w:rPr>
        <w:t xml:space="preserve">Our results also suggest that while an understandable reaction by regulatory authorities, </w:t>
      </w:r>
      <w:r w:rsidR="000C76A0" w:rsidRPr="00E86E7E">
        <w:rPr>
          <w:rFonts w:ascii="Times New Roman" w:hAnsi="Times New Roman" w:cs="Times New Roman"/>
          <w:sz w:val="24"/>
          <w:szCs w:val="24"/>
        </w:rPr>
        <w:t xml:space="preserve">the short selling ban </w:t>
      </w:r>
      <w:r w:rsidR="00B62831">
        <w:rPr>
          <w:rFonts w:ascii="Times New Roman" w:hAnsi="Times New Roman" w:cs="Times New Roman"/>
          <w:sz w:val="24"/>
          <w:szCs w:val="24"/>
        </w:rPr>
        <w:t xml:space="preserve">had little effect in mitigating </w:t>
      </w:r>
      <w:r w:rsidR="000C76A0" w:rsidRPr="00E86E7E">
        <w:rPr>
          <w:rFonts w:ascii="Times New Roman" w:hAnsi="Times New Roman" w:cs="Times New Roman"/>
          <w:sz w:val="24"/>
          <w:szCs w:val="24"/>
        </w:rPr>
        <w:t xml:space="preserve">the distorting effects </w:t>
      </w:r>
      <w:r w:rsidR="00B62831">
        <w:rPr>
          <w:rFonts w:ascii="Times New Roman" w:hAnsi="Times New Roman" w:cs="Times New Roman"/>
          <w:sz w:val="24"/>
          <w:szCs w:val="24"/>
        </w:rPr>
        <w:t xml:space="preserve">that began with the collapse of Lehman’s. Arguably, while </w:t>
      </w:r>
      <w:r w:rsidR="00B60F6A" w:rsidRPr="00E86E7E">
        <w:rPr>
          <w:rFonts w:ascii="Times New Roman" w:hAnsi="Times New Roman" w:cs="Times New Roman"/>
          <w:sz w:val="24"/>
          <w:szCs w:val="24"/>
        </w:rPr>
        <w:t>th</w:t>
      </w:r>
      <w:r w:rsidR="00B62831">
        <w:rPr>
          <w:rFonts w:ascii="Times New Roman" w:hAnsi="Times New Roman" w:cs="Times New Roman"/>
          <w:sz w:val="24"/>
          <w:szCs w:val="24"/>
        </w:rPr>
        <w:t xml:space="preserve">e </w:t>
      </w:r>
      <w:r w:rsidR="00B60F6A" w:rsidRPr="00E86E7E">
        <w:rPr>
          <w:rFonts w:ascii="Times New Roman" w:hAnsi="Times New Roman" w:cs="Times New Roman"/>
          <w:sz w:val="24"/>
          <w:szCs w:val="24"/>
        </w:rPr>
        <w:t>crisis is closely related to the speculative trading in high-risk derivatives like CDS</w:t>
      </w:r>
      <w:r w:rsidR="000C520E">
        <w:rPr>
          <w:rFonts w:ascii="Times New Roman" w:hAnsi="Times New Roman" w:cs="Times New Roman"/>
          <w:sz w:val="24"/>
          <w:szCs w:val="24"/>
        </w:rPr>
        <w:t>/CDOs</w:t>
      </w:r>
      <w:r w:rsidR="00B62831">
        <w:rPr>
          <w:rFonts w:ascii="Times New Roman" w:hAnsi="Times New Roman" w:cs="Times New Roman"/>
          <w:sz w:val="24"/>
          <w:szCs w:val="24"/>
        </w:rPr>
        <w:t xml:space="preserve">, </w:t>
      </w:r>
      <w:r w:rsidR="00B60F6A" w:rsidRPr="00E86E7E">
        <w:rPr>
          <w:rFonts w:ascii="Times New Roman" w:hAnsi="Times New Roman" w:cs="Times New Roman"/>
          <w:sz w:val="24"/>
          <w:szCs w:val="24"/>
        </w:rPr>
        <w:t>t</w:t>
      </w:r>
      <w:r w:rsidR="000C76A0" w:rsidRPr="00E86E7E">
        <w:rPr>
          <w:rFonts w:ascii="Times New Roman" w:hAnsi="Times New Roman" w:cs="Times New Roman"/>
          <w:sz w:val="24"/>
          <w:szCs w:val="24"/>
        </w:rPr>
        <w:t>he regulator</w:t>
      </w:r>
      <w:r w:rsidR="00B60F6A" w:rsidRPr="00E86E7E">
        <w:rPr>
          <w:rFonts w:ascii="Times New Roman" w:hAnsi="Times New Roman" w:cs="Times New Roman"/>
          <w:sz w:val="24"/>
          <w:szCs w:val="24"/>
        </w:rPr>
        <w:t>s were left with no better choices but to i</w:t>
      </w:r>
      <w:r w:rsidR="000C76A0" w:rsidRPr="00E86E7E">
        <w:rPr>
          <w:rFonts w:ascii="Times New Roman" w:hAnsi="Times New Roman" w:cs="Times New Roman"/>
          <w:sz w:val="24"/>
          <w:szCs w:val="24"/>
        </w:rPr>
        <w:t>mpose the ban</w:t>
      </w:r>
      <w:r w:rsidR="00B60F6A" w:rsidRPr="00E86E7E">
        <w:rPr>
          <w:rFonts w:ascii="Times New Roman" w:hAnsi="Times New Roman" w:cs="Times New Roman"/>
          <w:sz w:val="24"/>
          <w:szCs w:val="24"/>
        </w:rPr>
        <w:t xml:space="preserve"> primarily </w:t>
      </w:r>
      <w:r w:rsidR="00B62831">
        <w:rPr>
          <w:rFonts w:ascii="Times New Roman" w:hAnsi="Times New Roman" w:cs="Times New Roman"/>
          <w:sz w:val="24"/>
          <w:szCs w:val="24"/>
        </w:rPr>
        <w:t xml:space="preserve">on </w:t>
      </w:r>
      <w:r w:rsidR="00B60F6A" w:rsidRPr="00E86E7E">
        <w:rPr>
          <w:rFonts w:ascii="Times New Roman" w:hAnsi="Times New Roman" w:cs="Times New Roman"/>
          <w:sz w:val="24"/>
          <w:szCs w:val="24"/>
        </w:rPr>
        <w:t>equities</w:t>
      </w:r>
      <w:r w:rsidR="00B62831">
        <w:rPr>
          <w:rFonts w:ascii="Times New Roman" w:hAnsi="Times New Roman" w:cs="Times New Roman"/>
          <w:sz w:val="24"/>
          <w:szCs w:val="24"/>
        </w:rPr>
        <w:t xml:space="preserve"> and thus perhaps the wrong asset class.</w:t>
      </w:r>
      <w:r w:rsidR="000C76A0">
        <w:rPr>
          <w:rFonts w:ascii="Times New Roman" w:hAnsi="Times New Roman" w:cs="Times New Roman"/>
          <w:sz w:val="24"/>
          <w:szCs w:val="24"/>
        </w:rPr>
        <w:t xml:space="preserve"> </w:t>
      </w:r>
      <w:r>
        <w:rPr>
          <w:rFonts w:ascii="Times New Roman" w:hAnsi="Times New Roman" w:cs="Times New Roman"/>
          <w:sz w:val="24"/>
          <w:szCs w:val="24"/>
        </w:rPr>
        <w:t xml:space="preserve">Hence, </w:t>
      </w:r>
      <w:r w:rsidR="000E295F">
        <w:rPr>
          <w:rFonts w:ascii="Times New Roman" w:hAnsi="Times New Roman" w:cs="Times New Roman"/>
          <w:sz w:val="24"/>
          <w:szCs w:val="24"/>
        </w:rPr>
        <w:t>market distortions remained.</w:t>
      </w:r>
    </w:p>
    <w:p w14:paraId="0661F620" w14:textId="77777777" w:rsidR="00617A95" w:rsidRPr="00A47D41" w:rsidRDefault="00617A95" w:rsidP="00B62831">
      <w:pPr>
        <w:spacing w:after="0" w:line="480" w:lineRule="auto"/>
        <w:jc w:val="both"/>
        <w:rPr>
          <w:rFonts w:ascii="Times New Roman" w:hAnsi="Times New Roman" w:cs="Times New Roman"/>
          <w:sz w:val="24"/>
          <w:szCs w:val="24"/>
        </w:rPr>
      </w:pPr>
    </w:p>
    <w:p w14:paraId="772BEA23" w14:textId="22944295" w:rsidR="009D0A78" w:rsidRPr="00A47D41" w:rsidRDefault="009D0A78" w:rsidP="00F03CE7">
      <w:pPr>
        <w:spacing w:after="0" w:line="480" w:lineRule="auto"/>
        <w:rPr>
          <w:rFonts w:ascii="Times New Roman" w:hAnsi="Times New Roman" w:cs="Times New Roman"/>
          <w:b/>
          <w:sz w:val="24"/>
          <w:szCs w:val="24"/>
        </w:rPr>
      </w:pPr>
      <w:r w:rsidRPr="00A47D41">
        <w:rPr>
          <w:rFonts w:ascii="Times New Roman" w:hAnsi="Times New Roman" w:cs="Times New Roman"/>
          <w:b/>
          <w:sz w:val="24"/>
          <w:szCs w:val="24"/>
        </w:rPr>
        <w:t>2. Related Literature</w:t>
      </w:r>
      <w:r w:rsidR="00D8491C">
        <w:rPr>
          <w:rFonts w:ascii="Times New Roman" w:hAnsi="Times New Roman" w:cs="Times New Roman"/>
          <w:b/>
          <w:sz w:val="24"/>
          <w:szCs w:val="24"/>
        </w:rPr>
        <w:t>.</w:t>
      </w:r>
    </w:p>
    <w:p w14:paraId="2C3B4F54" w14:textId="0287D7CA" w:rsidR="00794EE0" w:rsidRDefault="00070E3B" w:rsidP="001A0F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paper seeks to examine how information transmission is affected </w:t>
      </w:r>
      <w:r w:rsidR="00C70A5B">
        <w:rPr>
          <w:rFonts w:ascii="Times New Roman" w:hAnsi="Times New Roman" w:cs="Times New Roman"/>
          <w:sz w:val="24"/>
          <w:szCs w:val="24"/>
        </w:rPr>
        <w:t xml:space="preserve">by </w:t>
      </w:r>
      <w:r w:rsidR="00807B8B">
        <w:rPr>
          <w:rFonts w:ascii="Times New Roman" w:hAnsi="Times New Roman" w:cs="Times New Roman"/>
          <w:sz w:val="24"/>
          <w:szCs w:val="24"/>
        </w:rPr>
        <w:t xml:space="preserve">conditions of </w:t>
      </w:r>
      <w:r>
        <w:rPr>
          <w:rFonts w:ascii="Times New Roman" w:hAnsi="Times New Roman" w:cs="Times New Roman"/>
          <w:sz w:val="24"/>
          <w:szCs w:val="24"/>
        </w:rPr>
        <w:t>market stress and</w:t>
      </w:r>
      <w:r w:rsidR="00EE3CE8">
        <w:rPr>
          <w:rFonts w:ascii="Times New Roman" w:hAnsi="Times New Roman" w:cs="Times New Roman"/>
          <w:sz w:val="24"/>
          <w:szCs w:val="24"/>
        </w:rPr>
        <w:t>,</w:t>
      </w:r>
      <w:r>
        <w:rPr>
          <w:rFonts w:ascii="Times New Roman" w:hAnsi="Times New Roman" w:cs="Times New Roman"/>
          <w:sz w:val="24"/>
          <w:szCs w:val="24"/>
        </w:rPr>
        <w:t xml:space="preserve"> in particular</w:t>
      </w:r>
      <w:r w:rsidR="00EE3CE8">
        <w:rPr>
          <w:rFonts w:ascii="Times New Roman" w:hAnsi="Times New Roman" w:cs="Times New Roman"/>
          <w:sz w:val="24"/>
          <w:szCs w:val="24"/>
        </w:rPr>
        <w:t>,</w:t>
      </w:r>
      <w:r>
        <w:rPr>
          <w:rFonts w:ascii="Times New Roman" w:hAnsi="Times New Roman" w:cs="Times New Roman"/>
          <w:sz w:val="24"/>
          <w:szCs w:val="24"/>
        </w:rPr>
        <w:t xml:space="preserve"> the events surrounding the </w:t>
      </w:r>
      <w:r w:rsidR="003E0DDE">
        <w:rPr>
          <w:rFonts w:ascii="Times New Roman" w:hAnsi="Times New Roman" w:cs="Times New Roman"/>
          <w:sz w:val="24"/>
          <w:szCs w:val="24"/>
        </w:rPr>
        <w:t xml:space="preserve">bankruptcy of </w:t>
      </w:r>
      <w:r>
        <w:rPr>
          <w:rFonts w:ascii="Times New Roman" w:hAnsi="Times New Roman" w:cs="Times New Roman"/>
          <w:sz w:val="24"/>
          <w:szCs w:val="24"/>
        </w:rPr>
        <w:t>Lehman</w:t>
      </w:r>
      <w:r w:rsidR="00C70A5B">
        <w:rPr>
          <w:rFonts w:ascii="Times New Roman" w:hAnsi="Times New Roman" w:cs="Times New Roman"/>
          <w:sz w:val="24"/>
          <w:szCs w:val="24"/>
        </w:rPr>
        <w:t xml:space="preserve"> </w:t>
      </w:r>
      <w:r w:rsidR="00CF36B1">
        <w:rPr>
          <w:rFonts w:ascii="Times New Roman" w:hAnsi="Times New Roman" w:cs="Times New Roman"/>
          <w:sz w:val="24"/>
          <w:szCs w:val="24"/>
        </w:rPr>
        <w:t>Brothers</w:t>
      </w:r>
      <w:r w:rsidR="007D6197">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70A5B">
        <w:rPr>
          <w:rFonts w:ascii="Times New Roman" w:hAnsi="Times New Roman" w:cs="Times New Roman"/>
          <w:sz w:val="24"/>
          <w:szCs w:val="24"/>
        </w:rPr>
        <w:t xml:space="preserve">subsequent introduction of </w:t>
      </w:r>
      <w:r>
        <w:rPr>
          <w:rFonts w:ascii="Times New Roman" w:hAnsi="Times New Roman" w:cs="Times New Roman"/>
          <w:sz w:val="24"/>
          <w:szCs w:val="24"/>
        </w:rPr>
        <w:t xml:space="preserve">short selling </w:t>
      </w:r>
      <w:r w:rsidR="00C70A5B">
        <w:rPr>
          <w:rFonts w:ascii="Times New Roman" w:hAnsi="Times New Roman" w:cs="Times New Roman"/>
          <w:sz w:val="24"/>
          <w:szCs w:val="24"/>
        </w:rPr>
        <w:t>restrictions</w:t>
      </w:r>
      <w:r w:rsidR="007D6197">
        <w:rPr>
          <w:rFonts w:ascii="Times New Roman" w:hAnsi="Times New Roman" w:cs="Times New Roman"/>
          <w:sz w:val="24"/>
          <w:szCs w:val="24"/>
        </w:rPr>
        <w:t xml:space="preserve"> and other policy measures</w:t>
      </w:r>
      <w:r>
        <w:rPr>
          <w:rFonts w:ascii="Times New Roman" w:hAnsi="Times New Roman" w:cs="Times New Roman"/>
          <w:sz w:val="24"/>
          <w:szCs w:val="24"/>
        </w:rPr>
        <w:t xml:space="preserve">. Therefore, </w:t>
      </w:r>
      <w:r w:rsidR="006B28A7">
        <w:rPr>
          <w:rFonts w:ascii="Times New Roman" w:hAnsi="Times New Roman" w:cs="Times New Roman"/>
          <w:sz w:val="24"/>
          <w:szCs w:val="24"/>
        </w:rPr>
        <w:t xml:space="preserve">we </w:t>
      </w:r>
      <w:r w:rsidR="007D6197">
        <w:rPr>
          <w:rFonts w:ascii="Times New Roman" w:hAnsi="Times New Roman" w:cs="Times New Roman"/>
          <w:sz w:val="24"/>
          <w:szCs w:val="24"/>
        </w:rPr>
        <w:t xml:space="preserve">briefly consider </w:t>
      </w:r>
      <w:r>
        <w:rPr>
          <w:rFonts w:ascii="Times New Roman" w:hAnsi="Times New Roman" w:cs="Times New Roman"/>
          <w:sz w:val="24"/>
          <w:szCs w:val="24"/>
        </w:rPr>
        <w:t xml:space="preserve">the existing literature on information transmission </w:t>
      </w:r>
      <w:r w:rsidR="007D6197">
        <w:rPr>
          <w:rFonts w:ascii="Times New Roman" w:hAnsi="Times New Roman" w:cs="Times New Roman"/>
          <w:sz w:val="24"/>
          <w:szCs w:val="24"/>
        </w:rPr>
        <w:t xml:space="preserve">and the effect of </w:t>
      </w:r>
      <w:r w:rsidR="00C70A5B">
        <w:rPr>
          <w:rFonts w:ascii="Times New Roman" w:hAnsi="Times New Roman" w:cs="Times New Roman"/>
          <w:sz w:val="24"/>
          <w:szCs w:val="24"/>
        </w:rPr>
        <w:t>crises</w:t>
      </w:r>
      <w:r>
        <w:rPr>
          <w:rFonts w:ascii="Times New Roman" w:hAnsi="Times New Roman" w:cs="Times New Roman"/>
          <w:sz w:val="24"/>
          <w:szCs w:val="24"/>
        </w:rPr>
        <w:t xml:space="preserve">. </w:t>
      </w:r>
    </w:p>
    <w:p w14:paraId="581C39D7" w14:textId="34ED93B6" w:rsidR="003427E0" w:rsidRDefault="007D6197" w:rsidP="00F03CE7">
      <w:pPr>
        <w:spacing w:after="0" w:line="480" w:lineRule="auto"/>
        <w:ind w:firstLine="720"/>
        <w:jc w:val="both"/>
        <w:rPr>
          <w:rFonts w:ascii="Times New Roman" w:hAnsi="Times New Roman" w:cs="Times New Roman"/>
          <w:sz w:val="24"/>
          <w:szCs w:val="24"/>
        </w:rPr>
      </w:pPr>
      <w:r>
        <w:rPr>
          <w:rFonts w:ascii="Times New Roman" w:hAnsi="Times New Roman"/>
          <w:sz w:val="24"/>
          <w:szCs w:val="24"/>
        </w:rPr>
        <w:t>T</w:t>
      </w:r>
      <w:r w:rsidR="003427E0">
        <w:rPr>
          <w:rFonts w:ascii="Times New Roman" w:hAnsi="Times New Roman"/>
          <w:sz w:val="24"/>
          <w:szCs w:val="24"/>
        </w:rPr>
        <w:t xml:space="preserve">he empirical literature </w:t>
      </w:r>
      <w:r>
        <w:rPr>
          <w:rFonts w:ascii="Times New Roman" w:hAnsi="Times New Roman"/>
          <w:sz w:val="24"/>
          <w:szCs w:val="24"/>
        </w:rPr>
        <w:t xml:space="preserve">on information transmission </w:t>
      </w:r>
      <w:r w:rsidR="003427E0">
        <w:rPr>
          <w:rFonts w:ascii="Times New Roman" w:hAnsi="Times New Roman"/>
          <w:sz w:val="24"/>
          <w:szCs w:val="24"/>
        </w:rPr>
        <w:t xml:space="preserve">has identified the existence of </w:t>
      </w:r>
      <w:r>
        <w:rPr>
          <w:rFonts w:ascii="Times New Roman" w:hAnsi="Times New Roman"/>
          <w:sz w:val="24"/>
          <w:szCs w:val="24"/>
        </w:rPr>
        <w:t xml:space="preserve">both mean and variance </w:t>
      </w:r>
      <w:proofErr w:type="spellStart"/>
      <w:r w:rsidR="003427E0">
        <w:rPr>
          <w:rFonts w:ascii="Times New Roman" w:hAnsi="Times New Roman"/>
          <w:sz w:val="24"/>
          <w:szCs w:val="24"/>
        </w:rPr>
        <w:t>spillovers</w:t>
      </w:r>
      <w:proofErr w:type="spellEnd"/>
      <w:r w:rsidR="003427E0">
        <w:rPr>
          <w:rFonts w:ascii="Times New Roman" w:hAnsi="Times New Roman"/>
          <w:sz w:val="24"/>
          <w:szCs w:val="24"/>
        </w:rPr>
        <w:t xml:space="preserve"> between markets. </w:t>
      </w:r>
      <w:proofErr w:type="spellStart"/>
      <w:r w:rsidR="003427E0" w:rsidRPr="00A01815">
        <w:rPr>
          <w:rFonts w:ascii="Times New Roman" w:hAnsi="Times New Roman" w:cs="Times New Roman"/>
          <w:sz w:val="24"/>
          <w:szCs w:val="24"/>
        </w:rPr>
        <w:t>Koutmos</w:t>
      </w:r>
      <w:proofErr w:type="spellEnd"/>
      <w:r w:rsidR="003427E0" w:rsidRPr="00A01815">
        <w:rPr>
          <w:rFonts w:ascii="Times New Roman" w:hAnsi="Times New Roman" w:cs="Times New Roman"/>
          <w:sz w:val="24"/>
          <w:szCs w:val="24"/>
        </w:rPr>
        <w:t xml:space="preserve"> </w:t>
      </w:r>
      <w:r w:rsidR="003427E0">
        <w:rPr>
          <w:rFonts w:ascii="Times New Roman" w:hAnsi="Times New Roman" w:cs="Times New Roman"/>
          <w:sz w:val="24"/>
          <w:szCs w:val="24"/>
        </w:rPr>
        <w:t>and</w:t>
      </w:r>
      <w:r w:rsidR="003427E0" w:rsidRPr="00A01815">
        <w:rPr>
          <w:rFonts w:ascii="Times New Roman" w:hAnsi="Times New Roman" w:cs="Times New Roman"/>
          <w:sz w:val="24"/>
          <w:szCs w:val="24"/>
        </w:rPr>
        <w:t xml:space="preserve"> Booth (1995) stud</w:t>
      </w:r>
      <w:r>
        <w:rPr>
          <w:rFonts w:ascii="Times New Roman" w:hAnsi="Times New Roman" w:cs="Times New Roman"/>
          <w:sz w:val="24"/>
          <w:szCs w:val="24"/>
        </w:rPr>
        <w:t>y</w:t>
      </w:r>
      <w:r w:rsidR="003427E0" w:rsidRPr="00A01815">
        <w:rPr>
          <w:rFonts w:ascii="Times New Roman" w:hAnsi="Times New Roman" w:cs="Times New Roman"/>
          <w:sz w:val="24"/>
          <w:szCs w:val="24"/>
        </w:rPr>
        <w:t xml:space="preserve"> </w:t>
      </w:r>
      <w:r w:rsidR="003427E0">
        <w:rPr>
          <w:rFonts w:ascii="Times New Roman" w:hAnsi="Times New Roman" w:cs="Times New Roman"/>
          <w:sz w:val="24"/>
          <w:szCs w:val="24"/>
        </w:rPr>
        <w:t xml:space="preserve">the </w:t>
      </w:r>
      <w:r w:rsidR="003427E0" w:rsidRPr="00A01815">
        <w:rPr>
          <w:rFonts w:ascii="Times New Roman" w:hAnsi="Times New Roman" w:cs="Times New Roman"/>
          <w:sz w:val="24"/>
          <w:szCs w:val="24"/>
        </w:rPr>
        <w:t xml:space="preserve">transmission mechanism of price and volatility </w:t>
      </w:r>
      <w:proofErr w:type="spellStart"/>
      <w:r w:rsidR="003427E0" w:rsidRPr="00A01815">
        <w:rPr>
          <w:rFonts w:ascii="Times New Roman" w:hAnsi="Times New Roman" w:cs="Times New Roman"/>
          <w:sz w:val="24"/>
          <w:szCs w:val="24"/>
        </w:rPr>
        <w:t>spillovers</w:t>
      </w:r>
      <w:proofErr w:type="spellEnd"/>
      <w:r w:rsidR="003427E0" w:rsidRPr="00A01815">
        <w:rPr>
          <w:rFonts w:ascii="Times New Roman" w:hAnsi="Times New Roman" w:cs="Times New Roman"/>
          <w:sz w:val="24"/>
          <w:szCs w:val="24"/>
        </w:rPr>
        <w:t xml:space="preserve"> across the </w:t>
      </w:r>
      <w:r>
        <w:rPr>
          <w:rFonts w:ascii="Times New Roman" w:hAnsi="Times New Roman" w:cs="Times New Roman"/>
          <w:sz w:val="24"/>
          <w:szCs w:val="24"/>
        </w:rPr>
        <w:t xml:space="preserve">stock markets of </w:t>
      </w:r>
      <w:r w:rsidR="003427E0" w:rsidRPr="00A01815">
        <w:rPr>
          <w:rFonts w:ascii="Times New Roman" w:hAnsi="Times New Roman" w:cs="Times New Roman"/>
          <w:sz w:val="24"/>
          <w:szCs w:val="24"/>
        </w:rPr>
        <w:t>New York, Tokyo and London</w:t>
      </w:r>
      <w:r w:rsidR="00211816">
        <w:rPr>
          <w:rFonts w:ascii="Times New Roman" w:hAnsi="Times New Roman" w:cs="Times New Roman"/>
          <w:sz w:val="24"/>
          <w:szCs w:val="24"/>
        </w:rPr>
        <w:t>.</w:t>
      </w:r>
      <w:r w:rsidR="003427E0" w:rsidRPr="00A01815">
        <w:rPr>
          <w:rFonts w:ascii="Times New Roman" w:hAnsi="Times New Roman" w:cs="Times New Roman"/>
          <w:sz w:val="24"/>
          <w:szCs w:val="24"/>
        </w:rPr>
        <w:t xml:space="preserve"> Their EGARCH model</w:t>
      </w:r>
      <w:r w:rsidR="003427E0">
        <w:rPr>
          <w:rFonts w:ascii="Times New Roman" w:hAnsi="Times New Roman" w:cs="Times New Roman"/>
          <w:sz w:val="24"/>
          <w:szCs w:val="24"/>
        </w:rPr>
        <w:t>l</w:t>
      </w:r>
      <w:r w:rsidR="003427E0" w:rsidRPr="00A01815">
        <w:rPr>
          <w:rFonts w:ascii="Times New Roman" w:hAnsi="Times New Roman" w:cs="Times New Roman"/>
          <w:sz w:val="24"/>
          <w:szCs w:val="24"/>
        </w:rPr>
        <w:t xml:space="preserve">ing </w:t>
      </w:r>
      <w:r w:rsidR="003427E0">
        <w:rPr>
          <w:rFonts w:ascii="Times New Roman" w:hAnsi="Times New Roman" w:cs="Times New Roman"/>
          <w:sz w:val="24"/>
          <w:szCs w:val="24"/>
        </w:rPr>
        <w:t xml:space="preserve">approach </w:t>
      </w:r>
      <w:r w:rsidR="003427E0" w:rsidRPr="00A01815">
        <w:rPr>
          <w:rFonts w:ascii="Times New Roman" w:hAnsi="Times New Roman" w:cs="Times New Roman"/>
          <w:sz w:val="24"/>
          <w:szCs w:val="24"/>
        </w:rPr>
        <w:t>suggest</w:t>
      </w:r>
      <w:r w:rsidR="003427E0">
        <w:rPr>
          <w:rFonts w:ascii="Times New Roman" w:hAnsi="Times New Roman" w:cs="Times New Roman"/>
          <w:sz w:val="24"/>
          <w:szCs w:val="24"/>
        </w:rPr>
        <w:t>s that</w:t>
      </w:r>
      <w:r w:rsidR="003427E0" w:rsidRPr="00A01815">
        <w:rPr>
          <w:rFonts w:ascii="Times New Roman" w:hAnsi="Times New Roman" w:cs="Times New Roman"/>
          <w:sz w:val="24"/>
          <w:szCs w:val="24"/>
        </w:rPr>
        <w:t xml:space="preserve"> good and bad news impact</w:t>
      </w:r>
      <w:r w:rsidR="003427E0">
        <w:rPr>
          <w:rFonts w:ascii="Times New Roman" w:hAnsi="Times New Roman" w:cs="Times New Roman"/>
          <w:sz w:val="24"/>
          <w:szCs w:val="24"/>
        </w:rPr>
        <w:t>s</w:t>
      </w:r>
      <w:r w:rsidR="003427E0" w:rsidRPr="00A01815">
        <w:rPr>
          <w:rFonts w:ascii="Times New Roman" w:hAnsi="Times New Roman" w:cs="Times New Roman"/>
          <w:sz w:val="24"/>
          <w:szCs w:val="24"/>
        </w:rPr>
        <w:t xml:space="preserve"> the daily </w:t>
      </w:r>
      <w:r w:rsidR="003427E0">
        <w:rPr>
          <w:rFonts w:ascii="Times New Roman" w:hAnsi="Times New Roman" w:cs="Times New Roman"/>
          <w:sz w:val="24"/>
          <w:szCs w:val="24"/>
        </w:rPr>
        <w:t xml:space="preserve">market </w:t>
      </w:r>
      <w:r w:rsidR="003427E0" w:rsidRPr="00A01815">
        <w:rPr>
          <w:rFonts w:ascii="Times New Roman" w:hAnsi="Times New Roman" w:cs="Times New Roman"/>
          <w:sz w:val="24"/>
          <w:szCs w:val="24"/>
        </w:rPr>
        <w:t xml:space="preserve">returns asymmetrically. In particular, volatility </w:t>
      </w:r>
      <w:proofErr w:type="spellStart"/>
      <w:r w:rsidR="003427E0" w:rsidRPr="00A01815">
        <w:rPr>
          <w:rFonts w:ascii="Times New Roman" w:hAnsi="Times New Roman" w:cs="Times New Roman"/>
          <w:sz w:val="24"/>
          <w:szCs w:val="24"/>
        </w:rPr>
        <w:t>spillover</w:t>
      </w:r>
      <w:r>
        <w:rPr>
          <w:rFonts w:ascii="Times New Roman" w:hAnsi="Times New Roman" w:cs="Times New Roman"/>
          <w:sz w:val="24"/>
          <w:szCs w:val="24"/>
        </w:rPr>
        <w:t>s</w:t>
      </w:r>
      <w:proofErr w:type="spellEnd"/>
      <w:r>
        <w:rPr>
          <w:rFonts w:ascii="Times New Roman" w:hAnsi="Times New Roman" w:cs="Times New Roman"/>
          <w:sz w:val="24"/>
          <w:szCs w:val="24"/>
        </w:rPr>
        <w:t xml:space="preserve"> are</w:t>
      </w:r>
      <w:r w:rsidR="003427E0" w:rsidRPr="00A01815">
        <w:rPr>
          <w:rFonts w:ascii="Times New Roman" w:hAnsi="Times New Roman" w:cs="Times New Roman"/>
          <w:sz w:val="24"/>
          <w:szCs w:val="24"/>
        </w:rPr>
        <w:t xml:space="preserve"> strongly affected by </w:t>
      </w:r>
      <w:r>
        <w:rPr>
          <w:rFonts w:ascii="Times New Roman" w:hAnsi="Times New Roman" w:cs="Times New Roman"/>
          <w:sz w:val="24"/>
          <w:szCs w:val="24"/>
        </w:rPr>
        <w:t xml:space="preserve">a </w:t>
      </w:r>
      <w:r w:rsidR="003427E0" w:rsidRPr="00A01815">
        <w:rPr>
          <w:rFonts w:ascii="Times New Roman" w:hAnsi="Times New Roman" w:cs="Times New Roman"/>
          <w:sz w:val="24"/>
          <w:szCs w:val="24"/>
        </w:rPr>
        <w:t xml:space="preserve">sequence of news arrivals </w:t>
      </w:r>
      <w:r>
        <w:rPr>
          <w:rFonts w:ascii="Times New Roman" w:hAnsi="Times New Roman" w:cs="Times New Roman"/>
          <w:sz w:val="24"/>
          <w:szCs w:val="24"/>
        </w:rPr>
        <w:t xml:space="preserve">across </w:t>
      </w:r>
      <w:r w:rsidR="003427E0" w:rsidRPr="00A01815">
        <w:rPr>
          <w:rFonts w:ascii="Times New Roman" w:hAnsi="Times New Roman" w:cs="Times New Roman"/>
          <w:sz w:val="24"/>
          <w:szCs w:val="24"/>
        </w:rPr>
        <w:t>different markets. They also argue that significant market information event</w:t>
      </w:r>
      <w:r>
        <w:rPr>
          <w:rFonts w:ascii="Times New Roman" w:hAnsi="Times New Roman" w:cs="Times New Roman"/>
          <w:sz w:val="24"/>
          <w:szCs w:val="24"/>
        </w:rPr>
        <w:t>s,</w:t>
      </w:r>
      <w:r w:rsidR="003427E0" w:rsidRPr="00A01815">
        <w:rPr>
          <w:rFonts w:ascii="Times New Roman" w:hAnsi="Times New Roman" w:cs="Times New Roman"/>
          <w:sz w:val="24"/>
          <w:szCs w:val="24"/>
        </w:rPr>
        <w:t xml:space="preserve"> such as the 1987 crisis</w:t>
      </w:r>
      <w:r>
        <w:rPr>
          <w:rFonts w:ascii="Times New Roman" w:hAnsi="Times New Roman" w:cs="Times New Roman"/>
          <w:sz w:val="24"/>
          <w:szCs w:val="24"/>
        </w:rPr>
        <w:t xml:space="preserve">, leads to an </w:t>
      </w:r>
      <w:r w:rsidR="003427E0" w:rsidRPr="00A01815">
        <w:rPr>
          <w:rFonts w:ascii="Times New Roman" w:hAnsi="Times New Roman" w:cs="Times New Roman"/>
          <w:sz w:val="24"/>
          <w:szCs w:val="24"/>
        </w:rPr>
        <w:t xml:space="preserve">increase </w:t>
      </w:r>
      <w:r>
        <w:rPr>
          <w:rFonts w:ascii="Times New Roman" w:hAnsi="Times New Roman" w:cs="Times New Roman"/>
          <w:sz w:val="24"/>
          <w:szCs w:val="24"/>
        </w:rPr>
        <w:t xml:space="preserve">in </w:t>
      </w:r>
      <w:r w:rsidR="003427E0" w:rsidRPr="00A01815">
        <w:rPr>
          <w:rFonts w:ascii="Times New Roman" w:hAnsi="Times New Roman" w:cs="Times New Roman"/>
          <w:sz w:val="24"/>
          <w:szCs w:val="24"/>
        </w:rPr>
        <w:t xml:space="preserve">asymmetry in volatility </w:t>
      </w:r>
      <w:proofErr w:type="spellStart"/>
      <w:r w:rsidR="003427E0" w:rsidRPr="00A01815">
        <w:rPr>
          <w:rFonts w:ascii="Times New Roman" w:hAnsi="Times New Roman" w:cs="Times New Roman"/>
          <w:sz w:val="24"/>
          <w:szCs w:val="24"/>
        </w:rPr>
        <w:t>spillovers</w:t>
      </w:r>
      <w:proofErr w:type="spellEnd"/>
      <w:r w:rsidR="003427E0" w:rsidRPr="00A01815">
        <w:rPr>
          <w:rFonts w:ascii="Times New Roman" w:hAnsi="Times New Roman" w:cs="Times New Roman"/>
          <w:sz w:val="24"/>
          <w:szCs w:val="24"/>
        </w:rPr>
        <w:t xml:space="preserve">.  </w:t>
      </w:r>
    </w:p>
    <w:p w14:paraId="3793153B" w14:textId="52636261" w:rsidR="003427E0" w:rsidRDefault="003427E0" w:rsidP="00F03CE7">
      <w:pPr>
        <w:spacing w:after="0" w:line="480" w:lineRule="auto"/>
        <w:ind w:firstLine="720"/>
        <w:jc w:val="both"/>
        <w:rPr>
          <w:rFonts w:ascii="Times New Roman" w:hAnsi="Times New Roman" w:cs="Times New Roman"/>
          <w:sz w:val="24"/>
          <w:szCs w:val="24"/>
        </w:rPr>
      </w:pPr>
      <w:proofErr w:type="spellStart"/>
      <w:r w:rsidRPr="00A01815">
        <w:rPr>
          <w:rFonts w:ascii="Times New Roman" w:hAnsi="Times New Roman" w:cs="Times New Roman"/>
          <w:sz w:val="24"/>
          <w:szCs w:val="24"/>
        </w:rPr>
        <w:lastRenderedPageBreak/>
        <w:t>Tse</w:t>
      </w:r>
      <w:proofErr w:type="spellEnd"/>
      <w:r>
        <w:rPr>
          <w:rFonts w:ascii="Times New Roman" w:hAnsi="Times New Roman" w:cs="Times New Roman"/>
          <w:sz w:val="24"/>
          <w:szCs w:val="24"/>
        </w:rPr>
        <w:t xml:space="preserve"> et al. </w:t>
      </w:r>
      <w:r w:rsidRPr="00A01815">
        <w:rPr>
          <w:rFonts w:ascii="Times New Roman" w:hAnsi="Times New Roman" w:cs="Times New Roman"/>
          <w:sz w:val="24"/>
          <w:szCs w:val="24"/>
        </w:rPr>
        <w:t xml:space="preserve">(1996) examine the information transmission between three Eurodollar futures markets in IMM, SIMEX and LIFFE. They </w:t>
      </w:r>
      <w:r w:rsidR="00211816">
        <w:rPr>
          <w:rFonts w:ascii="Times New Roman" w:hAnsi="Times New Roman" w:cs="Times New Roman"/>
          <w:sz w:val="24"/>
          <w:szCs w:val="24"/>
        </w:rPr>
        <w:t>find</w:t>
      </w:r>
      <w:r w:rsidR="00211816" w:rsidRPr="00A01815">
        <w:rPr>
          <w:rFonts w:ascii="Times New Roman" w:hAnsi="Times New Roman" w:cs="Times New Roman"/>
          <w:sz w:val="24"/>
          <w:szCs w:val="24"/>
        </w:rPr>
        <w:t xml:space="preserve"> </w:t>
      </w:r>
      <w:r w:rsidRPr="00A01815">
        <w:rPr>
          <w:rFonts w:ascii="Times New Roman" w:hAnsi="Times New Roman" w:cs="Times New Roman"/>
          <w:sz w:val="24"/>
          <w:szCs w:val="24"/>
        </w:rPr>
        <w:t>that these geographically segmented markets, in the long run, trade as one continuous market</w:t>
      </w:r>
      <w:r w:rsidR="00807B8B">
        <w:rPr>
          <w:rFonts w:ascii="Times New Roman" w:hAnsi="Times New Roman" w:cs="Times New Roman"/>
          <w:sz w:val="24"/>
          <w:szCs w:val="24"/>
        </w:rPr>
        <w:t>,</w:t>
      </w:r>
      <w:r w:rsidRPr="00A01815">
        <w:rPr>
          <w:rFonts w:ascii="Times New Roman" w:hAnsi="Times New Roman" w:cs="Times New Roman"/>
          <w:sz w:val="24"/>
          <w:szCs w:val="24"/>
        </w:rPr>
        <w:t xml:space="preserve"> driven by</w:t>
      </w:r>
      <w:r w:rsidR="00EE1978">
        <w:rPr>
          <w:rFonts w:ascii="Times New Roman" w:hAnsi="Times New Roman" w:cs="Times New Roman"/>
          <w:sz w:val="24"/>
          <w:szCs w:val="24"/>
        </w:rPr>
        <w:t xml:space="preserve"> a</w:t>
      </w:r>
      <w:r w:rsidRPr="00A01815">
        <w:rPr>
          <w:rFonts w:ascii="Times New Roman" w:hAnsi="Times New Roman" w:cs="Times New Roman"/>
          <w:sz w:val="24"/>
          <w:szCs w:val="24"/>
        </w:rPr>
        <w:t xml:space="preserve"> common stochastic trend. However</w:t>
      </w:r>
      <w:r w:rsidR="00297AE1">
        <w:rPr>
          <w:rFonts w:ascii="Times New Roman" w:hAnsi="Times New Roman" w:cs="Times New Roman"/>
          <w:sz w:val="24"/>
          <w:szCs w:val="24"/>
        </w:rPr>
        <w:t>,</w:t>
      </w:r>
      <w:r w:rsidRPr="00A01815">
        <w:rPr>
          <w:rFonts w:ascii="Times New Roman" w:hAnsi="Times New Roman" w:cs="Times New Roman"/>
          <w:sz w:val="24"/>
          <w:szCs w:val="24"/>
        </w:rPr>
        <w:t xml:space="preserve"> there are short-lived causalities </w:t>
      </w:r>
      <w:r w:rsidR="00807B8B">
        <w:rPr>
          <w:rFonts w:ascii="Times New Roman" w:hAnsi="Times New Roman" w:cs="Times New Roman"/>
          <w:sz w:val="24"/>
          <w:szCs w:val="24"/>
        </w:rPr>
        <w:t xml:space="preserve">arising from deviations from </w:t>
      </w:r>
      <w:r w:rsidRPr="00A01815">
        <w:rPr>
          <w:rFonts w:ascii="Times New Roman" w:hAnsi="Times New Roman" w:cs="Times New Roman"/>
          <w:sz w:val="24"/>
          <w:szCs w:val="24"/>
        </w:rPr>
        <w:t>the cointegrating vector</w:t>
      </w:r>
      <w:r w:rsidR="00807B8B">
        <w:rPr>
          <w:rFonts w:ascii="Times New Roman" w:hAnsi="Times New Roman" w:cs="Times New Roman"/>
          <w:sz w:val="24"/>
          <w:szCs w:val="24"/>
        </w:rPr>
        <w:t xml:space="preserve">, arising due to </w:t>
      </w:r>
      <w:r w:rsidRPr="00A01815">
        <w:rPr>
          <w:rFonts w:ascii="Times New Roman" w:hAnsi="Times New Roman" w:cs="Times New Roman"/>
          <w:sz w:val="24"/>
          <w:szCs w:val="24"/>
        </w:rPr>
        <w:t xml:space="preserve">the trading sequence </w:t>
      </w:r>
      <w:r w:rsidR="00807B8B">
        <w:rPr>
          <w:rFonts w:ascii="Times New Roman" w:hAnsi="Times New Roman" w:cs="Times New Roman"/>
          <w:sz w:val="24"/>
          <w:szCs w:val="24"/>
        </w:rPr>
        <w:t>between markets</w:t>
      </w:r>
      <w:r w:rsidRPr="00A01815">
        <w:rPr>
          <w:rFonts w:ascii="Times New Roman" w:hAnsi="Times New Roman" w:cs="Times New Roman"/>
          <w:sz w:val="24"/>
          <w:szCs w:val="24"/>
        </w:rPr>
        <w:t xml:space="preserve">. </w:t>
      </w:r>
      <w:proofErr w:type="spellStart"/>
      <w:r w:rsidRPr="00A01815">
        <w:rPr>
          <w:rFonts w:ascii="Times New Roman" w:hAnsi="Times New Roman" w:cs="Times New Roman"/>
          <w:sz w:val="24"/>
          <w:szCs w:val="24"/>
        </w:rPr>
        <w:t>Tse</w:t>
      </w:r>
      <w:proofErr w:type="spellEnd"/>
      <w:r w:rsidRPr="00A01815">
        <w:rPr>
          <w:rFonts w:ascii="Times New Roman" w:hAnsi="Times New Roman" w:cs="Times New Roman"/>
          <w:sz w:val="24"/>
          <w:szCs w:val="24"/>
        </w:rPr>
        <w:t xml:space="preserve"> (1998) </w:t>
      </w:r>
      <w:r w:rsidR="008E166E">
        <w:rPr>
          <w:rFonts w:ascii="Times New Roman" w:hAnsi="Times New Roman" w:cs="Times New Roman"/>
          <w:sz w:val="24"/>
          <w:szCs w:val="24"/>
        </w:rPr>
        <w:t>find</w:t>
      </w:r>
      <w:r w:rsidR="00297AE1">
        <w:rPr>
          <w:rFonts w:ascii="Times New Roman" w:hAnsi="Times New Roman" w:cs="Times New Roman"/>
          <w:sz w:val="24"/>
          <w:szCs w:val="24"/>
        </w:rPr>
        <w:t>s</w:t>
      </w:r>
      <w:r w:rsidR="008E166E">
        <w:rPr>
          <w:rFonts w:ascii="Times New Roman" w:hAnsi="Times New Roman" w:cs="Times New Roman"/>
          <w:sz w:val="24"/>
          <w:szCs w:val="24"/>
        </w:rPr>
        <w:t xml:space="preserve"> a</w:t>
      </w:r>
      <w:r w:rsidR="008E166E" w:rsidRPr="00A01815">
        <w:rPr>
          <w:rFonts w:ascii="Times New Roman" w:hAnsi="Times New Roman" w:cs="Times New Roman"/>
          <w:sz w:val="24"/>
          <w:szCs w:val="24"/>
        </w:rPr>
        <w:t xml:space="preserve"> </w:t>
      </w:r>
      <w:r w:rsidRPr="00A01815">
        <w:rPr>
          <w:rFonts w:ascii="Times New Roman" w:hAnsi="Times New Roman" w:cs="Times New Roman"/>
          <w:sz w:val="24"/>
          <w:szCs w:val="24"/>
        </w:rPr>
        <w:t xml:space="preserve">similar result that information flow impacts the domestic market (Japan) more than the foreign market (US). In terms of the response to information shocks, domestic markets </w:t>
      </w:r>
      <w:r w:rsidR="00EE1978">
        <w:rPr>
          <w:rFonts w:ascii="Times New Roman" w:hAnsi="Times New Roman" w:cs="Times New Roman"/>
          <w:sz w:val="24"/>
          <w:szCs w:val="24"/>
        </w:rPr>
        <w:t xml:space="preserve">are </w:t>
      </w:r>
      <w:r w:rsidRPr="00A01815">
        <w:rPr>
          <w:rFonts w:ascii="Times New Roman" w:hAnsi="Times New Roman" w:cs="Times New Roman"/>
          <w:sz w:val="24"/>
          <w:szCs w:val="24"/>
        </w:rPr>
        <w:t xml:space="preserve">also more proactive. Similarly, </w:t>
      </w:r>
      <w:proofErr w:type="spellStart"/>
      <w:r w:rsidRPr="00A01815">
        <w:rPr>
          <w:rFonts w:ascii="Times New Roman" w:hAnsi="Times New Roman" w:cs="Times New Roman"/>
          <w:sz w:val="24"/>
          <w:szCs w:val="24"/>
        </w:rPr>
        <w:t>Baur</w:t>
      </w:r>
      <w:proofErr w:type="spellEnd"/>
      <w:r>
        <w:rPr>
          <w:rFonts w:ascii="Times New Roman" w:hAnsi="Times New Roman" w:cs="Times New Roman"/>
          <w:sz w:val="24"/>
          <w:szCs w:val="24"/>
        </w:rPr>
        <w:t xml:space="preserve"> and </w:t>
      </w:r>
      <w:r w:rsidRPr="00A01815">
        <w:rPr>
          <w:rFonts w:ascii="Times New Roman" w:hAnsi="Times New Roman" w:cs="Times New Roman"/>
          <w:sz w:val="24"/>
          <w:szCs w:val="24"/>
        </w:rPr>
        <w:t xml:space="preserve">Jung (2006) </w:t>
      </w:r>
      <w:r w:rsidR="008E166E">
        <w:rPr>
          <w:rFonts w:ascii="Times New Roman" w:hAnsi="Times New Roman" w:cs="Times New Roman"/>
          <w:sz w:val="24"/>
          <w:szCs w:val="24"/>
        </w:rPr>
        <w:t>find</w:t>
      </w:r>
      <w:r w:rsidR="008E166E" w:rsidRPr="00A01815">
        <w:rPr>
          <w:rFonts w:ascii="Times New Roman" w:hAnsi="Times New Roman" w:cs="Times New Roman"/>
          <w:sz w:val="24"/>
          <w:szCs w:val="24"/>
        </w:rPr>
        <w:t xml:space="preserve"> </w:t>
      </w:r>
      <w:r w:rsidRPr="00A01815">
        <w:rPr>
          <w:rFonts w:ascii="Times New Roman" w:hAnsi="Times New Roman" w:cs="Times New Roman"/>
          <w:sz w:val="24"/>
          <w:szCs w:val="24"/>
        </w:rPr>
        <w:t xml:space="preserve">that intra-day trading activities affect the short-lived mean </w:t>
      </w:r>
      <w:proofErr w:type="spellStart"/>
      <w:r w:rsidRPr="00A01815">
        <w:rPr>
          <w:rFonts w:ascii="Times New Roman" w:hAnsi="Times New Roman" w:cs="Times New Roman"/>
          <w:sz w:val="24"/>
          <w:szCs w:val="24"/>
        </w:rPr>
        <w:t>spillovers</w:t>
      </w:r>
      <w:proofErr w:type="spellEnd"/>
      <w:r w:rsidRPr="00A01815">
        <w:rPr>
          <w:rFonts w:ascii="Times New Roman" w:hAnsi="Times New Roman" w:cs="Times New Roman"/>
          <w:sz w:val="24"/>
          <w:szCs w:val="24"/>
        </w:rPr>
        <w:t xml:space="preserve"> between DAX and DOW indices</w:t>
      </w:r>
      <w:r w:rsidR="00211816">
        <w:rPr>
          <w:rFonts w:ascii="Times New Roman" w:hAnsi="Times New Roman" w:cs="Times New Roman"/>
          <w:sz w:val="24"/>
          <w:szCs w:val="24"/>
        </w:rPr>
        <w:t>,</w:t>
      </w:r>
      <w:r w:rsidRPr="00A01815">
        <w:rPr>
          <w:rFonts w:ascii="Times New Roman" w:hAnsi="Times New Roman" w:cs="Times New Roman"/>
          <w:sz w:val="24"/>
          <w:szCs w:val="24"/>
        </w:rPr>
        <w:t xml:space="preserve"> but more </w:t>
      </w:r>
      <w:r w:rsidR="00E15133">
        <w:rPr>
          <w:rFonts w:ascii="Times New Roman" w:hAnsi="Times New Roman" w:cs="Times New Roman"/>
          <w:sz w:val="24"/>
          <w:szCs w:val="24"/>
        </w:rPr>
        <w:t xml:space="preserve">so </w:t>
      </w:r>
      <w:r w:rsidRPr="00A01815">
        <w:rPr>
          <w:rFonts w:ascii="Times New Roman" w:hAnsi="Times New Roman" w:cs="Times New Roman"/>
          <w:sz w:val="24"/>
          <w:szCs w:val="24"/>
        </w:rPr>
        <w:t>on the domestic returns (DAX) than the foreign market returns (DOW).</w:t>
      </w:r>
    </w:p>
    <w:p w14:paraId="0E99F4D6" w14:textId="69F24B23" w:rsidR="003427E0" w:rsidRDefault="003427E0" w:rsidP="00F03CE7">
      <w:pPr>
        <w:spacing w:after="0" w:line="480" w:lineRule="auto"/>
        <w:ind w:firstLine="720"/>
        <w:jc w:val="both"/>
        <w:rPr>
          <w:rFonts w:ascii="Times New Roman" w:hAnsi="Times New Roman" w:cs="Times New Roman"/>
          <w:sz w:val="24"/>
          <w:szCs w:val="24"/>
        </w:rPr>
      </w:pPr>
      <w:r w:rsidRPr="00A01815">
        <w:rPr>
          <w:rFonts w:ascii="Times New Roman" w:hAnsi="Times New Roman" w:cs="Times New Roman"/>
          <w:sz w:val="24"/>
          <w:szCs w:val="24"/>
        </w:rPr>
        <w:t>Fung</w:t>
      </w:r>
      <w:r>
        <w:rPr>
          <w:rFonts w:ascii="Times New Roman" w:hAnsi="Times New Roman" w:cs="Times New Roman"/>
          <w:sz w:val="24"/>
          <w:szCs w:val="24"/>
        </w:rPr>
        <w:t xml:space="preserve"> et al. </w:t>
      </w:r>
      <w:r w:rsidRPr="00A01815">
        <w:rPr>
          <w:rFonts w:ascii="Times New Roman" w:hAnsi="Times New Roman" w:cs="Times New Roman"/>
          <w:sz w:val="24"/>
          <w:szCs w:val="24"/>
        </w:rPr>
        <w:t xml:space="preserve">(1997) use </w:t>
      </w:r>
      <w:r>
        <w:rPr>
          <w:rFonts w:ascii="Times New Roman" w:hAnsi="Times New Roman" w:cs="Times New Roman"/>
          <w:sz w:val="24"/>
          <w:szCs w:val="24"/>
        </w:rPr>
        <w:t xml:space="preserve">a </w:t>
      </w:r>
      <w:r w:rsidR="00EE1978">
        <w:rPr>
          <w:rFonts w:ascii="Times New Roman" w:hAnsi="Times New Roman" w:cs="Times New Roman"/>
          <w:sz w:val="24"/>
          <w:szCs w:val="24"/>
        </w:rPr>
        <w:t xml:space="preserve">GARCH model to examine both </w:t>
      </w:r>
      <w:r w:rsidRPr="00A01815">
        <w:rPr>
          <w:rFonts w:ascii="Times New Roman" w:hAnsi="Times New Roman" w:cs="Times New Roman"/>
          <w:sz w:val="24"/>
          <w:szCs w:val="24"/>
        </w:rPr>
        <w:t xml:space="preserve">mean and volatility </w:t>
      </w:r>
      <w:proofErr w:type="spellStart"/>
      <w:r w:rsidRPr="00A01815">
        <w:rPr>
          <w:rFonts w:ascii="Times New Roman" w:hAnsi="Times New Roman" w:cs="Times New Roman"/>
          <w:sz w:val="24"/>
          <w:szCs w:val="24"/>
        </w:rPr>
        <w:t>spillover</w:t>
      </w:r>
      <w:r w:rsidR="00EE1978">
        <w:rPr>
          <w:rFonts w:ascii="Times New Roman" w:hAnsi="Times New Roman" w:cs="Times New Roman"/>
          <w:sz w:val="24"/>
          <w:szCs w:val="24"/>
        </w:rPr>
        <w:t>s</w:t>
      </w:r>
      <w:proofErr w:type="spellEnd"/>
      <w:r w:rsidRPr="00A01815">
        <w:rPr>
          <w:rFonts w:ascii="Times New Roman" w:hAnsi="Times New Roman" w:cs="Times New Roman"/>
          <w:sz w:val="24"/>
          <w:szCs w:val="24"/>
        </w:rPr>
        <w:t xml:space="preserve"> between the US dollar and Eurodollar markets. Both GARCH and impulse response analysis provide strong evidence that the domestic market </w:t>
      </w:r>
      <w:r w:rsidR="00807B8B">
        <w:rPr>
          <w:rFonts w:ascii="Times New Roman" w:hAnsi="Times New Roman" w:cs="Times New Roman"/>
          <w:sz w:val="24"/>
          <w:szCs w:val="24"/>
        </w:rPr>
        <w:t xml:space="preserve">exhibits </w:t>
      </w:r>
      <w:r w:rsidRPr="00A01815">
        <w:rPr>
          <w:rFonts w:ascii="Times New Roman" w:hAnsi="Times New Roman" w:cs="Times New Roman"/>
          <w:sz w:val="24"/>
          <w:szCs w:val="24"/>
        </w:rPr>
        <w:t>a long</w:t>
      </w:r>
      <w:r w:rsidR="008E166E">
        <w:rPr>
          <w:rFonts w:ascii="Times New Roman" w:hAnsi="Times New Roman" w:cs="Times New Roman"/>
          <w:sz w:val="24"/>
          <w:szCs w:val="24"/>
        </w:rPr>
        <w:t>er</w:t>
      </w:r>
      <w:r w:rsidRPr="00A01815">
        <w:rPr>
          <w:rFonts w:ascii="Times New Roman" w:hAnsi="Times New Roman" w:cs="Times New Roman"/>
          <w:sz w:val="24"/>
          <w:szCs w:val="24"/>
        </w:rPr>
        <w:t xml:space="preserve"> lasting feedback effect to information shocks than the foreign markets</w:t>
      </w:r>
      <w:r w:rsidR="00EE3CE8">
        <w:rPr>
          <w:rFonts w:ascii="Times New Roman" w:hAnsi="Times New Roman" w:cs="Times New Roman"/>
          <w:sz w:val="24"/>
          <w:szCs w:val="24"/>
        </w:rPr>
        <w:t>,</w:t>
      </w:r>
      <w:r w:rsidRPr="00A01815">
        <w:rPr>
          <w:rFonts w:ascii="Times New Roman" w:hAnsi="Times New Roman" w:cs="Times New Roman"/>
          <w:sz w:val="24"/>
          <w:szCs w:val="24"/>
        </w:rPr>
        <w:t xml:space="preserve"> although both mean and volatility feedback were sharp. </w:t>
      </w:r>
    </w:p>
    <w:p w14:paraId="0590EC36" w14:textId="14856C80" w:rsidR="00A01815" w:rsidRDefault="003427E0" w:rsidP="00F03CE7">
      <w:pPr>
        <w:pStyle w:val="NormalWeb"/>
        <w:spacing w:before="0" w:beforeAutospacing="0" w:after="0" w:afterAutospacing="0" w:line="480" w:lineRule="auto"/>
        <w:ind w:firstLine="720"/>
        <w:jc w:val="both"/>
        <w:rPr>
          <w:rFonts w:ascii="Times New Roman" w:hAnsi="Times New Roman"/>
          <w:sz w:val="24"/>
          <w:szCs w:val="24"/>
        </w:rPr>
      </w:pPr>
      <w:r>
        <w:rPr>
          <w:rFonts w:ascii="Times New Roman" w:hAnsi="Times New Roman"/>
          <w:sz w:val="24"/>
          <w:szCs w:val="24"/>
        </w:rPr>
        <w:t xml:space="preserve">Further, </w:t>
      </w:r>
      <w:r w:rsidR="00A01815">
        <w:rPr>
          <w:rFonts w:ascii="Times New Roman" w:hAnsi="Times New Roman"/>
          <w:sz w:val="24"/>
          <w:szCs w:val="24"/>
        </w:rPr>
        <w:t>the</w:t>
      </w:r>
      <w:r w:rsidR="00A01815" w:rsidRPr="00A1783B">
        <w:rPr>
          <w:rFonts w:ascii="Times New Roman" w:hAnsi="Times New Roman"/>
          <w:sz w:val="24"/>
          <w:szCs w:val="24"/>
        </w:rPr>
        <w:t xml:space="preserve"> contagion literature identifies a number of possible mechanisms to explain why a shock in one market may spill over into other markets. </w:t>
      </w:r>
      <w:proofErr w:type="spellStart"/>
      <w:r w:rsidR="00A01815">
        <w:rPr>
          <w:rFonts w:ascii="Times New Roman" w:hAnsi="Times New Roman"/>
          <w:sz w:val="24"/>
          <w:szCs w:val="24"/>
        </w:rPr>
        <w:t>Kiy</w:t>
      </w:r>
      <w:r w:rsidR="00A01815" w:rsidRPr="00A1783B">
        <w:rPr>
          <w:rFonts w:ascii="Times New Roman" w:hAnsi="Times New Roman"/>
          <w:sz w:val="24"/>
          <w:szCs w:val="24"/>
        </w:rPr>
        <w:t>otaki</w:t>
      </w:r>
      <w:proofErr w:type="spellEnd"/>
      <w:r w:rsidR="00A01815" w:rsidRPr="00A1783B">
        <w:rPr>
          <w:rFonts w:ascii="Times New Roman" w:hAnsi="Times New Roman"/>
          <w:sz w:val="24"/>
          <w:szCs w:val="24"/>
        </w:rPr>
        <w:t xml:space="preserve"> and Moore (2002)</w:t>
      </w:r>
      <w:r w:rsidR="00A01815">
        <w:rPr>
          <w:rFonts w:ascii="Times New Roman" w:hAnsi="Times New Roman"/>
          <w:sz w:val="24"/>
          <w:szCs w:val="24"/>
        </w:rPr>
        <w:t xml:space="preserve"> and</w:t>
      </w:r>
      <w:r w:rsidR="00A01815" w:rsidRPr="00A1783B">
        <w:rPr>
          <w:rFonts w:ascii="Times New Roman" w:hAnsi="Times New Roman"/>
          <w:sz w:val="24"/>
          <w:szCs w:val="24"/>
        </w:rPr>
        <w:t xml:space="preserve"> Kaminsky</w:t>
      </w:r>
      <w:r w:rsidR="00A01815">
        <w:rPr>
          <w:rFonts w:ascii="Times New Roman" w:hAnsi="Times New Roman"/>
          <w:sz w:val="24"/>
          <w:szCs w:val="24"/>
        </w:rPr>
        <w:t xml:space="preserve"> et al. </w:t>
      </w:r>
      <w:r w:rsidR="00A01815" w:rsidRPr="00A1783B">
        <w:rPr>
          <w:rFonts w:ascii="Times New Roman" w:hAnsi="Times New Roman"/>
          <w:sz w:val="24"/>
          <w:szCs w:val="24"/>
        </w:rPr>
        <w:t xml:space="preserve">(2003) </w:t>
      </w:r>
      <w:r w:rsidR="00A01815">
        <w:rPr>
          <w:rFonts w:ascii="Times New Roman" w:hAnsi="Times New Roman"/>
          <w:sz w:val="24"/>
          <w:szCs w:val="24"/>
        </w:rPr>
        <w:t xml:space="preserve">demonstrate </w:t>
      </w:r>
      <w:r w:rsidR="00A01815" w:rsidRPr="00A1783B">
        <w:rPr>
          <w:rFonts w:ascii="Times New Roman" w:hAnsi="Times New Roman"/>
          <w:sz w:val="24"/>
          <w:szCs w:val="24"/>
        </w:rPr>
        <w:t xml:space="preserve">how negative shocks in one market represent the arrival of new information that directly affects the values or cash flows associated with securities in another market. This transmission mechanism can be seen as information flowing from more liquid markets to less liquid markets. A representative model of this channel of transmission is that of King and </w:t>
      </w:r>
      <w:proofErr w:type="spellStart"/>
      <w:r w:rsidR="00A01815" w:rsidRPr="00A1783B">
        <w:rPr>
          <w:rFonts w:ascii="Times New Roman" w:hAnsi="Times New Roman"/>
          <w:sz w:val="24"/>
          <w:szCs w:val="24"/>
        </w:rPr>
        <w:t>Wadhwani</w:t>
      </w:r>
      <w:proofErr w:type="spellEnd"/>
      <w:r w:rsidR="00A01815" w:rsidRPr="00A1783B">
        <w:rPr>
          <w:rFonts w:ascii="Times New Roman" w:hAnsi="Times New Roman"/>
          <w:sz w:val="24"/>
          <w:szCs w:val="24"/>
        </w:rPr>
        <w:t xml:space="preserve"> (1990) in which contagion occurs as rational agents attempt to infer information from price changes</w:t>
      </w:r>
      <w:r w:rsidR="00A01815" w:rsidRPr="00A1783B">
        <w:rPr>
          <w:rFonts w:ascii="Times New Roman" w:hAnsi="Times New Roman"/>
          <w:sz w:val="16"/>
          <w:szCs w:val="16"/>
        </w:rPr>
        <w:t xml:space="preserve"> </w:t>
      </w:r>
      <w:r w:rsidR="00A01815" w:rsidRPr="00A1783B">
        <w:rPr>
          <w:rFonts w:ascii="Times New Roman" w:hAnsi="Times New Roman"/>
          <w:sz w:val="24"/>
          <w:szCs w:val="24"/>
        </w:rPr>
        <w:t xml:space="preserve">in other markets. A second transmission mechanism is described in Allen and Gale (2000) and </w:t>
      </w:r>
      <w:proofErr w:type="spellStart"/>
      <w:r w:rsidR="00A01815" w:rsidRPr="00A1783B">
        <w:rPr>
          <w:rFonts w:ascii="Times New Roman" w:hAnsi="Times New Roman"/>
          <w:sz w:val="24"/>
          <w:szCs w:val="24"/>
        </w:rPr>
        <w:t>Brunnermeier</w:t>
      </w:r>
      <w:proofErr w:type="spellEnd"/>
      <w:r w:rsidR="00A01815" w:rsidRPr="00A1783B">
        <w:rPr>
          <w:rFonts w:ascii="Times New Roman" w:hAnsi="Times New Roman"/>
          <w:sz w:val="24"/>
          <w:szCs w:val="24"/>
        </w:rPr>
        <w:t xml:space="preserve"> and Pedersen (2009). They show how investors who suffer losses in one market may find their </w:t>
      </w:r>
      <w:r w:rsidR="00A01815" w:rsidRPr="00A1783B">
        <w:rPr>
          <w:rFonts w:ascii="Times New Roman" w:hAnsi="Times New Roman"/>
          <w:sz w:val="24"/>
          <w:szCs w:val="24"/>
        </w:rPr>
        <w:lastRenderedPageBreak/>
        <w:t>ability to obtain funding impaired</w:t>
      </w:r>
      <w:r w:rsidR="00EE3CE8">
        <w:rPr>
          <w:rFonts w:ascii="Times New Roman" w:hAnsi="Times New Roman"/>
          <w:sz w:val="24"/>
          <w:szCs w:val="24"/>
        </w:rPr>
        <w:t>,</w:t>
      </w:r>
      <w:r w:rsidR="00A01815" w:rsidRPr="00A1783B">
        <w:rPr>
          <w:rFonts w:ascii="Times New Roman" w:hAnsi="Times New Roman"/>
          <w:sz w:val="24"/>
          <w:szCs w:val="24"/>
        </w:rPr>
        <w:t xml:space="preserve"> leading to a downward spiral in market liquidity. They argue that in times of crisis, reductions in market liquidity and funding liquidity are mutually reinforcing, leading to a liquidity spiral. This in turn induces a flight to liquidity (quality) as traders switch capital to markets where liquidity is better. In the work of </w:t>
      </w:r>
      <w:proofErr w:type="spellStart"/>
      <w:r w:rsidR="00A01815" w:rsidRPr="00A1783B">
        <w:rPr>
          <w:rFonts w:ascii="Times New Roman" w:hAnsi="Times New Roman"/>
          <w:sz w:val="24"/>
          <w:szCs w:val="24"/>
        </w:rPr>
        <w:t>Vayanos</w:t>
      </w:r>
      <w:proofErr w:type="spellEnd"/>
      <w:r w:rsidR="00A01815" w:rsidRPr="00A1783B">
        <w:rPr>
          <w:rFonts w:ascii="Times New Roman" w:hAnsi="Times New Roman"/>
          <w:sz w:val="24"/>
          <w:szCs w:val="24"/>
        </w:rPr>
        <w:t xml:space="preserve"> (2004), Acharya and Pedersen (2005) and Longstaff (2008) a severe negative shock in one market may imply an increase in the risk premium in other markets. Thus, negative returns in the distressed market affect subsequent returns in other markets via a time</w:t>
      </w:r>
      <w:r w:rsidR="00B25A88">
        <w:rPr>
          <w:rFonts w:ascii="Times New Roman" w:hAnsi="Times New Roman"/>
          <w:sz w:val="24"/>
          <w:szCs w:val="24"/>
        </w:rPr>
        <w:t>-</w:t>
      </w:r>
      <w:r w:rsidR="00A01815" w:rsidRPr="00A1783B">
        <w:rPr>
          <w:rFonts w:ascii="Times New Roman" w:hAnsi="Times New Roman"/>
          <w:sz w:val="24"/>
          <w:szCs w:val="24"/>
        </w:rPr>
        <w:t>varying risk premium.</w:t>
      </w:r>
    </w:p>
    <w:p w14:paraId="16D3D71A" w14:textId="0ADD82F2" w:rsidR="00A01815" w:rsidRDefault="00BA5D21" w:rsidP="00F03CE7">
      <w:pPr>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Of particular interest here, </w:t>
      </w:r>
      <w:r w:rsidR="00A01815">
        <w:rPr>
          <w:rFonts w:ascii="Times New Roman" w:hAnsi="Times New Roman"/>
          <w:sz w:val="24"/>
          <w:szCs w:val="24"/>
        </w:rPr>
        <w:t>L</w:t>
      </w:r>
      <w:r w:rsidR="00A01815" w:rsidRPr="00A1783B">
        <w:rPr>
          <w:rFonts w:ascii="Times New Roman" w:hAnsi="Times New Roman" w:cs="Times New Roman"/>
          <w:sz w:val="24"/>
          <w:szCs w:val="24"/>
        </w:rPr>
        <w:t>ongstaff (2010) provides evidence that the 2</w:t>
      </w:r>
      <w:r w:rsidR="00A01815">
        <w:rPr>
          <w:rFonts w:ascii="Times New Roman" w:hAnsi="Times New Roman" w:cs="Times New Roman"/>
          <w:sz w:val="24"/>
          <w:szCs w:val="24"/>
        </w:rPr>
        <w:t xml:space="preserve">007 subprime crisis resulted in </w:t>
      </w:r>
      <w:r w:rsidR="00A01815" w:rsidRPr="00A1783B">
        <w:rPr>
          <w:rFonts w:ascii="Times New Roman" w:hAnsi="Times New Roman" w:cs="Times New Roman"/>
          <w:sz w:val="24"/>
          <w:szCs w:val="24"/>
        </w:rPr>
        <w:t xml:space="preserve">significant changes in the patterns of trading activity, liquidity, and funding in financial markets. </w:t>
      </w:r>
      <w:r w:rsidR="00112E37" w:rsidRPr="00A1783B">
        <w:rPr>
          <w:rFonts w:ascii="Times New Roman" w:hAnsi="Times New Roman" w:cs="Times New Roman"/>
          <w:sz w:val="24"/>
          <w:szCs w:val="24"/>
        </w:rPr>
        <w:t>Th</w:t>
      </w:r>
      <w:r w:rsidR="00112E37">
        <w:rPr>
          <w:rFonts w:ascii="Times New Roman" w:hAnsi="Times New Roman"/>
          <w:sz w:val="24"/>
          <w:szCs w:val="24"/>
        </w:rPr>
        <w:t xml:space="preserve">is is </w:t>
      </w:r>
      <w:r w:rsidR="00112E37" w:rsidRPr="00A1783B">
        <w:rPr>
          <w:rFonts w:ascii="Times New Roman" w:hAnsi="Times New Roman" w:cs="Times New Roman"/>
          <w:sz w:val="24"/>
          <w:szCs w:val="24"/>
        </w:rPr>
        <w:t xml:space="preserve">consistent with both the </w:t>
      </w:r>
      <w:proofErr w:type="spellStart"/>
      <w:r w:rsidR="00112E37" w:rsidRPr="00A1783B">
        <w:rPr>
          <w:rFonts w:ascii="Times New Roman" w:hAnsi="Times New Roman" w:cs="Times New Roman"/>
          <w:sz w:val="24"/>
          <w:szCs w:val="24"/>
        </w:rPr>
        <w:t>Brunnermeier</w:t>
      </w:r>
      <w:proofErr w:type="spellEnd"/>
      <w:r w:rsidR="00112E37" w:rsidRPr="00A1783B">
        <w:rPr>
          <w:rFonts w:ascii="Times New Roman" w:hAnsi="Times New Roman" w:cs="Times New Roman"/>
          <w:sz w:val="24"/>
          <w:szCs w:val="24"/>
        </w:rPr>
        <w:t xml:space="preserve"> and Pedersen (200</w:t>
      </w:r>
      <w:r w:rsidR="001B2AB8">
        <w:rPr>
          <w:rFonts w:ascii="Times New Roman" w:hAnsi="Times New Roman" w:cs="Times New Roman"/>
          <w:sz w:val="24"/>
          <w:szCs w:val="24"/>
        </w:rPr>
        <w:t>9</w:t>
      </w:r>
      <w:r w:rsidR="00112E37" w:rsidRPr="00A1783B">
        <w:rPr>
          <w:rFonts w:ascii="Times New Roman" w:hAnsi="Times New Roman" w:cs="Times New Roman"/>
          <w:sz w:val="24"/>
          <w:szCs w:val="24"/>
        </w:rPr>
        <w:t>) funding/illiquidity contagion mechanism as well as with the portfolio rebalancing implications of Allen and Gale (2000</w:t>
      </w:r>
      <w:r w:rsidR="00112E37">
        <w:rPr>
          <w:rFonts w:ascii="Times New Roman" w:hAnsi="Times New Roman" w:cs="Times New Roman"/>
          <w:sz w:val="24"/>
          <w:szCs w:val="24"/>
        </w:rPr>
        <w:t>)</w:t>
      </w:r>
      <w:r w:rsidR="00112E37" w:rsidRPr="00A1783B">
        <w:rPr>
          <w:rFonts w:ascii="Times New Roman" w:hAnsi="Times New Roman" w:cs="Times New Roman"/>
          <w:sz w:val="24"/>
          <w:szCs w:val="24"/>
        </w:rPr>
        <w:t>, and supports</w:t>
      </w:r>
      <w:r w:rsidR="00A01815" w:rsidRPr="00A1783B">
        <w:rPr>
          <w:rFonts w:ascii="Times New Roman" w:hAnsi="Times New Roman" w:cs="Times New Roman"/>
          <w:sz w:val="24"/>
          <w:szCs w:val="24"/>
        </w:rPr>
        <w:t xml:space="preserve"> the view that contagion during the subprime crisis was spread through a liquidity channel.</w:t>
      </w:r>
      <w:r w:rsidR="002431F8">
        <w:rPr>
          <w:rStyle w:val="FootnoteReference"/>
          <w:rFonts w:ascii="Times New Roman" w:hAnsi="Times New Roman" w:cs="Times New Roman"/>
          <w:sz w:val="24"/>
          <w:szCs w:val="24"/>
        </w:rPr>
        <w:footnoteReference w:id="3"/>
      </w:r>
    </w:p>
    <w:p w14:paraId="3E0080F3" w14:textId="3748D491" w:rsidR="00A55D71" w:rsidRDefault="00A55D71" w:rsidP="00F03CE7">
      <w:pPr>
        <w:spacing w:after="0" w:line="480" w:lineRule="auto"/>
        <w:ind w:firstLine="720"/>
        <w:jc w:val="both"/>
        <w:rPr>
          <w:rFonts w:ascii="Times New Roman" w:hAnsi="Times New Roman" w:cs="Times New Roman"/>
          <w:sz w:val="24"/>
          <w:szCs w:val="24"/>
        </w:rPr>
      </w:pPr>
      <w:r w:rsidRPr="00A55D71">
        <w:rPr>
          <w:rFonts w:ascii="Times New Roman" w:hAnsi="Times New Roman" w:cs="Times New Roman"/>
          <w:sz w:val="24"/>
          <w:szCs w:val="24"/>
        </w:rPr>
        <w:t xml:space="preserve">Most regulators responded to the crisis of 2008 by restricting short sales </w:t>
      </w:r>
      <w:r>
        <w:rPr>
          <w:rFonts w:ascii="Times New Roman" w:hAnsi="Times New Roman" w:cs="Times New Roman"/>
          <w:sz w:val="24"/>
          <w:szCs w:val="24"/>
        </w:rPr>
        <w:t xml:space="preserve">on assets </w:t>
      </w:r>
      <w:r w:rsidRPr="00A55D71">
        <w:rPr>
          <w:rFonts w:ascii="Times New Roman" w:hAnsi="Times New Roman" w:cs="Times New Roman"/>
          <w:sz w:val="24"/>
          <w:szCs w:val="24"/>
        </w:rPr>
        <w:t>that were considered the cause of sudden price crash</w:t>
      </w:r>
      <w:r>
        <w:rPr>
          <w:rFonts w:ascii="Times New Roman" w:hAnsi="Times New Roman" w:cs="Times New Roman"/>
          <w:sz w:val="24"/>
          <w:szCs w:val="24"/>
        </w:rPr>
        <w:t>es</w:t>
      </w:r>
      <w:r w:rsidRPr="00A55D71">
        <w:rPr>
          <w:rFonts w:ascii="Times New Roman" w:hAnsi="Times New Roman" w:cs="Times New Roman"/>
          <w:sz w:val="24"/>
          <w:szCs w:val="24"/>
        </w:rPr>
        <w:t>.</w:t>
      </w:r>
      <w:r>
        <w:rPr>
          <w:rFonts w:ascii="Times New Roman" w:hAnsi="Times New Roman" w:cs="Times New Roman"/>
          <w:sz w:val="24"/>
          <w:szCs w:val="24"/>
        </w:rPr>
        <w:t xml:space="preserve"> A s</w:t>
      </w:r>
      <w:r w:rsidRPr="00A55D71">
        <w:rPr>
          <w:rFonts w:ascii="Times New Roman" w:hAnsi="Times New Roman" w:cs="Times New Roman"/>
          <w:sz w:val="24"/>
          <w:szCs w:val="24"/>
        </w:rPr>
        <w:t xml:space="preserve">imilar mentality </w:t>
      </w:r>
      <w:r>
        <w:rPr>
          <w:rFonts w:ascii="Times New Roman" w:hAnsi="Times New Roman" w:cs="Times New Roman"/>
          <w:sz w:val="24"/>
          <w:szCs w:val="24"/>
        </w:rPr>
        <w:t>w</w:t>
      </w:r>
      <w:r w:rsidRPr="00A55D71">
        <w:rPr>
          <w:rFonts w:ascii="Times New Roman" w:hAnsi="Times New Roman" w:cs="Times New Roman"/>
          <w:sz w:val="24"/>
          <w:szCs w:val="24"/>
        </w:rPr>
        <w:t xml:space="preserve">as adopted by European regulators when dealing with the European sovereign debt crisis between 2011 and 2012. </w:t>
      </w:r>
      <w:proofErr w:type="spellStart"/>
      <w:r w:rsidR="00CC51D6">
        <w:rPr>
          <w:rFonts w:ascii="Times New Roman" w:hAnsi="Times New Roman" w:cs="Times New Roman"/>
          <w:sz w:val="24"/>
          <w:szCs w:val="24"/>
        </w:rPr>
        <w:t>Brunnermeier</w:t>
      </w:r>
      <w:proofErr w:type="spellEnd"/>
      <w:r w:rsidR="00CC51D6">
        <w:rPr>
          <w:rFonts w:ascii="Times New Roman" w:hAnsi="Times New Roman" w:cs="Times New Roman"/>
          <w:sz w:val="24"/>
          <w:szCs w:val="24"/>
        </w:rPr>
        <w:t xml:space="preserve"> and </w:t>
      </w:r>
      <w:proofErr w:type="spellStart"/>
      <w:r w:rsidR="00CC51D6">
        <w:rPr>
          <w:rFonts w:ascii="Times New Roman" w:hAnsi="Times New Roman" w:cs="Times New Roman"/>
          <w:sz w:val="24"/>
          <w:szCs w:val="24"/>
        </w:rPr>
        <w:t>Oehmke</w:t>
      </w:r>
      <w:proofErr w:type="spellEnd"/>
      <w:r w:rsidR="00CC51D6">
        <w:rPr>
          <w:rFonts w:ascii="Times New Roman" w:hAnsi="Times New Roman" w:cs="Times New Roman"/>
          <w:sz w:val="24"/>
          <w:szCs w:val="24"/>
        </w:rPr>
        <w:t xml:space="preserve"> (2014) argue that a ban can prevent a stock price decline that may force a bank to sell-off assets (typically at fire sale prices)</w:t>
      </w:r>
      <w:r w:rsidR="00E15133">
        <w:rPr>
          <w:rFonts w:ascii="Times New Roman" w:hAnsi="Times New Roman" w:cs="Times New Roman"/>
          <w:sz w:val="24"/>
          <w:szCs w:val="24"/>
        </w:rPr>
        <w:t>,</w:t>
      </w:r>
      <w:r w:rsidR="00CC51D6">
        <w:rPr>
          <w:rFonts w:ascii="Times New Roman" w:hAnsi="Times New Roman" w:cs="Times New Roman"/>
          <w:sz w:val="24"/>
          <w:szCs w:val="24"/>
        </w:rPr>
        <w:t xml:space="preserve"> to prevent them from hitting a leverage ratio constraint. </w:t>
      </w:r>
      <w:r w:rsidRPr="00A55D71">
        <w:rPr>
          <w:rFonts w:ascii="Times New Roman" w:hAnsi="Times New Roman" w:cs="Times New Roman"/>
          <w:sz w:val="24"/>
          <w:szCs w:val="24"/>
        </w:rPr>
        <w:t xml:space="preserve">However, </w:t>
      </w:r>
      <w:proofErr w:type="spellStart"/>
      <w:r w:rsidRPr="00A55D71">
        <w:rPr>
          <w:rFonts w:ascii="Times New Roman" w:hAnsi="Times New Roman" w:cs="Times New Roman"/>
          <w:sz w:val="24"/>
          <w:szCs w:val="24"/>
        </w:rPr>
        <w:t>Beber</w:t>
      </w:r>
      <w:proofErr w:type="spellEnd"/>
      <w:r>
        <w:rPr>
          <w:rFonts w:ascii="Times New Roman" w:hAnsi="Times New Roman" w:cs="Times New Roman"/>
          <w:sz w:val="24"/>
          <w:szCs w:val="24"/>
        </w:rPr>
        <w:t xml:space="preserve"> et al (2017) fi</w:t>
      </w:r>
      <w:r w:rsidRPr="00A55D71">
        <w:rPr>
          <w:rFonts w:ascii="Times New Roman" w:hAnsi="Times New Roman" w:cs="Times New Roman"/>
          <w:sz w:val="24"/>
          <w:szCs w:val="24"/>
        </w:rPr>
        <w:t>nd that such short selling bans, on the contrary, increase the default probability of vulnerable financial insti</w:t>
      </w:r>
      <w:r>
        <w:rPr>
          <w:rFonts w:ascii="Times New Roman" w:hAnsi="Times New Roman" w:cs="Times New Roman"/>
          <w:sz w:val="24"/>
          <w:szCs w:val="24"/>
        </w:rPr>
        <w:t xml:space="preserve">tutions and </w:t>
      </w:r>
      <w:r w:rsidR="00CC51D6">
        <w:rPr>
          <w:rFonts w:ascii="Times New Roman" w:hAnsi="Times New Roman" w:cs="Times New Roman"/>
          <w:sz w:val="24"/>
          <w:szCs w:val="24"/>
        </w:rPr>
        <w:t xml:space="preserve">can </w:t>
      </w:r>
      <w:r>
        <w:rPr>
          <w:rFonts w:ascii="Times New Roman" w:hAnsi="Times New Roman" w:cs="Times New Roman"/>
          <w:sz w:val="24"/>
          <w:szCs w:val="24"/>
        </w:rPr>
        <w:t>further destabilize the</w:t>
      </w:r>
      <w:r w:rsidRPr="00A55D71">
        <w:rPr>
          <w:rFonts w:ascii="Times New Roman" w:hAnsi="Times New Roman" w:cs="Times New Roman"/>
          <w:sz w:val="24"/>
          <w:szCs w:val="24"/>
        </w:rPr>
        <w:t xml:space="preserve"> market. </w:t>
      </w:r>
      <w:r w:rsidR="00CC51D6">
        <w:rPr>
          <w:rFonts w:ascii="Times New Roman" w:hAnsi="Times New Roman" w:cs="Times New Roman"/>
          <w:sz w:val="24"/>
          <w:szCs w:val="24"/>
        </w:rPr>
        <w:t xml:space="preserve">Notably, they argue that the market may interpret the inception of the ban as an indicator that bank fundamentals are weaker than previously thought. Combined with lower levels of liquidity in the market, this may drive down bank </w:t>
      </w:r>
      <w:r w:rsidR="00CC51D6">
        <w:rPr>
          <w:rFonts w:ascii="Times New Roman" w:hAnsi="Times New Roman" w:cs="Times New Roman"/>
          <w:sz w:val="24"/>
          <w:szCs w:val="24"/>
        </w:rPr>
        <w:lastRenderedPageBreak/>
        <w:t>share prices anyway.</w:t>
      </w:r>
      <w:r w:rsidR="002431F8">
        <w:rPr>
          <w:rFonts w:ascii="Times New Roman" w:hAnsi="Times New Roman" w:cs="Times New Roman"/>
          <w:sz w:val="24"/>
          <w:szCs w:val="24"/>
        </w:rPr>
        <w:t xml:space="preserve"> Related, in terms of the negative aspects of the ban, </w:t>
      </w:r>
      <w:r w:rsidR="002431F8">
        <w:rPr>
          <w:rFonts w:ascii="Times" w:hAnsi="Times"/>
        </w:rPr>
        <w:t>Fang et al</w:t>
      </w:r>
      <w:r w:rsidR="00E15133">
        <w:rPr>
          <w:rFonts w:ascii="Times" w:hAnsi="Times"/>
        </w:rPr>
        <w:t xml:space="preserve"> (</w:t>
      </w:r>
      <w:r w:rsidR="002431F8">
        <w:rPr>
          <w:rFonts w:ascii="Times" w:hAnsi="Times"/>
        </w:rPr>
        <w:t>2015</w:t>
      </w:r>
      <w:r w:rsidR="00E15133">
        <w:rPr>
          <w:rFonts w:ascii="Times" w:hAnsi="Times"/>
        </w:rPr>
        <w:t>)</w:t>
      </w:r>
      <w:r w:rsidR="002431F8">
        <w:rPr>
          <w:rFonts w:ascii="Times" w:hAnsi="Times"/>
        </w:rPr>
        <w:t xml:space="preserve"> argue that managerial behaviour is worse during the ban period.</w:t>
      </w:r>
    </w:p>
    <w:p w14:paraId="7AC19252" w14:textId="52176A69" w:rsidR="00C8567C" w:rsidRPr="00846B0F" w:rsidRDefault="00C8567C" w:rsidP="00C8567C">
      <w:pPr>
        <w:spacing w:after="0" w:line="480" w:lineRule="auto"/>
        <w:ind w:firstLine="720"/>
        <w:jc w:val="both"/>
        <w:rPr>
          <w:rFonts w:ascii="Times New Roman" w:hAnsi="Times New Roman" w:cs="Times New Roman"/>
          <w:bCs/>
          <w:sz w:val="24"/>
          <w:szCs w:val="24"/>
        </w:rPr>
      </w:pPr>
      <w:r w:rsidRPr="00846B0F">
        <w:rPr>
          <w:rFonts w:ascii="Times New Roman" w:hAnsi="Times New Roman" w:cs="Times New Roman"/>
          <w:bCs/>
          <w:sz w:val="24"/>
          <w:szCs w:val="24"/>
        </w:rPr>
        <w:t>Liu (2015) show that prevention of short sales could stop price fall</w:t>
      </w:r>
      <w:r w:rsidR="00E15133" w:rsidRPr="00846B0F">
        <w:rPr>
          <w:rFonts w:ascii="Times New Roman" w:hAnsi="Times New Roman" w:cs="Times New Roman"/>
          <w:bCs/>
          <w:sz w:val="24"/>
          <w:szCs w:val="24"/>
        </w:rPr>
        <w:t>s</w:t>
      </w:r>
      <w:r w:rsidR="00761581" w:rsidRPr="00846B0F">
        <w:rPr>
          <w:rFonts w:ascii="Times New Roman" w:hAnsi="Times New Roman" w:cs="Times New Roman"/>
          <w:bCs/>
          <w:sz w:val="24"/>
          <w:szCs w:val="24"/>
        </w:rPr>
        <w:t>. This is because</w:t>
      </w:r>
      <w:r w:rsidRPr="00846B0F">
        <w:rPr>
          <w:rFonts w:ascii="Times New Roman" w:hAnsi="Times New Roman" w:cs="Times New Roman"/>
          <w:bCs/>
          <w:sz w:val="24"/>
          <w:szCs w:val="24"/>
        </w:rPr>
        <w:t xml:space="preserve"> the strategic short sellers tend to deteriorate the funding conditions and </w:t>
      </w:r>
      <w:r w:rsidR="00761581" w:rsidRPr="00846B0F">
        <w:rPr>
          <w:rFonts w:ascii="Times New Roman" w:hAnsi="Times New Roman" w:cs="Times New Roman"/>
          <w:bCs/>
          <w:sz w:val="24"/>
          <w:szCs w:val="24"/>
        </w:rPr>
        <w:t>set back the restoration of an</w:t>
      </w:r>
      <w:r w:rsidRPr="00846B0F">
        <w:rPr>
          <w:rFonts w:ascii="Times New Roman" w:hAnsi="Times New Roman" w:cs="Times New Roman"/>
          <w:bCs/>
          <w:sz w:val="24"/>
          <w:szCs w:val="24"/>
        </w:rPr>
        <w:t xml:space="preserve"> orderly market</w:t>
      </w:r>
      <w:r w:rsidR="00761581" w:rsidRPr="00846B0F">
        <w:rPr>
          <w:rFonts w:ascii="Times New Roman" w:hAnsi="Times New Roman" w:cs="Times New Roman"/>
          <w:bCs/>
          <w:sz w:val="24"/>
          <w:szCs w:val="24"/>
        </w:rPr>
        <w:t xml:space="preserve"> where investors would be confident to trade and</w:t>
      </w:r>
      <w:r w:rsidRPr="00846B0F">
        <w:rPr>
          <w:rFonts w:ascii="Times New Roman" w:hAnsi="Times New Roman" w:cs="Times New Roman"/>
          <w:bCs/>
          <w:sz w:val="24"/>
          <w:szCs w:val="24"/>
        </w:rPr>
        <w:t xml:space="preserve"> raise new funds. </w:t>
      </w:r>
      <w:r w:rsidR="00761581" w:rsidRPr="00846B0F">
        <w:rPr>
          <w:rFonts w:ascii="Times New Roman" w:hAnsi="Times New Roman" w:cs="Times New Roman"/>
          <w:bCs/>
          <w:sz w:val="24"/>
          <w:szCs w:val="24"/>
        </w:rPr>
        <w:t>Through prohibition of short sales, t</w:t>
      </w:r>
      <w:r w:rsidRPr="00846B0F">
        <w:rPr>
          <w:rFonts w:ascii="Times New Roman" w:hAnsi="Times New Roman" w:cs="Times New Roman"/>
          <w:bCs/>
          <w:sz w:val="24"/>
          <w:szCs w:val="24"/>
        </w:rPr>
        <w:t xml:space="preserve">he fundamental values of stocks would gradually stabilize through a price discovery process (similar to Miller, 1977; Diamond and </w:t>
      </w:r>
      <w:proofErr w:type="spellStart"/>
      <w:r w:rsidRPr="00846B0F">
        <w:rPr>
          <w:rFonts w:ascii="Times New Roman" w:hAnsi="Times New Roman" w:cs="Times New Roman"/>
          <w:bCs/>
          <w:sz w:val="24"/>
          <w:szCs w:val="24"/>
        </w:rPr>
        <w:t>Verrecchia</w:t>
      </w:r>
      <w:proofErr w:type="spellEnd"/>
      <w:r w:rsidRPr="00846B0F">
        <w:rPr>
          <w:rFonts w:ascii="Times New Roman" w:hAnsi="Times New Roman" w:cs="Times New Roman"/>
          <w:bCs/>
          <w:sz w:val="24"/>
          <w:szCs w:val="24"/>
        </w:rPr>
        <w:t>, 1987; Bai et al., 2006; Hong and Stein, 2003).</w:t>
      </w:r>
    </w:p>
    <w:p w14:paraId="46D502F5" w14:textId="1D0410DD" w:rsidR="009D0A78" w:rsidRPr="00A47D41" w:rsidRDefault="009D0A78" w:rsidP="00F03CE7">
      <w:pPr>
        <w:spacing w:after="0" w:line="480" w:lineRule="auto"/>
        <w:ind w:firstLine="720"/>
        <w:jc w:val="both"/>
        <w:rPr>
          <w:rFonts w:ascii="Times New Roman" w:hAnsi="Times New Roman" w:cs="Times New Roman"/>
          <w:sz w:val="24"/>
          <w:szCs w:val="24"/>
        </w:rPr>
      </w:pPr>
      <w:r w:rsidRPr="00A47D41">
        <w:rPr>
          <w:rFonts w:ascii="Times New Roman" w:hAnsi="Times New Roman" w:cs="Times New Roman"/>
          <w:sz w:val="24"/>
          <w:szCs w:val="24"/>
        </w:rPr>
        <w:t xml:space="preserve">In summary, the </w:t>
      </w:r>
      <w:r w:rsidR="00EE1978">
        <w:rPr>
          <w:rFonts w:ascii="Times New Roman" w:hAnsi="Times New Roman" w:cs="Times New Roman"/>
          <w:sz w:val="24"/>
          <w:szCs w:val="24"/>
        </w:rPr>
        <w:t xml:space="preserve">existing </w:t>
      </w:r>
      <w:r w:rsidRPr="00A47D41">
        <w:rPr>
          <w:rFonts w:ascii="Times New Roman" w:hAnsi="Times New Roman" w:cs="Times New Roman"/>
          <w:sz w:val="24"/>
          <w:szCs w:val="24"/>
        </w:rPr>
        <w:t xml:space="preserve">literature </w:t>
      </w:r>
      <w:r w:rsidR="00EE1978">
        <w:rPr>
          <w:rFonts w:ascii="Times New Roman" w:hAnsi="Times New Roman" w:cs="Times New Roman"/>
          <w:sz w:val="24"/>
          <w:szCs w:val="24"/>
        </w:rPr>
        <w:t>supports the contention that changes to the flow of information and its transmission across markets can be impacted by shocks arising from extreme market events.</w:t>
      </w:r>
      <w:r w:rsidRPr="00A47D41">
        <w:rPr>
          <w:rFonts w:ascii="Times New Roman" w:hAnsi="Times New Roman" w:cs="Times New Roman"/>
          <w:sz w:val="24"/>
          <w:szCs w:val="24"/>
        </w:rPr>
        <w:t xml:space="preserve"> </w:t>
      </w:r>
      <w:r w:rsidR="002C7287">
        <w:rPr>
          <w:rFonts w:ascii="Times New Roman" w:hAnsi="Times New Roman" w:cs="Times New Roman"/>
          <w:sz w:val="24"/>
          <w:szCs w:val="24"/>
        </w:rPr>
        <w:t xml:space="preserve">In this paper, </w:t>
      </w:r>
      <w:r w:rsidR="002C7287" w:rsidRPr="002C7287">
        <w:rPr>
          <w:rFonts w:ascii="Times New Roman" w:hAnsi="Times New Roman" w:cs="Times New Roman"/>
          <w:sz w:val="24"/>
          <w:szCs w:val="24"/>
        </w:rPr>
        <w:t xml:space="preserve">we attempt to identify </w:t>
      </w:r>
      <w:r w:rsidR="002C7287">
        <w:rPr>
          <w:rFonts w:ascii="Times New Roman" w:hAnsi="Times New Roman" w:cs="Times New Roman"/>
          <w:sz w:val="24"/>
          <w:szCs w:val="24"/>
        </w:rPr>
        <w:t xml:space="preserve">changes to information transmission resulting from </w:t>
      </w:r>
      <w:r w:rsidR="002C7287" w:rsidRPr="002C7287">
        <w:rPr>
          <w:rFonts w:ascii="Times New Roman" w:hAnsi="Times New Roman" w:cs="Times New Roman"/>
          <w:sz w:val="24"/>
          <w:szCs w:val="24"/>
        </w:rPr>
        <w:t xml:space="preserve">the shock </w:t>
      </w:r>
      <w:r w:rsidR="00EE1978">
        <w:rPr>
          <w:rFonts w:ascii="Times New Roman" w:hAnsi="Times New Roman" w:cs="Times New Roman"/>
          <w:sz w:val="24"/>
          <w:szCs w:val="24"/>
        </w:rPr>
        <w:t xml:space="preserve">that began with the </w:t>
      </w:r>
      <w:r w:rsidR="002C7287" w:rsidRPr="002C7287">
        <w:rPr>
          <w:rFonts w:ascii="Times New Roman" w:hAnsi="Times New Roman" w:cs="Times New Roman"/>
          <w:sz w:val="24"/>
          <w:szCs w:val="24"/>
        </w:rPr>
        <w:t>demise of Lehman Brothers in 2008</w:t>
      </w:r>
      <w:r w:rsidR="00EE1978">
        <w:rPr>
          <w:rFonts w:ascii="Times New Roman" w:hAnsi="Times New Roman" w:cs="Times New Roman"/>
          <w:sz w:val="24"/>
          <w:szCs w:val="24"/>
        </w:rPr>
        <w:t>.</w:t>
      </w:r>
      <w:r w:rsidR="002C7287">
        <w:rPr>
          <w:rFonts w:ascii="Times New Roman" w:hAnsi="Times New Roman" w:cs="Times New Roman"/>
          <w:sz w:val="24"/>
          <w:szCs w:val="24"/>
        </w:rPr>
        <w:t xml:space="preserve"> Of particular note, we wish to see whether the market turbulence </w:t>
      </w:r>
      <w:r w:rsidR="002C7287" w:rsidRPr="002C7287">
        <w:rPr>
          <w:rFonts w:ascii="Times New Roman" w:hAnsi="Times New Roman" w:cs="Times New Roman"/>
          <w:sz w:val="24"/>
          <w:szCs w:val="24"/>
        </w:rPr>
        <w:t>induced portfolio re-balancing by market participants</w:t>
      </w:r>
      <w:r w:rsidR="002C7287">
        <w:rPr>
          <w:rFonts w:ascii="Times New Roman" w:hAnsi="Times New Roman" w:cs="Times New Roman"/>
          <w:sz w:val="24"/>
          <w:szCs w:val="24"/>
        </w:rPr>
        <w:t xml:space="preserve"> such that </w:t>
      </w:r>
      <w:r w:rsidR="002C7287" w:rsidRPr="002C7287">
        <w:rPr>
          <w:rFonts w:ascii="Times New Roman" w:hAnsi="Times New Roman" w:cs="Times New Roman"/>
          <w:sz w:val="24"/>
          <w:szCs w:val="24"/>
        </w:rPr>
        <w:t>investors tak</w:t>
      </w:r>
      <w:r w:rsidR="002C7287">
        <w:rPr>
          <w:rFonts w:ascii="Times New Roman" w:hAnsi="Times New Roman" w:cs="Times New Roman"/>
          <w:sz w:val="24"/>
          <w:szCs w:val="24"/>
        </w:rPr>
        <w:t xml:space="preserve">e </w:t>
      </w:r>
      <w:r w:rsidR="002C7287" w:rsidRPr="002C7287">
        <w:rPr>
          <w:rFonts w:ascii="Times New Roman" w:hAnsi="Times New Roman" w:cs="Times New Roman"/>
          <w:sz w:val="24"/>
          <w:szCs w:val="24"/>
        </w:rPr>
        <w:t xml:space="preserve">more notice of </w:t>
      </w:r>
      <w:r w:rsidR="002C7287">
        <w:rPr>
          <w:rFonts w:ascii="Times New Roman" w:hAnsi="Times New Roman" w:cs="Times New Roman"/>
          <w:sz w:val="24"/>
          <w:szCs w:val="24"/>
        </w:rPr>
        <w:t xml:space="preserve">information emanating from </w:t>
      </w:r>
      <w:r w:rsidR="002C7287" w:rsidRPr="002C7287">
        <w:rPr>
          <w:rFonts w:ascii="Times New Roman" w:hAnsi="Times New Roman" w:cs="Times New Roman"/>
          <w:sz w:val="24"/>
          <w:szCs w:val="24"/>
        </w:rPr>
        <w:t>risk</w:t>
      </w:r>
      <w:r w:rsidR="002C7287">
        <w:rPr>
          <w:rFonts w:ascii="Times New Roman" w:hAnsi="Times New Roman" w:cs="Times New Roman"/>
          <w:sz w:val="24"/>
          <w:szCs w:val="24"/>
        </w:rPr>
        <w:t>y markets.</w:t>
      </w:r>
      <w:r w:rsidRPr="00A47D41">
        <w:rPr>
          <w:rFonts w:ascii="Times New Roman" w:hAnsi="Times New Roman" w:cs="Times New Roman"/>
          <w:sz w:val="24"/>
          <w:szCs w:val="24"/>
        </w:rPr>
        <w:t xml:space="preserve">  </w:t>
      </w:r>
    </w:p>
    <w:p w14:paraId="141E0AC6" w14:textId="77777777" w:rsidR="00CD0A7B" w:rsidRPr="00A47D41" w:rsidRDefault="00CD0A7B" w:rsidP="00F03CE7">
      <w:pPr>
        <w:spacing w:after="0" w:line="480" w:lineRule="auto"/>
        <w:rPr>
          <w:rFonts w:ascii="Times New Roman" w:hAnsi="Times New Roman" w:cs="Times New Roman"/>
          <w:b/>
        </w:rPr>
      </w:pPr>
    </w:p>
    <w:p w14:paraId="35135478" w14:textId="2CCB0B7F" w:rsidR="00617A95" w:rsidRDefault="00355487" w:rsidP="00CD0A7B">
      <w:pPr>
        <w:widowControl w:val="0"/>
        <w:spacing w:after="0" w:line="480" w:lineRule="auto"/>
        <w:rPr>
          <w:rFonts w:ascii="Times New Roman" w:hAnsi="Times New Roman" w:cs="Times New Roman"/>
          <w:b/>
        </w:rPr>
      </w:pPr>
      <w:r w:rsidRPr="00A47D41">
        <w:rPr>
          <w:rFonts w:ascii="Times New Roman" w:hAnsi="Times New Roman" w:cs="Times New Roman"/>
          <w:b/>
        </w:rPr>
        <w:t xml:space="preserve">3. </w:t>
      </w:r>
      <w:r w:rsidR="008E60D9">
        <w:rPr>
          <w:rFonts w:ascii="Times New Roman" w:hAnsi="Times New Roman" w:cs="Times New Roman"/>
          <w:b/>
        </w:rPr>
        <w:t xml:space="preserve">Hypotheses and </w:t>
      </w:r>
      <w:r w:rsidRPr="00A47D41">
        <w:rPr>
          <w:rFonts w:ascii="Times New Roman" w:hAnsi="Times New Roman" w:cs="Times New Roman"/>
          <w:b/>
        </w:rPr>
        <w:t>Empirical Methodology</w:t>
      </w:r>
      <w:r w:rsidR="00D8491C">
        <w:rPr>
          <w:rFonts w:ascii="Times New Roman" w:hAnsi="Times New Roman" w:cs="Times New Roman"/>
          <w:b/>
        </w:rPr>
        <w:t>.</w:t>
      </w:r>
    </w:p>
    <w:p w14:paraId="79ED238D" w14:textId="1979D6DB" w:rsidR="00CD0A7B" w:rsidRPr="007066F9" w:rsidRDefault="007066F9" w:rsidP="00CD0A7B">
      <w:pPr>
        <w:widowControl w:val="0"/>
        <w:spacing w:after="0" w:line="480" w:lineRule="auto"/>
        <w:jc w:val="both"/>
        <w:rPr>
          <w:rFonts w:ascii="Times New Roman" w:hAnsi="Times New Roman" w:cs="Times New Roman"/>
          <w:i/>
          <w:sz w:val="24"/>
          <w:szCs w:val="24"/>
        </w:rPr>
      </w:pPr>
      <w:r w:rsidRPr="007066F9">
        <w:rPr>
          <w:rFonts w:ascii="Times New Roman" w:hAnsi="Times New Roman" w:cs="Times New Roman"/>
          <w:i/>
          <w:sz w:val="24"/>
          <w:szCs w:val="24"/>
        </w:rPr>
        <w:t>Hypothesis Formation</w:t>
      </w:r>
    </w:p>
    <w:p w14:paraId="2945ADD7" w14:textId="37E16B6D" w:rsidR="000F7C1E" w:rsidRDefault="008E60D9" w:rsidP="00CD0A7B">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key aim of this paper is to consider the effect of the</w:t>
      </w:r>
      <w:r w:rsidR="005435BF">
        <w:rPr>
          <w:rFonts w:ascii="Times New Roman" w:hAnsi="Times New Roman" w:cs="Times New Roman"/>
          <w:sz w:val="24"/>
          <w:szCs w:val="24"/>
        </w:rPr>
        <w:t xml:space="preserve"> market turmoil </w:t>
      </w:r>
      <w:r w:rsidR="00C528B5">
        <w:rPr>
          <w:rFonts w:ascii="Times New Roman" w:hAnsi="Times New Roman" w:cs="Times New Roman"/>
          <w:sz w:val="24"/>
          <w:szCs w:val="24"/>
        </w:rPr>
        <w:t xml:space="preserve">that began with </w:t>
      </w:r>
      <w:r w:rsidR="005435BF">
        <w:rPr>
          <w:rFonts w:ascii="Times New Roman" w:hAnsi="Times New Roman" w:cs="Times New Roman"/>
          <w:sz w:val="24"/>
          <w:szCs w:val="24"/>
        </w:rPr>
        <w:t>the collapse of Lehman</w:t>
      </w:r>
      <w:r w:rsidR="00C528B5">
        <w:rPr>
          <w:rFonts w:ascii="Times New Roman" w:hAnsi="Times New Roman" w:cs="Times New Roman"/>
          <w:sz w:val="24"/>
          <w:szCs w:val="24"/>
        </w:rPr>
        <w:t xml:space="preserve">’s, the introduction of the </w:t>
      </w:r>
      <w:r>
        <w:rPr>
          <w:rFonts w:ascii="Times New Roman" w:hAnsi="Times New Roman" w:cs="Times New Roman"/>
          <w:sz w:val="24"/>
          <w:szCs w:val="24"/>
        </w:rPr>
        <w:t xml:space="preserve">short selling ban </w:t>
      </w:r>
      <w:r w:rsidR="00C528B5">
        <w:rPr>
          <w:rFonts w:ascii="Times New Roman" w:hAnsi="Times New Roman" w:cs="Times New Roman"/>
          <w:sz w:val="24"/>
          <w:szCs w:val="24"/>
        </w:rPr>
        <w:t xml:space="preserve">and other news revealed to the market impacted </w:t>
      </w:r>
      <w:r>
        <w:rPr>
          <w:rFonts w:ascii="Times New Roman" w:hAnsi="Times New Roman" w:cs="Times New Roman"/>
          <w:sz w:val="24"/>
          <w:szCs w:val="24"/>
        </w:rPr>
        <w:t xml:space="preserve">the </w:t>
      </w:r>
      <w:r w:rsidR="00C528B5">
        <w:rPr>
          <w:rFonts w:ascii="Times New Roman" w:hAnsi="Times New Roman" w:cs="Times New Roman"/>
          <w:sz w:val="24"/>
          <w:szCs w:val="24"/>
        </w:rPr>
        <w:t xml:space="preserve">transmission </w:t>
      </w:r>
      <w:r>
        <w:rPr>
          <w:rFonts w:ascii="Times New Roman" w:hAnsi="Times New Roman" w:cs="Times New Roman"/>
          <w:sz w:val="24"/>
          <w:szCs w:val="24"/>
        </w:rPr>
        <w:t>of information between European markets</w:t>
      </w:r>
      <w:r w:rsidR="00C528B5">
        <w:rPr>
          <w:rFonts w:ascii="Times New Roman" w:hAnsi="Times New Roman" w:cs="Times New Roman"/>
          <w:sz w:val="24"/>
          <w:szCs w:val="24"/>
        </w:rPr>
        <w:t xml:space="preserve">. We split the markets into two </w:t>
      </w:r>
      <w:r>
        <w:rPr>
          <w:rFonts w:ascii="Times New Roman" w:hAnsi="Times New Roman" w:cs="Times New Roman"/>
          <w:sz w:val="24"/>
          <w:szCs w:val="24"/>
        </w:rPr>
        <w:t>categor</w:t>
      </w:r>
      <w:r w:rsidR="00C528B5">
        <w:rPr>
          <w:rFonts w:ascii="Times New Roman" w:hAnsi="Times New Roman" w:cs="Times New Roman"/>
          <w:sz w:val="24"/>
          <w:szCs w:val="24"/>
        </w:rPr>
        <w:t xml:space="preserve">ies, namely </w:t>
      </w:r>
      <w:r>
        <w:rPr>
          <w:rFonts w:ascii="Times New Roman" w:hAnsi="Times New Roman" w:cs="Times New Roman"/>
          <w:sz w:val="24"/>
          <w:szCs w:val="24"/>
        </w:rPr>
        <w:t xml:space="preserve">high risk </w:t>
      </w:r>
      <w:r w:rsidR="007832A1">
        <w:rPr>
          <w:rFonts w:ascii="Times New Roman" w:hAnsi="Times New Roman" w:cs="Times New Roman"/>
          <w:sz w:val="24"/>
          <w:szCs w:val="24"/>
        </w:rPr>
        <w:t xml:space="preserve">(‘risky) </w:t>
      </w:r>
      <w:r>
        <w:rPr>
          <w:rFonts w:ascii="Times New Roman" w:hAnsi="Times New Roman" w:cs="Times New Roman"/>
          <w:sz w:val="24"/>
          <w:szCs w:val="24"/>
        </w:rPr>
        <w:t>and low risk</w:t>
      </w:r>
      <w:r w:rsidR="007832A1">
        <w:rPr>
          <w:rFonts w:ascii="Times New Roman" w:hAnsi="Times New Roman" w:cs="Times New Roman"/>
          <w:sz w:val="24"/>
          <w:szCs w:val="24"/>
        </w:rPr>
        <w:t xml:space="preserve"> (‘safe’) country groups</w:t>
      </w:r>
      <w:r w:rsidR="00C528B5">
        <w:rPr>
          <w:rFonts w:ascii="Times New Roman" w:hAnsi="Times New Roman" w:cs="Times New Roman"/>
          <w:sz w:val="24"/>
          <w:szCs w:val="24"/>
        </w:rPr>
        <w:t xml:space="preserve"> based around the core and periphery markets. We also include the a proxy for </w:t>
      </w:r>
      <w:r w:rsidR="002D09B5">
        <w:rPr>
          <w:rFonts w:ascii="Times New Roman" w:hAnsi="Times New Roman" w:cs="Times New Roman"/>
          <w:sz w:val="24"/>
          <w:szCs w:val="24"/>
        </w:rPr>
        <w:t xml:space="preserve">the </w:t>
      </w:r>
      <w:r>
        <w:rPr>
          <w:rFonts w:ascii="Times New Roman" w:hAnsi="Times New Roman" w:cs="Times New Roman"/>
          <w:sz w:val="24"/>
          <w:szCs w:val="24"/>
        </w:rPr>
        <w:t>world portfolio</w:t>
      </w:r>
      <w:r w:rsidR="00C528B5">
        <w:rPr>
          <w:rFonts w:ascii="Times New Roman" w:hAnsi="Times New Roman" w:cs="Times New Roman"/>
          <w:sz w:val="24"/>
          <w:szCs w:val="24"/>
        </w:rPr>
        <w:t>.</w:t>
      </w:r>
      <w:r>
        <w:rPr>
          <w:rFonts w:ascii="Times New Roman" w:hAnsi="Times New Roman" w:cs="Times New Roman"/>
          <w:sz w:val="24"/>
          <w:szCs w:val="24"/>
        </w:rPr>
        <w:t xml:space="preserve"> It is our contention that the events that </w:t>
      </w:r>
      <w:r w:rsidR="00DE56FF">
        <w:rPr>
          <w:rFonts w:ascii="Times New Roman" w:hAnsi="Times New Roman" w:cs="Times New Roman"/>
          <w:sz w:val="24"/>
          <w:szCs w:val="24"/>
        </w:rPr>
        <w:t>began with Lehman’s</w:t>
      </w:r>
      <w:r w:rsidR="00352588">
        <w:rPr>
          <w:rFonts w:ascii="Times New Roman" w:hAnsi="Times New Roman" w:cs="Times New Roman"/>
          <w:sz w:val="24"/>
          <w:szCs w:val="24"/>
        </w:rPr>
        <w:t>,</w:t>
      </w:r>
      <w:r w:rsidR="00DE56FF">
        <w:rPr>
          <w:rFonts w:ascii="Times New Roman" w:hAnsi="Times New Roman" w:cs="Times New Roman"/>
          <w:sz w:val="24"/>
          <w:szCs w:val="24"/>
        </w:rPr>
        <w:t xml:space="preserve"> </w:t>
      </w:r>
      <w:r>
        <w:rPr>
          <w:rFonts w:ascii="Times New Roman" w:hAnsi="Times New Roman" w:cs="Times New Roman"/>
          <w:sz w:val="24"/>
          <w:szCs w:val="24"/>
        </w:rPr>
        <w:t xml:space="preserve">upset the usual information transmission between markets, notably increasing the amount of idiosyncratic risk within the system. In particular, prior to the events beginning with Lehman, we would </w:t>
      </w:r>
      <w:r>
        <w:rPr>
          <w:rFonts w:ascii="Times New Roman" w:hAnsi="Times New Roman" w:cs="Times New Roman"/>
          <w:sz w:val="24"/>
          <w:szCs w:val="24"/>
        </w:rPr>
        <w:lastRenderedPageBreak/>
        <w:t xml:space="preserve">argue that these three groups of markets would be affected by similar shocks and thus, may exhibit a long-run </w:t>
      </w:r>
      <w:r w:rsidR="00AC20C2">
        <w:rPr>
          <w:rFonts w:ascii="Times New Roman" w:hAnsi="Times New Roman" w:cs="Times New Roman"/>
          <w:sz w:val="24"/>
          <w:szCs w:val="24"/>
        </w:rPr>
        <w:t>relation</w:t>
      </w:r>
      <w:r>
        <w:rPr>
          <w:rFonts w:ascii="Times New Roman" w:hAnsi="Times New Roman" w:cs="Times New Roman"/>
          <w:sz w:val="24"/>
          <w:szCs w:val="24"/>
        </w:rPr>
        <w:t xml:space="preserve"> between </w:t>
      </w:r>
      <w:r w:rsidR="00E72C8E">
        <w:rPr>
          <w:rFonts w:ascii="Times New Roman" w:hAnsi="Times New Roman" w:cs="Times New Roman"/>
          <w:sz w:val="24"/>
          <w:szCs w:val="24"/>
        </w:rPr>
        <w:t>each other</w:t>
      </w:r>
      <w:r>
        <w:rPr>
          <w:rFonts w:ascii="Times New Roman" w:hAnsi="Times New Roman" w:cs="Times New Roman"/>
          <w:sz w:val="24"/>
          <w:szCs w:val="24"/>
        </w:rPr>
        <w:t xml:space="preserve">. That is, global shocks would dominate local shocks in determining the movement of prices. However, after the </w:t>
      </w:r>
      <w:r w:rsidR="004070A3">
        <w:rPr>
          <w:rFonts w:ascii="Times New Roman" w:hAnsi="Times New Roman" w:cs="Times New Roman"/>
          <w:sz w:val="24"/>
          <w:szCs w:val="24"/>
        </w:rPr>
        <w:t xml:space="preserve">start </w:t>
      </w:r>
      <w:r>
        <w:rPr>
          <w:rFonts w:ascii="Times New Roman" w:hAnsi="Times New Roman" w:cs="Times New Roman"/>
          <w:sz w:val="24"/>
          <w:szCs w:val="24"/>
        </w:rPr>
        <w:t xml:space="preserve">of the crisis, idiosyncratic shocks would have </w:t>
      </w:r>
      <w:r w:rsidR="00DE56FF">
        <w:rPr>
          <w:rFonts w:ascii="Times New Roman" w:hAnsi="Times New Roman" w:cs="Times New Roman"/>
          <w:sz w:val="24"/>
          <w:szCs w:val="24"/>
        </w:rPr>
        <w:t xml:space="preserve">a </w:t>
      </w:r>
      <w:r>
        <w:rPr>
          <w:rFonts w:ascii="Times New Roman" w:hAnsi="Times New Roman" w:cs="Times New Roman"/>
          <w:sz w:val="24"/>
          <w:szCs w:val="24"/>
        </w:rPr>
        <w:t xml:space="preserve">relatively greater </w:t>
      </w:r>
      <w:r w:rsidR="00E72C8E">
        <w:rPr>
          <w:rFonts w:ascii="Times New Roman" w:hAnsi="Times New Roman" w:cs="Times New Roman"/>
          <w:sz w:val="24"/>
          <w:szCs w:val="24"/>
        </w:rPr>
        <w:t xml:space="preserve">effect </w:t>
      </w:r>
      <w:r>
        <w:rPr>
          <w:rFonts w:ascii="Times New Roman" w:hAnsi="Times New Roman" w:cs="Times New Roman"/>
          <w:sz w:val="24"/>
          <w:szCs w:val="24"/>
        </w:rPr>
        <w:t xml:space="preserve">on price movements such that high and low risk stocks would move apart. With respect to </w:t>
      </w:r>
      <w:proofErr w:type="spellStart"/>
      <w:r>
        <w:rPr>
          <w:rFonts w:ascii="Times New Roman" w:hAnsi="Times New Roman" w:cs="Times New Roman"/>
          <w:sz w:val="24"/>
          <w:szCs w:val="24"/>
        </w:rPr>
        <w:t>spillovers</w:t>
      </w:r>
      <w:proofErr w:type="spellEnd"/>
      <w:r>
        <w:rPr>
          <w:rFonts w:ascii="Times New Roman" w:hAnsi="Times New Roman" w:cs="Times New Roman"/>
          <w:sz w:val="24"/>
          <w:szCs w:val="24"/>
        </w:rPr>
        <w:t xml:space="preserve"> in both mean and variance, we would </w:t>
      </w:r>
      <w:r w:rsidR="00BD7C3A">
        <w:rPr>
          <w:rFonts w:ascii="Times New Roman" w:hAnsi="Times New Roman" w:cs="Times New Roman"/>
          <w:sz w:val="24"/>
          <w:szCs w:val="24"/>
        </w:rPr>
        <w:t xml:space="preserve">anticipate </w:t>
      </w:r>
      <w:r>
        <w:rPr>
          <w:rFonts w:ascii="Times New Roman" w:hAnsi="Times New Roman" w:cs="Times New Roman"/>
          <w:sz w:val="24"/>
          <w:szCs w:val="24"/>
        </w:rPr>
        <w:t xml:space="preserve">that prior to the crisis </w:t>
      </w:r>
      <w:proofErr w:type="spellStart"/>
      <w:r>
        <w:rPr>
          <w:rFonts w:ascii="Times New Roman" w:hAnsi="Times New Roman" w:cs="Times New Roman"/>
          <w:sz w:val="24"/>
          <w:szCs w:val="24"/>
        </w:rPr>
        <w:t>spillover</w:t>
      </w:r>
      <w:r w:rsidR="00E72C8E">
        <w:rPr>
          <w:rFonts w:ascii="Times New Roman" w:hAnsi="Times New Roman" w:cs="Times New Roman"/>
          <w:sz w:val="24"/>
          <w:szCs w:val="24"/>
        </w:rPr>
        <w:t>s</w:t>
      </w:r>
      <w:proofErr w:type="spellEnd"/>
      <w:r>
        <w:rPr>
          <w:rFonts w:ascii="Times New Roman" w:hAnsi="Times New Roman" w:cs="Times New Roman"/>
          <w:sz w:val="24"/>
          <w:szCs w:val="24"/>
        </w:rPr>
        <w:t xml:space="preserve"> would largely emanate from low risk towards high risk markets as these would contain global effects</w:t>
      </w:r>
      <w:r w:rsidR="00BD7C3A">
        <w:rPr>
          <w:rFonts w:ascii="Times New Roman" w:hAnsi="Times New Roman" w:cs="Times New Roman"/>
          <w:sz w:val="24"/>
          <w:szCs w:val="24"/>
        </w:rPr>
        <w:t>;</w:t>
      </w:r>
      <w:r>
        <w:rPr>
          <w:rFonts w:ascii="Times New Roman" w:hAnsi="Times New Roman" w:cs="Times New Roman"/>
          <w:sz w:val="24"/>
          <w:szCs w:val="24"/>
        </w:rPr>
        <w:t xml:space="preserve"> however, after the crisis, shocks to high risk markets would now </w:t>
      </w:r>
      <w:proofErr w:type="spellStart"/>
      <w:r>
        <w:rPr>
          <w:rFonts w:ascii="Times New Roman" w:hAnsi="Times New Roman" w:cs="Times New Roman"/>
          <w:sz w:val="24"/>
          <w:szCs w:val="24"/>
        </w:rPr>
        <w:t>spillover</w:t>
      </w:r>
      <w:proofErr w:type="spellEnd"/>
      <w:r>
        <w:rPr>
          <w:rFonts w:ascii="Times New Roman" w:hAnsi="Times New Roman" w:cs="Times New Roman"/>
          <w:sz w:val="24"/>
          <w:szCs w:val="24"/>
        </w:rPr>
        <w:t xml:space="preserve"> to other markets due to the potential for greater instability. </w:t>
      </w:r>
    </w:p>
    <w:p w14:paraId="57FD55AD" w14:textId="0047C481" w:rsidR="008E60D9" w:rsidRDefault="008E60D9" w:rsidP="00E749B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Therefore, we postulate three hypotheses concerning the information transition mechanism between </w:t>
      </w:r>
      <w:r w:rsidR="002D6E1C">
        <w:rPr>
          <w:rFonts w:ascii="Times New Roman" w:hAnsi="Times New Roman" w:cs="Times New Roman"/>
          <w:sz w:val="24"/>
          <w:szCs w:val="24"/>
        </w:rPr>
        <w:t xml:space="preserve">high and low risk European markets. </w:t>
      </w:r>
      <w:r w:rsidR="008E166E" w:rsidRPr="008E166E">
        <w:rPr>
          <w:rFonts w:ascii="Times New Roman" w:hAnsi="Times New Roman" w:cs="Times New Roman"/>
        </w:rPr>
        <w:t>First, we hypothesise that any long-run cointegrating relation between high and low risk markets broke down following the events of September 2008.</w:t>
      </w:r>
      <w:r w:rsidR="008E166E" w:rsidRPr="008E166E">
        <w:rPr>
          <w:rFonts w:ascii="Times New Roman" w:hAnsi="Times New Roman" w:cs="Times New Roman"/>
          <w:sz w:val="24"/>
          <w:szCs w:val="24"/>
        </w:rPr>
        <w:t xml:space="preserve"> </w:t>
      </w:r>
      <w:r w:rsidR="000D42C0">
        <w:rPr>
          <w:rFonts w:ascii="Times New Roman" w:hAnsi="Times New Roman" w:cs="Times New Roman"/>
          <w:sz w:val="24"/>
          <w:szCs w:val="24"/>
        </w:rPr>
        <w:t>While our second and third h</w:t>
      </w:r>
      <w:r w:rsidR="00E72C8E">
        <w:rPr>
          <w:rFonts w:ascii="Times New Roman" w:hAnsi="Times New Roman" w:cs="Times New Roman"/>
          <w:sz w:val="24"/>
          <w:szCs w:val="24"/>
        </w:rPr>
        <w:t xml:space="preserve">ypotheses </w:t>
      </w:r>
      <w:r w:rsidR="006757C2">
        <w:rPr>
          <w:rFonts w:ascii="Times New Roman" w:hAnsi="Times New Roman" w:cs="Times New Roman"/>
          <w:sz w:val="24"/>
          <w:szCs w:val="24"/>
        </w:rPr>
        <w:t xml:space="preserve">consider the direction of causality </w:t>
      </w:r>
      <w:r w:rsidR="000D42C0">
        <w:rPr>
          <w:rFonts w:ascii="Times New Roman" w:hAnsi="Times New Roman" w:cs="Times New Roman"/>
          <w:sz w:val="24"/>
          <w:szCs w:val="24"/>
        </w:rPr>
        <w:t xml:space="preserve">between </w:t>
      </w:r>
      <w:r w:rsidR="006757C2">
        <w:rPr>
          <w:rFonts w:ascii="Times New Roman" w:hAnsi="Times New Roman" w:cs="Times New Roman"/>
          <w:sz w:val="24"/>
          <w:szCs w:val="24"/>
        </w:rPr>
        <w:t xml:space="preserve">these markets. In particular, hypothesis </w:t>
      </w:r>
      <w:r w:rsidR="000D42C0">
        <w:rPr>
          <w:rFonts w:ascii="Times New Roman" w:hAnsi="Times New Roman" w:cs="Times New Roman"/>
          <w:sz w:val="24"/>
          <w:szCs w:val="24"/>
        </w:rPr>
        <w:t>two</w:t>
      </w:r>
      <w:r w:rsidR="006757C2">
        <w:rPr>
          <w:rFonts w:ascii="Times New Roman" w:hAnsi="Times New Roman" w:cs="Times New Roman"/>
          <w:sz w:val="24"/>
          <w:szCs w:val="24"/>
        </w:rPr>
        <w:t xml:space="preserve"> concerns causality in mean, while hypothesis </w:t>
      </w:r>
      <w:r w:rsidR="000D42C0">
        <w:rPr>
          <w:rFonts w:ascii="Times New Roman" w:hAnsi="Times New Roman" w:cs="Times New Roman"/>
          <w:sz w:val="24"/>
          <w:szCs w:val="24"/>
        </w:rPr>
        <w:t>three</w:t>
      </w:r>
      <w:r w:rsidR="006757C2">
        <w:rPr>
          <w:rFonts w:ascii="Times New Roman" w:hAnsi="Times New Roman" w:cs="Times New Roman"/>
          <w:sz w:val="24"/>
          <w:szCs w:val="24"/>
        </w:rPr>
        <w:t xml:space="preserve"> concerns causality in variance. Specifically, we argue </w:t>
      </w:r>
      <w:r w:rsidR="00E72C8E">
        <w:rPr>
          <w:rFonts w:ascii="Times New Roman" w:hAnsi="Times New Roman" w:cs="Times New Roman"/>
          <w:sz w:val="24"/>
          <w:szCs w:val="24"/>
        </w:rPr>
        <w:t xml:space="preserve">that </w:t>
      </w:r>
      <w:r w:rsidR="002D6E1C">
        <w:rPr>
          <w:rFonts w:ascii="Times New Roman" w:hAnsi="Times New Roman" w:cs="Times New Roman"/>
          <w:sz w:val="24"/>
          <w:szCs w:val="24"/>
        </w:rPr>
        <w:t xml:space="preserve">the direction of causality </w:t>
      </w:r>
      <w:r w:rsidR="00E72C8E">
        <w:rPr>
          <w:rFonts w:ascii="Times New Roman" w:hAnsi="Times New Roman" w:cs="Times New Roman"/>
          <w:sz w:val="24"/>
          <w:szCs w:val="24"/>
        </w:rPr>
        <w:t xml:space="preserve">in stock market returns and volatility </w:t>
      </w:r>
      <w:r w:rsidR="002D6E1C">
        <w:rPr>
          <w:rFonts w:ascii="Times New Roman" w:hAnsi="Times New Roman" w:cs="Times New Roman"/>
          <w:sz w:val="24"/>
          <w:szCs w:val="24"/>
        </w:rPr>
        <w:t xml:space="preserve">will be reversed </w:t>
      </w:r>
      <w:r w:rsidR="00E72C8E">
        <w:rPr>
          <w:rFonts w:ascii="Times New Roman" w:hAnsi="Times New Roman" w:cs="Times New Roman"/>
          <w:sz w:val="24"/>
          <w:szCs w:val="24"/>
        </w:rPr>
        <w:t xml:space="preserve">from low-risk to high-risk markets pre September 2008 to high-risk to low-risk after, </w:t>
      </w:r>
      <w:r w:rsidR="002D6E1C">
        <w:rPr>
          <w:rFonts w:ascii="Times New Roman" w:hAnsi="Times New Roman" w:cs="Times New Roman"/>
          <w:sz w:val="24"/>
          <w:szCs w:val="24"/>
        </w:rPr>
        <w:t>as information emanating from high</w:t>
      </w:r>
      <w:r w:rsidR="00E72C8E">
        <w:rPr>
          <w:rFonts w:ascii="Times New Roman" w:hAnsi="Times New Roman" w:cs="Times New Roman"/>
          <w:sz w:val="24"/>
          <w:szCs w:val="24"/>
        </w:rPr>
        <w:t>-</w:t>
      </w:r>
      <w:r w:rsidR="002D6E1C">
        <w:rPr>
          <w:rFonts w:ascii="Times New Roman" w:hAnsi="Times New Roman" w:cs="Times New Roman"/>
          <w:sz w:val="24"/>
          <w:szCs w:val="24"/>
        </w:rPr>
        <w:t>risk markets becomes more important</w:t>
      </w:r>
      <w:r w:rsidR="006757C2">
        <w:rPr>
          <w:rFonts w:ascii="Times New Roman" w:hAnsi="Times New Roman" w:cs="Times New Roman"/>
          <w:sz w:val="24"/>
          <w:szCs w:val="24"/>
        </w:rPr>
        <w:t>, whereas in more tranquil times information from the larger markets dominates</w:t>
      </w:r>
      <w:r w:rsidR="002D6E1C">
        <w:rPr>
          <w:rFonts w:ascii="Times New Roman" w:hAnsi="Times New Roman" w:cs="Times New Roman"/>
          <w:sz w:val="24"/>
          <w:szCs w:val="24"/>
        </w:rPr>
        <w:t>.</w:t>
      </w:r>
    </w:p>
    <w:p w14:paraId="02ED3500" w14:textId="6D1F56C5" w:rsidR="009628D9" w:rsidRDefault="008E60D9" w:rsidP="00F03C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order to consider t</w:t>
      </w:r>
      <w:r w:rsidR="009628D9">
        <w:rPr>
          <w:rFonts w:ascii="Times New Roman" w:hAnsi="Times New Roman" w:cs="Times New Roman"/>
          <w:sz w:val="24"/>
          <w:szCs w:val="24"/>
        </w:rPr>
        <w:t>he</w:t>
      </w:r>
      <w:r w:rsidR="00695A29">
        <w:rPr>
          <w:rFonts w:ascii="Times New Roman" w:hAnsi="Times New Roman" w:cs="Times New Roman"/>
          <w:sz w:val="24"/>
          <w:szCs w:val="24"/>
        </w:rPr>
        <w:t>se</w:t>
      </w:r>
      <w:r w:rsidR="009628D9">
        <w:rPr>
          <w:rFonts w:ascii="Times New Roman" w:hAnsi="Times New Roman" w:cs="Times New Roman"/>
          <w:sz w:val="24"/>
          <w:szCs w:val="24"/>
        </w:rPr>
        <w:t xml:space="preserve"> hypotheses</w:t>
      </w:r>
      <w:r w:rsidR="00A10C66">
        <w:rPr>
          <w:rFonts w:ascii="Times New Roman" w:hAnsi="Times New Roman" w:cs="Times New Roman"/>
          <w:sz w:val="24"/>
          <w:szCs w:val="24"/>
        </w:rPr>
        <w:t>, as noted in Table 1,</w:t>
      </w:r>
      <w:r w:rsidR="009628D9">
        <w:rPr>
          <w:rFonts w:ascii="Times New Roman" w:hAnsi="Times New Roman" w:cs="Times New Roman"/>
          <w:sz w:val="24"/>
          <w:szCs w:val="24"/>
        </w:rPr>
        <w:t xml:space="preserve"> we estimate a </w:t>
      </w:r>
      <w:r w:rsidR="00355487" w:rsidRPr="00A47D41">
        <w:rPr>
          <w:rFonts w:ascii="Times New Roman" w:hAnsi="Times New Roman" w:cs="Times New Roman"/>
          <w:sz w:val="24"/>
          <w:szCs w:val="24"/>
        </w:rPr>
        <w:t>VECM with MV-GARCH disturbances to the evolution of dividend</w:t>
      </w:r>
      <w:r w:rsidR="00211816">
        <w:rPr>
          <w:rFonts w:ascii="Times New Roman" w:hAnsi="Times New Roman" w:cs="Times New Roman"/>
          <w:sz w:val="24"/>
          <w:szCs w:val="24"/>
        </w:rPr>
        <w:t>-</w:t>
      </w:r>
      <w:r w:rsidR="00355487" w:rsidRPr="00A47D41">
        <w:rPr>
          <w:rFonts w:ascii="Times New Roman" w:hAnsi="Times New Roman" w:cs="Times New Roman"/>
          <w:sz w:val="24"/>
          <w:szCs w:val="24"/>
        </w:rPr>
        <w:t>adjusted log-equi</w:t>
      </w:r>
      <w:r w:rsidR="008635E5">
        <w:rPr>
          <w:rFonts w:ascii="Times New Roman" w:hAnsi="Times New Roman" w:cs="Times New Roman"/>
          <w:sz w:val="24"/>
          <w:szCs w:val="24"/>
        </w:rPr>
        <w:t xml:space="preserve">ty indices for the </w:t>
      </w:r>
      <w:r w:rsidR="005435BF">
        <w:rPr>
          <w:rFonts w:ascii="Times New Roman" w:hAnsi="Times New Roman" w:cs="Times New Roman"/>
          <w:sz w:val="24"/>
          <w:szCs w:val="24"/>
        </w:rPr>
        <w:t>h</w:t>
      </w:r>
      <w:r w:rsidR="008635E5">
        <w:rPr>
          <w:rFonts w:ascii="Times New Roman" w:hAnsi="Times New Roman" w:cs="Times New Roman"/>
          <w:sz w:val="24"/>
          <w:szCs w:val="24"/>
        </w:rPr>
        <w:t xml:space="preserve">igh and </w:t>
      </w:r>
      <w:r w:rsidR="005435BF">
        <w:rPr>
          <w:rFonts w:ascii="Times New Roman" w:hAnsi="Times New Roman" w:cs="Times New Roman"/>
          <w:sz w:val="24"/>
          <w:szCs w:val="24"/>
        </w:rPr>
        <w:t>l</w:t>
      </w:r>
      <w:r w:rsidR="008635E5">
        <w:rPr>
          <w:rFonts w:ascii="Times New Roman" w:hAnsi="Times New Roman" w:cs="Times New Roman"/>
          <w:sz w:val="24"/>
          <w:szCs w:val="24"/>
        </w:rPr>
        <w:t>o</w:t>
      </w:r>
      <w:r w:rsidR="005435BF">
        <w:rPr>
          <w:rFonts w:ascii="Times New Roman" w:hAnsi="Times New Roman" w:cs="Times New Roman"/>
          <w:sz w:val="24"/>
          <w:szCs w:val="24"/>
        </w:rPr>
        <w:t xml:space="preserve">w </w:t>
      </w:r>
      <w:r w:rsidR="00355487" w:rsidRPr="00A47D41">
        <w:rPr>
          <w:rFonts w:ascii="Times New Roman" w:hAnsi="Times New Roman" w:cs="Times New Roman"/>
          <w:sz w:val="24"/>
          <w:szCs w:val="24"/>
        </w:rPr>
        <w:t>risk countr</w:t>
      </w:r>
      <w:r w:rsidR="005435BF">
        <w:rPr>
          <w:rFonts w:ascii="Times New Roman" w:hAnsi="Times New Roman" w:cs="Times New Roman"/>
          <w:sz w:val="24"/>
          <w:szCs w:val="24"/>
        </w:rPr>
        <w:t>ies</w:t>
      </w:r>
      <w:r w:rsidR="00355487" w:rsidRPr="00A47D41">
        <w:rPr>
          <w:rFonts w:ascii="Times New Roman" w:hAnsi="Times New Roman" w:cs="Times New Roman"/>
          <w:sz w:val="24"/>
          <w:szCs w:val="24"/>
        </w:rPr>
        <w:t xml:space="preserve"> </w:t>
      </w:r>
      <w:r w:rsidR="00664FDE" w:rsidRPr="00A47D41">
        <w:rPr>
          <w:rFonts w:ascii="Times New Roman" w:hAnsi="Times New Roman" w:cs="Times New Roman"/>
          <w:sz w:val="24"/>
          <w:szCs w:val="24"/>
        </w:rPr>
        <w:t xml:space="preserve">(see the data section for the specification of risk </w:t>
      </w:r>
      <w:r w:rsidR="00355487" w:rsidRPr="00A47D41">
        <w:rPr>
          <w:rFonts w:ascii="Times New Roman" w:hAnsi="Times New Roman" w:cs="Times New Roman"/>
          <w:sz w:val="24"/>
          <w:szCs w:val="24"/>
        </w:rPr>
        <w:t>groups</w:t>
      </w:r>
      <w:r w:rsidR="00664FDE" w:rsidRPr="00A47D41">
        <w:rPr>
          <w:rFonts w:ascii="Times New Roman" w:hAnsi="Times New Roman" w:cs="Times New Roman"/>
          <w:sz w:val="24"/>
          <w:szCs w:val="24"/>
        </w:rPr>
        <w:t>)</w:t>
      </w:r>
      <w:r w:rsidR="00355487" w:rsidRPr="00A47D41">
        <w:rPr>
          <w:rFonts w:ascii="Times New Roman" w:hAnsi="Times New Roman" w:cs="Times New Roman"/>
          <w:sz w:val="24"/>
          <w:szCs w:val="24"/>
        </w:rPr>
        <w:t xml:space="preserve"> as well as the MSCI Global index. </w:t>
      </w:r>
      <w:r w:rsidR="009628D9">
        <w:rPr>
          <w:rFonts w:ascii="Times New Roman" w:hAnsi="Times New Roman" w:cs="Times New Roman"/>
          <w:sz w:val="24"/>
          <w:szCs w:val="24"/>
        </w:rPr>
        <w:t>This is undertaken with three aims</w:t>
      </w:r>
      <w:r w:rsidR="00297AE1">
        <w:rPr>
          <w:rFonts w:ascii="Times New Roman" w:hAnsi="Times New Roman" w:cs="Times New Roman"/>
          <w:sz w:val="24"/>
          <w:szCs w:val="24"/>
        </w:rPr>
        <w:t>:</w:t>
      </w:r>
      <w:r w:rsidR="009628D9">
        <w:rPr>
          <w:rFonts w:ascii="Times New Roman" w:hAnsi="Times New Roman" w:cs="Times New Roman"/>
          <w:sz w:val="24"/>
          <w:szCs w:val="24"/>
        </w:rPr>
        <w:t xml:space="preserve"> first, to examine the nature of any cointegrating </w:t>
      </w:r>
      <w:r w:rsidR="00AC20C2">
        <w:rPr>
          <w:rFonts w:ascii="Times New Roman" w:hAnsi="Times New Roman" w:cs="Times New Roman"/>
          <w:sz w:val="24"/>
          <w:szCs w:val="24"/>
        </w:rPr>
        <w:t>relation</w:t>
      </w:r>
      <w:r w:rsidR="009628D9">
        <w:rPr>
          <w:rFonts w:ascii="Times New Roman" w:hAnsi="Times New Roman" w:cs="Times New Roman"/>
          <w:sz w:val="24"/>
          <w:szCs w:val="24"/>
        </w:rPr>
        <w:t xml:space="preserve"> between the series</w:t>
      </w:r>
      <w:r w:rsidR="00297AE1">
        <w:rPr>
          <w:rFonts w:ascii="Times New Roman" w:hAnsi="Times New Roman" w:cs="Times New Roman"/>
          <w:sz w:val="24"/>
          <w:szCs w:val="24"/>
        </w:rPr>
        <w:t>; s</w:t>
      </w:r>
      <w:r w:rsidR="009628D9">
        <w:rPr>
          <w:rFonts w:ascii="Times New Roman" w:hAnsi="Times New Roman" w:cs="Times New Roman"/>
          <w:sz w:val="24"/>
          <w:szCs w:val="24"/>
        </w:rPr>
        <w:t xml:space="preserve">econd, to examine return </w:t>
      </w:r>
      <w:proofErr w:type="spellStart"/>
      <w:r w:rsidR="009628D9">
        <w:rPr>
          <w:rFonts w:ascii="Times New Roman" w:hAnsi="Times New Roman" w:cs="Times New Roman"/>
          <w:sz w:val="24"/>
          <w:szCs w:val="24"/>
        </w:rPr>
        <w:t>spillovers</w:t>
      </w:r>
      <w:proofErr w:type="spellEnd"/>
      <w:r w:rsidR="009628D9">
        <w:rPr>
          <w:rFonts w:ascii="Times New Roman" w:hAnsi="Times New Roman" w:cs="Times New Roman"/>
          <w:sz w:val="24"/>
          <w:szCs w:val="24"/>
        </w:rPr>
        <w:t xml:space="preserve"> (Granger causality) in the VAR component to </w:t>
      </w:r>
      <w:r w:rsidR="008E166E">
        <w:rPr>
          <w:rFonts w:ascii="Times New Roman" w:hAnsi="Times New Roman" w:cs="Times New Roman"/>
          <w:sz w:val="24"/>
          <w:szCs w:val="24"/>
        </w:rPr>
        <w:t xml:space="preserve">study </w:t>
      </w:r>
      <w:r w:rsidR="009628D9">
        <w:rPr>
          <w:rFonts w:ascii="Times New Roman" w:hAnsi="Times New Roman" w:cs="Times New Roman"/>
          <w:sz w:val="24"/>
          <w:szCs w:val="24"/>
        </w:rPr>
        <w:t>the direction of short-run information flows</w:t>
      </w:r>
      <w:r w:rsidR="00297AE1">
        <w:rPr>
          <w:rFonts w:ascii="Times New Roman" w:hAnsi="Times New Roman" w:cs="Times New Roman"/>
          <w:sz w:val="24"/>
          <w:szCs w:val="24"/>
        </w:rPr>
        <w:t>; t</w:t>
      </w:r>
      <w:r w:rsidR="009628D9">
        <w:rPr>
          <w:rFonts w:ascii="Times New Roman" w:hAnsi="Times New Roman" w:cs="Times New Roman"/>
          <w:sz w:val="24"/>
          <w:szCs w:val="24"/>
        </w:rPr>
        <w:t xml:space="preserve">hird, </w:t>
      </w:r>
      <w:r w:rsidR="009628D9">
        <w:rPr>
          <w:rFonts w:ascii="Times New Roman" w:hAnsi="Times New Roman" w:cs="Times New Roman"/>
          <w:sz w:val="24"/>
          <w:szCs w:val="24"/>
        </w:rPr>
        <w:lastRenderedPageBreak/>
        <w:t xml:space="preserve">we wish to examine the nature of volatility </w:t>
      </w:r>
      <w:proofErr w:type="spellStart"/>
      <w:r w:rsidR="009628D9">
        <w:rPr>
          <w:rFonts w:ascii="Times New Roman" w:hAnsi="Times New Roman" w:cs="Times New Roman"/>
          <w:sz w:val="24"/>
          <w:szCs w:val="24"/>
        </w:rPr>
        <w:t>spillovers</w:t>
      </w:r>
      <w:proofErr w:type="spellEnd"/>
      <w:r w:rsidR="009628D9">
        <w:rPr>
          <w:rFonts w:ascii="Times New Roman" w:hAnsi="Times New Roman" w:cs="Times New Roman"/>
          <w:sz w:val="24"/>
          <w:szCs w:val="24"/>
        </w:rPr>
        <w:t xml:space="preserve"> between the three markets and to consider any changes to those </w:t>
      </w:r>
      <w:proofErr w:type="spellStart"/>
      <w:r w:rsidR="009628D9">
        <w:rPr>
          <w:rFonts w:ascii="Times New Roman" w:hAnsi="Times New Roman" w:cs="Times New Roman"/>
          <w:sz w:val="24"/>
          <w:szCs w:val="24"/>
        </w:rPr>
        <w:t>spillovers</w:t>
      </w:r>
      <w:proofErr w:type="spellEnd"/>
      <w:r w:rsidR="009628D9">
        <w:rPr>
          <w:rFonts w:ascii="Times New Roman" w:hAnsi="Times New Roman" w:cs="Times New Roman"/>
          <w:sz w:val="24"/>
          <w:szCs w:val="24"/>
        </w:rPr>
        <w:t xml:space="preserve"> over time. As noted above, we expect changes in the nature of these </w:t>
      </w:r>
      <w:r w:rsidR="00AC20C2">
        <w:rPr>
          <w:rFonts w:ascii="Times New Roman" w:hAnsi="Times New Roman" w:cs="Times New Roman"/>
          <w:sz w:val="24"/>
          <w:szCs w:val="24"/>
        </w:rPr>
        <w:t>relation</w:t>
      </w:r>
      <w:r w:rsidR="009628D9">
        <w:rPr>
          <w:rFonts w:ascii="Times New Roman" w:hAnsi="Times New Roman" w:cs="Times New Roman"/>
          <w:sz w:val="24"/>
          <w:szCs w:val="24"/>
        </w:rPr>
        <w:t xml:space="preserve">s </w:t>
      </w:r>
      <w:r w:rsidR="00D752F1">
        <w:rPr>
          <w:rFonts w:ascii="Times New Roman" w:hAnsi="Times New Roman" w:cs="Times New Roman"/>
          <w:sz w:val="24"/>
          <w:szCs w:val="24"/>
        </w:rPr>
        <w:t xml:space="preserve">across the country groups (see Table </w:t>
      </w:r>
      <w:r w:rsidR="008E166E">
        <w:rPr>
          <w:rFonts w:ascii="Times New Roman" w:hAnsi="Times New Roman" w:cs="Times New Roman"/>
          <w:sz w:val="24"/>
          <w:szCs w:val="24"/>
        </w:rPr>
        <w:t>2</w:t>
      </w:r>
      <w:r w:rsidR="00D752F1">
        <w:rPr>
          <w:rFonts w:ascii="Times New Roman" w:hAnsi="Times New Roman" w:cs="Times New Roman"/>
          <w:sz w:val="24"/>
          <w:szCs w:val="24"/>
        </w:rPr>
        <w:t xml:space="preserve">) </w:t>
      </w:r>
      <w:r w:rsidR="009628D9">
        <w:rPr>
          <w:rFonts w:ascii="Times New Roman" w:hAnsi="Times New Roman" w:cs="Times New Roman"/>
          <w:sz w:val="24"/>
          <w:szCs w:val="24"/>
        </w:rPr>
        <w:t>following the bankruptcy of Lehman</w:t>
      </w:r>
      <w:r w:rsidR="007E05F6">
        <w:rPr>
          <w:rFonts w:ascii="Times New Roman" w:hAnsi="Times New Roman" w:cs="Times New Roman"/>
          <w:sz w:val="24"/>
          <w:szCs w:val="24"/>
        </w:rPr>
        <w:t xml:space="preserve">, </w:t>
      </w:r>
      <w:r w:rsidR="009628D9">
        <w:rPr>
          <w:rFonts w:ascii="Times New Roman" w:hAnsi="Times New Roman" w:cs="Times New Roman"/>
          <w:sz w:val="24"/>
          <w:szCs w:val="24"/>
        </w:rPr>
        <w:t>the onset of the short selling ban</w:t>
      </w:r>
      <w:r w:rsidR="007E05F6">
        <w:rPr>
          <w:rFonts w:ascii="Times New Roman" w:hAnsi="Times New Roman" w:cs="Times New Roman"/>
          <w:sz w:val="24"/>
          <w:szCs w:val="24"/>
        </w:rPr>
        <w:t xml:space="preserve"> and other information that emerged at this time</w:t>
      </w:r>
      <w:r w:rsidR="009628D9">
        <w:rPr>
          <w:rFonts w:ascii="Times New Roman" w:hAnsi="Times New Roman" w:cs="Times New Roman"/>
          <w:sz w:val="24"/>
          <w:szCs w:val="24"/>
        </w:rPr>
        <w:t xml:space="preserve">.   </w:t>
      </w:r>
    </w:p>
    <w:p w14:paraId="2F57EA0A" w14:textId="0C3498F4" w:rsidR="00E77D60" w:rsidRDefault="00355487" w:rsidP="001A0F9A">
      <w:pPr>
        <w:autoSpaceDE w:val="0"/>
        <w:autoSpaceDN w:val="0"/>
        <w:adjustRightInd w:val="0"/>
        <w:spacing w:after="0" w:line="480" w:lineRule="auto"/>
        <w:ind w:firstLine="720"/>
        <w:jc w:val="both"/>
        <w:rPr>
          <w:rFonts w:ascii="Times New Roman" w:hAnsi="Times New Roman" w:cs="Times New Roman"/>
          <w:sz w:val="24"/>
          <w:szCs w:val="24"/>
        </w:rPr>
      </w:pPr>
      <w:r w:rsidRPr="00A47D41">
        <w:rPr>
          <w:rFonts w:ascii="Times New Roman" w:hAnsi="Times New Roman" w:cs="Times New Roman"/>
          <w:sz w:val="24"/>
          <w:szCs w:val="24"/>
        </w:rPr>
        <w:t xml:space="preserve">The </w:t>
      </w:r>
      <w:r w:rsidR="007066F9">
        <w:rPr>
          <w:rFonts w:ascii="Times New Roman" w:hAnsi="Times New Roman" w:cs="Times New Roman"/>
          <w:sz w:val="24"/>
          <w:szCs w:val="24"/>
        </w:rPr>
        <w:t xml:space="preserve">model </w:t>
      </w:r>
      <w:r w:rsidRPr="00A47D41">
        <w:rPr>
          <w:rFonts w:ascii="Times New Roman" w:hAnsi="Times New Roman" w:cs="Times New Roman"/>
          <w:sz w:val="24"/>
          <w:szCs w:val="24"/>
        </w:rPr>
        <w:t>estimation is conducted</w:t>
      </w:r>
      <w:r w:rsidR="00664FDE" w:rsidRPr="00A47D41">
        <w:rPr>
          <w:rFonts w:ascii="Times New Roman" w:hAnsi="Times New Roman" w:cs="Times New Roman"/>
          <w:sz w:val="24"/>
          <w:szCs w:val="24"/>
        </w:rPr>
        <w:t xml:space="preserve"> on both the full sample</w:t>
      </w:r>
      <w:r w:rsidR="007066F9">
        <w:rPr>
          <w:rFonts w:ascii="Times New Roman" w:hAnsi="Times New Roman" w:cs="Times New Roman"/>
          <w:sz w:val="24"/>
          <w:szCs w:val="24"/>
        </w:rPr>
        <w:t xml:space="preserve">, over the period </w:t>
      </w:r>
      <w:r w:rsidRPr="00A47D41">
        <w:rPr>
          <w:rFonts w:ascii="Times New Roman" w:hAnsi="Times New Roman" w:cs="Times New Roman"/>
          <w:sz w:val="24"/>
          <w:szCs w:val="24"/>
        </w:rPr>
        <w:t>from 2003 to 2013</w:t>
      </w:r>
      <w:r w:rsidR="007066F9">
        <w:rPr>
          <w:rFonts w:ascii="Times New Roman" w:hAnsi="Times New Roman" w:cs="Times New Roman"/>
          <w:sz w:val="24"/>
          <w:szCs w:val="24"/>
        </w:rPr>
        <w:t xml:space="preserve">, and </w:t>
      </w:r>
      <w:r w:rsidR="001960C5">
        <w:rPr>
          <w:rFonts w:ascii="Times New Roman" w:hAnsi="Times New Roman" w:cs="Times New Roman"/>
          <w:sz w:val="24"/>
          <w:szCs w:val="24"/>
        </w:rPr>
        <w:t xml:space="preserve">on </w:t>
      </w:r>
      <w:r w:rsidRPr="00A47D41">
        <w:rPr>
          <w:rFonts w:ascii="Times New Roman" w:hAnsi="Times New Roman" w:cs="Times New Roman"/>
          <w:sz w:val="24"/>
          <w:szCs w:val="24"/>
        </w:rPr>
        <w:t>two sub-samples</w:t>
      </w:r>
      <w:r w:rsidR="007E05F6">
        <w:rPr>
          <w:rFonts w:ascii="Times New Roman" w:hAnsi="Times New Roman" w:cs="Times New Roman"/>
          <w:sz w:val="24"/>
          <w:szCs w:val="24"/>
        </w:rPr>
        <w:t xml:space="preserve">. The choice of sub-sample date is somewhat arbitrary, we choose </w:t>
      </w:r>
      <w:r w:rsidR="002D09B5">
        <w:rPr>
          <w:rFonts w:ascii="Times New Roman" w:hAnsi="Times New Roman" w:cs="Times New Roman"/>
          <w:sz w:val="24"/>
          <w:szCs w:val="24"/>
        </w:rPr>
        <w:t>a date</w:t>
      </w:r>
      <w:r w:rsidR="007E05F6">
        <w:rPr>
          <w:rFonts w:ascii="Times New Roman" w:hAnsi="Times New Roman" w:cs="Times New Roman"/>
          <w:sz w:val="24"/>
          <w:szCs w:val="24"/>
        </w:rPr>
        <w:t xml:space="preserve"> according to the onset of the short-sell ban, but results are robust to alternative dates (e.g., Lehman’s bankruptcy)</w:t>
      </w:r>
      <w:r w:rsidR="007066F9">
        <w:rPr>
          <w:rFonts w:ascii="Times New Roman" w:hAnsi="Times New Roman" w:cs="Times New Roman"/>
          <w:sz w:val="24"/>
          <w:szCs w:val="24"/>
        </w:rPr>
        <w:t xml:space="preserve">, </w:t>
      </w:r>
      <w:r w:rsidR="007E05F6">
        <w:rPr>
          <w:rFonts w:ascii="Times New Roman" w:hAnsi="Times New Roman" w:cs="Times New Roman"/>
          <w:sz w:val="24"/>
          <w:szCs w:val="24"/>
        </w:rPr>
        <w:t xml:space="preserve">we also implement a test that endogenously determines the breakpoint. Thus, the date used in our analysis below is </w:t>
      </w:r>
      <w:r w:rsidRPr="00A47D41">
        <w:rPr>
          <w:rFonts w:ascii="Times New Roman" w:hAnsi="Times New Roman" w:cs="Times New Roman"/>
          <w:sz w:val="24"/>
          <w:szCs w:val="24"/>
        </w:rPr>
        <w:t>19/09/2008.</w:t>
      </w:r>
      <w:r w:rsidR="00E77D60">
        <w:rPr>
          <w:rStyle w:val="FootnoteReference"/>
          <w:rFonts w:ascii="Times New Roman" w:hAnsi="Times New Roman" w:cs="Times New Roman"/>
          <w:sz w:val="24"/>
          <w:szCs w:val="24"/>
        </w:rPr>
        <w:footnoteReference w:id="4"/>
      </w:r>
      <w:r w:rsidRPr="00A47D41">
        <w:rPr>
          <w:rFonts w:ascii="Times New Roman" w:hAnsi="Times New Roman" w:cs="Times New Roman"/>
          <w:sz w:val="24"/>
          <w:szCs w:val="24"/>
        </w:rPr>
        <w:t xml:space="preserve"> </w:t>
      </w:r>
    </w:p>
    <w:p w14:paraId="2AAA2AA9" w14:textId="77777777" w:rsidR="004554A4" w:rsidRPr="00A47D41" w:rsidRDefault="004554A4" w:rsidP="00F03CE7">
      <w:pPr>
        <w:autoSpaceDE w:val="0"/>
        <w:autoSpaceDN w:val="0"/>
        <w:adjustRightInd w:val="0"/>
        <w:spacing w:line="480" w:lineRule="auto"/>
        <w:ind w:firstLine="720"/>
        <w:jc w:val="center"/>
        <w:rPr>
          <w:rFonts w:ascii="Times New Roman" w:hAnsi="Times New Roman" w:cs="Times New Roman"/>
        </w:rPr>
      </w:pPr>
      <w:r w:rsidRPr="00A47D41">
        <w:rPr>
          <w:rFonts w:ascii="Times New Roman" w:hAnsi="Times New Roman" w:cs="Times New Roman"/>
        </w:rPr>
        <w:t>[INSERT TABLE 1 HERE]</w:t>
      </w:r>
    </w:p>
    <w:p w14:paraId="153FD083" w14:textId="580B23E2" w:rsidR="00355487" w:rsidRPr="007066F9" w:rsidRDefault="007066F9" w:rsidP="001A0F9A">
      <w:pPr>
        <w:spacing w:after="0" w:line="480" w:lineRule="auto"/>
        <w:jc w:val="both"/>
        <w:rPr>
          <w:rFonts w:ascii="Times New Roman" w:hAnsi="Times New Roman" w:cs="Times New Roman"/>
          <w:i/>
          <w:sz w:val="24"/>
          <w:szCs w:val="24"/>
        </w:rPr>
      </w:pPr>
      <w:r w:rsidRPr="007066F9">
        <w:rPr>
          <w:rFonts w:ascii="Times New Roman" w:hAnsi="Times New Roman" w:cs="Times New Roman"/>
          <w:i/>
          <w:sz w:val="24"/>
          <w:szCs w:val="24"/>
        </w:rPr>
        <w:t>Empirical Methodology</w:t>
      </w:r>
    </w:p>
    <w:p w14:paraId="3691C08D" w14:textId="3BC03F30" w:rsidR="00F23AAF" w:rsidRDefault="009D2D0F" w:rsidP="00F03CE7">
      <w:pPr>
        <w:spacing w:after="0" w:line="480" w:lineRule="auto"/>
        <w:jc w:val="both"/>
        <w:rPr>
          <w:rFonts w:ascii="Times New Roman" w:hAnsi="Times New Roman" w:cs="Times New Roman"/>
          <w:sz w:val="24"/>
          <w:szCs w:val="24"/>
        </w:rPr>
      </w:pPr>
      <w:r w:rsidRPr="00E86E7E">
        <w:rPr>
          <w:rFonts w:ascii="Times New Roman" w:hAnsi="Times New Roman" w:cs="Times New Roman"/>
          <w:sz w:val="24"/>
          <w:szCs w:val="24"/>
        </w:rPr>
        <w:t>Our empirical approach is categorized in two parts to test the three hypotheses</w:t>
      </w:r>
      <w:r w:rsidR="00352365">
        <w:rPr>
          <w:rFonts w:ascii="Times New Roman" w:hAnsi="Times New Roman" w:cs="Times New Roman"/>
          <w:sz w:val="24"/>
          <w:szCs w:val="24"/>
        </w:rPr>
        <w:t>. First,</w:t>
      </w:r>
      <w:r w:rsidRPr="00E86E7E">
        <w:rPr>
          <w:rFonts w:ascii="Times New Roman" w:hAnsi="Times New Roman" w:cs="Times New Roman"/>
          <w:sz w:val="24"/>
          <w:szCs w:val="24"/>
        </w:rPr>
        <w:t xml:space="preserve"> </w:t>
      </w:r>
      <w:r w:rsidR="00352365">
        <w:rPr>
          <w:rFonts w:ascii="Times New Roman" w:hAnsi="Times New Roman" w:cs="Times New Roman"/>
          <w:sz w:val="24"/>
          <w:szCs w:val="24"/>
        </w:rPr>
        <w:t xml:space="preserve">the </w:t>
      </w:r>
      <w:r w:rsidRPr="00E86E7E">
        <w:rPr>
          <w:rFonts w:ascii="Times New Roman" w:hAnsi="Times New Roman" w:cs="Times New Roman"/>
          <w:sz w:val="24"/>
          <w:szCs w:val="24"/>
        </w:rPr>
        <w:t xml:space="preserve">VECM analysis on the multivariate price series </w:t>
      </w:r>
      <w:r w:rsidR="00352365">
        <w:rPr>
          <w:rFonts w:ascii="Times New Roman" w:hAnsi="Times New Roman" w:cs="Times New Roman"/>
          <w:sz w:val="24"/>
          <w:szCs w:val="24"/>
        </w:rPr>
        <w:t>is</w:t>
      </w:r>
      <w:r w:rsidR="00352365" w:rsidRPr="00E86E7E">
        <w:rPr>
          <w:rFonts w:ascii="Times New Roman" w:hAnsi="Times New Roman" w:cs="Times New Roman"/>
          <w:sz w:val="24"/>
          <w:szCs w:val="24"/>
        </w:rPr>
        <w:t xml:space="preserve"> </w:t>
      </w:r>
      <w:r w:rsidR="00E77D60">
        <w:rPr>
          <w:rFonts w:ascii="Times New Roman" w:hAnsi="Times New Roman" w:cs="Times New Roman"/>
          <w:sz w:val="24"/>
          <w:szCs w:val="24"/>
        </w:rPr>
        <w:t xml:space="preserve">used </w:t>
      </w:r>
      <w:r w:rsidRPr="00E86E7E">
        <w:rPr>
          <w:rFonts w:ascii="Times New Roman" w:hAnsi="Times New Roman" w:cs="Times New Roman"/>
          <w:sz w:val="24"/>
          <w:szCs w:val="24"/>
        </w:rPr>
        <w:t>to examine the cointegratin</w:t>
      </w:r>
      <w:r w:rsidR="00E77D60">
        <w:rPr>
          <w:rFonts w:ascii="Times New Roman" w:hAnsi="Times New Roman" w:cs="Times New Roman"/>
          <w:sz w:val="24"/>
          <w:szCs w:val="24"/>
        </w:rPr>
        <w:t>g</w:t>
      </w:r>
      <w:r w:rsidRPr="00E86E7E">
        <w:rPr>
          <w:rFonts w:ascii="Times New Roman" w:hAnsi="Times New Roman" w:cs="Times New Roman"/>
          <w:sz w:val="24"/>
          <w:szCs w:val="24"/>
        </w:rPr>
        <w:t xml:space="preserve"> </w:t>
      </w:r>
      <w:r w:rsidR="00AC20C2">
        <w:rPr>
          <w:rFonts w:ascii="Times New Roman" w:hAnsi="Times New Roman" w:cs="Times New Roman"/>
          <w:sz w:val="24"/>
          <w:szCs w:val="24"/>
        </w:rPr>
        <w:t>relation</w:t>
      </w:r>
      <w:r w:rsidRPr="00E86E7E">
        <w:rPr>
          <w:rFonts w:ascii="Times New Roman" w:hAnsi="Times New Roman" w:cs="Times New Roman"/>
          <w:sz w:val="24"/>
          <w:szCs w:val="24"/>
        </w:rPr>
        <w:t xml:space="preserve"> among the country portfolios</w:t>
      </w:r>
      <w:r w:rsidR="00E77D60">
        <w:rPr>
          <w:rFonts w:ascii="Times New Roman" w:hAnsi="Times New Roman" w:cs="Times New Roman"/>
          <w:sz w:val="24"/>
          <w:szCs w:val="24"/>
        </w:rPr>
        <w:t xml:space="preserve">. Here, </w:t>
      </w:r>
      <w:r w:rsidRPr="00E86E7E">
        <w:rPr>
          <w:rFonts w:ascii="Times New Roman" w:hAnsi="Times New Roman" w:cs="Times New Roman"/>
          <w:sz w:val="24"/>
          <w:szCs w:val="24"/>
        </w:rPr>
        <w:t xml:space="preserve">we use </w:t>
      </w:r>
      <w:r w:rsidR="00E77D60">
        <w:rPr>
          <w:rFonts w:ascii="Times New Roman" w:hAnsi="Times New Roman" w:cs="Times New Roman"/>
          <w:sz w:val="24"/>
          <w:szCs w:val="24"/>
        </w:rPr>
        <w:t xml:space="preserve">the </w:t>
      </w:r>
      <w:r w:rsidRPr="00E86E7E">
        <w:rPr>
          <w:rFonts w:ascii="Times New Roman" w:hAnsi="Times New Roman" w:cs="Times New Roman"/>
          <w:sz w:val="24"/>
          <w:szCs w:val="24"/>
        </w:rPr>
        <w:t xml:space="preserve">Johansen trace and maximum eigenvalue tests </w:t>
      </w:r>
      <w:r w:rsidR="00E77D60">
        <w:rPr>
          <w:rFonts w:ascii="Times New Roman" w:hAnsi="Times New Roman" w:cs="Times New Roman"/>
          <w:sz w:val="24"/>
          <w:szCs w:val="24"/>
        </w:rPr>
        <w:t xml:space="preserve">to ensure </w:t>
      </w:r>
      <w:r w:rsidRPr="00E86E7E">
        <w:rPr>
          <w:rFonts w:ascii="Times New Roman" w:hAnsi="Times New Roman" w:cs="Times New Roman"/>
          <w:sz w:val="24"/>
          <w:szCs w:val="24"/>
        </w:rPr>
        <w:t xml:space="preserve">robust test results. </w:t>
      </w:r>
      <w:r w:rsidR="00352365">
        <w:rPr>
          <w:rFonts w:ascii="Times New Roman" w:hAnsi="Times New Roman" w:cs="Times New Roman"/>
          <w:sz w:val="24"/>
          <w:szCs w:val="24"/>
        </w:rPr>
        <w:t xml:space="preserve">This </w:t>
      </w:r>
      <w:r w:rsidR="00E77D60">
        <w:rPr>
          <w:rFonts w:ascii="Times New Roman" w:hAnsi="Times New Roman" w:cs="Times New Roman"/>
          <w:sz w:val="24"/>
          <w:szCs w:val="24"/>
        </w:rPr>
        <w:t xml:space="preserve">approach is </w:t>
      </w:r>
      <w:r w:rsidR="00352365">
        <w:rPr>
          <w:rFonts w:ascii="Times New Roman" w:hAnsi="Times New Roman" w:cs="Times New Roman"/>
          <w:sz w:val="24"/>
          <w:szCs w:val="24"/>
        </w:rPr>
        <w:t xml:space="preserve">widely adopted in </w:t>
      </w:r>
      <w:r w:rsidRPr="00E86E7E">
        <w:rPr>
          <w:rFonts w:ascii="Times New Roman" w:hAnsi="Times New Roman" w:cs="Times New Roman"/>
          <w:sz w:val="24"/>
          <w:szCs w:val="24"/>
        </w:rPr>
        <w:t>the literature</w:t>
      </w:r>
      <w:r w:rsidR="00E77D60">
        <w:rPr>
          <w:rFonts w:ascii="Times New Roman" w:hAnsi="Times New Roman" w:cs="Times New Roman"/>
          <w:sz w:val="24"/>
          <w:szCs w:val="24"/>
        </w:rPr>
        <w:t xml:space="preserve">, e.g., </w:t>
      </w:r>
      <w:r w:rsidRPr="00E86E7E">
        <w:rPr>
          <w:rFonts w:ascii="Times New Roman" w:hAnsi="Times New Roman" w:cs="Times New Roman"/>
          <w:sz w:val="24"/>
          <w:szCs w:val="24"/>
        </w:rPr>
        <w:t>Zhang et al. (2006)</w:t>
      </w:r>
      <w:r w:rsidR="00CB6032">
        <w:rPr>
          <w:rFonts w:ascii="Times New Roman" w:hAnsi="Times New Roman" w:cs="Times New Roman"/>
          <w:sz w:val="24"/>
          <w:szCs w:val="24"/>
        </w:rPr>
        <w:t xml:space="preserve"> and</w:t>
      </w:r>
      <w:r w:rsidRPr="00E86E7E">
        <w:rPr>
          <w:rFonts w:ascii="Times New Roman" w:hAnsi="Times New Roman" w:cs="Times New Roman"/>
          <w:sz w:val="24"/>
          <w:szCs w:val="24"/>
        </w:rPr>
        <w:t xml:space="preserve"> Brooks and </w:t>
      </w:r>
      <w:proofErr w:type="spellStart"/>
      <w:r w:rsidRPr="00E86E7E">
        <w:rPr>
          <w:rFonts w:ascii="Times New Roman" w:hAnsi="Times New Roman" w:cs="Times New Roman"/>
          <w:sz w:val="24"/>
          <w:szCs w:val="24"/>
        </w:rPr>
        <w:t>Ragunathan</w:t>
      </w:r>
      <w:proofErr w:type="spellEnd"/>
      <w:r w:rsidRPr="00E86E7E">
        <w:rPr>
          <w:rFonts w:ascii="Times New Roman" w:hAnsi="Times New Roman" w:cs="Times New Roman"/>
          <w:sz w:val="24"/>
          <w:szCs w:val="24"/>
        </w:rPr>
        <w:t xml:space="preserve"> (2003). </w:t>
      </w:r>
      <w:r w:rsidR="00E77D60">
        <w:rPr>
          <w:rFonts w:ascii="Times New Roman" w:hAnsi="Times New Roman" w:cs="Times New Roman"/>
          <w:sz w:val="24"/>
          <w:szCs w:val="24"/>
        </w:rPr>
        <w:t>To consider the impact of a break on the cointegrating relations,</w:t>
      </w:r>
      <w:r w:rsidR="00F23AAF" w:rsidRPr="00E86E7E">
        <w:rPr>
          <w:rFonts w:ascii="Times New Roman" w:hAnsi="Times New Roman" w:cs="Times New Roman"/>
          <w:sz w:val="24"/>
          <w:szCs w:val="24"/>
        </w:rPr>
        <w:t xml:space="preserve"> we implement the test of Gregory and Hansen (1996) and </w:t>
      </w:r>
      <w:r w:rsidR="00352365">
        <w:rPr>
          <w:rFonts w:ascii="Times New Roman" w:hAnsi="Times New Roman" w:cs="Times New Roman"/>
          <w:sz w:val="24"/>
          <w:szCs w:val="24"/>
        </w:rPr>
        <w:t>examine</w:t>
      </w:r>
      <w:r w:rsidR="00352365" w:rsidRPr="00E86E7E">
        <w:rPr>
          <w:rFonts w:ascii="Times New Roman" w:hAnsi="Times New Roman" w:cs="Times New Roman"/>
          <w:sz w:val="24"/>
          <w:szCs w:val="24"/>
        </w:rPr>
        <w:t xml:space="preserve"> </w:t>
      </w:r>
      <w:r w:rsidR="00F23AAF" w:rsidRPr="00E86E7E">
        <w:rPr>
          <w:rFonts w:ascii="Times New Roman" w:hAnsi="Times New Roman" w:cs="Times New Roman"/>
          <w:sz w:val="24"/>
          <w:szCs w:val="24"/>
        </w:rPr>
        <w:t>the possibility of breaks in the level, trend and slope of the cointegrating vector.</w:t>
      </w:r>
      <w:r w:rsidR="006769A4">
        <w:rPr>
          <w:rStyle w:val="FootnoteReference"/>
          <w:rFonts w:ascii="Times New Roman" w:hAnsi="Times New Roman" w:cs="Times New Roman"/>
          <w:sz w:val="24"/>
          <w:szCs w:val="24"/>
        </w:rPr>
        <w:footnoteReference w:id="5"/>
      </w:r>
      <w:r w:rsidR="00F23AAF" w:rsidRPr="009D2D0F">
        <w:rPr>
          <w:rFonts w:ascii="Times New Roman" w:hAnsi="Times New Roman" w:cs="Times New Roman"/>
          <w:sz w:val="24"/>
          <w:szCs w:val="24"/>
        </w:rPr>
        <w:t xml:space="preserve"> </w:t>
      </w:r>
    </w:p>
    <w:p w14:paraId="4C2EEDE8" w14:textId="04EB3B58" w:rsidR="00355487" w:rsidRDefault="004E55B1" w:rsidP="001A0F9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7066F9">
        <w:rPr>
          <w:rFonts w:ascii="Times New Roman" w:hAnsi="Times New Roman" w:cs="Times New Roman"/>
          <w:sz w:val="24"/>
          <w:szCs w:val="24"/>
        </w:rPr>
        <w:t xml:space="preserve">efining </w:t>
      </w:r>
      <w:r w:rsidR="00355487" w:rsidRPr="00A47D41">
        <w:rPr>
          <w:rFonts w:ascii="Times New Roman" w:hAnsi="Times New Roman" w:cs="Times New Roman"/>
          <w:sz w:val="24"/>
          <w:szCs w:val="24"/>
        </w:rPr>
        <w:t>a time series vector</w:t>
      </w:r>
      <w:r>
        <w:rPr>
          <w:rFonts w:ascii="Times New Roman" w:hAnsi="Times New Roman" w:cs="Times New Roman"/>
          <w:sz w:val="24"/>
          <w:szCs w:val="24"/>
        </w:rPr>
        <w:t>,</w:t>
      </w:r>
      <w:r w:rsidR="00133FA0" w:rsidRPr="00133FA0">
        <w:rPr>
          <w:rFonts w:ascii="Times New Roman" w:hAnsi="Times New Roman" w:cs="Times New Roman"/>
          <w:noProof/>
          <w:position w:val="-12"/>
          <w:sz w:val="24"/>
          <w:szCs w:val="24"/>
        </w:rPr>
        <w:object w:dxaOrig="260" w:dyaOrig="380" w14:anchorId="43FE5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 style="width:12.85pt;height:19.3pt;mso-width-percent:0;mso-height-percent:0;mso-width-percent:0;mso-height-percent:0" o:ole="">
            <v:imagedata r:id="rId8" o:title=""/>
          </v:shape>
          <o:OLEObject Type="Embed" ProgID="Equation.3" ShapeID="_x0000_i1071" DrawAspect="Content" ObjectID="_1586774258" r:id="rId9"/>
        </w:object>
      </w:r>
      <w:r>
        <w:rPr>
          <w:rFonts w:ascii="Times New Roman" w:hAnsi="Times New Roman" w:cs="Times New Roman"/>
          <w:sz w:val="24"/>
          <w:szCs w:val="24"/>
        </w:rPr>
        <w:t xml:space="preserve">, </w:t>
      </w:r>
      <w:r w:rsidR="00355487" w:rsidRPr="00A47D41">
        <w:rPr>
          <w:rFonts w:ascii="Times New Roman" w:hAnsi="Times New Roman" w:cs="Times New Roman"/>
          <w:sz w:val="24"/>
          <w:szCs w:val="24"/>
        </w:rPr>
        <w:t xml:space="preserve">the standard Vector Autoregressive Regression (VAR) model </w:t>
      </w:r>
      <w:r w:rsidR="007066F9">
        <w:rPr>
          <w:rFonts w:ascii="Times New Roman" w:hAnsi="Times New Roman" w:cs="Times New Roman"/>
          <w:sz w:val="24"/>
          <w:szCs w:val="24"/>
        </w:rPr>
        <w:t xml:space="preserve">is given as </w:t>
      </w:r>
      <w:r w:rsidR="00355487" w:rsidRPr="00A47D41">
        <w:rPr>
          <w:rFonts w:ascii="Times New Roman" w:hAnsi="Times New Roman" w:cs="Times New Roman"/>
          <w:sz w:val="24"/>
          <w:szCs w:val="24"/>
        </w:rPr>
        <w:t>follow</w:t>
      </w:r>
      <w:r w:rsidR="007066F9">
        <w:rPr>
          <w:rFonts w:ascii="Times New Roman" w:hAnsi="Times New Roman" w:cs="Times New Roman"/>
          <w:sz w:val="24"/>
          <w:szCs w:val="24"/>
        </w:rPr>
        <w:t>s</w:t>
      </w:r>
      <w:r w:rsidR="00355487" w:rsidRPr="00A47D41">
        <w:rPr>
          <w:rFonts w:ascii="Times New Roman" w:hAnsi="Times New Roman" w:cs="Times New Roman"/>
          <w:sz w:val="24"/>
          <w:szCs w:val="24"/>
        </w:rPr>
        <w:t xml:space="preserve">: </w:t>
      </w:r>
    </w:p>
    <w:p w14:paraId="3F69BF96" w14:textId="469FCBB7" w:rsidR="00355487" w:rsidRPr="00A47D41" w:rsidRDefault="00133FA0" w:rsidP="001A0F9A">
      <w:pPr>
        <w:spacing w:after="0" w:line="480" w:lineRule="auto"/>
        <w:jc w:val="both"/>
        <w:rPr>
          <w:rFonts w:ascii="Times New Roman" w:hAnsi="Times New Roman" w:cs="Times New Roman"/>
          <w:sz w:val="24"/>
          <w:szCs w:val="24"/>
        </w:rPr>
      </w:pPr>
      <w:r w:rsidRPr="00133FA0">
        <w:rPr>
          <w:rFonts w:ascii="Times New Roman" w:hAnsi="Times New Roman" w:cs="Times New Roman"/>
          <w:noProof/>
          <w:position w:val="-28"/>
          <w:sz w:val="24"/>
          <w:szCs w:val="24"/>
        </w:rPr>
        <w:object w:dxaOrig="2299" w:dyaOrig="700" w14:anchorId="552DAC49">
          <v:shape id="_x0000_i1070" type="#_x0000_t75" alt="" style="width:113.8pt;height:34.7pt;mso-width-percent:0;mso-height-percent:0;mso-width-percent:0;mso-height-percent:0" o:ole="">
            <v:imagedata r:id="rId10" o:title=""/>
          </v:shape>
          <o:OLEObject Type="Embed" ProgID="Equation.3" ShapeID="_x0000_i1070" DrawAspect="Content" ObjectID="_1586774259" r:id="rId11"/>
        </w:object>
      </w:r>
      <w:r w:rsidR="005634FC">
        <w:rPr>
          <w:rFonts w:ascii="Times New Roman" w:hAnsi="Times New Roman" w:cs="Times New Roman"/>
          <w:sz w:val="24"/>
          <w:szCs w:val="24"/>
        </w:rPr>
        <w:t xml:space="preserve"> </w:t>
      </w:r>
      <w:r w:rsidR="00355487" w:rsidRPr="00A47D41">
        <w:rPr>
          <w:rFonts w:ascii="Times New Roman" w:hAnsi="Times New Roman" w:cs="Times New Roman"/>
          <w:sz w:val="24"/>
          <w:szCs w:val="24"/>
        </w:rPr>
        <w:t xml:space="preserve">,                                            </w:t>
      </w:r>
      <w:r w:rsidR="007066F9">
        <w:rPr>
          <w:rFonts w:ascii="Times New Roman" w:hAnsi="Times New Roman" w:cs="Times New Roman"/>
          <w:sz w:val="24"/>
          <w:szCs w:val="24"/>
        </w:rPr>
        <w:tab/>
      </w:r>
      <w:r w:rsidR="007066F9">
        <w:rPr>
          <w:rFonts w:ascii="Times New Roman" w:hAnsi="Times New Roman" w:cs="Times New Roman"/>
          <w:sz w:val="24"/>
          <w:szCs w:val="24"/>
        </w:rPr>
        <w:tab/>
      </w:r>
      <w:r w:rsidR="007066F9">
        <w:rPr>
          <w:rFonts w:ascii="Times New Roman" w:hAnsi="Times New Roman" w:cs="Times New Roman"/>
          <w:sz w:val="24"/>
          <w:szCs w:val="24"/>
        </w:rPr>
        <w:tab/>
      </w:r>
      <w:r w:rsidR="00D83777">
        <w:rPr>
          <w:rFonts w:ascii="Times New Roman" w:hAnsi="Times New Roman" w:cs="Times New Roman"/>
          <w:sz w:val="24"/>
          <w:szCs w:val="24"/>
        </w:rPr>
        <w:tab/>
      </w:r>
      <w:r w:rsidR="00D83777">
        <w:rPr>
          <w:rFonts w:ascii="Times New Roman" w:hAnsi="Times New Roman" w:cs="Times New Roman"/>
          <w:sz w:val="24"/>
          <w:szCs w:val="24"/>
        </w:rPr>
        <w:tab/>
      </w:r>
      <w:r w:rsidR="00355487" w:rsidRPr="00A47D41">
        <w:rPr>
          <w:rFonts w:ascii="Times New Roman" w:hAnsi="Times New Roman" w:cs="Times New Roman"/>
          <w:sz w:val="24"/>
          <w:szCs w:val="24"/>
        </w:rPr>
        <w:t>(1)</w:t>
      </w:r>
    </w:p>
    <w:p w14:paraId="56E7C352" w14:textId="4F50542B" w:rsidR="00355487" w:rsidRPr="00A47D41" w:rsidRDefault="00355487" w:rsidP="001A0F9A">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where</w:t>
      </w:r>
      <w:r w:rsidR="00133FA0" w:rsidRPr="00133FA0">
        <w:rPr>
          <w:rFonts w:ascii="Times New Roman" w:hAnsi="Times New Roman" w:cs="Times New Roman"/>
          <w:noProof/>
          <w:position w:val="-4"/>
          <w:sz w:val="24"/>
          <w:szCs w:val="24"/>
        </w:rPr>
        <w:object w:dxaOrig="220" w:dyaOrig="240" w14:anchorId="6F89ABA6">
          <v:shape id="_x0000_i1069" type="#_x0000_t75" alt="" style="width:10.95pt;height:12.2pt;mso-width-percent:0;mso-height-percent:0;mso-width-percent:0;mso-height-percent:0" o:ole="">
            <v:imagedata r:id="rId12" o:title=""/>
          </v:shape>
          <o:OLEObject Type="Embed" ProgID="Equation.DSMT4" ShapeID="_x0000_i1069" DrawAspect="Content" ObjectID="_1586774260" r:id="rId13"/>
        </w:object>
      </w:r>
      <w:r w:rsidRPr="00A47D41">
        <w:rPr>
          <w:rFonts w:ascii="Times New Roman" w:hAnsi="Times New Roman" w:cs="Times New Roman"/>
          <w:sz w:val="24"/>
          <w:szCs w:val="24"/>
        </w:rPr>
        <w:t>is the backward shift operator, and therefore</w:t>
      </w:r>
      <w:r w:rsidR="007B449B">
        <w:rPr>
          <w:rFonts w:ascii="Times New Roman" w:hAnsi="Times New Roman" w:cs="Times New Roman"/>
          <w:sz w:val="24"/>
          <w:szCs w:val="24"/>
        </w:rPr>
        <w:t xml:space="preserve"> </w:t>
      </w:r>
      <w:r w:rsidR="00133FA0" w:rsidRPr="00133FA0">
        <w:rPr>
          <w:rFonts w:ascii="Times New Roman" w:hAnsi="Times New Roman" w:cs="Times New Roman"/>
          <w:noProof/>
          <w:position w:val="-12"/>
          <w:sz w:val="24"/>
          <w:szCs w:val="24"/>
        </w:rPr>
        <w:object w:dxaOrig="1000" w:dyaOrig="400" w14:anchorId="510198C7">
          <v:shape id="_x0000_i1068" type="#_x0000_t75" alt="" style="width:50.8pt;height:21.2pt;mso-width-percent:0;mso-height-percent:0;mso-width-percent:0;mso-height-percent:0" o:ole="">
            <v:imagedata r:id="rId14" o:title=""/>
          </v:shape>
          <o:OLEObject Type="Embed" ProgID="Equation.3" ShapeID="_x0000_i1068" DrawAspect="Content" ObjectID="_1586774261" r:id="rId15"/>
        </w:object>
      </w:r>
      <w:r w:rsidRPr="00A47D41">
        <w:rPr>
          <w:rFonts w:ascii="Times New Roman" w:hAnsi="Times New Roman" w:cs="Times New Roman"/>
          <w:sz w:val="24"/>
          <w:szCs w:val="24"/>
        </w:rPr>
        <w:t>.</w:t>
      </w:r>
      <w:r w:rsidR="009D47EF">
        <w:rPr>
          <w:rFonts w:ascii="Times New Roman" w:hAnsi="Times New Roman" w:cs="Times New Roman"/>
          <w:sz w:val="24"/>
          <w:szCs w:val="24"/>
        </w:rPr>
        <w:t xml:space="preserve"> </w:t>
      </w:r>
      <w:r w:rsidR="00133FA0" w:rsidRPr="00133FA0">
        <w:rPr>
          <w:rFonts w:ascii="Times New Roman" w:hAnsi="Times New Roman" w:cs="Times New Roman"/>
          <w:noProof/>
          <w:position w:val="-12"/>
          <w:sz w:val="24"/>
          <w:szCs w:val="24"/>
        </w:rPr>
        <w:object w:dxaOrig="320" w:dyaOrig="380" w14:anchorId="785C5DB7">
          <v:shape id="_x0000_i1067" type="#_x0000_t75" alt="" style="width:16.05pt;height:19.3pt;mso-width-percent:0;mso-height-percent:0;mso-width-percent:0;mso-height-percent:0" o:ole="">
            <v:imagedata r:id="rId16" o:title=""/>
          </v:shape>
          <o:OLEObject Type="Embed" ProgID="Equation.3" ShapeID="_x0000_i1067" DrawAspect="Content" ObjectID="_1586774262" r:id="rId17"/>
        </w:object>
      </w:r>
      <w:r w:rsidR="007B449B">
        <w:rPr>
          <w:rFonts w:ascii="Times New Roman" w:hAnsi="Times New Roman" w:cs="Times New Roman"/>
          <w:sz w:val="24"/>
          <w:szCs w:val="24"/>
        </w:rPr>
        <w:t xml:space="preserve"> </w:t>
      </w:r>
      <w:r w:rsidR="009D47EF">
        <w:rPr>
          <w:rFonts w:ascii="Times New Roman" w:hAnsi="Times New Roman" w:cs="Times New Roman"/>
          <w:sz w:val="24"/>
          <w:szCs w:val="24"/>
        </w:rPr>
        <w:t xml:space="preserve">is the </w:t>
      </w:r>
      <w:r w:rsidRPr="00A47D41">
        <w:rPr>
          <w:rFonts w:ascii="Times New Roman" w:hAnsi="Times New Roman" w:cs="Times New Roman"/>
          <w:sz w:val="24"/>
          <w:szCs w:val="24"/>
        </w:rPr>
        <w:t>autoregression coefficient</w:t>
      </w:r>
      <w:r w:rsidR="009D47EF">
        <w:rPr>
          <w:rFonts w:ascii="Times New Roman" w:hAnsi="Times New Roman" w:cs="Times New Roman"/>
          <w:sz w:val="24"/>
          <w:szCs w:val="24"/>
        </w:rPr>
        <w:t xml:space="preserve"> matrix</w:t>
      </w:r>
      <w:r w:rsidRPr="00A47D41">
        <w:rPr>
          <w:rFonts w:ascii="Times New Roman" w:hAnsi="Times New Roman" w:cs="Times New Roman"/>
          <w:sz w:val="24"/>
          <w:szCs w:val="24"/>
        </w:rPr>
        <w:t xml:space="preserve">, </w:t>
      </w:r>
      <w:r w:rsidR="00E558A1" w:rsidRPr="00E558A1">
        <w:rPr>
          <w:rFonts w:ascii="Times New Roman" w:hAnsi="Times New Roman" w:cs="Times New Roman"/>
          <w:i/>
          <w:sz w:val="24"/>
          <w:szCs w:val="24"/>
        </w:rPr>
        <w:t>μ</w:t>
      </w:r>
      <w:r w:rsidR="00E558A1">
        <w:rPr>
          <w:rFonts w:ascii="Times New Roman" w:hAnsi="Times New Roman" w:cs="Times New Roman"/>
          <w:position w:val="-4"/>
          <w:sz w:val="24"/>
          <w:szCs w:val="24"/>
        </w:rPr>
        <w:t xml:space="preserve"> </w:t>
      </w:r>
      <w:r w:rsidRPr="00A47D41">
        <w:rPr>
          <w:rFonts w:ascii="Times New Roman" w:hAnsi="Times New Roman" w:cs="Times New Roman"/>
          <w:sz w:val="24"/>
          <w:szCs w:val="24"/>
        </w:rPr>
        <w:t xml:space="preserve">is constant vector and </w:t>
      </w:r>
      <w:r w:rsidR="00133FA0" w:rsidRPr="00133FA0">
        <w:rPr>
          <w:rFonts w:ascii="Times New Roman" w:hAnsi="Times New Roman" w:cs="Times New Roman"/>
          <w:noProof/>
          <w:position w:val="-12"/>
          <w:sz w:val="24"/>
          <w:szCs w:val="24"/>
        </w:rPr>
        <w:object w:dxaOrig="240" w:dyaOrig="380" w14:anchorId="1D4E6891">
          <v:shape id="_x0000_i1066" type="#_x0000_t75" alt="" style="width:12.2pt;height:19.3pt;mso-width-percent:0;mso-height-percent:0;mso-width-percent:0;mso-height-percent:0" o:ole="">
            <v:imagedata r:id="rId18" o:title=""/>
          </v:shape>
          <o:OLEObject Type="Embed" ProgID="Equation.DSMT4" ShapeID="_x0000_i1066" DrawAspect="Content" ObjectID="_1586774263" r:id="rId19"/>
        </w:object>
      </w:r>
      <w:r w:rsidR="00E66722">
        <w:rPr>
          <w:rFonts w:ascii="Times New Roman" w:hAnsi="Times New Roman" w:cs="Times New Roman"/>
          <w:position w:val="-12"/>
          <w:sz w:val="24"/>
          <w:szCs w:val="24"/>
        </w:rPr>
        <w:t xml:space="preserve"> </w:t>
      </w:r>
      <w:r w:rsidRPr="00A47D41">
        <w:rPr>
          <w:rFonts w:ascii="Times New Roman" w:hAnsi="Times New Roman" w:cs="Times New Roman"/>
          <w:sz w:val="24"/>
          <w:szCs w:val="24"/>
        </w:rPr>
        <w:t>a vector of residuals. When considering an error correction framework, the equivalent representation is given by:</w:t>
      </w:r>
    </w:p>
    <w:p w14:paraId="143CF4DD" w14:textId="30333FAD" w:rsidR="00355487" w:rsidRPr="00A47D41" w:rsidRDefault="00133FA0" w:rsidP="005634FC">
      <w:pPr>
        <w:spacing w:after="0" w:line="480" w:lineRule="auto"/>
        <w:jc w:val="both"/>
        <w:rPr>
          <w:rFonts w:ascii="Times New Roman" w:hAnsi="Times New Roman" w:cs="Times New Roman"/>
          <w:sz w:val="24"/>
          <w:szCs w:val="24"/>
        </w:rPr>
      </w:pPr>
      <w:r w:rsidRPr="00133FA0">
        <w:rPr>
          <w:rFonts w:ascii="Times New Roman" w:hAnsi="Times New Roman" w:cs="Times New Roman"/>
          <w:noProof/>
          <w:position w:val="-28"/>
          <w:sz w:val="24"/>
          <w:szCs w:val="24"/>
        </w:rPr>
        <w:object w:dxaOrig="3140" w:dyaOrig="720" w14:anchorId="7B5702D8">
          <v:shape id="_x0000_i1065" type="#_x0000_t75" alt="" style="width:156.85pt;height:36pt;mso-width-percent:0;mso-height-percent:0;mso-width-percent:0;mso-height-percent:0" o:ole="">
            <v:imagedata r:id="rId20" o:title=""/>
          </v:shape>
          <o:OLEObject Type="Embed" ProgID="Equation.3" ShapeID="_x0000_i1065" DrawAspect="Content" ObjectID="_1586774264" r:id="rId21"/>
        </w:object>
      </w:r>
      <w:r w:rsidR="005634FC">
        <w:rPr>
          <w:rFonts w:ascii="Times New Roman" w:hAnsi="Times New Roman" w:cs="Times New Roman"/>
          <w:sz w:val="24"/>
          <w:szCs w:val="24"/>
        </w:rPr>
        <w:t xml:space="preserve"> </w:t>
      </w:r>
      <w:r w:rsidR="00355487" w:rsidRPr="00A47D41">
        <w:rPr>
          <w:rFonts w:ascii="Times New Roman" w:hAnsi="Times New Roman" w:cs="Times New Roman"/>
          <w:sz w:val="24"/>
          <w:szCs w:val="24"/>
        </w:rPr>
        <w:tab/>
      </w:r>
      <w:r w:rsidR="00355487" w:rsidRPr="00A47D41">
        <w:rPr>
          <w:rFonts w:ascii="Times New Roman" w:hAnsi="Times New Roman" w:cs="Times New Roman"/>
          <w:sz w:val="24"/>
          <w:szCs w:val="24"/>
        </w:rPr>
        <w:tab/>
      </w:r>
      <w:r w:rsidR="007066F9">
        <w:rPr>
          <w:rFonts w:ascii="Times New Roman" w:hAnsi="Times New Roman" w:cs="Times New Roman"/>
          <w:sz w:val="24"/>
          <w:szCs w:val="24"/>
        </w:rPr>
        <w:tab/>
      </w:r>
      <w:r w:rsidR="007066F9">
        <w:rPr>
          <w:rFonts w:ascii="Times New Roman" w:hAnsi="Times New Roman" w:cs="Times New Roman"/>
          <w:sz w:val="24"/>
          <w:szCs w:val="24"/>
        </w:rPr>
        <w:tab/>
      </w:r>
      <w:r w:rsidR="007066F9">
        <w:rPr>
          <w:rFonts w:ascii="Times New Roman" w:hAnsi="Times New Roman" w:cs="Times New Roman"/>
          <w:sz w:val="24"/>
          <w:szCs w:val="24"/>
        </w:rPr>
        <w:tab/>
      </w:r>
      <w:r w:rsidR="005634FC">
        <w:rPr>
          <w:rFonts w:ascii="Times New Roman" w:hAnsi="Times New Roman" w:cs="Times New Roman"/>
          <w:sz w:val="24"/>
          <w:szCs w:val="24"/>
        </w:rPr>
        <w:tab/>
      </w:r>
      <w:r w:rsidR="005634FC">
        <w:rPr>
          <w:rFonts w:ascii="Times New Roman" w:hAnsi="Times New Roman" w:cs="Times New Roman"/>
          <w:sz w:val="24"/>
          <w:szCs w:val="24"/>
        </w:rPr>
        <w:tab/>
      </w:r>
      <w:r w:rsidR="00355487" w:rsidRPr="00A47D41">
        <w:rPr>
          <w:rFonts w:ascii="Times New Roman" w:hAnsi="Times New Roman" w:cs="Times New Roman"/>
          <w:sz w:val="24"/>
          <w:szCs w:val="24"/>
        </w:rPr>
        <w:t>(2)</w:t>
      </w:r>
    </w:p>
    <w:p w14:paraId="102016AB" w14:textId="77777777" w:rsidR="00DB1F1E" w:rsidRDefault="00DB1F1E" w:rsidP="001A0F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Where:</w:t>
      </w:r>
    </w:p>
    <w:p w14:paraId="1CD3432C" w14:textId="77777777" w:rsidR="00DB1F1E" w:rsidRPr="00E86E7E" w:rsidRDefault="00DB1F1E" w:rsidP="00DB1F1E">
      <w:pPr>
        <w:spacing w:after="0" w:line="480" w:lineRule="auto"/>
        <w:jc w:val="both"/>
        <w:rPr>
          <w:rFonts w:ascii="Times New Roman" w:hAnsi="Times New Roman" w:cs="Times New Roman"/>
          <w:sz w:val="24"/>
          <w:szCs w:val="24"/>
        </w:rPr>
      </w:pPr>
      <w:r w:rsidRPr="00E86E7E">
        <w:rPr>
          <w:rFonts w:ascii="Times New Roman" w:hAnsi="Times New Roman" w:cs="Times New Roman"/>
          <w:sz w:val="24"/>
          <w:szCs w:val="24"/>
        </w:rPr>
        <w:t xml:space="preserve">  </w:t>
      </w:r>
      <w:r w:rsidR="00133FA0" w:rsidRPr="00F929D1">
        <w:rPr>
          <w:rFonts w:ascii="Times New Roman" w:hAnsi="Times New Roman" w:cs="Times New Roman"/>
          <w:noProof/>
          <w:position w:val="-28"/>
        </w:rPr>
        <w:object w:dxaOrig="1380" w:dyaOrig="720" w14:anchorId="7BBB2725">
          <v:shape id="_x0000_i1064" type="#_x0000_t75" alt="" style="width:68.8pt;height:36pt;mso-width-percent:0;mso-height-percent:0;mso-width-percent:0;mso-height-percent:0" o:ole="">
            <v:imagedata r:id="rId22" o:title=""/>
          </v:shape>
          <o:OLEObject Type="Embed" ProgID="Equation.3" ShapeID="_x0000_i1064" DrawAspect="Content" ObjectID="_1586774265" r:id="rId23"/>
        </w:object>
      </w:r>
      <w:r>
        <w:rPr>
          <w:rFonts w:ascii="Times New Roman" w:hAnsi="Times New Roman" w:cs="Times New Roman"/>
          <w:position w:val="-28"/>
        </w:rPr>
        <w:t xml:space="preserve"> </w:t>
      </w:r>
      <w:r w:rsidRPr="00E86E7E">
        <w:rPr>
          <w:rFonts w:ascii="Times New Roman" w:hAnsi="Times New Roman" w:cs="Times New Roman"/>
          <w:sz w:val="24"/>
          <w:szCs w:val="24"/>
        </w:rPr>
        <w:t xml:space="preserve">and </w:t>
      </w:r>
      <w:r w:rsidR="00133FA0" w:rsidRPr="00F929D1">
        <w:rPr>
          <w:rFonts w:ascii="Times New Roman" w:hAnsi="Times New Roman" w:cs="Times New Roman"/>
          <w:noProof/>
          <w:position w:val="-30"/>
        </w:rPr>
        <w:object w:dxaOrig="1360" w:dyaOrig="740" w14:anchorId="55D9BA77">
          <v:shape id="_x0000_i1063" type="#_x0000_t75" alt="" style="width:68.15pt;height:36pt;mso-width-percent:0;mso-height-percent:0;mso-width-percent:0;mso-height-percent:0" o:ole="">
            <v:imagedata r:id="rId24" o:title=""/>
          </v:shape>
          <o:OLEObject Type="Embed" ProgID="Equation.DSMT4" ShapeID="_x0000_i1063" DrawAspect="Content" ObjectID="_1586774266" r:id="rId25"/>
        </w:object>
      </w:r>
      <w:r w:rsidRPr="00E86E7E">
        <w:rPr>
          <w:rFonts w:ascii="Times New Roman" w:hAnsi="Times New Roman" w:cs="Times New Roman"/>
          <w:sz w:val="24"/>
          <w:szCs w:val="24"/>
        </w:rPr>
        <w:t xml:space="preserve">                          </w:t>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t>(3)</w:t>
      </w:r>
    </w:p>
    <w:p w14:paraId="17DEEAD5" w14:textId="3A12678D" w:rsidR="0031067E" w:rsidRPr="00E86E7E" w:rsidRDefault="007066F9" w:rsidP="001A0F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Following </w:t>
      </w:r>
      <w:r w:rsidR="00355487" w:rsidRPr="00A47D41">
        <w:rPr>
          <w:rFonts w:ascii="Times New Roman" w:hAnsi="Times New Roman" w:cs="Times New Roman"/>
          <w:sz w:val="24"/>
          <w:szCs w:val="24"/>
        </w:rPr>
        <w:t>Johansen (1988, 1991</w:t>
      </w:r>
      <w:r>
        <w:rPr>
          <w:rFonts w:ascii="Times New Roman" w:hAnsi="Times New Roman" w:cs="Times New Roman"/>
          <w:sz w:val="24"/>
          <w:szCs w:val="24"/>
        </w:rPr>
        <w:t xml:space="preserve">, </w:t>
      </w:r>
      <w:r w:rsidR="00355487" w:rsidRPr="00A47D41">
        <w:rPr>
          <w:rFonts w:ascii="Times New Roman" w:hAnsi="Times New Roman" w:cs="Times New Roman"/>
          <w:sz w:val="24"/>
          <w:szCs w:val="24"/>
        </w:rPr>
        <w:t>1994) and Johansen and Juselius (1990)</w:t>
      </w:r>
      <w:r w:rsidR="0031067E">
        <w:rPr>
          <w:rFonts w:ascii="Times New Roman" w:hAnsi="Times New Roman" w:cs="Times New Roman"/>
          <w:sz w:val="24"/>
          <w:szCs w:val="24"/>
        </w:rPr>
        <w:t xml:space="preserve">, </w:t>
      </w:r>
      <w:r>
        <w:rPr>
          <w:rFonts w:ascii="Times New Roman" w:hAnsi="Times New Roman" w:cs="Times New Roman"/>
          <w:sz w:val="24"/>
          <w:szCs w:val="24"/>
        </w:rPr>
        <w:t xml:space="preserve">we </w:t>
      </w:r>
      <w:r w:rsidR="0031067E">
        <w:rPr>
          <w:rFonts w:ascii="Times New Roman" w:hAnsi="Times New Roman" w:cs="Times New Roman"/>
          <w:sz w:val="24"/>
          <w:szCs w:val="24"/>
        </w:rPr>
        <w:t>use a FIML (Full-Informa</w:t>
      </w:r>
      <w:r w:rsidR="00DB1F1E">
        <w:rPr>
          <w:rFonts w:ascii="Times New Roman" w:hAnsi="Times New Roman" w:cs="Times New Roman"/>
          <w:sz w:val="24"/>
          <w:szCs w:val="24"/>
        </w:rPr>
        <w:t>tion Maximum Likelihood) test to</w:t>
      </w:r>
      <w:r w:rsidR="0031067E">
        <w:rPr>
          <w:rFonts w:ascii="Times New Roman" w:hAnsi="Times New Roman" w:cs="Times New Roman"/>
          <w:sz w:val="24"/>
          <w:szCs w:val="24"/>
        </w:rPr>
        <w:t xml:space="preserve"> identify cointegrating vectors. It </w:t>
      </w:r>
      <w:r>
        <w:rPr>
          <w:rFonts w:ascii="Times New Roman" w:hAnsi="Times New Roman" w:cs="Times New Roman"/>
          <w:sz w:val="24"/>
          <w:szCs w:val="24"/>
        </w:rPr>
        <w:t>test</w:t>
      </w:r>
      <w:r w:rsidR="00D77203">
        <w:rPr>
          <w:rFonts w:ascii="Times New Roman" w:hAnsi="Times New Roman" w:cs="Times New Roman"/>
          <w:sz w:val="24"/>
          <w:szCs w:val="24"/>
        </w:rPr>
        <w:t>s</w:t>
      </w:r>
      <w:r>
        <w:rPr>
          <w:rFonts w:ascii="Times New Roman" w:hAnsi="Times New Roman" w:cs="Times New Roman"/>
          <w:sz w:val="24"/>
          <w:szCs w:val="24"/>
        </w:rPr>
        <w:t xml:space="preserve"> </w:t>
      </w:r>
      <w:r w:rsidRPr="00E86E7E">
        <w:rPr>
          <w:rFonts w:ascii="Times New Roman" w:hAnsi="Times New Roman" w:cs="Times New Roman"/>
          <w:sz w:val="24"/>
          <w:szCs w:val="24"/>
        </w:rPr>
        <w:t xml:space="preserve">for </w:t>
      </w:r>
      <w:r w:rsidR="00807A82" w:rsidRPr="00E86E7E">
        <w:rPr>
          <w:rFonts w:ascii="Times New Roman" w:hAnsi="Times New Roman" w:cs="Times New Roman"/>
          <w:sz w:val="24"/>
          <w:szCs w:val="24"/>
        </w:rPr>
        <w:t>cointegration</w:t>
      </w:r>
      <w:r w:rsidRPr="00E86E7E">
        <w:rPr>
          <w:rFonts w:ascii="Times New Roman" w:hAnsi="Times New Roman" w:cs="Times New Roman"/>
          <w:sz w:val="24"/>
          <w:szCs w:val="24"/>
        </w:rPr>
        <w:t xml:space="preserve"> by examining the rank of the matrix Φ. </w:t>
      </w:r>
    </w:p>
    <w:p w14:paraId="5E4341BB" w14:textId="3A665779" w:rsidR="00E66722" w:rsidRPr="00E86E7E" w:rsidRDefault="007066F9" w:rsidP="00DB1F1E">
      <w:pPr>
        <w:spacing w:after="0" w:line="480" w:lineRule="auto"/>
        <w:ind w:firstLine="720"/>
        <w:jc w:val="both"/>
        <w:rPr>
          <w:rFonts w:ascii="Times New Roman" w:hAnsi="Times New Roman" w:cs="Times New Roman"/>
          <w:sz w:val="24"/>
          <w:szCs w:val="24"/>
        </w:rPr>
      </w:pPr>
      <w:r w:rsidRPr="00E86E7E">
        <w:rPr>
          <w:rFonts w:ascii="Times New Roman" w:hAnsi="Times New Roman" w:cs="Times New Roman"/>
          <w:sz w:val="24"/>
          <w:szCs w:val="24"/>
        </w:rPr>
        <w:t xml:space="preserve">Where the rank </w:t>
      </w:r>
      <w:r w:rsidR="00CC1506">
        <w:rPr>
          <w:rFonts w:ascii="Times New Roman" w:hAnsi="Times New Roman" w:cs="Times New Roman"/>
          <w:sz w:val="24"/>
          <w:szCs w:val="24"/>
        </w:rPr>
        <w:t xml:space="preserve">of </w:t>
      </w:r>
      <w:r w:rsidR="00133FA0" w:rsidRPr="00133FA0">
        <w:rPr>
          <w:rFonts w:ascii="Times New Roman" w:hAnsi="Times New Roman" w:cs="Times New Roman"/>
          <w:noProof/>
          <w:position w:val="-4"/>
          <w:sz w:val="24"/>
          <w:szCs w:val="24"/>
        </w:rPr>
        <w:object w:dxaOrig="260" w:dyaOrig="260" w14:anchorId="73DCEBEE">
          <v:shape id="_x0000_i1062" type="#_x0000_t75" alt="" style="width:12.85pt;height:12.85pt;mso-width-percent:0;mso-height-percent:0;mso-width-percent:0;mso-height-percent:0" o:ole="">
            <v:imagedata r:id="rId26" o:title=""/>
          </v:shape>
          <o:OLEObject Type="Embed" ProgID="Equation.DSMT4" ShapeID="_x0000_i1062" DrawAspect="Content" ObjectID="_1586774267" r:id="rId27"/>
        </w:object>
      </w:r>
      <w:r w:rsidR="00DB1F1E">
        <w:rPr>
          <w:rFonts w:ascii="Times New Roman" w:hAnsi="Times New Roman" w:cs="Times New Roman"/>
          <w:sz w:val="24"/>
          <w:szCs w:val="24"/>
        </w:rPr>
        <w:t xml:space="preserve"> </w:t>
      </w:r>
      <w:r w:rsidRPr="00E86E7E">
        <w:rPr>
          <w:rFonts w:ascii="Times New Roman" w:hAnsi="Times New Roman" w:cs="Times New Roman"/>
          <w:sz w:val="24"/>
          <w:szCs w:val="24"/>
        </w:rPr>
        <w:t xml:space="preserve">is zero then we have no long-run cointegrating </w:t>
      </w:r>
      <w:r w:rsidR="00AC20C2">
        <w:rPr>
          <w:rFonts w:ascii="Times New Roman" w:hAnsi="Times New Roman" w:cs="Times New Roman"/>
          <w:sz w:val="24"/>
          <w:szCs w:val="24"/>
        </w:rPr>
        <w:t>relation</w:t>
      </w:r>
      <w:r w:rsidRPr="00E86E7E">
        <w:rPr>
          <w:rFonts w:ascii="Times New Roman" w:hAnsi="Times New Roman" w:cs="Times New Roman"/>
          <w:sz w:val="24"/>
          <w:szCs w:val="24"/>
        </w:rPr>
        <w:t xml:space="preserve">, where the rank is full then the vector </w:t>
      </w:r>
      <w:r w:rsidR="00133FA0" w:rsidRPr="00133FA0">
        <w:rPr>
          <w:rFonts w:ascii="Times New Roman" w:hAnsi="Times New Roman" w:cs="Times New Roman"/>
          <w:noProof/>
          <w:position w:val="-12"/>
          <w:sz w:val="24"/>
          <w:szCs w:val="24"/>
        </w:rPr>
        <w:object w:dxaOrig="260" w:dyaOrig="380" w14:anchorId="198EB1E9">
          <v:shape id="_x0000_i1061" type="#_x0000_t75" alt="" style="width:12.85pt;height:19.3pt;mso-width-percent:0;mso-height-percent:0;mso-width-percent:0;mso-height-percent:0" o:ole="">
            <v:imagedata r:id="rId28" o:title=""/>
          </v:shape>
          <o:OLEObject Type="Embed" ProgID="Equation.DSMT4" ShapeID="_x0000_i1061" DrawAspect="Content" ObjectID="_1586774268" r:id="rId29"/>
        </w:object>
      </w:r>
      <w:r w:rsidRPr="00E86E7E">
        <w:rPr>
          <w:rFonts w:ascii="Times New Roman" w:hAnsi="Times New Roman" w:cs="Times New Roman"/>
          <w:sz w:val="24"/>
          <w:szCs w:val="24"/>
        </w:rPr>
        <w:t xml:space="preserve">only contains stationary variables. The interesting case is where the rank is greater than zero and less than full, which indicates the number of cointegrating vectors. </w:t>
      </w:r>
      <w:r w:rsidR="00E66722" w:rsidRPr="00E86E7E">
        <w:rPr>
          <w:rFonts w:ascii="Times New Roman" w:hAnsi="Times New Roman" w:cs="Times New Roman"/>
          <w:sz w:val="24"/>
          <w:szCs w:val="24"/>
        </w:rPr>
        <w:t xml:space="preserve">That is, in a VAR where the number of series is given by </w:t>
      </w:r>
      <w:r w:rsidR="00E66722" w:rsidRPr="00E86E7E">
        <w:rPr>
          <w:rFonts w:ascii="Times New Roman" w:hAnsi="Times New Roman" w:cs="Times New Roman"/>
          <w:i/>
          <w:sz w:val="24"/>
          <w:szCs w:val="24"/>
        </w:rPr>
        <w:t>n</w:t>
      </w:r>
      <w:r w:rsidR="00E66722" w:rsidRPr="00E86E7E">
        <w:rPr>
          <w:rFonts w:ascii="Times New Roman" w:hAnsi="Times New Roman" w:cs="Times New Roman"/>
          <w:sz w:val="24"/>
          <w:szCs w:val="24"/>
        </w:rPr>
        <w:t xml:space="preserve"> and </w:t>
      </w:r>
      <w:r w:rsidR="00E66722" w:rsidRPr="00E86E7E">
        <w:rPr>
          <w:rFonts w:ascii="Times New Roman" w:hAnsi="Times New Roman" w:cs="Times New Roman"/>
          <w:i/>
          <w:sz w:val="24"/>
          <w:szCs w:val="24"/>
        </w:rPr>
        <w:t>k</w:t>
      </w:r>
      <w:r w:rsidR="00E66722" w:rsidRPr="00E86E7E">
        <w:rPr>
          <w:rFonts w:ascii="Times New Roman" w:hAnsi="Times New Roman" w:cs="Times New Roman"/>
          <w:sz w:val="24"/>
          <w:szCs w:val="24"/>
        </w:rPr>
        <w:t xml:space="preserve"> is the number of </w:t>
      </w:r>
      <w:r w:rsidR="00F03CE7" w:rsidRPr="00E86E7E">
        <w:rPr>
          <w:rFonts w:ascii="Times New Roman" w:hAnsi="Times New Roman" w:cs="Times New Roman"/>
          <w:sz w:val="24"/>
          <w:szCs w:val="24"/>
        </w:rPr>
        <w:t>cointegrating</w:t>
      </w:r>
      <w:r w:rsidR="00E66722" w:rsidRPr="00E86E7E">
        <w:rPr>
          <w:rFonts w:ascii="Times New Roman" w:hAnsi="Times New Roman" w:cs="Times New Roman"/>
          <w:sz w:val="24"/>
          <w:szCs w:val="24"/>
        </w:rPr>
        <w:t xml:space="preserve"> vectors, where the rank of the matrix</w:t>
      </w:r>
      <w:r w:rsidR="00CC1506">
        <w:rPr>
          <w:rFonts w:ascii="Times New Roman" w:hAnsi="Times New Roman" w:cs="Times New Roman"/>
          <w:sz w:val="24"/>
          <w:szCs w:val="24"/>
        </w:rPr>
        <w:t xml:space="preserve"> </w:t>
      </w:r>
      <w:r w:rsidR="00133FA0" w:rsidRPr="00133FA0">
        <w:rPr>
          <w:rFonts w:ascii="Times New Roman" w:hAnsi="Times New Roman" w:cs="Times New Roman"/>
          <w:noProof/>
          <w:position w:val="-4"/>
          <w:sz w:val="24"/>
          <w:szCs w:val="24"/>
        </w:rPr>
        <w:object w:dxaOrig="260" w:dyaOrig="260" w14:anchorId="426643B8">
          <v:shape id="_x0000_i1060" type="#_x0000_t75" alt="" style="width:12.85pt;height:12.85pt;mso-width-percent:0;mso-height-percent:0;mso-width-percent:0;mso-height-percent:0" o:ole="">
            <v:imagedata r:id="rId30" o:title=""/>
          </v:shape>
          <o:OLEObject Type="Embed" ProgID="Equation.3" ShapeID="_x0000_i1060" DrawAspect="Content" ObjectID="_1586774269" r:id="rId31"/>
        </w:object>
      </w:r>
      <w:r w:rsidR="00E66722" w:rsidRPr="00E86E7E">
        <w:rPr>
          <w:rFonts w:ascii="Times New Roman" w:hAnsi="Times New Roman" w:cs="Times New Roman"/>
          <w:sz w:val="24"/>
          <w:szCs w:val="24"/>
        </w:rPr>
        <w:t xml:space="preserve"> is </w:t>
      </w:r>
      <w:r w:rsidR="00133FA0" w:rsidRPr="00133FA0">
        <w:rPr>
          <w:rFonts w:ascii="Times New Roman" w:hAnsi="Times New Roman" w:cs="Times New Roman"/>
          <w:noProof/>
          <w:position w:val="-6"/>
          <w:sz w:val="24"/>
          <w:szCs w:val="24"/>
        </w:rPr>
        <w:object w:dxaOrig="200" w:dyaOrig="280" w14:anchorId="2E91BA60">
          <v:shape id="_x0000_i1059" type="#_x0000_t75" alt="" style="width:10.3pt;height:14.8pt;mso-width-percent:0;mso-height-percent:0;mso-width-percent:0;mso-height-percent:0" o:ole="">
            <v:imagedata r:id="rId32" o:title=""/>
          </v:shape>
          <o:OLEObject Type="Embed" ProgID="Equation.3" ShapeID="_x0000_i1059" DrawAspect="Content" ObjectID="_1586774270" r:id="rId33"/>
        </w:object>
      </w:r>
      <w:r w:rsidR="00DB1F1E">
        <w:rPr>
          <w:rFonts w:ascii="Times New Roman" w:hAnsi="Times New Roman" w:cs="Times New Roman"/>
          <w:sz w:val="24"/>
          <w:szCs w:val="24"/>
        </w:rPr>
        <w:t xml:space="preserve"> such that</w:t>
      </w:r>
      <w:r w:rsidR="00CC1506">
        <w:rPr>
          <w:rFonts w:ascii="Times New Roman" w:hAnsi="Times New Roman" w:cs="Times New Roman"/>
          <w:sz w:val="24"/>
          <w:szCs w:val="24"/>
        </w:rPr>
        <w:t xml:space="preserve"> </w:t>
      </w:r>
      <w:r w:rsidR="00133FA0" w:rsidRPr="00133FA0">
        <w:rPr>
          <w:rFonts w:ascii="Times New Roman" w:hAnsi="Times New Roman" w:cs="Times New Roman"/>
          <w:noProof/>
          <w:position w:val="-6"/>
          <w:sz w:val="24"/>
          <w:szCs w:val="24"/>
        </w:rPr>
        <w:object w:dxaOrig="920" w:dyaOrig="280" w14:anchorId="1771B59D">
          <v:shape id="_x0000_i1058" type="#_x0000_t75" alt="" style="width:46.3pt;height:14.8pt;mso-width-percent:0;mso-height-percent:0;mso-width-percent:0;mso-height-percent:0" o:ole="">
            <v:imagedata r:id="rId34" o:title=""/>
          </v:shape>
          <o:OLEObject Type="Embed" ProgID="Equation.3" ShapeID="_x0000_i1058" DrawAspect="Content" ObjectID="_1586774271" r:id="rId35"/>
        </w:object>
      </w:r>
      <w:r w:rsidR="00CC1506">
        <w:rPr>
          <w:rFonts w:ascii="Times New Roman" w:hAnsi="Times New Roman" w:cs="Times New Roman"/>
          <w:sz w:val="24"/>
          <w:szCs w:val="24"/>
        </w:rPr>
        <w:t>,</w:t>
      </w:r>
      <w:r w:rsidR="00E66722" w:rsidRPr="00E86E7E">
        <w:rPr>
          <w:rFonts w:ascii="Times New Roman" w:hAnsi="Times New Roman" w:cs="Times New Roman"/>
          <w:sz w:val="24"/>
          <w:szCs w:val="24"/>
        </w:rPr>
        <w:t xml:space="preserve"> then cointegration exists with </w:t>
      </w:r>
      <w:r w:rsidR="00E66722" w:rsidRPr="00E86E7E">
        <w:rPr>
          <w:rFonts w:ascii="Times New Roman" w:hAnsi="Times New Roman" w:cs="Times New Roman"/>
          <w:i/>
          <w:sz w:val="24"/>
          <w:szCs w:val="24"/>
        </w:rPr>
        <w:t>n-k</w:t>
      </w:r>
      <w:r w:rsidR="00E66722" w:rsidRPr="00E86E7E">
        <w:rPr>
          <w:rFonts w:ascii="Times New Roman" w:hAnsi="Times New Roman" w:cs="Times New Roman"/>
          <w:sz w:val="24"/>
          <w:szCs w:val="24"/>
        </w:rPr>
        <w:t xml:space="preserve"> the number of stochastic trends.</w:t>
      </w:r>
      <w:r w:rsidR="0031067E" w:rsidRPr="00E86E7E">
        <w:rPr>
          <w:rFonts w:ascii="Times New Roman" w:hAnsi="Times New Roman" w:cs="Times New Roman"/>
          <w:sz w:val="24"/>
          <w:szCs w:val="24"/>
        </w:rPr>
        <w:t xml:space="preserve"> </w:t>
      </w:r>
      <w:r w:rsidR="00CC1506">
        <w:rPr>
          <w:rFonts w:ascii="Times New Roman" w:hAnsi="Times New Roman" w:cs="Times New Roman"/>
          <w:sz w:val="24"/>
          <w:szCs w:val="24"/>
        </w:rPr>
        <w:t xml:space="preserve">Let </w:t>
      </w:r>
      <w:r w:rsidR="00133FA0" w:rsidRPr="00F929D1">
        <w:rPr>
          <w:rFonts w:ascii="Times New Roman" w:hAnsi="Times New Roman" w:cs="Times New Roman"/>
          <w:noProof/>
          <w:position w:val="-12"/>
        </w:rPr>
        <w:object w:dxaOrig="2080" w:dyaOrig="420" w14:anchorId="5B977D04">
          <v:shape id="_x0000_i1057" type="#_x0000_t75" alt="" style="width:104.15pt;height:21.2pt;mso-width-percent:0;mso-height-percent:0;mso-width-percent:0;mso-height-percent:0" o:ole="">
            <v:imagedata r:id="rId36" o:title=""/>
          </v:shape>
          <o:OLEObject Type="Embed" ProgID="Equation.DSMT4" ShapeID="_x0000_i1057" DrawAspect="Content" ObjectID="_1586774272" r:id="rId37"/>
        </w:object>
      </w:r>
      <w:r w:rsidR="00CC1506">
        <w:rPr>
          <w:rFonts w:ascii="Times New Roman" w:hAnsi="Times New Roman" w:cs="Times New Roman"/>
          <w:sz w:val="24"/>
          <w:szCs w:val="24"/>
        </w:rPr>
        <w:t xml:space="preserve">be the eigenvalues of the estimated matrix </w:t>
      </w:r>
      <w:r w:rsidR="00133FA0" w:rsidRPr="00133FA0">
        <w:rPr>
          <w:rFonts w:ascii="Times New Roman" w:hAnsi="Times New Roman" w:cs="Times New Roman"/>
          <w:noProof/>
          <w:position w:val="-4"/>
          <w:sz w:val="24"/>
          <w:szCs w:val="24"/>
        </w:rPr>
        <w:object w:dxaOrig="260" w:dyaOrig="320" w14:anchorId="64FC5273">
          <v:shape id="_x0000_i1056" type="#_x0000_t75" alt="" style="width:12.85pt;height:16.05pt;mso-width-percent:0;mso-height-percent:0;mso-width-percent:0;mso-height-percent:0" o:ole="">
            <v:imagedata r:id="rId38" o:title=""/>
          </v:shape>
          <o:OLEObject Type="Embed" ProgID="Equation.3" ShapeID="_x0000_i1056" DrawAspect="Content" ObjectID="_1586774273" r:id="rId39"/>
        </w:object>
      </w:r>
      <w:r w:rsidR="00CC1506">
        <w:rPr>
          <w:rFonts w:ascii="Times New Roman" w:hAnsi="Times New Roman" w:cs="Times New Roman"/>
          <w:sz w:val="24"/>
          <w:szCs w:val="24"/>
        </w:rPr>
        <w:t xml:space="preserve">. The trace test of the null hypothesis that there are at most </w:t>
      </w:r>
      <w:r w:rsidR="00133FA0" w:rsidRPr="00133FA0">
        <w:rPr>
          <w:rFonts w:ascii="Times New Roman" w:hAnsi="Times New Roman" w:cs="Times New Roman"/>
          <w:noProof/>
          <w:position w:val="-6"/>
          <w:sz w:val="24"/>
          <w:szCs w:val="24"/>
        </w:rPr>
        <w:object w:dxaOrig="200" w:dyaOrig="280" w14:anchorId="70C7B44A">
          <v:shape id="_x0000_i1055" type="#_x0000_t75" alt="" style="width:10.3pt;height:14.8pt;mso-width-percent:0;mso-height-percent:0;mso-width-percent:0;mso-height-percent:0" o:ole="">
            <v:imagedata r:id="rId40" o:title=""/>
          </v:shape>
          <o:OLEObject Type="Embed" ProgID="Equation.3" ShapeID="_x0000_i1055" DrawAspect="Content" ObjectID="_1586774274" r:id="rId41"/>
        </w:object>
      </w:r>
      <w:r w:rsidR="002B6DBF">
        <w:rPr>
          <w:rFonts w:ascii="Times New Roman" w:hAnsi="Times New Roman" w:cs="Times New Roman"/>
          <w:sz w:val="24"/>
          <w:szCs w:val="24"/>
        </w:rPr>
        <w:t xml:space="preserve"> cointegrating relations, i.e. </w:t>
      </w:r>
      <w:r w:rsidR="00133FA0" w:rsidRPr="00F929D1">
        <w:rPr>
          <w:rFonts w:ascii="Times New Roman" w:hAnsi="Times New Roman" w:cs="Times New Roman"/>
          <w:noProof/>
          <w:position w:val="-12"/>
        </w:rPr>
        <w:object w:dxaOrig="980" w:dyaOrig="380" w14:anchorId="67CF5470">
          <v:shape id="_x0000_i1054" type="#_x0000_t75" alt="" style="width:48.85pt;height:19.3pt;mso-width-percent:0;mso-height-percent:0;mso-width-percent:0;mso-height-percent:0" o:ole="">
            <v:imagedata r:id="rId42" o:title=""/>
          </v:shape>
          <o:OLEObject Type="Embed" ProgID="Equation.3" ShapeID="_x0000_i1054" DrawAspect="Content" ObjectID="_1586774275" r:id="rId43"/>
        </w:object>
      </w:r>
      <w:r w:rsidR="002B6DBF">
        <w:rPr>
          <w:rFonts w:ascii="Times New Roman" w:hAnsi="Times New Roman" w:cs="Times New Roman"/>
          <w:sz w:val="24"/>
          <w:szCs w:val="24"/>
        </w:rPr>
        <w:t>, against the alternative hypothesis</w:t>
      </w:r>
      <w:r w:rsidR="00133FA0" w:rsidRPr="00F929D1">
        <w:rPr>
          <w:rFonts w:ascii="Times New Roman" w:hAnsi="Times New Roman" w:cs="Times New Roman"/>
          <w:noProof/>
          <w:position w:val="-12"/>
        </w:rPr>
        <w:object w:dxaOrig="960" w:dyaOrig="380" w14:anchorId="685CDA12">
          <v:shape id="_x0000_i1053" type="#_x0000_t75" alt="" style="width:48.2pt;height:19.3pt;mso-width-percent:0;mso-height-percent:0;mso-width-percent:0;mso-height-percent:0" o:ole="">
            <v:imagedata r:id="rId44" o:title=""/>
          </v:shape>
          <o:OLEObject Type="Embed" ProgID="Equation.3" ShapeID="_x0000_i1053" DrawAspect="Content" ObjectID="_1586774276" r:id="rId45"/>
        </w:object>
      </w:r>
      <w:r w:rsidR="002B6DBF">
        <w:rPr>
          <w:rFonts w:ascii="Times New Roman" w:hAnsi="Times New Roman" w:cs="Times New Roman"/>
          <w:position w:val="-12"/>
        </w:rPr>
        <w:t xml:space="preserve"> </w:t>
      </w:r>
      <w:r w:rsidR="002B6DBF">
        <w:rPr>
          <w:rFonts w:ascii="Times New Roman" w:hAnsi="Times New Roman" w:cs="Times New Roman"/>
          <w:sz w:val="24"/>
          <w:szCs w:val="24"/>
        </w:rPr>
        <w:t>is based on the statistic</w:t>
      </w:r>
    </w:p>
    <w:p w14:paraId="16CE1946" w14:textId="676C419A" w:rsidR="001D14D3" w:rsidRPr="00E86E7E" w:rsidRDefault="001D14D3" w:rsidP="001A0F9A">
      <w:pPr>
        <w:spacing w:after="0" w:line="480" w:lineRule="auto"/>
        <w:jc w:val="both"/>
        <w:rPr>
          <w:rFonts w:ascii="Times New Roman" w:hAnsi="Times New Roman" w:cs="Times New Roman"/>
          <w:sz w:val="24"/>
          <w:szCs w:val="24"/>
        </w:rPr>
      </w:pPr>
      <w:r w:rsidRPr="00E86E7E">
        <w:rPr>
          <w:rFonts w:ascii="Times New Roman" w:hAnsi="Times New Roman" w:cs="Times New Roman"/>
          <w:sz w:val="24"/>
          <w:szCs w:val="24"/>
        </w:rPr>
        <w:t xml:space="preserve"> </w:t>
      </w:r>
      <w:r w:rsidR="00133FA0" w:rsidRPr="00F929D1">
        <w:rPr>
          <w:rFonts w:ascii="Times New Roman" w:hAnsi="Times New Roman" w:cs="Times New Roman"/>
          <w:noProof/>
          <w:position w:val="-28"/>
        </w:rPr>
        <w:object w:dxaOrig="2420" w:dyaOrig="700" w14:anchorId="268F8747">
          <v:shape id="_x0000_i1052" type="#_x0000_t75" alt="" style="width:120.85pt;height:34.7pt;mso-width-percent:0;mso-height-percent:0;mso-width-percent:0;mso-height-percent:0" o:ole="">
            <v:imagedata r:id="rId46" o:title=""/>
          </v:shape>
          <o:OLEObject Type="Embed" ProgID="Equation.DSMT4" ShapeID="_x0000_i1052" DrawAspect="Content" ObjectID="_1586774277" r:id="rId47"/>
        </w:object>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009D47EF" w:rsidRPr="00E86E7E">
        <w:rPr>
          <w:rFonts w:ascii="Times New Roman" w:hAnsi="Times New Roman" w:cs="Times New Roman"/>
          <w:sz w:val="24"/>
          <w:szCs w:val="24"/>
        </w:rPr>
        <w:tab/>
      </w:r>
      <w:r w:rsidR="005634FC">
        <w:rPr>
          <w:rFonts w:ascii="Times New Roman" w:hAnsi="Times New Roman" w:cs="Times New Roman"/>
          <w:sz w:val="24"/>
          <w:szCs w:val="24"/>
        </w:rPr>
        <w:tab/>
      </w:r>
      <w:r w:rsidR="005634FC">
        <w:rPr>
          <w:rFonts w:ascii="Times New Roman" w:hAnsi="Times New Roman" w:cs="Times New Roman"/>
          <w:sz w:val="24"/>
          <w:szCs w:val="24"/>
        </w:rPr>
        <w:tab/>
      </w:r>
      <w:r w:rsidRPr="00E86E7E">
        <w:rPr>
          <w:rFonts w:ascii="Times New Roman" w:hAnsi="Times New Roman" w:cs="Times New Roman"/>
          <w:sz w:val="24"/>
          <w:szCs w:val="24"/>
        </w:rPr>
        <w:t>(4)</w:t>
      </w:r>
    </w:p>
    <w:p w14:paraId="2512F8B4" w14:textId="3022A8A1" w:rsidR="001D14D3" w:rsidRPr="00E86E7E" w:rsidRDefault="002B6DBF" w:rsidP="00D77203">
      <w:pPr>
        <w:spacing w:after="0" w:line="480" w:lineRule="auto"/>
        <w:jc w:val="both"/>
        <w:rPr>
          <w:rFonts w:ascii="Times New Roman" w:hAnsi="Times New Roman" w:cs="Times New Roman"/>
          <w:sz w:val="24"/>
          <w:szCs w:val="24"/>
        </w:rPr>
      </w:pPr>
      <w:r w:rsidRPr="002B6DBF">
        <w:rPr>
          <w:rFonts w:ascii="Times New Roman" w:hAnsi="Times New Roman" w:cs="Times New Roman"/>
          <w:sz w:val="24"/>
          <w:szCs w:val="24"/>
        </w:rPr>
        <w:lastRenderedPageBreak/>
        <w:t xml:space="preserve">A test of the null hypothesis </w:t>
      </w:r>
      <w:r w:rsidR="00133FA0" w:rsidRPr="00133FA0">
        <w:rPr>
          <w:rFonts w:ascii="Times New Roman" w:hAnsi="Times New Roman" w:cs="Times New Roman"/>
          <w:noProof/>
          <w:position w:val="-12"/>
          <w:sz w:val="24"/>
          <w:szCs w:val="24"/>
        </w:rPr>
        <w:object w:dxaOrig="1000" w:dyaOrig="380" w14:anchorId="4E4BF68E">
          <v:shape id="_x0000_i1051" type="#_x0000_t75" alt="" style="width:50.8pt;height:19.3pt;mso-width-percent:0;mso-height-percent:0;mso-width-percent:0;mso-height-percent:0" o:ole="">
            <v:imagedata r:id="rId48" o:title=""/>
          </v:shape>
          <o:OLEObject Type="Embed" ProgID="Equation.DSMT4" ShapeID="_x0000_i1051" DrawAspect="Content" ObjectID="_1586774278" r:id="rId49"/>
        </w:object>
      </w:r>
      <w:r w:rsidRPr="002B6DBF">
        <w:rPr>
          <w:rFonts w:ascii="Times New Roman" w:hAnsi="Times New Roman" w:cs="Times New Roman"/>
          <w:sz w:val="24"/>
          <w:szCs w:val="24"/>
        </w:rPr>
        <w:t xml:space="preserve"> against the alternative</w:t>
      </w:r>
      <w:r w:rsidR="00133FA0" w:rsidRPr="00133FA0">
        <w:rPr>
          <w:rFonts w:ascii="Times New Roman" w:hAnsi="Times New Roman" w:cs="Times New Roman"/>
          <w:noProof/>
          <w:position w:val="-12"/>
          <w:sz w:val="24"/>
          <w:szCs w:val="24"/>
        </w:rPr>
        <w:object w:dxaOrig="1260" w:dyaOrig="380" w14:anchorId="7523B88D">
          <v:shape id="_x0000_i1050" type="#_x0000_t75" alt="" style="width:63pt;height:19.3pt;mso-width-percent:0;mso-height-percent:0;mso-width-percent:0;mso-height-percent:0" o:ole="">
            <v:imagedata r:id="rId50" o:title=""/>
          </v:shape>
          <o:OLEObject Type="Embed" ProgID="Equation.DSMT4" ShapeID="_x0000_i1050" DrawAspect="Content" ObjectID="_1586774279" r:id="rId51"/>
        </w:object>
      </w:r>
      <w:r w:rsidRPr="002B6DBF">
        <w:rPr>
          <w:rFonts w:ascii="Times New Roman" w:hAnsi="Times New Roman" w:cs="Times New Roman"/>
          <w:sz w:val="24"/>
          <w:szCs w:val="24"/>
        </w:rPr>
        <w:t xml:space="preserve"> is based on the statistic</w:t>
      </w:r>
    </w:p>
    <w:p w14:paraId="63DBE0F6" w14:textId="3F1D8F5B" w:rsidR="001D14D3" w:rsidRPr="00E86E7E" w:rsidRDefault="00133FA0" w:rsidP="001A0F9A">
      <w:pPr>
        <w:spacing w:after="0" w:line="480" w:lineRule="auto"/>
        <w:jc w:val="both"/>
        <w:rPr>
          <w:rFonts w:ascii="Times New Roman" w:hAnsi="Times New Roman" w:cs="Times New Roman"/>
          <w:sz w:val="24"/>
          <w:szCs w:val="24"/>
        </w:rPr>
      </w:pPr>
      <w:r w:rsidRPr="00F929D1">
        <w:rPr>
          <w:rFonts w:ascii="Times New Roman" w:hAnsi="Times New Roman" w:cs="Times New Roman"/>
          <w:noProof/>
          <w:position w:val="-12"/>
        </w:rPr>
        <w:object w:dxaOrig="2220" w:dyaOrig="420" w14:anchorId="1DE7E5A1">
          <v:shape id="_x0000_i1049" type="#_x0000_t75" alt="" style="width:111.2pt;height:21.2pt;mso-width-percent:0;mso-height-percent:0;mso-width-percent:0;mso-height-percent:0" o:ole="">
            <v:imagedata r:id="rId52" o:title=""/>
          </v:shape>
          <o:OLEObject Type="Embed" ProgID="Equation.DSMT4" ShapeID="_x0000_i1049" DrawAspect="Content" ObjectID="_1586774280" r:id="rId53"/>
        </w:object>
      </w:r>
      <w:r w:rsidR="001D14D3" w:rsidRPr="00E86E7E">
        <w:rPr>
          <w:rFonts w:ascii="Times New Roman" w:hAnsi="Times New Roman" w:cs="Times New Roman"/>
          <w:sz w:val="24"/>
          <w:szCs w:val="24"/>
        </w:rPr>
        <w:tab/>
      </w:r>
      <w:r w:rsidR="001D14D3" w:rsidRPr="00E86E7E">
        <w:rPr>
          <w:rFonts w:ascii="Times New Roman" w:hAnsi="Times New Roman" w:cs="Times New Roman"/>
          <w:sz w:val="24"/>
          <w:szCs w:val="24"/>
        </w:rPr>
        <w:tab/>
      </w:r>
      <w:r w:rsidR="001D14D3" w:rsidRPr="00E86E7E">
        <w:rPr>
          <w:rFonts w:ascii="Times New Roman" w:hAnsi="Times New Roman" w:cs="Times New Roman"/>
          <w:sz w:val="24"/>
          <w:szCs w:val="24"/>
        </w:rPr>
        <w:tab/>
      </w:r>
      <w:r w:rsidR="001D14D3" w:rsidRPr="00E86E7E">
        <w:rPr>
          <w:rFonts w:ascii="Times New Roman" w:hAnsi="Times New Roman" w:cs="Times New Roman"/>
          <w:sz w:val="24"/>
          <w:szCs w:val="24"/>
        </w:rPr>
        <w:tab/>
      </w:r>
      <w:r w:rsidR="009D47EF" w:rsidRPr="00E86E7E">
        <w:rPr>
          <w:rFonts w:ascii="Times New Roman" w:hAnsi="Times New Roman" w:cs="Times New Roman"/>
          <w:sz w:val="24"/>
          <w:szCs w:val="24"/>
        </w:rPr>
        <w:tab/>
      </w:r>
      <w:r w:rsidR="005634FC">
        <w:rPr>
          <w:rFonts w:ascii="Times New Roman" w:hAnsi="Times New Roman" w:cs="Times New Roman"/>
          <w:sz w:val="24"/>
          <w:szCs w:val="24"/>
        </w:rPr>
        <w:tab/>
      </w:r>
      <w:r w:rsidR="005634FC">
        <w:rPr>
          <w:rFonts w:ascii="Times New Roman" w:hAnsi="Times New Roman" w:cs="Times New Roman"/>
          <w:sz w:val="24"/>
          <w:szCs w:val="24"/>
        </w:rPr>
        <w:tab/>
      </w:r>
      <w:r w:rsidR="005634FC">
        <w:rPr>
          <w:rFonts w:ascii="Times New Roman" w:hAnsi="Times New Roman" w:cs="Times New Roman"/>
          <w:sz w:val="24"/>
          <w:szCs w:val="24"/>
        </w:rPr>
        <w:tab/>
      </w:r>
      <w:r w:rsidR="001D14D3" w:rsidRPr="00E86E7E">
        <w:rPr>
          <w:rFonts w:ascii="Times New Roman" w:hAnsi="Times New Roman" w:cs="Times New Roman"/>
          <w:sz w:val="24"/>
          <w:szCs w:val="24"/>
        </w:rPr>
        <w:t>(5)</w:t>
      </w:r>
      <w:r w:rsidR="001D14D3" w:rsidRPr="00E86E7E">
        <w:rPr>
          <w:rStyle w:val="FootnoteReference"/>
          <w:rFonts w:ascii="Times New Roman" w:hAnsi="Times New Roman" w:cs="Times New Roman"/>
          <w:sz w:val="24"/>
          <w:szCs w:val="24"/>
        </w:rPr>
        <w:footnoteReference w:id="6"/>
      </w:r>
    </w:p>
    <w:p w14:paraId="11DF45EB" w14:textId="207EA0E3" w:rsidR="00355487" w:rsidRPr="00A47D41" w:rsidRDefault="00E66722" w:rsidP="001A0F9A">
      <w:pPr>
        <w:spacing w:after="0" w:line="480" w:lineRule="auto"/>
        <w:ind w:firstLine="720"/>
        <w:jc w:val="both"/>
        <w:rPr>
          <w:rFonts w:ascii="Times New Roman" w:hAnsi="Times New Roman" w:cs="Times New Roman"/>
          <w:sz w:val="24"/>
          <w:szCs w:val="24"/>
        </w:rPr>
      </w:pPr>
      <w:r w:rsidRPr="00E86E7E">
        <w:rPr>
          <w:rFonts w:ascii="Times New Roman" w:hAnsi="Times New Roman" w:cs="Times New Roman"/>
          <w:sz w:val="24"/>
          <w:szCs w:val="24"/>
        </w:rPr>
        <w:t>To examine the return and volatility spillovers, w</w:t>
      </w:r>
      <w:r w:rsidR="00355487" w:rsidRPr="00E86E7E">
        <w:rPr>
          <w:rFonts w:ascii="Times New Roman" w:hAnsi="Times New Roman" w:cs="Times New Roman"/>
          <w:sz w:val="24"/>
          <w:szCs w:val="24"/>
        </w:rPr>
        <w:t>e utili</w:t>
      </w:r>
      <w:r w:rsidRPr="00E86E7E">
        <w:rPr>
          <w:rFonts w:ascii="Times New Roman" w:hAnsi="Times New Roman" w:cs="Times New Roman"/>
          <w:sz w:val="24"/>
          <w:szCs w:val="24"/>
        </w:rPr>
        <w:t>s</w:t>
      </w:r>
      <w:r w:rsidR="00355487" w:rsidRPr="00E86E7E">
        <w:rPr>
          <w:rFonts w:ascii="Times New Roman" w:hAnsi="Times New Roman" w:cs="Times New Roman"/>
          <w:sz w:val="24"/>
          <w:szCs w:val="24"/>
        </w:rPr>
        <w:t>e</w:t>
      </w:r>
      <w:r w:rsidRPr="00E86E7E">
        <w:rPr>
          <w:rFonts w:ascii="Times New Roman" w:hAnsi="Times New Roman" w:cs="Times New Roman"/>
          <w:sz w:val="24"/>
          <w:szCs w:val="24"/>
        </w:rPr>
        <w:t xml:space="preserve"> </w:t>
      </w:r>
      <w:r w:rsidR="00355487" w:rsidRPr="00E86E7E">
        <w:rPr>
          <w:rFonts w:ascii="Times New Roman" w:hAnsi="Times New Roman" w:cs="Times New Roman"/>
          <w:sz w:val="24"/>
          <w:szCs w:val="24"/>
        </w:rPr>
        <w:t xml:space="preserve">the stationary component </w:t>
      </w:r>
      <w:r w:rsidR="00536EF5" w:rsidRPr="00DB1F1E">
        <w:rPr>
          <w:rFonts w:ascii="Times New Roman" w:hAnsi="Times New Roman" w:cs="Times New Roman"/>
          <w:noProof/>
          <w:position w:val="-10"/>
          <w:sz w:val="24"/>
          <w:szCs w:val="24"/>
          <w:lang w:eastAsia="en-GB"/>
        </w:rPr>
        <w:drawing>
          <wp:inline distT="0" distB="0" distL="0" distR="0" wp14:anchorId="47D9C65E" wp14:editId="5E2C5223">
            <wp:extent cx="266700" cy="200025"/>
            <wp:effectExtent l="0" t="0" r="0" b="9525"/>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00355487" w:rsidRPr="00E86E7E">
        <w:rPr>
          <w:rFonts w:ascii="Times New Roman" w:hAnsi="Times New Roman" w:cs="Times New Roman"/>
          <w:sz w:val="24"/>
          <w:szCs w:val="24"/>
        </w:rPr>
        <w:t xml:space="preserve"> of the VECM to estimate the VAR-MV-GARCH model.</w:t>
      </w:r>
      <w:r w:rsidR="000D2715">
        <w:rPr>
          <w:rStyle w:val="FootnoteReference"/>
          <w:rFonts w:ascii="Times New Roman" w:hAnsi="Times New Roman" w:cs="Times New Roman"/>
          <w:sz w:val="24"/>
          <w:szCs w:val="24"/>
        </w:rPr>
        <w:footnoteReference w:id="7"/>
      </w:r>
      <w:r w:rsidR="00355487" w:rsidRPr="00E86E7E">
        <w:rPr>
          <w:rFonts w:ascii="Times New Roman" w:hAnsi="Times New Roman" w:cs="Times New Roman"/>
          <w:sz w:val="24"/>
          <w:szCs w:val="24"/>
        </w:rPr>
        <w:t xml:space="preserve"> </w:t>
      </w:r>
      <w:r w:rsidR="00CE1F51" w:rsidRPr="00E86E7E">
        <w:rPr>
          <w:rFonts w:ascii="Times New Roman" w:hAnsi="Times New Roman" w:cs="Times New Roman"/>
          <w:sz w:val="24"/>
          <w:szCs w:val="24"/>
        </w:rPr>
        <w:t>Notably, the VAR elements</w:t>
      </w:r>
      <w:r w:rsidR="00C76795" w:rsidRPr="00E86E7E">
        <w:rPr>
          <w:rFonts w:ascii="Times New Roman" w:hAnsi="Times New Roman" w:cs="Times New Roman"/>
          <w:sz w:val="24"/>
          <w:szCs w:val="24"/>
        </w:rPr>
        <w:t xml:space="preserve"> can be used to examine Granger-causality</w:t>
      </w:r>
      <w:r w:rsidR="00DB1F1E">
        <w:rPr>
          <w:rFonts w:ascii="Times New Roman" w:hAnsi="Times New Roman" w:cs="Times New Roman"/>
          <w:sz w:val="24"/>
          <w:szCs w:val="24"/>
        </w:rPr>
        <w:t xml:space="preserve"> in mean </w:t>
      </w:r>
      <w:r w:rsidR="00C76795" w:rsidRPr="00E86E7E">
        <w:rPr>
          <w:rFonts w:ascii="Times New Roman" w:hAnsi="Times New Roman" w:cs="Times New Roman"/>
          <w:sz w:val="24"/>
          <w:szCs w:val="24"/>
        </w:rPr>
        <w:t xml:space="preserve">effects. </w:t>
      </w:r>
      <w:r w:rsidR="00355487" w:rsidRPr="00E86E7E">
        <w:rPr>
          <w:rFonts w:ascii="Times New Roman" w:hAnsi="Times New Roman" w:cs="Times New Roman"/>
          <w:sz w:val="24"/>
          <w:szCs w:val="24"/>
        </w:rPr>
        <w:t>Further, we compute the time</w:t>
      </w:r>
      <w:r w:rsidR="00B25A88">
        <w:rPr>
          <w:rFonts w:ascii="Times New Roman" w:hAnsi="Times New Roman" w:cs="Times New Roman"/>
          <w:sz w:val="24"/>
          <w:szCs w:val="24"/>
        </w:rPr>
        <w:t>-</w:t>
      </w:r>
      <w:r w:rsidR="00355487" w:rsidRPr="00E86E7E">
        <w:rPr>
          <w:rFonts w:ascii="Times New Roman" w:hAnsi="Times New Roman" w:cs="Times New Roman"/>
          <w:sz w:val="24"/>
          <w:szCs w:val="24"/>
        </w:rPr>
        <w:t xml:space="preserve">varying </w:t>
      </w:r>
      <w:r w:rsidR="001F41FD" w:rsidRPr="00E86E7E">
        <w:rPr>
          <w:rFonts w:ascii="Times New Roman" w:hAnsi="Times New Roman" w:cs="Times New Roman"/>
          <w:sz w:val="24"/>
          <w:szCs w:val="24"/>
        </w:rPr>
        <w:t>beta/factor loading for a multi-</w:t>
      </w:r>
      <w:r w:rsidR="00355487" w:rsidRPr="00E86E7E">
        <w:rPr>
          <w:rFonts w:ascii="Times New Roman" w:hAnsi="Times New Roman" w:cs="Times New Roman"/>
          <w:sz w:val="24"/>
          <w:szCs w:val="24"/>
        </w:rPr>
        <w:t>factor CAPM, using the VECH specification of Bollerslev et al. (1988), which is jointly estimated with the mean model under maximum likelihood estimation (MLE):</w:t>
      </w:r>
      <w:r w:rsidR="00355487" w:rsidRPr="00A47D41">
        <w:rPr>
          <w:rFonts w:ascii="Times New Roman" w:hAnsi="Times New Roman" w:cs="Times New Roman"/>
          <w:sz w:val="24"/>
          <w:szCs w:val="24"/>
        </w:rPr>
        <w:t xml:space="preserve"> </w:t>
      </w:r>
    </w:p>
    <w:p w14:paraId="3D89FDCC" w14:textId="10C31DFA" w:rsidR="00355487" w:rsidRDefault="00133FA0" w:rsidP="001A0F9A">
      <w:pPr>
        <w:spacing w:after="0" w:line="480" w:lineRule="auto"/>
        <w:rPr>
          <w:rFonts w:ascii="Times New Roman" w:hAnsi="Times New Roman" w:cs="Times New Roman"/>
          <w:sz w:val="24"/>
          <w:szCs w:val="24"/>
        </w:rPr>
      </w:pPr>
      <w:r w:rsidRPr="00237EE8">
        <w:rPr>
          <w:noProof/>
          <w:position w:val="-28"/>
        </w:rPr>
        <w:object w:dxaOrig="3260" w:dyaOrig="700" w14:anchorId="6EF4ACC4">
          <v:shape id="_x0000_i1048" type="#_x0000_t75" alt="" style="width:163.3pt;height:34.7pt;mso-width-percent:0;mso-height-percent:0;mso-width-percent:0;mso-height-percent:0" o:ole="">
            <v:imagedata r:id="rId55" o:title=""/>
          </v:shape>
          <o:OLEObject Type="Embed" ProgID="Equation.DSMT4" ShapeID="_x0000_i1048" DrawAspect="Content" ObjectID="_1586774281" r:id="rId56"/>
        </w:object>
      </w:r>
      <w:r w:rsidR="00C76795">
        <w:tab/>
      </w:r>
      <w:r w:rsidR="00C76795">
        <w:tab/>
      </w:r>
      <w:r w:rsidR="00C76795">
        <w:tab/>
      </w:r>
      <w:r w:rsidR="00C76795">
        <w:tab/>
      </w:r>
      <w:r w:rsidR="00C76795">
        <w:tab/>
      </w:r>
      <w:r w:rsidR="00C76795">
        <w:tab/>
      </w:r>
      <w:r w:rsidR="00C76795">
        <w:tab/>
      </w:r>
      <w:r w:rsidR="004E3A75">
        <w:rPr>
          <w:rFonts w:ascii="Times New Roman" w:hAnsi="Times New Roman" w:cs="Times New Roman"/>
          <w:sz w:val="24"/>
          <w:szCs w:val="24"/>
        </w:rPr>
        <w:t>(6</w:t>
      </w:r>
      <w:r w:rsidR="00C76795" w:rsidRPr="0099647E">
        <w:rPr>
          <w:rFonts w:ascii="Times New Roman" w:hAnsi="Times New Roman" w:cs="Times New Roman"/>
          <w:sz w:val="24"/>
          <w:szCs w:val="24"/>
        </w:rPr>
        <w:t>)</w:t>
      </w:r>
    </w:p>
    <w:p w14:paraId="71DA4224" w14:textId="541EB114" w:rsidR="00355487" w:rsidRPr="00221FDE" w:rsidRDefault="00133FA0" w:rsidP="001A0F9A">
      <w:pPr>
        <w:spacing w:after="0" w:line="480" w:lineRule="auto"/>
        <w:rPr>
          <w:rFonts w:ascii="Times New Roman" w:hAnsi="Times New Roman" w:cs="Times New Roman"/>
          <w:sz w:val="24"/>
          <w:szCs w:val="24"/>
        </w:rPr>
      </w:pPr>
      <w:r w:rsidRPr="00372ED8">
        <w:rPr>
          <w:noProof/>
          <w:position w:val="-34"/>
        </w:rPr>
        <w:object w:dxaOrig="6060" w:dyaOrig="820" w14:anchorId="774D66A0">
          <v:shape id="_x0000_i1047" type="#_x0000_t75" alt="" style="width:302.8pt;height:41.15pt;mso-width-percent:0;mso-height-percent:0;mso-width-percent:0;mso-height-percent:0" o:ole="">
            <v:imagedata r:id="rId57" o:title=""/>
          </v:shape>
          <o:OLEObject Type="Embed" ProgID="Equation.DSMT4" ShapeID="_x0000_i1047" DrawAspect="Content" ObjectID="_1586774282" r:id="rId58"/>
        </w:object>
      </w:r>
      <w:r w:rsidR="00221FDE">
        <w:tab/>
      </w:r>
      <w:r w:rsidR="00221FDE">
        <w:tab/>
      </w:r>
      <w:r w:rsidR="00221FDE">
        <w:tab/>
      </w:r>
      <w:r w:rsidR="00221FDE" w:rsidRPr="00221FDE">
        <w:rPr>
          <w:rFonts w:ascii="Times New Roman" w:hAnsi="Times New Roman" w:cs="Times New Roman"/>
          <w:sz w:val="24"/>
          <w:szCs w:val="24"/>
        </w:rPr>
        <w:t>(7)</w:t>
      </w:r>
    </w:p>
    <w:p w14:paraId="443D8283" w14:textId="42802E4C" w:rsidR="004E3A75" w:rsidRPr="00E86E7E" w:rsidRDefault="00355487" w:rsidP="001A0F9A">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In the above equations</w:t>
      </w:r>
      <w:r w:rsidR="007B449B">
        <w:rPr>
          <w:rFonts w:ascii="Times New Roman" w:hAnsi="Times New Roman" w:cs="Times New Roman"/>
          <w:sz w:val="24"/>
          <w:szCs w:val="24"/>
        </w:rPr>
        <w:t xml:space="preserve"> </w:t>
      </w:r>
      <w:r w:rsidR="00133FA0" w:rsidRPr="00133FA0">
        <w:rPr>
          <w:rFonts w:ascii="Times New Roman" w:hAnsi="Times New Roman" w:cs="Times New Roman"/>
          <w:noProof/>
          <w:position w:val="-12"/>
          <w:sz w:val="24"/>
          <w:szCs w:val="24"/>
        </w:rPr>
        <w:object w:dxaOrig="240" w:dyaOrig="380" w14:anchorId="534EAD50">
          <v:shape id="_x0000_i1046" type="#_x0000_t75" alt="" style="width:12.2pt;height:19.3pt;mso-width-percent:0;mso-height-percent:0;mso-width-percent:0;mso-height-percent:0" o:ole="">
            <v:imagedata r:id="rId59" o:title=""/>
          </v:shape>
          <o:OLEObject Type="Embed" ProgID="Equation.3" ShapeID="_x0000_i1046" DrawAspect="Content" ObjectID="_1586774283" r:id="rId60"/>
        </w:object>
      </w:r>
      <w:r w:rsidR="007B449B">
        <w:rPr>
          <w:rFonts w:ascii="Times New Roman" w:hAnsi="Times New Roman" w:cs="Times New Roman"/>
          <w:position w:val="-12"/>
          <w:sz w:val="24"/>
          <w:szCs w:val="24"/>
        </w:rPr>
        <w:t xml:space="preserve"> </w:t>
      </w:r>
      <w:r w:rsidRPr="00A47D41">
        <w:rPr>
          <w:rFonts w:ascii="Times New Roman" w:hAnsi="Times New Roman" w:cs="Times New Roman"/>
          <w:sz w:val="24"/>
          <w:szCs w:val="24"/>
        </w:rPr>
        <w:t xml:space="preserve">is an </w:t>
      </w:r>
      <w:r w:rsidR="00DB1F1E">
        <w:rPr>
          <w:rFonts w:ascii="Times New Roman" w:hAnsi="Times New Roman" w:cs="Times New Roman"/>
          <w:sz w:val="24"/>
          <w:szCs w:val="24"/>
        </w:rPr>
        <w:t xml:space="preserve">white noise </w:t>
      </w:r>
      <w:r w:rsidRPr="00A47D41">
        <w:rPr>
          <w:rFonts w:ascii="Times New Roman" w:hAnsi="Times New Roman" w:cs="Times New Roman"/>
          <w:sz w:val="24"/>
          <w:szCs w:val="24"/>
        </w:rPr>
        <w:t xml:space="preserve">innovation vector, so that the </w:t>
      </w:r>
      <w:r w:rsidR="004E3A75" w:rsidRPr="00A47D41">
        <w:rPr>
          <w:rFonts w:ascii="Times New Roman" w:hAnsi="Times New Roman" w:cs="Times New Roman"/>
          <w:sz w:val="24"/>
          <w:szCs w:val="24"/>
        </w:rPr>
        <w:t>residuals</w:t>
      </w:r>
      <w:r w:rsidRPr="00A47D41">
        <w:rPr>
          <w:rFonts w:ascii="Times New Roman" w:hAnsi="Times New Roman" w:cs="Times New Roman"/>
          <w:sz w:val="24"/>
          <w:szCs w:val="24"/>
        </w:rPr>
        <w:t xml:space="preserve"> </w:t>
      </w:r>
      <w:r w:rsidR="00536EF5">
        <w:rPr>
          <w:rFonts w:ascii="Times New Roman" w:hAnsi="Times New Roman" w:cs="Times New Roman"/>
          <w:noProof/>
          <w:position w:val="-14"/>
          <w:sz w:val="24"/>
          <w:szCs w:val="24"/>
          <w:lang w:eastAsia="en-GB"/>
        </w:rPr>
        <w:drawing>
          <wp:inline distT="0" distB="0" distL="0" distR="0" wp14:anchorId="2531D689" wp14:editId="31A4EC40">
            <wp:extent cx="333375" cy="314325"/>
            <wp:effectExtent l="0" t="0" r="9525"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00C76795">
        <w:rPr>
          <w:rFonts w:ascii="Times New Roman" w:hAnsi="Times New Roman" w:cs="Times New Roman"/>
          <w:position w:val="-12"/>
          <w:sz w:val="24"/>
          <w:szCs w:val="24"/>
        </w:rPr>
        <w:t xml:space="preserve">, </w:t>
      </w:r>
      <w:r w:rsidRPr="00A47D41">
        <w:rPr>
          <w:rFonts w:ascii="Times New Roman" w:hAnsi="Times New Roman" w:cs="Times New Roman"/>
          <w:sz w:val="24"/>
          <w:szCs w:val="24"/>
        </w:rPr>
        <w:t xml:space="preserve">have dispersion matrix </w:t>
      </w:r>
      <w:r w:rsidR="00133FA0" w:rsidRPr="00133FA0">
        <w:rPr>
          <w:rFonts w:ascii="Times New Roman" w:hAnsi="Times New Roman" w:cs="Times New Roman"/>
          <w:noProof/>
          <w:position w:val="-12"/>
          <w:sz w:val="24"/>
          <w:szCs w:val="24"/>
        </w:rPr>
        <w:object w:dxaOrig="280" w:dyaOrig="380" w14:anchorId="7DFB931D">
          <v:shape id="_x0000_i1045" type="#_x0000_t75" alt="" style="width:14.8pt;height:19.3pt;mso-width-percent:0;mso-height-percent:0;mso-width-percent:0;mso-height-percent:0" o:ole="">
            <v:imagedata r:id="rId62" o:title=""/>
          </v:shape>
          <o:OLEObject Type="Embed" ProgID="Equation.DSMT4" ShapeID="_x0000_i1045" DrawAspect="Content" ObjectID="_1586774284" r:id="rId63"/>
        </w:object>
      </w:r>
      <w:r w:rsidRPr="00A47D41">
        <w:rPr>
          <w:rFonts w:ascii="Times New Roman" w:hAnsi="Times New Roman" w:cs="Times New Roman"/>
          <w:sz w:val="24"/>
          <w:szCs w:val="24"/>
        </w:rPr>
        <w:t>and</w:t>
      </w:r>
      <w:r w:rsidR="00133FA0" w:rsidRPr="00133FA0">
        <w:rPr>
          <w:rFonts w:ascii="Times New Roman" w:hAnsi="Times New Roman" w:cs="Times New Roman"/>
          <w:noProof/>
          <w:position w:val="-6"/>
          <w:sz w:val="24"/>
          <w:szCs w:val="24"/>
        </w:rPr>
        <w:object w:dxaOrig="240" w:dyaOrig="220" w14:anchorId="71BC11B3">
          <v:shape id="_x0000_i1044" type="#_x0000_t75" alt="" style="width:12.2pt;height:10.95pt;mso-width-percent:0;mso-height-percent:0;mso-width-percent:0;mso-height-percent:0" o:ole="">
            <v:imagedata r:id="rId64" o:title=""/>
          </v:shape>
          <o:OLEObject Type="Embed" ProgID="Equation.3" ShapeID="_x0000_i1044" DrawAspect="Content" ObjectID="_1586774285" r:id="rId65"/>
        </w:object>
      </w:r>
      <w:r w:rsidR="007B449B">
        <w:rPr>
          <w:rFonts w:ascii="Times New Roman" w:hAnsi="Times New Roman" w:cs="Times New Roman"/>
          <w:sz w:val="24"/>
          <w:szCs w:val="24"/>
        </w:rPr>
        <w:t xml:space="preserve"> </w:t>
      </w:r>
      <w:r w:rsidRPr="00A47D41">
        <w:rPr>
          <w:rFonts w:ascii="Times New Roman" w:hAnsi="Times New Roman" w:cs="Times New Roman"/>
          <w:sz w:val="24"/>
          <w:szCs w:val="24"/>
        </w:rPr>
        <w:t xml:space="preserve">is a constant vector of premium loadings. </w:t>
      </w:r>
      <w:r w:rsidR="00C76795">
        <w:rPr>
          <w:rFonts w:ascii="Times New Roman" w:hAnsi="Times New Roman" w:cs="Times New Roman"/>
          <w:sz w:val="24"/>
          <w:szCs w:val="24"/>
        </w:rPr>
        <w:t xml:space="preserve">The term </w:t>
      </w:r>
      <w:r w:rsidR="00133FA0" w:rsidRPr="00133FA0">
        <w:rPr>
          <w:rFonts w:ascii="Times New Roman" w:hAnsi="Times New Roman" w:cs="Times New Roman"/>
          <w:noProof/>
          <w:position w:val="-16"/>
          <w:sz w:val="24"/>
          <w:szCs w:val="24"/>
        </w:rPr>
        <w:object w:dxaOrig="740" w:dyaOrig="440" w14:anchorId="21199C28">
          <v:shape id="_x0000_i1043" type="#_x0000_t75" alt="" style="width:36pt;height:21.85pt;mso-width-percent:0;mso-height-percent:0;mso-width-percent:0;mso-height-percent:0" o:ole="">
            <v:imagedata r:id="rId66" o:title=""/>
          </v:shape>
          <o:OLEObject Type="Embed" ProgID="Equation.3" ShapeID="_x0000_i1043" DrawAspect="Content" ObjectID="_1586774286" r:id="rId67"/>
        </w:object>
      </w:r>
      <w:r w:rsidR="007B449B">
        <w:rPr>
          <w:rFonts w:ascii="Times New Roman" w:hAnsi="Times New Roman" w:cs="Times New Roman"/>
          <w:sz w:val="24"/>
          <w:szCs w:val="24"/>
        </w:rPr>
        <w:t xml:space="preserve"> </w:t>
      </w:r>
      <w:r w:rsidRPr="00A47D41">
        <w:rPr>
          <w:rFonts w:ascii="Times New Roman" w:hAnsi="Times New Roman" w:cs="Times New Roman"/>
          <w:sz w:val="24"/>
          <w:szCs w:val="24"/>
        </w:rPr>
        <w:t xml:space="preserve">denotes the column-stacking operator of the lower triangular portion of a symmetric matrix. </w:t>
      </w:r>
      <w:r w:rsidR="00C76795">
        <w:rPr>
          <w:rFonts w:ascii="Times New Roman" w:hAnsi="Times New Roman" w:cs="Times New Roman"/>
          <w:sz w:val="24"/>
          <w:szCs w:val="24"/>
        </w:rPr>
        <w:t>The terms</w:t>
      </w:r>
      <w:r w:rsidR="00133FA0" w:rsidRPr="00372ED8">
        <w:rPr>
          <w:rFonts w:ascii="Times New Roman" w:hAnsi="Times New Roman" w:cs="Times New Roman"/>
          <w:noProof/>
          <w:position w:val="-8"/>
        </w:rPr>
        <w:object w:dxaOrig="700" w:dyaOrig="300" w14:anchorId="4F5CE986">
          <v:shape id="_x0000_i1042" type="#_x0000_t75" alt="" style="width:34.7pt;height:14.8pt;mso-width-percent:0;mso-height-percent:0;mso-width-percent:0;mso-height-percent:0" o:ole="">
            <v:imagedata r:id="rId68" o:title=""/>
          </v:shape>
          <o:OLEObject Type="Embed" ProgID="Equation.DSMT4" ShapeID="_x0000_i1042" DrawAspect="Content" ObjectID="_1586774287" r:id="rId69"/>
        </w:object>
      </w:r>
      <w:r w:rsidRPr="00A47D41">
        <w:rPr>
          <w:rFonts w:ascii="Times New Roman" w:hAnsi="Times New Roman" w:cs="Times New Roman"/>
          <w:sz w:val="24"/>
          <w:szCs w:val="24"/>
        </w:rPr>
        <w:t xml:space="preserve">are constant arrays of </w:t>
      </w:r>
      <w:r w:rsidR="00C76795">
        <w:rPr>
          <w:rFonts w:ascii="Times New Roman" w:hAnsi="Times New Roman" w:cs="Times New Roman"/>
          <w:sz w:val="24"/>
          <w:szCs w:val="24"/>
        </w:rPr>
        <w:t xml:space="preserve">respective </w:t>
      </w:r>
      <w:r w:rsidRPr="00A47D41">
        <w:rPr>
          <w:rFonts w:ascii="Times New Roman" w:hAnsi="Times New Roman" w:cs="Times New Roman"/>
          <w:sz w:val="24"/>
          <w:szCs w:val="24"/>
        </w:rPr>
        <w:t>dimension</w:t>
      </w:r>
      <w:r w:rsidR="00133FA0" w:rsidRPr="00133FA0">
        <w:rPr>
          <w:rFonts w:ascii="Times New Roman" w:hAnsi="Times New Roman" w:cs="Times New Roman"/>
          <w:noProof/>
          <w:position w:val="-24"/>
          <w:sz w:val="24"/>
          <w:szCs w:val="24"/>
        </w:rPr>
        <w:object w:dxaOrig="5540" w:dyaOrig="660" w14:anchorId="0B07D1CF">
          <v:shape id="_x0000_i1041" type="#_x0000_t75" alt="" style="width:275.8pt;height:32.8pt;mso-width-percent:0;mso-height-percent:0;mso-width-percent:0;mso-height-percent:0" o:ole="">
            <v:imagedata r:id="rId70" o:title=""/>
          </v:shape>
          <o:OLEObject Type="Embed" ProgID="Equation.DSMT4" ShapeID="_x0000_i1041" DrawAspect="Content" ObjectID="_1586774288" r:id="rId71"/>
        </w:object>
      </w:r>
      <w:r w:rsidRPr="00E86E7E">
        <w:rPr>
          <w:rFonts w:ascii="Times New Roman" w:hAnsi="Times New Roman" w:cs="Times New Roman"/>
          <w:sz w:val="24"/>
          <w:szCs w:val="24"/>
        </w:rPr>
        <w:t>.</w:t>
      </w:r>
      <w:r w:rsidR="00C76795" w:rsidRPr="00E86E7E">
        <w:rPr>
          <w:rFonts w:ascii="Times New Roman" w:hAnsi="Times New Roman" w:cs="Times New Roman"/>
          <w:sz w:val="24"/>
          <w:szCs w:val="24"/>
        </w:rPr>
        <w:t xml:space="preserve"> </w:t>
      </w:r>
      <w:r w:rsidR="004E3A75" w:rsidRPr="00E86E7E">
        <w:rPr>
          <w:rFonts w:ascii="Times New Roman" w:hAnsi="Times New Roman" w:cs="Times New Roman"/>
          <w:sz w:val="24"/>
          <w:szCs w:val="24"/>
        </w:rPr>
        <w:t>The likelihood function</w:t>
      </w:r>
      <w:r w:rsidR="0004001E">
        <w:rPr>
          <w:rFonts w:ascii="Times New Roman" w:hAnsi="Times New Roman" w:cs="Times New Roman"/>
          <w:sz w:val="24"/>
          <w:szCs w:val="24"/>
        </w:rPr>
        <w:t xml:space="preserve"> </w:t>
      </w:r>
      <w:r w:rsidR="004E3A75" w:rsidRPr="00E86E7E">
        <w:rPr>
          <w:rFonts w:ascii="Times New Roman" w:hAnsi="Times New Roman" w:cs="Times New Roman"/>
          <w:sz w:val="24"/>
          <w:szCs w:val="24"/>
        </w:rPr>
        <w:t>can be written as:</w:t>
      </w:r>
    </w:p>
    <w:p w14:paraId="42689A88" w14:textId="2C638B69" w:rsidR="004E3A75" w:rsidRPr="00E86E7E" w:rsidRDefault="00133FA0" w:rsidP="001A0F9A">
      <w:pPr>
        <w:spacing w:after="0" w:line="480" w:lineRule="auto"/>
        <w:jc w:val="both"/>
        <w:rPr>
          <w:rFonts w:ascii="Times New Roman" w:hAnsi="Times New Roman" w:cs="Times New Roman"/>
          <w:sz w:val="24"/>
          <w:szCs w:val="24"/>
        </w:rPr>
      </w:pPr>
      <w:r w:rsidRPr="00237EE8">
        <w:rPr>
          <w:rFonts w:ascii="Times New Roman" w:hAnsi="Times New Roman" w:cs="Times New Roman"/>
          <w:noProof/>
          <w:position w:val="-72"/>
        </w:rPr>
        <w:object w:dxaOrig="7340" w:dyaOrig="1580" w14:anchorId="4950077A">
          <v:shape id="_x0000_i1040" type="#_x0000_t75" alt="" style="width:367.05pt;height:79.05pt;mso-width-percent:0;mso-height-percent:0;mso-width-percent:0;mso-height-percent:0" o:ole="">
            <v:imagedata r:id="rId72" o:title=""/>
          </v:shape>
          <o:OLEObject Type="Embed" ProgID="Equation.DSMT4" ShapeID="_x0000_i1040" DrawAspect="Content" ObjectID="_1586774289" r:id="rId73"/>
        </w:object>
      </w:r>
      <w:r w:rsidR="00E208F3" w:rsidRPr="00E86E7E">
        <w:rPr>
          <w:rFonts w:ascii="Times New Roman" w:hAnsi="Times New Roman" w:cs="Times New Roman"/>
          <w:sz w:val="24"/>
          <w:szCs w:val="24"/>
        </w:rPr>
        <w:t xml:space="preserve"> </w:t>
      </w:r>
      <w:r w:rsidR="00E208F3">
        <w:rPr>
          <w:rFonts w:ascii="Times New Roman" w:hAnsi="Times New Roman" w:cs="Times New Roman"/>
          <w:sz w:val="24"/>
          <w:szCs w:val="24"/>
        </w:rPr>
        <w:tab/>
      </w:r>
      <w:r w:rsidR="00E208F3">
        <w:rPr>
          <w:rFonts w:ascii="Times New Roman" w:hAnsi="Times New Roman" w:cs="Times New Roman"/>
          <w:sz w:val="24"/>
          <w:szCs w:val="24"/>
        </w:rPr>
        <w:tab/>
      </w:r>
      <w:r w:rsidR="00221FDE" w:rsidRPr="00E86E7E">
        <w:rPr>
          <w:rFonts w:ascii="Times New Roman" w:hAnsi="Times New Roman" w:cs="Times New Roman"/>
          <w:sz w:val="24"/>
          <w:szCs w:val="24"/>
        </w:rPr>
        <w:t>(8</w:t>
      </w:r>
      <w:r w:rsidR="00B04120" w:rsidRPr="00E86E7E">
        <w:rPr>
          <w:rFonts w:ascii="Times New Roman" w:hAnsi="Times New Roman" w:cs="Times New Roman"/>
          <w:sz w:val="24"/>
          <w:szCs w:val="24"/>
        </w:rPr>
        <w:t>)</w:t>
      </w:r>
    </w:p>
    <w:p w14:paraId="0DE5047A" w14:textId="3BED49C5" w:rsidR="00B04120" w:rsidRPr="00E86E7E" w:rsidRDefault="00B04120" w:rsidP="001A0F9A">
      <w:pPr>
        <w:spacing w:after="0" w:line="480" w:lineRule="auto"/>
        <w:jc w:val="both"/>
        <w:rPr>
          <w:rFonts w:ascii="Times New Roman" w:hAnsi="Times New Roman" w:cs="Times New Roman"/>
          <w:sz w:val="24"/>
          <w:szCs w:val="24"/>
        </w:rPr>
      </w:pPr>
      <w:r w:rsidRPr="00E86E7E">
        <w:rPr>
          <w:rFonts w:ascii="Times New Roman" w:hAnsi="Times New Roman" w:cs="Times New Roman"/>
          <w:sz w:val="24"/>
          <w:szCs w:val="24"/>
        </w:rPr>
        <w:t>where the values of the parameter vector are collected as:</w:t>
      </w:r>
    </w:p>
    <w:p w14:paraId="091C23A5" w14:textId="01E80F85" w:rsidR="00B04120" w:rsidRPr="00E86E7E" w:rsidRDefault="00133FA0" w:rsidP="001A0F9A">
      <w:pPr>
        <w:spacing w:after="0" w:line="480" w:lineRule="auto"/>
        <w:jc w:val="both"/>
        <w:rPr>
          <w:rFonts w:ascii="Times New Roman" w:hAnsi="Times New Roman" w:cs="Times New Roman"/>
          <w:sz w:val="24"/>
          <w:szCs w:val="24"/>
        </w:rPr>
      </w:pPr>
      <w:r w:rsidRPr="00237EE8">
        <w:rPr>
          <w:rFonts w:ascii="Times New Roman" w:hAnsi="Times New Roman" w:cs="Times New Roman"/>
          <w:noProof/>
          <w:position w:val="-18"/>
        </w:rPr>
        <w:object w:dxaOrig="4160" w:dyaOrig="480" w14:anchorId="1682775E">
          <v:shape id="_x0000_i1039" type="#_x0000_t75" alt="" style="width:208.3pt;height:23.8pt;mso-width-percent:0;mso-height-percent:0;mso-width-percent:0;mso-height-percent:0" o:ole="">
            <v:imagedata r:id="rId74" o:title=""/>
          </v:shape>
          <o:OLEObject Type="Embed" ProgID="Equation.DSMT4" ShapeID="_x0000_i1039" DrawAspect="Content" ObjectID="_1586774290" r:id="rId75"/>
        </w:object>
      </w:r>
      <w:r w:rsidR="00221FDE" w:rsidRPr="00E86E7E">
        <w:rPr>
          <w:rFonts w:ascii="Times New Roman" w:hAnsi="Times New Roman" w:cs="Times New Roman"/>
          <w:sz w:val="24"/>
          <w:szCs w:val="24"/>
        </w:rPr>
        <w:tab/>
      </w:r>
      <w:r w:rsidR="00221FDE" w:rsidRPr="00E86E7E">
        <w:rPr>
          <w:rFonts w:ascii="Times New Roman" w:hAnsi="Times New Roman" w:cs="Times New Roman"/>
          <w:sz w:val="24"/>
          <w:szCs w:val="24"/>
        </w:rPr>
        <w:tab/>
      </w:r>
      <w:r w:rsidR="00221FDE" w:rsidRPr="00E86E7E">
        <w:rPr>
          <w:rFonts w:ascii="Times New Roman" w:hAnsi="Times New Roman" w:cs="Times New Roman"/>
          <w:sz w:val="24"/>
          <w:szCs w:val="24"/>
        </w:rPr>
        <w:tab/>
      </w:r>
      <w:r w:rsidR="00221FDE" w:rsidRPr="00E86E7E">
        <w:rPr>
          <w:rFonts w:ascii="Times New Roman" w:hAnsi="Times New Roman" w:cs="Times New Roman"/>
          <w:sz w:val="24"/>
          <w:szCs w:val="24"/>
        </w:rPr>
        <w:tab/>
      </w:r>
      <w:r w:rsidR="00E208F3">
        <w:rPr>
          <w:rFonts w:ascii="Times New Roman" w:hAnsi="Times New Roman" w:cs="Times New Roman"/>
          <w:sz w:val="24"/>
          <w:szCs w:val="24"/>
        </w:rPr>
        <w:tab/>
      </w:r>
      <w:r w:rsidR="00E208F3">
        <w:rPr>
          <w:rFonts w:ascii="Times New Roman" w:hAnsi="Times New Roman" w:cs="Times New Roman"/>
          <w:sz w:val="24"/>
          <w:szCs w:val="24"/>
        </w:rPr>
        <w:tab/>
      </w:r>
      <w:r w:rsidR="00E208F3">
        <w:rPr>
          <w:rFonts w:ascii="Times New Roman" w:hAnsi="Times New Roman" w:cs="Times New Roman"/>
          <w:sz w:val="24"/>
          <w:szCs w:val="24"/>
        </w:rPr>
        <w:tab/>
      </w:r>
      <w:r w:rsidR="00221FDE" w:rsidRPr="00E86E7E">
        <w:rPr>
          <w:rFonts w:ascii="Times New Roman" w:hAnsi="Times New Roman" w:cs="Times New Roman"/>
          <w:sz w:val="24"/>
          <w:szCs w:val="24"/>
        </w:rPr>
        <w:t>(9</w:t>
      </w:r>
      <w:r w:rsidR="002B0824" w:rsidRPr="00E86E7E">
        <w:rPr>
          <w:rFonts w:ascii="Times New Roman" w:hAnsi="Times New Roman" w:cs="Times New Roman"/>
          <w:sz w:val="24"/>
          <w:szCs w:val="24"/>
        </w:rPr>
        <w:t>)</w:t>
      </w:r>
    </w:p>
    <w:p w14:paraId="5F9C0752" w14:textId="1297D3E6" w:rsidR="002F7F0E" w:rsidRDefault="00E208F3" w:rsidP="00D77203">
      <w:pPr>
        <w:spacing w:after="0" w:line="480" w:lineRule="auto"/>
        <w:jc w:val="both"/>
        <w:rPr>
          <w:rFonts w:ascii="Times New Roman" w:hAnsi="Times New Roman" w:cs="Times New Roman"/>
        </w:rPr>
      </w:pPr>
      <w:r>
        <w:rPr>
          <w:rFonts w:ascii="Times New Roman" w:hAnsi="Times New Roman" w:cs="Times New Roman"/>
          <w:sz w:val="24"/>
          <w:szCs w:val="24"/>
        </w:rPr>
        <w:t xml:space="preserve">For a given value of </w:t>
      </w:r>
      <w:r w:rsidR="00133FA0" w:rsidRPr="00133FA0">
        <w:rPr>
          <w:rFonts w:ascii="Times New Roman" w:hAnsi="Times New Roman" w:cs="Times New Roman"/>
          <w:noProof/>
          <w:position w:val="-6"/>
          <w:sz w:val="24"/>
          <w:szCs w:val="24"/>
        </w:rPr>
        <w:object w:dxaOrig="200" w:dyaOrig="280" w14:anchorId="4E7AE0B7">
          <v:shape id="_x0000_i1038" type="#_x0000_t75" alt="" style="width:10pt;height:15pt;mso-width-percent:0;mso-height-percent:0;mso-width-percent:0;mso-height-percent:0" o:ole="">
            <v:imagedata r:id="rId76" o:title=""/>
          </v:shape>
          <o:OLEObject Type="Embed" ProgID="Equation.3" ShapeID="_x0000_i1038" DrawAspect="Content" ObjectID="_1586774291" r:id="rId77"/>
        </w:object>
      </w:r>
      <w:r>
        <w:rPr>
          <w:rFonts w:ascii="Times New Roman" w:hAnsi="Times New Roman" w:cs="Times New Roman"/>
          <w:sz w:val="24"/>
          <w:szCs w:val="24"/>
        </w:rPr>
        <w:t xml:space="preserve"> </w:t>
      </w:r>
      <w:r w:rsidR="002F7F0E">
        <w:rPr>
          <w:rFonts w:ascii="Times New Roman" w:hAnsi="Times New Roman" w:cs="Times New Roman"/>
          <w:sz w:val="24"/>
          <w:szCs w:val="24"/>
        </w:rPr>
        <w:t xml:space="preserve">the series </w:t>
      </w:r>
      <w:r w:rsidR="00133FA0" w:rsidRPr="00237EE8">
        <w:rPr>
          <w:rFonts w:ascii="Times New Roman" w:hAnsi="Times New Roman" w:cs="Times New Roman"/>
          <w:noProof/>
          <w:position w:val="-16"/>
        </w:rPr>
        <w:object w:dxaOrig="700" w:dyaOrig="500" w14:anchorId="09130D61">
          <v:shape id="_x0000_i1037" type="#_x0000_t75" alt="" style="width:35pt;height:25pt;mso-width-percent:0;mso-height-percent:0;mso-width-percent:0;mso-height-percent:0" o:ole="">
            <v:imagedata r:id="rId78" o:title=""/>
          </v:shape>
          <o:OLEObject Type="Embed" ProgID="Equation.DSMT4" ShapeID="_x0000_i1037" DrawAspect="Content" ObjectID="_1586774292" r:id="rId79"/>
        </w:object>
      </w:r>
      <w:r w:rsidR="002F7F0E" w:rsidRPr="002F7F0E">
        <w:rPr>
          <w:rFonts w:ascii="Times New Roman" w:hAnsi="Times New Roman" w:cs="Times New Roman"/>
        </w:rPr>
        <w:t xml:space="preserve"> </w:t>
      </w:r>
      <w:r w:rsidR="002F7F0E">
        <w:rPr>
          <w:rFonts w:ascii="Times New Roman" w:hAnsi="Times New Roman" w:cs="Times New Roman"/>
        </w:rPr>
        <w:t xml:space="preserve">can be calculated recursively from equations (6) and (7) and the likelihood computed from equation (8). Then a search method can be used to obtain the maximal values of the parameter vector </w:t>
      </w:r>
      <w:r w:rsidR="00133FA0" w:rsidRPr="00237EE8">
        <w:rPr>
          <w:rFonts w:ascii="Times New Roman" w:hAnsi="Times New Roman" w:cs="Times New Roman"/>
          <w:noProof/>
          <w:position w:val="-6"/>
        </w:rPr>
        <w:object w:dxaOrig="200" w:dyaOrig="340" w14:anchorId="0B086D38">
          <v:shape id="_x0000_i1036" type="#_x0000_t75" alt="" style="width:10pt;height:17pt;mso-width-percent:0;mso-height-percent:0;mso-width-percent:0;mso-height-percent:0" o:ole="">
            <v:imagedata r:id="rId80" o:title=""/>
          </v:shape>
          <o:OLEObject Type="Embed" ProgID="Equation.DSMT4" ShapeID="_x0000_i1036" DrawAspect="Content" ObjectID="_1586774293" r:id="rId81"/>
        </w:object>
      </w:r>
      <w:r w:rsidR="002F7F0E">
        <w:rPr>
          <w:rFonts w:ascii="Times New Roman" w:hAnsi="Times New Roman" w:cs="Times New Roman"/>
        </w:rPr>
        <w:t xml:space="preserve">and the associated estimated covariance matrices </w:t>
      </w:r>
      <w:r w:rsidR="00133FA0" w:rsidRPr="00237EE8">
        <w:rPr>
          <w:rFonts w:ascii="Times New Roman" w:hAnsi="Times New Roman" w:cs="Times New Roman"/>
          <w:noProof/>
          <w:position w:val="-18"/>
        </w:rPr>
        <w:object w:dxaOrig="700" w:dyaOrig="540" w14:anchorId="2234D354">
          <v:shape id="_x0000_i1035" type="#_x0000_t75" alt="" style="width:35pt;height:27pt;mso-width-percent:0;mso-height-percent:0;mso-width-percent:0;mso-height-percent:0" o:ole="">
            <v:imagedata r:id="rId82" o:title=""/>
          </v:shape>
          <o:OLEObject Type="Embed" ProgID="Equation.DSMT4" ShapeID="_x0000_i1035" DrawAspect="Content" ObjectID="_1586774294" r:id="rId83"/>
        </w:object>
      </w:r>
      <w:r w:rsidR="002F7F0E">
        <w:rPr>
          <w:rFonts w:ascii="Times New Roman" w:hAnsi="Times New Roman" w:cs="Times New Roman"/>
        </w:rPr>
        <w:t>.</w:t>
      </w:r>
    </w:p>
    <w:p w14:paraId="7FBE006F" w14:textId="3F8BF7A9" w:rsidR="002B0824" w:rsidRPr="00E86E7E" w:rsidRDefault="002F7F0E" w:rsidP="00D7720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volatility transmission of shocks from </w:t>
      </w:r>
      <w:r w:rsidR="00355487" w:rsidRPr="00E86E7E">
        <w:rPr>
          <w:rFonts w:ascii="Times New Roman" w:hAnsi="Times New Roman" w:cs="Times New Roman"/>
          <w:sz w:val="24"/>
          <w:szCs w:val="24"/>
        </w:rPr>
        <w:t xml:space="preserve">the </w:t>
      </w:r>
      <w:r w:rsidR="00133FA0" w:rsidRPr="00133FA0">
        <w:rPr>
          <w:rFonts w:ascii="Times New Roman" w:hAnsi="Times New Roman" w:cs="Times New Roman"/>
          <w:noProof/>
          <w:position w:val="-10"/>
          <w:sz w:val="24"/>
          <w:szCs w:val="24"/>
        </w:rPr>
        <w:object w:dxaOrig="320" w:dyaOrig="380" w14:anchorId="60BFC233">
          <v:shape id="_x0000_i1034" type="#_x0000_t75" alt="" style="width:16pt;height:19pt;mso-width-percent:0;mso-height-percent:0;mso-width-percent:0;mso-height-percent:0" o:ole="">
            <v:imagedata r:id="rId84" o:title=""/>
          </v:shape>
          <o:OLEObject Type="Embed" ProgID="Equation.3" ShapeID="_x0000_i1034" DrawAspect="Content" ObjectID="_1586774295" r:id="rId85"/>
        </w:object>
      </w:r>
      <w:r w:rsidR="00355487" w:rsidRPr="00E86E7E">
        <w:rPr>
          <w:rFonts w:ascii="Times New Roman" w:hAnsi="Times New Roman" w:cs="Times New Roman"/>
          <w:sz w:val="24"/>
          <w:szCs w:val="24"/>
        </w:rPr>
        <w:t>variable to</w:t>
      </w:r>
      <w:r w:rsidR="00C23806">
        <w:rPr>
          <w:rFonts w:ascii="Times New Roman" w:hAnsi="Times New Roman" w:cs="Times New Roman"/>
          <w:sz w:val="24"/>
          <w:szCs w:val="24"/>
        </w:rPr>
        <w:t xml:space="preserve"> </w:t>
      </w:r>
      <w:r w:rsidR="00133FA0" w:rsidRPr="00133FA0">
        <w:rPr>
          <w:rFonts w:ascii="Times New Roman" w:hAnsi="Times New Roman" w:cs="Times New Roman"/>
          <w:noProof/>
          <w:position w:val="-4"/>
          <w:sz w:val="24"/>
          <w:szCs w:val="24"/>
        </w:rPr>
        <w:object w:dxaOrig="260" w:dyaOrig="320" w14:anchorId="59F2F143">
          <v:shape id="_x0000_i1033" type="#_x0000_t75" alt="" style="width:13pt;height:16pt;mso-width-percent:0;mso-height-percent:0;mso-width-percent:0;mso-height-percent:0" o:ole="">
            <v:imagedata r:id="rId86" o:title=""/>
          </v:shape>
          <o:OLEObject Type="Embed" ProgID="Equation.DSMT4" ShapeID="_x0000_i1033" DrawAspect="Content" ObjectID="_1586774296" r:id="rId87"/>
        </w:object>
      </w:r>
      <w:r w:rsidR="00355487" w:rsidRPr="00E86E7E">
        <w:rPr>
          <w:rFonts w:ascii="Times New Roman" w:hAnsi="Times New Roman" w:cs="Times New Roman"/>
          <w:sz w:val="24"/>
          <w:szCs w:val="24"/>
        </w:rPr>
        <w:t xml:space="preserve"> variable is the time-varying quantity derived from the </w:t>
      </w:r>
      <w:r>
        <w:rPr>
          <w:rFonts w:ascii="Times New Roman" w:hAnsi="Times New Roman" w:cs="Times New Roman"/>
          <w:sz w:val="24"/>
          <w:szCs w:val="24"/>
        </w:rPr>
        <w:t xml:space="preserve">estimated </w:t>
      </w:r>
      <w:r w:rsidR="00355487" w:rsidRPr="00E86E7E">
        <w:rPr>
          <w:rFonts w:ascii="Times New Roman" w:hAnsi="Times New Roman" w:cs="Times New Roman"/>
          <w:sz w:val="24"/>
          <w:szCs w:val="24"/>
        </w:rPr>
        <w:t xml:space="preserve">residual covariance matrix </w:t>
      </w:r>
      <w:r w:rsidR="00133FA0" w:rsidRPr="00237EE8">
        <w:rPr>
          <w:rFonts w:ascii="Times New Roman" w:hAnsi="Times New Roman" w:cs="Times New Roman"/>
          <w:noProof/>
          <w:position w:val="-12"/>
        </w:rPr>
        <w:object w:dxaOrig="280" w:dyaOrig="400" w14:anchorId="1BBBB068">
          <v:shape id="_x0000_i1032" type="#_x0000_t75" alt="" style="width:15pt;height:21pt;mso-width-percent:0;mso-height-percent:0;mso-width-percent:0;mso-height-percent:0" o:ole="">
            <v:imagedata r:id="rId88" o:title=""/>
          </v:shape>
          <o:OLEObject Type="Embed" ProgID="Equation.DSMT4" ShapeID="_x0000_i1032" DrawAspect="Content" ObjectID="_1586774297" r:id="rId89"/>
        </w:object>
      </w:r>
      <w:r w:rsidR="002B0824" w:rsidRPr="00E86E7E">
        <w:rPr>
          <w:rFonts w:ascii="Times New Roman" w:hAnsi="Times New Roman" w:cs="Times New Roman"/>
          <w:sz w:val="24"/>
          <w:szCs w:val="24"/>
        </w:rPr>
        <w:t xml:space="preserve">, which uses </w:t>
      </w:r>
      <w:proofErr w:type="spellStart"/>
      <w:r w:rsidR="002B0824" w:rsidRPr="00E86E7E">
        <w:rPr>
          <w:rFonts w:ascii="Times New Roman" w:hAnsi="Times New Roman" w:cs="Times New Roman"/>
          <w:sz w:val="24"/>
          <w:szCs w:val="24"/>
        </w:rPr>
        <w:t>Bollerslev</w:t>
      </w:r>
      <w:proofErr w:type="spellEnd"/>
      <w:r w:rsidR="002B0824" w:rsidRPr="00E86E7E">
        <w:rPr>
          <w:rFonts w:ascii="Times New Roman" w:hAnsi="Times New Roman" w:cs="Times New Roman"/>
          <w:sz w:val="24"/>
          <w:szCs w:val="24"/>
        </w:rPr>
        <w:t xml:space="preserve"> et al. (1988) to compute the time</w:t>
      </w:r>
      <w:r w:rsidR="00B25A88">
        <w:rPr>
          <w:rFonts w:ascii="Times New Roman" w:hAnsi="Times New Roman" w:cs="Times New Roman"/>
          <w:sz w:val="24"/>
          <w:szCs w:val="24"/>
        </w:rPr>
        <w:t>-</w:t>
      </w:r>
      <w:r w:rsidR="002B0824" w:rsidRPr="00E86E7E">
        <w:rPr>
          <w:rFonts w:ascii="Times New Roman" w:hAnsi="Times New Roman" w:cs="Times New Roman"/>
          <w:sz w:val="24"/>
          <w:szCs w:val="24"/>
        </w:rPr>
        <w:t>varying beta</w:t>
      </w:r>
      <w:r w:rsidR="00C23806">
        <w:rPr>
          <w:rFonts w:ascii="Times New Roman" w:hAnsi="Times New Roman" w:cs="Times New Roman"/>
          <w:sz w:val="24"/>
          <w:szCs w:val="24"/>
        </w:rPr>
        <w:t xml:space="preserve"> </w:t>
      </w:r>
      <w:r w:rsidR="00133FA0" w:rsidRPr="00133FA0">
        <w:rPr>
          <w:rFonts w:ascii="Times New Roman" w:hAnsi="Times New Roman" w:cs="Times New Roman"/>
          <w:noProof/>
          <w:position w:val="-12"/>
          <w:sz w:val="24"/>
          <w:szCs w:val="24"/>
        </w:rPr>
        <w:object w:dxaOrig="280" w:dyaOrig="380" w14:anchorId="7570C42E">
          <v:shape id="_x0000_i1031" type="#_x0000_t75" alt="" style="width:15pt;height:19pt;mso-width-percent:0;mso-height-percent:0;mso-width-percent:0;mso-height-percent:0" o:ole="">
            <v:imagedata r:id="rId90" o:title=""/>
          </v:shape>
          <o:OLEObject Type="Embed" ProgID="Equation.3" ShapeID="_x0000_i1031" DrawAspect="Content" ObjectID="_1586774298" r:id="rId91"/>
        </w:object>
      </w:r>
      <w:r w:rsidR="002B0824" w:rsidRPr="00E86E7E">
        <w:rPr>
          <w:rFonts w:ascii="Times New Roman" w:hAnsi="Times New Roman" w:cs="Times New Roman"/>
          <w:sz w:val="24"/>
          <w:szCs w:val="24"/>
        </w:rPr>
        <w:t xml:space="preserve"> loading of an I</w:t>
      </w:r>
      <w:r w:rsidR="009D47EF" w:rsidRPr="00E86E7E">
        <w:rPr>
          <w:rFonts w:ascii="Times New Roman" w:hAnsi="Times New Roman" w:cs="Times New Roman"/>
          <w:sz w:val="24"/>
          <w:szCs w:val="24"/>
        </w:rPr>
        <w:t xml:space="preserve">-CAPM model in equation </w:t>
      </w:r>
      <w:r w:rsidR="002B0824" w:rsidRPr="00E86E7E">
        <w:rPr>
          <w:rFonts w:ascii="Times New Roman" w:hAnsi="Times New Roman" w:cs="Times New Roman"/>
          <w:sz w:val="24"/>
          <w:szCs w:val="24"/>
        </w:rPr>
        <w:t>(10):</w:t>
      </w:r>
    </w:p>
    <w:p w14:paraId="1FA9844E" w14:textId="6C116ACD" w:rsidR="002B0824" w:rsidRPr="00E86E7E" w:rsidRDefault="00221FDE" w:rsidP="001A0F9A">
      <w:pPr>
        <w:spacing w:after="0" w:line="480" w:lineRule="auto"/>
        <w:jc w:val="both"/>
        <w:rPr>
          <w:rFonts w:ascii="Times New Roman" w:hAnsi="Times New Roman" w:cs="Times New Roman"/>
          <w:sz w:val="24"/>
          <w:szCs w:val="24"/>
        </w:rPr>
      </w:pPr>
      <w:r w:rsidRPr="00E86E7E">
        <w:rPr>
          <w:rFonts w:ascii="Times New Roman" w:hAnsi="Times New Roman" w:cs="Times New Roman"/>
          <w:sz w:val="24"/>
          <w:szCs w:val="24"/>
        </w:rPr>
        <w:t xml:space="preserve"> </w:t>
      </w:r>
      <w:r w:rsidR="00133FA0" w:rsidRPr="00237EE8">
        <w:rPr>
          <w:rFonts w:ascii="Times New Roman" w:hAnsi="Times New Roman" w:cs="Times New Roman"/>
          <w:noProof/>
          <w:position w:val="-16"/>
        </w:rPr>
        <w:object w:dxaOrig="1500" w:dyaOrig="420" w14:anchorId="67C5BDEF">
          <v:shape id="_x0000_i1030" type="#_x0000_t75" alt="" style="width:75pt;height:21pt;mso-width-percent:0;mso-height-percent:0;mso-width-percent:0;mso-height-percent:0" o:ole="">
            <v:imagedata r:id="rId92" o:title=""/>
          </v:shape>
          <o:OLEObject Type="Embed" ProgID="Equation.DSMT4" ShapeID="_x0000_i1030" DrawAspect="Content" ObjectID="_1586774299" r:id="rId93"/>
        </w:object>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r>
      <w:r w:rsidRPr="00E86E7E">
        <w:rPr>
          <w:rFonts w:ascii="Times New Roman" w:hAnsi="Times New Roman" w:cs="Times New Roman"/>
          <w:sz w:val="24"/>
          <w:szCs w:val="24"/>
        </w:rPr>
        <w:tab/>
        <w:t xml:space="preserve">  </w:t>
      </w:r>
      <w:r w:rsidR="005634FC">
        <w:rPr>
          <w:rFonts w:ascii="Times New Roman" w:hAnsi="Times New Roman" w:cs="Times New Roman"/>
          <w:sz w:val="24"/>
          <w:szCs w:val="24"/>
        </w:rPr>
        <w:tab/>
      </w:r>
      <w:r w:rsidRPr="00E86E7E">
        <w:rPr>
          <w:rFonts w:ascii="Times New Roman" w:hAnsi="Times New Roman" w:cs="Times New Roman"/>
          <w:sz w:val="24"/>
          <w:szCs w:val="24"/>
        </w:rPr>
        <w:t xml:space="preserve">   (10</w:t>
      </w:r>
      <w:r w:rsidR="002B0824" w:rsidRPr="00E86E7E">
        <w:rPr>
          <w:rFonts w:ascii="Times New Roman" w:hAnsi="Times New Roman" w:cs="Times New Roman"/>
          <w:sz w:val="24"/>
          <w:szCs w:val="24"/>
        </w:rPr>
        <w:t>)</w:t>
      </w:r>
    </w:p>
    <w:p w14:paraId="79051924" w14:textId="77777777" w:rsidR="004E55B1" w:rsidRPr="00E86E7E" w:rsidRDefault="004E55B1" w:rsidP="00F03CE7">
      <w:pPr>
        <w:spacing w:after="0" w:line="480" w:lineRule="auto"/>
        <w:jc w:val="both"/>
        <w:rPr>
          <w:rFonts w:ascii="Times New Roman" w:hAnsi="Times New Roman" w:cs="Times New Roman"/>
          <w:b/>
          <w:sz w:val="24"/>
          <w:szCs w:val="24"/>
        </w:rPr>
      </w:pPr>
    </w:p>
    <w:p w14:paraId="3A34AE82" w14:textId="77777777" w:rsidR="00753497" w:rsidRPr="00A47D41" w:rsidRDefault="00355487" w:rsidP="00F03CE7">
      <w:pPr>
        <w:spacing w:after="0" w:line="480" w:lineRule="auto"/>
        <w:jc w:val="both"/>
        <w:rPr>
          <w:rFonts w:ascii="Times New Roman" w:hAnsi="Times New Roman" w:cs="Times New Roman"/>
          <w:b/>
          <w:sz w:val="24"/>
          <w:szCs w:val="24"/>
        </w:rPr>
      </w:pPr>
      <w:r w:rsidRPr="00E86E7E">
        <w:rPr>
          <w:rFonts w:ascii="Times New Roman" w:hAnsi="Times New Roman" w:cs="Times New Roman"/>
          <w:b/>
          <w:sz w:val="24"/>
          <w:szCs w:val="24"/>
        </w:rPr>
        <w:t>4</w:t>
      </w:r>
      <w:r w:rsidR="00753497" w:rsidRPr="00E86E7E">
        <w:rPr>
          <w:rFonts w:ascii="Times New Roman" w:hAnsi="Times New Roman" w:cs="Times New Roman"/>
          <w:b/>
          <w:sz w:val="24"/>
          <w:szCs w:val="24"/>
        </w:rPr>
        <w:t>. Data.</w:t>
      </w:r>
    </w:p>
    <w:p w14:paraId="2B3F085C" w14:textId="600B0DFB" w:rsidR="00094A0C" w:rsidRPr="00A47D41" w:rsidRDefault="00D45E6F" w:rsidP="00F03CE7">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 xml:space="preserve">In order to investigate the effect of the </w:t>
      </w:r>
      <w:r w:rsidR="00BC42A3">
        <w:rPr>
          <w:rFonts w:ascii="Times New Roman" w:hAnsi="Times New Roman" w:cs="Times New Roman"/>
          <w:sz w:val="24"/>
          <w:szCs w:val="24"/>
        </w:rPr>
        <w:t xml:space="preserve">Lehman’s collapse and subsequent effects </w:t>
      </w:r>
      <w:r w:rsidRPr="00A47D41">
        <w:rPr>
          <w:rFonts w:ascii="Times New Roman" w:hAnsi="Times New Roman" w:cs="Times New Roman"/>
          <w:sz w:val="24"/>
          <w:szCs w:val="24"/>
        </w:rPr>
        <w:t>on information transmission across European stock markets</w:t>
      </w:r>
      <w:r w:rsidR="004C48E7">
        <w:rPr>
          <w:rFonts w:ascii="Times New Roman" w:hAnsi="Times New Roman" w:cs="Times New Roman"/>
          <w:sz w:val="24"/>
          <w:szCs w:val="24"/>
        </w:rPr>
        <w:t>,</w:t>
      </w:r>
      <w:r w:rsidRPr="00A47D41">
        <w:rPr>
          <w:rFonts w:ascii="Times New Roman" w:hAnsi="Times New Roman" w:cs="Times New Roman"/>
          <w:sz w:val="24"/>
          <w:szCs w:val="24"/>
        </w:rPr>
        <w:t xml:space="preserve"> we </w:t>
      </w:r>
      <w:r w:rsidR="00DD4557">
        <w:rPr>
          <w:rFonts w:ascii="Times New Roman" w:hAnsi="Times New Roman" w:cs="Times New Roman"/>
          <w:sz w:val="24"/>
          <w:szCs w:val="24"/>
        </w:rPr>
        <w:t>construct two portfolios, which can be regarded as a safe and risky portfolio</w:t>
      </w:r>
      <w:r w:rsidR="000F5D73">
        <w:rPr>
          <w:rFonts w:ascii="Times New Roman" w:hAnsi="Times New Roman" w:cs="Times New Roman"/>
          <w:sz w:val="24"/>
          <w:szCs w:val="24"/>
        </w:rPr>
        <w:t xml:space="preserve">. </w:t>
      </w:r>
      <w:r w:rsidR="00753497" w:rsidRPr="00A47D41">
        <w:rPr>
          <w:rFonts w:ascii="Times New Roman" w:hAnsi="Times New Roman" w:cs="Times New Roman"/>
          <w:sz w:val="24"/>
          <w:szCs w:val="24"/>
        </w:rPr>
        <w:t>The UK, France and Germany are s</w:t>
      </w:r>
      <w:r w:rsidR="008635E5">
        <w:rPr>
          <w:rFonts w:ascii="Times New Roman" w:hAnsi="Times New Roman" w:cs="Times New Roman"/>
          <w:sz w:val="24"/>
          <w:szCs w:val="24"/>
        </w:rPr>
        <w:t>elected as the (relatively) low-</w:t>
      </w:r>
      <w:r w:rsidR="00753497" w:rsidRPr="00A47D41">
        <w:rPr>
          <w:rFonts w:ascii="Times New Roman" w:hAnsi="Times New Roman" w:cs="Times New Roman"/>
          <w:sz w:val="24"/>
          <w:szCs w:val="24"/>
        </w:rPr>
        <w:t xml:space="preserve">risk </w:t>
      </w:r>
      <w:r w:rsidR="004C48E7">
        <w:rPr>
          <w:rFonts w:ascii="Times New Roman" w:hAnsi="Times New Roman" w:cs="Times New Roman"/>
          <w:sz w:val="24"/>
          <w:szCs w:val="24"/>
        </w:rPr>
        <w:t xml:space="preserve">(‘safe’) </w:t>
      </w:r>
      <w:r w:rsidR="00753497" w:rsidRPr="00A47D41">
        <w:rPr>
          <w:rFonts w:ascii="Times New Roman" w:hAnsi="Times New Roman" w:cs="Times New Roman"/>
          <w:sz w:val="24"/>
          <w:szCs w:val="24"/>
        </w:rPr>
        <w:t xml:space="preserve">group of countries within Europe as they are the dominant markets in Europe </w:t>
      </w:r>
      <w:r w:rsidR="003F42E1" w:rsidRPr="00A47D41">
        <w:rPr>
          <w:rFonts w:ascii="Times New Roman" w:hAnsi="Times New Roman" w:cs="Times New Roman"/>
          <w:sz w:val="24"/>
          <w:szCs w:val="24"/>
        </w:rPr>
        <w:t>(in terms of market capitaliz</w:t>
      </w:r>
      <w:r w:rsidR="00753497" w:rsidRPr="00A47D41">
        <w:rPr>
          <w:rFonts w:ascii="Times New Roman" w:hAnsi="Times New Roman" w:cs="Times New Roman"/>
          <w:sz w:val="24"/>
          <w:szCs w:val="24"/>
        </w:rPr>
        <w:t>ation</w:t>
      </w:r>
      <w:r w:rsidR="000F5D73">
        <w:rPr>
          <w:rFonts w:ascii="Times New Roman" w:hAnsi="Times New Roman" w:cs="Times New Roman"/>
          <w:sz w:val="24"/>
          <w:szCs w:val="24"/>
        </w:rPr>
        <w:t>, see Table 2</w:t>
      </w:r>
      <w:r w:rsidR="00753497" w:rsidRPr="00A47D41">
        <w:rPr>
          <w:rFonts w:ascii="Times New Roman" w:hAnsi="Times New Roman" w:cs="Times New Roman"/>
          <w:sz w:val="24"/>
          <w:szCs w:val="24"/>
        </w:rPr>
        <w:t xml:space="preserve">) and maintained </w:t>
      </w:r>
      <w:r w:rsidR="00985816" w:rsidRPr="00A47D41">
        <w:rPr>
          <w:rFonts w:ascii="Times New Roman" w:hAnsi="Times New Roman" w:cs="Times New Roman"/>
          <w:sz w:val="24"/>
          <w:szCs w:val="24"/>
        </w:rPr>
        <w:t xml:space="preserve">relative </w:t>
      </w:r>
      <w:r w:rsidR="00753497" w:rsidRPr="00A47D41">
        <w:rPr>
          <w:rFonts w:ascii="Times New Roman" w:hAnsi="Times New Roman" w:cs="Times New Roman"/>
          <w:sz w:val="24"/>
          <w:szCs w:val="24"/>
        </w:rPr>
        <w:lastRenderedPageBreak/>
        <w:t>financial stability during the 2008/09 period (seen in their lower standard deviations</w:t>
      </w:r>
      <w:r w:rsidR="00985816" w:rsidRPr="00A47D41">
        <w:rPr>
          <w:rFonts w:ascii="Times New Roman" w:hAnsi="Times New Roman" w:cs="Times New Roman"/>
          <w:sz w:val="24"/>
          <w:szCs w:val="24"/>
        </w:rPr>
        <w:t xml:space="preserve"> </w:t>
      </w:r>
      <w:r w:rsidR="00DA7AAD">
        <w:rPr>
          <w:rFonts w:ascii="Times New Roman" w:hAnsi="Times New Roman" w:cs="Times New Roman"/>
          <w:sz w:val="24"/>
          <w:szCs w:val="24"/>
        </w:rPr>
        <w:t xml:space="preserve">of national stock market indices </w:t>
      </w:r>
      <w:r w:rsidR="006A101F" w:rsidRPr="00A47D41">
        <w:rPr>
          <w:rFonts w:ascii="Times New Roman" w:hAnsi="Times New Roman" w:cs="Times New Roman"/>
          <w:sz w:val="24"/>
          <w:szCs w:val="24"/>
        </w:rPr>
        <w:t>reported in</w:t>
      </w:r>
      <w:r w:rsidR="00985816" w:rsidRPr="00A47D41">
        <w:rPr>
          <w:rFonts w:ascii="Times New Roman" w:hAnsi="Times New Roman" w:cs="Times New Roman"/>
          <w:sz w:val="24"/>
          <w:szCs w:val="24"/>
        </w:rPr>
        <w:t xml:space="preserve"> </w:t>
      </w:r>
      <w:r w:rsidR="003F42E1" w:rsidRPr="00A47D41">
        <w:rPr>
          <w:rFonts w:ascii="Times New Roman" w:hAnsi="Times New Roman" w:cs="Times New Roman"/>
          <w:sz w:val="24"/>
          <w:szCs w:val="24"/>
        </w:rPr>
        <w:t>T</w:t>
      </w:r>
      <w:r w:rsidR="00555323" w:rsidRPr="00A47D41">
        <w:rPr>
          <w:rFonts w:ascii="Times New Roman" w:hAnsi="Times New Roman" w:cs="Times New Roman"/>
          <w:sz w:val="24"/>
          <w:szCs w:val="24"/>
        </w:rPr>
        <w:t>able 3</w:t>
      </w:r>
      <w:r w:rsidR="00753497" w:rsidRPr="00A47D41">
        <w:rPr>
          <w:rFonts w:ascii="Times New Roman" w:hAnsi="Times New Roman" w:cs="Times New Roman"/>
          <w:sz w:val="24"/>
          <w:szCs w:val="24"/>
        </w:rPr>
        <w:t xml:space="preserve">). In contrast, Spain, Greece, Ireland and Italy </w:t>
      </w:r>
      <w:r w:rsidR="004C48E7">
        <w:rPr>
          <w:rFonts w:ascii="Times New Roman" w:hAnsi="Times New Roman" w:cs="Times New Roman"/>
          <w:sz w:val="24"/>
          <w:szCs w:val="24"/>
        </w:rPr>
        <w:t xml:space="preserve">(the ‘risky’ group) </w:t>
      </w:r>
      <w:r w:rsidR="00753497" w:rsidRPr="00A47D41">
        <w:rPr>
          <w:rFonts w:ascii="Times New Roman" w:hAnsi="Times New Roman" w:cs="Times New Roman"/>
          <w:sz w:val="24"/>
          <w:szCs w:val="24"/>
        </w:rPr>
        <w:t xml:space="preserve">were repeatedly reported in the news media as having financial difficulties during the crisis period and higher volatility in their respective stock market indices as evidenced by the higher </w:t>
      </w:r>
      <w:r w:rsidR="00985816" w:rsidRPr="00A47D41">
        <w:rPr>
          <w:rFonts w:ascii="Times New Roman" w:hAnsi="Times New Roman" w:cs="Times New Roman"/>
          <w:sz w:val="24"/>
          <w:szCs w:val="24"/>
        </w:rPr>
        <w:t xml:space="preserve">standard </w:t>
      </w:r>
      <w:r w:rsidR="00753497" w:rsidRPr="00A47D41">
        <w:rPr>
          <w:rFonts w:ascii="Times New Roman" w:hAnsi="Times New Roman" w:cs="Times New Roman"/>
          <w:sz w:val="24"/>
          <w:szCs w:val="24"/>
        </w:rPr>
        <w:t xml:space="preserve">deviations. </w:t>
      </w:r>
      <w:r w:rsidR="000F5D73">
        <w:rPr>
          <w:rFonts w:ascii="Times New Roman" w:hAnsi="Times New Roman" w:cs="Times New Roman"/>
          <w:sz w:val="24"/>
          <w:szCs w:val="24"/>
        </w:rPr>
        <w:t>Other European c</w:t>
      </w:r>
      <w:r w:rsidR="00F3661A" w:rsidRPr="00A47D41">
        <w:rPr>
          <w:rFonts w:ascii="Times New Roman" w:hAnsi="Times New Roman" w:cs="Times New Roman"/>
          <w:sz w:val="24"/>
          <w:szCs w:val="24"/>
        </w:rPr>
        <w:t xml:space="preserve">ountries </w:t>
      </w:r>
      <w:r w:rsidR="000F5D73">
        <w:rPr>
          <w:rFonts w:ascii="Times New Roman" w:hAnsi="Times New Roman" w:cs="Times New Roman"/>
          <w:sz w:val="24"/>
          <w:szCs w:val="24"/>
        </w:rPr>
        <w:t xml:space="preserve">such as, </w:t>
      </w:r>
      <w:r w:rsidR="006A101F" w:rsidRPr="00A47D41">
        <w:rPr>
          <w:rFonts w:ascii="Times New Roman" w:hAnsi="Times New Roman" w:cs="Times New Roman"/>
          <w:sz w:val="24"/>
          <w:szCs w:val="24"/>
        </w:rPr>
        <w:t>Switzerland, Netherland, Belgium, Norway, Denmark, Austria, Portugal, Luxemburg and Iceland either have small stock market</w:t>
      </w:r>
      <w:r w:rsidR="00776EA3">
        <w:rPr>
          <w:rFonts w:ascii="Times New Roman" w:hAnsi="Times New Roman" w:cs="Times New Roman"/>
          <w:sz w:val="24"/>
          <w:szCs w:val="24"/>
        </w:rPr>
        <w:t>s</w:t>
      </w:r>
      <w:r w:rsidR="006A101F" w:rsidRPr="00A47D41">
        <w:rPr>
          <w:rFonts w:ascii="Times New Roman" w:hAnsi="Times New Roman" w:cs="Times New Roman"/>
          <w:sz w:val="24"/>
          <w:szCs w:val="24"/>
        </w:rPr>
        <w:t xml:space="preserve"> or remained relatively stable during the crisis period</w:t>
      </w:r>
      <w:r w:rsidR="000F5D73">
        <w:rPr>
          <w:rFonts w:ascii="Times New Roman" w:hAnsi="Times New Roman" w:cs="Times New Roman"/>
          <w:sz w:val="24"/>
          <w:szCs w:val="24"/>
        </w:rPr>
        <w:t xml:space="preserve"> and thus are not included</w:t>
      </w:r>
      <w:r w:rsidR="006A101F" w:rsidRPr="00A47D41">
        <w:rPr>
          <w:rFonts w:ascii="Times New Roman" w:hAnsi="Times New Roman" w:cs="Times New Roman"/>
          <w:sz w:val="24"/>
          <w:szCs w:val="24"/>
        </w:rPr>
        <w:t>.</w:t>
      </w:r>
      <w:r w:rsidR="00753497" w:rsidRPr="00A47D41">
        <w:rPr>
          <w:rFonts w:ascii="Times New Roman" w:hAnsi="Times New Roman" w:cs="Times New Roman"/>
          <w:sz w:val="24"/>
          <w:szCs w:val="24"/>
        </w:rPr>
        <w:t xml:space="preserve"> </w:t>
      </w:r>
      <w:r w:rsidR="00181CD2" w:rsidRPr="00AC6DED">
        <w:rPr>
          <w:rFonts w:ascii="Times New Roman" w:hAnsi="Times New Roman" w:cs="Times New Roman"/>
          <w:sz w:val="24"/>
          <w:szCs w:val="24"/>
        </w:rPr>
        <w:t>Our focus here is to test the interactions between</w:t>
      </w:r>
      <w:r w:rsidR="007A0692" w:rsidRPr="00AC6DED">
        <w:rPr>
          <w:rFonts w:ascii="Times New Roman" w:hAnsi="Times New Roman" w:cs="Times New Roman"/>
          <w:sz w:val="24"/>
          <w:szCs w:val="24"/>
        </w:rPr>
        <w:t xml:space="preserve"> countries struggling with financial distress and those with </w:t>
      </w:r>
      <w:r w:rsidR="00181CD2" w:rsidRPr="00AC6DED">
        <w:rPr>
          <w:rFonts w:ascii="Times New Roman" w:hAnsi="Times New Roman" w:cs="Times New Roman"/>
          <w:sz w:val="24"/>
          <w:szCs w:val="24"/>
        </w:rPr>
        <w:t xml:space="preserve">(relatively) </w:t>
      </w:r>
      <w:r w:rsidR="007A0692" w:rsidRPr="00AC6DED">
        <w:rPr>
          <w:rFonts w:ascii="Times New Roman" w:hAnsi="Times New Roman" w:cs="Times New Roman"/>
          <w:sz w:val="24"/>
          <w:szCs w:val="24"/>
        </w:rPr>
        <w:t>less financial difficulties</w:t>
      </w:r>
      <w:r w:rsidR="000F5D73">
        <w:rPr>
          <w:rFonts w:ascii="Times New Roman" w:hAnsi="Times New Roman" w:cs="Times New Roman"/>
          <w:sz w:val="24"/>
          <w:szCs w:val="24"/>
        </w:rPr>
        <w:t>.</w:t>
      </w:r>
    </w:p>
    <w:p w14:paraId="5AC358E2" w14:textId="5D354D67" w:rsidR="00094A0C" w:rsidRPr="00A47D41" w:rsidRDefault="00617A95" w:rsidP="00F03CE7">
      <w:pPr>
        <w:spacing w:after="0" w:line="480" w:lineRule="auto"/>
        <w:jc w:val="center"/>
        <w:rPr>
          <w:rFonts w:ascii="Times New Roman" w:hAnsi="Times New Roman" w:cs="Times New Roman"/>
          <w:sz w:val="24"/>
          <w:szCs w:val="24"/>
        </w:rPr>
      </w:pPr>
      <w:r w:rsidRPr="00A47D41">
        <w:rPr>
          <w:rFonts w:ascii="Times New Roman" w:hAnsi="Times New Roman" w:cs="Times New Roman"/>
          <w:sz w:val="24"/>
          <w:szCs w:val="24"/>
        </w:rPr>
        <w:t>[INSERT TABLE 2</w:t>
      </w:r>
      <w:r w:rsidR="008217E5" w:rsidRPr="00A47D41">
        <w:rPr>
          <w:rFonts w:ascii="Times New Roman" w:hAnsi="Times New Roman" w:cs="Times New Roman"/>
          <w:sz w:val="24"/>
          <w:szCs w:val="24"/>
        </w:rPr>
        <w:t xml:space="preserve"> HERE]</w:t>
      </w:r>
    </w:p>
    <w:p w14:paraId="1335CEBD" w14:textId="1423C194" w:rsidR="007A0692" w:rsidRDefault="00753497" w:rsidP="00F03CE7">
      <w:pPr>
        <w:spacing w:after="0" w:line="480" w:lineRule="auto"/>
        <w:ind w:firstLine="720"/>
        <w:jc w:val="both"/>
        <w:rPr>
          <w:rFonts w:ascii="Times New Roman" w:hAnsi="Times New Roman" w:cs="Times New Roman"/>
          <w:sz w:val="24"/>
          <w:szCs w:val="24"/>
        </w:rPr>
      </w:pPr>
      <w:r w:rsidRPr="00A47D41">
        <w:rPr>
          <w:rFonts w:ascii="Times New Roman" w:hAnsi="Times New Roman" w:cs="Times New Roman"/>
          <w:sz w:val="24"/>
          <w:szCs w:val="24"/>
        </w:rPr>
        <w:t xml:space="preserve">For the selected countries, </w:t>
      </w:r>
      <w:r w:rsidR="0093050F" w:rsidRPr="00A47D41">
        <w:rPr>
          <w:rFonts w:ascii="Times New Roman" w:hAnsi="Times New Roman" w:cs="Times New Roman"/>
          <w:sz w:val="24"/>
          <w:szCs w:val="24"/>
        </w:rPr>
        <w:t>we use the total market index (coded as ‘TOT</w:t>
      </w:r>
      <w:r w:rsidR="00D010D7" w:rsidRPr="00A47D41">
        <w:rPr>
          <w:rFonts w:ascii="Times New Roman" w:hAnsi="Times New Roman" w:cs="Times New Roman"/>
          <w:sz w:val="24"/>
          <w:szCs w:val="24"/>
        </w:rPr>
        <w:t>M</w:t>
      </w:r>
      <w:r w:rsidR="0093050F" w:rsidRPr="00A47D41">
        <w:rPr>
          <w:rFonts w:ascii="Times New Roman" w:hAnsi="Times New Roman" w:cs="Times New Roman"/>
          <w:sz w:val="24"/>
          <w:szCs w:val="24"/>
        </w:rPr>
        <w:t>xxx’</w:t>
      </w:r>
      <w:r w:rsidR="00D010D7" w:rsidRPr="00A47D41">
        <w:rPr>
          <w:rFonts w:ascii="Times New Roman" w:hAnsi="Times New Roman" w:cs="Times New Roman"/>
          <w:sz w:val="24"/>
          <w:szCs w:val="24"/>
        </w:rPr>
        <w:t xml:space="preserve"> and in US dollars</w:t>
      </w:r>
      <w:r w:rsidR="0093050F" w:rsidRPr="00A47D41">
        <w:rPr>
          <w:rFonts w:ascii="Times New Roman" w:hAnsi="Times New Roman" w:cs="Times New Roman"/>
          <w:sz w:val="24"/>
          <w:szCs w:val="24"/>
        </w:rPr>
        <w:t>)</w:t>
      </w:r>
      <w:r w:rsidR="00D010D7" w:rsidRPr="00A47D41">
        <w:rPr>
          <w:rFonts w:ascii="Times New Roman" w:hAnsi="Times New Roman" w:cs="Times New Roman"/>
          <w:sz w:val="24"/>
          <w:szCs w:val="24"/>
          <w:vertAlign w:val="superscript"/>
        </w:rPr>
        <w:footnoteReference w:id="8"/>
      </w:r>
      <w:r w:rsidR="0093050F" w:rsidRPr="00A47D41">
        <w:rPr>
          <w:rFonts w:ascii="Times New Roman" w:hAnsi="Times New Roman" w:cs="Times New Roman"/>
          <w:sz w:val="24"/>
          <w:szCs w:val="24"/>
        </w:rPr>
        <w:t xml:space="preserve"> for each cou</w:t>
      </w:r>
      <w:r w:rsidR="00664FDE" w:rsidRPr="00A47D41">
        <w:rPr>
          <w:rFonts w:ascii="Times New Roman" w:hAnsi="Times New Roman" w:cs="Times New Roman"/>
          <w:sz w:val="24"/>
          <w:szCs w:val="24"/>
        </w:rPr>
        <w:t xml:space="preserve">ntry </w:t>
      </w:r>
      <w:r w:rsidR="000F5D73">
        <w:rPr>
          <w:rFonts w:ascii="Times New Roman" w:hAnsi="Times New Roman" w:cs="Times New Roman"/>
          <w:sz w:val="24"/>
          <w:szCs w:val="24"/>
        </w:rPr>
        <w:t xml:space="preserve">to ensure </w:t>
      </w:r>
      <w:r w:rsidR="00664FDE" w:rsidRPr="00A47D41">
        <w:rPr>
          <w:rFonts w:ascii="Times New Roman" w:hAnsi="Times New Roman" w:cs="Times New Roman"/>
          <w:sz w:val="24"/>
          <w:szCs w:val="24"/>
        </w:rPr>
        <w:t>consistency. T</w:t>
      </w:r>
      <w:r w:rsidR="0093050F" w:rsidRPr="00A47D41">
        <w:rPr>
          <w:rFonts w:ascii="Times New Roman" w:hAnsi="Times New Roman" w:cs="Times New Roman"/>
          <w:sz w:val="24"/>
          <w:szCs w:val="24"/>
        </w:rPr>
        <w:t>hes</w:t>
      </w:r>
      <w:r w:rsidR="00664FDE" w:rsidRPr="00A47D41">
        <w:rPr>
          <w:rFonts w:ascii="Times New Roman" w:hAnsi="Times New Roman" w:cs="Times New Roman"/>
          <w:sz w:val="24"/>
          <w:szCs w:val="24"/>
        </w:rPr>
        <w:t xml:space="preserve">e indices are </w:t>
      </w:r>
      <w:r w:rsidR="00A90F71">
        <w:rPr>
          <w:rFonts w:ascii="Times New Roman" w:hAnsi="Times New Roman" w:cs="Times New Roman"/>
          <w:sz w:val="24"/>
          <w:szCs w:val="24"/>
        </w:rPr>
        <w:t xml:space="preserve">at daily level and are </w:t>
      </w:r>
      <w:r w:rsidR="00664FDE" w:rsidRPr="00A47D41">
        <w:rPr>
          <w:rFonts w:ascii="Times New Roman" w:hAnsi="Times New Roman" w:cs="Times New Roman"/>
          <w:sz w:val="24"/>
          <w:szCs w:val="24"/>
        </w:rPr>
        <w:t>converted into</w:t>
      </w:r>
      <w:r w:rsidRPr="00A47D41">
        <w:rPr>
          <w:rFonts w:ascii="Times New Roman" w:hAnsi="Times New Roman" w:cs="Times New Roman"/>
          <w:sz w:val="24"/>
          <w:szCs w:val="24"/>
        </w:rPr>
        <w:t xml:space="preserve"> total return market indices</w:t>
      </w:r>
      <w:r w:rsidR="0093050F" w:rsidRPr="00A47D41">
        <w:rPr>
          <w:rFonts w:ascii="Times New Roman" w:hAnsi="Times New Roman" w:cs="Times New Roman"/>
          <w:sz w:val="24"/>
          <w:szCs w:val="24"/>
        </w:rPr>
        <w:t>. Alongside the price, the</w:t>
      </w:r>
      <w:r w:rsidR="00A90F71">
        <w:rPr>
          <w:rFonts w:ascii="Times New Roman" w:hAnsi="Times New Roman" w:cs="Times New Roman"/>
          <w:sz w:val="24"/>
          <w:szCs w:val="24"/>
        </w:rPr>
        <w:t xml:space="preserve"> daily </w:t>
      </w:r>
      <w:r w:rsidR="00A90F71" w:rsidRPr="00A47D41">
        <w:rPr>
          <w:rFonts w:ascii="Times New Roman" w:hAnsi="Times New Roman" w:cs="Times New Roman"/>
          <w:sz w:val="24"/>
          <w:szCs w:val="24"/>
        </w:rPr>
        <w:t>market</w:t>
      </w:r>
      <w:r w:rsidRPr="00A47D41">
        <w:rPr>
          <w:rFonts w:ascii="Times New Roman" w:hAnsi="Times New Roman" w:cs="Times New Roman"/>
          <w:sz w:val="24"/>
          <w:szCs w:val="24"/>
        </w:rPr>
        <w:t xml:space="preserve"> capitalizations of the selected countries are </w:t>
      </w:r>
      <w:r w:rsidR="0093050F" w:rsidRPr="00A47D41">
        <w:rPr>
          <w:rFonts w:ascii="Times New Roman" w:hAnsi="Times New Roman" w:cs="Times New Roman"/>
          <w:sz w:val="24"/>
          <w:szCs w:val="24"/>
        </w:rPr>
        <w:t xml:space="preserve">also </w:t>
      </w:r>
      <w:r w:rsidRPr="00A47D41">
        <w:rPr>
          <w:rFonts w:ascii="Times New Roman" w:hAnsi="Times New Roman" w:cs="Times New Roman"/>
          <w:sz w:val="24"/>
          <w:szCs w:val="24"/>
        </w:rPr>
        <w:t>collected over the sample period 01/01/2003 to 29/03/2013</w:t>
      </w:r>
      <w:r w:rsidR="00666CF6">
        <w:rPr>
          <w:rFonts w:ascii="Times New Roman" w:hAnsi="Times New Roman" w:cs="Times New Roman"/>
          <w:sz w:val="24"/>
          <w:szCs w:val="24"/>
        </w:rPr>
        <w:t>.</w:t>
      </w:r>
      <w:r w:rsidR="00D010D7" w:rsidRPr="00A47D41">
        <w:rPr>
          <w:rStyle w:val="FootnoteReference"/>
          <w:rFonts w:ascii="Times New Roman" w:hAnsi="Times New Roman" w:cs="Times New Roman"/>
          <w:sz w:val="24"/>
          <w:szCs w:val="24"/>
        </w:rPr>
        <w:footnoteReference w:id="9"/>
      </w:r>
      <w:r w:rsidR="000F5D73">
        <w:rPr>
          <w:rFonts w:ascii="Times New Roman" w:hAnsi="Times New Roman" w:cs="Times New Roman"/>
          <w:sz w:val="24"/>
          <w:szCs w:val="24"/>
        </w:rPr>
        <w:t xml:space="preserve"> This sample period also allows for an approximately equal sub-sample around the date </w:t>
      </w:r>
      <w:r w:rsidRPr="00A47D41">
        <w:rPr>
          <w:rFonts w:ascii="Times New Roman" w:hAnsi="Times New Roman" w:cs="Times New Roman"/>
          <w:sz w:val="24"/>
          <w:szCs w:val="24"/>
        </w:rPr>
        <w:t xml:space="preserve">of 19/09/2008 </w:t>
      </w:r>
      <w:r w:rsidR="000F5D73">
        <w:rPr>
          <w:rFonts w:ascii="Times New Roman" w:hAnsi="Times New Roman" w:cs="Times New Roman"/>
          <w:sz w:val="24"/>
          <w:szCs w:val="24"/>
        </w:rPr>
        <w:t>as discussed above.</w:t>
      </w:r>
      <w:r w:rsidR="00EE438A" w:rsidRPr="00A47D41">
        <w:rPr>
          <w:rFonts w:ascii="Times New Roman" w:hAnsi="Times New Roman" w:cs="Times New Roman"/>
          <w:sz w:val="24"/>
          <w:szCs w:val="24"/>
        </w:rPr>
        <w:t xml:space="preserve"> </w:t>
      </w:r>
    </w:p>
    <w:p w14:paraId="12BB9F2A" w14:textId="69F42B28" w:rsidR="00753497" w:rsidRPr="00A47D41" w:rsidRDefault="007A0692" w:rsidP="00F03CE7">
      <w:pPr>
        <w:spacing w:after="0" w:line="480" w:lineRule="auto"/>
        <w:ind w:firstLine="720"/>
        <w:jc w:val="both"/>
        <w:rPr>
          <w:rFonts w:ascii="Times New Roman" w:hAnsi="Times New Roman" w:cs="Times New Roman"/>
          <w:sz w:val="24"/>
          <w:szCs w:val="24"/>
        </w:rPr>
      </w:pPr>
      <w:r w:rsidRPr="00A47D41">
        <w:rPr>
          <w:rFonts w:ascii="Times New Roman" w:hAnsi="Times New Roman" w:cs="Times New Roman"/>
          <w:sz w:val="24"/>
          <w:szCs w:val="24"/>
        </w:rPr>
        <w:t>After deciding on the country selections, w</w:t>
      </w:r>
      <w:r w:rsidR="00753497" w:rsidRPr="00A47D41">
        <w:rPr>
          <w:rFonts w:ascii="Times New Roman" w:hAnsi="Times New Roman" w:cs="Times New Roman"/>
          <w:sz w:val="24"/>
          <w:szCs w:val="24"/>
        </w:rPr>
        <w:t xml:space="preserve">e use the total market </w:t>
      </w:r>
      <w:r w:rsidRPr="00A47D41">
        <w:rPr>
          <w:rFonts w:ascii="Times New Roman" w:hAnsi="Times New Roman" w:cs="Times New Roman"/>
          <w:sz w:val="24"/>
          <w:szCs w:val="24"/>
        </w:rPr>
        <w:t>price</w:t>
      </w:r>
      <w:r w:rsidR="00753497" w:rsidRPr="00A47D41">
        <w:rPr>
          <w:rFonts w:ascii="Times New Roman" w:hAnsi="Times New Roman" w:cs="Times New Roman"/>
          <w:sz w:val="24"/>
          <w:szCs w:val="24"/>
        </w:rPr>
        <w:t xml:space="preserve"> indices for individual countries to construct </w:t>
      </w:r>
      <w:r w:rsidRPr="00A47D41">
        <w:rPr>
          <w:rFonts w:ascii="Times New Roman" w:hAnsi="Times New Roman" w:cs="Times New Roman"/>
          <w:sz w:val="24"/>
          <w:szCs w:val="24"/>
        </w:rPr>
        <w:t xml:space="preserve">the </w:t>
      </w:r>
      <w:r w:rsidR="00753497" w:rsidRPr="00A47D41">
        <w:rPr>
          <w:rFonts w:ascii="Times New Roman" w:hAnsi="Times New Roman" w:cs="Times New Roman"/>
          <w:sz w:val="24"/>
          <w:szCs w:val="24"/>
        </w:rPr>
        <w:t>country group indices</w:t>
      </w:r>
      <w:r w:rsidR="004144D4" w:rsidRPr="00A47D41">
        <w:rPr>
          <w:rFonts w:ascii="Times New Roman" w:hAnsi="Times New Roman" w:cs="Times New Roman"/>
          <w:sz w:val="24"/>
          <w:szCs w:val="24"/>
        </w:rPr>
        <w:t xml:space="preserve">. For simplicity, we calculate the </w:t>
      </w:r>
      <w:r w:rsidR="00753497" w:rsidRPr="00A47D41">
        <w:rPr>
          <w:rFonts w:ascii="Times New Roman" w:hAnsi="Times New Roman" w:cs="Times New Roman"/>
          <w:sz w:val="24"/>
          <w:szCs w:val="24"/>
        </w:rPr>
        <w:t xml:space="preserve">average market </w:t>
      </w:r>
      <w:r w:rsidR="00211816" w:rsidRPr="00A47D41">
        <w:rPr>
          <w:rFonts w:ascii="Times New Roman" w:hAnsi="Times New Roman" w:cs="Times New Roman"/>
          <w:sz w:val="24"/>
          <w:szCs w:val="24"/>
        </w:rPr>
        <w:t>capitalization</w:t>
      </w:r>
      <w:r w:rsidR="00211816">
        <w:rPr>
          <w:rFonts w:ascii="Times New Roman" w:hAnsi="Times New Roman" w:cs="Times New Roman"/>
          <w:sz w:val="24"/>
          <w:szCs w:val="24"/>
        </w:rPr>
        <w:t>-</w:t>
      </w:r>
      <w:r w:rsidR="00753497" w:rsidRPr="00A47D41">
        <w:rPr>
          <w:rFonts w:ascii="Times New Roman" w:hAnsi="Times New Roman" w:cs="Times New Roman"/>
          <w:sz w:val="24"/>
          <w:szCs w:val="24"/>
        </w:rPr>
        <w:t>weighted price and return indices to build the high</w:t>
      </w:r>
      <w:r w:rsidR="00F905CE">
        <w:rPr>
          <w:rFonts w:ascii="Times New Roman" w:hAnsi="Times New Roman" w:cs="Times New Roman"/>
          <w:sz w:val="24"/>
          <w:szCs w:val="24"/>
        </w:rPr>
        <w:t>-</w:t>
      </w:r>
      <w:r w:rsidR="00753497" w:rsidRPr="00A47D41">
        <w:rPr>
          <w:rFonts w:ascii="Times New Roman" w:hAnsi="Times New Roman" w:cs="Times New Roman"/>
          <w:sz w:val="24"/>
          <w:szCs w:val="24"/>
        </w:rPr>
        <w:t xml:space="preserve"> </w:t>
      </w:r>
      <w:r w:rsidR="00133FA0" w:rsidRPr="00133FA0">
        <w:rPr>
          <w:rFonts w:ascii="Times New Roman" w:hAnsi="Times New Roman" w:cs="Times New Roman"/>
          <w:noProof/>
          <w:position w:val="-16"/>
          <w:sz w:val="24"/>
          <w:szCs w:val="24"/>
        </w:rPr>
        <w:object w:dxaOrig="680" w:dyaOrig="440" w14:anchorId="77A8F0C6">
          <v:shape id="_x0000_i1029" type="#_x0000_t75" alt="" style="width:34pt;height:22pt;mso-width-percent:0;mso-height-percent:0;mso-width-percent:0;mso-height-percent:0" o:ole="">
            <v:imagedata r:id="rId94" o:title=""/>
          </v:shape>
          <o:OLEObject Type="Embed" ProgID="Equation.3" ShapeID="_x0000_i1029" DrawAspect="Content" ObjectID="_1586774300" r:id="rId95"/>
        </w:object>
      </w:r>
      <w:r w:rsidR="00C23806">
        <w:rPr>
          <w:rFonts w:ascii="Times New Roman" w:hAnsi="Times New Roman" w:cs="Times New Roman"/>
          <w:sz w:val="24"/>
          <w:szCs w:val="24"/>
        </w:rPr>
        <w:t xml:space="preserve"> </w:t>
      </w:r>
      <w:r w:rsidR="004144D4" w:rsidRPr="00A47D41">
        <w:rPr>
          <w:rFonts w:ascii="Times New Roman" w:hAnsi="Times New Roman" w:cs="Times New Roman"/>
          <w:sz w:val="24"/>
          <w:szCs w:val="24"/>
        </w:rPr>
        <w:t>and low</w:t>
      </w:r>
      <w:r w:rsidR="00F905CE">
        <w:rPr>
          <w:rFonts w:ascii="Times New Roman" w:hAnsi="Times New Roman" w:cs="Times New Roman"/>
          <w:sz w:val="24"/>
          <w:szCs w:val="24"/>
        </w:rPr>
        <w:t>-</w:t>
      </w:r>
      <w:r w:rsidR="00F905CE" w:rsidRPr="00A47D41">
        <w:rPr>
          <w:rFonts w:ascii="Times New Roman" w:hAnsi="Times New Roman" w:cs="Times New Roman"/>
          <w:sz w:val="24"/>
          <w:szCs w:val="24"/>
        </w:rPr>
        <w:t>risk</w:t>
      </w:r>
      <w:r w:rsidR="00133FA0" w:rsidRPr="00133FA0">
        <w:rPr>
          <w:rFonts w:ascii="Times New Roman" w:hAnsi="Times New Roman" w:cs="Times New Roman"/>
          <w:noProof/>
          <w:position w:val="-14"/>
          <w:sz w:val="24"/>
          <w:szCs w:val="24"/>
        </w:rPr>
        <w:object w:dxaOrig="720" w:dyaOrig="420" w14:anchorId="0D71D294">
          <v:shape id="_x0000_i1028" type="#_x0000_t75" alt="" style="width:36pt;height:21pt;mso-width-percent:0;mso-height-percent:0;mso-width-percent:0;mso-height-percent:0" o:ole="">
            <v:imagedata r:id="rId96" o:title=""/>
          </v:shape>
          <o:OLEObject Type="Embed" ProgID="Equation.DSMT4" ShapeID="_x0000_i1028" DrawAspect="Content" ObjectID="_1586774301" r:id="rId97"/>
        </w:object>
      </w:r>
      <w:r w:rsidR="004144D4" w:rsidRPr="00A47D41">
        <w:rPr>
          <w:rFonts w:ascii="Times New Roman" w:hAnsi="Times New Roman" w:cs="Times New Roman"/>
          <w:sz w:val="24"/>
          <w:szCs w:val="24"/>
        </w:rPr>
        <w:t>country indices</w:t>
      </w:r>
      <w:r w:rsidR="00753497" w:rsidRPr="00A47D41">
        <w:rPr>
          <w:rFonts w:ascii="Times New Roman" w:hAnsi="Times New Roman" w:cs="Times New Roman"/>
          <w:sz w:val="24"/>
          <w:szCs w:val="24"/>
        </w:rPr>
        <w:t>. The MSCI Global Index (labelled MSWRLD) is used as an external benchmark index. The price indices are calculated as:</w:t>
      </w:r>
    </w:p>
    <w:p w14:paraId="42D5B6A5" w14:textId="03EE8EE4" w:rsidR="00753497" w:rsidRPr="00A47D41" w:rsidRDefault="00133FA0" w:rsidP="00F03CE7">
      <w:pPr>
        <w:spacing w:after="0" w:line="480" w:lineRule="auto"/>
        <w:jc w:val="both"/>
        <w:rPr>
          <w:rFonts w:ascii="Times New Roman" w:hAnsi="Times New Roman" w:cs="Times New Roman"/>
          <w:sz w:val="24"/>
          <w:szCs w:val="24"/>
        </w:rPr>
      </w:pPr>
      <w:r w:rsidRPr="00133FA0">
        <w:rPr>
          <w:rFonts w:ascii="Times New Roman" w:hAnsi="Times New Roman" w:cs="Times New Roman"/>
          <w:noProof/>
          <w:position w:val="-62"/>
          <w:sz w:val="24"/>
          <w:szCs w:val="24"/>
        </w:rPr>
        <w:object w:dxaOrig="2180" w:dyaOrig="1080" w14:anchorId="65B6B997">
          <v:shape id="_x0000_i1027" type="#_x0000_t75" alt="" style="width:109pt;height:54pt;mso-width-percent:0;mso-height-percent:0;mso-width-percent:0;mso-height-percent:0" o:ole="">
            <v:imagedata r:id="rId98" o:title=""/>
          </v:shape>
          <o:OLEObject Type="Embed" ProgID="Equation.3" ShapeID="_x0000_i1027" DrawAspect="Content" ObjectID="_1586774302" r:id="rId99"/>
        </w:object>
      </w:r>
      <w:r w:rsidR="0042782B">
        <w:rPr>
          <w:rFonts w:ascii="Times New Roman" w:hAnsi="Times New Roman" w:cs="Times New Roman"/>
          <w:sz w:val="24"/>
          <w:szCs w:val="24"/>
        </w:rPr>
        <w:t xml:space="preserve"> </w:t>
      </w:r>
    </w:p>
    <w:p w14:paraId="4FD9AA36" w14:textId="77777777" w:rsidR="0042782B" w:rsidRDefault="00753497" w:rsidP="00F03CE7">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 xml:space="preserve"> </w:t>
      </w:r>
      <w:r w:rsidR="00133FA0" w:rsidRPr="00133FA0">
        <w:rPr>
          <w:rFonts w:ascii="Times New Roman" w:hAnsi="Times New Roman" w:cs="Times New Roman"/>
          <w:noProof/>
          <w:position w:val="-62"/>
          <w:sz w:val="24"/>
          <w:szCs w:val="24"/>
        </w:rPr>
        <w:object w:dxaOrig="2120" w:dyaOrig="1080" w14:anchorId="71EC6504">
          <v:shape id="_x0000_i1026" type="#_x0000_t75" alt="" style="width:106pt;height:54pt;mso-width-percent:0;mso-height-percent:0;mso-width-percent:0;mso-height-percent:0" o:ole="">
            <v:imagedata r:id="rId100" o:title=""/>
          </v:shape>
          <o:OLEObject Type="Embed" ProgID="Equation.3" ShapeID="_x0000_i1026" DrawAspect="Content" ObjectID="_1586774303" r:id="rId101"/>
        </w:object>
      </w:r>
      <w:r w:rsidR="0042782B">
        <w:rPr>
          <w:rFonts w:ascii="Times New Roman" w:hAnsi="Times New Roman" w:cs="Times New Roman"/>
          <w:sz w:val="24"/>
          <w:szCs w:val="24"/>
        </w:rPr>
        <w:t xml:space="preserve"> </w:t>
      </w:r>
    </w:p>
    <w:p w14:paraId="1BCCAE1D" w14:textId="6C63CBBB" w:rsidR="00753497" w:rsidRDefault="00133FA0" w:rsidP="00F03CE7">
      <w:pPr>
        <w:spacing w:after="0" w:line="480" w:lineRule="auto"/>
        <w:jc w:val="both"/>
        <w:rPr>
          <w:rFonts w:ascii="Times New Roman" w:hAnsi="Times New Roman" w:cs="Times New Roman"/>
          <w:sz w:val="24"/>
          <w:szCs w:val="24"/>
        </w:rPr>
      </w:pPr>
      <w:r w:rsidRPr="00133FA0">
        <w:rPr>
          <w:rFonts w:ascii="Times New Roman" w:hAnsi="Times New Roman" w:cs="Times New Roman"/>
          <w:noProof/>
          <w:position w:val="-18"/>
          <w:sz w:val="24"/>
          <w:szCs w:val="24"/>
        </w:rPr>
        <w:object w:dxaOrig="2680" w:dyaOrig="480" w14:anchorId="0F88834F">
          <v:shape id="_x0000_i1025" type="#_x0000_t75" alt="" style="width:135pt;height:24pt;mso-width-percent:0;mso-height-percent:0;mso-width-percent:0;mso-height-percent:0" o:ole="">
            <v:imagedata r:id="rId102" o:title=""/>
          </v:shape>
          <o:OLEObject Type="Embed" ProgID="Equation.3" ShapeID="_x0000_i1025" DrawAspect="Content" ObjectID="_1586774304" r:id="rId103"/>
        </w:object>
      </w:r>
      <w:r w:rsidR="0042782B">
        <w:rPr>
          <w:rFonts w:ascii="Times New Roman" w:hAnsi="Times New Roman" w:cs="Times New Roman"/>
          <w:sz w:val="24"/>
          <w:szCs w:val="24"/>
        </w:rPr>
        <w:t xml:space="preserve"> </w:t>
      </w:r>
    </w:p>
    <w:p w14:paraId="204C7BC1" w14:textId="2A35AC08" w:rsidR="00A10C66" w:rsidRPr="00A47D41" w:rsidRDefault="00A10C66" w:rsidP="00F03C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Descriptive statistics are reported in Table 3.</w:t>
      </w:r>
    </w:p>
    <w:p w14:paraId="124D9A93" w14:textId="04827128" w:rsidR="008217E5" w:rsidRDefault="00617A95" w:rsidP="00F03CE7">
      <w:pPr>
        <w:spacing w:after="0" w:line="480" w:lineRule="auto"/>
        <w:jc w:val="center"/>
        <w:rPr>
          <w:rFonts w:ascii="Times New Roman" w:hAnsi="Times New Roman" w:cs="Times New Roman"/>
          <w:sz w:val="24"/>
          <w:szCs w:val="24"/>
        </w:rPr>
      </w:pPr>
      <w:r w:rsidRPr="00A47D41">
        <w:rPr>
          <w:rFonts w:ascii="Times New Roman" w:hAnsi="Times New Roman" w:cs="Times New Roman"/>
          <w:sz w:val="24"/>
          <w:szCs w:val="24"/>
        </w:rPr>
        <w:t>[INSERT TABLE 3</w:t>
      </w:r>
      <w:r w:rsidR="008217E5" w:rsidRPr="00A47D41">
        <w:rPr>
          <w:rFonts w:ascii="Times New Roman" w:hAnsi="Times New Roman" w:cs="Times New Roman"/>
          <w:sz w:val="24"/>
          <w:szCs w:val="24"/>
        </w:rPr>
        <w:t xml:space="preserve"> HERE]</w:t>
      </w:r>
    </w:p>
    <w:p w14:paraId="68F34001" w14:textId="77777777" w:rsidR="000F7C1E" w:rsidRPr="00A47D41" w:rsidRDefault="000F7C1E" w:rsidP="00F03CE7">
      <w:pPr>
        <w:spacing w:after="0" w:line="480" w:lineRule="auto"/>
        <w:jc w:val="center"/>
        <w:rPr>
          <w:rFonts w:ascii="Times New Roman" w:hAnsi="Times New Roman" w:cs="Times New Roman"/>
          <w:sz w:val="24"/>
          <w:szCs w:val="24"/>
        </w:rPr>
      </w:pPr>
    </w:p>
    <w:p w14:paraId="61321D35" w14:textId="77777777" w:rsidR="00094A0C" w:rsidRPr="00A47D41" w:rsidRDefault="006F52F2" w:rsidP="00F03CE7">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t>5. E</w:t>
      </w:r>
      <w:r w:rsidR="007B4BA5" w:rsidRPr="00A47D41">
        <w:rPr>
          <w:rFonts w:ascii="Times New Roman" w:hAnsi="Times New Roman" w:cs="Times New Roman"/>
          <w:b/>
          <w:sz w:val="24"/>
          <w:szCs w:val="24"/>
        </w:rPr>
        <w:t xml:space="preserve">mpirical </w:t>
      </w:r>
      <w:r w:rsidRPr="00A47D41">
        <w:rPr>
          <w:rFonts w:ascii="Times New Roman" w:hAnsi="Times New Roman" w:cs="Times New Roman"/>
          <w:b/>
          <w:sz w:val="24"/>
          <w:szCs w:val="24"/>
        </w:rPr>
        <w:t>A</w:t>
      </w:r>
      <w:r w:rsidR="007B4BA5" w:rsidRPr="00A47D41">
        <w:rPr>
          <w:rFonts w:ascii="Times New Roman" w:hAnsi="Times New Roman" w:cs="Times New Roman"/>
          <w:b/>
          <w:sz w:val="24"/>
          <w:szCs w:val="24"/>
        </w:rPr>
        <w:t>nalysis.</w:t>
      </w:r>
      <w:r w:rsidR="002330D5" w:rsidRPr="00A47D41">
        <w:rPr>
          <w:rFonts w:ascii="Times New Roman" w:hAnsi="Times New Roman" w:cs="Times New Roman"/>
          <w:b/>
          <w:sz w:val="24"/>
          <w:szCs w:val="24"/>
        </w:rPr>
        <w:tab/>
      </w:r>
    </w:p>
    <w:p w14:paraId="7C87571C" w14:textId="77777777" w:rsidR="00983014" w:rsidRPr="00A47D41" w:rsidRDefault="00983014" w:rsidP="00F03CE7">
      <w:pPr>
        <w:spacing w:after="0" w:line="480" w:lineRule="auto"/>
        <w:jc w:val="both"/>
        <w:rPr>
          <w:rFonts w:ascii="Times New Roman" w:hAnsi="Times New Roman" w:cs="Times New Roman"/>
          <w:i/>
          <w:sz w:val="24"/>
          <w:szCs w:val="24"/>
        </w:rPr>
      </w:pPr>
      <w:r w:rsidRPr="00A47D41">
        <w:rPr>
          <w:rFonts w:ascii="Times New Roman" w:hAnsi="Times New Roman" w:cs="Times New Roman"/>
          <w:i/>
          <w:sz w:val="24"/>
          <w:szCs w:val="24"/>
        </w:rPr>
        <w:t>5.1 Cointegration tests</w:t>
      </w:r>
    </w:p>
    <w:p w14:paraId="41B234E9" w14:textId="39A0E1B0" w:rsidR="000713D5" w:rsidRDefault="00983014" w:rsidP="00F03CE7">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 xml:space="preserve">The results of the Johansen </w:t>
      </w:r>
      <w:r w:rsidR="00752C77">
        <w:rPr>
          <w:rFonts w:ascii="Times New Roman" w:hAnsi="Times New Roman" w:cs="Times New Roman"/>
          <w:sz w:val="24"/>
          <w:szCs w:val="24"/>
        </w:rPr>
        <w:t>c</w:t>
      </w:r>
      <w:r w:rsidRPr="00A47D41">
        <w:rPr>
          <w:rFonts w:ascii="Times New Roman" w:hAnsi="Times New Roman" w:cs="Times New Roman"/>
          <w:sz w:val="24"/>
          <w:szCs w:val="24"/>
        </w:rPr>
        <w:t xml:space="preserve">ointegration tests </w:t>
      </w:r>
      <w:r w:rsidR="008635E5">
        <w:rPr>
          <w:rFonts w:ascii="Times New Roman" w:hAnsi="Times New Roman" w:cs="Times New Roman"/>
          <w:sz w:val="24"/>
          <w:szCs w:val="24"/>
        </w:rPr>
        <w:t>for the high and low-</w:t>
      </w:r>
      <w:r w:rsidR="00DB0F47" w:rsidRPr="00A47D41">
        <w:rPr>
          <w:rFonts w:ascii="Times New Roman" w:hAnsi="Times New Roman" w:cs="Times New Roman"/>
          <w:sz w:val="24"/>
          <w:szCs w:val="24"/>
        </w:rPr>
        <w:t xml:space="preserve">risk European groups with </w:t>
      </w:r>
      <w:r w:rsidR="00752C77">
        <w:rPr>
          <w:rFonts w:ascii="Times New Roman" w:hAnsi="Times New Roman" w:cs="Times New Roman"/>
          <w:sz w:val="24"/>
          <w:szCs w:val="24"/>
        </w:rPr>
        <w:t xml:space="preserve">the </w:t>
      </w:r>
      <w:r w:rsidR="006968D5">
        <w:rPr>
          <w:rFonts w:ascii="Times New Roman" w:hAnsi="Times New Roman" w:cs="Times New Roman"/>
          <w:sz w:val="24"/>
          <w:szCs w:val="24"/>
        </w:rPr>
        <w:t>w</w:t>
      </w:r>
      <w:r w:rsidRPr="00A47D41">
        <w:rPr>
          <w:rFonts w:ascii="Times New Roman" w:hAnsi="Times New Roman" w:cs="Times New Roman"/>
          <w:sz w:val="24"/>
          <w:szCs w:val="24"/>
        </w:rPr>
        <w:t xml:space="preserve">orld </w:t>
      </w:r>
      <w:r w:rsidR="00752C77">
        <w:rPr>
          <w:rFonts w:ascii="Times New Roman" w:hAnsi="Times New Roman" w:cs="Times New Roman"/>
          <w:sz w:val="24"/>
          <w:szCs w:val="24"/>
        </w:rPr>
        <w:t xml:space="preserve">portfolio </w:t>
      </w:r>
      <w:r w:rsidR="004E7A7B" w:rsidRPr="00A47D41">
        <w:rPr>
          <w:rFonts w:ascii="Times New Roman" w:hAnsi="Times New Roman" w:cs="Times New Roman"/>
          <w:sz w:val="24"/>
          <w:szCs w:val="24"/>
        </w:rPr>
        <w:t>are reported in Table 5</w:t>
      </w:r>
      <w:r w:rsidR="00752C77">
        <w:rPr>
          <w:rFonts w:ascii="Times New Roman" w:hAnsi="Times New Roman" w:cs="Times New Roman"/>
          <w:sz w:val="24"/>
          <w:szCs w:val="24"/>
        </w:rPr>
        <w:t>.</w:t>
      </w:r>
      <w:r w:rsidR="00EB27EC" w:rsidRPr="00A47D41">
        <w:rPr>
          <w:rStyle w:val="FootnoteReference"/>
          <w:rFonts w:ascii="Times New Roman" w:hAnsi="Times New Roman" w:cs="Times New Roman"/>
          <w:sz w:val="24"/>
          <w:szCs w:val="24"/>
        </w:rPr>
        <w:footnoteReference w:id="10"/>
      </w:r>
      <w:r w:rsidRPr="00A47D41">
        <w:rPr>
          <w:rFonts w:ascii="Times New Roman" w:hAnsi="Times New Roman" w:cs="Times New Roman"/>
          <w:sz w:val="24"/>
          <w:szCs w:val="24"/>
        </w:rPr>
        <w:t xml:space="preserve"> These results reveal some </w:t>
      </w:r>
      <w:r w:rsidR="00752C77">
        <w:rPr>
          <w:rFonts w:ascii="Times New Roman" w:hAnsi="Times New Roman" w:cs="Times New Roman"/>
          <w:sz w:val="24"/>
          <w:szCs w:val="24"/>
        </w:rPr>
        <w:t xml:space="preserve">interesting </w:t>
      </w:r>
      <w:r w:rsidRPr="00A47D41">
        <w:rPr>
          <w:rFonts w:ascii="Times New Roman" w:hAnsi="Times New Roman" w:cs="Times New Roman"/>
          <w:sz w:val="24"/>
          <w:szCs w:val="24"/>
        </w:rPr>
        <w:t>difference</w:t>
      </w:r>
      <w:r w:rsidR="00752C77">
        <w:rPr>
          <w:rFonts w:ascii="Times New Roman" w:hAnsi="Times New Roman" w:cs="Times New Roman"/>
          <w:sz w:val="24"/>
          <w:szCs w:val="24"/>
        </w:rPr>
        <w:t>s</w:t>
      </w:r>
      <w:r w:rsidRPr="00A47D41">
        <w:rPr>
          <w:rFonts w:ascii="Times New Roman" w:hAnsi="Times New Roman" w:cs="Times New Roman"/>
          <w:sz w:val="24"/>
          <w:szCs w:val="24"/>
        </w:rPr>
        <w:t xml:space="preserve"> </w:t>
      </w:r>
      <w:r w:rsidR="001960C5">
        <w:rPr>
          <w:rFonts w:ascii="Times New Roman" w:hAnsi="Times New Roman" w:cs="Times New Roman"/>
          <w:sz w:val="24"/>
          <w:szCs w:val="24"/>
        </w:rPr>
        <w:t>between</w:t>
      </w:r>
      <w:r w:rsidR="001960C5" w:rsidRPr="00A47D41">
        <w:rPr>
          <w:rFonts w:ascii="Times New Roman" w:hAnsi="Times New Roman" w:cs="Times New Roman"/>
          <w:sz w:val="24"/>
          <w:szCs w:val="24"/>
        </w:rPr>
        <w:t xml:space="preserve"> </w:t>
      </w:r>
      <w:r w:rsidRPr="00A47D41">
        <w:rPr>
          <w:rFonts w:ascii="Times New Roman" w:hAnsi="Times New Roman" w:cs="Times New Roman"/>
          <w:sz w:val="24"/>
          <w:szCs w:val="24"/>
        </w:rPr>
        <w:t xml:space="preserve">the two sub-sample periods, </w:t>
      </w:r>
      <w:r w:rsidR="00752C77">
        <w:rPr>
          <w:rFonts w:ascii="Times New Roman" w:hAnsi="Times New Roman" w:cs="Times New Roman"/>
          <w:sz w:val="24"/>
          <w:szCs w:val="24"/>
        </w:rPr>
        <w:t xml:space="preserve">while overall they </w:t>
      </w:r>
      <w:r w:rsidRPr="00A47D41">
        <w:rPr>
          <w:rFonts w:ascii="Times New Roman" w:hAnsi="Times New Roman" w:cs="Times New Roman"/>
          <w:sz w:val="24"/>
          <w:szCs w:val="24"/>
        </w:rPr>
        <w:t>suggest a lack of cointegration between the three portfolios. Examining the results in greater detail</w:t>
      </w:r>
      <w:r w:rsidR="006968D5">
        <w:rPr>
          <w:rFonts w:ascii="Times New Roman" w:hAnsi="Times New Roman" w:cs="Times New Roman"/>
          <w:sz w:val="24"/>
          <w:szCs w:val="24"/>
        </w:rPr>
        <w:t>s</w:t>
      </w:r>
      <w:r w:rsidR="004E7A7B" w:rsidRPr="00A47D41">
        <w:rPr>
          <w:rFonts w:ascii="Times New Roman" w:hAnsi="Times New Roman" w:cs="Times New Roman"/>
          <w:sz w:val="24"/>
          <w:szCs w:val="24"/>
        </w:rPr>
        <w:t>,</w:t>
      </w:r>
      <w:r w:rsidR="00BF199B" w:rsidRPr="00A47D41">
        <w:rPr>
          <w:rFonts w:ascii="Times New Roman" w:hAnsi="Times New Roman" w:cs="Times New Roman"/>
          <w:sz w:val="24"/>
          <w:szCs w:val="24"/>
        </w:rPr>
        <w:t xml:space="preserve"> </w:t>
      </w:r>
      <w:r w:rsidR="00752C77">
        <w:rPr>
          <w:rFonts w:ascii="Times New Roman" w:hAnsi="Times New Roman" w:cs="Times New Roman"/>
          <w:sz w:val="24"/>
          <w:szCs w:val="24"/>
        </w:rPr>
        <w:t>we can see that in the first sub-sample, which runs from January 2003 to September 2008, there is evidence of cointegration, with one and possibly two cointegrating vectors.</w:t>
      </w:r>
      <w:r w:rsidR="00752C77" w:rsidRPr="00A47D41">
        <w:rPr>
          <w:rStyle w:val="FootnoteReference"/>
          <w:rFonts w:ascii="Times New Roman" w:hAnsi="Times New Roman" w:cs="Times New Roman"/>
          <w:sz w:val="24"/>
          <w:szCs w:val="24"/>
        </w:rPr>
        <w:footnoteReference w:id="11"/>
      </w:r>
      <w:r w:rsidR="00752C77" w:rsidRPr="00A47D41">
        <w:rPr>
          <w:rFonts w:ascii="Times New Roman" w:hAnsi="Times New Roman" w:cs="Times New Roman"/>
          <w:sz w:val="24"/>
          <w:szCs w:val="24"/>
        </w:rPr>
        <w:t xml:space="preserve"> </w:t>
      </w:r>
      <w:r w:rsidR="00752C77">
        <w:rPr>
          <w:rFonts w:ascii="Times New Roman" w:hAnsi="Times New Roman" w:cs="Times New Roman"/>
          <w:sz w:val="24"/>
          <w:szCs w:val="24"/>
        </w:rPr>
        <w:t>The existence of a cointegrating long-run relation in this period confirms our view that these markets respond to global shocks and thus follow the same stochastic trend.</w:t>
      </w:r>
      <w:r w:rsidR="0096235E">
        <w:rPr>
          <w:rFonts w:ascii="Times New Roman" w:hAnsi="Times New Roman" w:cs="Times New Roman"/>
          <w:sz w:val="24"/>
          <w:szCs w:val="24"/>
        </w:rPr>
        <w:t xml:space="preserve"> </w:t>
      </w:r>
      <w:r w:rsidR="006968D5">
        <w:rPr>
          <w:rFonts w:ascii="Times New Roman" w:hAnsi="Times New Roman" w:cs="Times New Roman"/>
          <w:sz w:val="24"/>
          <w:szCs w:val="24"/>
        </w:rPr>
        <w:t>O</w:t>
      </w:r>
      <w:r w:rsidR="0096235E" w:rsidRPr="00A47D41">
        <w:rPr>
          <w:rFonts w:ascii="Times New Roman" w:hAnsi="Times New Roman" w:cs="Times New Roman"/>
          <w:sz w:val="24"/>
          <w:szCs w:val="24"/>
        </w:rPr>
        <w:t xml:space="preserve">ver this period of time, which includes the early stages of the financial crisis, this result suggests that common (world) shocks prevailed in moving markets, hence, evidence of co-movement. </w:t>
      </w:r>
      <w:r w:rsidR="0096235E">
        <w:rPr>
          <w:rFonts w:ascii="Times New Roman" w:hAnsi="Times New Roman" w:cs="Times New Roman"/>
          <w:sz w:val="24"/>
          <w:szCs w:val="24"/>
        </w:rPr>
        <w:t>For the second</w:t>
      </w:r>
      <w:r w:rsidR="00752C77">
        <w:rPr>
          <w:rFonts w:ascii="Times New Roman" w:hAnsi="Times New Roman" w:cs="Times New Roman"/>
          <w:sz w:val="24"/>
          <w:szCs w:val="24"/>
        </w:rPr>
        <w:t xml:space="preserve"> </w:t>
      </w:r>
      <w:r w:rsidR="0096235E">
        <w:rPr>
          <w:rFonts w:ascii="Times New Roman" w:hAnsi="Times New Roman" w:cs="Times New Roman"/>
          <w:sz w:val="24"/>
          <w:szCs w:val="24"/>
        </w:rPr>
        <w:t>sub-period there is no evidence of cointegration</w:t>
      </w:r>
      <w:r w:rsidR="006968D5">
        <w:rPr>
          <w:rFonts w:ascii="Times New Roman" w:hAnsi="Times New Roman" w:cs="Times New Roman"/>
          <w:sz w:val="24"/>
          <w:szCs w:val="24"/>
        </w:rPr>
        <w:t xml:space="preserve"> and </w:t>
      </w:r>
      <w:r w:rsidR="0000273E">
        <w:rPr>
          <w:rFonts w:ascii="Times New Roman" w:hAnsi="Times New Roman" w:cs="Times New Roman"/>
          <w:sz w:val="24"/>
          <w:szCs w:val="24"/>
        </w:rPr>
        <w:t>hence</w:t>
      </w:r>
      <w:r w:rsidR="006968D5">
        <w:rPr>
          <w:rFonts w:ascii="Times New Roman" w:hAnsi="Times New Roman" w:cs="Times New Roman"/>
          <w:sz w:val="24"/>
          <w:szCs w:val="24"/>
        </w:rPr>
        <w:t xml:space="preserve">, </w:t>
      </w:r>
      <w:r w:rsidR="0000273E">
        <w:rPr>
          <w:rFonts w:ascii="Times New Roman" w:hAnsi="Times New Roman" w:cs="Times New Roman"/>
          <w:sz w:val="24"/>
          <w:szCs w:val="24"/>
        </w:rPr>
        <w:t xml:space="preserve">in </w:t>
      </w:r>
      <w:r w:rsidR="006968D5">
        <w:rPr>
          <w:rFonts w:ascii="Times New Roman" w:hAnsi="Times New Roman" w:cs="Times New Roman"/>
          <w:sz w:val="24"/>
          <w:szCs w:val="24"/>
        </w:rPr>
        <w:t>compar</w:t>
      </w:r>
      <w:r w:rsidR="0000273E">
        <w:rPr>
          <w:rFonts w:ascii="Times New Roman" w:hAnsi="Times New Roman" w:cs="Times New Roman"/>
          <w:sz w:val="24"/>
          <w:szCs w:val="24"/>
        </w:rPr>
        <w:t xml:space="preserve">ison to </w:t>
      </w:r>
      <w:r w:rsidR="006968D5">
        <w:rPr>
          <w:rFonts w:ascii="Times New Roman" w:hAnsi="Times New Roman" w:cs="Times New Roman"/>
          <w:sz w:val="24"/>
          <w:szCs w:val="24"/>
        </w:rPr>
        <w:t>the first sub period, the disappearance of the common trend</w:t>
      </w:r>
      <w:r w:rsidR="0096235E">
        <w:rPr>
          <w:rFonts w:ascii="Times New Roman" w:hAnsi="Times New Roman" w:cs="Times New Roman"/>
          <w:sz w:val="24"/>
          <w:szCs w:val="24"/>
        </w:rPr>
        <w:t xml:space="preserve">. This is consistent with our view that </w:t>
      </w:r>
      <w:r w:rsidR="005343EE">
        <w:rPr>
          <w:rFonts w:ascii="Times New Roman" w:hAnsi="Times New Roman" w:cs="Times New Roman"/>
          <w:sz w:val="24"/>
          <w:szCs w:val="24"/>
        </w:rPr>
        <w:t xml:space="preserve">the </w:t>
      </w:r>
      <w:r w:rsidR="0096235E">
        <w:rPr>
          <w:rFonts w:ascii="Times New Roman" w:hAnsi="Times New Roman" w:cs="Times New Roman"/>
          <w:sz w:val="24"/>
          <w:szCs w:val="24"/>
        </w:rPr>
        <w:t xml:space="preserve">onset of the </w:t>
      </w:r>
      <w:r w:rsidR="0096235E">
        <w:rPr>
          <w:rFonts w:ascii="Times New Roman" w:hAnsi="Times New Roman" w:cs="Times New Roman"/>
          <w:sz w:val="24"/>
          <w:szCs w:val="24"/>
        </w:rPr>
        <w:lastRenderedPageBreak/>
        <w:t xml:space="preserve">crisis caused markets to move in different directions as idiosyncratic shocks became more important in moving markets. In particular, where markets are characterised by different levels of risk, then the effect of such shocks will lead to divergence. </w:t>
      </w:r>
      <w:r w:rsidR="000713D5">
        <w:rPr>
          <w:rFonts w:ascii="Times New Roman" w:hAnsi="Times New Roman" w:cs="Times New Roman"/>
          <w:sz w:val="24"/>
          <w:szCs w:val="24"/>
        </w:rPr>
        <w:t>For the full sample, unsurprisingly given the sub-sample results, there is no evidence of</w:t>
      </w:r>
      <w:r w:rsidR="00752C77">
        <w:rPr>
          <w:rFonts w:ascii="Times New Roman" w:hAnsi="Times New Roman" w:cs="Times New Roman"/>
          <w:sz w:val="24"/>
          <w:szCs w:val="24"/>
        </w:rPr>
        <w:t xml:space="preserve"> </w:t>
      </w:r>
      <w:r w:rsidR="000713D5">
        <w:rPr>
          <w:rFonts w:ascii="Times New Roman" w:hAnsi="Times New Roman" w:cs="Times New Roman"/>
          <w:sz w:val="24"/>
          <w:szCs w:val="24"/>
        </w:rPr>
        <w:t xml:space="preserve">cointegration. That is, where we have non-stationary behaviour in one sub-sample, this will cause the </w:t>
      </w:r>
      <w:r w:rsidRPr="00A47D41">
        <w:rPr>
          <w:rFonts w:ascii="Times New Roman" w:hAnsi="Times New Roman" w:cs="Times New Roman"/>
          <w:sz w:val="24"/>
          <w:szCs w:val="24"/>
        </w:rPr>
        <w:t xml:space="preserve">full sample </w:t>
      </w:r>
      <w:r w:rsidR="000713D5">
        <w:rPr>
          <w:rFonts w:ascii="Times New Roman" w:hAnsi="Times New Roman" w:cs="Times New Roman"/>
          <w:sz w:val="24"/>
          <w:szCs w:val="24"/>
        </w:rPr>
        <w:t xml:space="preserve">to also exhibit </w:t>
      </w:r>
      <w:r w:rsidR="00365DA6">
        <w:rPr>
          <w:rFonts w:ascii="Times New Roman" w:hAnsi="Times New Roman" w:cs="Times New Roman"/>
          <w:sz w:val="24"/>
          <w:szCs w:val="24"/>
        </w:rPr>
        <w:t>n</w:t>
      </w:r>
      <w:r w:rsidR="000713D5">
        <w:rPr>
          <w:rFonts w:ascii="Times New Roman" w:hAnsi="Times New Roman" w:cs="Times New Roman"/>
          <w:sz w:val="24"/>
          <w:szCs w:val="24"/>
        </w:rPr>
        <w:t>on-stationary behaviour.</w:t>
      </w:r>
      <w:r w:rsidR="00ED296B">
        <w:rPr>
          <w:rStyle w:val="FootnoteReference"/>
          <w:rFonts w:ascii="Times New Roman" w:hAnsi="Times New Roman" w:cs="Times New Roman"/>
          <w:sz w:val="24"/>
          <w:szCs w:val="24"/>
        </w:rPr>
        <w:footnoteReference w:id="12"/>
      </w:r>
      <w:r w:rsidR="000713D5">
        <w:rPr>
          <w:rFonts w:ascii="Times New Roman" w:hAnsi="Times New Roman" w:cs="Times New Roman"/>
          <w:sz w:val="24"/>
          <w:szCs w:val="24"/>
        </w:rPr>
        <w:t xml:space="preserve"> </w:t>
      </w:r>
    </w:p>
    <w:p w14:paraId="73B6C424" w14:textId="77777777" w:rsidR="004A4606" w:rsidRPr="00A47D41" w:rsidRDefault="004A4606" w:rsidP="00F03CE7">
      <w:pPr>
        <w:spacing w:after="0" w:line="480" w:lineRule="auto"/>
        <w:jc w:val="center"/>
        <w:rPr>
          <w:rFonts w:ascii="Times New Roman" w:hAnsi="Times New Roman" w:cs="Times New Roman"/>
          <w:sz w:val="24"/>
          <w:szCs w:val="24"/>
        </w:rPr>
      </w:pPr>
      <w:r w:rsidRPr="00A47D41">
        <w:rPr>
          <w:rFonts w:ascii="Times New Roman" w:hAnsi="Times New Roman" w:cs="Times New Roman"/>
          <w:sz w:val="24"/>
          <w:szCs w:val="24"/>
        </w:rPr>
        <w:t xml:space="preserve">[INSERT TABLES 4 </w:t>
      </w:r>
      <w:r w:rsidR="000E7A7B" w:rsidRPr="00A47D41">
        <w:rPr>
          <w:rFonts w:ascii="Times New Roman" w:hAnsi="Times New Roman" w:cs="Times New Roman"/>
          <w:sz w:val="24"/>
          <w:szCs w:val="24"/>
        </w:rPr>
        <w:t>AND</w:t>
      </w:r>
      <w:r w:rsidRPr="00A47D41">
        <w:rPr>
          <w:rFonts w:ascii="Times New Roman" w:hAnsi="Times New Roman" w:cs="Times New Roman"/>
          <w:sz w:val="24"/>
          <w:szCs w:val="24"/>
        </w:rPr>
        <w:t xml:space="preserve"> 5 HERE]</w:t>
      </w:r>
    </w:p>
    <w:p w14:paraId="458F947C" w14:textId="77777777" w:rsidR="004E7A7B" w:rsidRPr="00A47D41" w:rsidRDefault="004A4606" w:rsidP="00F03CE7">
      <w:pPr>
        <w:spacing w:after="0" w:line="480" w:lineRule="auto"/>
        <w:jc w:val="center"/>
        <w:rPr>
          <w:rFonts w:ascii="Times New Roman" w:hAnsi="Times New Roman" w:cs="Times New Roman"/>
          <w:sz w:val="24"/>
          <w:szCs w:val="24"/>
        </w:rPr>
      </w:pPr>
      <w:r w:rsidRPr="00A47D41">
        <w:rPr>
          <w:rFonts w:ascii="Times New Roman" w:hAnsi="Times New Roman" w:cs="Times New Roman"/>
          <w:sz w:val="24"/>
          <w:szCs w:val="24"/>
        </w:rPr>
        <w:t xml:space="preserve"> </w:t>
      </w:r>
      <w:r w:rsidR="004E7A7B" w:rsidRPr="00A47D41">
        <w:rPr>
          <w:rFonts w:ascii="Times New Roman" w:hAnsi="Times New Roman" w:cs="Times New Roman"/>
          <w:sz w:val="24"/>
          <w:szCs w:val="24"/>
        </w:rPr>
        <w:t xml:space="preserve">[INSERT TABLE </w:t>
      </w:r>
      <w:r w:rsidR="00FD3CA7" w:rsidRPr="00A47D41">
        <w:rPr>
          <w:rFonts w:ascii="Times New Roman" w:hAnsi="Times New Roman" w:cs="Times New Roman"/>
          <w:sz w:val="24"/>
          <w:szCs w:val="24"/>
        </w:rPr>
        <w:t>6</w:t>
      </w:r>
      <w:r w:rsidR="004E7A7B" w:rsidRPr="00A47D41">
        <w:rPr>
          <w:rFonts w:ascii="Times New Roman" w:hAnsi="Times New Roman" w:cs="Times New Roman"/>
          <w:sz w:val="24"/>
          <w:szCs w:val="24"/>
        </w:rPr>
        <w:t xml:space="preserve"> HERE]</w:t>
      </w:r>
    </w:p>
    <w:p w14:paraId="3040392E" w14:textId="77777777" w:rsidR="004E7A7B" w:rsidRDefault="004E7A7B" w:rsidP="00F03CE7">
      <w:pPr>
        <w:spacing w:after="0" w:line="480" w:lineRule="auto"/>
        <w:jc w:val="center"/>
        <w:rPr>
          <w:rFonts w:ascii="Times New Roman" w:hAnsi="Times New Roman" w:cs="Times New Roman"/>
          <w:sz w:val="24"/>
          <w:szCs w:val="24"/>
        </w:rPr>
      </w:pPr>
      <w:r w:rsidRPr="00A47D41">
        <w:rPr>
          <w:rFonts w:ascii="Times New Roman" w:hAnsi="Times New Roman" w:cs="Times New Roman"/>
          <w:sz w:val="24"/>
          <w:szCs w:val="24"/>
        </w:rPr>
        <w:t>[INSERT FIGURE 1 HERE]</w:t>
      </w:r>
    </w:p>
    <w:p w14:paraId="07751606" w14:textId="77777777" w:rsidR="00522494" w:rsidRPr="00A47D41" w:rsidRDefault="00522494" w:rsidP="00F03CE7">
      <w:pPr>
        <w:spacing w:after="0" w:line="480" w:lineRule="auto"/>
        <w:jc w:val="center"/>
        <w:rPr>
          <w:rFonts w:ascii="Times New Roman" w:hAnsi="Times New Roman" w:cs="Times New Roman"/>
          <w:sz w:val="24"/>
          <w:szCs w:val="24"/>
        </w:rPr>
      </w:pPr>
    </w:p>
    <w:p w14:paraId="2901B94D" w14:textId="77777777" w:rsidR="00983014" w:rsidRPr="00A47D41" w:rsidRDefault="00983014" w:rsidP="00F03CE7">
      <w:pPr>
        <w:spacing w:after="0" w:line="480" w:lineRule="auto"/>
        <w:jc w:val="both"/>
        <w:rPr>
          <w:rFonts w:ascii="Times New Roman" w:hAnsi="Times New Roman" w:cs="Times New Roman"/>
          <w:i/>
          <w:sz w:val="24"/>
          <w:szCs w:val="24"/>
        </w:rPr>
      </w:pPr>
      <w:r w:rsidRPr="00A47D41">
        <w:rPr>
          <w:rFonts w:ascii="Times New Roman" w:hAnsi="Times New Roman" w:cs="Times New Roman"/>
          <w:i/>
          <w:sz w:val="24"/>
          <w:szCs w:val="24"/>
        </w:rPr>
        <w:t>5.2 Granger causality test</w:t>
      </w:r>
    </w:p>
    <w:p w14:paraId="0C8D2492" w14:textId="6BC9C96D" w:rsidR="00983014" w:rsidRDefault="00983014" w:rsidP="00F03CE7">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 xml:space="preserve">The </w:t>
      </w:r>
      <w:r w:rsidR="00BB0BB6" w:rsidRPr="00A47D41">
        <w:rPr>
          <w:rFonts w:ascii="Times New Roman" w:hAnsi="Times New Roman" w:cs="Times New Roman"/>
          <w:sz w:val="24"/>
          <w:szCs w:val="24"/>
        </w:rPr>
        <w:t>results of the Granger causality test, for each of the three portfolios are</w:t>
      </w:r>
      <w:r w:rsidRPr="00A47D41">
        <w:rPr>
          <w:rFonts w:ascii="Times New Roman" w:hAnsi="Times New Roman" w:cs="Times New Roman"/>
          <w:sz w:val="24"/>
          <w:szCs w:val="24"/>
        </w:rPr>
        <w:t xml:space="preserve"> presen</w:t>
      </w:r>
      <w:r w:rsidR="00710458" w:rsidRPr="00A47D41">
        <w:rPr>
          <w:rFonts w:ascii="Times New Roman" w:hAnsi="Times New Roman" w:cs="Times New Roman"/>
          <w:sz w:val="24"/>
          <w:szCs w:val="24"/>
        </w:rPr>
        <w:t xml:space="preserve">ted in Table </w:t>
      </w:r>
      <w:r w:rsidR="00352858">
        <w:rPr>
          <w:rFonts w:ascii="Times New Roman" w:hAnsi="Times New Roman" w:cs="Times New Roman"/>
          <w:sz w:val="24"/>
          <w:szCs w:val="24"/>
        </w:rPr>
        <w:t>7</w:t>
      </w:r>
      <w:r w:rsidR="00710458" w:rsidRPr="00A47D41">
        <w:rPr>
          <w:rFonts w:ascii="Times New Roman" w:hAnsi="Times New Roman" w:cs="Times New Roman"/>
          <w:sz w:val="24"/>
          <w:szCs w:val="24"/>
        </w:rPr>
        <w:t xml:space="preserve">. </w:t>
      </w:r>
      <w:r w:rsidR="00CA0B4A">
        <w:rPr>
          <w:rFonts w:ascii="Times New Roman" w:hAnsi="Times New Roman" w:cs="Times New Roman"/>
          <w:sz w:val="24"/>
          <w:szCs w:val="24"/>
        </w:rPr>
        <w:t>Again, t</w:t>
      </w:r>
      <w:r w:rsidR="00710458" w:rsidRPr="00A47D41">
        <w:rPr>
          <w:rFonts w:ascii="Times New Roman" w:hAnsi="Times New Roman" w:cs="Times New Roman"/>
          <w:sz w:val="24"/>
          <w:szCs w:val="24"/>
        </w:rPr>
        <w:t>hese results reveal</w:t>
      </w:r>
      <w:r w:rsidRPr="00A47D41">
        <w:rPr>
          <w:rFonts w:ascii="Times New Roman" w:hAnsi="Times New Roman" w:cs="Times New Roman"/>
          <w:sz w:val="24"/>
          <w:szCs w:val="24"/>
        </w:rPr>
        <w:t xml:space="preserve"> an interesting pattern across the two sub-samples. Taking the first sub-samp</w:t>
      </w:r>
      <w:r w:rsidR="008746DB" w:rsidRPr="00A47D41">
        <w:rPr>
          <w:rFonts w:ascii="Times New Roman" w:hAnsi="Times New Roman" w:cs="Times New Roman"/>
          <w:sz w:val="24"/>
          <w:szCs w:val="24"/>
        </w:rPr>
        <w:t xml:space="preserve">le, which is prior to the </w:t>
      </w:r>
      <w:r w:rsidR="00FA2677">
        <w:rPr>
          <w:rFonts w:ascii="Times New Roman" w:hAnsi="Times New Roman" w:cs="Times New Roman"/>
          <w:sz w:val="24"/>
          <w:szCs w:val="24"/>
        </w:rPr>
        <w:t xml:space="preserve">fall of </w:t>
      </w:r>
      <w:r w:rsidR="004070A3">
        <w:rPr>
          <w:rFonts w:ascii="Times New Roman" w:hAnsi="Times New Roman" w:cs="Times New Roman"/>
          <w:sz w:val="24"/>
          <w:szCs w:val="24"/>
        </w:rPr>
        <w:t>Lehman</w:t>
      </w:r>
      <w:r w:rsidR="00A10C66">
        <w:rPr>
          <w:rFonts w:ascii="Times New Roman" w:hAnsi="Times New Roman" w:cs="Times New Roman"/>
          <w:sz w:val="24"/>
          <w:szCs w:val="24"/>
        </w:rPr>
        <w:t>’s</w:t>
      </w:r>
      <w:r w:rsidR="008434B0">
        <w:rPr>
          <w:rFonts w:ascii="Times New Roman" w:hAnsi="Times New Roman" w:cs="Times New Roman"/>
          <w:sz w:val="24"/>
          <w:szCs w:val="24"/>
        </w:rPr>
        <w:t xml:space="preserve">, </w:t>
      </w:r>
      <w:r w:rsidR="006968D5">
        <w:rPr>
          <w:rFonts w:ascii="Times New Roman" w:hAnsi="Times New Roman" w:cs="Times New Roman"/>
          <w:sz w:val="24"/>
          <w:szCs w:val="24"/>
        </w:rPr>
        <w:t xml:space="preserve">the </w:t>
      </w:r>
      <w:r w:rsidR="008746DB" w:rsidRPr="00A47D41">
        <w:rPr>
          <w:rFonts w:ascii="Times New Roman" w:hAnsi="Times New Roman" w:cs="Times New Roman"/>
          <w:sz w:val="24"/>
          <w:szCs w:val="24"/>
        </w:rPr>
        <w:t xml:space="preserve">short </w:t>
      </w:r>
      <w:r w:rsidRPr="00A47D41">
        <w:rPr>
          <w:rFonts w:ascii="Times New Roman" w:hAnsi="Times New Roman" w:cs="Times New Roman"/>
          <w:sz w:val="24"/>
          <w:szCs w:val="24"/>
        </w:rPr>
        <w:t>sellin</w:t>
      </w:r>
      <w:r w:rsidR="004D3EAD" w:rsidRPr="00A47D41">
        <w:rPr>
          <w:rFonts w:ascii="Times New Roman" w:hAnsi="Times New Roman" w:cs="Times New Roman"/>
          <w:sz w:val="24"/>
          <w:szCs w:val="24"/>
        </w:rPr>
        <w:t>g ban</w:t>
      </w:r>
      <w:r w:rsidR="008434B0">
        <w:rPr>
          <w:rFonts w:ascii="Times New Roman" w:hAnsi="Times New Roman" w:cs="Times New Roman"/>
          <w:sz w:val="24"/>
          <w:szCs w:val="24"/>
        </w:rPr>
        <w:t xml:space="preserve"> and related events</w:t>
      </w:r>
      <w:r w:rsidR="004D3EAD" w:rsidRPr="00A47D41">
        <w:rPr>
          <w:rFonts w:ascii="Times New Roman" w:hAnsi="Times New Roman" w:cs="Times New Roman"/>
          <w:sz w:val="24"/>
          <w:szCs w:val="24"/>
        </w:rPr>
        <w:t>, we can see that the high-</w:t>
      </w:r>
      <w:r w:rsidRPr="00A47D41">
        <w:rPr>
          <w:rFonts w:ascii="Times New Roman" w:hAnsi="Times New Roman" w:cs="Times New Roman"/>
          <w:sz w:val="24"/>
          <w:szCs w:val="24"/>
        </w:rPr>
        <w:t>risk group of markets do not Gr</w:t>
      </w:r>
      <w:r w:rsidR="008635E5">
        <w:rPr>
          <w:rFonts w:ascii="Times New Roman" w:hAnsi="Times New Roman" w:cs="Times New Roman"/>
          <w:sz w:val="24"/>
          <w:szCs w:val="24"/>
        </w:rPr>
        <w:t>anger cause movement in the low-</w:t>
      </w:r>
      <w:r w:rsidRPr="00A47D41">
        <w:rPr>
          <w:rFonts w:ascii="Times New Roman" w:hAnsi="Times New Roman" w:cs="Times New Roman"/>
          <w:sz w:val="24"/>
          <w:szCs w:val="24"/>
        </w:rPr>
        <w:t xml:space="preserve">risk group of markets or the </w:t>
      </w:r>
      <w:r w:rsidR="006968D5">
        <w:rPr>
          <w:rFonts w:ascii="Times New Roman" w:hAnsi="Times New Roman" w:cs="Times New Roman"/>
          <w:sz w:val="24"/>
          <w:szCs w:val="24"/>
        </w:rPr>
        <w:t>global</w:t>
      </w:r>
      <w:r w:rsidR="006968D5" w:rsidRPr="00A47D41">
        <w:rPr>
          <w:rFonts w:ascii="Times New Roman" w:hAnsi="Times New Roman" w:cs="Times New Roman"/>
          <w:sz w:val="24"/>
          <w:szCs w:val="24"/>
        </w:rPr>
        <w:t xml:space="preserve"> </w:t>
      </w:r>
      <w:r w:rsidRPr="00A47D41">
        <w:rPr>
          <w:rFonts w:ascii="Times New Roman" w:hAnsi="Times New Roman" w:cs="Times New Roman"/>
          <w:sz w:val="24"/>
          <w:szCs w:val="24"/>
        </w:rPr>
        <w:t>market. However, i</w:t>
      </w:r>
      <w:r w:rsidR="00710458" w:rsidRPr="00A47D41">
        <w:rPr>
          <w:rFonts w:ascii="Times New Roman" w:hAnsi="Times New Roman" w:cs="Times New Roman"/>
          <w:sz w:val="24"/>
          <w:szCs w:val="24"/>
        </w:rPr>
        <w:t>n the post-</w:t>
      </w:r>
      <w:r w:rsidR="00FA2677">
        <w:rPr>
          <w:rFonts w:ascii="Times New Roman" w:hAnsi="Times New Roman" w:cs="Times New Roman"/>
          <w:sz w:val="24"/>
          <w:szCs w:val="24"/>
        </w:rPr>
        <w:t xml:space="preserve">Lehman </w:t>
      </w:r>
      <w:r w:rsidR="00710458" w:rsidRPr="00A47D41">
        <w:rPr>
          <w:rFonts w:ascii="Times New Roman" w:hAnsi="Times New Roman" w:cs="Times New Roman"/>
          <w:sz w:val="24"/>
          <w:szCs w:val="24"/>
        </w:rPr>
        <w:t>period there is</w:t>
      </w:r>
      <w:r w:rsidRPr="00A47D41">
        <w:rPr>
          <w:rFonts w:ascii="Times New Roman" w:hAnsi="Times New Roman" w:cs="Times New Roman"/>
          <w:sz w:val="24"/>
          <w:szCs w:val="24"/>
        </w:rPr>
        <w:t xml:space="preserve"> Granger causality running from </w:t>
      </w:r>
      <w:r w:rsidR="00710458" w:rsidRPr="00A47D41">
        <w:rPr>
          <w:rFonts w:ascii="Times New Roman" w:hAnsi="Times New Roman" w:cs="Times New Roman"/>
          <w:sz w:val="24"/>
          <w:szCs w:val="24"/>
        </w:rPr>
        <w:t xml:space="preserve">the </w:t>
      </w:r>
      <w:r w:rsidR="004D3EAD" w:rsidRPr="00A47D41">
        <w:rPr>
          <w:rFonts w:ascii="Times New Roman" w:hAnsi="Times New Roman" w:cs="Times New Roman"/>
          <w:sz w:val="24"/>
          <w:szCs w:val="24"/>
        </w:rPr>
        <w:t>high-</w:t>
      </w:r>
      <w:r w:rsidRPr="00A47D41">
        <w:rPr>
          <w:rFonts w:ascii="Times New Roman" w:hAnsi="Times New Roman" w:cs="Times New Roman"/>
          <w:sz w:val="24"/>
          <w:szCs w:val="24"/>
        </w:rPr>
        <w:t xml:space="preserve">risk </w:t>
      </w:r>
      <w:r w:rsidR="00710458" w:rsidRPr="00A47D41">
        <w:rPr>
          <w:rFonts w:ascii="Times New Roman" w:hAnsi="Times New Roman" w:cs="Times New Roman"/>
          <w:sz w:val="24"/>
          <w:szCs w:val="24"/>
        </w:rPr>
        <w:t xml:space="preserve">group </w:t>
      </w:r>
      <w:r w:rsidR="008635E5">
        <w:rPr>
          <w:rFonts w:ascii="Times New Roman" w:hAnsi="Times New Roman" w:cs="Times New Roman"/>
          <w:sz w:val="24"/>
          <w:szCs w:val="24"/>
        </w:rPr>
        <w:t>to both the low-</w:t>
      </w:r>
      <w:r w:rsidRPr="00A47D41">
        <w:rPr>
          <w:rFonts w:ascii="Times New Roman" w:hAnsi="Times New Roman" w:cs="Times New Roman"/>
          <w:sz w:val="24"/>
          <w:szCs w:val="24"/>
        </w:rPr>
        <w:t xml:space="preserve">risk </w:t>
      </w:r>
      <w:r w:rsidR="00710458" w:rsidRPr="00A47D41">
        <w:rPr>
          <w:rFonts w:ascii="Times New Roman" w:hAnsi="Times New Roman" w:cs="Times New Roman"/>
          <w:sz w:val="24"/>
          <w:szCs w:val="24"/>
        </w:rPr>
        <w:t xml:space="preserve">group </w:t>
      </w:r>
      <w:r w:rsidRPr="00A47D41">
        <w:rPr>
          <w:rFonts w:ascii="Times New Roman" w:hAnsi="Times New Roman" w:cs="Times New Roman"/>
          <w:sz w:val="24"/>
          <w:szCs w:val="24"/>
        </w:rPr>
        <w:t>and world markets. In contrast, there is</w:t>
      </w:r>
      <w:r w:rsidR="008635E5">
        <w:rPr>
          <w:rFonts w:ascii="Times New Roman" w:hAnsi="Times New Roman" w:cs="Times New Roman"/>
          <w:sz w:val="24"/>
          <w:szCs w:val="24"/>
        </w:rPr>
        <w:t xml:space="preserve"> causality running from the low-</w:t>
      </w:r>
      <w:r w:rsidRPr="00A47D41">
        <w:rPr>
          <w:rFonts w:ascii="Times New Roman" w:hAnsi="Times New Roman" w:cs="Times New Roman"/>
          <w:sz w:val="24"/>
          <w:szCs w:val="24"/>
        </w:rPr>
        <w:t>risk group a</w:t>
      </w:r>
      <w:r w:rsidR="004D3EAD" w:rsidRPr="00A47D41">
        <w:rPr>
          <w:rFonts w:ascii="Times New Roman" w:hAnsi="Times New Roman" w:cs="Times New Roman"/>
          <w:sz w:val="24"/>
          <w:szCs w:val="24"/>
        </w:rPr>
        <w:t>nd the world market to the high-</w:t>
      </w:r>
      <w:r w:rsidRPr="00A47D41">
        <w:rPr>
          <w:rFonts w:ascii="Times New Roman" w:hAnsi="Times New Roman" w:cs="Times New Roman"/>
          <w:sz w:val="24"/>
          <w:szCs w:val="24"/>
        </w:rPr>
        <w:t>risk group in both sub-periods</w:t>
      </w:r>
      <w:r w:rsidR="006968D5">
        <w:rPr>
          <w:rFonts w:ascii="Times New Roman" w:hAnsi="Times New Roman" w:cs="Times New Roman"/>
          <w:sz w:val="24"/>
          <w:szCs w:val="24"/>
        </w:rPr>
        <w:t>. Moreover</w:t>
      </w:r>
      <w:r w:rsidR="00352858">
        <w:rPr>
          <w:rFonts w:ascii="Times New Roman" w:hAnsi="Times New Roman" w:cs="Times New Roman"/>
          <w:sz w:val="24"/>
          <w:szCs w:val="24"/>
        </w:rPr>
        <w:t>, we</w:t>
      </w:r>
      <w:r w:rsidR="006968D5">
        <w:rPr>
          <w:rFonts w:ascii="Times New Roman" w:hAnsi="Times New Roman" w:cs="Times New Roman"/>
          <w:sz w:val="24"/>
          <w:szCs w:val="24"/>
        </w:rPr>
        <w:t xml:space="preserve"> identify </w:t>
      </w:r>
      <w:r w:rsidRPr="00A47D41">
        <w:rPr>
          <w:rFonts w:ascii="Times New Roman" w:hAnsi="Times New Roman" w:cs="Times New Roman"/>
          <w:sz w:val="24"/>
          <w:szCs w:val="24"/>
        </w:rPr>
        <w:t>bi-direct</w:t>
      </w:r>
      <w:r w:rsidR="008635E5">
        <w:rPr>
          <w:rFonts w:ascii="Times New Roman" w:hAnsi="Times New Roman" w:cs="Times New Roman"/>
          <w:sz w:val="24"/>
          <w:szCs w:val="24"/>
        </w:rPr>
        <w:t>ional causality between the low-</w:t>
      </w:r>
      <w:r w:rsidRPr="00A47D41">
        <w:rPr>
          <w:rFonts w:ascii="Times New Roman" w:hAnsi="Times New Roman" w:cs="Times New Roman"/>
          <w:sz w:val="24"/>
          <w:szCs w:val="24"/>
        </w:rPr>
        <w:t>risk group and the world market in both periods</w:t>
      </w:r>
      <w:r w:rsidR="006968D5">
        <w:rPr>
          <w:rFonts w:ascii="Times New Roman" w:hAnsi="Times New Roman" w:cs="Times New Roman"/>
          <w:sz w:val="24"/>
          <w:szCs w:val="24"/>
        </w:rPr>
        <w:t xml:space="preserve"> but only uni-directional </w:t>
      </w:r>
      <w:r w:rsidR="006968D5">
        <w:rPr>
          <w:rFonts w:ascii="Times New Roman" w:hAnsi="Times New Roman" w:cs="Times New Roman"/>
          <w:sz w:val="24"/>
          <w:szCs w:val="24"/>
        </w:rPr>
        <w:lastRenderedPageBreak/>
        <w:t>causality between the global and high-risk portfolios</w:t>
      </w:r>
      <w:r w:rsidR="00AB6D27">
        <w:rPr>
          <w:rFonts w:ascii="Times New Roman" w:hAnsi="Times New Roman" w:cs="Times New Roman"/>
          <w:sz w:val="24"/>
          <w:szCs w:val="24"/>
        </w:rPr>
        <w:t xml:space="preserve"> as well as the low- and high-risk groups</w:t>
      </w:r>
      <w:r w:rsidR="006968D5">
        <w:rPr>
          <w:rFonts w:ascii="Times New Roman" w:hAnsi="Times New Roman" w:cs="Times New Roman"/>
          <w:sz w:val="24"/>
          <w:szCs w:val="24"/>
        </w:rPr>
        <w:t xml:space="preserve"> in some of the periods</w:t>
      </w:r>
      <w:r w:rsidRPr="00A47D41">
        <w:rPr>
          <w:rFonts w:ascii="Times New Roman" w:hAnsi="Times New Roman" w:cs="Times New Roman"/>
          <w:sz w:val="24"/>
          <w:szCs w:val="24"/>
        </w:rPr>
        <w:t>.</w:t>
      </w:r>
    </w:p>
    <w:p w14:paraId="6CCA6BE7" w14:textId="11C5CC92" w:rsidR="00CA0B4A" w:rsidRPr="00A47D41" w:rsidRDefault="00983014" w:rsidP="00F03CE7">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ab/>
      </w:r>
      <w:r w:rsidR="00CA0B4A">
        <w:rPr>
          <w:rFonts w:ascii="Times New Roman" w:hAnsi="Times New Roman" w:cs="Times New Roman"/>
          <w:sz w:val="24"/>
          <w:szCs w:val="24"/>
        </w:rPr>
        <w:t>As with the cointegration results, t</w:t>
      </w:r>
      <w:r w:rsidRPr="00A47D41">
        <w:rPr>
          <w:rFonts w:ascii="Times New Roman" w:hAnsi="Times New Roman" w:cs="Times New Roman"/>
          <w:sz w:val="24"/>
          <w:szCs w:val="24"/>
        </w:rPr>
        <w:t>hese results sugg</w:t>
      </w:r>
      <w:r w:rsidR="008746DB" w:rsidRPr="00A47D41">
        <w:rPr>
          <w:rFonts w:ascii="Times New Roman" w:hAnsi="Times New Roman" w:cs="Times New Roman"/>
          <w:sz w:val="24"/>
          <w:szCs w:val="24"/>
        </w:rPr>
        <w:t>est</w:t>
      </w:r>
      <w:r w:rsidR="008434B0">
        <w:rPr>
          <w:rFonts w:ascii="Times New Roman" w:hAnsi="Times New Roman" w:cs="Times New Roman"/>
          <w:sz w:val="24"/>
          <w:szCs w:val="24"/>
        </w:rPr>
        <w:t xml:space="preserve"> that</w:t>
      </w:r>
      <w:r w:rsidR="00614136" w:rsidRPr="00A47D41">
        <w:rPr>
          <w:rFonts w:ascii="Times New Roman" w:hAnsi="Times New Roman" w:cs="Times New Roman"/>
          <w:sz w:val="24"/>
          <w:szCs w:val="24"/>
        </w:rPr>
        <w:t>,</w:t>
      </w:r>
      <w:r w:rsidR="008746DB" w:rsidRPr="00A47D41">
        <w:rPr>
          <w:rFonts w:ascii="Times New Roman" w:hAnsi="Times New Roman" w:cs="Times New Roman"/>
          <w:sz w:val="24"/>
          <w:szCs w:val="24"/>
        </w:rPr>
        <w:t xml:space="preserve"> in the context of the </w:t>
      </w:r>
      <w:r w:rsidR="00FA2677">
        <w:rPr>
          <w:rFonts w:ascii="Times New Roman" w:hAnsi="Times New Roman" w:cs="Times New Roman"/>
          <w:sz w:val="24"/>
          <w:szCs w:val="24"/>
        </w:rPr>
        <w:t>crisis</w:t>
      </w:r>
      <w:r w:rsidR="005F120A">
        <w:rPr>
          <w:rFonts w:ascii="Times New Roman" w:hAnsi="Times New Roman" w:cs="Times New Roman"/>
          <w:sz w:val="24"/>
          <w:szCs w:val="24"/>
        </w:rPr>
        <w:t xml:space="preserve">, </w:t>
      </w:r>
      <w:r w:rsidR="006968D5">
        <w:rPr>
          <w:rFonts w:ascii="Times New Roman" w:hAnsi="Times New Roman" w:cs="Times New Roman"/>
          <w:sz w:val="24"/>
          <w:szCs w:val="24"/>
        </w:rPr>
        <w:t xml:space="preserve">both the dynamics and directions of </w:t>
      </w:r>
      <w:r w:rsidRPr="00A47D41">
        <w:rPr>
          <w:rFonts w:ascii="Times New Roman" w:hAnsi="Times New Roman" w:cs="Times New Roman"/>
          <w:sz w:val="24"/>
          <w:szCs w:val="24"/>
        </w:rPr>
        <w:t>the flow of information between marke</w:t>
      </w:r>
      <w:r w:rsidR="00710458" w:rsidRPr="00A47D41">
        <w:rPr>
          <w:rFonts w:ascii="Times New Roman" w:hAnsi="Times New Roman" w:cs="Times New Roman"/>
          <w:sz w:val="24"/>
          <w:szCs w:val="24"/>
        </w:rPr>
        <w:t>ts has change</w:t>
      </w:r>
      <w:r w:rsidR="005343EE">
        <w:rPr>
          <w:rFonts w:ascii="Times New Roman" w:hAnsi="Times New Roman" w:cs="Times New Roman"/>
          <w:sz w:val="24"/>
          <w:szCs w:val="24"/>
        </w:rPr>
        <w:t>d</w:t>
      </w:r>
      <w:r w:rsidR="00710458" w:rsidRPr="00A47D41">
        <w:rPr>
          <w:rFonts w:ascii="Times New Roman" w:hAnsi="Times New Roman" w:cs="Times New Roman"/>
          <w:sz w:val="24"/>
          <w:szCs w:val="24"/>
        </w:rPr>
        <w:t xml:space="preserve">. A possible explanation for this is that following the </w:t>
      </w:r>
      <w:r w:rsidR="008434B0">
        <w:rPr>
          <w:rFonts w:ascii="Times New Roman" w:hAnsi="Times New Roman" w:cs="Times New Roman"/>
          <w:sz w:val="24"/>
          <w:szCs w:val="24"/>
        </w:rPr>
        <w:t>start of the crisis</w:t>
      </w:r>
      <w:r w:rsidR="00A47D41" w:rsidRPr="00A47D41">
        <w:rPr>
          <w:rFonts w:ascii="Times New Roman" w:hAnsi="Times New Roman" w:cs="Times New Roman"/>
          <w:sz w:val="24"/>
          <w:szCs w:val="24"/>
        </w:rPr>
        <w:t xml:space="preserve">, </w:t>
      </w:r>
      <w:r w:rsidR="008635E5">
        <w:rPr>
          <w:rFonts w:ascii="Times New Roman" w:hAnsi="Times New Roman" w:cs="Times New Roman"/>
          <w:sz w:val="24"/>
          <w:szCs w:val="24"/>
        </w:rPr>
        <w:t xml:space="preserve">investors </w:t>
      </w:r>
      <w:r w:rsidR="00710458" w:rsidRPr="00A47D41">
        <w:rPr>
          <w:rFonts w:ascii="Times New Roman" w:hAnsi="Times New Roman" w:cs="Times New Roman"/>
          <w:sz w:val="24"/>
          <w:szCs w:val="24"/>
        </w:rPr>
        <w:t xml:space="preserve">have </w:t>
      </w:r>
      <w:r w:rsidR="008434B0">
        <w:rPr>
          <w:rFonts w:ascii="Times New Roman" w:hAnsi="Times New Roman" w:cs="Times New Roman"/>
          <w:sz w:val="24"/>
          <w:szCs w:val="24"/>
        </w:rPr>
        <w:t xml:space="preserve">sought to reduce the risk of their portfolios, in particular by selling any assets associated with these high risk markets. More generally, investors would become more sensitive </w:t>
      </w:r>
      <w:r w:rsidR="00710458" w:rsidRPr="00A47D41">
        <w:rPr>
          <w:rFonts w:ascii="Times New Roman" w:hAnsi="Times New Roman" w:cs="Times New Roman"/>
          <w:sz w:val="24"/>
          <w:szCs w:val="24"/>
        </w:rPr>
        <w:t>to price movements</w:t>
      </w:r>
      <w:r w:rsidR="008434B0">
        <w:rPr>
          <w:rFonts w:ascii="Times New Roman" w:hAnsi="Times New Roman" w:cs="Times New Roman"/>
          <w:sz w:val="24"/>
          <w:szCs w:val="24"/>
        </w:rPr>
        <w:t xml:space="preserve"> in these markets</w:t>
      </w:r>
      <w:r w:rsidR="00710458" w:rsidRPr="00A47D41">
        <w:rPr>
          <w:rFonts w:ascii="Times New Roman" w:hAnsi="Times New Roman" w:cs="Times New Roman"/>
          <w:sz w:val="24"/>
          <w:szCs w:val="24"/>
        </w:rPr>
        <w:t xml:space="preserve">. So, </w:t>
      </w:r>
      <w:r w:rsidR="004D3EAD" w:rsidRPr="00A47D41">
        <w:rPr>
          <w:rFonts w:ascii="Times New Roman" w:hAnsi="Times New Roman" w:cs="Times New Roman"/>
          <w:sz w:val="24"/>
          <w:szCs w:val="24"/>
        </w:rPr>
        <w:t>information from high-</w:t>
      </w:r>
      <w:r w:rsidR="00B17FEB" w:rsidRPr="00A47D41">
        <w:rPr>
          <w:rFonts w:ascii="Times New Roman" w:hAnsi="Times New Roman" w:cs="Times New Roman"/>
          <w:sz w:val="24"/>
          <w:szCs w:val="24"/>
        </w:rPr>
        <w:t>risk markets becomes important in dr</w:t>
      </w:r>
      <w:r w:rsidR="008635E5">
        <w:rPr>
          <w:rFonts w:ascii="Times New Roman" w:hAnsi="Times New Roman" w:cs="Times New Roman"/>
          <w:sz w:val="24"/>
          <w:szCs w:val="24"/>
        </w:rPr>
        <w:t>iving price changes in both low-</w:t>
      </w:r>
      <w:r w:rsidR="00B17FEB" w:rsidRPr="00A47D41">
        <w:rPr>
          <w:rFonts w:ascii="Times New Roman" w:hAnsi="Times New Roman" w:cs="Times New Roman"/>
          <w:sz w:val="24"/>
          <w:szCs w:val="24"/>
        </w:rPr>
        <w:t xml:space="preserve">risk markets and the rest of the </w:t>
      </w:r>
      <w:r w:rsidR="00006B71">
        <w:rPr>
          <w:rFonts w:ascii="Times New Roman" w:hAnsi="Times New Roman" w:cs="Times New Roman"/>
          <w:sz w:val="24"/>
          <w:szCs w:val="24"/>
        </w:rPr>
        <w:t>w</w:t>
      </w:r>
      <w:r w:rsidR="00B17FEB" w:rsidRPr="00A47D41">
        <w:rPr>
          <w:rFonts w:ascii="Times New Roman" w:hAnsi="Times New Roman" w:cs="Times New Roman"/>
          <w:sz w:val="24"/>
          <w:szCs w:val="24"/>
        </w:rPr>
        <w:t>orld.</w:t>
      </w:r>
      <w:r w:rsidR="00CA0B4A">
        <w:rPr>
          <w:rFonts w:ascii="Times New Roman" w:hAnsi="Times New Roman" w:cs="Times New Roman"/>
          <w:sz w:val="24"/>
          <w:szCs w:val="24"/>
        </w:rPr>
        <w:t xml:space="preserve"> This again highlights the role of idiosyncratic information perhaps becoming more important in the crisis period. Prior to the crisis, when global information dominates we see Granger causality running from the world portfolio and low risk markets to high risk markets</w:t>
      </w:r>
      <w:r w:rsidR="007952DE">
        <w:rPr>
          <w:rFonts w:ascii="Times New Roman" w:hAnsi="Times New Roman" w:cs="Times New Roman"/>
          <w:sz w:val="24"/>
          <w:szCs w:val="24"/>
        </w:rPr>
        <w:t>. However, during the crisis, information from high risk markets spill</w:t>
      </w:r>
      <w:r w:rsidR="00327152">
        <w:rPr>
          <w:rFonts w:ascii="Times New Roman" w:hAnsi="Times New Roman" w:cs="Times New Roman"/>
          <w:sz w:val="24"/>
          <w:szCs w:val="24"/>
        </w:rPr>
        <w:t>s</w:t>
      </w:r>
      <w:r w:rsidR="00352858">
        <w:rPr>
          <w:rFonts w:ascii="Times New Roman" w:hAnsi="Times New Roman" w:cs="Times New Roman"/>
          <w:sz w:val="24"/>
          <w:szCs w:val="24"/>
        </w:rPr>
        <w:t xml:space="preserve"> </w:t>
      </w:r>
      <w:r w:rsidR="007952DE">
        <w:rPr>
          <w:rFonts w:ascii="Times New Roman" w:hAnsi="Times New Roman" w:cs="Times New Roman"/>
          <w:sz w:val="24"/>
          <w:szCs w:val="24"/>
        </w:rPr>
        <w:t>over to other markets.</w:t>
      </w:r>
      <w:r w:rsidR="00006B71">
        <w:rPr>
          <w:rFonts w:ascii="Times New Roman" w:hAnsi="Times New Roman" w:cs="Times New Roman"/>
          <w:sz w:val="24"/>
          <w:szCs w:val="24"/>
        </w:rPr>
        <w:t xml:space="preserve"> </w:t>
      </w:r>
    </w:p>
    <w:p w14:paraId="6FE6D775" w14:textId="79012575" w:rsidR="004E3565" w:rsidRPr="00A47D41" w:rsidRDefault="004E3565" w:rsidP="00F03CE7">
      <w:pPr>
        <w:spacing w:after="0" w:line="480" w:lineRule="auto"/>
        <w:jc w:val="center"/>
        <w:rPr>
          <w:rFonts w:ascii="Times New Roman" w:hAnsi="Times New Roman" w:cs="Times New Roman"/>
          <w:sz w:val="24"/>
          <w:szCs w:val="24"/>
        </w:rPr>
      </w:pPr>
      <w:r w:rsidRPr="00A47D41">
        <w:rPr>
          <w:rFonts w:ascii="Times New Roman" w:hAnsi="Times New Roman" w:cs="Times New Roman"/>
          <w:sz w:val="24"/>
          <w:szCs w:val="24"/>
        </w:rPr>
        <w:t xml:space="preserve">[INSERT TABLE </w:t>
      </w:r>
      <w:r w:rsidR="00352858">
        <w:rPr>
          <w:rFonts w:ascii="Times New Roman" w:hAnsi="Times New Roman" w:cs="Times New Roman"/>
          <w:sz w:val="24"/>
          <w:szCs w:val="24"/>
        </w:rPr>
        <w:t>7</w:t>
      </w:r>
      <w:r w:rsidR="00352858" w:rsidRPr="00A47D41">
        <w:rPr>
          <w:rFonts w:ascii="Times New Roman" w:hAnsi="Times New Roman" w:cs="Times New Roman"/>
          <w:sz w:val="24"/>
          <w:szCs w:val="24"/>
        </w:rPr>
        <w:t xml:space="preserve"> </w:t>
      </w:r>
      <w:r w:rsidRPr="00A47D41">
        <w:rPr>
          <w:rFonts w:ascii="Times New Roman" w:hAnsi="Times New Roman" w:cs="Times New Roman"/>
          <w:sz w:val="24"/>
          <w:szCs w:val="24"/>
        </w:rPr>
        <w:t>HERE]</w:t>
      </w:r>
    </w:p>
    <w:p w14:paraId="05E485D0" w14:textId="77777777" w:rsidR="00B17FEB" w:rsidRPr="00A47D41" w:rsidRDefault="00B17FEB" w:rsidP="00F03CE7">
      <w:pPr>
        <w:spacing w:after="0" w:line="480" w:lineRule="auto"/>
        <w:jc w:val="both"/>
        <w:rPr>
          <w:rFonts w:ascii="Times New Roman" w:hAnsi="Times New Roman" w:cs="Times New Roman"/>
          <w:i/>
          <w:sz w:val="24"/>
          <w:szCs w:val="24"/>
        </w:rPr>
      </w:pPr>
    </w:p>
    <w:p w14:paraId="2AEE3C07" w14:textId="77777777" w:rsidR="00983014" w:rsidRPr="00A47D41" w:rsidRDefault="00983014" w:rsidP="00F03CE7">
      <w:pPr>
        <w:spacing w:after="0" w:line="480" w:lineRule="auto"/>
        <w:jc w:val="both"/>
        <w:rPr>
          <w:rFonts w:ascii="Times New Roman" w:hAnsi="Times New Roman" w:cs="Times New Roman"/>
          <w:i/>
          <w:sz w:val="24"/>
          <w:szCs w:val="24"/>
        </w:rPr>
      </w:pPr>
      <w:r w:rsidRPr="00A47D41">
        <w:rPr>
          <w:rFonts w:ascii="Times New Roman" w:hAnsi="Times New Roman" w:cs="Times New Roman"/>
          <w:i/>
          <w:sz w:val="24"/>
          <w:szCs w:val="24"/>
        </w:rPr>
        <w:t>5.3 VAR-MV-GARCH</w:t>
      </w:r>
    </w:p>
    <w:p w14:paraId="59C7D53B" w14:textId="6437A466" w:rsidR="00983014" w:rsidRDefault="00983014" w:rsidP="00F03CE7">
      <w:pPr>
        <w:spacing w:after="0" w:line="480" w:lineRule="auto"/>
        <w:jc w:val="both"/>
        <w:rPr>
          <w:rFonts w:ascii="Times New Roman" w:hAnsi="Times New Roman" w:cs="Times New Roman"/>
          <w:sz w:val="24"/>
          <w:szCs w:val="24"/>
        </w:rPr>
      </w:pPr>
      <w:r w:rsidRPr="00AC6DED">
        <w:rPr>
          <w:rFonts w:ascii="Times New Roman" w:hAnsi="Times New Roman" w:cs="Times New Roman"/>
          <w:sz w:val="24"/>
          <w:szCs w:val="24"/>
        </w:rPr>
        <w:t xml:space="preserve">In order to examine the effect of the ban period on volatility transmission between markets, Figure </w:t>
      </w:r>
      <w:r w:rsidR="00352858">
        <w:rPr>
          <w:rFonts w:ascii="Times New Roman" w:hAnsi="Times New Roman" w:cs="Times New Roman"/>
          <w:sz w:val="24"/>
          <w:szCs w:val="24"/>
        </w:rPr>
        <w:t>1</w:t>
      </w:r>
      <w:r w:rsidR="00352858" w:rsidRPr="00AC6DED">
        <w:rPr>
          <w:rFonts w:ascii="Times New Roman" w:hAnsi="Times New Roman" w:cs="Times New Roman"/>
          <w:sz w:val="24"/>
          <w:szCs w:val="24"/>
        </w:rPr>
        <w:t xml:space="preserve"> </w:t>
      </w:r>
      <w:r w:rsidRPr="00AC6DED">
        <w:rPr>
          <w:rFonts w:ascii="Times New Roman" w:hAnsi="Times New Roman" w:cs="Times New Roman"/>
          <w:sz w:val="24"/>
          <w:szCs w:val="24"/>
        </w:rPr>
        <w:t xml:space="preserve">presents the </w:t>
      </w:r>
      <w:r w:rsidR="00B17FEB" w:rsidRPr="00AC6DED">
        <w:rPr>
          <w:rFonts w:ascii="Times New Roman" w:hAnsi="Times New Roman" w:cs="Times New Roman"/>
          <w:sz w:val="24"/>
          <w:szCs w:val="24"/>
        </w:rPr>
        <w:t xml:space="preserve">charts </w:t>
      </w:r>
      <w:r w:rsidRPr="00AC6DED">
        <w:rPr>
          <w:rFonts w:ascii="Times New Roman" w:hAnsi="Times New Roman" w:cs="Times New Roman"/>
          <w:sz w:val="24"/>
          <w:szCs w:val="24"/>
        </w:rPr>
        <w:t>that document the spillover effects between each of the three m</w:t>
      </w:r>
      <w:r w:rsidR="00B17FEB" w:rsidRPr="00AC6DED">
        <w:rPr>
          <w:rFonts w:ascii="Times New Roman" w:hAnsi="Times New Roman" w:cs="Times New Roman"/>
          <w:sz w:val="24"/>
          <w:szCs w:val="24"/>
        </w:rPr>
        <w:t xml:space="preserve">arkets. </w:t>
      </w:r>
      <w:r w:rsidR="005E64B6">
        <w:rPr>
          <w:rFonts w:ascii="Times New Roman" w:hAnsi="Times New Roman" w:cs="Times New Roman"/>
          <w:sz w:val="24"/>
          <w:szCs w:val="24"/>
        </w:rPr>
        <w:t xml:space="preserve">To coincide with these important market events, we mark the time when they occurred in red. </w:t>
      </w:r>
      <w:r w:rsidR="00B17FEB" w:rsidRPr="00AC6DED">
        <w:rPr>
          <w:rFonts w:ascii="Times New Roman" w:hAnsi="Times New Roman" w:cs="Times New Roman"/>
          <w:sz w:val="24"/>
          <w:szCs w:val="24"/>
        </w:rPr>
        <w:t>Evident from these charts</w:t>
      </w:r>
      <w:r w:rsidRPr="00AC6DED">
        <w:rPr>
          <w:rFonts w:ascii="Times New Roman" w:hAnsi="Times New Roman" w:cs="Times New Roman"/>
          <w:sz w:val="24"/>
          <w:szCs w:val="24"/>
        </w:rPr>
        <w:t xml:space="preserve"> is the presence of several large spikes in the</w:t>
      </w:r>
      <w:r w:rsidR="004D3EAD" w:rsidRPr="00AC6DED">
        <w:rPr>
          <w:rFonts w:ascii="Times New Roman" w:hAnsi="Times New Roman" w:cs="Times New Roman"/>
          <w:sz w:val="24"/>
          <w:szCs w:val="24"/>
        </w:rPr>
        <w:t xml:space="preserve"> volatility process of the high-</w:t>
      </w:r>
      <w:r w:rsidRPr="00AC6DED">
        <w:rPr>
          <w:rFonts w:ascii="Times New Roman" w:hAnsi="Times New Roman" w:cs="Times New Roman"/>
          <w:sz w:val="24"/>
          <w:szCs w:val="24"/>
        </w:rPr>
        <w:t xml:space="preserve">risk portfolio. In particular, just prior to the </w:t>
      </w:r>
      <w:r w:rsidR="00FA2677">
        <w:rPr>
          <w:rFonts w:ascii="Times New Roman" w:hAnsi="Times New Roman" w:cs="Times New Roman"/>
          <w:sz w:val="24"/>
          <w:szCs w:val="24"/>
        </w:rPr>
        <w:t xml:space="preserve">fall of Lehman and the </w:t>
      </w:r>
      <w:r w:rsidRPr="00AC6DED">
        <w:rPr>
          <w:rFonts w:ascii="Times New Roman" w:hAnsi="Times New Roman" w:cs="Times New Roman"/>
          <w:sz w:val="24"/>
          <w:szCs w:val="24"/>
        </w:rPr>
        <w:t>start of the short-sale ban period we can see spikes in th</w:t>
      </w:r>
      <w:r w:rsidR="004D3EAD" w:rsidRPr="00AC6DED">
        <w:rPr>
          <w:rFonts w:ascii="Times New Roman" w:hAnsi="Times New Roman" w:cs="Times New Roman"/>
          <w:sz w:val="24"/>
          <w:szCs w:val="24"/>
        </w:rPr>
        <w:t>e volatility factor of the high-</w:t>
      </w:r>
      <w:r w:rsidRPr="00AC6DED">
        <w:rPr>
          <w:rFonts w:ascii="Times New Roman" w:hAnsi="Times New Roman" w:cs="Times New Roman"/>
          <w:sz w:val="24"/>
          <w:szCs w:val="24"/>
        </w:rPr>
        <w:t>risk grou</w:t>
      </w:r>
      <w:r w:rsidR="008635E5" w:rsidRPr="00AC6DED">
        <w:rPr>
          <w:rFonts w:ascii="Times New Roman" w:hAnsi="Times New Roman" w:cs="Times New Roman"/>
          <w:sz w:val="24"/>
          <w:szCs w:val="24"/>
        </w:rPr>
        <w:t>p emanating from the low-</w:t>
      </w:r>
      <w:r w:rsidRPr="00AC6DED">
        <w:rPr>
          <w:rFonts w:ascii="Times New Roman" w:hAnsi="Times New Roman" w:cs="Times New Roman"/>
          <w:sz w:val="24"/>
          <w:szCs w:val="24"/>
        </w:rPr>
        <w:t>risk portfolio and the world market (β</w:t>
      </w:r>
      <w:r w:rsidRPr="00AC6DED">
        <w:rPr>
          <w:rFonts w:ascii="Times New Roman" w:hAnsi="Times New Roman" w:cs="Times New Roman"/>
          <w:sz w:val="24"/>
          <w:szCs w:val="24"/>
          <w:vertAlign w:val="subscript"/>
        </w:rPr>
        <w:t>high, low</w:t>
      </w:r>
      <w:r w:rsidRPr="00AC6DED">
        <w:rPr>
          <w:rFonts w:ascii="Times New Roman" w:hAnsi="Times New Roman" w:cs="Times New Roman"/>
          <w:sz w:val="24"/>
          <w:szCs w:val="24"/>
        </w:rPr>
        <w:t xml:space="preserve"> and β</w:t>
      </w:r>
      <w:r w:rsidRPr="00AC6DED">
        <w:rPr>
          <w:rFonts w:ascii="Times New Roman" w:hAnsi="Times New Roman" w:cs="Times New Roman"/>
          <w:sz w:val="24"/>
          <w:szCs w:val="24"/>
          <w:vertAlign w:val="subscript"/>
        </w:rPr>
        <w:t>high, mswrld</w:t>
      </w:r>
      <w:r w:rsidRPr="00AC6DED">
        <w:rPr>
          <w:rFonts w:ascii="Times New Roman" w:hAnsi="Times New Roman" w:cs="Times New Roman"/>
          <w:sz w:val="24"/>
          <w:szCs w:val="24"/>
        </w:rPr>
        <w:t>). Following a fall in volatility as the short-sale ban began</w:t>
      </w:r>
      <w:r w:rsidR="005E64B6">
        <w:rPr>
          <w:rFonts w:ascii="Times New Roman" w:hAnsi="Times New Roman" w:cs="Times New Roman"/>
          <w:sz w:val="24"/>
          <w:szCs w:val="24"/>
        </w:rPr>
        <w:t>,</w:t>
      </w:r>
      <w:r w:rsidRPr="00AC6DED">
        <w:rPr>
          <w:rFonts w:ascii="Times New Roman" w:hAnsi="Times New Roman" w:cs="Times New Roman"/>
          <w:sz w:val="24"/>
          <w:szCs w:val="24"/>
        </w:rPr>
        <w:t xml:space="preserve"> we see volatility </w:t>
      </w:r>
      <w:r w:rsidR="005E64B6">
        <w:rPr>
          <w:rFonts w:ascii="Times New Roman" w:hAnsi="Times New Roman" w:cs="Times New Roman"/>
          <w:sz w:val="24"/>
          <w:szCs w:val="24"/>
        </w:rPr>
        <w:t>further</w:t>
      </w:r>
      <w:r w:rsidR="005E64B6" w:rsidRPr="00AC6DED">
        <w:rPr>
          <w:rFonts w:ascii="Times New Roman" w:hAnsi="Times New Roman" w:cs="Times New Roman"/>
          <w:sz w:val="24"/>
          <w:szCs w:val="24"/>
        </w:rPr>
        <w:t xml:space="preserve"> </w:t>
      </w:r>
      <w:r w:rsidRPr="00AC6DED">
        <w:rPr>
          <w:rFonts w:ascii="Times New Roman" w:hAnsi="Times New Roman" w:cs="Times New Roman"/>
          <w:sz w:val="24"/>
          <w:szCs w:val="24"/>
        </w:rPr>
        <w:t>increase</w:t>
      </w:r>
      <w:r w:rsidR="005E64B6">
        <w:rPr>
          <w:rFonts w:ascii="Times New Roman" w:hAnsi="Times New Roman" w:cs="Times New Roman"/>
          <w:sz w:val="24"/>
          <w:szCs w:val="24"/>
        </w:rPr>
        <w:t>, instead of decrease,</w:t>
      </w:r>
      <w:r w:rsidRPr="00AC6DED">
        <w:rPr>
          <w:rFonts w:ascii="Times New Roman" w:hAnsi="Times New Roman" w:cs="Times New Roman"/>
          <w:sz w:val="24"/>
          <w:szCs w:val="24"/>
        </w:rPr>
        <w:t xml:space="preserve"> with several (smaller) spikes resulting from the onset of the Eurozone </w:t>
      </w:r>
      <w:r w:rsidRPr="00AC6DED">
        <w:rPr>
          <w:rFonts w:ascii="Times New Roman" w:hAnsi="Times New Roman" w:cs="Times New Roman"/>
          <w:sz w:val="24"/>
          <w:szCs w:val="24"/>
        </w:rPr>
        <w:lastRenderedPageBreak/>
        <w:t>sovereign debt crisis. When examining th</w:t>
      </w:r>
      <w:r w:rsidR="008635E5" w:rsidRPr="00AC6DED">
        <w:rPr>
          <w:rFonts w:ascii="Times New Roman" w:hAnsi="Times New Roman" w:cs="Times New Roman"/>
          <w:sz w:val="24"/>
          <w:szCs w:val="24"/>
        </w:rPr>
        <w:t>e volatility factor for the low-</w:t>
      </w:r>
      <w:r w:rsidRPr="00AC6DED">
        <w:rPr>
          <w:rFonts w:ascii="Times New Roman" w:hAnsi="Times New Roman" w:cs="Times New Roman"/>
          <w:sz w:val="24"/>
          <w:szCs w:val="24"/>
        </w:rPr>
        <w:t>risk group of markets we do not observe the same spike</w:t>
      </w:r>
      <w:r w:rsidR="00E21706" w:rsidRPr="00AC6DED">
        <w:rPr>
          <w:rFonts w:ascii="Times New Roman" w:hAnsi="Times New Roman" w:cs="Times New Roman"/>
          <w:sz w:val="24"/>
          <w:szCs w:val="24"/>
        </w:rPr>
        <w:t>s</w:t>
      </w:r>
      <w:r w:rsidRPr="00AC6DED">
        <w:rPr>
          <w:rFonts w:ascii="Times New Roman" w:hAnsi="Times New Roman" w:cs="Times New Roman"/>
          <w:sz w:val="24"/>
          <w:szCs w:val="24"/>
        </w:rPr>
        <w:t xml:space="preserve"> in</w:t>
      </w:r>
      <w:r w:rsidR="008635E5" w:rsidRPr="00AC6DED">
        <w:rPr>
          <w:rFonts w:ascii="Times New Roman" w:hAnsi="Times New Roman" w:cs="Times New Roman"/>
          <w:sz w:val="24"/>
          <w:szCs w:val="24"/>
        </w:rPr>
        <w:t xml:space="preserve"> volatility. Indeed for the low-</w:t>
      </w:r>
      <w:r w:rsidRPr="00AC6DED">
        <w:rPr>
          <w:rFonts w:ascii="Times New Roman" w:hAnsi="Times New Roman" w:cs="Times New Roman"/>
          <w:sz w:val="24"/>
          <w:szCs w:val="24"/>
        </w:rPr>
        <w:t>risk po</w:t>
      </w:r>
      <w:r w:rsidR="004D3EAD" w:rsidRPr="00AC6DED">
        <w:rPr>
          <w:rFonts w:ascii="Times New Roman" w:hAnsi="Times New Roman" w:cs="Times New Roman"/>
          <w:sz w:val="24"/>
          <w:szCs w:val="24"/>
        </w:rPr>
        <w:t>rtfolio as affected by the high-</w:t>
      </w:r>
      <w:r w:rsidR="008434B0">
        <w:rPr>
          <w:rFonts w:ascii="Times New Roman" w:hAnsi="Times New Roman" w:cs="Times New Roman"/>
          <w:sz w:val="24"/>
          <w:szCs w:val="24"/>
        </w:rPr>
        <w:t>risk portfolio. Of interest,</w:t>
      </w:r>
      <w:r w:rsidRPr="00AC6DED">
        <w:rPr>
          <w:rFonts w:ascii="Times New Roman" w:hAnsi="Times New Roman" w:cs="Times New Roman"/>
          <w:sz w:val="24"/>
          <w:szCs w:val="24"/>
        </w:rPr>
        <w:t xml:space="preserve"> we see volatility falling just prior to the short-sale ban but increasing after the ban starts. Furthermore, we observe higher volatility towards the end of the sample, during 2011 and 2012 as the Eurozone sovereign debt crisis worsens. Regarding the low</w:t>
      </w:r>
      <w:r w:rsidR="004D3EAD" w:rsidRPr="00AC6DED">
        <w:rPr>
          <w:rFonts w:ascii="Times New Roman" w:hAnsi="Times New Roman" w:cs="Times New Roman"/>
          <w:sz w:val="24"/>
          <w:szCs w:val="24"/>
        </w:rPr>
        <w:t>-</w:t>
      </w:r>
      <w:r w:rsidR="00797FA2" w:rsidRPr="00AC6DED">
        <w:rPr>
          <w:rFonts w:ascii="Times New Roman" w:hAnsi="Times New Roman" w:cs="Times New Roman"/>
          <w:sz w:val="24"/>
          <w:szCs w:val="24"/>
        </w:rPr>
        <w:t>risk</w:t>
      </w:r>
      <w:r w:rsidRPr="00AC6DED">
        <w:rPr>
          <w:rFonts w:ascii="Times New Roman" w:hAnsi="Times New Roman" w:cs="Times New Roman"/>
          <w:sz w:val="24"/>
          <w:szCs w:val="24"/>
        </w:rPr>
        <w:t xml:space="preserve"> groups volatility as affected by the world market we </w:t>
      </w:r>
      <w:r w:rsidR="005D2572">
        <w:rPr>
          <w:rFonts w:ascii="Times New Roman" w:hAnsi="Times New Roman" w:cs="Times New Roman"/>
          <w:sz w:val="24"/>
          <w:szCs w:val="24"/>
        </w:rPr>
        <w:t>observe</w:t>
      </w:r>
      <w:r w:rsidR="005D2572" w:rsidRPr="00AC6DED">
        <w:rPr>
          <w:rFonts w:ascii="Times New Roman" w:hAnsi="Times New Roman" w:cs="Times New Roman"/>
          <w:sz w:val="24"/>
          <w:szCs w:val="24"/>
        </w:rPr>
        <w:t xml:space="preserve"> </w:t>
      </w:r>
      <w:r w:rsidR="008434B0">
        <w:rPr>
          <w:rFonts w:ascii="Times New Roman" w:hAnsi="Times New Roman" w:cs="Times New Roman"/>
          <w:sz w:val="24"/>
          <w:szCs w:val="24"/>
        </w:rPr>
        <w:t xml:space="preserve">falling </w:t>
      </w:r>
      <w:r w:rsidRPr="00AC6DED">
        <w:rPr>
          <w:rFonts w:ascii="Times New Roman" w:hAnsi="Times New Roman" w:cs="Times New Roman"/>
          <w:sz w:val="24"/>
          <w:szCs w:val="24"/>
        </w:rPr>
        <w:t>volatility</w:t>
      </w:r>
      <w:r w:rsidR="00797FA2" w:rsidRPr="00AC6DED">
        <w:rPr>
          <w:rFonts w:ascii="Times New Roman" w:hAnsi="Times New Roman" w:cs="Times New Roman"/>
          <w:sz w:val="24"/>
          <w:szCs w:val="24"/>
        </w:rPr>
        <w:t xml:space="preserve"> a</w:t>
      </w:r>
      <w:r w:rsidR="008434B0">
        <w:rPr>
          <w:rFonts w:ascii="Times New Roman" w:hAnsi="Times New Roman" w:cs="Times New Roman"/>
          <w:sz w:val="24"/>
          <w:szCs w:val="24"/>
        </w:rPr>
        <w:t xml:space="preserve">fter the Lehman’s event </w:t>
      </w:r>
      <w:r w:rsidR="00797FA2" w:rsidRPr="00AC6DED">
        <w:rPr>
          <w:rFonts w:ascii="Times New Roman" w:hAnsi="Times New Roman" w:cs="Times New Roman"/>
          <w:sz w:val="24"/>
          <w:szCs w:val="24"/>
        </w:rPr>
        <w:t>bu</w:t>
      </w:r>
      <w:r w:rsidRPr="00AC6DED">
        <w:rPr>
          <w:rFonts w:ascii="Times New Roman" w:hAnsi="Times New Roman" w:cs="Times New Roman"/>
          <w:sz w:val="24"/>
          <w:szCs w:val="24"/>
        </w:rPr>
        <w:t>t then higher volatility during the period characterised by the</w:t>
      </w:r>
      <w:r w:rsidR="004070A3" w:rsidRPr="004070A3">
        <w:rPr>
          <w:rFonts w:ascii="Times New Roman" w:hAnsi="Times New Roman" w:cs="Times New Roman"/>
          <w:sz w:val="24"/>
          <w:szCs w:val="24"/>
        </w:rPr>
        <w:t xml:space="preserve"> </w:t>
      </w:r>
      <w:r w:rsidR="004070A3">
        <w:rPr>
          <w:rFonts w:ascii="Times New Roman" w:hAnsi="Times New Roman" w:cs="Times New Roman"/>
          <w:sz w:val="24"/>
          <w:szCs w:val="24"/>
        </w:rPr>
        <w:t>later</w:t>
      </w:r>
      <w:r w:rsidRPr="00AC6DED">
        <w:rPr>
          <w:rFonts w:ascii="Times New Roman" w:hAnsi="Times New Roman" w:cs="Times New Roman"/>
          <w:sz w:val="24"/>
          <w:szCs w:val="24"/>
        </w:rPr>
        <w:t xml:space="preserve"> Eurozone </w:t>
      </w:r>
      <w:r w:rsidR="005D2572">
        <w:rPr>
          <w:rFonts w:ascii="Times New Roman" w:hAnsi="Times New Roman" w:cs="Times New Roman"/>
          <w:sz w:val="24"/>
          <w:szCs w:val="24"/>
        </w:rPr>
        <w:t>debt</w:t>
      </w:r>
      <w:r w:rsidR="005D2572" w:rsidRPr="00AC6DED">
        <w:rPr>
          <w:rFonts w:ascii="Times New Roman" w:hAnsi="Times New Roman" w:cs="Times New Roman"/>
          <w:sz w:val="24"/>
          <w:szCs w:val="24"/>
        </w:rPr>
        <w:t xml:space="preserve"> </w:t>
      </w:r>
      <w:r w:rsidRPr="00AC6DED">
        <w:rPr>
          <w:rFonts w:ascii="Times New Roman" w:hAnsi="Times New Roman" w:cs="Times New Roman"/>
          <w:sz w:val="24"/>
          <w:szCs w:val="24"/>
        </w:rPr>
        <w:t xml:space="preserve">crisis. Finally, the volatility process of the world market appears to fluctuate around a relatively constant level throughout the sample period with a small number of heightened volatility </w:t>
      </w:r>
      <w:r w:rsidR="00B17FEB" w:rsidRPr="00AC6DED">
        <w:rPr>
          <w:rFonts w:ascii="Times New Roman" w:hAnsi="Times New Roman" w:cs="Times New Roman"/>
          <w:sz w:val="24"/>
          <w:szCs w:val="24"/>
        </w:rPr>
        <w:t xml:space="preserve">spikes </w:t>
      </w:r>
      <w:r w:rsidRPr="00AC6DED">
        <w:rPr>
          <w:rFonts w:ascii="Times New Roman" w:hAnsi="Times New Roman" w:cs="Times New Roman"/>
          <w:sz w:val="24"/>
          <w:szCs w:val="24"/>
        </w:rPr>
        <w:t xml:space="preserve">following the collapse of Lehman and during the Eurozone crisis. </w:t>
      </w:r>
    </w:p>
    <w:p w14:paraId="624C1C3C" w14:textId="7050929B" w:rsidR="00983014" w:rsidRPr="00AC6DED" w:rsidRDefault="00983014" w:rsidP="00F03CE7">
      <w:pPr>
        <w:spacing w:after="0" w:line="480" w:lineRule="auto"/>
        <w:jc w:val="both"/>
        <w:rPr>
          <w:rFonts w:ascii="Times New Roman" w:hAnsi="Times New Roman" w:cs="Times New Roman"/>
          <w:sz w:val="24"/>
          <w:szCs w:val="24"/>
        </w:rPr>
      </w:pPr>
      <w:r w:rsidRPr="00AC6DED">
        <w:rPr>
          <w:rFonts w:ascii="Times New Roman" w:hAnsi="Times New Roman" w:cs="Times New Roman"/>
          <w:sz w:val="24"/>
          <w:szCs w:val="24"/>
        </w:rPr>
        <w:tab/>
        <w:t xml:space="preserve">Overall, </w:t>
      </w:r>
      <w:r w:rsidR="005D2572">
        <w:rPr>
          <w:rFonts w:ascii="Times New Roman" w:hAnsi="Times New Roman" w:cs="Times New Roman"/>
          <w:sz w:val="24"/>
          <w:szCs w:val="24"/>
        </w:rPr>
        <w:t>our</w:t>
      </w:r>
      <w:r w:rsidR="005D2572" w:rsidRPr="00AC6DED">
        <w:rPr>
          <w:rFonts w:ascii="Times New Roman" w:hAnsi="Times New Roman" w:cs="Times New Roman"/>
          <w:sz w:val="24"/>
          <w:szCs w:val="24"/>
        </w:rPr>
        <w:t xml:space="preserve"> </w:t>
      </w:r>
      <w:r w:rsidRPr="00AC6DED">
        <w:rPr>
          <w:rFonts w:ascii="Times New Roman" w:hAnsi="Times New Roman" w:cs="Times New Roman"/>
          <w:sz w:val="24"/>
          <w:szCs w:val="24"/>
        </w:rPr>
        <w:t>results suggest that the time</w:t>
      </w:r>
      <w:r w:rsidR="00B25A88">
        <w:rPr>
          <w:rFonts w:ascii="Times New Roman" w:hAnsi="Times New Roman" w:cs="Times New Roman"/>
          <w:sz w:val="24"/>
          <w:szCs w:val="24"/>
        </w:rPr>
        <w:t>-</w:t>
      </w:r>
      <w:r w:rsidRPr="00AC6DED">
        <w:rPr>
          <w:rFonts w:ascii="Times New Roman" w:hAnsi="Times New Roman" w:cs="Times New Roman"/>
          <w:sz w:val="24"/>
          <w:szCs w:val="24"/>
        </w:rPr>
        <w:t>varying loadin</w:t>
      </w:r>
      <w:r w:rsidR="00797FA2" w:rsidRPr="00AC6DED">
        <w:rPr>
          <w:rFonts w:ascii="Times New Roman" w:hAnsi="Times New Roman" w:cs="Times New Roman"/>
          <w:sz w:val="24"/>
          <w:szCs w:val="24"/>
        </w:rPr>
        <w:t>g</w:t>
      </w:r>
      <w:r w:rsidR="004D3EAD" w:rsidRPr="00AC6DED">
        <w:rPr>
          <w:rFonts w:ascii="Times New Roman" w:hAnsi="Times New Roman" w:cs="Times New Roman"/>
          <w:sz w:val="24"/>
          <w:szCs w:val="24"/>
        </w:rPr>
        <w:t xml:space="preserve"> of the high-</w:t>
      </w:r>
      <w:r w:rsidR="00A24370" w:rsidRPr="00AC6DED">
        <w:rPr>
          <w:rFonts w:ascii="Times New Roman" w:hAnsi="Times New Roman" w:cs="Times New Roman"/>
          <w:sz w:val="24"/>
          <w:szCs w:val="24"/>
        </w:rPr>
        <w:t xml:space="preserve">risk portfolio </w:t>
      </w:r>
      <w:r w:rsidR="00E21706" w:rsidRPr="00AC6DED">
        <w:rPr>
          <w:rFonts w:ascii="Times New Roman" w:hAnsi="Times New Roman" w:cs="Times New Roman"/>
          <w:sz w:val="24"/>
          <w:szCs w:val="24"/>
        </w:rPr>
        <w:t>i</w:t>
      </w:r>
      <w:r w:rsidR="00A24370" w:rsidRPr="00AC6DED">
        <w:rPr>
          <w:rFonts w:ascii="Times New Roman" w:hAnsi="Times New Roman" w:cs="Times New Roman"/>
          <w:sz w:val="24"/>
          <w:szCs w:val="24"/>
        </w:rPr>
        <w:t>s</w:t>
      </w:r>
      <w:r w:rsidRPr="00AC6DED">
        <w:rPr>
          <w:rFonts w:ascii="Times New Roman" w:hAnsi="Times New Roman" w:cs="Times New Roman"/>
          <w:sz w:val="24"/>
          <w:szCs w:val="24"/>
        </w:rPr>
        <w:t xml:space="preserve"> both more volatile and at a higher av</w:t>
      </w:r>
      <w:r w:rsidR="004D3EAD" w:rsidRPr="00AC6DED">
        <w:rPr>
          <w:rFonts w:ascii="Times New Roman" w:hAnsi="Times New Roman" w:cs="Times New Roman"/>
          <w:sz w:val="24"/>
          <w:szCs w:val="24"/>
        </w:rPr>
        <w:t>erage level compared to the low-</w:t>
      </w:r>
      <w:r w:rsidRPr="00AC6DED">
        <w:rPr>
          <w:rFonts w:ascii="Times New Roman" w:hAnsi="Times New Roman" w:cs="Times New Roman"/>
          <w:sz w:val="24"/>
          <w:szCs w:val="24"/>
        </w:rPr>
        <w:t xml:space="preserve">risk country portfolio. Furthermore, evident from the </w:t>
      </w:r>
      <w:r w:rsidR="00B17FEB" w:rsidRPr="00AC6DED">
        <w:rPr>
          <w:rFonts w:ascii="Times New Roman" w:hAnsi="Times New Roman" w:cs="Times New Roman"/>
          <w:sz w:val="24"/>
          <w:szCs w:val="24"/>
        </w:rPr>
        <w:t xml:space="preserve">charts, </w:t>
      </w:r>
      <w:r w:rsidRPr="00AC6DED">
        <w:rPr>
          <w:rFonts w:ascii="Times New Roman" w:hAnsi="Times New Roman" w:cs="Times New Roman"/>
          <w:sz w:val="24"/>
          <w:szCs w:val="24"/>
        </w:rPr>
        <w:t xml:space="preserve">volatility transmission is </w:t>
      </w:r>
      <w:r w:rsidR="00B17FEB" w:rsidRPr="00AC6DED">
        <w:rPr>
          <w:rFonts w:ascii="Times New Roman" w:hAnsi="Times New Roman" w:cs="Times New Roman"/>
          <w:sz w:val="24"/>
          <w:szCs w:val="24"/>
        </w:rPr>
        <w:t>pre</w:t>
      </w:r>
      <w:r w:rsidRPr="00AC6DED">
        <w:rPr>
          <w:rFonts w:ascii="Times New Roman" w:hAnsi="Times New Roman" w:cs="Times New Roman"/>
          <w:sz w:val="24"/>
          <w:szCs w:val="24"/>
        </w:rPr>
        <w:t>dominantly from the world market to the European markets and from the</w:t>
      </w:r>
      <w:r w:rsidR="008635E5" w:rsidRPr="00AC6DED">
        <w:rPr>
          <w:rFonts w:ascii="Times New Roman" w:hAnsi="Times New Roman" w:cs="Times New Roman"/>
          <w:sz w:val="24"/>
          <w:szCs w:val="24"/>
        </w:rPr>
        <w:t xml:space="preserve"> low-</w:t>
      </w:r>
      <w:r w:rsidR="004D3EAD" w:rsidRPr="00AC6DED">
        <w:rPr>
          <w:rFonts w:ascii="Times New Roman" w:hAnsi="Times New Roman" w:cs="Times New Roman"/>
          <w:sz w:val="24"/>
          <w:szCs w:val="24"/>
        </w:rPr>
        <w:t>risk portfolio to the high-</w:t>
      </w:r>
      <w:r w:rsidRPr="00AC6DED">
        <w:rPr>
          <w:rFonts w:ascii="Times New Roman" w:hAnsi="Times New Roman" w:cs="Times New Roman"/>
          <w:sz w:val="24"/>
          <w:szCs w:val="24"/>
        </w:rPr>
        <w:t xml:space="preserve">risk group. </w:t>
      </w:r>
      <w:r w:rsidR="00E21706" w:rsidRPr="00AC6DED">
        <w:rPr>
          <w:rFonts w:ascii="Times New Roman" w:hAnsi="Times New Roman" w:cs="Times New Roman"/>
          <w:sz w:val="24"/>
          <w:szCs w:val="24"/>
        </w:rPr>
        <w:t>However, i</w:t>
      </w:r>
      <w:r w:rsidRPr="00AC6DED">
        <w:rPr>
          <w:rFonts w:ascii="Times New Roman" w:hAnsi="Times New Roman" w:cs="Times New Roman"/>
          <w:sz w:val="24"/>
          <w:szCs w:val="24"/>
        </w:rPr>
        <w:t xml:space="preserve">n terms of how the short-sale ban </w:t>
      </w:r>
      <w:r w:rsidR="00EB6237">
        <w:rPr>
          <w:rFonts w:ascii="Times New Roman" w:hAnsi="Times New Roman" w:cs="Times New Roman"/>
          <w:sz w:val="24"/>
          <w:szCs w:val="24"/>
        </w:rPr>
        <w:t xml:space="preserve">and the crisis </w:t>
      </w:r>
      <w:r w:rsidRPr="00AC6DED">
        <w:rPr>
          <w:rFonts w:ascii="Times New Roman" w:hAnsi="Times New Roman" w:cs="Times New Roman"/>
          <w:sz w:val="24"/>
          <w:szCs w:val="24"/>
        </w:rPr>
        <w:t>affected the volatility transmission between these three markets, we can see that the effect was t</w:t>
      </w:r>
      <w:r w:rsidR="004D3EAD" w:rsidRPr="00AC6DED">
        <w:rPr>
          <w:rFonts w:ascii="Times New Roman" w:hAnsi="Times New Roman" w:cs="Times New Roman"/>
          <w:sz w:val="24"/>
          <w:szCs w:val="24"/>
        </w:rPr>
        <w:t>o lower volatility for the high-</w:t>
      </w:r>
      <w:r w:rsidRPr="00AC6DED">
        <w:rPr>
          <w:rFonts w:ascii="Times New Roman" w:hAnsi="Times New Roman" w:cs="Times New Roman"/>
          <w:sz w:val="24"/>
          <w:szCs w:val="24"/>
        </w:rPr>
        <w:t xml:space="preserve">risk group, although that later increased again due to sovereign debt crisis. </w:t>
      </w:r>
      <w:r w:rsidR="00E21706" w:rsidRPr="00AC6DED">
        <w:rPr>
          <w:rFonts w:ascii="Times New Roman" w:hAnsi="Times New Roman" w:cs="Times New Roman"/>
          <w:sz w:val="24"/>
          <w:szCs w:val="24"/>
        </w:rPr>
        <w:t xml:space="preserve">Furthermore, </w:t>
      </w:r>
      <w:r w:rsidR="008635E5" w:rsidRPr="00AC6DED">
        <w:rPr>
          <w:rFonts w:ascii="Times New Roman" w:hAnsi="Times New Roman" w:cs="Times New Roman"/>
          <w:sz w:val="24"/>
          <w:szCs w:val="24"/>
        </w:rPr>
        <w:t>volatility in the low-</w:t>
      </w:r>
      <w:r w:rsidRPr="00AC6DED">
        <w:rPr>
          <w:rFonts w:ascii="Times New Roman" w:hAnsi="Times New Roman" w:cs="Times New Roman"/>
          <w:sz w:val="24"/>
          <w:szCs w:val="24"/>
        </w:rPr>
        <w:t>risk and w</w:t>
      </w:r>
      <w:r w:rsidR="008434B0">
        <w:rPr>
          <w:rFonts w:ascii="Times New Roman" w:hAnsi="Times New Roman" w:cs="Times New Roman"/>
          <w:sz w:val="24"/>
          <w:szCs w:val="24"/>
        </w:rPr>
        <w:t>orld markets generally increases</w:t>
      </w:r>
      <w:r w:rsidRPr="00AC6DED">
        <w:rPr>
          <w:rFonts w:ascii="Times New Roman" w:hAnsi="Times New Roman" w:cs="Times New Roman"/>
          <w:sz w:val="24"/>
          <w:szCs w:val="24"/>
        </w:rPr>
        <w:t xml:space="preserve"> following the </w:t>
      </w:r>
      <w:r w:rsidR="008434B0">
        <w:rPr>
          <w:rFonts w:ascii="Times New Roman" w:hAnsi="Times New Roman" w:cs="Times New Roman"/>
          <w:sz w:val="24"/>
          <w:szCs w:val="24"/>
        </w:rPr>
        <w:t xml:space="preserve">Lehman’s collapse and related events shortly afterwards (e.g., </w:t>
      </w:r>
      <w:r w:rsidRPr="00AC6DED">
        <w:rPr>
          <w:rFonts w:ascii="Times New Roman" w:hAnsi="Times New Roman" w:cs="Times New Roman"/>
          <w:sz w:val="24"/>
          <w:szCs w:val="24"/>
        </w:rPr>
        <w:t>the short sale ban</w:t>
      </w:r>
      <w:r w:rsidR="008434B0">
        <w:rPr>
          <w:rFonts w:ascii="Times New Roman" w:hAnsi="Times New Roman" w:cs="Times New Roman"/>
          <w:sz w:val="24"/>
          <w:szCs w:val="24"/>
        </w:rPr>
        <w:t>)</w:t>
      </w:r>
      <w:r w:rsidRPr="00AC6DED">
        <w:rPr>
          <w:rFonts w:ascii="Times New Roman" w:hAnsi="Times New Roman" w:cs="Times New Roman"/>
          <w:sz w:val="24"/>
          <w:szCs w:val="24"/>
        </w:rPr>
        <w:t xml:space="preserve">, </w:t>
      </w:r>
      <w:r w:rsidR="00E21706" w:rsidRPr="00AC6DED">
        <w:rPr>
          <w:rFonts w:ascii="Times New Roman" w:hAnsi="Times New Roman" w:cs="Times New Roman"/>
          <w:sz w:val="24"/>
          <w:szCs w:val="24"/>
        </w:rPr>
        <w:t xml:space="preserve">and particularly so </w:t>
      </w:r>
      <w:r w:rsidR="004D3EAD" w:rsidRPr="00AC6DED">
        <w:rPr>
          <w:rFonts w:ascii="Times New Roman" w:hAnsi="Times New Roman" w:cs="Times New Roman"/>
          <w:sz w:val="24"/>
          <w:szCs w:val="24"/>
        </w:rPr>
        <w:t>as shocks emanate from the high-</w:t>
      </w:r>
      <w:r w:rsidR="00E21706" w:rsidRPr="00AC6DED">
        <w:rPr>
          <w:rFonts w:ascii="Times New Roman" w:hAnsi="Times New Roman" w:cs="Times New Roman"/>
          <w:sz w:val="24"/>
          <w:szCs w:val="24"/>
        </w:rPr>
        <w:t xml:space="preserve">risk market; </w:t>
      </w:r>
      <w:r w:rsidRPr="00AC6DED">
        <w:rPr>
          <w:rFonts w:ascii="Times New Roman" w:hAnsi="Times New Roman" w:cs="Times New Roman"/>
          <w:sz w:val="24"/>
          <w:szCs w:val="24"/>
        </w:rPr>
        <w:t>although was notably lower just prior to the ban period (this is most evident from the graphs labelled β</w:t>
      </w:r>
      <w:r w:rsidRPr="00AC6DED">
        <w:rPr>
          <w:rFonts w:ascii="Times New Roman" w:hAnsi="Times New Roman" w:cs="Times New Roman"/>
          <w:sz w:val="24"/>
          <w:szCs w:val="24"/>
          <w:vertAlign w:val="subscript"/>
        </w:rPr>
        <w:t>low, high</w:t>
      </w:r>
      <w:r w:rsidRPr="00AC6DED">
        <w:rPr>
          <w:rFonts w:ascii="Times New Roman" w:hAnsi="Times New Roman" w:cs="Times New Roman"/>
          <w:sz w:val="24"/>
          <w:szCs w:val="24"/>
        </w:rPr>
        <w:t>, β</w:t>
      </w:r>
      <w:r w:rsidRPr="00AC6DED">
        <w:rPr>
          <w:rFonts w:ascii="Times New Roman" w:hAnsi="Times New Roman" w:cs="Times New Roman"/>
          <w:sz w:val="24"/>
          <w:szCs w:val="24"/>
          <w:vertAlign w:val="subscript"/>
        </w:rPr>
        <w:t>mswrld, high</w:t>
      </w:r>
      <w:r w:rsidRPr="00AC6DED">
        <w:rPr>
          <w:rFonts w:ascii="Times New Roman" w:hAnsi="Times New Roman" w:cs="Times New Roman"/>
          <w:sz w:val="24"/>
          <w:szCs w:val="24"/>
        </w:rPr>
        <w:t xml:space="preserve"> and β</w:t>
      </w:r>
      <w:r w:rsidRPr="00AC6DED">
        <w:rPr>
          <w:rFonts w:ascii="Times New Roman" w:hAnsi="Times New Roman" w:cs="Times New Roman"/>
          <w:sz w:val="24"/>
          <w:szCs w:val="24"/>
          <w:vertAlign w:val="subscript"/>
        </w:rPr>
        <w:t>mswrld, low</w:t>
      </w:r>
      <w:r w:rsidR="008434B0">
        <w:rPr>
          <w:rFonts w:ascii="Times New Roman" w:hAnsi="Times New Roman" w:cs="Times New Roman"/>
          <w:sz w:val="24"/>
          <w:szCs w:val="24"/>
        </w:rPr>
        <w:t xml:space="preserve">). </w:t>
      </w:r>
      <w:r w:rsidR="000F4B81" w:rsidRPr="00AC6DED">
        <w:rPr>
          <w:rFonts w:ascii="Times New Roman" w:hAnsi="Times New Roman" w:cs="Times New Roman"/>
          <w:sz w:val="24"/>
          <w:szCs w:val="24"/>
        </w:rPr>
        <w:t xml:space="preserve">These results </w:t>
      </w:r>
      <w:r w:rsidR="008434B0">
        <w:rPr>
          <w:rFonts w:ascii="Times New Roman" w:hAnsi="Times New Roman" w:cs="Times New Roman"/>
          <w:sz w:val="24"/>
          <w:szCs w:val="24"/>
        </w:rPr>
        <w:t xml:space="preserve">may </w:t>
      </w:r>
      <w:r w:rsidR="000F4B81" w:rsidRPr="00AC6DED">
        <w:rPr>
          <w:rFonts w:ascii="Times New Roman" w:hAnsi="Times New Roman" w:cs="Times New Roman"/>
          <w:sz w:val="24"/>
          <w:szCs w:val="24"/>
        </w:rPr>
        <w:t>suggest the introduction of the ban reduced spi</w:t>
      </w:r>
      <w:r w:rsidR="004D3EAD" w:rsidRPr="00AC6DED">
        <w:rPr>
          <w:rFonts w:ascii="Times New Roman" w:hAnsi="Times New Roman" w:cs="Times New Roman"/>
          <w:sz w:val="24"/>
          <w:szCs w:val="24"/>
        </w:rPr>
        <w:t>llover effects towards the high-</w:t>
      </w:r>
      <w:r w:rsidR="000F4B81" w:rsidRPr="00AC6DED">
        <w:rPr>
          <w:rFonts w:ascii="Times New Roman" w:hAnsi="Times New Roman" w:cs="Times New Roman"/>
          <w:sz w:val="24"/>
          <w:szCs w:val="24"/>
        </w:rPr>
        <w:t>risk marke</w:t>
      </w:r>
      <w:r w:rsidR="008635E5" w:rsidRPr="00AC6DED">
        <w:rPr>
          <w:rFonts w:ascii="Times New Roman" w:hAnsi="Times New Roman" w:cs="Times New Roman"/>
          <w:sz w:val="24"/>
          <w:szCs w:val="24"/>
        </w:rPr>
        <w:t>t but increased them in the low-</w:t>
      </w:r>
      <w:r w:rsidR="000F4B81" w:rsidRPr="00AC6DED">
        <w:rPr>
          <w:rFonts w:ascii="Times New Roman" w:hAnsi="Times New Roman" w:cs="Times New Roman"/>
          <w:sz w:val="24"/>
          <w:szCs w:val="24"/>
        </w:rPr>
        <w:t xml:space="preserve">risk and world markets and thus reversed the usual volatility transmission mechanism. </w:t>
      </w:r>
      <w:r w:rsidR="005D2572">
        <w:rPr>
          <w:rFonts w:ascii="Times New Roman" w:hAnsi="Times New Roman" w:cs="Times New Roman"/>
          <w:sz w:val="24"/>
          <w:szCs w:val="24"/>
        </w:rPr>
        <w:t>However</w:t>
      </w:r>
      <w:r w:rsidR="000F4B81" w:rsidRPr="00AC6DED">
        <w:rPr>
          <w:rFonts w:ascii="Times New Roman" w:hAnsi="Times New Roman" w:cs="Times New Roman"/>
          <w:sz w:val="24"/>
          <w:szCs w:val="24"/>
        </w:rPr>
        <w:t xml:space="preserve">, that reversal quickly ended as the </w:t>
      </w:r>
      <w:r w:rsidR="000F4B81" w:rsidRPr="00AC6DED">
        <w:rPr>
          <w:rFonts w:ascii="Times New Roman" w:hAnsi="Times New Roman" w:cs="Times New Roman"/>
          <w:sz w:val="24"/>
          <w:szCs w:val="24"/>
        </w:rPr>
        <w:lastRenderedPageBreak/>
        <w:t xml:space="preserve">Eurozone debt crisis took prominence. </w:t>
      </w:r>
      <w:r w:rsidR="00EB6237">
        <w:rPr>
          <w:rFonts w:ascii="Times New Roman" w:hAnsi="Times New Roman" w:cs="Times New Roman"/>
          <w:sz w:val="24"/>
          <w:szCs w:val="24"/>
        </w:rPr>
        <w:t xml:space="preserve">Again, </w:t>
      </w:r>
      <w:r w:rsidR="005D2572">
        <w:rPr>
          <w:rFonts w:ascii="Times New Roman" w:hAnsi="Times New Roman" w:cs="Times New Roman"/>
          <w:sz w:val="24"/>
          <w:szCs w:val="24"/>
        </w:rPr>
        <w:t xml:space="preserve">such </w:t>
      </w:r>
      <w:r w:rsidR="00EB6237">
        <w:rPr>
          <w:rFonts w:ascii="Times New Roman" w:hAnsi="Times New Roman" w:cs="Times New Roman"/>
          <w:sz w:val="24"/>
          <w:szCs w:val="24"/>
        </w:rPr>
        <w:t xml:space="preserve">results </w:t>
      </w:r>
      <w:r w:rsidR="005D2572">
        <w:rPr>
          <w:rFonts w:ascii="Times New Roman" w:hAnsi="Times New Roman" w:cs="Times New Roman"/>
          <w:sz w:val="24"/>
          <w:szCs w:val="24"/>
        </w:rPr>
        <w:t xml:space="preserve">clearly </w:t>
      </w:r>
      <w:r w:rsidR="00EB6237">
        <w:rPr>
          <w:rFonts w:ascii="Times New Roman" w:hAnsi="Times New Roman" w:cs="Times New Roman"/>
          <w:sz w:val="24"/>
          <w:szCs w:val="24"/>
        </w:rPr>
        <w:t>indicate that following the onset of the crisis, information from high-risk markets affected low risk markets in a way that did not occur prior to the</w:t>
      </w:r>
      <w:r w:rsidR="000F4B81" w:rsidRPr="00AC6DED">
        <w:rPr>
          <w:rFonts w:ascii="Times New Roman" w:hAnsi="Times New Roman" w:cs="Times New Roman"/>
          <w:sz w:val="24"/>
          <w:szCs w:val="24"/>
        </w:rPr>
        <w:t xml:space="preserve"> </w:t>
      </w:r>
      <w:r w:rsidR="00EB6237">
        <w:rPr>
          <w:rFonts w:ascii="Times New Roman" w:hAnsi="Times New Roman" w:cs="Times New Roman"/>
          <w:sz w:val="24"/>
          <w:szCs w:val="24"/>
        </w:rPr>
        <w:t>crisis period.</w:t>
      </w:r>
    </w:p>
    <w:p w14:paraId="1CE427E7" w14:textId="77777777" w:rsidR="00983014" w:rsidRPr="00A47D41" w:rsidRDefault="00983014" w:rsidP="00F03CE7">
      <w:pPr>
        <w:spacing w:after="0" w:line="480" w:lineRule="auto"/>
        <w:jc w:val="both"/>
        <w:rPr>
          <w:rFonts w:ascii="Times New Roman" w:hAnsi="Times New Roman" w:cs="Times New Roman"/>
          <w:i/>
          <w:sz w:val="24"/>
          <w:szCs w:val="24"/>
        </w:rPr>
      </w:pPr>
    </w:p>
    <w:p w14:paraId="77DB974A" w14:textId="65EF04AF" w:rsidR="00D95A97" w:rsidRPr="00A47D41" w:rsidRDefault="004E3565" w:rsidP="00F03CE7">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t>6. Conclusion</w:t>
      </w:r>
      <w:r w:rsidR="005A197F">
        <w:rPr>
          <w:rFonts w:ascii="Times New Roman" w:hAnsi="Times New Roman" w:cs="Times New Roman"/>
          <w:b/>
          <w:sz w:val="24"/>
          <w:szCs w:val="24"/>
        </w:rPr>
        <w:t>.</w:t>
      </w:r>
    </w:p>
    <w:p w14:paraId="34A999E6" w14:textId="7573DB2D" w:rsidR="003D1170" w:rsidRDefault="000F3CA6" w:rsidP="00F03CE7">
      <w:pPr>
        <w:spacing w:after="0" w:line="480" w:lineRule="auto"/>
        <w:jc w:val="both"/>
        <w:rPr>
          <w:rFonts w:ascii="Times New Roman" w:hAnsi="Times New Roman" w:cs="Times New Roman"/>
          <w:sz w:val="24"/>
          <w:szCs w:val="24"/>
        </w:rPr>
      </w:pPr>
      <w:r w:rsidRPr="00A47D41">
        <w:rPr>
          <w:rFonts w:ascii="Times New Roman" w:hAnsi="Times New Roman" w:cs="Times New Roman"/>
          <w:sz w:val="24"/>
          <w:szCs w:val="24"/>
        </w:rPr>
        <w:t>Th</w:t>
      </w:r>
      <w:r w:rsidR="00EE1978">
        <w:rPr>
          <w:rFonts w:ascii="Times New Roman" w:hAnsi="Times New Roman" w:cs="Times New Roman"/>
          <w:sz w:val="24"/>
          <w:szCs w:val="24"/>
        </w:rPr>
        <w:t>is paper examines th</w:t>
      </w:r>
      <w:r w:rsidRPr="00A47D41">
        <w:rPr>
          <w:rFonts w:ascii="Times New Roman" w:hAnsi="Times New Roman" w:cs="Times New Roman"/>
          <w:sz w:val="24"/>
          <w:szCs w:val="24"/>
        </w:rPr>
        <w:t xml:space="preserve">e </w:t>
      </w:r>
      <w:r w:rsidR="00680711" w:rsidRPr="00A47D41">
        <w:rPr>
          <w:rFonts w:ascii="Times New Roman" w:hAnsi="Times New Roman" w:cs="Times New Roman"/>
          <w:sz w:val="24"/>
          <w:szCs w:val="24"/>
        </w:rPr>
        <w:t xml:space="preserve">impact of </w:t>
      </w:r>
      <w:r w:rsidR="00EE1978">
        <w:rPr>
          <w:rFonts w:ascii="Times New Roman" w:hAnsi="Times New Roman" w:cs="Times New Roman"/>
          <w:sz w:val="24"/>
          <w:szCs w:val="24"/>
        </w:rPr>
        <w:t>the wave of news that began with the collapse of Lehman’</w:t>
      </w:r>
      <w:r w:rsidR="00680711" w:rsidRPr="00A47D41">
        <w:rPr>
          <w:rFonts w:ascii="Times New Roman" w:hAnsi="Times New Roman" w:cs="Times New Roman"/>
          <w:sz w:val="24"/>
          <w:szCs w:val="24"/>
        </w:rPr>
        <w:t>s</w:t>
      </w:r>
      <w:r w:rsidR="00EE1978">
        <w:rPr>
          <w:rFonts w:ascii="Times New Roman" w:hAnsi="Times New Roman" w:cs="Times New Roman"/>
          <w:sz w:val="24"/>
          <w:szCs w:val="24"/>
        </w:rPr>
        <w:t xml:space="preserve"> on the information transition mechanism between European stock markets. </w:t>
      </w:r>
      <w:r w:rsidRPr="00A47D41">
        <w:rPr>
          <w:rFonts w:ascii="Times New Roman" w:hAnsi="Times New Roman" w:cs="Times New Roman"/>
          <w:sz w:val="24"/>
          <w:szCs w:val="24"/>
        </w:rPr>
        <w:t xml:space="preserve">We group </w:t>
      </w:r>
      <w:r w:rsidR="00EE1978">
        <w:rPr>
          <w:rFonts w:ascii="Times New Roman" w:hAnsi="Times New Roman" w:cs="Times New Roman"/>
          <w:sz w:val="24"/>
          <w:szCs w:val="24"/>
        </w:rPr>
        <w:t xml:space="preserve">key </w:t>
      </w:r>
      <w:r w:rsidRPr="00A47D41">
        <w:rPr>
          <w:rFonts w:ascii="Times New Roman" w:hAnsi="Times New Roman" w:cs="Times New Roman"/>
          <w:sz w:val="24"/>
          <w:szCs w:val="24"/>
        </w:rPr>
        <w:t>European stock markets into high</w:t>
      </w:r>
      <w:r w:rsidR="00EE1978">
        <w:rPr>
          <w:rFonts w:ascii="Times New Roman" w:hAnsi="Times New Roman" w:cs="Times New Roman"/>
          <w:sz w:val="24"/>
          <w:szCs w:val="24"/>
        </w:rPr>
        <w:t>-</w:t>
      </w:r>
      <w:r w:rsidRPr="00A47D41">
        <w:rPr>
          <w:rFonts w:ascii="Times New Roman" w:hAnsi="Times New Roman" w:cs="Times New Roman"/>
          <w:sz w:val="24"/>
          <w:szCs w:val="24"/>
        </w:rPr>
        <w:t xml:space="preserve"> and low</w:t>
      </w:r>
      <w:r w:rsidR="008635E5">
        <w:rPr>
          <w:rFonts w:ascii="Times New Roman" w:hAnsi="Times New Roman" w:cs="Times New Roman"/>
          <w:sz w:val="24"/>
          <w:szCs w:val="24"/>
        </w:rPr>
        <w:t>-</w:t>
      </w:r>
      <w:r w:rsidRPr="00A47D41">
        <w:rPr>
          <w:rFonts w:ascii="Times New Roman" w:hAnsi="Times New Roman" w:cs="Times New Roman"/>
          <w:sz w:val="24"/>
          <w:szCs w:val="24"/>
        </w:rPr>
        <w:t xml:space="preserve"> risk</w:t>
      </w:r>
      <w:r w:rsidR="005D2572">
        <w:rPr>
          <w:rFonts w:ascii="Times New Roman" w:hAnsi="Times New Roman" w:cs="Times New Roman"/>
          <w:sz w:val="24"/>
          <w:szCs w:val="24"/>
        </w:rPr>
        <w:t xml:space="preserve"> market</w:t>
      </w:r>
      <w:r w:rsidR="00EE1978">
        <w:rPr>
          <w:rFonts w:ascii="Times New Roman" w:hAnsi="Times New Roman" w:cs="Times New Roman"/>
          <w:sz w:val="24"/>
          <w:szCs w:val="24"/>
        </w:rPr>
        <w:t xml:space="preserve"> portfolios</w:t>
      </w:r>
      <w:r w:rsidRPr="00A47D41">
        <w:rPr>
          <w:rFonts w:ascii="Times New Roman" w:hAnsi="Times New Roman" w:cs="Times New Roman"/>
          <w:sz w:val="24"/>
          <w:szCs w:val="24"/>
        </w:rPr>
        <w:t xml:space="preserve"> and find that the cointegrating </w:t>
      </w:r>
      <w:r w:rsidR="00AC20C2">
        <w:rPr>
          <w:rFonts w:ascii="Times New Roman" w:hAnsi="Times New Roman" w:cs="Times New Roman"/>
          <w:sz w:val="24"/>
          <w:szCs w:val="24"/>
        </w:rPr>
        <w:t>relation</w:t>
      </w:r>
      <w:r w:rsidRPr="00A47D41">
        <w:rPr>
          <w:rFonts w:ascii="Times New Roman" w:hAnsi="Times New Roman" w:cs="Times New Roman"/>
          <w:sz w:val="24"/>
          <w:szCs w:val="24"/>
        </w:rPr>
        <w:t xml:space="preserve"> between these groups that existed before the demise of Lehman Brothers</w:t>
      </w:r>
      <w:r w:rsidR="00D40895" w:rsidRPr="00A47D41">
        <w:rPr>
          <w:rFonts w:ascii="Times New Roman" w:hAnsi="Times New Roman" w:cs="Times New Roman"/>
          <w:sz w:val="24"/>
          <w:szCs w:val="24"/>
        </w:rPr>
        <w:t xml:space="preserve"> disappear</w:t>
      </w:r>
      <w:r w:rsidR="00AB6D27">
        <w:rPr>
          <w:rFonts w:ascii="Times New Roman" w:hAnsi="Times New Roman" w:cs="Times New Roman"/>
          <w:sz w:val="24"/>
          <w:szCs w:val="24"/>
        </w:rPr>
        <w:t>ed</w:t>
      </w:r>
      <w:r w:rsidR="00D40895" w:rsidRPr="00A47D41">
        <w:rPr>
          <w:rFonts w:ascii="Times New Roman" w:hAnsi="Times New Roman" w:cs="Times New Roman"/>
          <w:sz w:val="24"/>
          <w:szCs w:val="24"/>
        </w:rPr>
        <w:t xml:space="preserve"> following that event. </w:t>
      </w:r>
      <w:r w:rsidR="00EE1978">
        <w:rPr>
          <w:rFonts w:ascii="Times New Roman" w:hAnsi="Times New Roman" w:cs="Times New Roman"/>
          <w:sz w:val="24"/>
          <w:szCs w:val="24"/>
        </w:rPr>
        <w:t>T</w:t>
      </w:r>
      <w:r w:rsidR="00D40895" w:rsidRPr="00A47D41">
        <w:rPr>
          <w:rFonts w:ascii="Times New Roman" w:hAnsi="Times New Roman" w:cs="Times New Roman"/>
          <w:sz w:val="24"/>
          <w:szCs w:val="24"/>
        </w:rPr>
        <w:t xml:space="preserve">he imposition of short selling restrictions </w:t>
      </w:r>
      <w:r w:rsidR="00EE1978">
        <w:rPr>
          <w:rFonts w:ascii="Times New Roman" w:hAnsi="Times New Roman" w:cs="Times New Roman"/>
          <w:sz w:val="24"/>
          <w:szCs w:val="24"/>
        </w:rPr>
        <w:t xml:space="preserve">that followed does not appear to </w:t>
      </w:r>
      <w:r w:rsidR="00D40895" w:rsidRPr="00A47D41">
        <w:rPr>
          <w:rFonts w:ascii="Times New Roman" w:hAnsi="Times New Roman" w:cs="Times New Roman"/>
          <w:sz w:val="24"/>
          <w:szCs w:val="24"/>
        </w:rPr>
        <w:t>re-establish</w:t>
      </w:r>
      <w:r w:rsidR="00EE1978">
        <w:rPr>
          <w:rFonts w:ascii="Times New Roman" w:hAnsi="Times New Roman" w:cs="Times New Roman"/>
          <w:sz w:val="24"/>
          <w:szCs w:val="24"/>
        </w:rPr>
        <w:t xml:space="preserve"> </w:t>
      </w:r>
      <w:r w:rsidR="00D40895" w:rsidRPr="00A47D41">
        <w:rPr>
          <w:rFonts w:ascii="Times New Roman" w:hAnsi="Times New Roman" w:cs="Times New Roman"/>
          <w:sz w:val="24"/>
          <w:szCs w:val="24"/>
        </w:rPr>
        <w:t xml:space="preserve">this long run </w:t>
      </w:r>
      <w:r w:rsidR="00AC20C2">
        <w:rPr>
          <w:rFonts w:ascii="Times New Roman" w:hAnsi="Times New Roman" w:cs="Times New Roman"/>
          <w:sz w:val="24"/>
          <w:szCs w:val="24"/>
        </w:rPr>
        <w:t>relation</w:t>
      </w:r>
      <w:r w:rsidR="00D40895" w:rsidRPr="00A47D41">
        <w:rPr>
          <w:rFonts w:ascii="Times New Roman" w:hAnsi="Times New Roman" w:cs="Times New Roman"/>
          <w:sz w:val="24"/>
          <w:szCs w:val="24"/>
        </w:rPr>
        <w:t>. We also find</w:t>
      </w:r>
      <w:r w:rsidR="00EE1978">
        <w:rPr>
          <w:rFonts w:ascii="Times New Roman" w:hAnsi="Times New Roman" w:cs="Times New Roman"/>
          <w:sz w:val="24"/>
          <w:szCs w:val="24"/>
        </w:rPr>
        <w:t>,</w:t>
      </w:r>
      <w:r w:rsidR="00D40895" w:rsidRPr="00A47D41">
        <w:rPr>
          <w:rFonts w:ascii="Times New Roman" w:hAnsi="Times New Roman" w:cs="Times New Roman"/>
          <w:sz w:val="24"/>
          <w:szCs w:val="24"/>
        </w:rPr>
        <w:t xml:space="preserve"> using Granger causality</w:t>
      </w:r>
      <w:r w:rsidR="00EE1978">
        <w:rPr>
          <w:rFonts w:ascii="Times New Roman" w:hAnsi="Times New Roman" w:cs="Times New Roman"/>
          <w:sz w:val="24"/>
          <w:szCs w:val="24"/>
        </w:rPr>
        <w:t>,</w:t>
      </w:r>
      <w:r w:rsidR="00D40895" w:rsidRPr="00A47D41">
        <w:rPr>
          <w:rFonts w:ascii="Times New Roman" w:hAnsi="Times New Roman" w:cs="Times New Roman"/>
          <w:sz w:val="24"/>
          <w:szCs w:val="24"/>
        </w:rPr>
        <w:t xml:space="preserve"> that </w:t>
      </w:r>
      <w:r w:rsidR="00EE1978">
        <w:rPr>
          <w:rFonts w:ascii="Times New Roman" w:hAnsi="Times New Roman" w:cs="Times New Roman"/>
          <w:sz w:val="24"/>
          <w:szCs w:val="24"/>
        </w:rPr>
        <w:t xml:space="preserve">stock return </w:t>
      </w:r>
      <w:r w:rsidR="00D40895" w:rsidRPr="00A47D41">
        <w:rPr>
          <w:rFonts w:ascii="Times New Roman" w:hAnsi="Times New Roman" w:cs="Times New Roman"/>
          <w:sz w:val="24"/>
          <w:szCs w:val="24"/>
        </w:rPr>
        <w:t>information transmission prior</w:t>
      </w:r>
      <w:r w:rsidR="004D3EAD" w:rsidRPr="00A47D41">
        <w:rPr>
          <w:rFonts w:ascii="Times New Roman" w:hAnsi="Times New Roman" w:cs="Times New Roman"/>
          <w:sz w:val="24"/>
          <w:szCs w:val="24"/>
        </w:rPr>
        <w:t xml:space="preserve"> to September 2008 was from low-</w:t>
      </w:r>
      <w:r w:rsidR="00D40895" w:rsidRPr="00A47D41">
        <w:rPr>
          <w:rFonts w:ascii="Times New Roman" w:hAnsi="Times New Roman" w:cs="Times New Roman"/>
          <w:sz w:val="24"/>
          <w:szCs w:val="24"/>
        </w:rPr>
        <w:t>risk to high</w:t>
      </w:r>
      <w:r w:rsidR="004D3EAD" w:rsidRPr="00A47D41">
        <w:rPr>
          <w:rFonts w:ascii="Times New Roman" w:hAnsi="Times New Roman" w:cs="Times New Roman"/>
          <w:sz w:val="24"/>
          <w:szCs w:val="24"/>
        </w:rPr>
        <w:t>-</w:t>
      </w:r>
      <w:r w:rsidR="00D40895" w:rsidRPr="00A47D41">
        <w:rPr>
          <w:rFonts w:ascii="Times New Roman" w:hAnsi="Times New Roman" w:cs="Times New Roman"/>
          <w:sz w:val="24"/>
          <w:szCs w:val="24"/>
        </w:rPr>
        <w:t>risk stock markets. After this date the causality becomes bi-directional s</w:t>
      </w:r>
      <w:r w:rsidR="008635E5">
        <w:rPr>
          <w:rFonts w:ascii="Times New Roman" w:hAnsi="Times New Roman" w:cs="Times New Roman"/>
          <w:sz w:val="24"/>
          <w:szCs w:val="24"/>
        </w:rPr>
        <w:t>uggesting that investors in low-</w:t>
      </w:r>
      <w:r w:rsidR="00D40895" w:rsidRPr="00A47D41">
        <w:rPr>
          <w:rFonts w:ascii="Times New Roman" w:hAnsi="Times New Roman" w:cs="Times New Roman"/>
          <w:sz w:val="24"/>
          <w:szCs w:val="24"/>
        </w:rPr>
        <w:t xml:space="preserve">risk stock markets now take greater </w:t>
      </w:r>
      <w:r w:rsidR="004D3EAD" w:rsidRPr="00A47D41">
        <w:rPr>
          <w:rFonts w:ascii="Times New Roman" w:hAnsi="Times New Roman" w:cs="Times New Roman"/>
          <w:sz w:val="24"/>
          <w:szCs w:val="24"/>
        </w:rPr>
        <w:t xml:space="preserve">notice of information </w:t>
      </w:r>
      <w:r w:rsidR="00483D56">
        <w:rPr>
          <w:rFonts w:ascii="Times New Roman" w:hAnsi="Times New Roman" w:cs="Times New Roman"/>
          <w:sz w:val="24"/>
          <w:szCs w:val="24"/>
        </w:rPr>
        <w:t xml:space="preserve">emanating </w:t>
      </w:r>
      <w:r w:rsidR="004D3EAD" w:rsidRPr="00A47D41">
        <w:rPr>
          <w:rFonts w:ascii="Times New Roman" w:hAnsi="Times New Roman" w:cs="Times New Roman"/>
          <w:sz w:val="24"/>
          <w:szCs w:val="24"/>
        </w:rPr>
        <w:t>from high-</w:t>
      </w:r>
      <w:r w:rsidR="00D40895" w:rsidRPr="00A47D41">
        <w:rPr>
          <w:rFonts w:ascii="Times New Roman" w:hAnsi="Times New Roman" w:cs="Times New Roman"/>
          <w:sz w:val="24"/>
          <w:szCs w:val="24"/>
        </w:rPr>
        <w:t>risk markets due to the</w:t>
      </w:r>
      <w:r w:rsidR="00483D56">
        <w:rPr>
          <w:rFonts w:ascii="Times New Roman" w:hAnsi="Times New Roman" w:cs="Times New Roman"/>
          <w:sz w:val="24"/>
          <w:szCs w:val="24"/>
        </w:rPr>
        <w:t>ir</w:t>
      </w:r>
      <w:r w:rsidR="00D40895" w:rsidRPr="00A47D41">
        <w:rPr>
          <w:rFonts w:ascii="Times New Roman" w:hAnsi="Times New Roman" w:cs="Times New Roman"/>
          <w:sz w:val="24"/>
          <w:szCs w:val="24"/>
        </w:rPr>
        <w:t xml:space="preserve"> in</w:t>
      </w:r>
      <w:r w:rsidR="00483D56">
        <w:rPr>
          <w:rFonts w:ascii="Times New Roman" w:hAnsi="Times New Roman" w:cs="Times New Roman"/>
          <w:sz w:val="24"/>
          <w:szCs w:val="24"/>
        </w:rPr>
        <w:t>st</w:t>
      </w:r>
      <w:r w:rsidR="00D40895" w:rsidRPr="00A47D41">
        <w:rPr>
          <w:rFonts w:ascii="Times New Roman" w:hAnsi="Times New Roman" w:cs="Times New Roman"/>
          <w:sz w:val="24"/>
          <w:szCs w:val="24"/>
        </w:rPr>
        <w:t>ability.</w:t>
      </w:r>
      <w:r w:rsidR="00B974C6" w:rsidRPr="00A47D41">
        <w:rPr>
          <w:rFonts w:ascii="Times New Roman" w:hAnsi="Times New Roman" w:cs="Times New Roman"/>
          <w:sz w:val="24"/>
          <w:szCs w:val="24"/>
        </w:rPr>
        <w:t xml:space="preserve"> </w:t>
      </w:r>
      <w:r w:rsidR="00EE1978">
        <w:rPr>
          <w:rFonts w:ascii="Times New Roman" w:hAnsi="Times New Roman" w:cs="Times New Roman"/>
          <w:sz w:val="24"/>
          <w:szCs w:val="24"/>
        </w:rPr>
        <w:t>E</w:t>
      </w:r>
      <w:r w:rsidR="00B974C6" w:rsidRPr="00A47D41">
        <w:rPr>
          <w:rFonts w:ascii="Times New Roman" w:hAnsi="Times New Roman" w:cs="Times New Roman"/>
          <w:sz w:val="24"/>
          <w:szCs w:val="24"/>
        </w:rPr>
        <w:t xml:space="preserve">vidence </w:t>
      </w:r>
      <w:r w:rsidR="00EE1978">
        <w:rPr>
          <w:rFonts w:ascii="Times New Roman" w:hAnsi="Times New Roman" w:cs="Times New Roman"/>
          <w:sz w:val="24"/>
          <w:szCs w:val="24"/>
        </w:rPr>
        <w:t xml:space="preserve">also </w:t>
      </w:r>
      <w:r w:rsidR="00B974C6" w:rsidRPr="00A47D41">
        <w:rPr>
          <w:rFonts w:ascii="Times New Roman" w:hAnsi="Times New Roman" w:cs="Times New Roman"/>
          <w:sz w:val="24"/>
          <w:szCs w:val="24"/>
        </w:rPr>
        <w:t xml:space="preserve">supports the </w:t>
      </w:r>
      <w:r w:rsidR="00EE1978">
        <w:rPr>
          <w:rFonts w:ascii="Times New Roman" w:hAnsi="Times New Roman" w:cs="Times New Roman"/>
          <w:sz w:val="24"/>
          <w:szCs w:val="24"/>
        </w:rPr>
        <w:t xml:space="preserve">view that </w:t>
      </w:r>
      <w:r w:rsidR="00B974C6" w:rsidRPr="00A47D41">
        <w:rPr>
          <w:rFonts w:ascii="Times New Roman" w:hAnsi="Times New Roman" w:cs="Times New Roman"/>
          <w:sz w:val="24"/>
          <w:szCs w:val="24"/>
        </w:rPr>
        <w:t xml:space="preserve">volatility </w:t>
      </w:r>
      <w:r w:rsidR="002A3AE7" w:rsidRPr="00A47D41">
        <w:rPr>
          <w:rFonts w:ascii="Times New Roman" w:hAnsi="Times New Roman" w:cs="Times New Roman"/>
          <w:sz w:val="24"/>
          <w:szCs w:val="24"/>
        </w:rPr>
        <w:t>spillover</w:t>
      </w:r>
      <w:r w:rsidR="004D3EAD" w:rsidRPr="00A47D41">
        <w:rPr>
          <w:rFonts w:ascii="Times New Roman" w:hAnsi="Times New Roman" w:cs="Times New Roman"/>
          <w:sz w:val="24"/>
          <w:szCs w:val="24"/>
        </w:rPr>
        <w:t xml:space="preserve"> emanat</w:t>
      </w:r>
      <w:r w:rsidR="00EE1978">
        <w:rPr>
          <w:rFonts w:ascii="Times New Roman" w:hAnsi="Times New Roman" w:cs="Times New Roman"/>
          <w:sz w:val="24"/>
          <w:szCs w:val="24"/>
        </w:rPr>
        <w:t xml:space="preserve">e </w:t>
      </w:r>
      <w:r w:rsidR="004D3EAD" w:rsidRPr="00A47D41">
        <w:rPr>
          <w:rFonts w:ascii="Times New Roman" w:hAnsi="Times New Roman" w:cs="Times New Roman"/>
          <w:sz w:val="24"/>
          <w:szCs w:val="24"/>
        </w:rPr>
        <w:t>from high-risk to low-</w:t>
      </w:r>
      <w:r w:rsidR="00B974C6" w:rsidRPr="00A47D41">
        <w:rPr>
          <w:rFonts w:ascii="Times New Roman" w:hAnsi="Times New Roman" w:cs="Times New Roman"/>
          <w:sz w:val="24"/>
          <w:szCs w:val="24"/>
        </w:rPr>
        <w:t xml:space="preserve">risk stocks after </w:t>
      </w:r>
      <w:r w:rsidR="00EE1978">
        <w:rPr>
          <w:rFonts w:ascii="Times New Roman" w:hAnsi="Times New Roman" w:cs="Times New Roman"/>
          <w:sz w:val="24"/>
          <w:szCs w:val="24"/>
        </w:rPr>
        <w:t>this date</w:t>
      </w:r>
      <w:r w:rsidR="00B974C6" w:rsidRPr="00A47D41">
        <w:rPr>
          <w:rFonts w:ascii="Times New Roman" w:hAnsi="Times New Roman" w:cs="Times New Roman"/>
          <w:sz w:val="24"/>
          <w:szCs w:val="24"/>
        </w:rPr>
        <w:t xml:space="preserve">, reversing the pattern </w:t>
      </w:r>
      <w:r w:rsidR="00EE1978">
        <w:rPr>
          <w:rFonts w:ascii="Times New Roman" w:hAnsi="Times New Roman" w:cs="Times New Roman"/>
          <w:sz w:val="24"/>
          <w:szCs w:val="24"/>
        </w:rPr>
        <w:t>that existent prior to it.</w:t>
      </w:r>
      <w:r w:rsidR="005D04C9">
        <w:rPr>
          <w:rFonts w:ascii="Times New Roman" w:hAnsi="Times New Roman" w:cs="Times New Roman"/>
          <w:sz w:val="24"/>
          <w:szCs w:val="24"/>
        </w:rPr>
        <w:t xml:space="preserve"> </w:t>
      </w:r>
    </w:p>
    <w:p w14:paraId="3A85EF84" w14:textId="231D6770" w:rsidR="00D40895" w:rsidRPr="00A47D41" w:rsidRDefault="003D1170" w:rsidP="00C80B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sum, </w:t>
      </w:r>
      <w:r w:rsidR="00EE1978">
        <w:rPr>
          <w:rFonts w:ascii="Times New Roman" w:hAnsi="Times New Roman" w:cs="Times New Roman"/>
          <w:sz w:val="24"/>
          <w:szCs w:val="24"/>
        </w:rPr>
        <w:t>o</w:t>
      </w:r>
      <w:r w:rsidR="00107947">
        <w:rPr>
          <w:rFonts w:ascii="Times New Roman" w:hAnsi="Times New Roman" w:cs="Times New Roman"/>
          <w:sz w:val="24"/>
          <w:szCs w:val="24"/>
        </w:rPr>
        <w:t xml:space="preserve">ur results show that following the onset of the crisis the long-run relation between markets broke down. Equally, </w:t>
      </w:r>
      <w:r w:rsidR="00EE1978">
        <w:rPr>
          <w:rFonts w:ascii="Times New Roman" w:hAnsi="Times New Roman" w:cs="Times New Roman"/>
          <w:sz w:val="24"/>
          <w:szCs w:val="24"/>
        </w:rPr>
        <w:t xml:space="preserve">the </w:t>
      </w:r>
      <w:r w:rsidR="00107947">
        <w:rPr>
          <w:rFonts w:ascii="Times New Roman" w:hAnsi="Times New Roman" w:cs="Times New Roman"/>
          <w:sz w:val="24"/>
          <w:szCs w:val="24"/>
        </w:rPr>
        <w:t xml:space="preserve">short-run information transmission through both the mean and variance showed a change in behaviour with high-risk markets influencing low-risk </w:t>
      </w:r>
      <w:r w:rsidR="00AF70D8">
        <w:rPr>
          <w:rFonts w:ascii="Times New Roman" w:hAnsi="Times New Roman" w:cs="Times New Roman"/>
          <w:sz w:val="24"/>
          <w:szCs w:val="24"/>
        </w:rPr>
        <w:t>markets</w:t>
      </w:r>
      <w:r w:rsidR="00EE1978">
        <w:rPr>
          <w:rFonts w:ascii="Times New Roman" w:hAnsi="Times New Roman" w:cs="Times New Roman"/>
          <w:sz w:val="24"/>
          <w:szCs w:val="24"/>
        </w:rPr>
        <w:t>, in contrast to the reverse pattern that existed prior to the crisis.</w:t>
      </w:r>
      <w:r w:rsidR="00AF70D8">
        <w:rPr>
          <w:rFonts w:ascii="Times New Roman" w:hAnsi="Times New Roman" w:cs="Times New Roman"/>
          <w:sz w:val="24"/>
          <w:szCs w:val="24"/>
        </w:rPr>
        <w:t xml:space="preserve"> </w:t>
      </w:r>
      <w:r w:rsidR="00522494">
        <w:rPr>
          <w:rFonts w:ascii="Times New Roman" w:hAnsi="Times New Roman" w:cs="Times New Roman"/>
          <w:sz w:val="24"/>
          <w:szCs w:val="24"/>
        </w:rPr>
        <w:t>It is hoped that the results presented here will be useful to both policy makers and academics in understanding the interaction between markets.</w:t>
      </w:r>
      <w:r w:rsidR="00107947">
        <w:rPr>
          <w:rFonts w:ascii="Times New Roman" w:hAnsi="Times New Roman" w:cs="Times New Roman"/>
          <w:sz w:val="24"/>
          <w:szCs w:val="24"/>
        </w:rPr>
        <w:t xml:space="preserve"> </w:t>
      </w:r>
    </w:p>
    <w:p w14:paraId="06A966D6" w14:textId="2FACA844" w:rsidR="000A1404" w:rsidRDefault="000A1404" w:rsidP="00F03CE7">
      <w:pPr>
        <w:spacing w:after="0" w:line="480" w:lineRule="auto"/>
        <w:jc w:val="both"/>
        <w:rPr>
          <w:rFonts w:ascii="Times New Roman" w:hAnsi="Times New Roman" w:cs="Times New Roman"/>
          <w:b/>
          <w:sz w:val="24"/>
          <w:szCs w:val="24"/>
        </w:rPr>
      </w:pPr>
    </w:p>
    <w:p w14:paraId="2D03C874" w14:textId="77777777" w:rsidR="008015CA" w:rsidRDefault="008015CA" w:rsidP="00F03CE7">
      <w:pPr>
        <w:spacing w:after="0" w:line="480" w:lineRule="auto"/>
        <w:jc w:val="both"/>
        <w:rPr>
          <w:rFonts w:ascii="Times New Roman" w:hAnsi="Times New Roman" w:cs="Times New Roman"/>
          <w:b/>
          <w:sz w:val="24"/>
          <w:szCs w:val="24"/>
        </w:rPr>
      </w:pPr>
    </w:p>
    <w:p w14:paraId="2A814FB1" w14:textId="77777777" w:rsidR="00C97ED1" w:rsidRPr="00A47D41" w:rsidRDefault="00C97ED1" w:rsidP="00F03CE7">
      <w:pPr>
        <w:spacing w:line="480" w:lineRule="auto"/>
        <w:rPr>
          <w:rFonts w:ascii="Times New Roman" w:hAnsi="Times New Roman" w:cs="Times New Roman"/>
          <w:b/>
          <w:sz w:val="24"/>
          <w:szCs w:val="24"/>
        </w:rPr>
        <w:sectPr w:rsidR="00C97ED1" w:rsidRPr="00A47D41" w:rsidSect="00680711">
          <w:footerReference w:type="default" r:id="rId104"/>
          <w:pgSz w:w="11906" w:h="16838" w:code="9"/>
          <w:pgMar w:top="1440" w:right="1440" w:bottom="1440" w:left="1440" w:header="709" w:footer="709" w:gutter="0"/>
          <w:cols w:space="708"/>
          <w:docGrid w:linePitch="360"/>
        </w:sectPr>
      </w:pPr>
    </w:p>
    <w:p w14:paraId="3DDB07AD" w14:textId="77777777" w:rsidR="008E7A21" w:rsidRPr="00A47D41" w:rsidRDefault="008E7A21" w:rsidP="00522494">
      <w:pPr>
        <w:spacing w:after="0" w:line="240" w:lineRule="auto"/>
        <w:rPr>
          <w:rFonts w:ascii="Times New Roman" w:hAnsi="Times New Roman" w:cs="Times New Roman"/>
          <w:b/>
          <w:sz w:val="24"/>
          <w:szCs w:val="24"/>
        </w:rPr>
      </w:pPr>
      <w:r w:rsidRPr="00A47D41">
        <w:rPr>
          <w:rFonts w:ascii="Times New Roman" w:hAnsi="Times New Roman" w:cs="Times New Roman"/>
          <w:b/>
          <w:sz w:val="24"/>
          <w:szCs w:val="24"/>
        </w:rPr>
        <w:lastRenderedPageBreak/>
        <w:t>Bibliography</w:t>
      </w:r>
    </w:p>
    <w:p w14:paraId="411BE4CE" w14:textId="77777777" w:rsidR="00522494" w:rsidRDefault="00522494" w:rsidP="00522494">
      <w:pPr>
        <w:spacing w:after="0" w:line="240" w:lineRule="auto"/>
        <w:rPr>
          <w:rFonts w:ascii="Times New Roman" w:hAnsi="Times New Roman" w:cs="Times New Roman"/>
          <w:sz w:val="24"/>
          <w:szCs w:val="24"/>
        </w:rPr>
      </w:pPr>
    </w:p>
    <w:p w14:paraId="72BA9F09" w14:textId="7A7C6883" w:rsidR="001E3CA0" w:rsidRPr="00B03D95" w:rsidRDefault="001E3CA0" w:rsidP="00522494">
      <w:pPr>
        <w:spacing w:after="0" w:line="240" w:lineRule="auto"/>
        <w:rPr>
          <w:rFonts w:ascii="Times New Roman" w:hAnsi="Times New Roman" w:cs="Times New Roman"/>
          <w:i/>
          <w:sz w:val="24"/>
          <w:szCs w:val="24"/>
        </w:rPr>
      </w:pPr>
      <w:r w:rsidRPr="001E3CA0">
        <w:rPr>
          <w:rFonts w:ascii="Times New Roman" w:hAnsi="Times New Roman" w:cs="Times New Roman"/>
          <w:sz w:val="24"/>
          <w:szCs w:val="24"/>
        </w:rPr>
        <w:t>Acharya, V.,</w:t>
      </w:r>
      <w:r>
        <w:rPr>
          <w:rFonts w:ascii="Times New Roman" w:hAnsi="Times New Roman" w:cs="Times New Roman"/>
          <w:sz w:val="24"/>
          <w:szCs w:val="24"/>
        </w:rPr>
        <w:t xml:space="preserve"> and </w:t>
      </w:r>
      <w:r w:rsidRPr="001E3CA0">
        <w:rPr>
          <w:rFonts w:ascii="Times New Roman" w:hAnsi="Times New Roman" w:cs="Times New Roman"/>
          <w:sz w:val="24"/>
          <w:szCs w:val="24"/>
        </w:rPr>
        <w:t>Pedersen,</w:t>
      </w:r>
      <w:r>
        <w:rPr>
          <w:rFonts w:ascii="Times New Roman" w:hAnsi="Times New Roman" w:cs="Times New Roman"/>
          <w:sz w:val="24"/>
          <w:szCs w:val="24"/>
        </w:rPr>
        <w:t xml:space="preserve"> </w:t>
      </w:r>
      <w:r w:rsidRPr="001E3CA0">
        <w:rPr>
          <w:rFonts w:ascii="Times New Roman" w:hAnsi="Times New Roman" w:cs="Times New Roman"/>
          <w:sz w:val="24"/>
          <w:szCs w:val="24"/>
        </w:rPr>
        <w:t>L.,</w:t>
      </w:r>
      <w:r>
        <w:rPr>
          <w:rFonts w:ascii="Times New Roman" w:hAnsi="Times New Roman" w:cs="Times New Roman"/>
          <w:sz w:val="24"/>
          <w:szCs w:val="24"/>
        </w:rPr>
        <w:t xml:space="preserve"> (</w:t>
      </w:r>
      <w:r w:rsidRPr="001E3CA0">
        <w:rPr>
          <w:rFonts w:ascii="Times New Roman" w:hAnsi="Times New Roman" w:cs="Times New Roman"/>
          <w:sz w:val="24"/>
          <w:szCs w:val="24"/>
        </w:rPr>
        <w:t>2005</w:t>
      </w:r>
      <w:r>
        <w:rPr>
          <w:rFonts w:ascii="Times New Roman" w:hAnsi="Times New Roman" w:cs="Times New Roman"/>
          <w:sz w:val="24"/>
          <w:szCs w:val="24"/>
        </w:rPr>
        <w:t>)</w:t>
      </w:r>
      <w:r w:rsidRPr="001E3CA0">
        <w:rPr>
          <w:rFonts w:ascii="Times New Roman" w:hAnsi="Times New Roman" w:cs="Times New Roman"/>
          <w:sz w:val="24"/>
          <w:szCs w:val="24"/>
        </w:rPr>
        <w:t>.</w:t>
      </w:r>
      <w:r>
        <w:rPr>
          <w:rFonts w:ascii="Times New Roman" w:hAnsi="Times New Roman" w:cs="Times New Roman"/>
          <w:sz w:val="24"/>
          <w:szCs w:val="24"/>
        </w:rPr>
        <w:t xml:space="preserve"> </w:t>
      </w:r>
      <w:r w:rsidRPr="001E3CA0">
        <w:rPr>
          <w:rFonts w:ascii="Times New Roman" w:hAnsi="Times New Roman" w:cs="Times New Roman"/>
          <w:sz w:val="24"/>
          <w:szCs w:val="24"/>
        </w:rPr>
        <w:t>Asset</w:t>
      </w:r>
      <w:r>
        <w:rPr>
          <w:rFonts w:ascii="Times New Roman" w:hAnsi="Times New Roman" w:cs="Times New Roman"/>
          <w:sz w:val="24"/>
          <w:szCs w:val="24"/>
        </w:rPr>
        <w:t xml:space="preserve"> </w:t>
      </w:r>
      <w:r w:rsidRPr="001E3CA0">
        <w:rPr>
          <w:rFonts w:ascii="Times New Roman" w:hAnsi="Times New Roman" w:cs="Times New Roman"/>
          <w:sz w:val="24"/>
          <w:szCs w:val="24"/>
        </w:rPr>
        <w:t>pricing</w:t>
      </w:r>
      <w:r>
        <w:rPr>
          <w:rFonts w:ascii="Times New Roman" w:hAnsi="Times New Roman" w:cs="Times New Roman"/>
          <w:sz w:val="24"/>
          <w:szCs w:val="24"/>
        </w:rPr>
        <w:t xml:space="preserve"> </w:t>
      </w:r>
      <w:r w:rsidRPr="001E3CA0">
        <w:rPr>
          <w:rFonts w:ascii="Times New Roman" w:hAnsi="Times New Roman" w:cs="Times New Roman"/>
          <w:sz w:val="24"/>
          <w:szCs w:val="24"/>
        </w:rPr>
        <w:t>with</w:t>
      </w:r>
      <w:r>
        <w:rPr>
          <w:rFonts w:ascii="Times New Roman" w:hAnsi="Times New Roman" w:cs="Times New Roman"/>
          <w:sz w:val="24"/>
          <w:szCs w:val="24"/>
        </w:rPr>
        <w:t xml:space="preserve"> </w:t>
      </w:r>
      <w:r w:rsidRPr="001E3CA0">
        <w:rPr>
          <w:rFonts w:ascii="Times New Roman" w:hAnsi="Times New Roman" w:cs="Times New Roman"/>
          <w:sz w:val="24"/>
          <w:szCs w:val="24"/>
        </w:rPr>
        <w:t>liquidity</w:t>
      </w:r>
      <w:r>
        <w:rPr>
          <w:rFonts w:ascii="Times New Roman" w:hAnsi="Times New Roman" w:cs="Times New Roman"/>
          <w:sz w:val="24"/>
          <w:szCs w:val="24"/>
        </w:rPr>
        <w:t xml:space="preserve"> </w:t>
      </w:r>
      <w:r w:rsidRPr="001E3CA0">
        <w:rPr>
          <w:rFonts w:ascii="Times New Roman" w:hAnsi="Times New Roman" w:cs="Times New Roman"/>
          <w:sz w:val="24"/>
          <w:szCs w:val="24"/>
        </w:rPr>
        <w:t>risk.</w:t>
      </w:r>
      <w:r>
        <w:rPr>
          <w:rFonts w:ascii="Times New Roman" w:hAnsi="Times New Roman" w:cs="Times New Roman"/>
          <w:sz w:val="24"/>
          <w:szCs w:val="24"/>
        </w:rPr>
        <w:t xml:space="preserve"> </w:t>
      </w:r>
      <w:r w:rsidRPr="00B03D95">
        <w:rPr>
          <w:rFonts w:ascii="Times New Roman" w:hAnsi="Times New Roman" w:cs="Times New Roman"/>
          <w:i/>
          <w:sz w:val="24"/>
          <w:szCs w:val="24"/>
        </w:rPr>
        <w:t>Journal</w:t>
      </w:r>
    </w:p>
    <w:p w14:paraId="43974FCB" w14:textId="0C72F402" w:rsidR="001E3CA0" w:rsidRDefault="001E3CA0" w:rsidP="00522494">
      <w:pPr>
        <w:spacing w:after="0" w:line="240" w:lineRule="auto"/>
        <w:rPr>
          <w:rFonts w:ascii="Times New Roman" w:hAnsi="Times New Roman" w:cs="Times New Roman"/>
          <w:sz w:val="24"/>
          <w:szCs w:val="24"/>
        </w:rPr>
      </w:pPr>
      <w:r w:rsidRPr="00B03D95">
        <w:rPr>
          <w:rFonts w:ascii="Times New Roman" w:hAnsi="Times New Roman" w:cs="Times New Roman"/>
          <w:i/>
          <w:sz w:val="24"/>
          <w:szCs w:val="24"/>
        </w:rPr>
        <w:t>of Financial Economics</w:t>
      </w:r>
      <w:r w:rsidR="00B03D95">
        <w:rPr>
          <w:rFonts w:ascii="Times New Roman" w:hAnsi="Times New Roman" w:cs="Times New Roman"/>
          <w:i/>
          <w:sz w:val="24"/>
          <w:szCs w:val="24"/>
        </w:rPr>
        <w:t>,</w:t>
      </w:r>
      <w:r w:rsidRPr="00B03D95">
        <w:rPr>
          <w:rFonts w:ascii="Times New Roman" w:hAnsi="Times New Roman" w:cs="Times New Roman"/>
          <w:i/>
          <w:sz w:val="24"/>
          <w:szCs w:val="24"/>
        </w:rPr>
        <w:t xml:space="preserve"> </w:t>
      </w:r>
      <w:r w:rsidRPr="001E3CA0">
        <w:rPr>
          <w:rFonts w:ascii="Times New Roman" w:hAnsi="Times New Roman" w:cs="Times New Roman"/>
          <w:sz w:val="24"/>
          <w:szCs w:val="24"/>
        </w:rPr>
        <w:t>77,</w:t>
      </w:r>
      <w:r>
        <w:rPr>
          <w:rFonts w:ascii="Times New Roman" w:hAnsi="Times New Roman" w:cs="Times New Roman"/>
          <w:sz w:val="24"/>
          <w:szCs w:val="24"/>
        </w:rPr>
        <w:t xml:space="preserve"> pp </w:t>
      </w:r>
      <w:r w:rsidRPr="001E3CA0">
        <w:rPr>
          <w:rFonts w:ascii="Times New Roman" w:hAnsi="Times New Roman" w:cs="Times New Roman"/>
          <w:sz w:val="24"/>
          <w:szCs w:val="24"/>
        </w:rPr>
        <w:t>375–410.</w:t>
      </w:r>
    </w:p>
    <w:p w14:paraId="66258268" w14:textId="77777777" w:rsidR="00522494" w:rsidRDefault="00522494" w:rsidP="00522494">
      <w:pPr>
        <w:spacing w:after="0" w:line="240" w:lineRule="auto"/>
        <w:rPr>
          <w:rFonts w:ascii="Times New Roman" w:hAnsi="Times New Roman" w:cs="Times New Roman"/>
          <w:sz w:val="24"/>
          <w:szCs w:val="24"/>
        </w:rPr>
      </w:pPr>
    </w:p>
    <w:p w14:paraId="16C2518A" w14:textId="2A3D268D" w:rsidR="00A9049D" w:rsidRPr="00A47D41" w:rsidRDefault="00A9049D"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Allen</w:t>
      </w:r>
      <w:r w:rsidR="00500CA2" w:rsidRPr="00A47D41">
        <w:rPr>
          <w:rFonts w:ascii="Times New Roman" w:hAnsi="Times New Roman" w:cs="Times New Roman"/>
          <w:sz w:val="24"/>
          <w:szCs w:val="24"/>
        </w:rPr>
        <w:t xml:space="preserve">, F. </w:t>
      </w:r>
      <w:r w:rsidRPr="00A47D41">
        <w:rPr>
          <w:rFonts w:ascii="Times New Roman" w:hAnsi="Times New Roman" w:cs="Times New Roman"/>
          <w:sz w:val="24"/>
          <w:szCs w:val="24"/>
        </w:rPr>
        <w:t xml:space="preserve">and </w:t>
      </w:r>
      <w:r w:rsidR="006E7622" w:rsidRPr="00A47D41">
        <w:rPr>
          <w:rFonts w:ascii="Times New Roman" w:hAnsi="Times New Roman" w:cs="Times New Roman"/>
          <w:sz w:val="24"/>
          <w:szCs w:val="24"/>
        </w:rPr>
        <w:t xml:space="preserve">D. </w:t>
      </w:r>
      <w:r w:rsidRPr="00A47D41">
        <w:rPr>
          <w:rFonts w:ascii="Times New Roman" w:hAnsi="Times New Roman" w:cs="Times New Roman"/>
          <w:sz w:val="24"/>
          <w:szCs w:val="24"/>
        </w:rPr>
        <w:t>Gale (1991)</w:t>
      </w:r>
      <w:r w:rsidR="00500CA2" w:rsidRPr="00A47D41">
        <w:rPr>
          <w:rFonts w:ascii="Times New Roman" w:hAnsi="Times New Roman" w:cs="Times New Roman"/>
          <w:sz w:val="24"/>
          <w:szCs w:val="24"/>
        </w:rPr>
        <w:t xml:space="preserve">. Arbitrage, Short-Sales, and Financial Innovation. </w:t>
      </w:r>
      <w:r w:rsidR="00500CA2" w:rsidRPr="00B03D95">
        <w:rPr>
          <w:rFonts w:ascii="Times New Roman" w:hAnsi="Times New Roman" w:cs="Times New Roman"/>
          <w:i/>
          <w:sz w:val="24"/>
          <w:szCs w:val="24"/>
        </w:rPr>
        <w:t>Econometrica</w:t>
      </w:r>
      <w:r w:rsidR="00500CA2" w:rsidRPr="00A47D41">
        <w:rPr>
          <w:rFonts w:ascii="Times New Roman" w:hAnsi="Times New Roman" w:cs="Times New Roman"/>
          <w:sz w:val="24"/>
          <w:szCs w:val="24"/>
        </w:rPr>
        <w:t>, 59</w:t>
      </w:r>
      <w:r w:rsidR="00701D1D" w:rsidRPr="00A47D41">
        <w:rPr>
          <w:rFonts w:ascii="Times New Roman" w:hAnsi="Times New Roman" w:cs="Times New Roman"/>
          <w:sz w:val="24"/>
          <w:szCs w:val="24"/>
        </w:rPr>
        <w:t xml:space="preserve"> (4)</w:t>
      </w:r>
      <w:r w:rsidR="00500CA2" w:rsidRPr="00A47D41">
        <w:rPr>
          <w:rFonts w:ascii="Times New Roman" w:hAnsi="Times New Roman" w:cs="Times New Roman"/>
          <w:sz w:val="24"/>
          <w:szCs w:val="24"/>
        </w:rPr>
        <w:t>, pp</w:t>
      </w:r>
      <w:r w:rsidR="002D6357">
        <w:rPr>
          <w:rFonts w:ascii="Times New Roman" w:hAnsi="Times New Roman" w:cs="Times New Roman"/>
          <w:sz w:val="24"/>
          <w:szCs w:val="24"/>
        </w:rPr>
        <w:t xml:space="preserve"> </w:t>
      </w:r>
      <w:r w:rsidR="00500CA2" w:rsidRPr="00A47D41">
        <w:rPr>
          <w:rFonts w:ascii="Times New Roman" w:hAnsi="Times New Roman" w:cs="Times New Roman"/>
          <w:sz w:val="24"/>
          <w:szCs w:val="24"/>
        </w:rPr>
        <w:t>1041-1068.</w:t>
      </w:r>
    </w:p>
    <w:p w14:paraId="4808CC3D" w14:textId="77777777" w:rsidR="00522494" w:rsidRDefault="00522494" w:rsidP="00522494">
      <w:pPr>
        <w:spacing w:after="0" w:line="240" w:lineRule="auto"/>
        <w:rPr>
          <w:rFonts w:ascii="Times New Roman" w:hAnsi="Times New Roman" w:cs="Times New Roman"/>
          <w:sz w:val="24"/>
          <w:szCs w:val="24"/>
          <w:lang w:val="de-DE"/>
        </w:rPr>
      </w:pPr>
    </w:p>
    <w:p w14:paraId="195128EB" w14:textId="4255D39C" w:rsidR="00C119C7" w:rsidRPr="00B03D95" w:rsidRDefault="00026E0C" w:rsidP="00522494">
      <w:pPr>
        <w:spacing w:after="0" w:line="240" w:lineRule="auto"/>
        <w:rPr>
          <w:rFonts w:ascii="Times New Roman" w:hAnsi="Times New Roman" w:cs="Times New Roman"/>
          <w:sz w:val="24"/>
          <w:szCs w:val="24"/>
          <w:lang w:val="en-US"/>
        </w:rPr>
      </w:pPr>
      <w:r w:rsidRPr="00B03D95">
        <w:rPr>
          <w:rFonts w:ascii="Times New Roman" w:hAnsi="Times New Roman" w:cs="Times New Roman"/>
          <w:sz w:val="24"/>
          <w:szCs w:val="24"/>
          <w:lang w:val="de-DE"/>
        </w:rPr>
        <w:t>Allen, F. and Gale, D. (2000)</w:t>
      </w:r>
      <w:r w:rsidR="00B03D95" w:rsidRPr="00B03D95">
        <w:rPr>
          <w:rFonts w:ascii="Times New Roman" w:hAnsi="Times New Roman" w:cs="Times New Roman"/>
          <w:sz w:val="24"/>
          <w:szCs w:val="24"/>
          <w:lang w:val="de-DE"/>
        </w:rPr>
        <w:t>.</w:t>
      </w:r>
      <w:r w:rsidRPr="00B03D95">
        <w:rPr>
          <w:rFonts w:ascii="Times New Roman" w:hAnsi="Times New Roman" w:cs="Times New Roman"/>
          <w:sz w:val="24"/>
          <w:szCs w:val="24"/>
          <w:lang w:val="de-DE"/>
        </w:rPr>
        <w:t xml:space="preserve"> </w:t>
      </w:r>
      <w:r w:rsidRPr="00B03D95">
        <w:rPr>
          <w:rFonts w:ascii="Times New Roman" w:hAnsi="Times New Roman" w:cs="Times New Roman"/>
          <w:i/>
          <w:sz w:val="24"/>
          <w:szCs w:val="24"/>
          <w:lang w:val="en-US"/>
        </w:rPr>
        <w:t>Financial contagion. Journal of Political Economy</w:t>
      </w:r>
      <w:r w:rsidR="00B03D95">
        <w:rPr>
          <w:rFonts w:ascii="Times New Roman" w:hAnsi="Times New Roman" w:cs="Times New Roman"/>
          <w:sz w:val="24"/>
          <w:szCs w:val="24"/>
          <w:lang w:val="en-US"/>
        </w:rPr>
        <w:t>,</w:t>
      </w:r>
      <w:r w:rsidRPr="00B03D95">
        <w:rPr>
          <w:rFonts w:ascii="Times New Roman" w:hAnsi="Times New Roman" w:cs="Times New Roman"/>
          <w:sz w:val="24"/>
          <w:szCs w:val="24"/>
          <w:lang w:val="en-US"/>
        </w:rPr>
        <w:t xml:space="preserve"> 108</w:t>
      </w:r>
      <w:r w:rsidR="00C119C7" w:rsidRPr="00B03D95">
        <w:rPr>
          <w:rFonts w:ascii="Times New Roman" w:hAnsi="Times New Roman" w:cs="Times New Roman"/>
          <w:sz w:val="24"/>
          <w:szCs w:val="24"/>
          <w:lang w:val="en-US"/>
        </w:rPr>
        <w:t>, pp 1-33</w:t>
      </w:r>
    </w:p>
    <w:p w14:paraId="14900EB0" w14:textId="77777777" w:rsidR="00522494" w:rsidRDefault="00522494" w:rsidP="00522494">
      <w:pPr>
        <w:spacing w:after="0" w:line="240" w:lineRule="auto"/>
        <w:rPr>
          <w:rFonts w:ascii="Times New Roman" w:hAnsi="Times New Roman" w:cs="Times New Roman"/>
          <w:sz w:val="24"/>
          <w:szCs w:val="24"/>
        </w:rPr>
      </w:pPr>
    </w:p>
    <w:p w14:paraId="37BEDEDE" w14:textId="7149D9FA" w:rsidR="00A9049D" w:rsidRPr="00A47D41" w:rsidRDefault="00A5502A"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Autore, D., Billingsley, R. and </w:t>
      </w:r>
      <w:r w:rsidR="006E7622" w:rsidRPr="00A47D41">
        <w:rPr>
          <w:rFonts w:ascii="Times New Roman" w:hAnsi="Times New Roman" w:cs="Times New Roman"/>
          <w:sz w:val="24"/>
          <w:szCs w:val="24"/>
        </w:rPr>
        <w:t>T. Kovacs</w:t>
      </w:r>
      <w:r w:rsidR="002D6357">
        <w:rPr>
          <w:rFonts w:ascii="Times New Roman" w:hAnsi="Times New Roman" w:cs="Times New Roman"/>
          <w:sz w:val="24"/>
          <w:szCs w:val="24"/>
        </w:rPr>
        <w:t xml:space="preserve"> (2011</w:t>
      </w:r>
      <w:r w:rsidRPr="00A47D41">
        <w:rPr>
          <w:rFonts w:ascii="Times New Roman" w:hAnsi="Times New Roman" w:cs="Times New Roman"/>
          <w:sz w:val="24"/>
          <w:szCs w:val="24"/>
        </w:rPr>
        <w:t>).</w:t>
      </w:r>
      <w:r w:rsidR="002D6357" w:rsidRPr="002D6357">
        <w:rPr>
          <w:rFonts w:ascii="Arial Unicode MS" w:eastAsia="Arial Unicode MS" w:cs="Arial Unicode MS"/>
          <w:color w:val="4A4A4A"/>
          <w:sz w:val="38"/>
          <w:szCs w:val="38"/>
          <w:lang w:val="en-US"/>
        </w:rPr>
        <w:t xml:space="preserve"> </w:t>
      </w:r>
      <w:r w:rsidR="002D6357" w:rsidRPr="002D6357">
        <w:rPr>
          <w:rFonts w:ascii="Times New Roman" w:hAnsi="Times New Roman" w:cs="Times New Roman"/>
          <w:sz w:val="24"/>
          <w:szCs w:val="24"/>
          <w:lang w:val="en-US"/>
        </w:rPr>
        <w:t>The 2008 short sale ban: Liquidity, dispersion of opinion, and the cross-section of returns of US financial stocks</w:t>
      </w:r>
      <w:r w:rsidRPr="00A47D41">
        <w:rPr>
          <w:rFonts w:ascii="Times New Roman" w:hAnsi="Times New Roman" w:cs="Times New Roman"/>
          <w:sz w:val="24"/>
          <w:szCs w:val="24"/>
        </w:rPr>
        <w:t xml:space="preserve">. </w:t>
      </w:r>
      <w:r w:rsidR="002D6357" w:rsidRPr="00B03D95">
        <w:rPr>
          <w:rFonts w:ascii="Times New Roman" w:hAnsi="Times New Roman" w:cs="Times New Roman"/>
          <w:i/>
          <w:sz w:val="24"/>
          <w:szCs w:val="24"/>
        </w:rPr>
        <w:t>Journal of Banking and Finance</w:t>
      </w:r>
      <w:r w:rsidR="00B03D95">
        <w:rPr>
          <w:rFonts w:ascii="Times New Roman" w:hAnsi="Times New Roman" w:cs="Times New Roman"/>
          <w:i/>
          <w:sz w:val="24"/>
          <w:szCs w:val="24"/>
        </w:rPr>
        <w:t>,</w:t>
      </w:r>
      <w:r w:rsidR="002D6357">
        <w:rPr>
          <w:rFonts w:ascii="Times New Roman" w:hAnsi="Times New Roman" w:cs="Times New Roman"/>
          <w:sz w:val="24"/>
          <w:szCs w:val="24"/>
        </w:rPr>
        <w:t xml:space="preserve"> 35(9), pp </w:t>
      </w:r>
      <w:r w:rsidR="002D6357" w:rsidRPr="002D6357">
        <w:rPr>
          <w:rFonts w:ascii="Times New Roman" w:hAnsi="Times New Roman" w:cs="Times New Roman"/>
          <w:sz w:val="24"/>
          <w:szCs w:val="24"/>
          <w:lang w:val="en-US"/>
        </w:rPr>
        <w:t>2252</w:t>
      </w:r>
      <w:r w:rsidR="002D6357" w:rsidRPr="002D6357">
        <w:rPr>
          <w:rFonts w:ascii="Times New Roman" w:hAnsi="Times New Roman" w:cs="Times New Roman" w:hint="eastAsia"/>
          <w:sz w:val="24"/>
          <w:szCs w:val="24"/>
          <w:lang w:val="en-US"/>
        </w:rPr>
        <w:t>–</w:t>
      </w:r>
      <w:r w:rsidR="002D6357" w:rsidRPr="002D6357">
        <w:rPr>
          <w:rFonts w:ascii="Times New Roman" w:hAnsi="Times New Roman" w:cs="Times New Roman"/>
          <w:sz w:val="24"/>
          <w:szCs w:val="24"/>
          <w:lang w:val="en-US"/>
        </w:rPr>
        <w:t>2266</w:t>
      </w:r>
    </w:p>
    <w:p w14:paraId="75903732" w14:textId="77777777" w:rsidR="00522494" w:rsidRDefault="00522494" w:rsidP="00522494">
      <w:pPr>
        <w:spacing w:after="0" w:line="240" w:lineRule="auto"/>
        <w:rPr>
          <w:rFonts w:ascii="Times New Roman" w:hAnsi="Times New Roman" w:cs="Times New Roman"/>
          <w:sz w:val="24"/>
          <w:szCs w:val="24"/>
        </w:rPr>
      </w:pPr>
    </w:p>
    <w:p w14:paraId="3078CC48" w14:textId="39B509E8" w:rsidR="00A9049D" w:rsidRPr="00A47D41" w:rsidRDefault="00A9049D"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Bai</w:t>
      </w:r>
      <w:r w:rsidR="0079095F" w:rsidRPr="00A47D41">
        <w:rPr>
          <w:rFonts w:ascii="Times New Roman" w:hAnsi="Times New Roman" w:cs="Times New Roman"/>
          <w:sz w:val="24"/>
          <w:szCs w:val="24"/>
        </w:rPr>
        <w:t xml:space="preserve">, Y, Chang, E. C. and </w:t>
      </w:r>
      <w:r w:rsidR="006E7622" w:rsidRPr="00A47D41">
        <w:rPr>
          <w:rFonts w:ascii="Times New Roman" w:hAnsi="Times New Roman" w:cs="Times New Roman"/>
          <w:sz w:val="24"/>
          <w:szCs w:val="24"/>
        </w:rPr>
        <w:t>J. Wang</w:t>
      </w:r>
      <w:r w:rsidR="0079095F" w:rsidRPr="00A47D41">
        <w:rPr>
          <w:rFonts w:ascii="Times New Roman" w:hAnsi="Times New Roman" w:cs="Times New Roman"/>
          <w:sz w:val="24"/>
          <w:szCs w:val="24"/>
        </w:rPr>
        <w:t xml:space="preserve"> </w:t>
      </w:r>
      <w:r w:rsidRPr="00A47D41">
        <w:rPr>
          <w:rFonts w:ascii="Times New Roman" w:hAnsi="Times New Roman" w:cs="Times New Roman"/>
          <w:sz w:val="24"/>
          <w:szCs w:val="24"/>
        </w:rPr>
        <w:t>(2006)</w:t>
      </w:r>
      <w:r w:rsidR="0079095F" w:rsidRPr="00A47D41">
        <w:rPr>
          <w:rFonts w:ascii="Times New Roman" w:hAnsi="Times New Roman" w:cs="Times New Roman"/>
          <w:sz w:val="24"/>
          <w:szCs w:val="24"/>
        </w:rPr>
        <w:t xml:space="preserve">. </w:t>
      </w:r>
      <w:r w:rsidR="006E0C44" w:rsidRPr="00A47D41">
        <w:rPr>
          <w:rFonts w:ascii="Times New Roman" w:hAnsi="Times New Roman" w:cs="Times New Roman"/>
          <w:sz w:val="24"/>
          <w:szCs w:val="24"/>
        </w:rPr>
        <w:t xml:space="preserve">Asset Prices </w:t>
      </w:r>
      <w:r w:rsidR="00B03D95" w:rsidRPr="00A47D41">
        <w:rPr>
          <w:rFonts w:ascii="Times New Roman" w:hAnsi="Times New Roman" w:cs="Times New Roman"/>
          <w:sz w:val="24"/>
          <w:szCs w:val="24"/>
        </w:rPr>
        <w:t>under</w:t>
      </w:r>
      <w:r w:rsidR="006E0C44" w:rsidRPr="00A47D41">
        <w:rPr>
          <w:rFonts w:ascii="Times New Roman" w:hAnsi="Times New Roman" w:cs="Times New Roman"/>
          <w:sz w:val="24"/>
          <w:szCs w:val="24"/>
        </w:rPr>
        <w:t xml:space="preserve"> Short-Sale Constraints.</w:t>
      </w:r>
      <w:r w:rsidR="0079095F" w:rsidRPr="00A47D41">
        <w:rPr>
          <w:rFonts w:ascii="Times New Roman" w:hAnsi="Times New Roman" w:cs="Times New Roman"/>
          <w:sz w:val="24"/>
          <w:szCs w:val="24"/>
        </w:rPr>
        <w:t xml:space="preserve"> University of Hong Kong working paper. </w:t>
      </w:r>
    </w:p>
    <w:p w14:paraId="38A28162" w14:textId="77777777" w:rsidR="00522494" w:rsidRDefault="00522494" w:rsidP="00522494">
      <w:pPr>
        <w:spacing w:after="0" w:line="240" w:lineRule="auto"/>
        <w:rPr>
          <w:rFonts w:ascii="Times New Roman" w:hAnsi="Times New Roman" w:cs="Times New Roman"/>
          <w:sz w:val="24"/>
          <w:szCs w:val="24"/>
        </w:rPr>
      </w:pPr>
    </w:p>
    <w:p w14:paraId="649520A5" w14:textId="1C5E2C1B" w:rsidR="005D7D17" w:rsidRPr="00A47D41" w:rsidRDefault="005D7D17"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Bai, J. </w:t>
      </w:r>
      <w:r w:rsidR="00B03D95" w:rsidRPr="00A47D41">
        <w:rPr>
          <w:rFonts w:ascii="Times New Roman" w:hAnsi="Times New Roman" w:cs="Times New Roman"/>
          <w:sz w:val="24"/>
          <w:szCs w:val="24"/>
        </w:rPr>
        <w:t>and P</w:t>
      </w:r>
      <w:r w:rsidRPr="00A47D41">
        <w:rPr>
          <w:rFonts w:ascii="Times New Roman" w:hAnsi="Times New Roman" w:cs="Times New Roman"/>
          <w:sz w:val="24"/>
          <w:szCs w:val="24"/>
        </w:rPr>
        <w:t xml:space="preserve">. Perron (1998). Estimating and testing linear models with multiple structural changes. </w:t>
      </w:r>
      <w:r w:rsidRPr="00B03D95">
        <w:rPr>
          <w:rFonts w:ascii="Times New Roman" w:hAnsi="Times New Roman" w:cs="Times New Roman"/>
          <w:i/>
          <w:sz w:val="24"/>
          <w:szCs w:val="24"/>
        </w:rPr>
        <w:t>Econometrica</w:t>
      </w:r>
      <w:r w:rsidRPr="00A47D41">
        <w:rPr>
          <w:rFonts w:ascii="Times New Roman" w:hAnsi="Times New Roman" w:cs="Times New Roman"/>
          <w:sz w:val="24"/>
          <w:szCs w:val="24"/>
        </w:rPr>
        <w:t>, 66 (1), pp 47–78.</w:t>
      </w:r>
    </w:p>
    <w:p w14:paraId="4D4A6F22" w14:textId="77777777" w:rsidR="00522494" w:rsidRDefault="00522494" w:rsidP="00522494">
      <w:pPr>
        <w:spacing w:after="0" w:line="240" w:lineRule="auto"/>
        <w:rPr>
          <w:rFonts w:ascii="Times New Roman" w:hAnsi="Times New Roman" w:cs="Times New Roman"/>
          <w:sz w:val="24"/>
          <w:szCs w:val="24"/>
        </w:rPr>
      </w:pPr>
    </w:p>
    <w:p w14:paraId="48124F21" w14:textId="0EE666D5" w:rsidR="005D7D17" w:rsidRPr="00A47D41" w:rsidRDefault="005D7D17"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Bai, J. </w:t>
      </w:r>
      <w:r w:rsidR="00B03D95" w:rsidRPr="00A47D41">
        <w:rPr>
          <w:rFonts w:ascii="Times New Roman" w:hAnsi="Times New Roman" w:cs="Times New Roman"/>
          <w:sz w:val="24"/>
          <w:szCs w:val="24"/>
        </w:rPr>
        <w:t>and P</w:t>
      </w:r>
      <w:r w:rsidRPr="00A47D41">
        <w:rPr>
          <w:rFonts w:ascii="Times New Roman" w:hAnsi="Times New Roman" w:cs="Times New Roman"/>
          <w:sz w:val="24"/>
          <w:szCs w:val="24"/>
        </w:rPr>
        <w:t xml:space="preserve">. Perron (2003). Computation and analysis of multiple structural change models. </w:t>
      </w:r>
      <w:r w:rsidRPr="00B03D95">
        <w:rPr>
          <w:rFonts w:ascii="Times New Roman" w:hAnsi="Times New Roman" w:cs="Times New Roman"/>
          <w:i/>
          <w:sz w:val="24"/>
          <w:szCs w:val="24"/>
        </w:rPr>
        <w:t>Journal of Applied Econometrics</w:t>
      </w:r>
      <w:r w:rsidRPr="00A47D41">
        <w:rPr>
          <w:rFonts w:ascii="Times New Roman" w:hAnsi="Times New Roman" w:cs="Times New Roman"/>
          <w:sz w:val="24"/>
          <w:szCs w:val="24"/>
        </w:rPr>
        <w:t>, 18 (1), pp 1–22.</w:t>
      </w:r>
    </w:p>
    <w:p w14:paraId="3B963FB9" w14:textId="77777777" w:rsidR="00522494" w:rsidRDefault="00522494" w:rsidP="00522494">
      <w:pPr>
        <w:spacing w:after="0" w:line="240" w:lineRule="auto"/>
        <w:rPr>
          <w:rFonts w:ascii="Times New Roman" w:hAnsi="Times New Roman" w:cs="Times New Roman"/>
          <w:sz w:val="24"/>
          <w:szCs w:val="24"/>
        </w:rPr>
      </w:pPr>
    </w:p>
    <w:p w14:paraId="01728221" w14:textId="77777777" w:rsidR="00CB3060" w:rsidRPr="00A47D41" w:rsidRDefault="00CB3060"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Battalio, R., Mehran, H. and P. Schultz (2011). Market Declines: Is Banning Short Selling the Solution? Federal Reserve Bank of New York Staff Reports, no. 518.</w:t>
      </w:r>
    </w:p>
    <w:p w14:paraId="0E1763EB" w14:textId="77777777" w:rsidR="00522494" w:rsidRDefault="00522494" w:rsidP="00522494">
      <w:pPr>
        <w:spacing w:after="0" w:line="240" w:lineRule="auto"/>
        <w:rPr>
          <w:rFonts w:ascii="Times New Roman" w:hAnsi="Times New Roman" w:cs="Times New Roman"/>
          <w:sz w:val="24"/>
          <w:szCs w:val="24"/>
        </w:rPr>
      </w:pPr>
    </w:p>
    <w:p w14:paraId="74C77C59" w14:textId="6835E988" w:rsidR="00346589" w:rsidRDefault="00346589" w:rsidP="005224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Baur, D. and Jung, R. (2006). </w:t>
      </w:r>
      <w:r w:rsidRPr="00346589">
        <w:rPr>
          <w:rFonts w:ascii="Times New Roman" w:hAnsi="Times New Roman" w:cs="Times New Roman"/>
          <w:sz w:val="24"/>
          <w:szCs w:val="24"/>
          <w:lang w:val="en-US"/>
        </w:rPr>
        <w:t>Return and volatility linkages between the US and the German stock market</w:t>
      </w:r>
      <w:r>
        <w:rPr>
          <w:rFonts w:ascii="Times New Roman" w:hAnsi="Times New Roman" w:cs="Times New Roman"/>
          <w:sz w:val="24"/>
          <w:szCs w:val="24"/>
          <w:lang w:val="en-US"/>
        </w:rPr>
        <w:t xml:space="preserve">. </w:t>
      </w:r>
      <w:r w:rsidRPr="00B03D95">
        <w:rPr>
          <w:rFonts w:ascii="Times New Roman" w:hAnsi="Times New Roman" w:cs="Times New Roman"/>
          <w:i/>
          <w:sz w:val="24"/>
          <w:szCs w:val="24"/>
          <w:lang w:val="en-US"/>
        </w:rPr>
        <w:t>Journal of International Money and Finance</w:t>
      </w:r>
      <w:r>
        <w:rPr>
          <w:rFonts w:ascii="Times New Roman" w:hAnsi="Times New Roman" w:cs="Times New Roman"/>
          <w:sz w:val="24"/>
          <w:szCs w:val="24"/>
          <w:lang w:val="en-US"/>
        </w:rPr>
        <w:t>, 25, pp 598-613</w:t>
      </w:r>
    </w:p>
    <w:p w14:paraId="3260DB54" w14:textId="77777777" w:rsidR="00522494" w:rsidRDefault="00522494" w:rsidP="00522494">
      <w:pPr>
        <w:spacing w:after="0" w:line="240" w:lineRule="auto"/>
        <w:rPr>
          <w:rFonts w:ascii="Times New Roman" w:hAnsi="Times New Roman" w:cs="Times New Roman"/>
          <w:sz w:val="24"/>
          <w:szCs w:val="24"/>
        </w:rPr>
      </w:pPr>
    </w:p>
    <w:p w14:paraId="20F6D700" w14:textId="77777777" w:rsidR="00A9049D" w:rsidRPr="00A47D41" w:rsidRDefault="00A9049D"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Beber</w:t>
      </w:r>
      <w:r w:rsidR="00B41F92" w:rsidRPr="00A47D41">
        <w:rPr>
          <w:rFonts w:ascii="Times New Roman" w:hAnsi="Times New Roman" w:cs="Times New Roman"/>
          <w:sz w:val="24"/>
          <w:szCs w:val="24"/>
        </w:rPr>
        <w:t>, A.</w:t>
      </w:r>
      <w:r w:rsidRPr="00A47D41">
        <w:rPr>
          <w:rFonts w:ascii="Times New Roman" w:hAnsi="Times New Roman" w:cs="Times New Roman"/>
          <w:sz w:val="24"/>
          <w:szCs w:val="24"/>
        </w:rPr>
        <w:t xml:space="preserve"> and </w:t>
      </w:r>
      <w:r w:rsidR="005D7C53" w:rsidRPr="00A47D41">
        <w:rPr>
          <w:rFonts w:ascii="Times New Roman" w:hAnsi="Times New Roman" w:cs="Times New Roman"/>
          <w:sz w:val="24"/>
          <w:szCs w:val="24"/>
        </w:rPr>
        <w:t xml:space="preserve">M. </w:t>
      </w:r>
      <w:r w:rsidRPr="00A47D41">
        <w:rPr>
          <w:rFonts w:ascii="Times New Roman" w:hAnsi="Times New Roman" w:cs="Times New Roman"/>
          <w:sz w:val="24"/>
          <w:szCs w:val="24"/>
        </w:rPr>
        <w:t>Pagano (2013)</w:t>
      </w:r>
      <w:r w:rsidR="00B41F92" w:rsidRPr="00A47D41">
        <w:rPr>
          <w:rFonts w:ascii="Times New Roman" w:hAnsi="Times New Roman" w:cs="Times New Roman"/>
          <w:sz w:val="24"/>
          <w:szCs w:val="24"/>
        </w:rPr>
        <w:t xml:space="preserve">. Short-Selling Bans around the World: Evidence from the 2007-09 Crisis. </w:t>
      </w:r>
      <w:r w:rsidR="00B41F92" w:rsidRPr="00B03D95">
        <w:rPr>
          <w:rFonts w:ascii="Times New Roman" w:hAnsi="Times New Roman" w:cs="Times New Roman"/>
          <w:i/>
          <w:sz w:val="24"/>
          <w:szCs w:val="24"/>
        </w:rPr>
        <w:t>The Journal of Finance</w:t>
      </w:r>
      <w:r w:rsidR="00B41F92" w:rsidRPr="00A47D41">
        <w:rPr>
          <w:rFonts w:ascii="Times New Roman" w:hAnsi="Times New Roman" w:cs="Times New Roman"/>
          <w:sz w:val="24"/>
          <w:szCs w:val="24"/>
        </w:rPr>
        <w:t>, 68 (1), pp 343-381.</w:t>
      </w:r>
    </w:p>
    <w:p w14:paraId="48CAFEC1" w14:textId="77777777" w:rsidR="00522494" w:rsidRDefault="00522494" w:rsidP="00522494">
      <w:pPr>
        <w:spacing w:after="0" w:line="240" w:lineRule="auto"/>
        <w:rPr>
          <w:rFonts w:ascii="Times New Roman" w:hAnsi="Times New Roman" w:cs="Times New Roman"/>
          <w:sz w:val="24"/>
          <w:szCs w:val="24"/>
        </w:rPr>
      </w:pPr>
    </w:p>
    <w:p w14:paraId="274C176F" w14:textId="7B2AADBD" w:rsidR="00591AFC" w:rsidRPr="00591AFC" w:rsidRDefault="00591AFC" w:rsidP="00522494">
      <w:pPr>
        <w:spacing w:after="0" w:line="240" w:lineRule="auto"/>
        <w:rPr>
          <w:rFonts w:ascii="Times New Roman" w:hAnsi="Times New Roman" w:cs="Times New Roman"/>
          <w:sz w:val="24"/>
          <w:szCs w:val="24"/>
          <w:shd w:val="clear" w:color="auto" w:fill="FFFFFF"/>
        </w:rPr>
      </w:pPr>
      <w:proofErr w:type="spellStart"/>
      <w:r w:rsidRPr="00591AFC">
        <w:rPr>
          <w:rFonts w:ascii="Times New Roman" w:hAnsi="Times New Roman" w:cs="Times New Roman"/>
          <w:sz w:val="24"/>
          <w:szCs w:val="24"/>
          <w:shd w:val="clear" w:color="auto" w:fill="FFFFFF"/>
        </w:rPr>
        <w:t>Beber</w:t>
      </w:r>
      <w:proofErr w:type="spellEnd"/>
      <w:r w:rsidRPr="00591AFC">
        <w:rPr>
          <w:rFonts w:ascii="Times New Roman" w:hAnsi="Times New Roman" w:cs="Times New Roman"/>
          <w:sz w:val="24"/>
          <w:szCs w:val="24"/>
          <w:shd w:val="clear" w:color="auto" w:fill="FFFFFF"/>
        </w:rPr>
        <w:t xml:space="preserve">, </w:t>
      </w:r>
      <w:proofErr w:type="spellStart"/>
      <w:r w:rsidRPr="00591AFC">
        <w:rPr>
          <w:rFonts w:ascii="Times New Roman" w:hAnsi="Times New Roman" w:cs="Times New Roman"/>
          <w:sz w:val="24"/>
          <w:szCs w:val="24"/>
          <w:shd w:val="clear" w:color="auto" w:fill="FFFFFF"/>
        </w:rPr>
        <w:t>Fabbri</w:t>
      </w:r>
      <w:proofErr w:type="spellEnd"/>
      <w:r w:rsidRPr="00591AFC">
        <w:rPr>
          <w:rFonts w:ascii="Times New Roman" w:hAnsi="Times New Roman" w:cs="Times New Roman"/>
          <w:sz w:val="24"/>
          <w:szCs w:val="24"/>
          <w:shd w:val="clear" w:color="auto" w:fill="FFFFFF"/>
        </w:rPr>
        <w:t>, Pagano and Simonelli (2017). Short</w:t>
      </w:r>
      <w:r w:rsidRPr="00591AFC">
        <w:rPr>
          <w:rFonts w:ascii="Times New Roman" w:hAnsi="Times New Roman" w:cs="Times New Roman"/>
          <w:b/>
          <w:bCs/>
          <w:i/>
          <w:iCs/>
          <w:sz w:val="24"/>
          <w:szCs w:val="24"/>
          <w:shd w:val="clear" w:color="auto" w:fill="FFFFFF"/>
        </w:rPr>
        <w:t>-</w:t>
      </w:r>
      <w:r w:rsidRPr="00591AFC">
        <w:rPr>
          <w:rFonts w:ascii="Times New Roman" w:hAnsi="Times New Roman" w:cs="Times New Roman"/>
          <w:sz w:val="24"/>
          <w:szCs w:val="24"/>
          <w:shd w:val="clear" w:color="auto" w:fill="FFFFFF"/>
        </w:rPr>
        <w:t xml:space="preserve">Selling Bans and Bank Stability. </w:t>
      </w:r>
      <w:proofErr w:type="spellStart"/>
      <w:r w:rsidRPr="00591AFC">
        <w:rPr>
          <w:rFonts w:ascii="Times New Roman" w:hAnsi="Times New Roman" w:cs="Times New Roman"/>
          <w:sz w:val="24"/>
          <w:szCs w:val="24"/>
          <w:shd w:val="clear" w:color="auto" w:fill="FFFFFF"/>
        </w:rPr>
        <w:t>Center</w:t>
      </w:r>
      <w:proofErr w:type="spellEnd"/>
      <w:r w:rsidRPr="00591AFC">
        <w:rPr>
          <w:rFonts w:ascii="Times New Roman" w:hAnsi="Times New Roman" w:cs="Times New Roman"/>
          <w:sz w:val="24"/>
          <w:szCs w:val="24"/>
          <w:shd w:val="clear" w:color="auto" w:fill="FFFFFF"/>
        </w:rPr>
        <w:t xml:space="preserve"> for Studies in Economics and Finance working paper, No. 423.</w:t>
      </w:r>
    </w:p>
    <w:p w14:paraId="2F58196E" w14:textId="77777777" w:rsidR="00591AFC" w:rsidRDefault="00591AFC" w:rsidP="00522494">
      <w:pPr>
        <w:spacing w:after="0" w:line="240" w:lineRule="auto"/>
        <w:rPr>
          <w:rFonts w:ascii="Times New Roman" w:hAnsi="Times New Roman" w:cs="Times New Roman"/>
          <w:sz w:val="24"/>
          <w:szCs w:val="24"/>
        </w:rPr>
      </w:pPr>
    </w:p>
    <w:p w14:paraId="38A2D885" w14:textId="31079A03" w:rsidR="000C4B05" w:rsidRPr="00A47D41" w:rsidRDefault="000C4B05"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Bierens, H.J. and L. F. Martins (2010). Time Varying Cointegration. </w:t>
      </w:r>
      <w:r w:rsidRPr="00B03D95">
        <w:rPr>
          <w:rFonts w:ascii="Times New Roman" w:hAnsi="Times New Roman" w:cs="Times New Roman"/>
          <w:i/>
          <w:sz w:val="24"/>
          <w:szCs w:val="24"/>
        </w:rPr>
        <w:t>Econometric Theory</w:t>
      </w:r>
      <w:r w:rsidRPr="00A47D41">
        <w:rPr>
          <w:rFonts w:ascii="Times New Roman" w:hAnsi="Times New Roman" w:cs="Times New Roman"/>
          <w:sz w:val="24"/>
          <w:szCs w:val="24"/>
        </w:rPr>
        <w:t xml:space="preserve">, 26 (05), </w:t>
      </w:r>
      <w:r w:rsidR="00B9231C">
        <w:rPr>
          <w:rFonts w:ascii="Times New Roman" w:hAnsi="Times New Roman" w:cs="Times New Roman"/>
          <w:sz w:val="24"/>
          <w:szCs w:val="24"/>
        </w:rPr>
        <w:t>pp</w:t>
      </w:r>
      <w:r w:rsidRPr="00A47D41">
        <w:rPr>
          <w:rFonts w:ascii="Times New Roman" w:hAnsi="Times New Roman" w:cs="Times New Roman"/>
          <w:sz w:val="24"/>
          <w:szCs w:val="24"/>
        </w:rPr>
        <w:t xml:space="preserve">1453–1490. </w:t>
      </w:r>
    </w:p>
    <w:p w14:paraId="2E9C18C4" w14:textId="77777777" w:rsidR="00522494" w:rsidRDefault="00522494" w:rsidP="00522494">
      <w:pPr>
        <w:spacing w:after="0" w:line="240" w:lineRule="auto"/>
        <w:rPr>
          <w:rFonts w:ascii="Times New Roman" w:hAnsi="Times New Roman" w:cs="Times New Roman"/>
          <w:sz w:val="24"/>
          <w:szCs w:val="24"/>
        </w:rPr>
      </w:pPr>
    </w:p>
    <w:p w14:paraId="3C2E4BDF" w14:textId="78AE81E4" w:rsidR="008A72A3" w:rsidRPr="00A47D41" w:rsidRDefault="008A72A3"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Boehmer, E. and J. Wu (2013). Short Selling and the Information Efficiency of Prices. </w:t>
      </w:r>
      <w:r w:rsidRPr="00B03D95">
        <w:rPr>
          <w:rFonts w:ascii="Times New Roman" w:hAnsi="Times New Roman" w:cs="Times New Roman"/>
          <w:i/>
          <w:sz w:val="24"/>
          <w:szCs w:val="24"/>
        </w:rPr>
        <w:t>Review of Financial Studies</w:t>
      </w:r>
      <w:r w:rsidRPr="00A47D41">
        <w:rPr>
          <w:rFonts w:ascii="Times New Roman" w:hAnsi="Times New Roman" w:cs="Times New Roman"/>
          <w:sz w:val="24"/>
          <w:szCs w:val="24"/>
        </w:rPr>
        <w:t xml:space="preserve">, 26 (2), pp 287-322. </w:t>
      </w:r>
    </w:p>
    <w:p w14:paraId="356EEB33" w14:textId="77777777" w:rsidR="00522494" w:rsidRDefault="00522494" w:rsidP="00522494">
      <w:pPr>
        <w:spacing w:after="0" w:line="240" w:lineRule="auto"/>
        <w:rPr>
          <w:rFonts w:ascii="Times New Roman" w:hAnsi="Times New Roman" w:cs="Times New Roman"/>
          <w:sz w:val="24"/>
          <w:szCs w:val="24"/>
        </w:rPr>
      </w:pPr>
    </w:p>
    <w:p w14:paraId="4BBB9950" w14:textId="4F90FB23" w:rsidR="00B447A1" w:rsidRPr="00A47D41" w:rsidRDefault="00B41F9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Boehmer, E</w:t>
      </w:r>
      <w:r w:rsidR="00636EAA" w:rsidRPr="00A47D41">
        <w:rPr>
          <w:rFonts w:ascii="Times New Roman" w:hAnsi="Times New Roman" w:cs="Times New Roman"/>
          <w:sz w:val="24"/>
          <w:szCs w:val="24"/>
        </w:rPr>
        <w:t>.</w:t>
      </w:r>
      <w:r w:rsidRPr="00A47D41">
        <w:rPr>
          <w:rFonts w:ascii="Times New Roman" w:hAnsi="Times New Roman" w:cs="Times New Roman"/>
          <w:sz w:val="24"/>
          <w:szCs w:val="24"/>
        </w:rPr>
        <w:t xml:space="preserve">, </w:t>
      </w:r>
      <w:r w:rsidR="00DA3065">
        <w:rPr>
          <w:rFonts w:ascii="Times New Roman" w:hAnsi="Times New Roman" w:cs="Times New Roman"/>
          <w:sz w:val="24"/>
          <w:szCs w:val="24"/>
        </w:rPr>
        <w:t>Jones</w:t>
      </w:r>
      <w:r w:rsidRPr="00A47D41">
        <w:rPr>
          <w:rFonts w:ascii="Times New Roman" w:hAnsi="Times New Roman" w:cs="Times New Roman"/>
          <w:sz w:val="24"/>
          <w:szCs w:val="24"/>
        </w:rPr>
        <w:t xml:space="preserve"> </w:t>
      </w:r>
      <w:r w:rsidR="00DA3065">
        <w:rPr>
          <w:rFonts w:ascii="Times New Roman" w:hAnsi="Times New Roman" w:cs="Times New Roman"/>
          <w:sz w:val="24"/>
          <w:szCs w:val="24"/>
        </w:rPr>
        <w:t xml:space="preserve">C. </w:t>
      </w:r>
      <w:r w:rsidRPr="00A47D41">
        <w:rPr>
          <w:rFonts w:ascii="Times New Roman" w:hAnsi="Times New Roman" w:cs="Times New Roman"/>
          <w:sz w:val="24"/>
          <w:szCs w:val="24"/>
        </w:rPr>
        <w:t>M., and X</w:t>
      </w:r>
      <w:r w:rsidR="00636EAA" w:rsidRPr="00A47D41">
        <w:rPr>
          <w:rFonts w:ascii="Times New Roman" w:hAnsi="Times New Roman" w:cs="Times New Roman"/>
          <w:sz w:val="24"/>
          <w:szCs w:val="24"/>
        </w:rPr>
        <w:t>.</w:t>
      </w:r>
      <w:r w:rsidRPr="00A47D41">
        <w:rPr>
          <w:rFonts w:ascii="Times New Roman" w:hAnsi="Times New Roman" w:cs="Times New Roman"/>
          <w:sz w:val="24"/>
          <w:szCs w:val="24"/>
        </w:rPr>
        <w:t xml:space="preserve"> Zhang</w:t>
      </w:r>
      <w:r w:rsidR="00636EAA" w:rsidRPr="00A47D41">
        <w:rPr>
          <w:rFonts w:ascii="Times New Roman" w:hAnsi="Times New Roman" w:cs="Times New Roman"/>
          <w:sz w:val="24"/>
          <w:szCs w:val="24"/>
        </w:rPr>
        <w:t xml:space="preserve"> (</w:t>
      </w:r>
      <w:r w:rsidR="00D56D1C" w:rsidRPr="00A47D41">
        <w:rPr>
          <w:rFonts w:ascii="Times New Roman" w:hAnsi="Times New Roman" w:cs="Times New Roman"/>
          <w:sz w:val="24"/>
          <w:szCs w:val="24"/>
        </w:rPr>
        <w:t>2013</w:t>
      </w:r>
      <w:r w:rsidR="00636EAA" w:rsidRPr="00A47D41">
        <w:rPr>
          <w:rFonts w:ascii="Times New Roman" w:hAnsi="Times New Roman" w:cs="Times New Roman"/>
          <w:sz w:val="24"/>
          <w:szCs w:val="24"/>
        </w:rPr>
        <w:t xml:space="preserve">). </w:t>
      </w:r>
      <w:r w:rsidRPr="00A47D41">
        <w:rPr>
          <w:rFonts w:ascii="Times New Roman" w:hAnsi="Times New Roman" w:cs="Times New Roman"/>
          <w:sz w:val="24"/>
          <w:szCs w:val="24"/>
        </w:rPr>
        <w:t xml:space="preserve">Shackling short sellers: The 2008 </w:t>
      </w:r>
      <w:r w:rsidR="00636EAA" w:rsidRPr="00A47D41">
        <w:rPr>
          <w:rFonts w:ascii="Times New Roman" w:hAnsi="Times New Roman" w:cs="Times New Roman"/>
          <w:sz w:val="24"/>
          <w:szCs w:val="24"/>
        </w:rPr>
        <w:t>Shorting B</w:t>
      </w:r>
      <w:r w:rsidRPr="00A47D41">
        <w:rPr>
          <w:rFonts w:ascii="Times New Roman" w:hAnsi="Times New Roman" w:cs="Times New Roman"/>
          <w:sz w:val="24"/>
          <w:szCs w:val="24"/>
        </w:rPr>
        <w:t>an</w:t>
      </w:r>
      <w:r w:rsidR="00636EAA" w:rsidRPr="00A47D41">
        <w:rPr>
          <w:rFonts w:ascii="Times New Roman" w:hAnsi="Times New Roman" w:cs="Times New Roman"/>
          <w:sz w:val="24"/>
          <w:szCs w:val="24"/>
        </w:rPr>
        <w:t>.</w:t>
      </w:r>
      <w:r w:rsidRPr="00A47D41">
        <w:rPr>
          <w:rFonts w:ascii="Times New Roman" w:hAnsi="Times New Roman" w:cs="Times New Roman"/>
          <w:sz w:val="24"/>
          <w:szCs w:val="24"/>
        </w:rPr>
        <w:t xml:space="preserve"> </w:t>
      </w:r>
      <w:r w:rsidR="00D56D1C" w:rsidRPr="00B03D95">
        <w:rPr>
          <w:rFonts w:ascii="Times New Roman" w:hAnsi="Times New Roman" w:cs="Times New Roman"/>
          <w:i/>
          <w:sz w:val="24"/>
          <w:szCs w:val="24"/>
        </w:rPr>
        <w:t>Review of Financial Studies</w:t>
      </w:r>
      <w:r w:rsidR="00D56D1C" w:rsidRPr="00A47D41">
        <w:rPr>
          <w:rFonts w:ascii="Times New Roman" w:hAnsi="Times New Roman" w:cs="Times New Roman"/>
          <w:sz w:val="24"/>
          <w:szCs w:val="24"/>
        </w:rPr>
        <w:t>, 26 (6), pp 1363-1400.</w:t>
      </w:r>
    </w:p>
    <w:p w14:paraId="7B41CEC1" w14:textId="77777777" w:rsidR="00522494" w:rsidRDefault="00522494" w:rsidP="00522494">
      <w:pPr>
        <w:spacing w:after="0" w:line="240" w:lineRule="auto"/>
        <w:rPr>
          <w:rFonts w:ascii="Times New Roman" w:hAnsi="Times New Roman" w:cs="Times New Roman"/>
          <w:sz w:val="24"/>
          <w:szCs w:val="24"/>
        </w:rPr>
      </w:pPr>
    </w:p>
    <w:p w14:paraId="76F55D5D" w14:textId="77777777" w:rsidR="00A9049D" w:rsidRPr="00A47D41" w:rsidRDefault="00A9049D"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Bollerslev</w:t>
      </w:r>
      <w:r w:rsidR="00632842" w:rsidRPr="00A47D41">
        <w:rPr>
          <w:rFonts w:ascii="Times New Roman" w:hAnsi="Times New Roman" w:cs="Times New Roman"/>
          <w:sz w:val="24"/>
          <w:szCs w:val="24"/>
        </w:rPr>
        <w:t xml:space="preserve">, T., Engle, R. F. and </w:t>
      </w:r>
      <w:r w:rsidR="005328A0" w:rsidRPr="00A47D41">
        <w:rPr>
          <w:rFonts w:ascii="Times New Roman" w:hAnsi="Times New Roman" w:cs="Times New Roman"/>
          <w:sz w:val="24"/>
          <w:szCs w:val="24"/>
        </w:rPr>
        <w:t xml:space="preserve">J. M. </w:t>
      </w:r>
      <w:r w:rsidR="00632842" w:rsidRPr="00A47D41">
        <w:rPr>
          <w:rFonts w:ascii="Times New Roman" w:hAnsi="Times New Roman" w:cs="Times New Roman"/>
          <w:sz w:val="24"/>
          <w:szCs w:val="24"/>
        </w:rPr>
        <w:t>Wooldridge</w:t>
      </w:r>
      <w:r w:rsidR="005328A0" w:rsidRPr="00A47D41">
        <w:rPr>
          <w:rFonts w:ascii="Times New Roman" w:hAnsi="Times New Roman" w:cs="Times New Roman"/>
          <w:sz w:val="24"/>
          <w:szCs w:val="24"/>
        </w:rPr>
        <w:t xml:space="preserve"> (1988</w:t>
      </w:r>
      <w:r w:rsidRPr="00A47D41">
        <w:rPr>
          <w:rFonts w:ascii="Times New Roman" w:hAnsi="Times New Roman" w:cs="Times New Roman"/>
          <w:sz w:val="24"/>
          <w:szCs w:val="24"/>
        </w:rPr>
        <w:t>)</w:t>
      </w:r>
      <w:r w:rsidR="00632842" w:rsidRPr="00A47D41">
        <w:rPr>
          <w:rFonts w:ascii="Times New Roman" w:hAnsi="Times New Roman" w:cs="Times New Roman"/>
          <w:sz w:val="24"/>
          <w:szCs w:val="24"/>
        </w:rPr>
        <w:t xml:space="preserve">. A Capital Asset Pricing Model with Time-Varying Covariances. </w:t>
      </w:r>
      <w:r w:rsidR="00632842" w:rsidRPr="00B03D95">
        <w:rPr>
          <w:rFonts w:ascii="Times New Roman" w:hAnsi="Times New Roman" w:cs="Times New Roman"/>
          <w:i/>
          <w:sz w:val="24"/>
          <w:szCs w:val="24"/>
        </w:rPr>
        <w:t>Journal of Political Economy</w:t>
      </w:r>
      <w:r w:rsidR="00632842" w:rsidRPr="00A47D41">
        <w:rPr>
          <w:rFonts w:ascii="Times New Roman" w:hAnsi="Times New Roman" w:cs="Times New Roman"/>
          <w:sz w:val="24"/>
          <w:szCs w:val="24"/>
        </w:rPr>
        <w:t>, 96 (1), pp116-131.</w:t>
      </w:r>
    </w:p>
    <w:p w14:paraId="26A5AA0A" w14:textId="77777777" w:rsidR="00522494" w:rsidRDefault="00522494" w:rsidP="00522494">
      <w:pPr>
        <w:spacing w:after="0" w:line="240" w:lineRule="auto"/>
        <w:rPr>
          <w:rFonts w:ascii="Times New Roman" w:hAnsi="Times New Roman" w:cs="Times New Roman"/>
          <w:sz w:val="24"/>
          <w:szCs w:val="24"/>
        </w:rPr>
      </w:pPr>
    </w:p>
    <w:p w14:paraId="3E0BA7AE" w14:textId="77777777" w:rsidR="00B41F92" w:rsidRDefault="00B41F9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Bris, </w:t>
      </w:r>
      <w:r w:rsidR="00185EC9" w:rsidRPr="00A47D41">
        <w:rPr>
          <w:rFonts w:ascii="Times New Roman" w:hAnsi="Times New Roman" w:cs="Times New Roman"/>
          <w:sz w:val="24"/>
          <w:szCs w:val="24"/>
        </w:rPr>
        <w:t xml:space="preserve">A., </w:t>
      </w:r>
      <w:r w:rsidRPr="00A47D41">
        <w:rPr>
          <w:rFonts w:ascii="Times New Roman" w:hAnsi="Times New Roman" w:cs="Times New Roman"/>
          <w:sz w:val="24"/>
          <w:szCs w:val="24"/>
        </w:rPr>
        <w:t>Goetzmann</w:t>
      </w:r>
      <w:r w:rsidR="00185EC9" w:rsidRPr="00A47D41">
        <w:rPr>
          <w:rFonts w:ascii="Times New Roman" w:hAnsi="Times New Roman" w:cs="Times New Roman"/>
          <w:sz w:val="24"/>
          <w:szCs w:val="24"/>
        </w:rPr>
        <w:t xml:space="preserve">, W. N. </w:t>
      </w:r>
      <w:r w:rsidRPr="00A47D41">
        <w:rPr>
          <w:rFonts w:ascii="Times New Roman" w:hAnsi="Times New Roman" w:cs="Times New Roman"/>
          <w:sz w:val="24"/>
          <w:szCs w:val="24"/>
        </w:rPr>
        <w:t>and</w:t>
      </w:r>
      <w:r w:rsidR="007B60E7" w:rsidRPr="00A47D41">
        <w:rPr>
          <w:rFonts w:ascii="Times New Roman" w:hAnsi="Times New Roman" w:cs="Times New Roman"/>
          <w:sz w:val="24"/>
          <w:szCs w:val="24"/>
        </w:rPr>
        <w:t xml:space="preserve"> N.</w:t>
      </w:r>
      <w:r w:rsidRPr="00A47D41">
        <w:rPr>
          <w:rFonts w:ascii="Times New Roman" w:hAnsi="Times New Roman" w:cs="Times New Roman"/>
          <w:sz w:val="24"/>
          <w:szCs w:val="24"/>
        </w:rPr>
        <w:t xml:space="preserve"> Zhu</w:t>
      </w:r>
      <w:r w:rsidR="00185EC9" w:rsidRPr="00A47D41">
        <w:rPr>
          <w:rFonts w:ascii="Times New Roman" w:hAnsi="Times New Roman" w:cs="Times New Roman"/>
          <w:sz w:val="24"/>
          <w:szCs w:val="24"/>
        </w:rPr>
        <w:t xml:space="preserve"> (</w:t>
      </w:r>
      <w:r w:rsidRPr="00A47D41">
        <w:rPr>
          <w:rFonts w:ascii="Times New Roman" w:hAnsi="Times New Roman" w:cs="Times New Roman"/>
          <w:sz w:val="24"/>
          <w:szCs w:val="24"/>
        </w:rPr>
        <w:t>2007</w:t>
      </w:r>
      <w:r w:rsidR="00185EC9" w:rsidRPr="00A47D41">
        <w:rPr>
          <w:rFonts w:ascii="Times New Roman" w:hAnsi="Times New Roman" w:cs="Times New Roman"/>
          <w:sz w:val="24"/>
          <w:szCs w:val="24"/>
        </w:rPr>
        <w:t>).  Efficiency and the Bear: Short Sales and Markets around the World.</w:t>
      </w:r>
      <w:r w:rsidRPr="00A47D41">
        <w:rPr>
          <w:rFonts w:ascii="Times New Roman" w:hAnsi="Times New Roman" w:cs="Times New Roman"/>
          <w:sz w:val="24"/>
          <w:szCs w:val="24"/>
        </w:rPr>
        <w:t xml:space="preserve"> </w:t>
      </w:r>
      <w:r w:rsidR="00185EC9" w:rsidRPr="00B03D95">
        <w:rPr>
          <w:rFonts w:ascii="Times New Roman" w:hAnsi="Times New Roman" w:cs="Times New Roman"/>
          <w:i/>
          <w:sz w:val="24"/>
          <w:szCs w:val="24"/>
        </w:rPr>
        <w:t xml:space="preserve">The </w:t>
      </w:r>
      <w:r w:rsidRPr="00B03D95">
        <w:rPr>
          <w:rFonts w:ascii="Times New Roman" w:hAnsi="Times New Roman" w:cs="Times New Roman"/>
          <w:i/>
          <w:sz w:val="24"/>
          <w:szCs w:val="24"/>
        </w:rPr>
        <w:t>Journal of Finance</w:t>
      </w:r>
      <w:r w:rsidRPr="00A47D41">
        <w:rPr>
          <w:rFonts w:ascii="Times New Roman" w:hAnsi="Times New Roman" w:cs="Times New Roman"/>
          <w:sz w:val="24"/>
          <w:szCs w:val="24"/>
        </w:rPr>
        <w:t>, 62</w:t>
      </w:r>
      <w:r w:rsidR="00185EC9" w:rsidRPr="00A47D41">
        <w:rPr>
          <w:rFonts w:ascii="Times New Roman" w:hAnsi="Times New Roman" w:cs="Times New Roman"/>
          <w:sz w:val="24"/>
          <w:szCs w:val="24"/>
        </w:rPr>
        <w:t xml:space="preserve"> (3)</w:t>
      </w:r>
      <w:r w:rsidRPr="00A47D41">
        <w:rPr>
          <w:rFonts w:ascii="Times New Roman" w:hAnsi="Times New Roman" w:cs="Times New Roman"/>
          <w:sz w:val="24"/>
          <w:szCs w:val="24"/>
        </w:rPr>
        <w:t xml:space="preserve">, </w:t>
      </w:r>
      <w:r w:rsidR="00185EC9" w:rsidRPr="00A47D41">
        <w:rPr>
          <w:rFonts w:ascii="Times New Roman" w:hAnsi="Times New Roman" w:cs="Times New Roman"/>
          <w:sz w:val="24"/>
          <w:szCs w:val="24"/>
        </w:rPr>
        <w:t xml:space="preserve">pp </w:t>
      </w:r>
      <w:r w:rsidRPr="00A47D41">
        <w:rPr>
          <w:rFonts w:ascii="Times New Roman" w:hAnsi="Times New Roman" w:cs="Times New Roman"/>
          <w:sz w:val="24"/>
          <w:szCs w:val="24"/>
        </w:rPr>
        <w:t xml:space="preserve">1029-1079. </w:t>
      </w:r>
    </w:p>
    <w:p w14:paraId="3C791913" w14:textId="77777777" w:rsidR="00522494" w:rsidRDefault="00522494" w:rsidP="00522494">
      <w:pPr>
        <w:spacing w:after="0" w:line="240" w:lineRule="auto"/>
        <w:rPr>
          <w:rFonts w:ascii="Times New Roman" w:hAnsi="Times New Roman" w:cs="Times New Roman"/>
          <w:sz w:val="24"/>
          <w:szCs w:val="24"/>
        </w:rPr>
      </w:pPr>
    </w:p>
    <w:p w14:paraId="43810D0E" w14:textId="2D92B86C" w:rsidR="00BA6EB2" w:rsidRPr="00A47D41" w:rsidRDefault="00BA6EB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Brooks, R. and V. Ragunathan (2003). Returns and volatility on the Chinese stock markets. </w:t>
      </w:r>
      <w:r w:rsidRPr="00B03D95">
        <w:rPr>
          <w:rFonts w:ascii="Times New Roman" w:hAnsi="Times New Roman" w:cs="Times New Roman"/>
          <w:i/>
          <w:sz w:val="24"/>
          <w:szCs w:val="24"/>
        </w:rPr>
        <w:t>Applied Financial Economics</w:t>
      </w:r>
      <w:r w:rsidRPr="00A47D41">
        <w:rPr>
          <w:rFonts w:ascii="Times New Roman" w:hAnsi="Times New Roman" w:cs="Times New Roman"/>
          <w:sz w:val="24"/>
          <w:szCs w:val="24"/>
        </w:rPr>
        <w:t>, 13 (10), pp 747–752.</w:t>
      </w:r>
    </w:p>
    <w:p w14:paraId="61D46ED8" w14:textId="77777777" w:rsidR="00591AFC" w:rsidRDefault="00591AFC" w:rsidP="00522494">
      <w:pPr>
        <w:spacing w:after="0" w:line="240" w:lineRule="auto"/>
        <w:rPr>
          <w:rStyle w:val="research-output-journal-article-author-surname"/>
          <w:rFonts w:ascii="Times New Roman" w:hAnsi="Times New Roman" w:cs="Times New Roman"/>
          <w:sz w:val="24"/>
          <w:szCs w:val="24"/>
        </w:rPr>
      </w:pPr>
    </w:p>
    <w:p w14:paraId="00E73B69" w14:textId="0BAC4228" w:rsidR="00C119C7" w:rsidRDefault="00C119C7" w:rsidP="00522494">
      <w:pPr>
        <w:spacing w:after="0" w:line="240" w:lineRule="auto"/>
        <w:rPr>
          <w:rStyle w:val="research-output-journal-article-author-surname"/>
          <w:rFonts w:ascii="Times New Roman" w:hAnsi="Times New Roman" w:cs="Times New Roman"/>
          <w:sz w:val="24"/>
          <w:szCs w:val="24"/>
        </w:rPr>
      </w:pPr>
      <w:proofErr w:type="spellStart"/>
      <w:r w:rsidRPr="00C119C7">
        <w:rPr>
          <w:rStyle w:val="research-output-journal-article-author-surname"/>
          <w:rFonts w:ascii="Times New Roman" w:hAnsi="Times New Roman" w:cs="Times New Roman"/>
          <w:sz w:val="24"/>
          <w:szCs w:val="24"/>
        </w:rPr>
        <w:t>Brunnermeier</w:t>
      </w:r>
      <w:proofErr w:type="spellEnd"/>
      <w:r w:rsidRPr="00C119C7">
        <w:rPr>
          <w:rStyle w:val="research-output-journal-article-author-surname"/>
          <w:rFonts w:ascii="Times New Roman" w:hAnsi="Times New Roman" w:cs="Times New Roman"/>
          <w:sz w:val="24"/>
          <w:szCs w:val="24"/>
        </w:rPr>
        <w:t>, M.,</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Pedersen,</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L.,</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2009</w:t>
      </w:r>
      <w:r>
        <w:rPr>
          <w:rStyle w:val="research-output-journal-article-author-surname"/>
          <w:rFonts w:ascii="Times New Roman" w:hAnsi="Times New Roman" w:cs="Times New Roman"/>
          <w:sz w:val="24"/>
          <w:szCs w:val="24"/>
        </w:rPr>
        <w:t>)</w:t>
      </w:r>
      <w:r w:rsidRPr="00C119C7">
        <w:rPr>
          <w:rStyle w:val="research-output-journal-article-author-surname"/>
          <w:rFonts w:ascii="Times New Roman" w:hAnsi="Times New Roman" w:cs="Times New Roman"/>
          <w:sz w:val="24"/>
          <w:szCs w:val="24"/>
        </w:rPr>
        <w:t>.</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Market</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liquidity</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and</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funding</w:t>
      </w:r>
      <w:r w:rsidR="00C80B20">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 xml:space="preserve">liquidity. </w:t>
      </w:r>
      <w:r w:rsidRPr="00B03D95">
        <w:rPr>
          <w:rStyle w:val="research-output-journal-article-author-surname"/>
          <w:rFonts w:ascii="Times New Roman" w:hAnsi="Times New Roman" w:cs="Times New Roman"/>
          <w:i/>
          <w:sz w:val="24"/>
          <w:szCs w:val="24"/>
        </w:rPr>
        <w:t>Review of Financial Studies</w:t>
      </w:r>
      <w:r w:rsidR="00B03D95">
        <w:rPr>
          <w:rStyle w:val="research-output-journal-article-author-surname"/>
          <w:rFonts w:ascii="Times New Roman" w:hAnsi="Times New Roman" w:cs="Times New Roman"/>
          <w:i/>
          <w:sz w:val="24"/>
          <w:szCs w:val="24"/>
        </w:rPr>
        <w:t>,</w:t>
      </w:r>
      <w:r>
        <w:rPr>
          <w:rStyle w:val="research-output-journal-article-author-surname"/>
          <w:rFonts w:ascii="Times New Roman" w:hAnsi="Times New Roman" w:cs="Times New Roman"/>
          <w:sz w:val="24"/>
          <w:szCs w:val="24"/>
        </w:rPr>
        <w:t xml:space="preserve"> </w:t>
      </w:r>
      <w:r w:rsidRPr="00C119C7">
        <w:rPr>
          <w:rStyle w:val="research-output-journal-article-author-surname"/>
          <w:rFonts w:ascii="Times New Roman" w:hAnsi="Times New Roman" w:cs="Times New Roman"/>
          <w:sz w:val="24"/>
          <w:szCs w:val="24"/>
        </w:rPr>
        <w:t>22,</w:t>
      </w:r>
      <w:r>
        <w:rPr>
          <w:rStyle w:val="research-output-journal-article-author-surname"/>
          <w:rFonts w:ascii="Times New Roman" w:hAnsi="Times New Roman" w:cs="Times New Roman"/>
          <w:sz w:val="24"/>
          <w:szCs w:val="24"/>
        </w:rPr>
        <w:t xml:space="preserve"> </w:t>
      </w:r>
      <w:r w:rsidR="00B9231C">
        <w:rPr>
          <w:rStyle w:val="research-output-journal-article-author-surname"/>
          <w:rFonts w:ascii="Times New Roman" w:hAnsi="Times New Roman" w:cs="Times New Roman"/>
          <w:sz w:val="24"/>
          <w:szCs w:val="24"/>
        </w:rPr>
        <w:t xml:space="preserve">pp </w:t>
      </w:r>
      <w:r w:rsidRPr="00C119C7">
        <w:rPr>
          <w:rStyle w:val="research-output-journal-article-author-surname"/>
          <w:rFonts w:ascii="Times New Roman" w:hAnsi="Times New Roman" w:cs="Times New Roman"/>
          <w:sz w:val="24"/>
          <w:szCs w:val="24"/>
        </w:rPr>
        <w:t>2201–2238.</w:t>
      </w:r>
    </w:p>
    <w:p w14:paraId="0CC3C6C5" w14:textId="77777777" w:rsidR="00522494" w:rsidRDefault="00522494" w:rsidP="00522494">
      <w:pPr>
        <w:spacing w:after="0" w:line="240" w:lineRule="auto"/>
        <w:rPr>
          <w:rStyle w:val="research-output-journal-article-author-surname"/>
          <w:rFonts w:ascii="Times New Roman" w:hAnsi="Times New Roman" w:cs="Times New Roman"/>
          <w:sz w:val="24"/>
          <w:szCs w:val="24"/>
        </w:rPr>
      </w:pPr>
    </w:p>
    <w:p w14:paraId="73E32E6E" w14:textId="6A729C92" w:rsidR="00E129E1" w:rsidRPr="00E129E1" w:rsidRDefault="00E129E1" w:rsidP="00522494">
      <w:pPr>
        <w:spacing w:after="0" w:line="240" w:lineRule="auto"/>
        <w:rPr>
          <w:rStyle w:val="research-output-journal-article-doi"/>
          <w:rFonts w:ascii="Times New Roman" w:hAnsi="Times New Roman" w:cs="Times New Roman"/>
          <w:sz w:val="24"/>
          <w:szCs w:val="24"/>
        </w:rPr>
      </w:pPr>
      <w:r>
        <w:rPr>
          <w:rStyle w:val="research-output-journal-article-author-surname"/>
          <w:rFonts w:ascii="Times New Roman" w:hAnsi="Times New Roman" w:cs="Times New Roman"/>
          <w:sz w:val="24"/>
          <w:szCs w:val="24"/>
        </w:rPr>
        <w:t xml:space="preserve">Buckland, R., </w:t>
      </w:r>
      <w:r w:rsidRPr="00E129E1">
        <w:rPr>
          <w:rStyle w:val="research-output-journal-article-author-surname"/>
          <w:rFonts w:ascii="Times New Roman" w:hAnsi="Times New Roman" w:cs="Times New Roman"/>
          <w:sz w:val="24"/>
          <w:szCs w:val="24"/>
        </w:rPr>
        <w:t>Chen,</w:t>
      </w:r>
      <w:r w:rsidRPr="00E129E1">
        <w:rPr>
          <w:rStyle w:val="research-output-journal-article-author-initials"/>
          <w:rFonts w:ascii="Times New Roman" w:hAnsi="Times New Roman" w:cs="Times New Roman"/>
          <w:sz w:val="24"/>
          <w:szCs w:val="24"/>
        </w:rPr>
        <w:t xml:space="preserve"> J.</w:t>
      </w:r>
      <w:r w:rsidRPr="00E129E1">
        <w:rPr>
          <w:rStyle w:val="research-output-journal-article-author"/>
          <w:rFonts w:ascii="Times New Roman" w:hAnsi="Times New Roman" w:cs="Times New Roman"/>
          <w:sz w:val="24"/>
          <w:szCs w:val="24"/>
        </w:rPr>
        <w:t xml:space="preserve"> </w:t>
      </w:r>
      <w:r w:rsidRPr="00E129E1">
        <w:rPr>
          <w:rFonts w:ascii="Times New Roman" w:hAnsi="Times New Roman" w:cs="Times New Roman"/>
          <w:sz w:val="24"/>
          <w:szCs w:val="24"/>
        </w:rPr>
        <w:t>&amp;</w:t>
      </w:r>
      <w:r w:rsidRPr="00E129E1">
        <w:rPr>
          <w:rStyle w:val="research-output-journal-article-author-initials"/>
          <w:rFonts w:ascii="Times New Roman" w:hAnsi="Times New Roman" w:cs="Times New Roman"/>
          <w:sz w:val="24"/>
          <w:szCs w:val="24"/>
        </w:rPr>
        <w:t xml:space="preserve"> </w:t>
      </w:r>
      <w:r>
        <w:rPr>
          <w:rStyle w:val="research-output-journal-article-author-initials"/>
          <w:rFonts w:ascii="Times New Roman" w:hAnsi="Times New Roman" w:cs="Times New Roman"/>
          <w:sz w:val="24"/>
          <w:szCs w:val="24"/>
        </w:rPr>
        <w:t>J</w:t>
      </w:r>
      <w:r w:rsidRPr="00E129E1">
        <w:rPr>
          <w:rStyle w:val="research-output-journal-article-author-initials"/>
          <w:rFonts w:ascii="Times New Roman" w:hAnsi="Times New Roman" w:cs="Times New Roman"/>
          <w:sz w:val="24"/>
          <w:szCs w:val="24"/>
        </w:rPr>
        <w:t>.</w:t>
      </w:r>
      <w:r w:rsidRPr="00E129E1">
        <w:rPr>
          <w:rStyle w:val="research-output-journal-article-author"/>
          <w:rFonts w:ascii="Times New Roman" w:hAnsi="Times New Roman" w:cs="Times New Roman"/>
          <w:sz w:val="24"/>
          <w:szCs w:val="24"/>
        </w:rPr>
        <w:t xml:space="preserve"> </w:t>
      </w:r>
      <w:r>
        <w:rPr>
          <w:rStyle w:val="research-output-journal-article-author-surname"/>
          <w:rFonts w:ascii="Times New Roman" w:hAnsi="Times New Roman" w:cs="Times New Roman"/>
          <w:sz w:val="24"/>
          <w:szCs w:val="24"/>
        </w:rPr>
        <w:t>Williams</w:t>
      </w:r>
      <w:r w:rsidRPr="00E129E1">
        <w:rPr>
          <w:rStyle w:val="research-output-journal-article-date"/>
          <w:rFonts w:ascii="Times New Roman" w:hAnsi="Times New Roman" w:cs="Times New Roman"/>
          <w:sz w:val="24"/>
          <w:szCs w:val="24"/>
        </w:rPr>
        <w:t xml:space="preserve"> (2011).</w:t>
      </w:r>
      <w:r w:rsidRPr="00E129E1">
        <w:rPr>
          <w:rStyle w:val="research-output-journal-article-name"/>
          <w:rFonts w:ascii="Times New Roman" w:hAnsi="Times New Roman" w:cs="Times New Roman"/>
          <w:sz w:val="24"/>
          <w:szCs w:val="24"/>
        </w:rPr>
        <w:t xml:space="preserve"> Regulatory changes, market integration and spill over effects in the Chinese, A, B and Hong Kong equity markets. </w:t>
      </w:r>
      <w:r w:rsidRPr="00E129E1">
        <w:rPr>
          <w:rStyle w:val="research-output-journal-article-periodical1"/>
          <w:rFonts w:ascii="Times New Roman" w:hAnsi="Times New Roman" w:cs="Times New Roman"/>
          <w:sz w:val="24"/>
          <w:szCs w:val="24"/>
        </w:rPr>
        <w:t>Pacific-Basin Journal of Finance,</w:t>
      </w:r>
      <w:r w:rsidRPr="00E129E1">
        <w:rPr>
          <w:rStyle w:val="research-output-journal-article-volume"/>
          <w:rFonts w:ascii="Times New Roman" w:hAnsi="Times New Roman" w:cs="Times New Roman"/>
          <w:sz w:val="24"/>
          <w:szCs w:val="24"/>
        </w:rPr>
        <w:t xml:space="preserve"> 19</w:t>
      </w:r>
      <w:r w:rsidRPr="00E129E1">
        <w:rPr>
          <w:rStyle w:val="research-output-journal-article-issue"/>
          <w:rFonts w:ascii="Times New Roman" w:hAnsi="Times New Roman" w:cs="Times New Roman"/>
          <w:sz w:val="24"/>
          <w:szCs w:val="24"/>
        </w:rPr>
        <w:t>(4)</w:t>
      </w:r>
      <w:r w:rsidRPr="00E129E1">
        <w:rPr>
          <w:rStyle w:val="research-output-journal-article-paginationstart"/>
          <w:rFonts w:ascii="Times New Roman" w:hAnsi="Times New Roman" w:cs="Times New Roman"/>
          <w:sz w:val="24"/>
          <w:szCs w:val="24"/>
        </w:rPr>
        <w:t xml:space="preserve">, </w:t>
      </w:r>
      <w:r w:rsidR="00B9231C">
        <w:rPr>
          <w:rStyle w:val="research-output-journal-article-paginationstart"/>
          <w:rFonts w:ascii="Times New Roman" w:hAnsi="Times New Roman" w:cs="Times New Roman"/>
          <w:sz w:val="24"/>
          <w:szCs w:val="24"/>
        </w:rPr>
        <w:t xml:space="preserve">pp </w:t>
      </w:r>
      <w:r w:rsidRPr="00E129E1">
        <w:rPr>
          <w:rStyle w:val="research-output-journal-article-paginationstart"/>
          <w:rFonts w:ascii="Times New Roman" w:hAnsi="Times New Roman" w:cs="Times New Roman"/>
          <w:sz w:val="24"/>
          <w:szCs w:val="24"/>
        </w:rPr>
        <w:t>351</w:t>
      </w:r>
      <w:r w:rsidRPr="00E129E1">
        <w:rPr>
          <w:rStyle w:val="research-output-journal-article-paginationend"/>
          <w:rFonts w:ascii="Times New Roman" w:hAnsi="Times New Roman" w:cs="Times New Roman"/>
          <w:sz w:val="24"/>
          <w:szCs w:val="24"/>
        </w:rPr>
        <w:t>-373.</w:t>
      </w:r>
      <w:r w:rsidRPr="00E129E1">
        <w:rPr>
          <w:rStyle w:val="research-output-journal-article-doi"/>
          <w:rFonts w:ascii="Times New Roman" w:hAnsi="Times New Roman" w:cs="Times New Roman"/>
          <w:sz w:val="24"/>
          <w:szCs w:val="24"/>
        </w:rPr>
        <w:t xml:space="preserve"> </w:t>
      </w:r>
    </w:p>
    <w:p w14:paraId="4DAD3760" w14:textId="77777777" w:rsidR="00522494" w:rsidRDefault="00522494" w:rsidP="00522494">
      <w:pPr>
        <w:spacing w:after="0" w:line="240" w:lineRule="auto"/>
        <w:rPr>
          <w:rFonts w:ascii="Times New Roman" w:hAnsi="Times New Roman" w:cs="Times New Roman"/>
          <w:sz w:val="24"/>
          <w:szCs w:val="24"/>
        </w:rPr>
      </w:pPr>
    </w:p>
    <w:p w14:paraId="602C9174" w14:textId="6D792439" w:rsidR="001A2500" w:rsidRPr="00A47D41" w:rsidRDefault="001A2500"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Chang, E. C., Cheng, J. and Y. Yu. (2007). Short-Sales Constraints and Price Discovery: Evidence from the Hong Kong Market. </w:t>
      </w:r>
      <w:r w:rsidRPr="00B03D95">
        <w:rPr>
          <w:rFonts w:ascii="Times New Roman" w:hAnsi="Times New Roman" w:cs="Times New Roman"/>
          <w:i/>
          <w:sz w:val="24"/>
          <w:szCs w:val="24"/>
        </w:rPr>
        <w:t>The Journal of Finance</w:t>
      </w:r>
      <w:r w:rsidRPr="00A47D41">
        <w:rPr>
          <w:rFonts w:ascii="Times New Roman" w:hAnsi="Times New Roman" w:cs="Times New Roman"/>
          <w:sz w:val="24"/>
          <w:szCs w:val="24"/>
        </w:rPr>
        <w:t>, 62 (5), pp 2097-2121.</w:t>
      </w:r>
    </w:p>
    <w:p w14:paraId="0932467B" w14:textId="77777777" w:rsidR="00522494" w:rsidRDefault="00522494" w:rsidP="00522494">
      <w:pPr>
        <w:spacing w:after="0" w:line="240" w:lineRule="auto"/>
        <w:rPr>
          <w:rFonts w:ascii="Times New Roman" w:hAnsi="Times New Roman" w:cs="Times New Roman"/>
          <w:sz w:val="24"/>
          <w:szCs w:val="24"/>
        </w:rPr>
      </w:pPr>
    </w:p>
    <w:p w14:paraId="28D507C7" w14:textId="77777777" w:rsidR="001A2500" w:rsidRPr="00A47D41" w:rsidRDefault="001A2500"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Chow, Gregory C. (1960). Tests of Equality </w:t>
      </w:r>
      <w:r w:rsidR="001F7153" w:rsidRPr="00A47D41">
        <w:rPr>
          <w:rFonts w:ascii="Times New Roman" w:hAnsi="Times New Roman" w:cs="Times New Roman"/>
          <w:sz w:val="24"/>
          <w:szCs w:val="24"/>
        </w:rPr>
        <w:t>between</w:t>
      </w:r>
      <w:r w:rsidRPr="00A47D41">
        <w:rPr>
          <w:rFonts w:ascii="Times New Roman" w:hAnsi="Times New Roman" w:cs="Times New Roman"/>
          <w:sz w:val="24"/>
          <w:szCs w:val="24"/>
        </w:rPr>
        <w:t xml:space="preserve"> Sets of Coefficients in Two Linear Regressions. </w:t>
      </w:r>
      <w:r w:rsidRPr="00B03D95">
        <w:rPr>
          <w:rFonts w:ascii="Times New Roman" w:hAnsi="Times New Roman" w:cs="Times New Roman"/>
          <w:i/>
          <w:sz w:val="24"/>
          <w:szCs w:val="24"/>
        </w:rPr>
        <w:t>Econometrica</w:t>
      </w:r>
      <w:r w:rsidRPr="00A47D41">
        <w:rPr>
          <w:rFonts w:ascii="Times New Roman" w:hAnsi="Times New Roman" w:cs="Times New Roman"/>
          <w:sz w:val="24"/>
          <w:szCs w:val="24"/>
        </w:rPr>
        <w:t xml:space="preserve">, 28 (3), pp 591–605. </w:t>
      </w:r>
    </w:p>
    <w:p w14:paraId="68C67FAC" w14:textId="77777777" w:rsidR="00522494" w:rsidRDefault="00522494" w:rsidP="00522494">
      <w:pPr>
        <w:spacing w:after="0" w:line="240" w:lineRule="auto"/>
        <w:rPr>
          <w:rFonts w:ascii="Times New Roman" w:hAnsi="Times New Roman" w:cs="Times New Roman"/>
          <w:sz w:val="24"/>
          <w:szCs w:val="24"/>
        </w:rPr>
      </w:pPr>
    </w:p>
    <w:p w14:paraId="0F9821B5" w14:textId="00696099" w:rsidR="00B41F92" w:rsidRPr="00A47D41" w:rsidRDefault="00B41F9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Diamond, D. W. and </w:t>
      </w:r>
      <w:r w:rsidR="00326E92" w:rsidRPr="00A47D41">
        <w:rPr>
          <w:rFonts w:ascii="Times New Roman" w:hAnsi="Times New Roman" w:cs="Times New Roman"/>
          <w:sz w:val="24"/>
          <w:szCs w:val="24"/>
        </w:rPr>
        <w:t xml:space="preserve">R. E. </w:t>
      </w:r>
      <w:r w:rsidRPr="00A47D41">
        <w:rPr>
          <w:rFonts w:ascii="Times New Roman" w:hAnsi="Times New Roman" w:cs="Times New Roman"/>
          <w:sz w:val="24"/>
          <w:szCs w:val="24"/>
        </w:rPr>
        <w:t>Verrecchia</w:t>
      </w:r>
      <w:r w:rsidR="00326E92" w:rsidRPr="00A47D41">
        <w:rPr>
          <w:rFonts w:ascii="Times New Roman" w:hAnsi="Times New Roman" w:cs="Times New Roman"/>
          <w:sz w:val="24"/>
          <w:szCs w:val="24"/>
        </w:rPr>
        <w:t xml:space="preserve"> </w:t>
      </w:r>
      <w:r w:rsidRPr="00A47D41">
        <w:rPr>
          <w:rFonts w:ascii="Times New Roman" w:hAnsi="Times New Roman" w:cs="Times New Roman"/>
          <w:sz w:val="24"/>
          <w:szCs w:val="24"/>
        </w:rPr>
        <w:t>(1987)</w:t>
      </w:r>
      <w:r w:rsidR="00E86754" w:rsidRPr="00A47D41">
        <w:rPr>
          <w:rFonts w:ascii="Times New Roman" w:hAnsi="Times New Roman" w:cs="Times New Roman"/>
          <w:sz w:val="24"/>
          <w:szCs w:val="24"/>
        </w:rPr>
        <w:t>. Constraints on Short-selling and A</w:t>
      </w:r>
      <w:r w:rsidRPr="00A47D41">
        <w:rPr>
          <w:rFonts w:ascii="Times New Roman" w:hAnsi="Times New Roman" w:cs="Times New Roman"/>
          <w:sz w:val="24"/>
          <w:szCs w:val="24"/>
        </w:rPr>
        <w:t xml:space="preserve">sset </w:t>
      </w:r>
      <w:r w:rsidR="00E86754" w:rsidRPr="00A47D41">
        <w:rPr>
          <w:rFonts w:ascii="Times New Roman" w:hAnsi="Times New Roman" w:cs="Times New Roman"/>
          <w:sz w:val="24"/>
          <w:szCs w:val="24"/>
        </w:rPr>
        <w:t>Price Adjustment to Private I</w:t>
      </w:r>
      <w:r w:rsidRPr="00A47D41">
        <w:rPr>
          <w:rFonts w:ascii="Times New Roman" w:hAnsi="Times New Roman" w:cs="Times New Roman"/>
          <w:sz w:val="24"/>
          <w:szCs w:val="24"/>
        </w:rPr>
        <w:t>nformation</w:t>
      </w:r>
      <w:r w:rsidR="00E86754" w:rsidRPr="00A47D41">
        <w:rPr>
          <w:rFonts w:ascii="Times New Roman" w:hAnsi="Times New Roman" w:cs="Times New Roman"/>
          <w:sz w:val="24"/>
          <w:szCs w:val="24"/>
        </w:rPr>
        <w:t>.</w:t>
      </w:r>
      <w:r w:rsidRPr="00A47D41">
        <w:rPr>
          <w:rFonts w:ascii="Times New Roman" w:hAnsi="Times New Roman" w:cs="Times New Roman"/>
          <w:sz w:val="24"/>
          <w:szCs w:val="24"/>
        </w:rPr>
        <w:t xml:space="preserve"> </w:t>
      </w:r>
      <w:r w:rsidRPr="00B03D95">
        <w:rPr>
          <w:rFonts w:ascii="Times New Roman" w:hAnsi="Times New Roman" w:cs="Times New Roman"/>
          <w:i/>
          <w:sz w:val="24"/>
          <w:szCs w:val="24"/>
        </w:rPr>
        <w:t>Journal of Financial Economics</w:t>
      </w:r>
      <w:r w:rsidR="00B03D95" w:rsidRPr="00B03D95">
        <w:rPr>
          <w:rFonts w:ascii="Times New Roman" w:hAnsi="Times New Roman" w:cs="Times New Roman"/>
          <w:i/>
          <w:sz w:val="24"/>
          <w:szCs w:val="24"/>
        </w:rPr>
        <w:t>,</w:t>
      </w:r>
      <w:r w:rsidRPr="00A47D41">
        <w:rPr>
          <w:rFonts w:ascii="Times New Roman" w:hAnsi="Times New Roman" w:cs="Times New Roman"/>
          <w:sz w:val="24"/>
          <w:szCs w:val="24"/>
        </w:rPr>
        <w:t xml:space="preserve"> 18, </w:t>
      </w:r>
      <w:r w:rsidR="00484FB4" w:rsidRPr="00A47D41">
        <w:rPr>
          <w:rFonts w:ascii="Times New Roman" w:hAnsi="Times New Roman" w:cs="Times New Roman"/>
          <w:sz w:val="24"/>
          <w:szCs w:val="24"/>
        </w:rPr>
        <w:t xml:space="preserve">pp </w:t>
      </w:r>
      <w:r w:rsidRPr="00A47D41">
        <w:rPr>
          <w:rFonts w:ascii="Times New Roman" w:hAnsi="Times New Roman" w:cs="Times New Roman"/>
          <w:sz w:val="24"/>
          <w:szCs w:val="24"/>
        </w:rPr>
        <w:t xml:space="preserve">277-311. </w:t>
      </w:r>
    </w:p>
    <w:p w14:paraId="221CE305" w14:textId="77777777" w:rsidR="00522494" w:rsidRDefault="00522494" w:rsidP="00522494">
      <w:pPr>
        <w:spacing w:after="0" w:line="240" w:lineRule="auto"/>
        <w:rPr>
          <w:rFonts w:ascii="Times New Roman" w:hAnsi="Times New Roman" w:cs="Times New Roman"/>
          <w:sz w:val="24"/>
          <w:szCs w:val="24"/>
        </w:rPr>
      </w:pPr>
    </w:p>
    <w:p w14:paraId="0EBFA3D8" w14:textId="3D18EDD9" w:rsidR="00FF6AC6" w:rsidRPr="00A47D41" w:rsidRDefault="00FF6AC6"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Diethe</w:t>
      </w:r>
      <w:r w:rsidR="00C934AE">
        <w:rPr>
          <w:rFonts w:ascii="Times New Roman" w:hAnsi="Times New Roman" w:cs="Times New Roman"/>
          <w:sz w:val="24"/>
          <w:szCs w:val="24"/>
        </w:rPr>
        <w:t>r, K., Lee, K. &amp; I. Werner (2009</w:t>
      </w:r>
      <w:r w:rsidRPr="00A47D41">
        <w:rPr>
          <w:rFonts w:ascii="Times New Roman" w:hAnsi="Times New Roman" w:cs="Times New Roman"/>
          <w:sz w:val="24"/>
          <w:szCs w:val="24"/>
        </w:rPr>
        <w:t>)</w:t>
      </w:r>
      <w:r w:rsidR="00956BF6" w:rsidRPr="00A47D41">
        <w:rPr>
          <w:rFonts w:ascii="Times New Roman" w:hAnsi="Times New Roman" w:cs="Times New Roman"/>
          <w:sz w:val="24"/>
          <w:szCs w:val="24"/>
        </w:rPr>
        <w:t xml:space="preserve">. It’s SHO Time! </w:t>
      </w:r>
      <w:r w:rsidRPr="00A47D41">
        <w:rPr>
          <w:rFonts w:ascii="Times New Roman" w:hAnsi="Times New Roman" w:cs="Times New Roman"/>
          <w:sz w:val="24"/>
          <w:szCs w:val="24"/>
        </w:rPr>
        <w:t xml:space="preserve">Short-Sale Price-Tests and Market Quality. </w:t>
      </w:r>
      <w:r w:rsidR="00B03D95" w:rsidRPr="00B03D95">
        <w:rPr>
          <w:rFonts w:ascii="Times New Roman" w:hAnsi="Times New Roman" w:cs="Times New Roman"/>
          <w:i/>
          <w:sz w:val="24"/>
          <w:szCs w:val="24"/>
        </w:rPr>
        <w:t xml:space="preserve">The </w:t>
      </w:r>
      <w:r w:rsidR="002D6357" w:rsidRPr="00B03D95">
        <w:rPr>
          <w:rFonts w:ascii="Times New Roman" w:hAnsi="Times New Roman" w:cs="Times New Roman"/>
          <w:i/>
          <w:sz w:val="24"/>
          <w:szCs w:val="24"/>
        </w:rPr>
        <w:t>Journal of Finance</w:t>
      </w:r>
      <w:r w:rsidR="00B03D95">
        <w:rPr>
          <w:rFonts w:ascii="Times New Roman" w:hAnsi="Times New Roman" w:cs="Times New Roman"/>
          <w:sz w:val="24"/>
          <w:szCs w:val="24"/>
        </w:rPr>
        <w:t>,</w:t>
      </w:r>
      <w:r w:rsidR="002D6357">
        <w:rPr>
          <w:rFonts w:ascii="Times New Roman" w:hAnsi="Times New Roman" w:cs="Times New Roman"/>
          <w:sz w:val="24"/>
          <w:szCs w:val="24"/>
        </w:rPr>
        <w:t xml:space="preserve"> 64, pp 37-73.</w:t>
      </w:r>
    </w:p>
    <w:p w14:paraId="493E021E" w14:textId="77777777" w:rsidR="00522494" w:rsidRDefault="00522494" w:rsidP="00522494">
      <w:pPr>
        <w:spacing w:after="0" w:line="240" w:lineRule="auto"/>
        <w:rPr>
          <w:rFonts w:ascii="Times New Roman" w:hAnsi="Times New Roman" w:cs="Times New Roman"/>
          <w:sz w:val="24"/>
          <w:szCs w:val="24"/>
        </w:rPr>
      </w:pPr>
    </w:p>
    <w:p w14:paraId="575763EC" w14:textId="49ED750A" w:rsidR="00D41B23" w:rsidRPr="00A47D41" w:rsidRDefault="00B41F9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Figlewski, S</w:t>
      </w:r>
      <w:r w:rsidR="00326E92" w:rsidRPr="00A47D41">
        <w:rPr>
          <w:rFonts w:ascii="Times New Roman" w:hAnsi="Times New Roman" w:cs="Times New Roman"/>
          <w:sz w:val="24"/>
          <w:szCs w:val="24"/>
        </w:rPr>
        <w:t>. (</w:t>
      </w:r>
      <w:r w:rsidRPr="00A47D41">
        <w:rPr>
          <w:rFonts w:ascii="Times New Roman" w:hAnsi="Times New Roman" w:cs="Times New Roman"/>
          <w:sz w:val="24"/>
          <w:szCs w:val="24"/>
        </w:rPr>
        <w:t>1981</w:t>
      </w:r>
      <w:r w:rsidR="00326E92" w:rsidRPr="00A47D41">
        <w:rPr>
          <w:rFonts w:ascii="Times New Roman" w:hAnsi="Times New Roman" w:cs="Times New Roman"/>
          <w:sz w:val="24"/>
          <w:szCs w:val="24"/>
        </w:rPr>
        <w:t>). The Informational E</w:t>
      </w:r>
      <w:r w:rsidRPr="00A47D41">
        <w:rPr>
          <w:rFonts w:ascii="Times New Roman" w:hAnsi="Times New Roman" w:cs="Times New Roman"/>
          <w:sz w:val="24"/>
          <w:szCs w:val="24"/>
        </w:rPr>
        <w:t xml:space="preserve">ffects of </w:t>
      </w:r>
      <w:r w:rsidR="00326E92" w:rsidRPr="00A47D41">
        <w:rPr>
          <w:rFonts w:ascii="Times New Roman" w:hAnsi="Times New Roman" w:cs="Times New Roman"/>
          <w:sz w:val="24"/>
          <w:szCs w:val="24"/>
        </w:rPr>
        <w:t>R</w:t>
      </w:r>
      <w:r w:rsidRPr="00A47D41">
        <w:rPr>
          <w:rFonts w:ascii="Times New Roman" w:hAnsi="Times New Roman" w:cs="Times New Roman"/>
          <w:sz w:val="24"/>
          <w:szCs w:val="24"/>
        </w:rPr>
        <w:t xml:space="preserve">estrictions on </w:t>
      </w:r>
      <w:r w:rsidR="00326E92" w:rsidRPr="00A47D41">
        <w:rPr>
          <w:rFonts w:ascii="Times New Roman" w:hAnsi="Times New Roman" w:cs="Times New Roman"/>
          <w:sz w:val="24"/>
          <w:szCs w:val="24"/>
        </w:rPr>
        <w:t>S</w:t>
      </w:r>
      <w:r w:rsidRPr="00A47D41">
        <w:rPr>
          <w:rFonts w:ascii="Times New Roman" w:hAnsi="Times New Roman" w:cs="Times New Roman"/>
          <w:sz w:val="24"/>
          <w:szCs w:val="24"/>
        </w:rPr>
        <w:t xml:space="preserve">hort </w:t>
      </w:r>
      <w:r w:rsidR="00326E92" w:rsidRPr="00A47D41">
        <w:rPr>
          <w:rFonts w:ascii="Times New Roman" w:hAnsi="Times New Roman" w:cs="Times New Roman"/>
          <w:sz w:val="24"/>
          <w:szCs w:val="24"/>
        </w:rPr>
        <w:t>S</w:t>
      </w:r>
      <w:r w:rsidRPr="00A47D41">
        <w:rPr>
          <w:rFonts w:ascii="Times New Roman" w:hAnsi="Times New Roman" w:cs="Times New Roman"/>
          <w:sz w:val="24"/>
          <w:szCs w:val="24"/>
        </w:rPr>
        <w:t xml:space="preserve">ales: </w:t>
      </w:r>
      <w:r w:rsidR="00326E92" w:rsidRPr="00A47D41">
        <w:rPr>
          <w:rFonts w:ascii="Times New Roman" w:hAnsi="Times New Roman" w:cs="Times New Roman"/>
          <w:sz w:val="24"/>
          <w:szCs w:val="24"/>
        </w:rPr>
        <w:t>Some E</w:t>
      </w:r>
      <w:r w:rsidRPr="00A47D41">
        <w:rPr>
          <w:rFonts w:ascii="Times New Roman" w:hAnsi="Times New Roman" w:cs="Times New Roman"/>
          <w:sz w:val="24"/>
          <w:szCs w:val="24"/>
        </w:rPr>
        <w:t xml:space="preserve">mpirical </w:t>
      </w:r>
      <w:r w:rsidR="00326E92" w:rsidRPr="00A47D41">
        <w:rPr>
          <w:rFonts w:ascii="Times New Roman" w:hAnsi="Times New Roman" w:cs="Times New Roman"/>
          <w:sz w:val="24"/>
          <w:szCs w:val="24"/>
        </w:rPr>
        <w:t>E</w:t>
      </w:r>
      <w:r w:rsidRPr="00A47D41">
        <w:rPr>
          <w:rFonts w:ascii="Times New Roman" w:hAnsi="Times New Roman" w:cs="Times New Roman"/>
          <w:sz w:val="24"/>
          <w:szCs w:val="24"/>
        </w:rPr>
        <w:t>vidence</w:t>
      </w:r>
      <w:r w:rsidR="00326E92" w:rsidRPr="00A47D41">
        <w:rPr>
          <w:rFonts w:ascii="Times New Roman" w:hAnsi="Times New Roman" w:cs="Times New Roman"/>
          <w:sz w:val="24"/>
          <w:szCs w:val="24"/>
        </w:rPr>
        <w:t>.</w:t>
      </w:r>
      <w:r w:rsidRPr="00A47D41">
        <w:rPr>
          <w:rFonts w:ascii="Times New Roman" w:hAnsi="Times New Roman" w:cs="Times New Roman"/>
          <w:sz w:val="24"/>
          <w:szCs w:val="24"/>
        </w:rPr>
        <w:t xml:space="preserve"> </w:t>
      </w:r>
      <w:r w:rsidRPr="00B03D95">
        <w:rPr>
          <w:rFonts w:ascii="Times New Roman" w:hAnsi="Times New Roman" w:cs="Times New Roman"/>
          <w:i/>
          <w:sz w:val="24"/>
          <w:szCs w:val="24"/>
        </w:rPr>
        <w:t>Journal of Financial and Quantitative Analysis</w:t>
      </w:r>
      <w:r w:rsidR="00B03D95">
        <w:rPr>
          <w:rFonts w:ascii="Times New Roman" w:hAnsi="Times New Roman" w:cs="Times New Roman"/>
          <w:i/>
          <w:sz w:val="24"/>
          <w:szCs w:val="24"/>
        </w:rPr>
        <w:t>,</w:t>
      </w:r>
      <w:r w:rsidRPr="00A47D41">
        <w:rPr>
          <w:rFonts w:ascii="Times New Roman" w:hAnsi="Times New Roman" w:cs="Times New Roman"/>
          <w:sz w:val="24"/>
          <w:szCs w:val="24"/>
        </w:rPr>
        <w:t xml:space="preserve"> 16, </w:t>
      </w:r>
      <w:r w:rsidR="00B9231C">
        <w:rPr>
          <w:rFonts w:ascii="Times New Roman" w:hAnsi="Times New Roman" w:cs="Times New Roman"/>
          <w:sz w:val="24"/>
          <w:szCs w:val="24"/>
        </w:rPr>
        <w:t xml:space="preserve">pp </w:t>
      </w:r>
      <w:r w:rsidRPr="00A47D41">
        <w:rPr>
          <w:rFonts w:ascii="Times New Roman" w:hAnsi="Times New Roman" w:cs="Times New Roman"/>
          <w:sz w:val="24"/>
          <w:szCs w:val="24"/>
        </w:rPr>
        <w:t xml:space="preserve">463-476. </w:t>
      </w:r>
    </w:p>
    <w:p w14:paraId="6AE427CA" w14:textId="77777777" w:rsidR="00522494" w:rsidRDefault="00522494" w:rsidP="00522494">
      <w:pPr>
        <w:spacing w:after="0" w:line="240" w:lineRule="auto"/>
        <w:rPr>
          <w:rFonts w:ascii="Times New Roman" w:hAnsi="Times New Roman" w:cs="Times New Roman"/>
          <w:sz w:val="24"/>
          <w:szCs w:val="24"/>
        </w:rPr>
      </w:pPr>
    </w:p>
    <w:p w14:paraId="4EA1383D" w14:textId="77777777" w:rsidR="00B41F92" w:rsidRPr="00A47D41" w:rsidRDefault="00B41F9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Figlewski, S</w:t>
      </w:r>
      <w:r w:rsidR="00873C90" w:rsidRPr="00A47D41">
        <w:rPr>
          <w:rFonts w:ascii="Times New Roman" w:hAnsi="Times New Roman" w:cs="Times New Roman"/>
          <w:sz w:val="24"/>
          <w:szCs w:val="24"/>
        </w:rPr>
        <w:t>.</w:t>
      </w:r>
      <w:r w:rsidRPr="00A47D41">
        <w:rPr>
          <w:rFonts w:ascii="Times New Roman" w:hAnsi="Times New Roman" w:cs="Times New Roman"/>
          <w:sz w:val="24"/>
          <w:szCs w:val="24"/>
        </w:rPr>
        <w:t xml:space="preserve"> and Webb, </w:t>
      </w:r>
      <w:r w:rsidR="00873C90" w:rsidRPr="00A47D41">
        <w:rPr>
          <w:rFonts w:ascii="Times New Roman" w:hAnsi="Times New Roman" w:cs="Times New Roman"/>
          <w:sz w:val="24"/>
          <w:szCs w:val="24"/>
        </w:rPr>
        <w:t>G. (</w:t>
      </w:r>
      <w:r w:rsidRPr="00A47D41">
        <w:rPr>
          <w:rFonts w:ascii="Times New Roman" w:hAnsi="Times New Roman" w:cs="Times New Roman"/>
          <w:sz w:val="24"/>
          <w:szCs w:val="24"/>
        </w:rPr>
        <w:t>1993</w:t>
      </w:r>
      <w:r w:rsidR="00873C90" w:rsidRPr="00A47D41">
        <w:rPr>
          <w:rFonts w:ascii="Times New Roman" w:hAnsi="Times New Roman" w:cs="Times New Roman"/>
          <w:sz w:val="24"/>
          <w:szCs w:val="24"/>
        </w:rPr>
        <w:t>). Options, S</w:t>
      </w:r>
      <w:r w:rsidRPr="00A47D41">
        <w:rPr>
          <w:rFonts w:ascii="Times New Roman" w:hAnsi="Times New Roman" w:cs="Times New Roman"/>
          <w:sz w:val="24"/>
          <w:szCs w:val="24"/>
        </w:rPr>
        <w:t>h</w:t>
      </w:r>
      <w:r w:rsidR="00873C90" w:rsidRPr="00A47D41">
        <w:rPr>
          <w:rFonts w:ascii="Times New Roman" w:hAnsi="Times New Roman" w:cs="Times New Roman"/>
          <w:sz w:val="24"/>
          <w:szCs w:val="24"/>
        </w:rPr>
        <w:t>ort S</w:t>
      </w:r>
      <w:r w:rsidRPr="00A47D41">
        <w:rPr>
          <w:rFonts w:ascii="Times New Roman" w:hAnsi="Times New Roman" w:cs="Times New Roman"/>
          <w:sz w:val="24"/>
          <w:szCs w:val="24"/>
        </w:rPr>
        <w:t>ales</w:t>
      </w:r>
      <w:r w:rsidR="00873C90" w:rsidRPr="00A47D41">
        <w:rPr>
          <w:rFonts w:ascii="Times New Roman" w:hAnsi="Times New Roman" w:cs="Times New Roman"/>
          <w:sz w:val="24"/>
          <w:szCs w:val="24"/>
        </w:rPr>
        <w:t xml:space="preserve"> and M</w:t>
      </w:r>
      <w:r w:rsidRPr="00A47D41">
        <w:rPr>
          <w:rFonts w:ascii="Times New Roman" w:hAnsi="Times New Roman" w:cs="Times New Roman"/>
          <w:sz w:val="24"/>
          <w:szCs w:val="24"/>
        </w:rPr>
        <w:t xml:space="preserve">arket </w:t>
      </w:r>
      <w:r w:rsidR="00873C90" w:rsidRPr="00A47D41">
        <w:rPr>
          <w:rFonts w:ascii="Times New Roman" w:hAnsi="Times New Roman" w:cs="Times New Roman"/>
          <w:sz w:val="24"/>
          <w:szCs w:val="24"/>
        </w:rPr>
        <w:t>C</w:t>
      </w:r>
      <w:r w:rsidRPr="00A47D41">
        <w:rPr>
          <w:rFonts w:ascii="Times New Roman" w:hAnsi="Times New Roman" w:cs="Times New Roman"/>
          <w:sz w:val="24"/>
          <w:szCs w:val="24"/>
        </w:rPr>
        <w:t>ompleteness</w:t>
      </w:r>
      <w:r w:rsidR="00873C90" w:rsidRPr="00A47D41">
        <w:rPr>
          <w:rFonts w:ascii="Times New Roman" w:hAnsi="Times New Roman" w:cs="Times New Roman"/>
          <w:sz w:val="24"/>
          <w:szCs w:val="24"/>
        </w:rPr>
        <w:t>.</w:t>
      </w:r>
      <w:r w:rsidRPr="00A47D41">
        <w:rPr>
          <w:rFonts w:ascii="Times New Roman" w:hAnsi="Times New Roman" w:cs="Times New Roman"/>
          <w:sz w:val="24"/>
          <w:szCs w:val="24"/>
        </w:rPr>
        <w:t xml:space="preserve"> </w:t>
      </w:r>
      <w:r w:rsidR="00873C90" w:rsidRPr="00B03D95">
        <w:rPr>
          <w:rFonts w:ascii="Times New Roman" w:hAnsi="Times New Roman" w:cs="Times New Roman"/>
          <w:i/>
          <w:sz w:val="24"/>
          <w:szCs w:val="24"/>
        </w:rPr>
        <w:t xml:space="preserve">The </w:t>
      </w:r>
      <w:r w:rsidRPr="00B03D95">
        <w:rPr>
          <w:rFonts w:ascii="Times New Roman" w:hAnsi="Times New Roman" w:cs="Times New Roman"/>
          <w:i/>
          <w:sz w:val="24"/>
          <w:szCs w:val="24"/>
        </w:rPr>
        <w:t>Journal of Financ</w:t>
      </w:r>
      <w:r w:rsidRPr="00A47D41">
        <w:rPr>
          <w:rFonts w:ascii="Times New Roman" w:hAnsi="Times New Roman" w:cs="Times New Roman"/>
          <w:sz w:val="24"/>
          <w:szCs w:val="24"/>
        </w:rPr>
        <w:t>e</w:t>
      </w:r>
      <w:r w:rsidR="00873C90" w:rsidRPr="00A47D41">
        <w:rPr>
          <w:rFonts w:ascii="Times New Roman" w:hAnsi="Times New Roman" w:cs="Times New Roman"/>
          <w:sz w:val="24"/>
          <w:szCs w:val="24"/>
        </w:rPr>
        <w:t xml:space="preserve">, </w:t>
      </w:r>
      <w:r w:rsidRPr="00A47D41">
        <w:rPr>
          <w:rFonts w:ascii="Times New Roman" w:hAnsi="Times New Roman" w:cs="Times New Roman"/>
          <w:sz w:val="24"/>
          <w:szCs w:val="24"/>
        </w:rPr>
        <w:t>48</w:t>
      </w:r>
      <w:r w:rsidR="00873C90" w:rsidRPr="00A47D41">
        <w:rPr>
          <w:rFonts w:ascii="Times New Roman" w:hAnsi="Times New Roman" w:cs="Times New Roman"/>
          <w:sz w:val="24"/>
          <w:szCs w:val="24"/>
        </w:rPr>
        <w:t xml:space="preserve"> (2)</w:t>
      </w:r>
      <w:r w:rsidRPr="00A47D41">
        <w:rPr>
          <w:rFonts w:ascii="Times New Roman" w:hAnsi="Times New Roman" w:cs="Times New Roman"/>
          <w:sz w:val="24"/>
          <w:szCs w:val="24"/>
        </w:rPr>
        <w:t>,</w:t>
      </w:r>
      <w:r w:rsidR="00873C90" w:rsidRPr="00A47D41">
        <w:rPr>
          <w:rFonts w:ascii="Times New Roman" w:hAnsi="Times New Roman" w:cs="Times New Roman"/>
          <w:sz w:val="24"/>
          <w:szCs w:val="24"/>
        </w:rPr>
        <w:t xml:space="preserve"> pp</w:t>
      </w:r>
      <w:r w:rsidRPr="00A47D41">
        <w:rPr>
          <w:rFonts w:ascii="Times New Roman" w:hAnsi="Times New Roman" w:cs="Times New Roman"/>
          <w:sz w:val="24"/>
          <w:szCs w:val="24"/>
        </w:rPr>
        <w:t xml:space="preserve"> 761-777. </w:t>
      </w:r>
    </w:p>
    <w:p w14:paraId="4DD769FE" w14:textId="77777777" w:rsidR="00522494" w:rsidRDefault="00522494" w:rsidP="00522494">
      <w:pPr>
        <w:spacing w:after="0" w:line="240" w:lineRule="auto"/>
        <w:rPr>
          <w:rFonts w:ascii="Times New Roman" w:hAnsi="Times New Roman" w:cs="Times New Roman"/>
          <w:sz w:val="24"/>
          <w:szCs w:val="24"/>
        </w:rPr>
      </w:pPr>
    </w:p>
    <w:p w14:paraId="1D919363" w14:textId="74DF9184" w:rsidR="00346589" w:rsidRPr="00C80B20" w:rsidRDefault="00346589" w:rsidP="00522494">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Fung, H-G and Lee, H. (1997) </w:t>
      </w:r>
      <w:r w:rsidRPr="00346589">
        <w:rPr>
          <w:rFonts w:ascii="Times New Roman" w:hAnsi="Times New Roman" w:cs="Times New Roman"/>
          <w:sz w:val="24"/>
          <w:szCs w:val="24"/>
          <w:lang w:val="en-US"/>
        </w:rPr>
        <w:t>International interest rate transmission and volatility spillover</w:t>
      </w:r>
      <w:r>
        <w:rPr>
          <w:rFonts w:ascii="Times New Roman" w:hAnsi="Times New Roman" w:cs="Times New Roman"/>
          <w:sz w:val="24"/>
          <w:szCs w:val="24"/>
          <w:lang w:val="en-US"/>
        </w:rPr>
        <w:t xml:space="preserve">. </w:t>
      </w:r>
      <w:r w:rsidRPr="002A0D48">
        <w:rPr>
          <w:rFonts w:ascii="Times New Roman" w:hAnsi="Times New Roman" w:cs="Times New Roman"/>
          <w:i/>
          <w:sz w:val="24"/>
          <w:szCs w:val="24"/>
          <w:lang w:val="en-US"/>
        </w:rPr>
        <w:t>International Review</w:t>
      </w:r>
      <w:r w:rsidR="00FF6A1E">
        <w:rPr>
          <w:rFonts w:ascii="Times New Roman" w:hAnsi="Times New Roman" w:cs="Times New Roman"/>
          <w:i/>
          <w:sz w:val="24"/>
          <w:szCs w:val="24"/>
          <w:lang w:val="en-US"/>
        </w:rPr>
        <w:t xml:space="preserve"> of Economics &amp; Finance</w:t>
      </w:r>
      <w:r>
        <w:rPr>
          <w:rFonts w:ascii="Times New Roman" w:hAnsi="Times New Roman" w:cs="Times New Roman"/>
          <w:sz w:val="24"/>
          <w:szCs w:val="24"/>
          <w:lang w:val="en-US"/>
        </w:rPr>
        <w:t>, 6, pp 67-75</w:t>
      </w:r>
    </w:p>
    <w:p w14:paraId="5C0A079E" w14:textId="77777777" w:rsidR="00522494" w:rsidRDefault="00522494" w:rsidP="00522494">
      <w:pPr>
        <w:spacing w:after="0" w:line="240" w:lineRule="auto"/>
        <w:rPr>
          <w:rFonts w:ascii="Times New Roman" w:hAnsi="Times New Roman" w:cs="Times New Roman"/>
          <w:sz w:val="24"/>
          <w:szCs w:val="24"/>
        </w:rPr>
      </w:pPr>
    </w:p>
    <w:p w14:paraId="44E4D8A8" w14:textId="25B791DB" w:rsidR="00346589" w:rsidRDefault="00357F0A" w:rsidP="00522494">
      <w:pPr>
        <w:spacing w:after="0" w:line="240" w:lineRule="auto"/>
        <w:rPr>
          <w:rFonts w:ascii="Times New Roman" w:hAnsi="Times New Roman" w:cs="Times New Roman"/>
          <w:sz w:val="24"/>
          <w:szCs w:val="24"/>
        </w:rPr>
      </w:pPr>
      <w:r w:rsidRPr="00E86E7E">
        <w:rPr>
          <w:rFonts w:ascii="Times New Roman" w:hAnsi="Times New Roman" w:cs="Times New Roman"/>
          <w:sz w:val="24"/>
          <w:szCs w:val="24"/>
        </w:rPr>
        <w:t xml:space="preserve">Gregory </w:t>
      </w:r>
      <w:r w:rsidR="007E7134">
        <w:rPr>
          <w:rFonts w:ascii="Times New Roman" w:hAnsi="Times New Roman" w:cs="Times New Roman"/>
          <w:sz w:val="24"/>
          <w:szCs w:val="24"/>
        </w:rPr>
        <w:t xml:space="preserve">A. W. and B. E. </w:t>
      </w:r>
      <w:r w:rsidR="00BA6EB2">
        <w:rPr>
          <w:rFonts w:ascii="Times New Roman" w:hAnsi="Times New Roman" w:cs="Times New Roman"/>
          <w:sz w:val="24"/>
          <w:szCs w:val="24"/>
        </w:rPr>
        <w:t xml:space="preserve">Hansen </w:t>
      </w:r>
      <w:r w:rsidRPr="00E86E7E">
        <w:rPr>
          <w:rFonts w:ascii="Times New Roman" w:hAnsi="Times New Roman" w:cs="Times New Roman"/>
          <w:sz w:val="24"/>
          <w:szCs w:val="24"/>
        </w:rPr>
        <w:t>(1996)</w:t>
      </w:r>
      <w:r w:rsidR="007E7134">
        <w:rPr>
          <w:rFonts w:ascii="Times New Roman" w:hAnsi="Times New Roman" w:cs="Times New Roman"/>
          <w:sz w:val="24"/>
          <w:szCs w:val="24"/>
        </w:rPr>
        <w:t xml:space="preserve">. Residual-Based Tests for Cointegration in Models with Regime Shifts. </w:t>
      </w:r>
      <w:r w:rsidR="007E7134" w:rsidRPr="002A0D48">
        <w:rPr>
          <w:rFonts w:ascii="Times New Roman" w:hAnsi="Times New Roman" w:cs="Times New Roman"/>
          <w:i/>
          <w:sz w:val="24"/>
          <w:szCs w:val="24"/>
        </w:rPr>
        <w:t>Journal of Econometrics</w:t>
      </w:r>
      <w:r w:rsidR="007E7134">
        <w:rPr>
          <w:rFonts w:ascii="Times New Roman" w:hAnsi="Times New Roman" w:cs="Times New Roman"/>
          <w:sz w:val="24"/>
          <w:szCs w:val="24"/>
        </w:rPr>
        <w:t xml:space="preserve">, 70, </w:t>
      </w:r>
      <w:r w:rsidR="0046159F">
        <w:rPr>
          <w:rFonts w:ascii="Times New Roman" w:hAnsi="Times New Roman" w:cs="Times New Roman"/>
          <w:sz w:val="24"/>
          <w:szCs w:val="24"/>
        </w:rPr>
        <w:t xml:space="preserve">pp </w:t>
      </w:r>
      <w:r w:rsidR="007E7134">
        <w:rPr>
          <w:rFonts w:ascii="Times New Roman" w:hAnsi="Times New Roman" w:cs="Times New Roman"/>
          <w:sz w:val="24"/>
          <w:szCs w:val="24"/>
        </w:rPr>
        <w:t>99-126.</w:t>
      </w:r>
    </w:p>
    <w:p w14:paraId="07D32A25" w14:textId="77777777" w:rsidR="00522494" w:rsidRDefault="00522494" w:rsidP="00522494">
      <w:pPr>
        <w:spacing w:after="0" w:line="240" w:lineRule="auto"/>
        <w:rPr>
          <w:rFonts w:ascii="Times New Roman" w:hAnsi="Times New Roman" w:cs="Times New Roman"/>
          <w:sz w:val="24"/>
          <w:szCs w:val="24"/>
        </w:rPr>
      </w:pPr>
    </w:p>
    <w:p w14:paraId="41ED0130" w14:textId="6F648B0F" w:rsidR="00D41B23" w:rsidRPr="00A47D41" w:rsidRDefault="00D41B23"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Harrison, J. M. and D. M. Kreps (1978), Speculative Investor Behavior in a Stock Market with Heterogeneous Expectations. </w:t>
      </w:r>
      <w:r w:rsidRPr="00BA6EB2">
        <w:rPr>
          <w:rFonts w:ascii="Times New Roman" w:hAnsi="Times New Roman" w:cs="Times New Roman"/>
          <w:i/>
          <w:sz w:val="24"/>
          <w:szCs w:val="24"/>
        </w:rPr>
        <w:t>Quarterly Journal of Economics</w:t>
      </w:r>
      <w:r w:rsidR="008626FF" w:rsidRPr="00A47D41">
        <w:rPr>
          <w:rFonts w:ascii="Times New Roman" w:hAnsi="Times New Roman" w:cs="Times New Roman"/>
          <w:sz w:val="24"/>
          <w:szCs w:val="24"/>
        </w:rPr>
        <w:t>, 92</w:t>
      </w:r>
      <w:r w:rsidRPr="00A47D41">
        <w:rPr>
          <w:rFonts w:ascii="Times New Roman" w:hAnsi="Times New Roman" w:cs="Times New Roman"/>
          <w:sz w:val="24"/>
          <w:szCs w:val="24"/>
        </w:rPr>
        <w:t xml:space="preserve">, pp 323-336. </w:t>
      </w:r>
    </w:p>
    <w:p w14:paraId="4B047694" w14:textId="77777777" w:rsidR="00522494" w:rsidRDefault="00522494" w:rsidP="00522494">
      <w:pPr>
        <w:spacing w:after="0" w:line="240" w:lineRule="auto"/>
        <w:rPr>
          <w:rFonts w:ascii="Times New Roman" w:hAnsi="Times New Roman" w:cs="Times New Roman"/>
          <w:sz w:val="24"/>
          <w:szCs w:val="24"/>
        </w:rPr>
      </w:pPr>
    </w:p>
    <w:p w14:paraId="2DAD452A" w14:textId="782C5484" w:rsidR="00591AFC" w:rsidRPr="00591AFC" w:rsidRDefault="00591AFC" w:rsidP="00522494">
      <w:pPr>
        <w:spacing w:after="0" w:line="240" w:lineRule="auto"/>
        <w:rPr>
          <w:rFonts w:ascii="Times New Roman" w:hAnsi="Times New Roman" w:cs="Times New Roman"/>
          <w:sz w:val="24"/>
          <w:szCs w:val="24"/>
        </w:rPr>
      </w:pPr>
      <w:proofErr w:type="spellStart"/>
      <w:r w:rsidRPr="00591AFC">
        <w:rPr>
          <w:rFonts w:ascii="Times New Roman" w:hAnsi="Times New Roman" w:cs="Times New Roman"/>
          <w:iCs/>
          <w:sz w:val="24"/>
          <w:szCs w:val="24"/>
          <w:shd w:val="clear" w:color="auto" w:fill="FFFFFF"/>
        </w:rPr>
        <w:t>Hendershott</w:t>
      </w:r>
      <w:proofErr w:type="spellEnd"/>
      <w:r w:rsidRPr="00591AFC">
        <w:rPr>
          <w:rFonts w:ascii="Times New Roman" w:hAnsi="Times New Roman" w:cs="Times New Roman"/>
          <w:iCs/>
          <w:sz w:val="24"/>
          <w:szCs w:val="24"/>
          <w:shd w:val="clear" w:color="auto" w:fill="FFFFFF"/>
        </w:rPr>
        <w:t xml:space="preserve">, T., </w:t>
      </w:r>
      <w:proofErr w:type="spellStart"/>
      <w:r w:rsidRPr="00591AFC">
        <w:rPr>
          <w:rFonts w:ascii="Times New Roman" w:hAnsi="Times New Roman" w:cs="Times New Roman"/>
          <w:iCs/>
          <w:sz w:val="24"/>
          <w:szCs w:val="24"/>
          <w:shd w:val="clear" w:color="auto" w:fill="FFFFFF"/>
        </w:rPr>
        <w:t>Namvar</w:t>
      </w:r>
      <w:proofErr w:type="spellEnd"/>
      <w:r w:rsidRPr="00591AFC">
        <w:rPr>
          <w:rFonts w:ascii="Times New Roman" w:hAnsi="Times New Roman" w:cs="Times New Roman"/>
          <w:iCs/>
          <w:sz w:val="24"/>
          <w:szCs w:val="24"/>
          <w:shd w:val="clear" w:color="auto" w:fill="FFFFFF"/>
        </w:rPr>
        <w:t> </w:t>
      </w:r>
      <w:r w:rsidRPr="00591AFC">
        <w:rPr>
          <w:rFonts w:ascii="Times New Roman" w:hAnsi="Times New Roman" w:cs="Times New Roman"/>
          <w:sz w:val="24"/>
          <w:szCs w:val="24"/>
          <w:shd w:val="clear" w:color="auto" w:fill="FFFFFF"/>
        </w:rPr>
        <w:t>E., </w:t>
      </w:r>
      <w:r w:rsidRPr="00591AFC">
        <w:rPr>
          <w:rFonts w:ascii="Times New Roman" w:hAnsi="Times New Roman" w:cs="Times New Roman"/>
          <w:iCs/>
          <w:sz w:val="24"/>
          <w:szCs w:val="24"/>
          <w:shd w:val="clear" w:color="auto" w:fill="FFFFFF"/>
        </w:rPr>
        <w:t>and Phillips, B</w:t>
      </w:r>
      <w:r w:rsidRPr="00591AFC">
        <w:rPr>
          <w:rFonts w:ascii="Times New Roman" w:hAnsi="Times New Roman" w:cs="Times New Roman"/>
          <w:i/>
          <w:iCs/>
          <w:sz w:val="24"/>
          <w:szCs w:val="24"/>
          <w:shd w:val="clear" w:color="auto" w:fill="FFFFFF"/>
        </w:rPr>
        <w:t>. (2013)</w:t>
      </w:r>
      <w:r w:rsidRPr="00591AFC">
        <w:rPr>
          <w:rFonts w:ascii="Times New Roman" w:hAnsi="Times New Roman" w:cs="Times New Roman"/>
          <w:sz w:val="24"/>
          <w:szCs w:val="24"/>
          <w:shd w:val="clear" w:color="auto" w:fill="FFFFFF"/>
        </w:rPr>
        <w:t xml:space="preserve">. The Intended and Collateral Effects of Short-sale Bans as a Regulatory Tool. </w:t>
      </w:r>
      <w:r w:rsidRPr="00591AFC">
        <w:rPr>
          <w:rFonts w:ascii="Times New Roman" w:hAnsi="Times New Roman" w:cs="Times New Roman"/>
          <w:i/>
          <w:sz w:val="24"/>
          <w:szCs w:val="24"/>
          <w:shd w:val="clear" w:color="auto" w:fill="FFFFFF"/>
        </w:rPr>
        <w:t>Journal of Investment Management</w:t>
      </w:r>
      <w:r w:rsidRPr="00591AFC">
        <w:rPr>
          <w:rFonts w:ascii="Times New Roman" w:hAnsi="Times New Roman" w:cs="Times New Roman"/>
          <w:sz w:val="24"/>
          <w:szCs w:val="24"/>
          <w:shd w:val="clear" w:color="auto" w:fill="FFFFFF"/>
        </w:rPr>
        <w:t>, Vol. 11, No. 3, (2013), pp. 5–13</w:t>
      </w:r>
    </w:p>
    <w:p w14:paraId="6B4316ED" w14:textId="77777777" w:rsidR="00591AFC" w:rsidRDefault="00591AFC" w:rsidP="00522494">
      <w:pPr>
        <w:spacing w:after="0" w:line="240" w:lineRule="auto"/>
        <w:rPr>
          <w:rFonts w:ascii="Times New Roman" w:hAnsi="Times New Roman" w:cs="Times New Roman"/>
          <w:sz w:val="24"/>
          <w:szCs w:val="24"/>
        </w:rPr>
      </w:pPr>
    </w:p>
    <w:p w14:paraId="6695004F" w14:textId="528B544C" w:rsidR="00D41B23" w:rsidRPr="00A47D41" w:rsidRDefault="00A9049D"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Hong</w:t>
      </w:r>
      <w:r w:rsidR="0044770E" w:rsidRPr="00A47D41">
        <w:rPr>
          <w:rFonts w:ascii="Times New Roman" w:hAnsi="Times New Roman" w:cs="Times New Roman"/>
          <w:sz w:val="24"/>
          <w:szCs w:val="24"/>
        </w:rPr>
        <w:t>, H.</w:t>
      </w:r>
      <w:r w:rsidRPr="00A47D41">
        <w:rPr>
          <w:rFonts w:ascii="Times New Roman" w:hAnsi="Times New Roman" w:cs="Times New Roman"/>
          <w:sz w:val="24"/>
          <w:szCs w:val="24"/>
        </w:rPr>
        <w:t xml:space="preserve"> and Stein</w:t>
      </w:r>
      <w:r w:rsidR="0044770E" w:rsidRPr="00A47D41">
        <w:rPr>
          <w:rFonts w:ascii="Times New Roman" w:hAnsi="Times New Roman" w:cs="Times New Roman"/>
          <w:sz w:val="24"/>
          <w:szCs w:val="24"/>
        </w:rPr>
        <w:t xml:space="preserve">, J. C. </w:t>
      </w:r>
      <w:r w:rsidRPr="00A47D41">
        <w:rPr>
          <w:rFonts w:ascii="Times New Roman" w:hAnsi="Times New Roman" w:cs="Times New Roman"/>
          <w:sz w:val="24"/>
          <w:szCs w:val="24"/>
        </w:rPr>
        <w:t>(2003)</w:t>
      </w:r>
      <w:r w:rsidR="0044770E" w:rsidRPr="00A47D41">
        <w:rPr>
          <w:rFonts w:ascii="Times New Roman" w:hAnsi="Times New Roman" w:cs="Times New Roman"/>
          <w:sz w:val="24"/>
          <w:szCs w:val="24"/>
        </w:rPr>
        <w:t xml:space="preserve">. Differences of Opinion, Short-Sale Constraints, and Market Crashes. </w:t>
      </w:r>
      <w:r w:rsidR="0044770E" w:rsidRPr="00BA6EB2">
        <w:rPr>
          <w:rFonts w:ascii="Times New Roman" w:hAnsi="Times New Roman" w:cs="Times New Roman"/>
          <w:i/>
          <w:sz w:val="24"/>
          <w:szCs w:val="24"/>
        </w:rPr>
        <w:t>Review of Financial Studies</w:t>
      </w:r>
      <w:r w:rsidR="0044770E" w:rsidRPr="00A47D41">
        <w:rPr>
          <w:rFonts w:ascii="Times New Roman" w:hAnsi="Times New Roman" w:cs="Times New Roman"/>
          <w:sz w:val="24"/>
          <w:szCs w:val="24"/>
        </w:rPr>
        <w:t>, 16, pp</w:t>
      </w:r>
      <w:r w:rsidR="00A47D41">
        <w:rPr>
          <w:rFonts w:ascii="Times New Roman" w:hAnsi="Times New Roman" w:cs="Times New Roman"/>
          <w:sz w:val="24"/>
          <w:szCs w:val="24"/>
        </w:rPr>
        <w:t xml:space="preserve"> </w:t>
      </w:r>
      <w:r w:rsidR="0044770E" w:rsidRPr="00A47D41">
        <w:rPr>
          <w:rFonts w:ascii="Times New Roman" w:hAnsi="Times New Roman" w:cs="Times New Roman"/>
          <w:sz w:val="24"/>
          <w:szCs w:val="24"/>
        </w:rPr>
        <w:t>487–525.</w:t>
      </w:r>
    </w:p>
    <w:p w14:paraId="0545DAE5" w14:textId="77777777" w:rsidR="00522494" w:rsidRDefault="00522494" w:rsidP="00522494">
      <w:pPr>
        <w:spacing w:after="0" w:line="240" w:lineRule="auto"/>
        <w:rPr>
          <w:rFonts w:ascii="Times New Roman" w:hAnsi="Times New Roman" w:cs="Times New Roman"/>
          <w:sz w:val="24"/>
          <w:szCs w:val="24"/>
        </w:rPr>
      </w:pPr>
    </w:p>
    <w:p w14:paraId="7D39BE06" w14:textId="77777777" w:rsidR="009E050B" w:rsidRPr="00A47D41" w:rsidRDefault="009E050B"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Jarrow, R. A. (1980). Heterogeneous Expectations, Restrictions on Short Sales, and Equilibrium Asset Prices. </w:t>
      </w:r>
      <w:r w:rsidRPr="00BA6EB2">
        <w:rPr>
          <w:rFonts w:ascii="Times New Roman" w:hAnsi="Times New Roman" w:cs="Times New Roman"/>
          <w:i/>
          <w:sz w:val="24"/>
          <w:szCs w:val="24"/>
        </w:rPr>
        <w:t>The Journal of Finance</w:t>
      </w:r>
      <w:r w:rsidRPr="00A47D41">
        <w:rPr>
          <w:rFonts w:ascii="Times New Roman" w:hAnsi="Times New Roman" w:cs="Times New Roman"/>
          <w:sz w:val="24"/>
          <w:szCs w:val="24"/>
        </w:rPr>
        <w:t>, 35 (5), pp1105-1113.</w:t>
      </w:r>
    </w:p>
    <w:p w14:paraId="63EB2F79" w14:textId="77777777" w:rsidR="00522494" w:rsidRDefault="00522494" w:rsidP="00522494">
      <w:pPr>
        <w:spacing w:after="0" w:line="240" w:lineRule="auto"/>
        <w:rPr>
          <w:rFonts w:ascii="Times New Roman" w:hAnsi="Times New Roman" w:cs="Times New Roman"/>
          <w:sz w:val="24"/>
          <w:szCs w:val="24"/>
        </w:rPr>
      </w:pPr>
    </w:p>
    <w:p w14:paraId="31EE7FB2" w14:textId="4756EF58" w:rsidR="004F3D7F" w:rsidRPr="00A47D41" w:rsidRDefault="002901C5"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Johansen, S. (1988). Statistical </w:t>
      </w:r>
      <w:r w:rsidR="004F3D7F" w:rsidRPr="00A47D41">
        <w:rPr>
          <w:rFonts w:ascii="Times New Roman" w:hAnsi="Times New Roman" w:cs="Times New Roman"/>
          <w:sz w:val="24"/>
          <w:szCs w:val="24"/>
        </w:rPr>
        <w:t>Analysis of Cointegration V</w:t>
      </w:r>
      <w:r w:rsidRPr="00A47D41">
        <w:rPr>
          <w:rFonts w:ascii="Times New Roman" w:hAnsi="Times New Roman" w:cs="Times New Roman"/>
          <w:sz w:val="24"/>
          <w:szCs w:val="24"/>
        </w:rPr>
        <w:t xml:space="preserve">ectors. </w:t>
      </w:r>
      <w:r w:rsidRPr="00BA6EB2">
        <w:rPr>
          <w:rFonts w:ascii="Times New Roman" w:hAnsi="Times New Roman" w:cs="Times New Roman"/>
          <w:i/>
          <w:sz w:val="24"/>
          <w:szCs w:val="24"/>
        </w:rPr>
        <w:t>Journal of Economic Dynamics and Control</w:t>
      </w:r>
      <w:r w:rsidR="004F3D7F" w:rsidRPr="00A47D41">
        <w:rPr>
          <w:rFonts w:ascii="Times New Roman" w:hAnsi="Times New Roman" w:cs="Times New Roman"/>
          <w:sz w:val="24"/>
          <w:szCs w:val="24"/>
        </w:rPr>
        <w:t>,</w:t>
      </w:r>
      <w:r w:rsidRPr="00A47D41">
        <w:rPr>
          <w:rFonts w:ascii="Times New Roman" w:hAnsi="Times New Roman" w:cs="Times New Roman"/>
          <w:sz w:val="24"/>
          <w:szCs w:val="24"/>
        </w:rPr>
        <w:t xml:space="preserve"> 12, pp 231–254.</w:t>
      </w:r>
    </w:p>
    <w:p w14:paraId="50891C35" w14:textId="77777777" w:rsidR="00522494" w:rsidRDefault="00522494" w:rsidP="00522494">
      <w:pPr>
        <w:spacing w:after="0" w:line="240" w:lineRule="auto"/>
        <w:rPr>
          <w:rFonts w:ascii="Times New Roman" w:hAnsi="Times New Roman" w:cs="Times New Roman"/>
          <w:sz w:val="24"/>
          <w:szCs w:val="24"/>
        </w:rPr>
      </w:pPr>
    </w:p>
    <w:p w14:paraId="1FB56854" w14:textId="0571C1FE" w:rsidR="004F3D7F" w:rsidRPr="00A47D41" w:rsidRDefault="002901C5"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Johansen, S. (1991)</w:t>
      </w:r>
      <w:r w:rsidR="004F3D7F" w:rsidRPr="00A47D41">
        <w:rPr>
          <w:rFonts w:ascii="Times New Roman" w:hAnsi="Times New Roman" w:cs="Times New Roman"/>
          <w:sz w:val="24"/>
          <w:szCs w:val="24"/>
        </w:rPr>
        <w:t>. Estimation and Hypothesis T</w:t>
      </w:r>
      <w:r w:rsidRPr="00A47D41">
        <w:rPr>
          <w:rFonts w:ascii="Times New Roman" w:hAnsi="Times New Roman" w:cs="Times New Roman"/>
          <w:sz w:val="24"/>
          <w:szCs w:val="24"/>
        </w:rPr>
        <w:t xml:space="preserve">esting of </w:t>
      </w:r>
      <w:r w:rsidR="004F3D7F" w:rsidRPr="00A47D41">
        <w:rPr>
          <w:rFonts w:ascii="Times New Roman" w:hAnsi="Times New Roman" w:cs="Times New Roman"/>
          <w:sz w:val="24"/>
          <w:szCs w:val="24"/>
        </w:rPr>
        <w:t>C</w:t>
      </w:r>
      <w:r w:rsidRPr="00A47D41">
        <w:rPr>
          <w:rFonts w:ascii="Times New Roman" w:hAnsi="Times New Roman" w:cs="Times New Roman"/>
          <w:sz w:val="24"/>
          <w:szCs w:val="24"/>
        </w:rPr>
        <w:t xml:space="preserve">ointegration </w:t>
      </w:r>
      <w:r w:rsidR="004F3D7F" w:rsidRPr="00A47D41">
        <w:rPr>
          <w:rFonts w:ascii="Times New Roman" w:hAnsi="Times New Roman" w:cs="Times New Roman"/>
          <w:sz w:val="24"/>
          <w:szCs w:val="24"/>
        </w:rPr>
        <w:t>V</w:t>
      </w:r>
      <w:r w:rsidRPr="00A47D41">
        <w:rPr>
          <w:rFonts w:ascii="Times New Roman" w:hAnsi="Times New Roman" w:cs="Times New Roman"/>
          <w:sz w:val="24"/>
          <w:szCs w:val="24"/>
        </w:rPr>
        <w:t>ectors in G</w:t>
      </w:r>
      <w:r w:rsidR="004F3D7F" w:rsidRPr="00A47D41">
        <w:rPr>
          <w:rFonts w:ascii="Times New Roman" w:hAnsi="Times New Roman" w:cs="Times New Roman"/>
          <w:sz w:val="24"/>
          <w:szCs w:val="24"/>
        </w:rPr>
        <w:t>aussian Vector A</w:t>
      </w:r>
      <w:r w:rsidRPr="00A47D41">
        <w:rPr>
          <w:rFonts w:ascii="Times New Roman" w:hAnsi="Times New Roman" w:cs="Times New Roman"/>
          <w:sz w:val="24"/>
          <w:szCs w:val="24"/>
        </w:rPr>
        <w:t xml:space="preserve">utoregressive </w:t>
      </w:r>
      <w:r w:rsidR="004F3D7F" w:rsidRPr="00A47D41">
        <w:rPr>
          <w:rFonts w:ascii="Times New Roman" w:hAnsi="Times New Roman" w:cs="Times New Roman"/>
          <w:sz w:val="24"/>
          <w:szCs w:val="24"/>
        </w:rPr>
        <w:t>M</w:t>
      </w:r>
      <w:r w:rsidRPr="00A47D41">
        <w:rPr>
          <w:rFonts w:ascii="Times New Roman" w:hAnsi="Times New Roman" w:cs="Times New Roman"/>
          <w:sz w:val="24"/>
          <w:szCs w:val="24"/>
        </w:rPr>
        <w:t xml:space="preserve">odels. </w:t>
      </w:r>
      <w:r w:rsidRPr="00BA6EB2">
        <w:rPr>
          <w:rFonts w:ascii="Times New Roman" w:hAnsi="Times New Roman" w:cs="Times New Roman"/>
          <w:i/>
          <w:sz w:val="24"/>
          <w:szCs w:val="24"/>
        </w:rPr>
        <w:t>Econometrica</w:t>
      </w:r>
      <w:r w:rsidR="004F3D7F" w:rsidRPr="00A47D41">
        <w:rPr>
          <w:rFonts w:ascii="Times New Roman" w:hAnsi="Times New Roman" w:cs="Times New Roman"/>
          <w:sz w:val="24"/>
          <w:szCs w:val="24"/>
        </w:rPr>
        <w:t>,</w:t>
      </w:r>
      <w:r w:rsidR="00A47D41">
        <w:rPr>
          <w:rFonts w:ascii="Times New Roman" w:hAnsi="Times New Roman" w:cs="Times New Roman"/>
          <w:sz w:val="24"/>
          <w:szCs w:val="24"/>
        </w:rPr>
        <w:t xml:space="preserve"> </w:t>
      </w:r>
      <w:r w:rsidRPr="00A47D41">
        <w:rPr>
          <w:rFonts w:ascii="Times New Roman" w:hAnsi="Times New Roman" w:cs="Times New Roman"/>
          <w:sz w:val="24"/>
          <w:szCs w:val="24"/>
        </w:rPr>
        <w:t>59, pp 1551–1580.</w:t>
      </w:r>
    </w:p>
    <w:p w14:paraId="370C02A2" w14:textId="77777777" w:rsidR="00522494" w:rsidRDefault="00522494" w:rsidP="00522494">
      <w:pPr>
        <w:spacing w:after="0" w:line="240" w:lineRule="auto"/>
        <w:rPr>
          <w:rFonts w:ascii="Times New Roman" w:hAnsi="Times New Roman" w:cs="Times New Roman"/>
          <w:sz w:val="24"/>
          <w:szCs w:val="24"/>
        </w:rPr>
      </w:pPr>
    </w:p>
    <w:p w14:paraId="23F85AB3" w14:textId="782BE1DF" w:rsidR="004F3D7F" w:rsidRPr="00A47D41" w:rsidRDefault="002901C5"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Johansen, S. (1994)</w:t>
      </w:r>
      <w:r w:rsidR="004F3D7F" w:rsidRPr="00A47D41">
        <w:rPr>
          <w:rFonts w:ascii="Times New Roman" w:hAnsi="Times New Roman" w:cs="Times New Roman"/>
          <w:sz w:val="24"/>
          <w:szCs w:val="24"/>
        </w:rPr>
        <w:t>. The R</w:t>
      </w:r>
      <w:r w:rsidRPr="00A47D41">
        <w:rPr>
          <w:rFonts w:ascii="Times New Roman" w:hAnsi="Times New Roman" w:cs="Times New Roman"/>
          <w:sz w:val="24"/>
          <w:szCs w:val="24"/>
        </w:rPr>
        <w:t xml:space="preserve">ole of the </w:t>
      </w:r>
      <w:r w:rsidR="004F3D7F" w:rsidRPr="00A47D41">
        <w:rPr>
          <w:rFonts w:ascii="Times New Roman" w:hAnsi="Times New Roman" w:cs="Times New Roman"/>
          <w:sz w:val="24"/>
          <w:szCs w:val="24"/>
        </w:rPr>
        <w:t>C</w:t>
      </w:r>
      <w:r w:rsidRPr="00A47D41">
        <w:rPr>
          <w:rFonts w:ascii="Times New Roman" w:hAnsi="Times New Roman" w:cs="Times New Roman"/>
          <w:sz w:val="24"/>
          <w:szCs w:val="24"/>
        </w:rPr>
        <w:t xml:space="preserve">onstant and </w:t>
      </w:r>
      <w:r w:rsidR="004F3D7F" w:rsidRPr="00A47D41">
        <w:rPr>
          <w:rFonts w:ascii="Times New Roman" w:hAnsi="Times New Roman" w:cs="Times New Roman"/>
          <w:sz w:val="24"/>
          <w:szCs w:val="24"/>
        </w:rPr>
        <w:t>L</w:t>
      </w:r>
      <w:r w:rsidRPr="00A47D41">
        <w:rPr>
          <w:rFonts w:ascii="Times New Roman" w:hAnsi="Times New Roman" w:cs="Times New Roman"/>
          <w:sz w:val="24"/>
          <w:szCs w:val="24"/>
        </w:rPr>
        <w:t xml:space="preserve">inear </w:t>
      </w:r>
      <w:r w:rsidR="004F3D7F" w:rsidRPr="00A47D41">
        <w:rPr>
          <w:rFonts w:ascii="Times New Roman" w:hAnsi="Times New Roman" w:cs="Times New Roman"/>
          <w:sz w:val="24"/>
          <w:szCs w:val="24"/>
        </w:rPr>
        <w:t>T</w:t>
      </w:r>
      <w:r w:rsidRPr="00A47D41">
        <w:rPr>
          <w:rFonts w:ascii="Times New Roman" w:hAnsi="Times New Roman" w:cs="Times New Roman"/>
          <w:sz w:val="24"/>
          <w:szCs w:val="24"/>
        </w:rPr>
        <w:t xml:space="preserve">erms in </w:t>
      </w:r>
      <w:r w:rsidR="004F3D7F" w:rsidRPr="00A47D41">
        <w:rPr>
          <w:rFonts w:ascii="Times New Roman" w:hAnsi="Times New Roman" w:cs="Times New Roman"/>
          <w:sz w:val="24"/>
          <w:szCs w:val="24"/>
        </w:rPr>
        <w:t>Cointegration A</w:t>
      </w:r>
      <w:r w:rsidRPr="00A47D41">
        <w:rPr>
          <w:rFonts w:ascii="Times New Roman" w:hAnsi="Times New Roman" w:cs="Times New Roman"/>
          <w:sz w:val="24"/>
          <w:szCs w:val="24"/>
        </w:rPr>
        <w:t xml:space="preserve">nalysis of </w:t>
      </w:r>
      <w:r w:rsidR="004F3D7F" w:rsidRPr="00A47D41">
        <w:rPr>
          <w:rFonts w:ascii="Times New Roman" w:hAnsi="Times New Roman" w:cs="Times New Roman"/>
          <w:sz w:val="24"/>
          <w:szCs w:val="24"/>
        </w:rPr>
        <w:t>N</w:t>
      </w:r>
      <w:r w:rsidRPr="00A47D41">
        <w:rPr>
          <w:rFonts w:ascii="Times New Roman" w:hAnsi="Times New Roman" w:cs="Times New Roman"/>
          <w:sz w:val="24"/>
          <w:szCs w:val="24"/>
        </w:rPr>
        <w:t xml:space="preserve">on-stationary </w:t>
      </w:r>
      <w:r w:rsidR="004F3D7F" w:rsidRPr="00A47D41">
        <w:rPr>
          <w:rFonts w:ascii="Times New Roman" w:hAnsi="Times New Roman" w:cs="Times New Roman"/>
          <w:sz w:val="24"/>
          <w:szCs w:val="24"/>
        </w:rPr>
        <w:t>V</w:t>
      </w:r>
      <w:r w:rsidRPr="00A47D41">
        <w:rPr>
          <w:rFonts w:ascii="Times New Roman" w:hAnsi="Times New Roman" w:cs="Times New Roman"/>
          <w:sz w:val="24"/>
          <w:szCs w:val="24"/>
        </w:rPr>
        <w:t xml:space="preserve">ariables. </w:t>
      </w:r>
      <w:r w:rsidRPr="00BA6EB2">
        <w:rPr>
          <w:rFonts w:ascii="Times New Roman" w:hAnsi="Times New Roman" w:cs="Times New Roman"/>
          <w:i/>
          <w:sz w:val="24"/>
          <w:szCs w:val="24"/>
        </w:rPr>
        <w:t>Econometric Reviews</w:t>
      </w:r>
      <w:r w:rsidR="004F3D7F" w:rsidRPr="00A47D41">
        <w:rPr>
          <w:rFonts w:ascii="Times New Roman" w:hAnsi="Times New Roman" w:cs="Times New Roman"/>
          <w:sz w:val="24"/>
          <w:szCs w:val="24"/>
        </w:rPr>
        <w:t>,</w:t>
      </w:r>
      <w:r w:rsidRPr="00A47D41">
        <w:rPr>
          <w:rFonts w:ascii="Times New Roman" w:hAnsi="Times New Roman" w:cs="Times New Roman"/>
          <w:sz w:val="24"/>
          <w:szCs w:val="24"/>
        </w:rPr>
        <w:t xml:space="preserve"> 13 (2), pp 205–230.</w:t>
      </w:r>
    </w:p>
    <w:p w14:paraId="57B3561F" w14:textId="77777777" w:rsidR="00591AFC" w:rsidRDefault="00591AFC" w:rsidP="00522494">
      <w:pPr>
        <w:spacing w:after="0" w:line="240" w:lineRule="auto"/>
        <w:rPr>
          <w:rFonts w:ascii="Times New Roman" w:hAnsi="Times New Roman" w:cs="Times New Roman"/>
          <w:sz w:val="24"/>
          <w:szCs w:val="24"/>
        </w:rPr>
      </w:pPr>
    </w:p>
    <w:p w14:paraId="1834977B" w14:textId="041512ED" w:rsidR="004F3D7F" w:rsidRPr="00A47D41" w:rsidRDefault="002901C5"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Johansen, S., Juselius, K. (1990). Maximum </w:t>
      </w:r>
      <w:r w:rsidR="004F3D7F" w:rsidRPr="00A47D41">
        <w:rPr>
          <w:rFonts w:ascii="Times New Roman" w:hAnsi="Times New Roman" w:cs="Times New Roman"/>
          <w:sz w:val="24"/>
          <w:szCs w:val="24"/>
        </w:rPr>
        <w:t>L</w:t>
      </w:r>
      <w:r w:rsidRPr="00A47D41">
        <w:rPr>
          <w:rFonts w:ascii="Times New Roman" w:hAnsi="Times New Roman" w:cs="Times New Roman"/>
          <w:sz w:val="24"/>
          <w:szCs w:val="24"/>
        </w:rPr>
        <w:t xml:space="preserve">ikelihood </w:t>
      </w:r>
      <w:r w:rsidR="004F3D7F" w:rsidRPr="00A47D41">
        <w:rPr>
          <w:rFonts w:ascii="Times New Roman" w:hAnsi="Times New Roman" w:cs="Times New Roman"/>
          <w:sz w:val="24"/>
          <w:szCs w:val="24"/>
        </w:rPr>
        <w:t>E</w:t>
      </w:r>
      <w:r w:rsidRPr="00A47D41">
        <w:rPr>
          <w:rFonts w:ascii="Times New Roman" w:hAnsi="Times New Roman" w:cs="Times New Roman"/>
          <w:sz w:val="24"/>
          <w:szCs w:val="24"/>
        </w:rPr>
        <w:t xml:space="preserve">stimation and </w:t>
      </w:r>
      <w:r w:rsidR="004F3D7F" w:rsidRPr="00A47D41">
        <w:rPr>
          <w:rFonts w:ascii="Times New Roman" w:hAnsi="Times New Roman" w:cs="Times New Roman"/>
          <w:sz w:val="24"/>
          <w:szCs w:val="24"/>
        </w:rPr>
        <w:t>I</w:t>
      </w:r>
      <w:r w:rsidRPr="00A47D41">
        <w:rPr>
          <w:rFonts w:ascii="Times New Roman" w:hAnsi="Times New Roman" w:cs="Times New Roman"/>
          <w:sz w:val="24"/>
          <w:szCs w:val="24"/>
        </w:rPr>
        <w:t xml:space="preserve">nference on </w:t>
      </w:r>
      <w:r w:rsidR="004F3D7F" w:rsidRPr="00A47D41">
        <w:rPr>
          <w:rFonts w:ascii="Times New Roman" w:hAnsi="Times New Roman" w:cs="Times New Roman"/>
          <w:sz w:val="24"/>
          <w:szCs w:val="24"/>
        </w:rPr>
        <w:t>C</w:t>
      </w:r>
      <w:r w:rsidRPr="00A47D41">
        <w:rPr>
          <w:rFonts w:ascii="Times New Roman" w:hAnsi="Times New Roman" w:cs="Times New Roman"/>
          <w:sz w:val="24"/>
          <w:szCs w:val="24"/>
        </w:rPr>
        <w:t>ointeg</w:t>
      </w:r>
      <w:r w:rsidR="004F3D7F" w:rsidRPr="00A47D41">
        <w:rPr>
          <w:rFonts w:ascii="Times New Roman" w:hAnsi="Times New Roman" w:cs="Times New Roman"/>
          <w:sz w:val="24"/>
          <w:szCs w:val="24"/>
        </w:rPr>
        <w:t>ration with A</w:t>
      </w:r>
      <w:r w:rsidRPr="00A47D41">
        <w:rPr>
          <w:rFonts w:ascii="Times New Roman" w:hAnsi="Times New Roman" w:cs="Times New Roman"/>
          <w:sz w:val="24"/>
          <w:szCs w:val="24"/>
        </w:rPr>
        <w:t xml:space="preserve">pplications to the </w:t>
      </w:r>
      <w:r w:rsidR="004F3D7F" w:rsidRPr="00A47D41">
        <w:rPr>
          <w:rFonts w:ascii="Times New Roman" w:hAnsi="Times New Roman" w:cs="Times New Roman"/>
          <w:sz w:val="24"/>
          <w:szCs w:val="24"/>
        </w:rPr>
        <w:t>D</w:t>
      </w:r>
      <w:r w:rsidRPr="00A47D41">
        <w:rPr>
          <w:rFonts w:ascii="Times New Roman" w:hAnsi="Times New Roman" w:cs="Times New Roman"/>
          <w:sz w:val="24"/>
          <w:szCs w:val="24"/>
        </w:rPr>
        <w:t>emand for</w:t>
      </w:r>
      <w:r w:rsidR="004F3D7F" w:rsidRPr="00A47D41">
        <w:rPr>
          <w:rFonts w:ascii="Times New Roman" w:hAnsi="Times New Roman" w:cs="Times New Roman"/>
          <w:sz w:val="24"/>
          <w:szCs w:val="24"/>
        </w:rPr>
        <w:t xml:space="preserve"> M</w:t>
      </w:r>
      <w:r w:rsidRPr="00A47D41">
        <w:rPr>
          <w:rFonts w:ascii="Times New Roman" w:hAnsi="Times New Roman" w:cs="Times New Roman"/>
          <w:sz w:val="24"/>
          <w:szCs w:val="24"/>
        </w:rPr>
        <w:t xml:space="preserve">oney. </w:t>
      </w:r>
      <w:r w:rsidRPr="00BA6EB2">
        <w:rPr>
          <w:rFonts w:ascii="Times New Roman" w:hAnsi="Times New Roman" w:cs="Times New Roman"/>
          <w:i/>
          <w:sz w:val="24"/>
          <w:szCs w:val="24"/>
        </w:rPr>
        <w:t>Oxford Bulletin of Economics and Statistics</w:t>
      </w:r>
      <w:r w:rsidR="00BA6EB2" w:rsidRPr="00BA6EB2">
        <w:rPr>
          <w:rFonts w:ascii="Times New Roman" w:hAnsi="Times New Roman" w:cs="Times New Roman"/>
          <w:i/>
          <w:sz w:val="24"/>
          <w:szCs w:val="24"/>
        </w:rPr>
        <w:t>,</w:t>
      </w:r>
      <w:r w:rsidRPr="00A47D41">
        <w:rPr>
          <w:rFonts w:ascii="Times New Roman" w:hAnsi="Times New Roman" w:cs="Times New Roman"/>
          <w:sz w:val="24"/>
          <w:szCs w:val="24"/>
        </w:rPr>
        <w:t xml:space="preserve"> 52, pp 169–210.</w:t>
      </w:r>
    </w:p>
    <w:p w14:paraId="62CDD179" w14:textId="77777777" w:rsidR="00522494" w:rsidRDefault="00522494" w:rsidP="00522494">
      <w:pPr>
        <w:spacing w:after="0" w:line="240" w:lineRule="auto"/>
        <w:rPr>
          <w:rFonts w:ascii="Times New Roman" w:hAnsi="Times New Roman" w:cs="Times New Roman"/>
          <w:sz w:val="24"/>
          <w:szCs w:val="24"/>
          <w:lang w:val="en-US"/>
        </w:rPr>
      </w:pPr>
    </w:p>
    <w:p w14:paraId="15DF52D8" w14:textId="0E63394E" w:rsidR="00026E0C" w:rsidRDefault="00026E0C" w:rsidP="005224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Kaminsky, G., Reinhardt, C. and Vegh, C. (2003). The unholy trinity of financial contagion. </w:t>
      </w:r>
      <w:r w:rsidRPr="00BA6EB2">
        <w:rPr>
          <w:rFonts w:ascii="Times New Roman" w:hAnsi="Times New Roman" w:cs="Times New Roman"/>
          <w:i/>
          <w:sz w:val="24"/>
          <w:szCs w:val="24"/>
          <w:lang w:val="en-US"/>
        </w:rPr>
        <w:t>Journal of Financial Perspectives</w:t>
      </w:r>
      <w:r w:rsidR="00BA6EB2">
        <w:rPr>
          <w:rFonts w:ascii="Times New Roman" w:hAnsi="Times New Roman" w:cs="Times New Roman"/>
          <w:sz w:val="24"/>
          <w:szCs w:val="24"/>
          <w:lang w:val="en-US"/>
        </w:rPr>
        <w:t>,</w:t>
      </w:r>
      <w:r>
        <w:rPr>
          <w:rFonts w:ascii="Times New Roman" w:hAnsi="Times New Roman" w:cs="Times New Roman"/>
          <w:sz w:val="24"/>
          <w:szCs w:val="24"/>
          <w:lang w:val="en-US"/>
        </w:rPr>
        <w:t xml:space="preserve"> 17, </w:t>
      </w:r>
      <w:r w:rsidR="0046159F">
        <w:rPr>
          <w:rFonts w:ascii="Times New Roman" w:hAnsi="Times New Roman" w:cs="Times New Roman"/>
          <w:sz w:val="24"/>
          <w:szCs w:val="24"/>
          <w:lang w:val="en-US"/>
        </w:rPr>
        <w:t xml:space="preserve">pp </w:t>
      </w:r>
      <w:r>
        <w:rPr>
          <w:rFonts w:ascii="Times New Roman" w:hAnsi="Times New Roman" w:cs="Times New Roman"/>
          <w:sz w:val="24"/>
          <w:szCs w:val="24"/>
          <w:lang w:val="en-US"/>
        </w:rPr>
        <w:t>51-74</w:t>
      </w:r>
    </w:p>
    <w:p w14:paraId="0CE9F9E2" w14:textId="77777777" w:rsidR="00522494" w:rsidRDefault="00522494" w:rsidP="00522494">
      <w:pPr>
        <w:spacing w:after="0" w:line="240" w:lineRule="auto"/>
        <w:rPr>
          <w:rFonts w:ascii="Times New Roman" w:hAnsi="Times New Roman" w:cs="Times New Roman"/>
          <w:sz w:val="24"/>
          <w:szCs w:val="24"/>
          <w:lang w:val="en-US"/>
        </w:rPr>
      </w:pPr>
    </w:p>
    <w:p w14:paraId="4C657770" w14:textId="70B9CBCB" w:rsidR="00026E0C" w:rsidRDefault="00026E0C" w:rsidP="005224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King, M. and Wadh</w:t>
      </w:r>
      <w:r w:rsidR="00BA6EB2">
        <w:rPr>
          <w:rFonts w:ascii="Times New Roman" w:hAnsi="Times New Roman" w:cs="Times New Roman"/>
          <w:sz w:val="24"/>
          <w:szCs w:val="24"/>
          <w:lang w:val="en-US"/>
        </w:rPr>
        <w:t>w</w:t>
      </w:r>
      <w:r>
        <w:rPr>
          <w:rFonts w:ascii="Times New Roman" w:hAnsi="Times New Roman" w:cs="Times New Roman"/>
          <w:sz w:val="24"/>
          <w:szCs w:val="24"/>
          <w:lang w:val="en-US"/>
        </w:rPr>
        <w:t xml:space="preserve">ani, S. (1990). Transmission of volatility between stock markets. </w:t>
      </w:r>
      <w:r w:rsidRPr="00BA6EB2">
        <w:rPr>
          <w:rFonts w:ascii="Times New Roman" w:hAnsi="Times New Roman" w:cs="Times New Roman"/>
          <w:i/>
          <w:sz w:val="24"/>
          <w:szCs w:val="24"/>
          <w:lang w:val="en-US"/>
        </w:rPr>
        <w:t>Review of Financial Markets</w:t>
      </w:r>
      <w:r>
        <w:rPr>
          <w:rFonts w:ascii="Times New Roman" w:hAnsi="Times New Roman" w:cs="Times New Roman"/>
          <w:sz w:val="24"/>
          <w:szCs w:val="24"/>
          <w:lang w:val="en-US"/>
        </w:rPr>
        <w:t>, 3, 5-33</w:t>
      </w:r>
    </w:p>
    <w:p w14:paraId="07240E4C" w14:textId="77777777" w:rsidR="00522494" w:rsidRDefault="00522494" w:rsidP="00522494">
      <w:pPr>
        <w:spacing w:after="0" w:line="240" w:lineRule="auto"/>
        <w:rPr>
          <w:rFonts w:ascii="Times New Roman" w:hAnsi="Times New Roman" w:cs="Times New Roman"/>
          <w:sz w:val="24"/>
          <w:szCs w:val="24"/>
          <w:lang w:val="en-US"/>
        </w:rPr>
      </w:pPr>
    </w:p>
    <w:p w14:paraId="663078BB" w14:textId="19E35543" w:rsidR="00026E0C" w:rsidRDefault="00026E0C" w:rsidP="005224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Kiyotaki, N. and Moore, J. (2002). Evil is the root of all money. </w:t>
      </w:r>
      <w:r w:rsidRPr="00BA6EB2">
        <w:rPr>
          <w:rFonts w:ascii="Times New Roman" w:hAnsi="Times New Roman" w:cs="Times New Roman"/>
          <w:i/>
          <w:sz w:val="24"/>
          <w:szCs w:val="24"/>
          <w:lang w:val="en-US"/>
        </w:rPr>
        <w:t>American Economic Review: Papers and Proceedings</w:t>
      </w:r>
      <w:r>
        <w:rPr>
          <w:rFonts w:ascii="Times New Roman" w:hAnsi="Times New Roman" w:cs="Times New Roman"/>
          <w:sz w:val="24"/>
          <w:szCs w:val="24"/>
          <w:lang w:val="en-US"/>
        </w:rPr>
        <w:t>, 92, pp 62-66.</w:t>
      </w:r>
    </w:p>
    <w:p w14:paraId="0D45401F" w14:textId="77777777" w:rsidR="00522494" w:rsidRDefault="00522494" w:rsidP="00522494">
      <w:pPr>
        <w:spacing w:after="0" w:line="240" w:lineRule="auto"/>
        <w:rPr>
          <w:rFonts w:ascii="Times New Roman" w:hAnsi="Times New Roman" w:cs="Times New Roman"/>
          <w:sz w:val="24"/>
          <w:szCs w:val="24"/>
          <w:lang w:val="en-US"/>
        </w:rPr>
      </w:pPr>
    </w:p>
    <w:p w14:paraId="36E3D16F" w14:textId="0F157523" w:rsidR="00C91525" w:rsidRPr="00C80B20" w:rsidRDefault="00B310EF" w:rsidP="00522494">
      <w:pPr>
        <w:spacing w:after="0" w:line="240" w:lineRule="auto"/>
        <w:rPr>
          <w:rFonts w:ascii="Times New Roman" w:hAnsi="Times New Roman" w:cs="Times New Roman"/>
          <w:sz w:val="24"/>
          <w:szCs w:val="24"/>
          <w:lang w:val="en-US"/>
        </w:rPr>
      </w:pPr>
      <w:r w:rsidRPr="00B310EF">
        <w:rPr>
          <w:rFonts w:ascii="Times New Roman" w:hAnsi="Times New Roman" w:cs="Times New Roman"/>
          <w:sz w:val="24"/>
          <w:szCs w:val="24"/>
          <w:lang w:val="en-US"/>
        </w:rPr>
        <w:t>Koutmos, G. and G. Booth, (1995)</w:t>
      </w:r>
      <w:r w:rsidR="00BA6EB2">
        <w:rPr>
          <w:rFonts w:ascii="Times New Roman" w:hAnsi="Times New Roman" w:cs="Times New Roman"/>
          <w:sz w:val="24"/>
          <w:szCs w:val="24"/>
          <w:lang w:val="en-US"/>
        </w:rPr>
        <w:t xml:space="preserve">. </w:t>
      </w:r>
      <w:r w:rsidRPr="00B310EF">
        <w:rPr>
          <w:rFonts w:ascii="Times New Roman" w:hAnsi="Times New Roman" w:cs="Times New Roman"/>
          <w:sz w:val="24"/>
          <w:szCs w:val="24"/>
          <w:lang w:val="en-US"/>
        </w:rPr>
        <w:t>Asymmetric Volatility Transmission in International Stock Markets</w:t>
      </w:r>
      <w:r w:rsidR="00BA6EB2">
        <w:rPr>
          <w:rFonts w:ascii="Times New Roman" w:hAnsi="Times New Roman" w:cs="Times New Roman"/>
          <w:sz w:val="24"/>
          <w:szCs w:val="24"/>
          <w:lang w:val="en-US"/>
        </w:rPr>
        <w:t>.</w:t>
      </w:r>
      <w:r w:rsidRPr="00B310EF">
        <w:rPr>
          <w:rFonts w:ascii="Times New Roman" w:hAnsi="Times New Roman" w:cs="Times New Roman"/>
          <w:sz w:val="24"/>
          <w:szCs w:val="24"/>
          <w:lang w:val="en-US"/>
        </w:rPr>
        <w:t xml:space="preserve"> </w:t>
      </w:r>
      <w:r w:rsidRPr="00BA6EB2">
        <w:rPr>
          <w:rFonts w:ascii="Times New Roman" w:hAnsi="Times New Roman" w:cs="Times New Roman"/>
          <w:i/>
          <w:sz w:val="24"/>
          <w:szCs w:val="24"/>
          <w:lang w:val="en-US"/>
        </w:rPr>
        <w:t>Journal of International Money and Finance</w:t>
      </w:r>
      <w:r w:rsidR="00BA6EB2">
        <w:rPr>
          <w:rFonts w:ascii="Times New Roman" w:hAnsi="Times New Roman" w:cs="Times New Roman"/>
          <w:i/>
          <w:sz w:val="24"/>
          <w:szCs w:val="24"/>
          <w:lang w:val="en-US"/>
        </w:rPr>
        <w:t>,</w:t>
      </w:r>
      <w:r w:rsidRPr="00B310EF">
        <w:rPr>
          <w:rFonts w:ascii="Times New Roman" w:hAnsi="Times New Roman" w:cs="Times New Roman"/>
          <w:sz w:val="24"/>
          <w:szCs w:val="24"/>
          <w:lang w:val="en-US"/>
        </w:rPr>
        <w:t xml:space="preserve"> 14, </w:t>
      </w:r>
      <w:r>
        <w:rPr>
          <w:rFonts w:ascii="Times New Roman" w:hAnsi="Times New Roman" w:cs="Times New Roman"/>
          <w:sz w:val="24"/>
          <w:szCs w:val="24"/>
          <w:lang w:val="en-US"/>
        </w:rPr>
        <w:t xml:space="preserve">pp </w:t>
      </w:r>
      <w:r w:rsidRPr="00B310EF">
        <w:rPr>
          <w:rFonts w:ascii="Times New Roman" w:hAnsi="Times New Roman" w:cs="Times New Roman"/>
          <w:sz w:val="24"/>
          <w:szCs w:val="24"/>
          <w:lang w:val="en-US"/>
        </w:rPr>
        <w:t xml:space="preserve">747-762. </w:t>
      </w:r>
    </w:p>
    <w:p w14:paraId="34B995D1" w14:textId="77777777" w:rsidR="00522494" w:rsidRDefault="00522494" w:rsidP="00522494">
      <w:pPr>
        <w:spacing w:after="0" w:line="240" w:lineRule="auto"/>
        <w:rPr>
          <w:rFonts w:ascii="Times New Roman" w:hAnsi="Times New Roman" w:cs="Times New Roman"/>
          <w:sz w:val="24"/>
          <w:szCs w:val="24"/>
        </w:rPr>
      </w:pPr>
    </w:p>
    <w:p w14:paraId="15FBBB01" w14:textId="6227F443" w:rsidR="00591AFC" w:rsidRPr="00591AFC" w:rsidRDefault="00591AFC" w:rsidP="00522494">
      <w:pPr>
        <w:spacing w:after="0" w:line="240" w:lineRule="auto"/>
        <w:rPr>
          <w:rFonts w:ascii="Times New Roman" w:hAnsi="Times New Roman" w:cs="Times New Roman"/>
          <w:sz w:val="24"/>
          <w:szCs w:val="24"/>
          <w:shd w:val="clear" w:color="auto" w:fill="FFFFFF"/>
        </w:rPr>
      </w:pPr>
      <w:r w:rsidRPr="00591AFC">
        <w:rPr>
          <w:rFonts w:ascii="Times New Roman" w:hAnsi="Times New Roman" w:cs="Times New Roman"/>
          <w:sz w:val="24"/>
          <w:szCs w:val="24"/>
          <w:shd w:val="clear" w:color="auto" w:fill="FFFFFF"/>
        </w:rPr>
        <w:t xml:space="preserve">Liu, </w:t>
      </w:r>
      <w:proofErr w:type="spellStart"/>
      <w:r w:rsidRPr="00591AFC">
        <w:rPr>
          <w:rFonts w:ascii="Times New Roman" w:hAnsi="Times New Roman" w:cs="Times New Roman"/>
          <w:sz w:val="24"/>
          <w:szCs w:val="24"/>
          <w:shd w:val="clear" w:color="auto" w:fill="FFFFFF"/>
        </w:rPr>
        <w:t>Xuewen</w:t>
      </w:r>
      <w:proofErr w:type="spellEnd"/>
      <w:r w:rsidRPr="00591AFC">
        <w:rPr>
          <w:rFonts w:ascii="Times New Roman" w:hAnsi="Times New Roman" w:cs="Times New Roman"/>
          <w:sz w:val="24"/>
          <w:szCs w:val="24"/>
          <w:shd w:val="clear" w:color="auto" w:fill="FFFFFF"/>
        </w:rPr>
        <w:t xml:space="preserve"> (2014), “Short-Selling Attacks and Creditor Runs,” Hong Kong University of Science and Technology Working Paper, forthcoming in </w:t>
      </w:r>
      <w:r w:rsidRPr="00591AFC">
        <w:rPr>
          <w:rFonts w:ascii="Times New Roman" w:hAnsi="Times New Roman" w:cs="Times New Roman"/>
          <w:i/>
          <w:iCs/>
          <w:sz w:val="24"/>
          <w:szCs w:val="24"/>
          <w:shd w:val="clear" w:color="auto" w:fill="FFFFFF"/>
        </w:rPr>
        <w:t>Management Science</w:t>
      </w:r>
      <w:r w:rsidRPr="00591AFC">
        <w:rPr>
          <w:rFonts w:ascii="Times New Roman" w:hAnsi="Times New Roman" w:cs="Times New Roman"/>
          <w:sz w:val="24"/>
          <w:szCs w:val="24"/>
          <w:shd w:val="clear" w:color="auto" w:fill="FFFFFF"/>
        </w:rPr>
        <w:t>.</w:t>
      </w:r>
    </w:p>
    <w:p w14:paraId="31D299B7" w14:textId="77777777" w:rsidR="00591AFC" w:rsidRDefault="00591AFC" w:rsidP="00522494">
      <w:pPr>
        <w:spacing w:after="0" w:line="240" w:lineRule="auto"/>
        <w:rPr>
          <w:rFonts w:ascii="Times New Roman" w:hAnsi="Times New Roman" w:cs="Times New Roman"/>
          <w:sz w:val="24"/>
          <w:szCs w:val="24"/>
        </w:rPr>
      </w:pPr>
    </w:p>
    <w:p w14:paraId="45407A46" w14:textId="77777777" w:rsidR="00BA6EB2" w:rsidRPr="00A47D41" w:rsidRDefault="00BA6EB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Lobanova, O., Hamid, S. and A. Prakash (2010). The Impact of Short-Sale Restrictions on Volatility, Liquidity and Market Efficiency: The Evidence from the Short-Sale Ban in the U.S. Florida University Working Paper. </w:t>
      </w:r>
    </w:p>
    <w:p w14:paraId="4EB54160" w14:textId="77777777" w:rsidR="00522494" w:rsidRDefault="00522494" w:rsidP="00522494">
      <w:pPr>
        <w:spacing w:after="0" w:line="240" w:lineRule="auto"/>
        <w:rPr>
          <w:rFonts w:ascii="Times New Roman" w:hAnsi="Times New Roman" w:cs="Times New Roman"/>
          <w:sz w:val="24"/>
          <w:szCs w:val="24"/>
          <w:lang w:val="en-US"/>
        </w:rPr>
      </w:pPr>
    </w:p>
    <w:p w14:paraId="040B623E" w14:textId="32290DA1" w:rsidR="001B2AB8" w:rsidRDefault="001B2AB8" w:rsidP="00522494">
      <w:pPr>
        <w:spacing w:after="0" w:line="240" w:lineRule="auto"/>
        <w:rPr>
          <w:rFonts w:ascii="Times New Roman" w:hAnsi="Times New Roman" w:cs="Times New Roman"/>
          <w:sz w:val="24"/>
          <w:szCs w:val="24"/>
        </w:rPr>
      </w:pPr>
      <w:r w:rsidRPr="001B2AB8">
        <w:rPr>
          <w:rFonts w:ascii="Times New Roman" w:hAnsi="Times New Roman" w:cs="Times New Roman"/>
          <w:sz w:val="24"/>
          <w:szCs w:val="24"/>
          <w:lang w:val="en-US"/>
        </w:rPr>
        <w:t xml:space="preserve">Longstaff, F., </w:t>
      </w:r>
      <w:r>
        <w:rPr>
          <w:rFonts w:ascii="Times New Roman" w:hAnsi="Times New Roman" w:cs="Times New Roman"/>
          <w:sz w:val="24"/>
          <w:szCs w:val="24"/>
          <w:lang w:val="en-US"/>
        </w:rPr>
        <w:t>(</w:t>
      </w:r>
      <w:r w:rsidRPr="001B2AB8">
        <w:rPr>
          <w:rFonts w:ascii="Times New Roman" w:hAnsi="Times New Roman" w:cs="Times New Roman"/>
          <w:sz w:val="24"/>
          <w:szCs w:val="24"/>
          <w:lang w:val="en-US"/>
        </w:rPr>
        <w:t>2008</w:t>
      </w:r>
      <w:r>
        <w:rPr>
          <w:rFonts w:ascii="Times New Roman" w:hAnsi="Times New Roman" w:cs="Times New Roman"/>
          <w:sz w:val="24"/>
          <w:szCs w:val="24"/>
          <w:lang w:val="en-US"/>
        </w:rPr>
        <w:t>)</w:t>
      </w:r>
      <w:r w:rsidRPr="001B2AB8">
        <w:rPr>
          <w:rFonts w:ascii="Times New Roman" w:hAnsi="Times New Roman" w:cs="Times New Roman"/>
          <w:sz w:val="24"/>
          <w:szCs w:val="24"/>
          <w:lang w:val="en-US"/>
        </w:rPr>
        <w:t>. Flight-from-leverage in distressed asset markets. Unpublished working paper, UCLA.</w:t>
      </w:r>
    </w:p>
    <w:p w14:paraId="1A99E089" w14:textId="77777777" w:rsidR="00522494" w:rsidRDefault="00522494" w:rsidP="00522494">
      <w:pPr>
        <w:spacing w:after="0" w:line="240" w:lineRule="auto"/>
        <w:rPr>
          <w:rFonts w:ascii="Times New Roman" w:hAnsi="Times New Roman" w:cs="Times New Roman"/>
          <w:sz w:val="24"/>
          <w:szCs w:val="24"/>
        </w:rPr>
      </w:pPr>
    </w:p>
    <w:p w14:paraId="6BFCA9F5" w14:textId="0F9A2866" w:rsidR="001B2AB8" w:rsidRDefault="001B2AB8" w:rsidP="00522494">
      <w:pPr>
        <w:spacing w:after="0" w:line="240" w:lineRule="auto"/>
        <w:rPr>
          <w:rFonts w:ascii="Times New Roman" w:hAnsi="Times New Roman" w:cs="Times New Roman"/>
          <w:sz w:val="24"/>
          <w:szCs w:val="24"/>
        </w:rPr>
      </w:pPr>
      <w:r>
        <w:rPr>
          <w:rFonts w:ascii="Times New Roman" w:hAnsi="Times New Roman" w:cs="Times New Roman"/>
          <w:sz w:val="24"/>
          <w:szCs w:val="24"/>
        </w:rPr>
        <w:t>Longstaff, F., (2010).</w:t>
      </w:r>
      <w:r w:rsidRPr="001B2AB8">
        <w:rPr>
          <w:rFonts w:ascii="Adv P 4 DF" w:hAnsi="Adv P 4 DF" w:cs="Adv P 4 DF"/>
          <w:color w:val="000000"/>
          <w:sz w:val="27"/>
          <w:szCs w:val="27"/>
          <w:lang w:val="en-US"/>
        </w:rPr>
        <w:t xml:space="preserve"> </w:t>
      </w:r>
      <w:r w:rsidRPr="001B2AB8">
        <w:rPr>
          <w:rFonts w:ascii="Times New Roman" w:hAnsi="Times New Roman" w:cs="Times New Roman"/>
          <w:sz w:val="24"/>
          <w:szCs w:val="24"/>
          <w:lang w:val="en-US"/>
        </w:rPr>
        <w:t>The subprime credit crisis and contagion in financial market</w:t>
      </w:r>
      <w:r>
        <w:rPr>
          <w:rFonts w:ascii="Times New Roman" w:hAnsi="Times New Roman" w:cs="Times New Roman"/>
          <w:sz w:val="24"/>
          <w:szCs w:val="24"/>
          <w:lang w:val="en-US"/>
        </w:rPr>
        <w:t xml:space="preserve">. </w:t>
      </w:r>
      <w:r w:rsidRPr="00BA6EB2">
        <w:rPr>
          <w:rFonts w:ascii="Times New Roman" w:hAnsi="Times New Roman" w:cs="Times New Roman"/>
          <w:i/>
          <w:sz w:val="24"/>
          <w:szCs w:val="24"/>
          <w:lang w:val="en-US"/>
        </w:rPr>
        <w:t>Journal of Financial Economics</w:t>
      </w:r>
      <w:r>
        <w:rPr>
          <w:rFonts w:ascii="Times New Roman" w:hAnsi="Times New Roman" w:cs="Times New Roman"/>
          <w:sz w:val="24"/>
          <w:szCs w:val="24"/>
          <w:lang w:val="en-US"/>
        </w:rPr>
        <w:t xml:space="preserve">, 97, </w:t>
      </w:r>
      <w:r w:rsidR="0046159F">
        <w:rPr>
          <w:rFonts w:ascii="Times New Roman" w:hAnsi="Times New Roman" w:cs="Times New Roman"/>
          <w:sz w:val="24"/>
          <w:szCs w:val="24"/>
          <w:lang w:val="en-US"/>
        </w:rPr>
        <w:t xml:space="preserve">pp </w:t>
      </w:r>
      <w:r>
        <w:rPr>
          <w:rFonts w:ascii="Times New Roman" w:hAnsi="Times New Roman" w:cs="Times New Roman"/>
          <w:sz w:val="24"/>
          <w:szCs w:val="24"/>
          <w:lang w:val="en-US"/>
        </w:rPr>
        <w:t>436-50</w:t>
      </w:r>
    </w:p>
    <w:p w14:paraId="1C47A763" w14:textId="77777777" w:rsidR="00522494" w:rsidRDefault="00522494" w:rsidP="00522494">
      <w:pPr>
        <w:spacing w:after="0" w:line="240" w:lineRule="auto"/>
        <w:rPr>
          <w:rFonts w:ascii="Times New Roman" w:hAnsi="Times New Roman" w:cs="Times New Roman"/>
          <w:sz w:val="24"/>
          <w:szCs w:val="24"/>
        </w:rPr>
      </w:pPr>
    </w:p>
    <w:p w14:paraId="63820F80" w14:textId="1CB92B2B" w:rsidR="00F5603F" w:rsidRDefault="00F5603F" w:rsidP="005224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MacKinnon, J. G., Haug, A. A. and L. Michelis (1999). Numerical distribution functions of likelihood ratio tests for cointegration. </w:t>
      </w:r>
      <w:r w:rsidRPr="00F5603F">
        <w:rPr>
          <w:rFonts w:ascii="Times New Roman" w:hAnsi="Times New Roman" w:cs="Times New Roman"/>
          <w:i/>
          <w:sz w:val="24"/>
          <w:szCs w:val="24"/>
        </w:rPr>
        <w:t>Journal of Applied Econometrics</w:t>
      </w:r>
      <w:r>
        <w:rPr>
          <w:rFonts w:ascii="Times New Roman" w:hAnsi="Times New Roman" w:cs="Times New Roman"/>
          <w:sz w:val="24"/>
          <w:szCs w:val="24"/>
        </w:rPr>
        <w:t>, 14 (5), pp 563 - 577.</w:t>
      </w:r>
    </w:p>
    <w:p w14:paraId="03ED3C9D" w14:textId="77777777" w:rsidR="00522494" w:rsidRDefault="00522494" w:rsidP="00522494">
      <w:pPr>
        <w:spacing w:after="0" w:line="240" w:lineRule="auto"/>
        <w:rPr>
          <w:rFonts w:ascii="Times New Roman" w:hAnsi="Times New Roman" w:cs="Times New Roman"/>
          <w:sz w:val="24"/>
          <w:szCs w:val="24"/>
        </w:rPr>
      </w:pPr>
    </w:p>
    <w:p w14:paraId="1558BB5C" w14:textId="280C9A56" w:rsidR="00B41F92" w:rsidRPr="00A47D41" w:rsidRDefault="00EB5ADB"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Miller, E.</w:t>
      </w:r>
      <w:r w:rsidR="00B41F92" w:rsidRPr="00A47D41">
        <w:rPr>
          <w:rFonts w:ascii="Times New Roman" w:hAnsi="Times New Roman" w:cs="Times New Roman"/>
          <w:sz w:val="24"/>
          <w:szCs w:val="24"/>
        </w:rPr>
        <w:t xml:space="preserve"> M</w:t>
      </w:r>
      <w:r w:rsidR="00BA6EB2" w:rsidRPr="00A47D41">
        <w:rPr>
          <w:rFonts w:ascii="Times New Roman" w:hAnsi="Times New Roman" w:cs="Times New Roman"/>
          <w:sz w:val="24"/>
          <w:szCs w:val="24"/>
        </w:rPr>
        <w:t>. (</w:t>
      </w:r>
      <w:r w:rsidRPr="00A47D41">
        <w:rPr>
          <w:rFonts w:ascii="Times New Roman" w:hAnsi="Times New Roman" w:cs="Times New Roman"/>
          <w:sz w:val="24"/>
          <w:szCs w:val="24"/>
        </w:rPr>
        <w:t>1</w:t>
      </w:r>
      <w:r w:rsidR="00B41F92" w:rsidRPr="00A47D41">
        <w:rPr>
          <w:rFonts w:ascii="Times New Roman" w:hAnsi="Times New Roman" w:cs="Times New Roman"/>
          <w:sz w:val="24"/>
          <w:szCs w:val="24"/>
        </w:rPr>
        <w:t>977</w:t>
      </w:r>
      <w:r w:rsidRPr="00A47D41">
        <w:rPr>
          <w:rFonts w:ascii="Times New Roman" w:hAnsi="Times New Roman" w:cs="Times New Roman"/>
          <w:sz w:val="24"/>
          <w:szCs w:val="24"/>
        </w:rPr>
        <w:t>). Risk, Uncertainty, and Divergence of Opinion.</w:t>
      </w:r>
      <w:r w:rsidR="00B41F92" w:rsidRPr="00A47D41">
        <w:rPr>
          <w:rFonts w:ascii="Times New Roman" w:hAnsi="Times New Roman" w:cs="Times New Roman"/>
          <w:sz w:val="24"/>
          <w:szCs w:val="24"/>
        </w:rPr>
        <w:t xml:space="preserve"> </w:t>
      </w:r>
      <w:r w:rsidRPr="00BA6EB2">
        <w:rPr>
          <w:rFonts w:ascii="Times New Roman" w:hAnsi="Times New Roman" w:cs="Times New Roman"/>
          <w:i/>
          <w:sz w:val="24"/>
          <w:szCs w:val="24"/>
        </w:rPr>
        <w:t xml:space="preserve">The </w:t>
      </w:r>
      <w:r w:rsidR="00B41F92" w:rsidRPr="00BA6EB2">
        <w:rPr>
          <w:rFonts w:ascii="Times New Roman" w:hAnsi="Times New Roman" w:cs="Times New Roman"/>
          <w:i/>
          <w:sz w:val="24"/>
          <w:szCs w:val="24"/>
        </w:rPr>
        <w:t>Journal of Finance</w:t>
      </w:r>
      <w:r w:rsidRPr="00A47D41">
        <w:rPr>
          <w:rFonts w:ascii="Times New Roman" w:hAnsi="Times New Roman" w:cs="Times New Roman"/>
          <w:sz w:val="24"/>
          <w:szCs w:val="24"/>
        </w:rPr>
        <w:t>,</w:t>
      </w:r>
      <w:r w:rsidR="00B41F92" w:rsidRPr="00A47D41">
        <w:rPr>
          <w:rFonts w:ascii="Times New Roman" w:hAnsi="Times New Roman" w:cs="Times New Roman"/>
          <w:sz w:val="24"/>
          <w:szCs w:val="24"/>
        </w:rPr>
        <w:t xml:space="preserve"> 32, </w:t>
      </w:r>
      <w:r w:rsidR="0046159F">
        <w:rPr>
          <w:rFonts w:ascii="Times New Roman" w:hAnsi="Times New Roman" w:cs="Times New Roman"/>
          <w:sz w:val="24"/>
          <w:szCs w:val="24"/>
        </w:rPr>
        <w:t xml:space="preserve">pp </w:t>
      </w:r>
      <w:r w:rsidR="00B41F92" w:rsidRPr="00A47D41">
        <w:rPr>
          <w:rFonts w:ascii="Times New Roman" w:hAnsi="Times New Roman" w:cs="Times New Roman"/>
          <w:sz w:val="24"/>
          <w:szCs w:val="24"/>
        </w:rPr>
        <w:t xml:space="preserve">1151-1168. </w:t>
      </w:r>
    </w:p>
    <w:p w14:paraId="3F3AF6A0" w14:textId="77777777" w:rsidR="00522494" w:rsidRDefault="00522494" w:rsidP="00522494">
      <w:pPr>
        <w:spacing w:after="0" w:line="240" w:lineRule="auto"/>
        <w:rPr>
          <w:rFonts w:ascii="Times New Roman" w:hAnsi="Times New Roman" w:cs="Times New Roman"/>
          <w:sz w:val="24"/>
          <w:szCs w:val="24"/>
        </w:rPr>
      </w:pPr>
    </w:p>
    <w:p w14:paraId="08186874" w14:textId="77777777" w:rsidR="00A9049D" w:rsidRPr="00A47D41" w:rsidRDefault="006677B6"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Ofek, E., Richardson, M. and Whitelaw, R. F. (2003). Limited Arbitrage and Short Sales Restrictions: Evidence from the Options Market. </w:t>
      </w:r>
      <w:r w:rsidRPr="00BA6EB2">
        <w:rPr>
          <w:rFonts w:ascii="Times New Roman" w:hAnsi="Times New Roman" w:cs="Times New Roman"/>
          <w:i/>
          <w:sz w:val="24"/>
          <w:szCs w:val="24"/>
        </w:rPr>
        <w:t>NBER working paper</w:t>
      </w:r>
      <w:r w:rsidRPr="00A47D41">
        <w:rPr>
          <w:rFonts w:ascii="Times New Roman" w:hAnsi="Times New Roman" w:cs="Times New Roman"/>
          <w:sz w:val="24"/>
          <w:szCs w:val="24"/>
        </w:rPr>
        <w:t>, no. 9423.</w:t>
      </w:r>
    </w:p>
    <w:p w14:paraId="54143CAE" w14:textId="77777777" w:rsidR="00522494" w:rsidRDefault="00522494" w:rsidP="00522494">
      <w:pPr>
        <w:spacing w:after="0" w:line="240" w:lineRule="auto"/>
        <w:rPr>
          <w:rFonts w:ascii="Times New Roman" w:hAnsi="Times New Roman" w:cs="Times New Roman"/>
          <w:sz w:val="24"/>
          <w:szCs w:val="24"/>
        </w:rPr>
      </w:pPr>
    </w:p>
    <w:p w14:paraId="669D0B7D" w14:textId="0DCFD303" w:rsidR="00D41B23" w:rsidRPr="00A47D41" w:rsidRDefault="00D41B23"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Scheinkman, J. and W. Xiong (2003).</w:t>
      </w:r>
      <w:r w:rsidR="00E64872" w:rsidRPr="00A47D41">
        <w:rPr>
          <w:rFonts w:ascii="Times New Roman" w:hAnsi="Times New Roman" w:cs="Times New Roman"/>
          <w:sz w:val="24"/>
          <w:szCs w:val="24"/>
        </w:rPr>
        <w:t xml:space="preserve"> Overconfi</w:t>
      </w:r>
      <w:r w:rsidRPr="00A47D41">
        <w:rPr>
          <w:rFonts w:ascii="Times New Roman" w:hAnsi="Times New Roman" w:cs="Times New Roman"/>
          <w:sz w:val="24"/>
          <w:szCs w:val="24"/>
        </w:rPr>
        <w:t xml:space="preserve">dence and Speculative Bubbles. </w:t>
      </w:r>
      <w:r w:rsidRPr="00BA6EB2">
        <w:rPr>
          <w:rFonts w:ascii="Times New Roman" w:hAnsi="Times New Roman" w:cs="Times New Roman"/>
          <w:i/>
          <w:sz w:val="24"/>
          <w:szCs w:val="24"/>
        </w:rPr>
        <w:t>Journal of Political Economy</w:t>
      </w:r>
      <w:r w:rsidRPr="00A47D41">
        <w:rPr>
          <w:rFonts w:ascii="Times New Roman" w:hAnsi="Times New Roman" w:cs="Times New Roman"/>
          <w:sz w:val="24"/>
          <w:szCs w:val="24"/>
        </w:rPr>
        <w:t xml:space="preserve">, 111, pp 1183-1219. </w:t>
      </w:r>
    </w:p>
    <w:p w14:paraId="2768AFE9" w14:textId="77777777" w:rsidR="00522494" w:rsidRDefault="00522494" w:rsidP="00522494">
      <w:pPr>
        <w:spacing w:after="0" w:line="240" w:lineRule="auto"/>
        <w:rPr>
          <w:rFonts w:ascii="Times New Roman" w:hAnsi="Times New Roman" w:cs="Times New Roman"/>
          <w:sz w:val="24"/>
          <w:szCs w:val="24"/>
        </w:rPr>
      </w:pPr>
    </w:p>
    <w:p w14:paraId="5E873C7F" w14:textId="5DCDB735" w:rsidR="0095574E" w:rsidRPr="00A47D41" w:rsidRDefault="0095574E"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Senchack, A. J. </w:t>
      </w:r>
      <w:r w:rsidR="00165F2E" w:rsidRPr="00A47D41">
        <w:rPr>
          <w:rFonts w:ascii="Times New Roman" w:hAnsi="Times New Roman" w:cs="Times New Roman"/>
          <w:sz w:val="24"/>
          <w:szCs w:val="24"/>
        </w:rPr>
        <w:t>and</w:t>
      </w:r>
      <w:r w:rsidR="00EB5ADB" w:rsidRPr="00A47D41">
        <w:rPr>
          <w:rFonts w:ascii="Times New Roman" w:hAnsi="Times New Roman" w:cs="Times New Roman"/>
          <w:sz w:val="24"/>
          <w:szCs w:val="24"/>
        </w:rPr>
        <w:t xml:space="preserve"> L. </w:t>
      </w:r>
      <w:r w:rsidRPr="00A47D41">
        <w:rPr>
          <w:rFonts w:ascii="Times New Roman" w:hAnsi="Times New Roman" w:cs="Times New Roman"/>
          <w:sz w:val="24"/>
          <w:szCs w:val="24"/>
        </w:rPr>
        <w:t>Starks</w:t>
      </w:r>
      <w:r w:rsidR="00165F2E" w:rsidRPr="00A47D41">
        <w:rPr>
          <w:rFonts w:ascii="Times New Roman" w:hAnsi="Times New Roman" w:cs="Times New Roman"/>
          <w:sz w:val="24"/>
          <w:szCs w:val="24"/>
        </w:rPr>
        <w:t xml:space="preserve"> (</w:t>
      </w:r>
      <w:r w:rsidRPr="00A47D41">
        <w:rPr>
          <w:rFonts w:ascii="Times New Roman" w:hAnsi="Times New Roman" w:cs="Times New Roman"/>
          <w:sz w:val="24"/>
          <w:szCs w:val="24"/>
        </w:rPr>
        <w:t>1993</w:t>
      </w:r>
      <w:r w:rsidR="00165F2E" w:rsidRPr="00A47D41">
        <w:rPr>
          <w:rFonts w:ascii="Times New Roman" w:hAnsi="Times New Roman" w:cs="Times New Roman"/>
          <w:sz w:val="24"/>
          <w:szCs w:val="24"/>
        </w:rPr>
        <w:t>).</w:t>
      </w:r>
      <w:r w:rsidRPr="00A47D41">
        <w:rPr>
          <w:rFonts w:ascii="Times New Roman" w:hAnsi="Times New Roman" w:cs="Times New Roman"/>
          <w:sz w:val="24"/>
          <w:szCs w:val="24"/>
        </w:rPr>
        <w:t xml:space="preserve"> Short Sale Restrictions and Market Reactions to Short-Interest Announcements</w:t>
      </w:r>
      <w:r w:rsidR="00165F2E" w:rsidRPr="00A47D41">
        <w:rPr>
          <w:rFonts w:ascii="Times New Roman" w:hAnsi="Times New Roman" w:cs="Times New Roman"/>
          <w:sz w:val="24"/>
          <w:szCs w:val="24"/>
        </w:rPr>
        <w:t>.</w:t>
      </w:r>
      <w:r w:rsidRPr="00A47D41">
        <w:rPr>
          <w:rFonts w:ascii="Times New Roman" w:hAnsi="Times New Roman" w:cs="Times New Roman"/>
          <w:sz w:val="24"/>
          <w:szCs w:val="24"/>
        </w:rPr>
        <w:t xml:space="preserve"> </w:t>
      </w:r>
      <w:r w:rsidRPr="00BA6EB2">
        <w:rPr>
          <w:rFonts w:ascii="Times New Roman" w:hAnsi="Times New Roman" w:cs="Times New Roman"/>
          <w:i/>
          <w:sz w:val="24"/>
          <w:szCs w:val="24"/>
        </w:rPr>
        <w:t>Journal of Financial and Quantitative Analysis</w:t>
      </w:r>
      <w:r w:rsidR="00BA6EB2">
        <w:rPr>
          <w:rFonts w:ascii="Times New Roman" w:hAnsi="Times New Roman" w:cs="Times New Roman"/>
          <w:i/>
          <w:sz w:val="24"/>
          <w:szCs w:val="24"/>
        </w:rPr>
        <w:t>,</w:t>
      </w:r>
      <w:r w:rsidRPr="00A47D41">
        <w:rPr>
          <w:rFonts w:ascii="Times New Roman" w:hAnsi="Times New Roman" w:cs="Times New Roman"/>
          <w:sz w:val="24"/>
          <w:szCs w:val="24"/>
        </w:rPr>
        <w:t xml:space="preserve"> 28, pp177-194. </w:t>
      </w:r>
    </w:p>
    <w:p w14:paraId="7631492B" w14:textId="77777777" w:rsidR="00522494" w:rsidRDefault="00522494" w:rsidP="00522494">
      <w:pPr>
        <w:spacing w:after="0" w:line="240" w:lineRule="auto"/>
        <w:rPr>
          <w:rFonts w:ascii="Times New Roman" w:hAnsi="Times New Roman" w:cs="Times New Roman"/>
          <w:sz w:val="24"/>
          <w:szCs w:val="24"/>
        </w:rPr>
      </w:pPr>
    </w:p>
    <w:p w14:paraId="2AACDE4A" w14:textId="2A35676E" w:rsidR="00B310EF" w:rsidRDefault="00B310EF" w:rsidP="00522494">
      <w:pPr>
        <w:spacing w:after="0" w:line="240" w:lineRule="auto"/>
        <w:rPr>
          <w:rFonts w:ascii="Times New Roman" w:hAnsi="Times New Roman" w:cs="Times New Roman"/>
          <w:sz w:val="24"/>
          <w:szCs w:val="24"/>
        </w:rPr>
      </w:pPr>
      <w:r>
        <w:rPr>
          <w:rFonts w:ascii="Times New Roman" w:hAnsi="Times New Roman" w:cs="Times New Roman"/>
          <w:sz w:val="24"/>
          <w:szCs w:val="24"/>
        </w:rPr>
        <w:t>Tse, Y., Lee, T-H. and Booth G. (1996)</w:t>
      </w:r>
      <w:r w:rsidR="00BA6EB2">
        <w:rPr>
          <w:rFonts w:ascii="Times New Roman" w:hAnsi="Times New Roman" w:cs="Times New Roman"/>
          <w:sz w:val="24"/>
          <w:szCs w:val="24"/>
        </w:rPr>
        <w:t>.</w:t>
      </w:r>
      <w:r>
        <w:rPr>
          <w:rFonts w:ascii="Times New Roman" w:hAnsi="Times New Roman" w:cs="Times New Roman"/>
          <w:sz w:val="24"/>
          <w:szCs w:val="24"/>
        </w:rPr>
        <w:t xml:space="preserve"> The international transmission of information in Eurodollar futures markets: A continuously trading market hypothesis. </w:t>
      </w:r>
      <w:r w:rsidRPr="00BA6EB2">
        <w:rPr>
          <w:rFonts w:ascii="Times New Roman" w:hAnsi="Times New Roman" w:cs="Times New Roman"/>
          <w:i/>
          <w:sz w:val="24"/>
          <w:szCs w:val="24"/>
        </w:rPr>
        <w:t>Journal of International Money and Finance</w:t>
      </w:r>
      <w:r>
        <w:rPr>
          <w:rFonts w:ascii="Times New Roman" w:hAnsi="Times New Roman" w:cs="Times New Roman"/>
          <w:sz w:val="24"/>
          <w:szCs w:val="24"/>
        </w:rPr>
        <w:t>, 15, pp 447-465</w:t>
      </w:r>
    </w:p>
    <w:p w14:paraId="5BD0FA6B" w14:textId="77777777" w:rsidR="00522494" w:rsidRDefault="00522494" w:rsidP="00522494">
      <w:pPr>
        <w:spacing w:after="0" w:line="240" w:lineRule="auto"/>
        <w:rPr>
          <w:rFonts w:ascii="Times New Roman" w:hAnsi="Times New Roman" w:cs="Times New Roman"/>
          <w:sz w:val="24"/>
          <w:szCs w:val="24"/>
        </w:rPr>
      </w:pPr>
    </w:p>
    <w:p w14:paraId="75A67B37" w14:textId="522AC3D0" w:rsidR="00B310EF" w:rsidRDefault="00B310EF" w:rsidP="005224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Tse, Y. (1998). </w:t>
      </w:r>
      <w:r w:rsidRPr="00B310EF">
        <w:rPr>
          <w:rFonts w:ascii="Times New Roman" w:hAnsi="Times New Roman" w:cs="Times New Roman"/>
          <w:sz w:val="24"/>
          <w:szCs w:val="24"/>
          <w:lang w:val="en-US"/>
        </w:rPr>
        <w:t>International transmission of information: evidence from the Euroyen and Eurodollar futures markets</w:t>
      </w:r>
      <w:r>
        <w:rPr>
          <w:rFonts w:ascii="Times New Roman" w:hAnsi="Times New Roman" w:cs="Times New Roman"/>
          <w:sz w:val="24"/>
          <w:szCs w:val="24"/>
          <w:lang w:val="en-US"/>
        </w:rPr>
        <w:t xml:space="preserve">. </w:t>
      </w:r>
      <w:r w:rsidRPr="00BA6EB2">
        <w:rPr>
          <w:rFonts w:ascii="Times New Roman" w:hAnsi="Times New Roman" w:cs="Times New Roman"/>
          <w:i/>
          <w:sz w:val="24"/>
          <w:szCs w:val="24"/>
        </w:rPr>
        <w:t>Journal of International Money and Finance</w:t>
      </w:r>
      <w:r>
        <w:rPr>
          <w:rFonts w:ascii="Times New Roman" w:hAnsi="Times New Roman" w:cs="Times New Roman"/>
          <w:sz w:val="24"/>
          <w:szCs w:val="24"/>
        </w:rPr>
        <w:t>, 17, pp 909-929</w:t>
      </w:r>
    </w:p>
    <w:p w14:paraId="7B23C830" w14:textId="77777777" w:rsidR="00522494" w:rsidRDefault="00522494" w:rsidP="00522494">
      <w:pPr>
        <w:spacing w:after="0" w:line="240" w:lineRule="auto"/>
        <w:rPr>
          <w:rFonts w:ascii="Times New Roman" w:hAnsi="Times New Roman" w:cs="Times New Roman"/>
          <w:sz w:val="24"/>
          <w:szCs w:val="24"/>
          <w:lang w:val="en-US"/>
        </w:rPr>
      </w:pPr>
    </w:p>
    <w:p w14:paraId="07750463" w14:textId="527A9447" w:rsidR="00A94364" w:rsidRDefault="001E3CA0" w:rsidP="00522494">
      <w:pPr>
        <w:spacing w:after="0" w:line="240" w:lineRule="auto"/>
        <w:rPr>
          <w:rFonts w:ascii="Times New Roman" w:hAnsi="Times New Roman" w:cs="Times New Roman"/>
          <w:sz w:val="24"/>
          <w:szCs w:val="24"/>
        </w:rPr>
      </w:pPr>
      <w:r w:rsidRPr="001E3CA0">
        <w:rPr>
          <w:rFonts w:ascii="Times New Roman" w:hAnsi="Times New Roman" w:cs="Times New Roman"/>
          <w:sz w:val="24"/>
          <w:szCs w:val="24"/>
          <w:lang w:val="en-US"/>
        </w:rPr>
        <w:t xml:space="preserve">Vayanos, D., </w:t>
      </w:r>
      <w:r>
        <w:rPr>
          <w:rFonts w:ascii="Times New Roman" w:hAnsi="Times New Roman" w:cs="Times New Roman"/>
          <w:sz w:val="24"/>
          <w:szCs w:val="24"/>
          <w:lang w:val="en-US"/>
        </w:rPr>
        <w:t>(</w:t>
      </w:r>
      <w:r w:rsidRPr="001E3CA0">
        <w:rPr>
          <w:rFonts w:ascii="Times New Roman" w:hAnsi="Times New Roman" w:cs="Times New Roman"/>
          <w:sz w:val="24"/>
          <w:szCs w:val="24"/>
          <w:lang w:val="en-US"/>
        </w:rPr>
        <w:t>2004</w:t>
      </w:r>
      <w:r>
        <w:rPr>
          <w:rFonts w:ascii="Times New Roman" w:hAnsi="Times New Roman" w:cs="Times New Roman"/>
          <w:sz w:val="24"/>
          <w:szCs w:val="24"/>
          <w:lang w:val="en-US"/>
        </w:rPr>
        <w:t>)</w:t>
      </w:r>
      <w:r w:rsidRPr="001E3CA0">
        <w:rPr>
          <w:rFonts w:ascii="Times New Roman" w:hAnsi="Times New Roman" w:cs="Times New Roman"/>
          <w:sz w:val="24"/>
          <w:szCs w:val="24"/>
          <w:lang w:val="en-US"/>
        </w:rPr>
        <w:t>. Flight to quality, flight to liquidity, and the pricing of risk. Unpublished working paper, London School of Economics.</w:t>
      </w:r>
    </w:p>
    <w:p w14:paraId="775FC01E" w14:textId="77777777" w:rsidR="00591AFC" w:rsidRDefault="00591AFC" w:rsidP="00522494">
      <w:pPr>
        <w:spacing w:after="0" w:line="240" w:lineRule="auto"/>
        <w:rPr>
          <w:rFonts w:ascii="Times New Roman" w:hAnsi="Times New Roman" w:cs="Times New Roman"/>
          <w:sz w:val="24"/>
          <w:szCs w:val="24"/>
        </w:rPr>
      </w:pPr>
    </w:p>
    <w:p w14:paraId="596BEECF" w14:textId="60BD1DD3" w:rsidR="00C97ED1" w:rsidRPr="00A47D41" w:rsidRDefault="00CD0B1F"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Wang, J</w:t>
      </w:r>
      <w:r w:rsidR="00BA6EB2" w:rsidRPr="00A47D41">
        <w:rPr>
          <w:rFonts w:ascii="Times New Roman" w:hAnsi="Times New Roman" w:cs="Times New Roman"/>
          <w:sz w:val="24"/>
          <w:szCs w:val="24"/>
        </w:rPr>
        <w:t>. (</w:t>
      </w:r>
      <w:r w:rsidRPr="00A47D41">
        <w:rPr>
          <w:rFonts w:ascii="Times New Roman" w:hAnsi="Times New Roman" w:cs="Times New Roman"/>
          <w:sz w:val="24"/>
          <w:szCs w:val="24"/>
        </w:rPr>
        <w:t xml:space="preserve">1993). A model of Intertemporal Asset Prices under Asymmetric Information. </w:t>
      </w:r>
      <w:r w:rsidRPr="00BA6EB2">
        <w:rPr>
          <w:rFonts w:ascii="Times New Roman" w:hAnsi="Times New Roman" w:cs="Times New Roman"/>
          <w:i/>
          <w:sz w:val="24"/>
          <w:szCs w:val="24"/>
        </w:rPr>
        <w:t>Review of Economic Studies</w:t>
      </w:r>
      <w:r w:rsidR="00EB5ADB" w:rsidRPr="00A47D41">
        <w:rPr>
          <w:rFonts w:ascii="Times New Roman" w:hAnsi="Times New Roman" w:cs="Times New Roman"/>
          <w:sz w:val="24"/>
          <w:szCs w:val="24"/>
        </w:rPr>
        <w:t>, 60</w:t>
      </w:r>
      <w:r w:rsidRPr="00A47D41">
        <w:rPr>
          <w:rFonts w:ascii="Times New Roman" w:hAnsi="Times New Roman" w:cs="Times New Roman"/>
          <w:sz w:val="24"/>
          <w:szCs w:val="24"/>
        </w:rPr>
        <w:t>, pp</w:t>
      </w:r>
      <w:r w:rsidR="00EB5ADB" w:rsidRPr="00A47D41">
        <w:rPr>
          <w:rFonts w:ascii="Times New Roman" w:hAnsi="Times New Roman" w:cs="Times New Roman"/>
          <w:sz w:val="24"/>
          <w:szCs w:val="24"/>
        </w:rPr>
        <w:t xml:space="preserve"> </w:t>
      </w:r>
      <w:r w:rsidRPr="00A47D41">
        <w:rPr>
          <w:rFonts w:ascii="Times New Roman" w:hAnsi="Times New Roman" w:cs="Times New Roman"/>
          <w:sz w:val="24"/>
          <w:szCs w:val="24"/>
        </w:rPr>
        <w:t>249-282.</w:t>
      </w:r>
    </w:p>
    <w:p w14:paraId="26C3DA2B" w14:textId="77777777" w:rsidR="00522494" w:rsidRDefault="00522494" w:rsidP="00522494">
      <w:pPr>
        <w:spacing w:after="0" w:line="240" w:lineRule="auto"/>
        <w:rPr>
          <w:rFonts w:ascii="Times New Roman" w:hAnsi="Times New Roman" w:cs="Times New Roman"/>
          <w:sz w:val="24"/>
          <w:szCs w:val="24"/>
        </w:rPr>
      </w:pPr>
    </w:p>
    <w:p w14:paraId="1CB56560" w14:textId="5E102A9D" w:rsidR="00A9049D" w:rsidRDefault="00CD0B1F"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Wang, J. (1994).</w:t>
      </w:r>
      <w:r w:rsidR="00A47D41" w:rsidRPr="00A47D41">
        <w:rPr>
          <w:rFonts w:ascii="Times New Roman" w:hAnsi="Times New Roman" w:cs="Times New Roman"/>
          <w:sz w:val="24"/>
          <w:szCs w:val="24"/>
        </w:rPr>
        <w:t xml:space="preserve"> </w:t>
      </w:r>
      <w:r w:rsidRPr="00A47D41">
        <w:rPr>
          <w:rFonts w:ascii="Times New Roman" w:hAnsi="Times New Roman" w:cs="Times New Roman"/>
          <w:sz w:val="24"/>
          <w:szCs w:val="24"/>
        </w:rPr>
        <w:t xml:space="preserve">A model of competitive stock trading volume. </w:t>
      </w:r>
      <w:r w:rsidRPr="00BA6EB2">
        <w:rPr>
          <w:rFonts w:ascii="Times New Roman" w:hAnsi="Times New Roman" w:cs="Times New Roman"/>
          <w:i/>
          <w:sz w:val="24"/>
          <w:szCs w:val="24"/>
        </w:rPr>
        <w:t>Journal of Political Economy</w:t>
      </w:r>
      <w:r w:rsidRPr="00A47D41">
        <w:rPr>
          <w:rFonts w:ascii="Times New Roman" w:hAnsi="Times New Roman" w:cs="Times New Roman"/>
          <w:sz w:val="24"/>
          <w:szCs w:val="24"/>
        </w:rPr>
        <w:t>, 102, pp127-168.</w:t>
      </w:r>
    </w:p>
    <w:p w14:paraId="4295597F" w14:textId="77777777" w:rsidR="00522494" w:rsidRDefault="00522494" w:rsidP="00522494">
      <w:pPr>
        <w:spacing w:after="0" w:line="240" w:lineRule="auto"/>
        <w:rPr>
          <w:rFonts w:ascii="Times New Roman" w:hAnsi="Times New Roman" w:cs="Times New Roman"/>
          <w:sz w:val="24"/>
          <w:szCs w:val="24"/>
        </w:rPr>
      </w:pPr>
    </w:p>
    <w:p w14:paraId="6426D5BE" w14:textId="77777777" w:rsidR="00BA6EB2" w:rsidRPr="00A47D41" w:rsidRDefault="00BA6EB2" w:rsidP="00522494">
      <w:pPr>
        <w:spacing w:after="0" w:line="240" w:lineRule="auto"/>
        <w:rPr>
          <w:rFonts w:ascii="Times New Roman" w:hAnsi="Times New Roman" w:cs="Times New Roman"/>
          <w:sz w:val="24"/>
          <w:szCs w:val="24"/>
        </w:rPr>
      </w:pPr>
      <w:r w:rsidRPr="00A47D41">
        <w:rPr>
          <w:rFonts w:ascii="Times New Roman" w:hAnsi="Times New Roman" w:cs="Times New Roman"/>
          <w:sz w:val="24"/>
          <w:szCs w:val="24"/>
        </w:rPr>
        <w:t xml:space="preserve">Woolridge, J. and A. Dickinson (1994). Short Selling and Common Stock Prices. </w:t>
      </w:r>
      <w:r w:rsidRPr="00BA6EB2">
        <w:rPr>
          <w:rFonts w:ascii="Times New Roman" w:hAnsi="Times New Roman" w:cs="Times New Roman"/>
          <w:i/>
          <w:sz w:val="24"/>
          <w:szCs w:val="24"/>
        </w:rPr>
        <w:t>Financial Analysts Journal</w:t>
      </w:r>
      <w:r w:rsidRPr="00A47D41">
        <w:rPr>
          <w:rFonts w:ascii="Times New Roman" w:hAnsi="Times New Roman" w:cs="Times New Roman"/>
          <w:sz w:val="24"/>
          <w:szCs w:val="24"/>
        </w:rPr>
        <w:t>, 50 (1), pp 20-28.</w:t>
      </w:r>
    </w:p>
    <w:p w14:paraId="7697279D" w14:textId="77777777" w:rsidR="00522494" w:rsidRDefault="00522494" w:rsidP="00522494">
      <w:pPr>
        <w:spacing w:after="0" w:line="240" w:lineRule="auto"/>
        <w:rPr>
          <w:rFonts w:ascii="Times New Roman" w:hAnsi="Times New Roman" w:cs="Times New Roman"/>
          <w:sz w:val="24"/>
          <w:szCs w:val="24"/>
          <w:lang w:val="fr-FR"/>
        </w:rPr>
      </w:pPr>
    </w:p>
    <w:p w14:paraId="6CF8A2B6" w14:textId="4147D971" w:rsidR="009314BE" w:rsidRDefault="009314BE" w:rsidP="00522494">
      <w:pPr>
        <w:spacing w:after="0" w:line="240" w:lineRule="auto"/>
        <w:rPr>
          <w:rFonts w:ascii="Times New Roman" w:hAnsi="Times New Roman" w:cs="Times New Roman"/>
          <w:sz w:val="24"/>
          <w:szCs w:val="24"/>
        </w:rPr>
      </w:pPr>
      <w:r w:rsidRPr="007D2CCA">
        <w:rPr>
          <w:rFonts w:ascii="Times New Roman" w:hAnsi="Times New Roman" w:cs="Times New Roman"/>
          <w:sz w:val="24"/>
          <w:szCs w:val="24"/>
          <w:lang w:val="fr-FR"/>
        </w:rPr>
        <w:t xml:space="preserve">Zhang, D., Dickinson, D.G., Barassi, M. (2006). </w:t>
      </w:r>
      <w:r w:rsidRPr="00E86E7E">
        <w:rPr>
          <w:rFonts w:ascii="Times New Roman" w:hAnsi="Times New Roman" w:cs="Times New Roman"/>
          <w:sz w:val="24"/>
          <w:szCs w:val="24"/>
        </w:rPr>
        <w:t>Structural breaks, cointegration and B share discount in Chinese stock market. Conference paper in Ecomod.net International conference of Policy modelling, Hong Kong, 2006.</w:t>
      </w:r>
    </w:p>
    <w:p w14:paraId="76FD42CD" w14:textId="73D9925E" w:rsidR="00A10C66" w:rsidRDefault="00A10C66">
      <w:pPr>
        <w:rPr>
          <w:rFonts w:ascii="Times New Roman" w:hAnsi="Times New Roman" w:cs="Times New Roman"/>
          <w:sz w:val="24"/>
          <w:szCs w:val="24"/>
        </w:rPr>
      </w:pPr>
      <w:r>
        <w:rPr>
          <w:rFonts w:ascii="Times New Roman" w:hAnsi="Times New Roman" w:cs="Times New Roman"/>
          <w:sz w:val="24"/>
          <w:szCs w:val="24"/>
        </w:rPr>
        <w:br w:type="page"/>
      </w:r>
    </w:p>
    <w:p w14:paraId="6113AE63" w14:textId="77777777" w:rsidR="00A10C66" w:rsidRPr="00A47D41" w:rsidRDefault="00A10C66" w:rsidP="00A10C66">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lastRenderedPageBreak/>
        <w:t>Tables and Figures</w:t>
      </w:r>
    </w:p>
    <w:p w14:paraId="4B15EE92" w14:textId="77777777" w:rsidR="00A10C66" w:rsidRPr="00A47D41" w:rsidRDefault="00A10C66" w:rsidP="00A10C66">
      <w:pPr>
        <w:spacing w:after="0" w:line="480" w:lineRule="auto"/>
        <w:jc w:val="both"/>
        <w:rPr>
          <w:rFonts w:ascii="Times New Roman" w:hAnsi="Times New Roman" w:cs="Times New Roman"/>
          <w:b/>
          <w:sz w:val="24"/>
          <w:szCs w:val="24"/>
        </w:rPr>
      </w:pPr>
    </w:p>
    <w:p w14:paraId="236E3261" w14:textId="77777777" w:rsidR="00A10C66" w:rsidRPr="00A47D41" w:rsidRDefault="00A10C66" w:rsidP="00A10C66">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t xml:space="preserve">Table 1: Model specifications and information. </w:t>
      </w:r>
    </w:p>
    <w:p w14:paraId="558F76D3" w14:textId="77777777" w:rsidR="00A10C66" w:rsidRPr="000A1404" w:rsidRDefault="00A10C66" w:rsidP="00A10C66">
      <w:pPr>
        <w:spacing w:after="0" w:line="480" w:lineRule="auto"/>
        <w:jc w:val="both"/>
        <w:rPr>
          <w:rFonts w:ascii="Times New Roman" w:hAnsi="Times New Roman" w:cs="Times New Roman"/>
          <w:sz w:val="20"/>
          <w:szCs w:val="20"/>
        </w:rPr>
      </w:pPr>
      <w:r w:rsidRPr="000A1404">
        <w:rPr>
          <w:rFonts w:ascii="Times New Roman" w:hAnsi="Times New Roman" w:cs="Times New Roman"/>
          <w:sz w:val="20"/>
          <w:szCs w:val="20"/>
        </w:rPr>
        <w:t>This table summarises the specifications of the multi-variate empirical models we used in this study: VECM, Granger Causality and VAR-MV-GARCH. The first two models are operated on the non-stationary price series and the last one on the stationary return series of the country groups established, namely: high risk, low risk and global index portfolios.</w:t>
      </w:r>
    </w:p>
    <w:p w14:paraId="7BCE5058" w14:textId="77777777" w:rsidR="00A10C66" w:rsidRPr="00A47D41" w:rsidRDefault="00A10C66" w:rsidP="00A10C66">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8"/>
        <w:gridCol w:w="5556"/>
        <w:gridCol w:w="1375"/>
      </w:tblGrid>
      <w:tr w:rsidR="00A10C66" w:rsidRPr="00A47D41" w14:paraId="77D0A14E" w14:textId="77777777" w:rsidTr="00A10C66">
        <w:tc>
          <w:tcPr>
            <w:tcW w:w="2108" w:type="dxa"/>
            <w:tcBorders>
              <w:bottom w:val="single" w:sz="4" w:space="0" w:color="auto"/>
            </w:tcBorders>
          </w:tcPr>
          <w:p w14:paraId="34ED3C0D" w14:textId="77777777" w:rsidR="00A10C66" w:rsidRPr="00A47D41" w:rsidRDefault="00A10C66" w:rsidP="00A10C66">
            <w:pPr>
              <w:spacing w:line="480" w:lineRule="auto"/>
              <w:rPr>
                <w:rFonts w:ascii="Times New Roman" w:hAnsi="Times New Roman" w:cs="Times New Roman"/>
              </w:rPr>
            </w:pPr>
            <w:r w:rsidRPr="00A47D41">
              <w:rPr>
                <w:rFonts w:ascii="Times New Roman" w:hAnsi="Times New Roman" w:cs="Times New Roman"/>
              </w:rPr>
              <w:t>Model Name</w:t>
            </w:r>
          </w:p>
        </w:tc>
        <w:tc>
          <w:tcPr>
            <w:tcW w:w="5556" w:type="dxa"/>
            <w:tcBorders>
              <w:bottom w:val="single" w:sz="4" w:space="0" w:color="auto"/>
            </w:tcBorders>
          </w:tcPr>
          <w:p w14:paraId="0C2590C6" w14:textId="77777777" w:rsidR="00A10C66" w:rsidRPr="00A47D41" w:rsidRDefault="00A10C66" w:rsidP="00A10C66">
            <w:pPr>
              <w:spacing w:line="480" w:lineRule="auto"/>
              <w:rPr>
                <w:rFonts w:ascii="Times New Roman" w:hAnsi="Times New Roman" w:cs="Times New Roman"/>
              </w:rPr>
            </w:pPr>
            <w:r w:rsidRPr="00A47D41">
              <w:rPr>
                <w:rFonts w:ascii="Times New Roman" w:hAnsi="Times New Roman" w:cs="Times New Roman"/>
              </w:rPr>
              <w:t>Endogenous</w:t>
            </w:r>
          </w:p>
        </w:tc>
        <w:tc>
          <w:tcPr>
            <w:tcW w:w="1375" w:type="dxa"/>
            <w:tcBorders>
              <w:bottom w:val="single" w:sz="4" w:space="0" w:color="auto"/>
            </w:tcBorders>
          </w:tcPr>
          <w:p w14:paraId="182FAB70" w14:textId="77777777" w:rsidR="00A10C66" w:rsidRPr="00A47D41" w:rsidRDefault="00A10C66" w:rsidP="00A10C66">
            <w:pPr>
              <w:spacing w:line="480" w:lineRule="auto"/>
              <w:rPr>
                <w:rFonts w:ascii="Times New Roman" w:hAnsi="Times New Roman" w:cs="Times New Roman"/>
              </w:rPr>
            </w:pPr>
            <w:r w:rsidRPr="00A47D41">
              <w:rPr>
                <w:rFonts w:ascii="Times New Roman" w:hAnsi="Times New Roman" w:cs="Times New Roman"/>
              </w:rPr>
              <w:t>Exogenous</w:t>
            </w:r>
          </w:p>
        </w:tc>
      </w:tr>
      <w:tr w:rsidR="00A10C66" w:rsidRPr="00A47D41" w14:paraId="69D5DE3E" w14:textId="77777777" w:rsidTr="00A10C66">
        <w:tc>
          <w:tcPr>
            <w:tcW w:w="2108" w:type="dxa"/>
            <w:tcBorders>
              <w:top w:val="single" w:sz="4" w:space="0" w:color="auto"/>
            </w:tcBorders>
          </w:tcPr>
          <w:p w14:paraId="19C92154" w14:textId="77777777" w:rsidR="00A10C66" w:rsidRPr="00A47D41" w:rsidRDefault="00A10C66" w:rsidP="00A10C66">
            <w:pPr>
              <w:spacing w:line="480" w:lineRule="auto"/>
              <w:rPr>
                <w:rFonts w:ascii="Times New Roman" w:hAnsi="Times New Roman" w:cs="Times New Roman"/>
              </w:rPr>
            </w:pPr>
            <w:r w:rsidRPr="00A47D41">
              <w:rPr>
                <w:rFonts w:ascii="Times New Roman" w:hAnsi="Times New Roman" w:cs="Times New Roman"/>
              </w:rPr>
              <w:t>VECM</w:t>
            </w:r>
          </w:p>
        </w:tc>
        <w:tc>
          <w:tcPr>
            <w:tcW w:w="5556" w:type="dxa"/>
            <w:tcBorders>
              <w:top w:val="single" w:sz="4" w:space="0" w:color="auto"/>
            </w:tcBorders>
          </w:tcPr>
          <w:p w14:paraId="54104DE2" w14:textId="4C17D79A" w:rsidR="00A10C66" w:rsidRPr="00A47D41" w:rsidRDefault="00A10C66" w:rsidP="00A10C66">
            <w:pPr>
              <w:spacing w:line="480" w:lineRule="auto"/>
              <w:rPr>
                <w:rFonts w:ascii="Times New Roman" w:hAnsi="Times New Roman" w:cs="Times New Roman"/>
              </w:rPr>
            </w:pPr>
            <w:r>
              <w:rPr>
                <w:rFonts w:ascii="Times New Roman" w:eastAsiaTheme="minorHAnsi" w:hAnsi="Times New Roman" w:cs="Times New Roman"/>
                <w:noProof/>
                <w:position w:val="-14"/>
                <w:lang w:eastAsia="en-GB"/>
              </w:rPr>
              <w:drawing>
                <wp:inline distT="0" distB="0" distL="0" distR="0" wp14:anchorId="1DED2735" wp14:editId="0AA08B97">
                  <wp:extent cx="308610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86100" cy="266700"/>
                          </a:xfrm>
                          <a:prstGeom prst="rect">
                            <a:avLst/>
                          </a:prstGeom>
                          <a:noFill/>
                          <a:ln>
                            <a:noFill/>
                          </a:ln>
                        </pic:spPr>
                      </pic:pic>
                    </a:graphicData>
                  </a:graphic>
                </wp:inline>
              </w:drawing>
            </w:r>
          </w:p>
        </w:tc>
        <w:tc>
          <w:tcPr>
            <w:tcW w:w="1375" w:type="dxa"/>
            <w:tcBorders>
              <w:top w:val="single" w:sz="4" w:space="0" w:color="auto"/>
            </w:tcBorders>
          </w:tcPr>
          <w:p w14:paraId="1088C40D" w14:textId="77777777" w:rsidR="00A10C66" w:rsidRPr="00A47D41" w:rsidRDefault="00A10C66" w:rsidP="00A10C66">
            <w:pPr>
              <w:spacing w:line="480" w:lineRule="auto"/>
              <w:jc w:val="center"/>
              <w:rPr>
                <w:rFonts w:ascii="Times New Roman" w:hAnsi="Times New Roman" w:cs="Times New Roman"/>
              </w:rPr>
            </w:pPr>
            <w:r w:rsidRPr="00A47D41">
              <w:rPr>
                <w:rFonts w:ascii="Times New Roman" w:hAnsi="Times New Roman" w:cs="Times New Roman"/>
                <w:i/>
              </w:rPr>
              <w:t>c</w:t>
            </w:r>
          </w:p>
        </w:tc>
      </w:tr>
      <w:tr w:rsidR="00A10C66" w:rsidRPr="00A47D41" w14:paraId="20836543" w14:textId="77777777" w:rsidTr="00A10C66">
        <w:tc>
          <w:tcPr>
            <w:tcW w:w="2108" w:type="dxa"/>
          </w:tcPr>
          <w:p w14:paraId="4CBBE137" w14:textId="77777777" w:rsidR="00A10C66" w:rsidRPr="00A47D41" w:rsidRDefault="00A10C66" w:rsidP="00A10C66">
            <w:pPr>
              <w:spacing w:line="480" w:lineRule="auto"/>
              <w:rPr>
                <w:rFonts w:ascii="Times New Roman" w:hAnsi="Times New Roman" w:cs="Times New Roman"/>
              </w:rPr>
            </w:pPr>
            <w:r w:rsidRPr="00A47D41">
              <w:rPr>
                <w:rFonts w:ascii="Times New Roman" w:hAnsi="Times New Roman" w:cs="Times New Roman"/>
              </w:rPr>
              <w:t>Causality</w:t>
            </w:r>
          </w:p>
        </w:tc>
        <w:tc>
          <w:tcPr>
            <w:tcW w:w="5556" w:type="dxa"/>
          </w:tcPr>
          <w:p w14:paraId="5EBBDC03" w14:textId="2510EAF1" w:rsidR="00A10C66" w:rsidRPr="00A47D41" w:rsidRDefault="00A10C66" w:rsidP="00A10C66">
            <w:pPr>
              <w:spacing w:line="480" w:lineRule="auto"/>
              <w:rPr>
                <w:rFonts w:ascii="Times New Roman" w:hAnsi="Times New Roman" w:cs="Times New Roman"/>
              </w:rPr>
            </w:pPr>
            <w:r>
              <w:rPr>
                <w:rFonts w:ascii="Times New Roman" w:eastAsiaTheme="minorHAnsi" w:hAnsi="Times New Roman" w:cs="Times New Roman"/>
                <w:noProof/>
                <w:position w:val="-14"/>
                <w:lang w:eastAsia="en-GB"/>
              </w:rPr>
              <w:drawing>
                <wp:inline distT="0" distB="0" distL="0" distR="0" wp14:anchorId="2E05EA41" wp14:editId="295B0D10">
                  <wp:extent cx="30861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86100" cy="266700"/>
                          </a:xfrm>
                          <a:prstGeom prst="rect">
                            <a:avLst/>
                          </a:prstGeom>
                          <a:noFill/>
                          <a:ln>
                            <a:noFill/>
                          </a:ln>
                        </pic:spPr>
                      </pic:pic>
                    </a:graphicData>
                  </a:graphic>
                </wp:inline>
              </w:drawing>
            </w:r>
          </w:p>
        </w:tc>
        <w:tc>
          <w:tcPr>
            <w:tcW w:w="1375" w:type="dxa"/>
          </w:tcPr>
          <w:p w14:paraId="67F4418B" w14:textId="77777777" w:rsidR="00A10C66" w:rsidRPr="00A47D41" w:rsidRDefault="00A10C66" w:rsidP="00A10C66">
            <w:pPr>
              <w:spacing w:line="480" w:lineRule="auto"/>
              <w:jc w:val="center"/>
              <w:rPr>
                <w:rFonts w:ascii="Times New Roman" w:hAnsi="Times New Roman" w:cs="Times New Roman"/>
              </w:rPr>
            </w:pPr>
            <w:r w:rsidRPr="00A47D41">
              <w:rPr>
                <w:rFonts w:ascii="Times New Roman" w:hAnsi="Times New Roman" w:cs="Times New Roman"/>
                <w:i/>
              </w:rPr>
              <w:t>c</w:t>
            </w:r>
          </w:p>
        </w:tc>
      </w:tr>
      <w:tr w:rsidR="00A10C66" w:rsidRPr="00A47D41" w14:paraId="19FA5F74" w14:textId="77777777" w:rsidTr="00A10C66">
        <w:tc>
          <w:tcPr>
            <w:tcW w:w="2108" w:type="dxa"/>
          </w:tcPr>
          <w:p w14:paraId="6BD0872A" w14:textId="77777777" w:rsidR="00A10C66" w:rsidRPr="00A47D41" w:rsidRDefault="00A10C66" w:rsidP="00A10C66">
            <w:pPr>
              <w:spacing w:line="480" w:lineRule="auto"/>
              <w:rPr>
                <w:rFonts w:ascii="Times New Roman" w:hAnsi="Times New Roman" w:cs="Times New Roman"/>
              </w:rPr>
            </w:pPr>
            <w:r w:rsidRPr="00A47D41">
              <w:rPr>
                <w:rFonts w:ascii="Times New Roman" w:hAnsi="Times New Roman" w:cs="Times New Roman"/>
              </w:rPr>
              <w:t>VAR-MV-GARCH</w:t>
            </w:r>
          </w:p>
        </w:tc>
        <w:tc>
          <w:tcPr>
            <w:tcW w:w="5556" w:type="dxa"/>
          </w:tcPr>
          <w:p w14:paraId="39DE4F91" w14:textId="4D9DE01E" w:rsidR="00A10C66" w:rsidRPr="00A47D41" w:rsidRDefault="00A10C66" w:rsidP="00A10C66">
            <w:pPr>
              <w:spacing w:line="480" w:lineRule="auto"/>
              <w:rPr>
                <w:rFonts w:ascii="Times New Roman" w:hAnsi="Times New Roman" w:cs="Times New Roman"/>
              </w:rPr>
            </w:pPr>
            <w:r>
              <w:rPr>
                <w:rFonts w:ascii="Times New Roman" w:eastAsiaTheme="minorHAnsi" w:hAnsi="Times New Roman" w:cs="Times New Roman"/>
                <w:noProof/>
                <w:position w:val="-14"/>
                <w:lang w:eastAsia="en-GB"/>
              </w:rPr>
              <w:drawing>
                <wp:inline distT="0" distB="0" distL="0" distR="0" wp14:anchorId="33F89CD3" wp14:editId="16AB8870">
                  <wp:extent cx="33909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90900" cy="266700"/>
                          </a:xfrm>
                          <a:prstGeom prst="rect">
                            <a:avLst/>
                          </a:prstGeom>
                          <a:noFill/>
                          <a:ln>
                            <a:noFill/>
                          </a:ln>
                        </pic:spPr>
                      </pic:pic>
                    </a:graphicData>
                  </a:graphic>
                </wp:inline>
              </w:drawing>
            </w:r>
          </w:p>
        </w:tc>
        <w:tc>
          <w:tcPr>
            <w:tcW w:w="1375" w:type="dxa"/>
          </w:tcPr>
          <w:p w14:paraId="209F4A84" w14:textId="77777777" w:rsidR="00A10C66" w:rsidRPr="00A47D41" w:rsidRDefault="00A10C66" w:rsidP="00A10C66">
            <w:pPr>
              <w:spacing w:line="480" w:lineRule="auto"/>
              <w:jc w:val="center"/>
              <w:rPr>
                <w:rFonts w:ascii="Times New Roman" w:hAnsi="Times New Roman" w:cs="Times New Roman"/>
              </w:rPr>
            </w:pPr>
            <w:r w:rsidRPr="00A47D41">
              <w:rPr>
                <w:rFonts w:ascii="Times New Roman" w:hAnsi="Times New Roman" w:cs="Times New Roman"/>
                <w:i/>
              </w:rPr>
              <w:t>c</w:t>
            </w:r>
          </w:p>
        </w:tc>
      </w:tr>
    </w:tbl>
    <w:p w14:paraId="352CB324" w14:textId="77777777" w:rsidR="00A10C66" w:rsidRPr="00A47D41" w:rsidRDefault="00A10C66" w:rsidP="00A10C66">
      <w:pPr>
        <w:spacing w:after="0" w:line="480" w:lineRule="auto"/>
        <w:jc w:val="both"/>
        <w:rPr>
          <w:rFonts w:ascii="Times New Roman" w:hAnsi="Times New Roman" w:cs="Times New Roman"/>
          <w:b/>
          <w:sz w:val="24"/>
          <w:szCs w:val="24"/>
        </w:rPr>
      </w:pPr>
    </w:p>
    <w:p w14:paraId="0EE1494B" w14:textId="77777777" w:rsidR="00A10C66" w:rsidRPr="00A47D41" w:rsidRDefault="00A10C66" w:rsidP="00A10C66">
      <w:pPr>
        <w:spacing w:after="0" w:line="480" w:lineRule="auto"/>
        <w:jc w:val="both"/>
        <w:rPr>
          <w:rFonts w:ascii="Times New Roman" w:hAnsi="Times New Roman" w:cs="Times New Roman"/>
          <w:b/>
          <w:sz w:val="24"/>
          <w:szCs w:val="24"/>
        </w:rPr>
      </w:pPr>
    </w:p>
    <w:p w14:paraId="73C57438" w14:textId="77777777" w:rsidR="00A10C66" w:rsidRDefault="00A10C66" w:rsidP="00A10C66">
      <w:pPr>
        <w:spacing w:after="0" w:line="480" w:lineRule="auto"/>
        <w:jc w:val="both"/>
        <w:rPr>
          <w:rFonts w:ascii="Times New Roman" w:hAnsi="Times New Roman" w:cs="Times New Roman"/>
          <w:b/>
          <w:sz w:val="24"/>
          <w:szCs w:val="24"/>
        </w:rPr>
      </w:pPr>
    </w:p>
    <w:p w14:paraId="79088E76" w14:textId="77777777" w:rsidR="00A10C66" w:rsidRDefault="00A10C66" w:rsidP="00A10C66">
      <w:pPr>
        <w:spacing w:after="0" w:line="480" w:lineRule="auto"/>
        <w:jc w:val="both"/>
        <w:rPr>
          <w:rFonts w:ascii="Times New Roman" w:hAnsi="Times New Roman" w:cs="Times New Roman"/>
          <w:b/>
          <w:sz w:val="24"/>
          <w:szCs w:val="24"/>
        </w:rPr>
      </w:pPr>
    </w:p>
    <w:p w14:paraId="584E4A77" w14:textId="77777777" w:rsidR="00A10C66" w:rsidRDefault="00A10C66" w:rsidP="00A10C66">
      <w:pPr>
        <w:spacing w:after="0" w:line="480" w:lineRule="auto"/>
        <w:jc w:val="both"/>
        <w:rPr>
          <w:rFonts w:ascii="Times New Roman" w:hAnsi="Times New Roman" w:cs="Times New Roman"/>
          <w:b/>
          <w:sz w:val="24"/>
          <w:szCs w:val="24"/>
        </w:rPr>
      </w:pPr>
    </w:p>
    <w:p w14:paraId="4E8B8BF9" w14:textId="77777777" w:rsidR="00A10C66" w:rsidRDefault="00A10C66" w:rsidP="00A10C66">
      <w:pPr>
        <w:spacing w:after="0" w:line="480" w:lineRule="auto"/>
        <w:jc w:val="both"/>
        <w:rPr>
          <w:rFonts w:ascii="Times New Roman" w:hAnsi="Times New Roman" w:cs="Times New Roman"/>
          <w:b/>
          <w:sz w:val="24"/>
          <w:szCs w:val="24"/>
        </w:rPr>
      </w:pPr>
    </w:p>
    <w:p w14:paraId="5A85BA01" w14:textId="77777777" w:rsidR="00A10C66" w:rsidRDefault="00A10C66" w:rsidP="00A10C66">
      <w:pPr>
        <w:spacing w:after="0" w:line="480" w:lineRule="auto"/>
        <w:jc w:val="both"/>
        <w:rPr>
          <w:rFonts w:ascii="Times New Roman" w:hAnsi="Times New Roman" w:cs="Times New Roman"/>
          <w:b/>
          <w:sz w:val="24"/>
          <w:szCs w:val="24"/>
        </w:rPr>
      </w:pPr>
    </w:p>
    <w:p w14:paraId="573D9D71" w14:textId="77777777" w:rsidR="00A10C66" w:rsidRDefault="00A10C66" w:rsidP="00A10C66">
      <w:pPr>
        <w:spacing w:after="0" w:line="480" w:lineRule="auto"/>
        <w:jc w:val="both"/>
        <w:rPr>
          <w:rFonts w:ascii="Times New Roman" w:hAnsi="Times New Roman" w:cs="Times New Roman"/>
          <w:b/>
          <w:sz w:val="24"/>
          <w:szCs w:val="24"/>
        </w:rPr>
      </w:pPr>
    </w:p>
    <w:p w14:paraId="71CDD329" w14:textId="77777777" w:rsidR="00A10C66" w:rsidRDefault="00A10C66" w:rsidP="00A10C66">
      <w:pPr>
        <w:spacing w:after="0" w:line="480" w:lineRule="auto"/>
        <w:jc w:val="both"/>
        <w:rPr>
          <w:rFonts w:ascii="Times New Roman" w:hAnsi="Times New Roman" w:cs="Times New Roman"/>
          <w:b/>
          <w:sz w:val="24"/>
          <w:szCs w:val="24"/>
        </w:rPr>
      </w:pPr>
    </w:p>
    <w:p w14:paraId="002AC74E" w14:textId="77777777" w:rsidR="00A10C66" w:rsidRDefault="00A10C66" w:rsidP="00A10C66">
      <w:pPr>
        <w:spacing w:after="0" w:line="480" w:lineRule="auto"/>
        <w:jc w:val="both"/>
        <w:rPr>
          <w:rFonts w:ascii="Times New Roman" w:hAnsi="Times New Roman" w:cs="Times New Roman"/>
          <w:b/>
          <w:sz w:val="24"/>
          <w:szCs w:val="24"/>
        </w:rPr>
      </w:pPr>
    </w:p>
    <w:p w14:paraId="042CB51C" w14:textId="77777777" w:rsidR="00A10C66" w:rsidRDefault="00A10C66" w:rsidP="00A10C66">
      <w:pPr>
        <w:spacing w:after="0" w:line="480" w:lineRule="auto"/>
        <w:jc w:val="both"/>
        <w:rPr>
          <w:rFonts w:ascii="Times New Roman" w:hAnsi="Times New Roman" w:cs="Times New Roman"/>
          <w:b/>
          <w:sz w:val="24"/>
          <w:szCs w:val="24"/>
        </w:rPr>
      </w:pPr>
    </w:p>
    <w:p w14:paraId="422CA85F" w14:textId="77777777" w:rsidR="00A10C66" w:rsidRDefault="00A10C66" w:rsidP="00A10C66">
      <w:pPr>
        <w:spacing w:after="0" w:line="480" w:lineRule="auto"/>
        <w:jc w:val="both"/>
        <w:rPr>
          <w:rFonts w:ascii="Times New Roman" w:hAnsi="Times New Roman" w:cs="Times New Roman"/>
          <w:b/>
          <w:sz w:val="24"/>
          <w:szCs w:val="24"/>
        </w:rPr>
      </w:pPr>
    </w:p>
    <w:p w14:paraId="46442B60" w14:textId="77777777" w:rsidR="00A10C66" w:rsidRPr="00A47D41" w:rsidRDefault="00A10C66" w:rsidP="00A10C66">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lastRenderedPageBreak/>
        <w:t xml:space="preserve">Table 2: Country Selection. </w:t>
      </w:r>
    </w:p>
    <w:p w14:paraId="4040D3EC" w14:textId="77777777" w:rsidR="00A10C66" w:rsidRPr="000A1404" w:rsidRDefault="00A10C66" w:rsidP="00A10C66">
      <w:pPr>
        <w:spacing w:after="0" w:line="480" w:lineRule="auto"/>
        <w:jc w:val="both"/>
        <w:rPr>
          <w:rFonts w:ascii="Times New Roman" w:hAnsi="Times New Roman" w:cs="Times New Roman"/>
          <w:sz w:val="20"/>
          <w:szCs w:val="20"/>
        </w:rPr>
      </w:pPr>
      <w:r w:rsidRPr="000A1404">
        <w:rPr>
          <w:rFonts w:ascii="Times New Roman" w:hAnsi="Times New Roman" w:cs="Times New Roman"/>
          <w:sz w:val="20"/>
          <w:szCs w:val="20"/>
        </w:rPr>
        <w:t>Panel (a): Average Market Value of markets and rankings.</w:t>
      </w:r>
      <w:r w:rsidRPr="000A1404">
        <w:rPr>
          <w:rFonts w:ascii="Times New Roman" w:hAnsi="Times New Roman" w:cs="Times New Roman"/>
          <w:b/>
          <w:sz w:val="20"/>
          <w:szCs w:val="20"/>
        </w:rPr>
        <w:t xml:space="preserve"> </w:t>
      </w:r>
      <w:r w:rsidRPr="000A1404">
        <w:rPr>
          <w:rFonts w:ascii="Times New Roman" w:hAnsi="Times New Roman" w:cs="Times New Roman"/>
          <w:sz w:val="20"/>
          <w:szCs w:val="20"/>
        </w:rPr>
        <w:t xml:space="preserve">This table reports the market capitalisation of the country equity market index of all European countries, which applied the short selling ban during the 2008 crisis period. For each country, the market capitalisation has been collected across two years (the year of 2008 and 2009) and averaged (see column 2). The ranking based on these represents the size of the equity market in a specific country and its relative financial position in the European market.  </w:t>
      </w:r>
    </w:p>
    <w:p w14:paraId="120EDA9B" w14:textId="77777777" w:rsidR="00A10C66" w:rsidRPr="00A47D41" w:rsidRDefault="00A10C66" w:rsidP="00A10C66">
      <w:pPr>
        <w:spacing w:after="0" w:line="480" w:lineRule="auto"/>
        <w:jc w:val="both"/>
        <w:rPr>
          <w:rFonts w:ascii="Times New Roman" w:hAnsi="Times New Roman" w:cs="Times New Roman"/>
          <w:sz w:val="24"/>
          <w:szCs w:val="24"/>
        </w:rPr>
      </w:pPr>
    </w:p>
    <w:tbl>
      <w:tblPr>
        <w:tblW w:w="8017" w:type="dxa"/>
        <w:tblInd w:w="108" w:type="dxa"/>
        <w:tblLook w:val="04A0" w:firstRow="1" w:lastRow="0" w:firstColumn="1" w:lastColumn="0" w:noHBand="0" w:noVBand="1"/>
      </w:tblPr>
      <w:tblGrid>
        <w:gridCol w:w="1356"/>
        <w:gridCol w:w="1930"/>
        <w:gridCol w:w="716"/>
        <w:gridCol w:w="1356"/>
        <w:gridCol w:w="1926"/>
        <w:gridCol w:w="733"/>
      </w:tblGrid>
      <w:tr w:rsidR="00A10C66" w:rsidRPr="00A47D41" w14:paraId="12A5D353" w14:textId="77777777" w:rsidTr="00A10C66">
        <w:trPr>
          <w:trHeight w:val="645"/>
        </w:trPr>
        <w:tc>
          <w:tcPr>
            <w:tcW w:w="1356" w:type="dxa"/>
            <w:tcBorders>
              <w:top w:val="nil"/>
              <w:left w:val="nil"/>
              <w:bottom w:val="single" w:sz="4" w:space="0" w:color="auto"/>
              <w:right w:val="nil"/>
            </w:tcBorders>
            <w:shd w:val="clear" w:color="auto" w:fill="auto"/>
            <w:noWrap/>
            <w:vAlign w:val="center"/>
            <w:hideMark/>
          </w:tcPr>
          <w:p w14:paraId="5EE525ED"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Country</w:t>
            </w:r>
          </w:p>
        </w:tc>
        <w:tc>
          <w:tcPr>
            <w:tcW w:w="1930" w:type="dxa"/>
            <w:tcBorders>
              <w:top w:val="nil"/>
              <w:left w:val="nil"/>
              <w:bottom w:val="single" w:sz="4" w:space="0" w:color="auto"/>
              <w:right w:val="nil"/>
            </w:tcBorders>
            <w:shd w:val="clear" w:color="auto" w:fill="auto"/>
            <w:vAlign w:val="center"/>
            <w:hideMark/>
          </w:tcPr>
          <w:p w14:paraId="17ECE91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Avg.                  (2008-2009)</w:t>
            </w:r>
          </w:p>
        </w:tc>
        <w:tc>
          <w:tcPr>
            <w:tcW w:w="716" w:type="dxa"/>
            <w:tcBorders>
              <w:top w:val="nil"/>
              <w:left w:val="nil"/>
              <w:bottom w:val="single" w:sz="4" w:space="0" w:color="auto"/>
              <w:right w:val="double" w:sz="6" w:space="0" w:color="auto"/>
            </w:tcBorders>
            <w:shd w:val="clear" w:color="auto" w:fill="auto"/>
            <w:noWrap/>
            <w:vAlign w:val="center"/>
            <w:hideMark/>
          </w:tcPr>
          <w:p w14:paraId="76B6D1B9"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Rank</w:t>
            </w:r>
          </w:p>
        </w:tc>
        <w:tc>
          <w:tcPr>
            <w:tcW w:w="1356" w:type="dxa"/>
            <w:tcBorders>
              <w:top w:val="nil"/>
              <w:left w:val="nil"/>
              <w:bottom w:val="single" w:sz="4" w:space="0" w:color="auto"/>
              <w:right w:val="nil"/>
            </w:tcBorders>
            <w:shd w:val="clear" w:color="auto" w:fill="auto"/>
            <w:noWrap/>
            <w:vAlign w:val="center"/>
            <w:hideMark/>
          </w:tcPr>
          <w:p w14:paraId="5E98932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Country</w:t>
            </w:r>
          </w:p>
        </w:tc>
        <w:tc>
          <w:tcPr>
            <w:tcW w:w="1926" w:type="dxa"/>
            <w:tcBorders>
              <w:top w:val="nil"/>
              <w:left w:val="nil"/>
              <w:bottom w:val="single" w:sz="4" w:space="0" w:color="auto"/>
              <w:right w:val="nil"/>
            </w:tcBorders>
            <w:shd w:val="clear" w:color="auto" w:fill="auto"/>
            <w:vAlign w:val="center"/>
            <w:hideMark/>
          </w:tcPr>
          <w:p w14:paraId="1E521D35"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Avg.                 (2008-2009)</w:t>
            </w:r>
          </w:p>
        </w:tc>
        <w:tc>
          <w:tcPr>
            <w:tcW w:w="733" w:type="dxa"/>
            <w:tcBorders>
              <w:top w:val="nil"/>
              <w:left w:val="nil"/>
              <w:bottom w:val="single" w:sz="4" w:space="0" w:color="auto"/>
              <w:right w:val="nil"/>
            </w:tcBorders>
            <w:shd w:val="clear" w:color="auto" w:fill="auto"/>
            <w:noWrap/>
            <w:vAlign w:val="center"/>
            <w:hideMark/>
          </w:tcPr>
          <w:p w14:paraId="4F372C28"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Rank.</w:t>
            </w:r>
          </w:p>
        </w:tc>
      </w:tr>
      <w:tr w:rsidR="00A10C66" w:rsidRPr="00A47D41" w14:paraId="60594CA5" w14:textId="77777777" w:rsidTr="00A10C66">
        <w:trPr>
          <w:trHeight w:val="300"/>
        </w:trPr>
        <w:tc>
          <w:tcPr>
            <w:tcW w:w="1356" w:type="dxa"/>
            <w:tcBorders>
              <w:top w:val="nil"/>
              <w:left w:val="nil"/>
              <w:bottom w:val="nil"/>
              <w:right w:val="nil"/>
            </w:tcBorders>
            <w:shd w:val="clear" w:color="auto" w:fill="auto"/>
            <w:noWrap/>
            <w:vAlign w:val="center"/>
            <w:hideMark/>
          </w:tcPr>
          <w:p w14:paraId="7EA8D3F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UK</w:t>
            </w:r>
          </w:p>
        </w:tc>
        <w:tc>
          <w:tcPr>
            <w:tcW w:w="1930" w:type="dxa"/>
            <w:tcBorders>
              <w:top w:val="nil"/>
              <w:left w:val="nil"/>
              <w:bottom w:val="nil"/>
              <w:right w:val="nil"/>
            </w:tcBorders>
            <w:shd w:val="clear" w:color="auto" w:fill="auto"/>
            <w:noWrap/>
            <w:vAlign w:val="center"/>
            <w:hideMark/>
          </w:tcPr>
          <w:p w14:paraId="2DD9A3F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672,063,162.0</w:t>
            </w:r>
          </w:p>
        </w:tc>
        <w:tc>
          <w:tcPr>
            <w:tcW w:w="716" w:type="dxa"/>
            <w:tcBorders>
              <w:top w:val="nil"/>
              <w:left w:val="nil"/>
              <w:bottom w:val="nil"/>
              <w:right w:val="double" w:sz="6" w:space="0" w:color="auto"/>
            </w:tcBorders>
            <w:shd w:val="clear" w:color="auto" w:fill="auto"/>
            <w:noWrap/>
            <w:vAlign w:val="center"/>
            <w:hideMark/>
          </w:tcPr>
          <w:p w14:paraId="117536B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w:t>
            </w:r>
          </w:p>
        </w:tc>
        <w:tc>
          <w:tcPr>
            <w:tcW w:w="1356" w:type="dxa"/>
            <w:tcBorders>
              <w:top w:val="nil"/>
              <w:left w:val="nil"/>
              <w:bottom w:val="nil"/>
              <w:right w:val="nil"/>
            </w:tcBorders>
            <w:shd w:val="clear" w:color="auto" w:fill="auto"/>
            <w:noWrap/>
            <w:vAlign w:val="center"/>
            <w:hideMark/>
          </w:tcPr>
          <w:p w14:paraId="58C001F6"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Norway</w:t>
            </w:r>
          </w:p>
        </w:tc>
        <w:tc>
          <w:tcPr>
            <w:tcW w:w="1926" w:type="dxa"/>
            <w:tcBorders>
              <w:top w:val="nil"/>
              <w:left w:val="nil"/>
              <w:bottom w:val="nil"/>
              <w:right w:val="nil"/>
            </w:tcBorders>
            <w:shd w:val="clear" w:color="auto" w:fill="auto"/>
            <w:noWrap/>
            <w:vAlign w:val="center"/>
            <w:hideMark/>
          </w:tcPr>
          <w:p w14:paraId="5918162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56,422,533.5</w:t>
            </w:r>
          </w:p>
        </w:tc>
        <w:tc>
          <w:tcPr>
            <w:tcW w:w="733" w:type="dxa"/>
            <w:tcBorders>
              <w:top w:val="nil"/>
              <w:left w:val="nil"/>
              <w:bottom w:val="nil"/>
              <w:right w:val="nil"/>
            </w:tcBorders>
            <w:shd w:val="clear" w:color="auto" w:fill="auto"/>
            <w:noWrap/>
            <w:vAlign w:val="center"/>
            <w:hideMark/>
          </w:tcPr>
          <w:p w14:paraId="0C16C39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9</w:t>
            </w:r>
          </w:p>
        </w:tc>
      </w:tr>
      <w:tr w:rsidR="00A10C66" w:rsidRPr="00A47D41" w14:paraId="72396EEA" w14:textId="77777777" w:rsidTr="00A10C66">
        <w:trPr>
          <w:trHeight w:val="300"/>
        </w:trPr>
        <w:tc>
          <w:tcPr>
            <w:tcW w:w="1356" w:type="dxa"/>
            <w:tcBorders>
              <w:top w:val="nil"/>
              <w:left w:val="nil"/>
              <w:bottom w:val="nil"/>
              <w:right w:val="nil"/>
            </w:tcBorders>
            <w:shd w:val="clear" w:color="auto" w:fill="auto"/>
            <w:noWrap/>
            <w:vAlign w:val="center"/>
            <w:hideMark/>
          </w:tcPr>
          <w:p w14:paraId="5CDE2DE8"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France</w:t>
            </w:r>
          </w:p>
        </w:tc>
        <w:tc>
          <w:tcPr>
            <w:tcW w:w="1930" w:type="dxa"/>
            <w:tcBorders>
              <w:top w:val="nil"/>
              <w:left w:val="nil"/>
              <w:bottom w:val="nil"/>
              <w:right w:val="nil"/>
            </w:tcBorders>
            <w:shd w:val="clear" w:color="auto" w:fill="auto"/>
            <w:noWrap/>
            <w:vAlign w:val="center"/>
            <w:hideMark/>
          </w:tcPr>
          <w:p w14:paraId="5294008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459,635,772.5</w:t>
            </w:r>
          </w:p>
        </w:tc>
        <w:tc>
          <w:tcPr>
            <w:tcW w:w="716" w:type="dxa"/>
            <w:tcBorders>
              <w:top w:val="nil"/>
              <w:left w:val="nil"/>
              <w:bottom w:val="nil"/>
              <w:right w:val="double" w:sz="6" w:space="0" w:color="auto"/>
            </w:tcBorders>
            <w:shd w:val="clear" w:color="auto" w:fill="auto"/>
            <w:noWrap/>
            <w:vAlign w:val="center"/>
            <w:hideMark/>
          </w:tcPr>
          <w:p w14:paraId="12E661A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w:t>
            </w:r>
          </w:p>
        </w:tc>
        <w:tc>
          <w:tcPr>
            <w:tcW w:w="1356" w:type="dxa"/>
            <w:tcBorders>
              <w:top w:val="nil"/>
              <w:left w:val="nil"/>
              <w:bottom w:val="nil"/>
              <w:right w:val="nil"/>
            </w:tcBorders>
            <w:shd w:val="clear" w:color="auto" w:fill="auto"/>
            <w:noWrap/>
            <w:vAlign w:val="center"/>
            <w:hideMark/>
          </w:tcPr>
          <w:p w14:paraId="2B3C957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Denmark</w:t>
            </w:r>
          </w:p>
        </w:tc>
        <w:tc>
          <w:tcPr>
            <w:tcW w:w="1926" w:type="dxa"/>
            <w:tcBorders>
              <w:top w:val="nil"/>
              <w:left w:val="nil"/>
              <w:bottom w:val="nil"/>
              <w:right w:val="nil"/>
            </w:tcBorders>
            <w:shd w:val="clear" w:color="auto" w:fill="auto"/>
            <w:noWrap/>
            <w:vAlign w:val="center"/>
            <w:hideMark/>
          </w:tcPr>
          <w:p w14:paraId="4E3DC0C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45,287,957.0</w:t>
            </w:r>
          </w:p>
        </w:tc>
        <w:tc>
          <w:tcPr>
            <w:tcW w:w="733" w:type="dxa"/>
            <w:tcBorders>
              <w:top w:val="nil"/>
              <w:left w:val="nil"/>
              <w:bottom w:val="nil"/>
              <w:right w:val="nil"/>
            </w:tcBorders>
            <w:shd w:val="clear" w:color="auto" w:fill="auto"/>
            <w:noWrap/>
            <w:vAlign w:val="center"/>
            <w:hideMark/>
          </w:tcPr>
          <w:p w14:paraId="3218888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10</w:t>
            </w:r>
          </w:p>
        </w:tc>
      </w:tr>
      <w:tr w:rsidR="00A10C66" w:rsidRPr="00A47D41" w14:paraId="430DAAE9" w14:textId="77777777" w:rsidTr="00A10C66">
        <w:trPr>
          <w:trHeight w:val="300"/>
        </w:trPr>
        <w:tc>
          <w:tcPr>
            <w:tcW w:w="1356" w:type="dxa"/>
            <w:tcBorders>
              <w:top w:val="nil"/>
              <w:left w:val="nil"/>
              <w:bottom w:val="nil"/>
              <w:right w:val="nil"/>
            </w:tcBorders>
            <w:shd w:val="clear" w:color="auto" w:fill="auto"/>
            <w:noWrap/>
            <w:vAlign w:val="center"/>
            <w:hideMark/>
          </w:tcPr>
          <w:p w14:paraId="2060EDBD"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Germany</w:t>
            </w:r>
          </w:p>
        </w:tc>
        <w:tc>
          <w:tcPr>
            <w:tcW w:w="1930" w:type="dxa"/>
            <w:tcBorders>
              <w:top w:val="nil"/>
              <w:left w:val="nil"/>
              <w:bottom w:val="nil"/>
              <w:right w:val="nil"/>
            </w:tcBorders>
            <w:shd w:val="clear" w:color="auto" w:fill="auto"/>
            <w:noWrap/>
            <w:vAlign w:val="center"/>
            <w:hideMark/>
          </w:tcPr>
          <w:p w14:paraId="418D205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348,779,933.0</w:t>
            </w:r>
          </w:p>
        </w:tc>
        <w:tc>
          <w:tcPr>
            <w:tcW w:w="716" w:type="dxa"/>
            <w:tcBorders>
              <w:top w:val="nil"/>
              <w:left w:val="nil"/>
              <w:bottom w:val="nil"/>
              <w:right w:val="double" w:sz="6" w:space="0" w:color="auto"/>
            </w:tcBorders>
            <w:shd w:val="clear" w:color="auto" w:fill="auto"/>
            <w:noWrap/>
            <w:vAlign w:val="center"/>
            <w:hideMark/>
          </w:tcPr>
          <w:p w14:paraId="5E1E515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w:t>
            </w:r>
          </w:p>
        </w:tc>
        <w:tc>
          <w:tcPr>
            <w:tcW w:w="1356" w:type="dxa"/>
            <w:tcBorders>
              <w:top w:val="nil"/>
              <w:left w:val="nil"/>
              <w:bottom w:val="nil"/>
              <w:right w:val="nil"/>
            </w:tcBorders>
            <w:shd w:val="clear" w:color="auto" w:fill="auto"/>
            <w:noWrap/>
            <w:vAlign w:val="center"/>
            <w:hideMark/>
          </w:tcPr>
          <w:p w14:paraId="4C22749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Austria</w:t>
            </w:r>
          </w:p>
        </w:tc>
        <w:tc>
          <w:tcPr>
            <w:tcW w:w="1926" w:type="dxa"/>
            <w:tcBorders>
              <w:top w:val="nil"/>
              <w:left w:val="nil"/>
              <w:bottom w:val="nil"/>
              <w:right w:val="nil"/>
            </w:tcBorders>
            <w:shd w:val="clear" w:color="auto" w:fill="auto"/>
            <w:noWrap/>
            <w:vAlign w:val="center"/>
            <w:hideMark/>
          </w:tcPr>
          <w:p w14:paraId="60E0328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33,724,273.5</w:t>
            </w:r>
          </w:p>
        </w:tc>
        <w:tc>
          <w:tcPr>
            <w:tcW w:w="733" w:type="dxa"/>
            <w:tcBorders>
              <w:top w:val="nil"/>
              <w:left w:val="nil"/>
              <w:bottom w:val="nil"/>
              <w:right w:val="nil"/>
            </w:tcBorders>
            <w:shd w:val="clear" w:color="auto" w:fill="auto"/>
            <w:noWrap/>
            <w:vAlign w:val="center"/>
            <w:hideMark/>
          </w:tcPr>
          <w:p w14:paraId="13FF452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w:t>
            </w:r>
          </w:p>
        </w:tc>
      </w:tr>
      <w:tr w:rsidR="00A10C66" w:rsidRPr="00A47D41" w14:paraId="17AD6794" w14:textId="77777777" w:rsidTr="00A10C66">
        <w:trPr>
          <w:trHeight w:val="300"/>
        </w:trPr>
        <w:tc>
          <w:tcPr>
            <w:tcW w:w="1356" w:type="dxa"/>
            <w:tcBorders>
              <w:top w:val="nil"/>
              <w:left w:val="nil"/>
              <w:bottom w:val="nil"/>
              <w:right w:val="nil"/>
            </w:tcBorders>
            <w:shd w:val="clear" w:color="auto" w:fill="auto"/>
            <w:noWrap/>
            <w:vAlign w:val="center"/>
            <w:hideMark/>
          </w:tcPr>
          <w:p w14:paraId="7E62852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Switzerland</w:t>
            </w:r>
          </w:p>
        </w:tc>
        <w:tc>
          <w:tcPr>
            <w:tcW w:w="1930" w:type="dxa"/>
            <w:tcBorders>
              <w:top w:val="nil"/>
              <w:left w:val="nil"/>
              <w:bottom w:val="nil"/>
              <w:right w:val="nil"/>
            </w:tcBorders>
            <w:shd w:val="clear" w:color="auto" w:fill="auto"/>
            <w:noWrap/>
            <w:vAlign w:val="center"/>
            <w:hideMark/>
          </w:tcPr>
          <w:p w14:paraId="249A570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256,192,126.0</w:t>
            </w:r>
          </w:p>
        </w:tc>
        <w:tc>
          <w:tcPr>
            <w:tcW w:w="716" w:type="dxa"/>
            <w:tcBorders>
              <w:top w:val="nil"/>
              <w:left w:val="nil"/>
              <w:bottom w:val="nil"/>
              <w:right w:val="double" w:sz="6" w:space="0" w:color="auto"/>
            </w:tcBorders>
            <w:shd w:val="clear" w:color="auto" w:fill="auto"/>
            <w:noWrap/>
            <w:vAlign w:val="center"/>
            <w:hideMark/>
          </w:tcPr>
          <w:p w14:paraId="500A3E3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w:t>
            </w:r>
          </w:p>
        </w:tc>
        <w:tc>
          <w:tcPr>
            <w:tcW w:w="1356" w:type="dxa"/>
            <w:tcBorders>
              <w:top w:val="nil"/>
              <w:left w:val="nil"/>
              <w:bottom w:val="nil"/>
              <w:right w:val="nil"/>
            </w:tcBorders>
            <w:shd w:val="clear" w:color="auto" w:fill="auto"/>
            <w:noWrap/>
            <w:vAlign w:val="center"/>
            <w:hideMark/>
          </w:tcPr>
          <w:p w14:paraId="3401186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Greece</w:t>
            </w:r>
          </w:p>
        </w:tc>
        <w:tc>
          <w:tcPr>
            <w:tcW w:w="1926" w:type="dxa"/>
            <w:tcBorders>
              <w:top w:val="nil"/>
              <w:left w:val="nil"/>
              <w:bottom w:val="nil"/>
              <w:right w:val="nil"/>
            </w:tcBorders>
            <w:shd w:val="clear" w:color="auto" w:fill="auto"/>
            <w:noWrap/>
            <w:vAlign w:val="center"/>
            <w:hideMark/>
          </w:tcPr>
          <w:p w14:paraId="2910D94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33,219,194.5</w:t>
            </w:r>
          </w:p>
        </w:tc>
        <w:tc>
          <w:tcPr>
            <w:tcW w:w="733" w:type="dxa"/>
            <w:tcBorders>
              <w:top w:val="nil"/>
              <w:left w:val="nil"/>
              <w:bottom w:val="nil"/>
              <w:right w:val="nil"/>
            </w:tcBorders>
            <w:shd w:val="clear" w:color="auto" w:fill="auto"/>
            <w:noWrap/>
            <w:vAlign w:val="center"/>
            <w:hideMark/>
          </w:tcPr>
          <w:p w14:paraId="066CD17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12</w:t>
            </w:r>
          </w:p>
        </w:tc>
      </w:tr>
      <w:tr w:rsidR="00A10C66" w:rsidRPr="00A47D41" w14:paraId="5B34DB45" w14:textId="77777777" w:rsidTr="00A10C66">
        <w:trPr>
          <w:trHeight w:val="300"/>
        </w:trPr>
        <w:tc>
          <w:tcPr>
            <w:tcW w:w="1356" w:type="dxa"/>
            <w:tcBorders>
              <w:top w:val="nil"/>
              <w:left w:val="nil"/>
              <w:bottom w:val="nil"/>
              <w:right w:val="nil"/>
            </w:tcBorders>
            <w:shd w:val="clear" w:color="auto" w:fill="auto"/>
            <w:noWrap/>
            <w:vAlign w:val="center"/>
            <w:hideMark/>
          </w:tcPr>
          <w:p w14:paraId="726B50F6"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Italy</w:t>
            </w:r>
          </w:p>
        </w:tc>
        <w:tc>
          <w:tcPr>
            <w:tcW w:w="1930" w:type="dxa"/>
            <w:tcBorders>
              <w:top w:val="nil"/>
              <w:left w:val="nil"/>
              <w:bottom w:val="nil"/>
              <w:right w:val="nil"/>
            </w:tcBorders>
            <w:shd w:val="clear" w:color="auto" w:fill="auto"/>
            <w:noWrap/>
            <w:vAlign w:val="center"/>
            <w:hideMark/>
          </w:tcPr>
          <w:p w14:paraId="1A0DD00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181,426,731.5</w:t>
            </w:r>
          </w:p>
        </w:tc>
        <w:tc>
          <w:tcPr>
            <w:tcW w:w="716" w:type="dxa"/>
            <w:tcBorders>
              <w:top w:val="nil"/>
              <w:left w:val="nil"/>
              <w:bottom w:val="nil"/>
              <w:right w:val="double" w:sz="6" w:space="0" w:color="auto"/>
            </w:tcBorders>
            <w:shd w:val="clear" w:color="auto" w:fill="auto"/>
            <w:noWrap/>
            <w:vAlign w:val="center"/>
            <w:hideMark/>
          </w:tcPr>
          <w:p w14:paraId="1EF33EB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w:t>
            </w:r>
          </w:p>
        </w:tc>
        <w:tc>
          <w:tcPr>
            <w:tcW w:w="1356" w:type="dxa"/>
            <w:tcBorders>
              <w:top w:val="nil"/>
              <w:left w:val="nil"/>
              <w:bottom w:val="nil"/>
              <w:right w:val="nil"/>
            </w:tcBorders>
            <w:shd w:val="clear" w:color="auto" w:fill="auto"/>
            <w:noWrap/>
            <w:vAlign w:val="center"/>
            <w:hideMark/>
          </w:tcPr>
          <w:p w14:paraId="74BAC57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Portugal</w:t>
            </w:r>
          </w:p>
        </w:tc>
        <w:tc>
          <w:tcPr>
            <w:tcW w:w="1926" w:type="dxa"/>
            <w:tcBorders>
              <w:top w:val="nil"/>
              <w:left w:val="nil"/>
              <w:bottom w:val="nil"/>
              <w:right w:val="nil"/>
            </w:tcBorders>
            <w:shd w:val="clear" w:color="auto" w:fill="auto"/>
            <w:noWrap/>
            <w:vAlign w:val="center"/>
            <w:hideMark/>
          </w:tcPr>
          <w:p w14:paraId="3C35E97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23,256,557.0</w:t>
            </w:r>
          </w:p>
        </w:tc>
        <w:tc>
          <w:tcPr>
            <w:tcW w:w="733" w:type="dxa"/>
            <w:tcBorders>
              <w:top w:val="nil"/>
              <w:left w:val="nil"/>
              <w:bottom w:val="nil"/>
              <w:right w:val="nil"/>
            </w:tcBorders>
            <w:shd w:val="clear" w:color="auto" w:fill="auto"/>
            <w:noWrap/>
            <w:vAlign w:val="center"/>
            <w:hideMark/>
          </w:tcPr>
          <w:p w14:paraId="7B49D9C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w:t>
            </w:r>
          </w:p>
        </w:tc>
      </w:tr>
      <w:tr w:rsidR="00A10C66" w:rsidRPr="00A47D41" w14:paraId="4037AE33" w14:textId="77777777" w:rsidTr="00A10C66">
        <w:trPr>
          <w:trHeight w:val="300"/>
        </w:trPr>
        <w:tc>
          <w:tcPr>
            <w:tcW w:w="1356" w:type="dxa"/>
            <w:tcBorders>
              <w:top w:val="nil"/>
              <w:left w:val="nil"/>
              <w:bottom w:val="nil"/>
              <w:right w:val="nil"/>
            </w:tcBorders>
            <w:shd w:val="clear" w:color="auto" w:fill="auto"/>
            <w:noWrap/>
            <w:vAlign w:val="center"/>
            <w:hideMark/>
          </w:tcPr>
          <w:p w14:paraId="15CCCB99"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Spain</w:t>
            </w:r>
          </w:p>
        </w:tc>
        <w:tc>
          <w:tcPr>
            <w:tcW w:w="1930" w:type="dxa"/>
            <w:tcBorders>
              <w:top w:val="nil"/>
              <w:left w:val="nil"/>
              <w:bottom w:val="nil"/>
              <w:right w:val="nil"/>
            </w:tcBorders>
            <w:shd w:val="clear" w:color="auto" w:fill="auto"/>
            <w:noWrap/>
            <w:vAlign w:val="center"/>
            <w:hideMark/>
          </w:tcPr>
          <w:p w14:paraId="6CAB64C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168,189,878.5</w:t>
            </w:r>
          </w:p>
        </w:tc>
        <w:tc>
          <w:tcPr>
            <w:tcW w:w="716" w:type="dxa"/>
            <w:tcBorders>
              <w:top w:val="nil"/>
              <w:left w:val="nil"/>
              <w:bottom w:val="nil"/>
              <w:right w:val="double" w:sz="6" w:space="0" w:color="auto"/>
            </w:tcBorders>
            <w:shd w:val="clear" w:color="auto" w:fill="auto"/>
            <w:noWrap/>
            <w:vAlign w:val="center"/>
            <w:hideMark/>
          </w:tcPr>
          <w:p w14:paraId="064608F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w:t>
            </w:r>
          </w:p>
        </w:tc>
        <w:tc>
          <w:tcPr>
            <w:tcW w:w="1356" w:type="dxa"/>
            <w:tcBorders>
              <w:top w:val="nil"/>
              <w:left w:val="nil"/>
              <w:bottom w:val="nil"/>
              <w:right w:val="nil"/>
            </w:tcBorders>
            <w:shd w:val="clear" w:color="auto" w:fill="auto"/>
            <w:noWrap/>
            <w:vAlign w:val="center"/>
            <w:hideMark/>
          </w:tcPr>
          <w:p w14:paraId="47D31AD6"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Ireland</w:t>
            </w:r>
          </w:p>
        </w:tc>
        <w:tc>
          <w:tcPr>
            <w:tcW w:w="1926" w:type="dxa"/>
            <w:tcBorders>
              <w:top w:val="nil"/>
              <w:left w:val="nil"/>
              <w:bottom w:val="nil"/>
              <w:right w:val="nil"/>
            </w:tcBorders>
            <w:shd w:val="clear" w:color="auto" w:fill="auto"/>
            <w:noWrap/>
            <w:vAlign w:val="center"/>
            <w:hideMark/>
          </w:tcPr>
          <w:p w14:paraId="08B9708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20,176,104.0</w:t>
            </w:r>
          </w:p>
        </w:tc>
        <w:tc>
          <w:tcPr>
            <w:tcW w:w="733" w:type="dxa"/>
            <w:tcBorders>
              <w:top w:val="nil"/>
              <w:left w:val="nil"/>
              <w:bottom w:val="nil"/>
              <w:right w:val="nil"/>
            </w:tcBorders>
            <w:shd w:val="clear" w:color="auto" w:fill="auto"/>
            <w:noWrap/>
            <w:vAlign w:val="center"/>
            <w:hideMark/>
          </w:tcPr>
          <w:p w14:paraId="4D1F2E1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w:t>
            </w:r>
          </w:p>
        </w:tc>
      </w:tr>
      <w:tr w:rsidR="00A10C66" w:rsidRPr="00A47D41" w14:paraId="529192B5" w14:textId="77777777" w:rsidTr="00A10C66">
        <w:trPr>
          <w:trHeight w:val="300"/>
        </w:trPr>
        <w:tc>
          <w:tcPr>
            <w:tcW w:w="1356" w:type="dxa"/>
            <w:tcBorders>
              <w:top w:val="nil"/>
              <w:left w:val="nil"/>
              <w:bottom w:val="nil"/>
              <w:right w:val="nil"/>
            </w:tcBorders>
            <w:shd w:val="clear" w:color="auto" w:fill="auto"/>
            <w:noWrap/>
            <w:vAlign w:val="center"/>
            <w:hideMark/>
          </w:tcPr>
          <w:p w14:paraId="3322BAD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Netherland</w:t>
            </w:r>
          </w:p>
        </w:tc>
        <w:tc>
          <w:tcPr>
            <w:tcW w:w="1930" w:type="dxa"/>
            <w:tcBorders>
              <w:top w:val="nil"/>
              <w:left w:val="nil"/>
              <w:bottom w:val="nil"/>
              <w:right w:val="nil"/>
            </w:tcBorders>
            <w:shd w:val="clear" w:color="auto" w:fill="auto"/>
            <w:noWrap/>
            <w:vAlign w:val="center"/>
            <w:hideMark/>
          </w:tcPr>
          <w:p w14:paraId="566580B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121,605,026.0</w:t>
            </w:r>
          </w:p>
        </w:tc>
        <w:tc>
          <w:tcPr>
            <w:tcW w:w="716" w:type="dxa"/>
            <w:tcBorders>
              <w:top w:val="nil"/>
              <w:left w:val="nil"/>
              <w:bottom w:val="nil"/>
              <w:right w:val="double" w:sz="6" w:space="0" w:color="auto"/>
            </w:tcBorders>
            <w:shd w:val="clear" w:color="auto" w:fill="auto"/>
            <w:noWrap/>
            <w:vAlign w:val="center"/>
            <w:hideMark/>
          </w:tcPr>
          <w:p w14:paraId="0F07234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w:t>
            </w:r>
          </w:p>
        </w:tc>
        <w:tc>
          <w:tcPr>
            <w:tcW w:w="1356" w:type="dxa"/>
            <w:tcBorders>
              <w:top w:val="nil"/>
              <w:left w:val="nil"/>
              <w:bottom w:val="nil"/>
              <w:right w:val="nil"/>
            </w:tcBorders>
            <w:shd w:val="clear" w:color="auto" w:fill="auto"/>
            <w:noWrap/>
            <w:vAlign w:val="center"/>
            <w:hideMark/>
          </w:tcPr>
          <w:p w14:paraId="1FE122E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Luxemburg</w:t>
            </w:r>
          </w:p>
        </w:tc>
        <w:tc>
          <w:tcPr>
            <w:tcW w:w="1926" w:type="dxa"/>
            <w:tcBorders>
              <w:top w:val="nil"/>
              <w:left w:val="nil"/>
              <w:bottom w:val="nil"/>
              <w:right w:val="nil"/>
            </w:tcBorders>
            <w:shd w:val="clear" w:color="auto" w:fill="auto"/>
            <w:noWrap/>
            <w:vAlign w:val="center"/>
            <w:hideMark/>
          </w:tcPr>
          <w:p w14:paraId="1B03BB2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6,997,378.0</w:t>
            </w:r>
          </w:p>
        </w:tc>
        <w:tc>
          <w:tcPr>
            <w:tcW w:w="733" w:type="dxa"/>
            <w:tcBorders>
              <w:top w:val="nil"/>
              <w:left w:val="nil"/>
              <w:bottom w:val="nil"/>
              <w:right w:val="nil"/>
            </w:tcBorders>
            <w:shd w:val="clear" w:color="auto" w:fill="auto"/>
            <w:noWrap/>
            <w:vAlign w:val="center"/>
            <w:hideMark/>
          </w:tcPr>
          <w:p w14:paraId="793071F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15</w:t>
            </w:r>
          </w:p>
        </w:tc>
      </w:tr>
      <w:tr w:rsidR="00A10C66" w:rsidRPr="00A47D41" w14:paraId="73B300FA" w14:textId="77777777" w:rsidTr="00A10C66">
        <w:trPr>
          <w:trHeight w:val="300"/>
        </w:trPr>
        <w:tc>
          <w:tcPr>
            <w:tcW w:w="1356" w:type="dxa"/>
            <w:tcBorders>
              <w:top w:val="nil"/>
              <w:left w:val="nil"/>
              <w:bottom w:val="nil"/>
              <w:right w:val="nil"/>
            </w:tcBorders>
            <w:shd w:val="clear" w:color="auto" w:fill="auto"/>
            <w:noWrap/>
            <w:vAlign w:val="center"/>
            <w:hideMark/>
          </w:tcPr>
          <w:p w14:paraId="35B6129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Belgium</w:t>
            </w:r>
          </w:p>
        </w:tc>
        <w:tc>
          <w:tcPr>
            <w:tcW w:w="1930" w:type="dxa"/>
            <w:tcBorders>
              <w:top w:val="nil"/>
              <w:left w:val="nil"/>
              <w:bottom w:val="nil"/>
              <w:right w:val="nil"/>
            </w:tcBorders>
            <w:shd w:val="clear" w:color="auto" w:fill="auto"/>
            <w:noWrap/>
            <w:vAlign w:val="center"/>
            <w:hideMark/>
          </w:tcPr>
          <w:p w14:paraId="24F3960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62,146,307.0</w:t>
            </w:r>
          </w:p>
        </w:tc>
        <w:tc>
          <w:tcPr>
            <w:tcW w:w="716" w:type="dxa"/>
            <w:tcBorders>
              <w:top w:val="nil"/>
              <w:left w:val="nil"/>
              <w:bottom w:val="nil"/>
              <w:right w:val="double" w:sz="6" w:space="0" w:color="auto"/>
            </w:tcBorders>
            <w:shd w:val="clear" w:color="auto" w:fill="auto"/>
            <w:noWrap/>
            <w:vAlign w:val="center"/>
            <w:hideMark/>
          </w:tcPr>
          <w:p w14:paraId="2FCF515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8</w:t>
            </w:r>
          </w:p>
        </w:tc>
        <w:tc>
          <w:tcPr>
            <w:tcW w:w="1356" w:type="dxa"/>
            <w:tcBorders>
              <w:top w:val="nil"/>
              <w:left w:val="nil"/>
              <w:bottom w:val="nil"/>
              <w:right w:val="nil"/>
            </w:tcBorders>
            <w:shd w:val="clear" w:color="auto" w:fill="auto"/>
            <w:noWrap/>
            <w:vAlign w:val="center"/>
            <w:hideMark/>
          </w:tcPr>
          <w:p w14:paraId="3F70B61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Iceland</w:t>
            </w:r>
          </w:p>
        </w:tc>
        <w:tc>
          <w:tcPr>
            <w:tcW w:w="1926" w:type="dxa"/>
            <w:tcBorders>
              <w:top w:val="nil"/>
              <w:left w:val="nil"/>
              <w:bottom w:val="nil"/>
              <w:right w:val="nil"/>
            </w:tcBorders>
            <w:shd w:val="clear" w:color="auto" w:fill="auto"/>
            <w:noWrap/>
            <w:vAlign w:val="center"/>
            <w:hideMark/>
          </w:tcPr>
          <w:p w14:paraId="6207A79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2,788,826.5</w:t>
            </w:r>
          </w:p>
        </w:tc>
        <w:tc>
          <w:tcPr>
            <w:tcW w:w="733" w:type="dxa"/>
            <w:tcBorders>
              <w:top w:val="nil"/>
              <w:left w:val="nil"/>
              <w:bottom w:val="nil"/>
              <w:right w:val="nil"/>
            </w:tcBorders>
            <w:shd w:val="clear" w:color="auto" w:fill="auto"/>
            <w:noWrap/>
            <w:vAlign w:val="center"/>
            <w:hideMark/>
          </w:tcPr>
          <w:p w14:paraId="5AB52E0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16</w:t>
            </w:r>
          </w:p>
        </w:tc>
      </w:tr>
    </w:tbl>
    <w:p w14:paraId="3539797F" w14:textId="77777777" w:rsidR="00A10C66" w:rsidRPr="00A47D41" w:rsidRDefault="00A10C66" w:rsidP="00A10C66">
      <w:pPr>
        <w:spacing w:line="480" w:lineRule="auto"/>
        <w:rPr>
          <w:rFonts w:ascii="Times New Roman" w:hAnsi="Times New Roman" w:cs="Times New Roman"/>
          <w:sz w:val="24"/>
          <w:szCs w:val="24"/>
        </w:rPr>
      </w:pPr>
    </w:p>
    <w:p w14:paraId="7001F01C" w14:textId="77777777" w:rsidR="00A10C66" w:rsidRDefault="00A10C66" w:rsidP="00A10C66">
      <w:pPr>
        <w:spacing w:after="0" w:line="480" w:lineRule="auto"/>
        <w:jc w:val="both"/>
        <w:rPr>
          <w:rFonts w:ascii="Times New Roman" w:hAnsi="Times New Roman" w:cs="Times New Roman"/>
          <w:b/>
          <w:sz w:val="20"/>
          <w:szCs w:val="20"/>
        </w:rPr>
      </w:pPr>
    </w:p>
    <w:p w14:paraId="15654694" w14:textId="60E7579C" w:rsidR="00A10C66" w:rsidRDefault="00A10C66">
      <w:pPr>
        <w:rPr>
          <w:rFonts w:ascii="Times New Roman" w:hAnsi="Times New Roman" w:cs="Times New Roman"/>
          <w:b/>
          <w:sz w:val="24"/>
          <w:szCs w:val="24"/>
        </w:rPr>
      </w:pPr>
      <w:r>
        <w:rPr>
          <w:rFonts w:ascii="Times New Roman" w:hAnsi="Times New Roman" w:cs="Times New Roman"/>
          <w:b/>
          <w:sz w:val="24"/>
          <w:szCs w:val="24"/>
        </w:rPr>
        <w:br w:type="page"/>
      </w:r>
    </w:p>
    <w:p w14:paraId="2618EACB" w14:textId="77777777" w:rsidR="00A10C66" w:rsidRDefault="00A10C66" w:rsidP="00A10C66">
      <w:pPr>
        <w:spacing w:after="0" w:line="480" w:lineRule="auto"/>
        <w:jc w:val="both"/>
        <w:rPr>
          <w:rFonts w:ascii="Times New Roman" w:hAnsi="Times New Roman" w:cs="Times New Roman"/>
          <w:b/>
          <w:sz w:val="24"/>
          <w:szCs w:val="24"/>
        </w:rPr>
      </w:pPr>
    </w:p>
    <w:p w14:paraId="69515E86" w14:textId="77777777" w:rsidR="00A10C66" w:rsidRPr="00A47D41" w:rsidRDefault="00A10C66" w:rsidP="00A10C66">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t xml:space="preserve">Table 3: Country and Country Indices Descriptive Statistics. </w:t>
      </w:r>
    </w:p>
    <w:p w14:paraId="71A434CF" w14:textId="77777777" w:rsidR="00A10C66" w:rsidRPr="000A1404" w:rsidRDefault="00A10C66" w:rsidP="00A10C66">
      <w:pPr>
        <w:spacing w:after="0" w:line="480" w:lineRule="auto"/>
        <w:jc w:val="both"/>
        <w:rPr>
          <w:rFonts w:ascii="Times New Roman" w:hAnsi="Times New Roman" w:cs="Times New Roman"/>
          <w:sz w:val="20"/>
          <w:szCs w:val="20"/>
        </w:rPr>
      </w:pPr>
      <w:r w:rsidRPr="000A1404">
        <w:rPr>
          <w:rFonts w:ascii="Times New Roman" w:hAnsi="Times New Roman" w:cs="Times New Roman"/>
          <w:sz w:val="20"/>
          <w:szCs w:val="20"/>
        </w:rPr>
        <w:t>Panel (a): Country Descriptive Statistics. This table provides descriptive statistics of each country component we have used to build the risk group indices.   We can clearly see the high-risk portfolio component countries have higher standard deviations but relatively lower average return in comparison to the low risk portfolio component countries.  High risk group countries tend to have positive skewness apart from Greece while low risk group countries exhibit negative skewness.</w:t>
      </w:r>
    </w:p>
    <w:p w14:paraId="438AEC40" w14:textId="77777777" w:rsidR="00A10C66" w:rsidRPr="00A47D41" w:rsidRDefault="00A10C66" w:rsidP="00A10C66">
      <w:pPr>
        <w:spacing w:after="0" w:line="480" w:lineRule="auto"/>
        <w:jc w:val="both"/>
        <w:rPr>
          <w:rFonts w:ascii="Times New Roman" w:hAnsi="Times New Roman" w:cs="Times New Roman"/>
          <w:sz w:val="24"/>
          <w:szCs w:val="24"/>
        </w:rPr>
      </w:pPr>
    </w:p>
    <w:tbl>
      <w:tblPr>
        <w:tblW w:w="10500" w:type="dxa"/>
        <w:tblInd w:w="93" w:type="dxa"/>
        <w:tblLook w:val="04A0" w:firstRow="1" w:lastRow="0" w:firstColumn="1" w:lastColumn="0" w:noHBand="0" w:noVBand="1"/>
      </w:tblPr>
      <w:tblGrid>
        <w:gridCol w:w="1086"/>
        <w:gridCol w:w="1372"/>
        <w:gridCol w:w="1394"/>
        <w:gridCol w:w="1350"/>
        <w:gridCol w:w="1283"/>
        <w:gridCol w:w="1306"/>
        <w:gridCol w:w="1372"/>
        <w:gridCol w:w="1294"/>
        <w:gridCol w:w="1383"/>
      </w:tblGrid>
      <w:tr w:rsidR="00A10C66" w:rsidRPr="00A47D41" w14:paraId="0474480B"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4396214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Country</w:t>
            </w:r>
          </w:p>
        </w:tc>
        <w:tc>
          <w:tcPr>
            <w:tcW w:w="1201" w:type="dxa"/>
            <w:tcBorders>
              <w:top w:val="nil"/>
              <w:left w:val="nil"/>
              <w:bottom w:val="nil"/>
              <w:right w:val="nil"/>
            </w:tcBorders>
            <w:shd w:val="clear" w:color="auto" w:fill="auto"/>
            <w:noWrap/>
            <w:vAlign w:val="center"/>
            <w:hideMark/>
          </w:tcPr>
          <w:p w14:paraId="71867175"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UK</w:t>
            </w:r>
          </w:p>
        </w:tc>
        <w:tc>
          <w:tcPr>
            <w:tcW w:w="1220" w:type="dxa"/>
            <w:tcBorders>
              <w:top w:val="nil"/>
              <w:left w:val="nil"/>
              <w:bottom w:val="nil"/>
              <w:right w:val="nil"/>
            </w:tcBorders>
            <w:shd w:val="clear" w:color="auto" w:fill="auto"/>
            <w:noWrap/>
            <w:vAlign w:val="center"/>
            <w:hideMark/>
          </w:tcPr>
          <w:p w14:paraId="4DBB9435"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France</w:t>
            </w:r>
          </w:p>
        </w:tc>
        <w:tc>
          <w:tcPr>
            <w:tcW w:w="1182" w:type="dxa"/>
            <w:tcBorders>
              <w:top w:val="nil"/>
              <w:left w:val="nil"/>
              <w:bottom w:val="nil"/>
              <w:right w:val="nil"/>
            </w:tcBorders>
            <w:shd w:val="clear" w:color="auto" w:fill="auto"/>
            <w:noWrap/>
            <w:vAlign w:val="center"/>
            <w:hideMark/>
          </w:tcPr>
          <w:p w14:paraId="3031951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Germany</w:t>
            </w:r>
          </w:p>
        </w:tc>
        <w:tc>
          <w:tcPr>
            <w:tcW w:w="1123" w:type="dxa"/>
            <w:tcBorders>
              <w:top w:val="nil"/>
              <w:left w:val="nil"/>
              <w:bottom w:val="nil"/>
              <w:right w:val="nil"/>
            </w:tcBorders>
            <w:shd w:val="clear" w:color="auto" w:fill="auto"/>
            <w:noWrap/>
            <w:vAlign w:val="center"/>
            <w:hideMark/>
          </w:tcPr>
          <w:p w14:paraId="7931530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Italy</w:t>
            </w:r>
          </w:p>
        </w:tc>
        <w:tc>
          <w:tcPr>
            <w:tcW w:w="1143" w:type="dxa"/>
            <w:tcBorders>
              <w:top w:val="nil"/>
              <w:left w:val="nil"/>
              <w:bottom w:val="nil"/>
              <w:right w:val="nil"/>
            </w:tcBorders>
            <w:shd w:val="clear" w:color="auto" w:fill="auto"/>
            <w:noWrap/>
            <w:vAlign w:val="center"/>
            <w:hideMark/>
          </w:tcPr>
          <w:p w14:paraId="744BB5F8"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Spain</w:t>
            </w:r>
          </w:p>
        </w:tc>
        <w:tc>
          <w:tcPr>
            <w:tcW w:w="1201" w:type="dxa"/>
            <w:tcBorders>
              <w:top w:val="nil"/>
              <w:left w:val="nil"/>
              <w:bottom w:val="nil"/>
              <w:right w:val="nil"/>
            </w:tcBorders>
            <w:shd w:val="clear" w:color="auto" w:fill="auto"/>
            <w:noWrap/>
            <w:vAlign w:val="center"/>
            <w:hideMark/>
          </w:tcPr>
          <w:p w14:paraId="1790D75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Greece</w:t>
            </w:r>
          </w:p>
        </w:tc>
        <w:tc>
          <w:tcPr>
            <w:tcW w:w="1133" w:type="dxa"/>
            <w:tcBorders>
              <w:top w:val="nil"/>
              <w:left w:val="nil"/>
              <w:bottom w:val="nil"/>
              <w:right w:val="nil"/>
            </w:tcBorders>
            <w:shd w:val="clear" w:color="auto" w:fill="auto"/>
            <w:noWrap/>
            <w:vAlign w:val="center"/>
            <w:hideMark/>
          </w:tcPr>
          <w:p w14:paraId="2AA2F6C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Ireland</w:t>
            </w:r>
          </w:p>
        </w:tc>
        <w:tc>
          <w:tcPr>
            <w:tcW w:w="1211" w:type="dxa"/>
            <w:tcBorders>
              <w:top w:val="nil"/>
              <w:left w:val="nil"/>
              <w:bottom w:val="nil"/>
              <w:right w:val="nil"/>
            </w:tcBorders>
            <w:shd w:val="clear" w:color="auto" w:fill="auto"/>
            <w:noWrap/>
            <w:vAlign w:val="center"/>
            <w:hideMark/>
          </w:tcPr>
          <w:p w14:paraId="48E1408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MSCI</w:t>
            </w:r>
          </w:p>
        </w:tc>
      </w:tr>
      <w:tr w:rsidR="00A10C66" w:rsidRPr="00A47D41" w14:paraId="6A8274E6" w14:textId="77777777" w:rsidTr="00A10C66">
        <w:trPr>
          <w:trHeight w:val="209"/>
        </w:trPr>
        <w:tc>
          <w:tcPr>
            <w:tcW w:w="1086" w:type="dxa"/>
            <w:tcBorders>
              <w:top w:val="nil"/>
              <w:left w:val="nil"/>
              <w:bottom w:val="single" w:sz="4" w:space="0" w:color="auto"/>
              <w:right w:val="single" w:sz="4" w:space="0" w:color="auto"/>
            </w:tcBorders>
            <w:shd w:val="clear" w:color="auto" w:fill="auto"/>
            <w:noWrap/>
            <w:vAlign w:val="center"/>
            <w:hideMark/>
          </w:tcPr>
          <w:p w14:paraId="7BFC83C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DS Code</w:t>
            </w:r>
          </w:p>
        </w:tc>
        <w:tc>
          <w:tcPr>
            <w:tcW w:w="1201" w:type="dxa"/>
            <w:tcBorders>
              <w:top w:val="nil"/>
              <w:left w:val="nil"/>
              <w:bottom w:val="single" w:sz="4" w:space="0" w:color="auto"/>
              <w:right w:val="nil"/>
            </w:tcBorders>
            <w:shd w:val="clear" w:color="auto" w:fill="auto"/>
            <w:noWrap/>
            <w:vAlign w:val="center"/>
            <w:hideMark/>
          </w:tcPr>
          <w:p w14:paraId="2158EC9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RTOTMUK$</w:t>
            </w:r>
          </w:p>
        </w:tc>
        <w:tc>
          <w:tcPr>
            <w:tcW w:w="1220" w:type="dxa"/>
            <w:tcBorders>
              <w:top w:val="nil"/>
              <w:left w:val="nil"/>
              <w:bottom w:val="single" w:sz="4" w:space="0" w:color="auto"/>
              <w:right w:val="nil"/>
            </w:tcBorders>
            <w:shd w:val="clear" w:color="auto" w:fill="auto"/>
            <w:noWrap/>
            <w:vAlign w:val="center"/>
            <w:hideMark/>
          </w:tcPr>
          <w:p w14:paraId="6B7A5C9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RTOTMKFR</w:t>
            </w:r>
          </w:p>
        </w:tc>
        <w:tc>
          <w:tcPr>
            <w:tcW w:w="1182" w:type="dxa"/>
            <w:tcBorders>
              <w:top w:val="nil"/>
              <w:left w:val="nil"/>
              <w:bottom w:val="single" w:sz="4" w:space="0" w:color="auto"/>
              <w:right w:val="nil"/>
            </w:tcBorders>
            <w:shd w:val="clear" w:color="auto" w:fill="auto"/>
            <w:noWrap/>
            <w:vAlign w:val="center"/>
            <w:hideMark/>
          </w:tcPr>
          <w:p w14:paraId="503DE11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RTOTMBD$</w:t>
            </w:r>
          </w:p>
        </w:tc>
        <w:tc>
          <w:tcPr>
            <w:tcW w:w="1123" w:type="dxa"/>
            <w:tcBorders>
              <w:top w:val="nil"/>
              <w:left w:val="nil"/>
              <w:bottom w:val="single" w:sz="4" w:space="0" w:color="auto"/>
              <w:right w:val="nil"/>
            </w:tcBorders>
            <w:shd w:val="clear" w:color="auto" w:fill="auto"/>
            <w:noWrap/>
            <w:vAlign w:val="center"/>
            <w:hideMark/>
          </w:tcPr>
          <w:p w14:paraId="70F22FC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RTOTMIT$</w:t>
            </w:r>
          </w:p>
        </w:tc>
        <w:tc>
          <w:tcPr>
            <w:tcW w:w="1143" w:type="dxa"/>
            <w:tcBorders>
              <w:top w:val="nil"/>
              <w:left w:val="nil"/>
              <w:bottom w:val="single" w:sz="4" w:space="0" w:color="auto"/>
              <w:right w:val="nil"/>
            </w:tcBorders>
            <w:shd w:val="clear" w:color="auto" w:fill="auto"/>
            <w:noWrap/>
            <w:vAlign w:val="center"/>
            <w:hideMark/>
          </w:tcPr>
          <w:p w14:paraId="1621185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RTOTXTES</w:t>
            </w:r>
          </w:p>
        </w:tc>
        <w:tc>
          <w:tcPr>
            <w:tcW w:w="1201" w:type="dxa"/>
            <w:tcBorders>
              <w:top w:val="nil"/>
              <w:left w:val="nil"/>
              <w:bottom w:val="single" w:sz="4" w:space="0" w:color="auto"/>
              <w:right w:val="nil"/>
            </w:tcBorders>
            <w:shd w:val="clear" w:color="auto" w:fill="auto"/>
            <w:noWrap/>
            <w:vAlign w:val="center"/>
            <w:hideMark/>
          </w:tcPr>
          <w:p w14:paraId="0EAF195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RTOTMGR$</w:t>
            </w:r>
          </w:p>
        </w:tc>
        <w:tc>
          <w:tcPr>
            <w:tcW w:w="1133" w:type="dxa"/>
            <w:tcBorders>
              <w:top w:val="nil"/>
              <w:left w:val="nil"/>
              <w:bottom w:val="single" w:sz="4" w:space="0" w:color="auto"/>
              <w:right w:val="nil"/>
            </w:tcBorders>
            <w:shd w:val="clear" w:color="auto" w:fill="auto"/>
            <w:noWrap/>
            <w:vAlign w:val="center"/>
            <w:hideMark/>
          </w:tcPr>
          <w:p w14:paraId="6E6D1698"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RTOTMIR$</w:t>
            </w:r>
          </w:p>
        </w:tc>
        <w:tc>
          <w:tcPr>
            <w:tcW w:w="1211" w:type="dxa"/>
            <w:tcBorders>
              <w:top w:val="nil"/>
              <w:left w:val="nil"/>
              <w:bottom w:val="single" w:sz="4" w:space="0" w:color="auto"/>
              <w:right w:val="nil"/>
            </w:tcBorders>
            <w:shd w:val="clear" w:color="auto" w:fill="auto"/>
            <w:noWrap/>
            <w:vAlign w:val="center"/>
            <w:hideMark/>
          </w:tcPr>
          <w:p w14:paraId="6A08B13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RMSWRLD$</w:t>
            </w:r>
          </w:p>
        </w:tc>
      </w:tr>
      <w:tr w:rsidR="00A10C66" w:rsidRPr="00A47D41" w14:paraId="65D5359C"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29CB7C1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Mean</w:t>
            </w:r>
          </w:p>
        </w:tc>
        <w:tc>
          <w:tcPr>
            <w:tcW w:w="1201" w:type="dxa"/>
            <w:tcBorders>
              <w:top w:val="nil"/>
              <w:left w:val="nil"/>
              <w:bottom w:val="nil"/>
              <w:right w:val="nil"/>
            </w:tcBorders>
            <w:shd w:val="clear" w:color="auto" w:fill="auto"/>
            <w:noWrap/>
            <w:vAlign w:val="center"/>
            <w:hideMark/>
          </w:tcPr>
          <w:p w14:paraId="7E6349D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7.73</w:t>
            </w:r>
          </w:p>
        </w:tc>
        <w:tc>
          <w:tcPr>
            <w:tcW w:w="1220" w:type="dxa"/>
            <w:tcBorders>
              <w:top w:val="nil"/>
              <w:left w:val="nil"/>
              <w:bottom w:val="nil"/>
              <w:right w:val="nil"/>
            </w:tcBorders>
            <w:shd w:val="clear" w:color="auto" w:fill="auto"/>
            <w:noWrap/>
            <w:vAlign w:val="center"/>
            <w:hideMark/>
          </w:tcPr>
          <w:p w14:paraId="42151A7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7.78</w:t>
            </w:r>
          </w:p>
        </w:tc>
        <w:tc>
          <w:tcPr>
            <w:tcW w:w="1182" w:type="dxa"/>
            <w:tcBorders>
              <w:top w:val="nil"/>
              <w:left w:val="nil"/>
              <w:bottom w:val="nil"/>
              <w:right w:val="nil"/>
            </w:tcBorders>
            <w:shd w:val="clear" w:color="auto" w:fill="auto"/>
            <w:noWrap/>
            <w:vAlign w:val="center"/>
            <w:hideMark/>
          </w:tcPr>
          <w:p w14:paraId="3EA450C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7.22</w:t>
            </w:r>
          </w:p>
        </w:tc>
        <w:tc>
          <w:tcPr>
            <w:tcW w:w="1123" w:type="dxa"/>
            <w:tcBorders>
              <w:top w:val="nil"/>
              <w:left w:val="nil"/>
              <w:bottom w:val="nil"/>
              <w:right w:val="nil"/>
            </w:tcBorders>
            <w:shd w:val="clear" w:color="auto" w:fill="auto"/>
            <w:noWrap/>
            <w:vAlign w:val="center"/>
            <w:hideMark/>
          </w:tcPr>
          <w:p w14:paraId="40BB68B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6.66</w:t>
            </w:r>
          </w:p>
        </w:tc>
        <w:tc>
          <w:tcPr>
            <w:tcW w:w="1143" w:type="dxa"/>
            <w:tcBorders>
              <w:top w:val="nil"/>
              <w:left w:val="nil"/>
              <w:bottom w:val="nil"/>
              <w:right w:val="nil"/>
            </w:tcBorders>
            <w:shd w:val="clear" w:color="auto" w:fill="auto"/>
            <w:noWrap/>
            <w:vAlign w:val="center"/>
            <w:hideMark/>
          </w:tcPr>
          <w:p w14:paraId="70ADE5F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6.31</w:t>
            </w:r>
          </w:p>
        </w:tc>
        <w:tc>
          <w:tcPr>
            <w:tcW w:w="1201" w:type="dxa"/>
            <w:tcBorders>
              <w:top w:val="nil"/>
              <w:left w:val="nil"/>
              <w:bottom w:val="nil"/>
              <w:right w:val="nil"/>
            </w:tcBorders>
            <w:shd w:val="clear" w:color="auto" w:fill="auto"/>
            <w:noWrap/>
            <w:vAlign w:val="center"/>
            <w:hideMark/>
          </w:tcPr>
          <w:p w14:paraId="5A5BFD4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6.33</w:t>
            </w:r>
          </w:p>
        </w:tc>
        <w:tc>
          <w:tcPr>
            <w:tcW w:w="1133" w:type="dxa"/>
            <w:tcBorders>
              <w:top w:val="nil"/>
              <w:left w:val="nil"/>
              <w:bottom w:val="nil"/>
              <w:right w:val="nil"/>
            </w:tcBorders>
            <w:shd w:val="clear" w:color="auto" w:fill="auto"/>
            <w:noWrap/>
            <w:vAlign w:val="center"/>
            <w:hideMark/>
          </w:tcPr>
          <w:p w14:paraId="160FC69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7.31</w:t>
            </w:r>
          </w:p>
        </w:tc>
        <w:tc>
          <w:tcPr>
            <w:tcW w:w="1211" w:type="dxa"/>
            <w:tcBorders>
              <w:top w:val="nil"/>
              <w:left w:val="nil"/>
              <w:bottom w:val="nil"/>
              <w:right w:val="nil"/>
            </w:tcBorders>
            <w:shd w:val="clear" w:color="auto" w:fill="auto"/>
            <w:noWrap/>
            <w:vAlign w:val="center"/>
            <w:hideMark/>
          </w:tcPr>
          <w:p w14:paraId="76423AC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7.08</w:t>
            </w:r>
          </w:p>
        </w:tc>
      </w:tr>
      <w:tr w:rsidR="00A10C66" w:rsidRPr="00A47D41" w14:paraId="49AA29E7"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3F769BB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Median</w:t>
            </w:r>
          </w:p>
        </w:tc>
        <w:tc>
          <w:tcPr>
            <w:tcW w:w="1201" w:type="dxa"/>
            <w:tcBorders>
              <w:top w:val="nil"/>
              <w:left w:val="nil"/>
              <w:bottom w:val="nil"/>
              <w:right w:val="nil"/>
            </w:tcBorders>
            <w:shd w:val="clear" w:color="auto" w:fill="auto"/>
            <w:noWrap/>
            <w:vAlign w:val="center"/>
            <w:hideMark/>
          </w:tcPr>
          <w:p w14:paraId="44412AA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7.74</w:t>
            </w:r>
          </w:p>
        </w:tc>
        <w:tc>
          <w:tcPr>
            <w:tcW w:w="1220" w:type="dxa"/>
            <w:tcBorders>
              <w:top w:val="nil"/>
              <w:left w:val="nil"/>
              <w:bottom w:val="nil"/>
              <w:right w:val="nil"/>
            </w:tcBorders>
            <w:shd w:val="clear" w:color="auto" w:fill="auto"/>
            <w:noWrap/>
            <w:vAlign w:val="center"/>
            <w:hideMark/>
          </w:tcPr>
          <w:p w14:paraId="130E1AB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7.77</w:t>
            </w:r>
          </w:p>
        </w:tc>
        <w:tc>
          <w:tcPr>
            <w:tcW w:w="1182" w:type="dxa"/>
            <w:tcBorders>
              <w:top w:val="nil"/>
              <w:left w:val="nil"/>
              <w:bottom w:val="nil"/>
              <w:right w:val="nil"/>
            </w:tcBorders>
            <w:shd w:val="clear" w:color="auto" w:fill="auto"/>
            <w:noWrap/>
            <w:vAlign w:val="center"/>
            <w:hideMark/>
          </w:tcPr>
          <w:p w14:paraId="1F23B45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7.24</w:t>
            </w:r>
          </w:p>
        </w:tc>
        <w:tc>
          <w:tcPr>
            <w:tcW w:w="1123" w:type="dxa"/>
            <w:tcBorders>
              <w:top w:val="nil"/>
              <w:left w:val="nil"/>
              <w:bottom w:val="nil"/>
              <w:right w:val="nil"/>
            </w:tcBorders>
            <w:shd w:val="clear" w:color="auto" w:fill="auto"/>
            <w:noWrap/>
            <w:vAlign w:val="center"/>
            <w:hideMark/>
          </w:tcPr>
          <w:p w14:paraId="37CA9A5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6.61</w:t>
            </w:r>
          </w:p>
        </w:tc>
        <w:tc>
          <w:tcPr>
            <w:tcW w:w="1143" w:type="dxa"/>
            <w:tcBorders>
              <w:top w:val="nil"/>
              <w:left w:val="nil"/>
              <w:bottom w:val="nil"/>
              <w:right w:val="nil"/>
            </w:tcBorders>
            <w:shd w:val="clear" w:color="auto" w:fill="auto"/>
            <w:noWrap/>
            <w:vAlign w:val="center"/>
            <w:hideMark/>
          </w:tcPr>
          <w:p w14:paraId="728EE30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6.28</w:t>
            </w:r>
          </w:p>
        </w:tc>
        <w:tc>
          <w:tcPr>
            <w:tcW w:w="1201" w:type="dxa"/>
            <w:tcBorders>
              <w:top w:val="nil"/>
              <w:left w:val="nil"/>
              <w:bottom w:val="nil"/>
              <w:right w:val="nil"/>
            </w:tcBorders>
            <w:shd w:val="clear" w:color="auto" w:fill="auto"/>
            <w:noWrap/>
            <w:vAlign w:val="center"/>
            <w:hideMark/>
          </w:tcPr>
          <w:p w14:paraId="6EA94A7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6.38</w:t>
            </w:r>
          </w:p>
        </w:tc>
        <w:tc>
          <w:tcPr>
            <w:tcW w:w="1133" w:type="dxa"/>
            <w:tcBorders>
              <w:top w:val="nil"/>
              <w:left w:val="nil"/>
              <w:bottom w:val="nil"/>
              <w:right w:val="nil"/>
            </w:tcBorders>
            <w:shd w:val="clear" w:color="auto" w:fill="auto"/>
            <w:noWrap/>
            <w:vAlign w:val="center"/>
            <w:hideMark/>
          </w:tcPr>
          <w:p w14:paraId="6F9A312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7.18</w:t>
            </w:r>
          </w:p>
        </w:tc>
        <w:tc>
          <w:tcPr>
            <w:tcW w:w="1211" w:type="dxa"/>
            <w:tcBorders>
              <w:top w:val="nil"/>
              <w:left w:val="nil"/>
              <w:bottom w:val="nil"/>
              <w:right w:val="nil"/>
            </w:tcBorders>
            <w:shd w:val="clear" w:color="auto" w:fill="auto"/>
            <w:noWrap/>
            <w:vAlign w:val="center"/>
            <w:hideMark/>
          </w:tcPr>
          <w:p w14:paraId="095CD6D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7.09</w:t>
            </w:r>
          </w:p>
        </w:tc>
      </w:tr>
      <w:tr w:rsidR="00A10C66" w:rsidRPr="00A47D41" w14:paraId="584AD57C"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2016672D"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Max</w:t>
            </w:r>
          </w:p>
        </w:tc>
        <w:tc>
          <w:tcPr>
            <w:tcW w:w="1201" w:type="dxa"/>
            <w:tcBorders>
              <w:top w:val="nil"/>
              <w:left w:val="nil"/>
              <w:bottom w:val="nil"/>
              <w:right w:val="nil"/>
            </w:tcBorders>
            <w:shd w:val="clear" w:color="auto" w:fill="auto"/>
            <w:noWrap/>
            <w:vAlign w:val="center"/>
            <w:hideMark/>
          </w:tcPr>
          <w:p w14:paraId="1680DE2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8.18</w:t>
            </w:r>
          </w:p>
        </w:tc>
        <w:tc>
          <w:tcPr>
            <w:tcW w:w="1220" w:type="dxa"/>
            <w:tcBorders>
              <w:top w:val="nil"/>
              <w:left w:val="nil"/>
              <w:bottom w:val="nil"/>
              <w:right w:val="nil"/>
            </w:tcBorders>
            <w:shd w:val="clear" w:color="auto" w:fill="auto"/>
            <w:noWrap/>
            <w:vAlign w:val="center"/>
            <w:hideMark/>
          </w:tcPr>
          <w:p w14:paraId="68D819F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8.29</w:t>
            </w:r>
          </w:p>
        </w:tc>
        <w:tc>
          <w:tcPr>
            <w:tcW w:w="1182" w:type="dxa"/>
            <w:tcBorders>
              <w:top w:val="nil"/>
              <w:left w:val="nil"/>
              <w:bottom w:val="nil"/>
              <w:right w:val="nil"/>
            </w:tcBorders>
            <w:shd w:val="clear" w:color="auto" w:fill="auto"/>
            <w:noWrap/>
            <w:vAlign w:val="center"/>
            <w:hideMark/>
          </w:tcPr>
          <w:p w14:paraId="456A279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7.73</w:t>
            </w:r>
          </w:p>
        </w:tc>
        <w:tc>
          <w:tcPr>
            <w:tcW w:w="1123" w:type="dxa"/>
            <w:tcBorders>
              <w:top w:val="nil"/>
              <w:left w:val="nil"/>
              <w:bottom w:val="nil"/>
              <w:right w:val="nil"/>
            </w:tcBorders>
            <w:shd w:val="clear" w:color="auto" w:fill="auto"/>
            <w:noWrap/>
            <w:vAlign w:val="center"/>
            <w:hideMark/>
          </w:tcPr>
          <w:p w14:paraId="147D076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7.25</w:t>
            </w:r>
          </w:p>
        </w:tc>
        <w:tc>
          <w:tcPr>
            <w:tcW w:w="1143" w:type="dxa"/>
            <w:tcBorders>
              <w:top w:val="nil"/>
              <w:left w:val="nil"/>
              <w:bottom w:val="nil"/>
              <w:right w:val="nil"/>
            </w:tcBorders>
            <w:shd w:val="clear" w:color="auto" w:fill="auto"/>
            <w:noWrap/>
            <w:vAlign w:val="center"/>
            <w:hideMark/>
          </w:tcPr>
          <w:p w14:paraId="1B90A09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6.95</w:t>
            </w:r>
          </w:p>
        </w:tc>
        <w:tc>
          <w:tcPr>
            <w:tcW w:w="1201" w:type="dxa"/>
            <w:tcBorders>
              <w:top w:val="nil"/>
              <w:left w:val="nil"/>
              <w:bottom w:val="nil"/>
              <w:right w:val="nil"/>
            </w:tcBorders>
            <w:shd w:val="clear" w:color="auto" w:fill="auto"/>
            <w:noWrap/>
            <w:vAlign w:val="center"/>
            <w:hideMark/>
          </w:tcPr>
          <w:p w14:paraId="166E0CA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7.29</w:t>
            </w:r>
          </w:p>
        </w:tc>
        <w:tc>
          <w:tcPr>
            <w:tcW w:w="1133" w:type="dxa"/>
            <w:tcBorders>
              <w:top w:val="nil"/>
              <w:left w:val="nil"/>
              <w:bottom w:val="nil"/>
              <w:right w:val="nil"/>
            </w:tcBorders>
            <w:shd w:val="clear" w:color="auto" w:fill="auto"/>
            <w:noWrap/>
            <w:vAlign w:val="center"/>
            <w:hideMark/>
          </w:tcPr>
          <w:p w14:paraId="16E88BA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8.11</w:t>
            </w:r>
          </w:p>
        </w:tc>
        <w:tc>
          <w:tcPr>
            <w:tcW w:w="1211" w:type="dxa"/>
            <w:tcBorders>
              <w:top w:val="nil"/>
              <w:left w:val="nil"/>
              <w:bottom w:val="nil"/>
              <w:right w:val="nil"/>
            </w:tcBorders>
            <w:shd w:val="clear" w:color="auto" w:fill="auto"/>
            <w:noWrap/>
            <w:vAlign w:val="center"/>
            <w:hideMark/>
          </w:tcPr>
          <w:p w14:paraId="7241905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7.43</w:t>
            </w:r>
          </w:p>
        </w:tc>
      </w:tr>
      <w:tr w:rsidR="00A10C66" w:rsidRPr="00A47D41" w14:paraId="1D56695F"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49ECD056"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Min</w:t>
            </w:r>
          </w:p>
        </w:tc>
        <w:tc>
          <w:tcPr>
            <w:tcW w:w="1201" w:type="dxa"/>
            <w:tcBorders>
              <w:top w:val="nil"/>
              <w:left w:val="nil"/>
              <w:bottom w:val="nil"/>
              <w:right w:val="nil"/>
            </w:tcBorders>
            <w:shd w:val="clear" w:color="auto" w:fill="auto"/>
            <w:noWrap/>
            <w:vAlign w:val="center"/>
            <w:hideMark/>
          </w:tcPr>
          <w:p w14:paraId="1D01485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7.1</w:t>
            </w:r>
          </w:p>
        </w:tc>
        <w:tc>
          <w:tcPr>
            <w:tcW w:w="1220" w:type="dxa"/>
            <w:tcBorders>
              <w:top w:val="nil"/>
              <w:left w:val="nil"/>
              <w:bottom w:val="nil"/>
              <w:right w:val="nil"/>
            </w:tcBorders>
            <w:shd w:val="clear" w:color="auto" w:fill="auto"/>
            <w:noWrap/>
            <w:vAlign w:val="center"/>
            <w:hideMark/>
          </w:tcPr>
          <w:p w14:paraId="5541D87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7.06</w:t>
            </w:r>
          </w:p>
        </w:tc>
        <w:tc>
          <w:tcPr>
            <w:tcW w:w="1182" w:type="dxa"/>
            <w:tcBorders>
              <w:top w:val="nil"/>
              <w:left w:val="nil"/>
              <w:bottom w:val="nil"/>
              <w:right w:val="nil"/>
            </w:tcBorders>
            <w:shd w:val="clear" w:color="auto" w:fill="auto"/>
            <w:noWrap/>
            <w:vAlign w:val="center"/>
            <w:hideMark/>
          </w:tcPr>
          <w:p w14:paraId="5A19844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6.35</w:t>
            </w:r>
          </w:p>
        </w:tc>
        <w:tc>
          <w:tcPr>
            <w:tcW w:w="1123" w:type="dxa"/>
            <w:tcBorders>
              <w:top w:val="nil"/>
              <w:left w:val="nil"/>
              <w:bottom w:val="nil"/>
              <w:right w:val="nil"/>
            </w:tcBorders>
            <w:shd w:val="clear" w:color="auto" w:fill="auto"/>
            <w:noWrap/>
            <w:vAlign w:val="center"/>
            <w:hideMark/>
          </w:tcPr>
          <w:p w14:paraId="1FF3683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w:t>
            </w:r>
          </w:p>
        </w:tc>
        <w:tc>
          <w:tcPr>
            <w:tcW w:w="1143" w:type="dxa"/>
            <w:tcBorders>
              <w:top w:val="nil"/>
              <w:left w:val="nil"/>
              <w:bottom w:val="nil"/>
              <w:right w:val="nil"/>
            </w:tcBorders>
            <w:shd w:val="clear" w:color="auto" w:fill="auto"/>
            <w:noWrap/>
            <w:vAlign w:val="center"/>
            <w:hideMark/>
          </w:tcPr>
          <w:p w14:paraId="57F2AF9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5.6</w:t>
            </w:r>
          </w:p>
        </w:tc>
        <w:tc>
          <w:tcPr>
            <w:tcW w:w="1201" w:type="dxa"/>
            <w:tcBorders>
              <w:top w:val="nil"/>
              <w:left w:val="nil"/>
              <w:bottom w:val="nil"/>
              <w:right w:val="nil"/>
            </w:tcBorders>
            <w:shd w:val="clear" w:color="auto" w:fill="auto"/>
            <w:noWrap/>
            <w:vAlign w:val="center"/>
            <w:hideMark/>
          </w:tcPr>
          <w:p w14:paraId="1447465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4.79</w:t>
            </w:r>
          </w:p>
        </w:tc>
        <w:tc>
          <w:tcPr>
            <w:tcW w:w="1133" w:type="dxa"/>
            <w:tcBorders>
              <w:top w:val="nil"/>
              <w:left w:val="nil"/>
              <w:bottom w:val="nil"/>
              <w:right w:val="nil"/>
            </w:tcBorders>
            <w:shd w:val="clear" w:color="auto" w:fill="auto"/>
            <w:noWrap/>
            <w:vAlign w:val="center"/>
            <w:hideMark/>
          </w:tcPr>
          <w:p w14:paraId="0D62559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6.43</w:t>
            </w:r>
          </w:p>
        </w:tc>
        <w:tc>
          <w:tcPr>
            <w:tcW w:w="1211" w:type="dxa"/>
            <w:tcBorders>
              <w:top w:val="nil"/>
              <w:left w:val="nil"/>
              <w:bottom w:val="nil"/>
              <w:right w:val="nil"/>
            </w:tcBorders>
            <w:shd w:val="clear" w:color="auto" w:fill="auto"/>
            <w:noWrap/>
            <w:vAlign w:val="center"/>
            <w:hideMark/>
          </w:tcPr>
          <w:p w14:paraId="10796CF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6.53</w:t>
            </w:r>
          </w:p>
        </w:tc>
      </w:tr>
      <w:tr w:rsidR="00A10C66" w:rsidRPr="00A47D41" w14:paraId="47277CA1"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17151DF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Std. Dev.</w:t>
            </w:r>
          </w:p>
        </w:tc>
        <w:tc>
          <w:tcPr>
            <w:tcW w:w="1201" w:type="dxa"/>
            <w:tcBorders>
              <w:top w:val="nil"/>
              <w:left w:val="nil"/>
              <w:bottom w:val="nil"/>
              <w:right w:val="nil"/>
            </w:tcBorders>
            <w:shd w:val="clear" w:color="auto" w:fill="auto"/>
            <w:noWrap/>
            <w:vAlign w:val="center"/>
            <w:hideMark/>
          </w:tcPr>
          <w:p w14:paraId="202BF01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0.22</w:t>
            </w:r>
          </w:p>
        </w:tc>
        <w:tc>
          <w:tcPr>
            <w:tcW w:w="1220" w:type="dxa"/>
            <w:tcBorders>
              <w:top w:val="nil"/>
              <w:left w:val="nil"/>
              <w:bottom w:val="nil"/>
              <w:right w:val="nil"/>
            </w:tcBorders>
            <w:shd w:val="clear" w:color="auto" w:fill="auto"/>
            <w:noWrap/>
            <w:vAlign w:val="center"/>
            <w:hideMark/>
          </w:tcPr>
          <w:p w14:paraId="50A5736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0.25</w:t>
            </w:r>
          </w:p>
        </w:tc>
        <w:tc>
          <w:tcPr>
            <w:tcW w:w="1182" w:type="dxa"/>
            <w:tcBorders>
              <w:top w:val="nil"/>
              <w:left w:val="nil"/>
              <w:bottom w:val="nil"/>
              <w:right w:val="nil"/>
            </w:tcBorders>
            <w:shd w:val="clear" w:color="auto" w:fill="auto"/>
            <w:noWrap/>
            <w:vAlign w:val="center"/>
            <w:hideMark/>
          </w:tcPr>
          <w:p w14:paraId="7648E4D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0.27</w:t>
            </w:r>
          </w:p>
        </w:tc>
        <w:tc>
          <w:tcPr>
            <w:tcW w:w="1123" w:type="dxa"/>
            <w:tcBorders>
              <w:top w:val="nil"/>
              <w:left w:val="nil"/>
              <w:bottom w:val="nil"/>
              <w:right w:val="nil"/>
            </w:tcBorders>
            <w:shd w:val="clear" w:color="auto" w:fill="auto"/>
            <w:noWrap/>
            <w:vAlign w:val="center"/>
            <w:hideMark/>
          </w:tcPr>
          <w:p w14:paraId="6581308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0.31</w:t>
            </w:r>
          </w:p>
        </w:tc>
        <w:tc>
          <w:tcPr>
            <w:tcW w:w="1143" w:type="dxa"/>
            <w:tcBorders>
              <w:top w:val="nil"/>
              <w:left w:val="nil"/>
              <w:bottom w:val="nil"/>
              <w:right w:val="nil"/>
            </w:tcBorders>
            <w:shd w:val="clear" w:color="auto" w:fill="auto"/>
            <w:noWrap/>
            <w:vAlign w:val="center"/>
            <w:hideMark/>
          </w:tcPr>
          <w:p w14:paraId="282F8C1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0.32</w:t>
            </w:r>
          </w:p>
        </w:tc>
        <w:tc>
          <w:tcPr>
            <w:tcW w:w="1201" w:type="dxa"/>
            <w:tcBorders>
              <w:top w:val="nil"/>
              <w:left w:val="nil"/>
              <w:bottom w:val="nil"/>
              <w:right w:val="nil"/>
            </w:tcBorders>
            <w:shd w:val="clear" w:color="auto" w:fill="auto"/>
            <w:noWrap/>
            <w:vAlign w:val="center"/>
            <w:hideMark/>
          </w:tcPr>
          <w:p w14:paraId="431D975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0.61</w:t>
            </w:r>
          </w:p>
        </w:tc>
        <w:tc>
          <w:tcPr>
            <w:tcW w:w="1133" w:type="dxa"/>
            <w:tcBorders>
              <w:top w:val="nil"/>
              <w:left w:val="nil"/>
              <w:bottom w:val="nil"/>
              <w:right w:val="nil"/>
            </w:tcBorders>
            <w:shd w:val="clear" w:color="auto" w:fill="auto"/>
            <w:noWrap/>
            <w:vAlign w:val="center"/>
            <w:hideMark/>
          </w:tcPr>
          <w:p w14:paraId="614471D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0.41</w:t>
            </w:r>
          </w:p>
        </w:tc>
        <w:tc>
          <w:tcPr>
            <w:tcW w:w="1211" w:type="dxa"/>
            <w:tcBorders>
              <w:top w:val="nil"/>
              <w:left w:val="nil"/>
              <w:bottom w:val="nil"/>
              <w:right w:val="nil"/>
            </w:tcBorders>
            <w:shd w:val="clear" w:color="auto" w:fill="auto"/>
            <w:noWrap/>
            <w:vAlign w:val="center"/>
            <w:hideMark/>
          </w:tcPr>
          <w:p w14:paraId="19CF777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0.18</w:t>
            </w:r>
          </w:p>
        </w:tc>
      </w:tr>
      <w:tr w:rsidR="00A10C66" w:rsidRPr="00A47D41" w14:paraId="660E20F8"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50E5094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Skewness</w:t>
            </w:r>
          </w:p>
        </w:tc>
        <w:tc>
          <w:tcPr>
            <w:tcW w:w="1201" w:type="dxa"/>
            <w:tcBorders>
              <w:top w:val="nil"/>
              <w:left w:val="nil"/>
              <w:bottom w:val="nil"/>
              <w:right w:val="nil"/>
            </w:tcBorders>
            <w:shd w:val="clear" w:color="auto" w:fill="auto"/>
            <w:noWrap/>
            <w:vAlign w:val="center"/>
            <w:hideMark/>
          </w:tcPr>
          <w:p w14:paraId="7DA0B12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-0.31</w:t>
            </w:r>
          </w:p>
        </w:tc>
        <w:tc>
          <w:tcPr>
            <w:tcW w:w="1220" w:type="dxa"/>
            <w:tcBorders>
              <w:top w:val="nil"/>
              <w:left w:val="nil"/>
              <w:bottom w:val="nil"/>
              <w:right w:val="nil"/>
            </w:tcBorders>
            <w:shd w:val="clear" w:color="auto" w:fill="auto"/>
            <w:noWrap/>
            <w:vAlign w:val="center"/>
            <w:hideMark/>
          </w:tcPr>
          <w:p w14:paraId="18B8AA9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-0.07</w:t>
            </w:r>
          </w:p>
        </w:tc>
        <w:tc>
          <w:tcPr>
            <w:tcW w:w="1182" w:type="dxa"/>
            <w:tcBorders>
              <w:top w:val="nil"/>
              <w:left w:val="nil"/>
              <w:bottom w:val="nil"/>
              <w:right w:val="nil"/>
            </w:tcBorders>
            <w:shd w:val="clear" w:color="auto" w:fill="auto"/>
            <w:noWrap/>
            <w:vAlign w:val="center"/>
            <w:hideMark/>
          </w:tcPr>
          <w:p w14:paraId="7F74332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-0.5</w:t>
            </w:r>
          </w:p>
        </w:tc>
        <w:tc>
          <w:tcPr>
            <w:tcW w:w="1123" w:type="dxa"/>
            <w:tcBorders>
              <w:top w:val="nil"/>
              <w:left w:val="nil"/>
              <w:bottom w:val="nil"/>
              <w:right w:val="nil"/>
            </w:tcBorders>
            <w:shd w:val="clear" w:color="auto" w:fill="auto"/>
            <w:noWrap/>
            <w:vAlign w:val="center"/>
            <w:hideMark/>
          </w:tcPr>
          <w:p w14:paraId="27DB14A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w:t>
            </w:r>
          </w:p>
        </w:tc>
        <w:tc>
          <w:tcPr>
            <w:tcW w:w="1143" w:type="dxa"/>
            <w:tcBorders>
              <w:top w:val="nil"/>
              <w:left w:val="nil"/>
              <w:bottom w:val="nil"/>
              <w:right w:val="nil"/>
            </w:tcBorders>
            <w:shd w:val="clear" w:color="auto" w:fill="auto"/>
            <w:noWrap/>
            <w:vAlign w:val="center"/>
            <w:hideMark/>
          </w:tcPr>
          <w:p w14:paraId="1AB4B24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w:t>
            </w:r>
          </w:p>
        </w:tc>
        <w:tc>
          <w:tcPr>
            <w:tcW w:w="1201" w:type="dxa"/>
            <w:tcBorders>
              <w:top w:val="nil"/>
              <w:left w:val="nil"/>
              <w:bottom w:val="nil"/>
              <w:right w:val="nil"/>
            </w:tcBorders>
            <w:shd w:val="clear" w:color="auto" w:fill="auto"/>
            <w:noWrap/>
            <w:vAlign w:val="center"/>
            <w:hideMark/>
          </w:tcPr>
          <w:p w14:paraId="2127EC3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-0.46</w:t>
            </w:r>
          </w:p>
        </w:tc>
        <w:tc>
          <w:tcPr>
            <w:tcW w:w="1133" w:type="dxa"/>
            <w:tcBorders>
              <w:top w:val="nil"/>
              <w:left w:val="nil"/>
              <w:bottom w:val="nil"/>
              <w:right w:val="nil"/>
            </w:tcBorders>
            <w:shd w:val="clear" w:color="auto" w:fill="auto"/>
            <w:noWrap/>
            <w:vAlign w:val="center"/>
            <w:hideMark/>
          </w:tcPr>
          <w:p w14:paraId="139DCA1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0.29</w:t>
            </w:r>
          </w:p>
        </w:tc>
        <w:tc>
          <w:tcPr>
            <w:tcW w:w="1211" w:type="dxa"/>
            <w:tcBorders>
              <w:top w:val="nil"/>
              <w:left w:val="nil"/>
              <w:bottom w:val="nil"/>
              <w:right w:val="nil"/>
            </w:tcBorders>
            <w:shd w:val="clear" w:color="auto" w:fill="auto"/>
            <w:noWrap/>
            <w:vAlign w:val="center"/>
            <w:hideMark/>
          </w:tcPr>
          <w:p w14:paraId="275E41C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-0.5</w:t>
            </w:r>
          </w:p>
        </w:tc>
      </w:tr>
      <w:tr w:rsidR="00A10C66" w:rsidRPr="00A47D41" w14:paraId="36FE7766"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4713B458"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Kurtosis</w:t>
            </w:r>
          </w:p>
        </w:tc>
        <w:tc>
          <w:tcPr>
            <w:tcW w:w="1201" w:type="dxa"/>
            <w:tcBorders>
              <w:top w:val="nil"/>
              <w:left w:val="nil"/>
              <w:bottom w:val="nil"/>
              <w:right w:val="nil"/>
            </w:tcBorders>
            <w:shd w:val="clear" w:color="auto" w:fill="auto"/>
            <w:noWrap/>
            <w:vAlign w:val="center"/>
            <w:hideMark/>
          </w:tcPr>
          <w:p w14:paraId="59FA5D2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2.84</w:t>
            </w:r>
          </w:p>
        </w:tc>
        <w:tc>
          <w:tcPr>
            <w:tcW w:w="1220" w:type="dxa"/>
            <w:tcBorders>
              <w:top w:val="nil"/>
              <w:left w:val="nil"/>
              <w:bottom w:val="nil"/>
              <w:right w:val="nil"/>
            </w:tcBorders>
            <w:shd w:val="clear" w:color="auto" w:fill="auto"/>
            <w:noWrap/>
            <w:vAlign w:val="center"/>
            <w:hideMark/>
          </w:tcPr>
          <w:p w14:paraId="74D54C9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2.79</w:t>
            </w:r>
          </w:p>
        </w:tc>
        <w:tc>
          <w:tcPr>
            <w:tcW w:w="1182" w:type="dxa"/>
            <w:tcBorders>
              <w:top w:val="nil"/>
              <w:left w:val="nil"/>
              <w:bottom w:val="nil"/>
              <w:right w:val="nil"/>
            </w:tcBorders>
            <w:shd w:val="clear" w:color="auto" w:fill="auto"/>
            <w:noWrap/>
            <w:vAlign w:val="center"/>
            <w:hideMark/>
          </w:tcPr>
          <w:p w14:paraId="35E7C3A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3.19</w:t>
            </w:r>
          </w:p>
        </w:tc>
        <w:tc>
          <w:tcPr>
            <w:tcW w:w="1123" w:type="dxa"/>
            <w:tcBorders>
              <w:top w:val="nil"/>
              <w:left w:val="nil"/>
              <w:bottom w:val="nil"/>
              <w:right w:val="nil"/>
            </w:tcBorders>
            <w:shd w:val="clear" w:color="auto" w:fill="auto"/>
            <w:noWrap/>
            <w:vAlign w:val="center"/>
            <w:hideMark/>
          </w:tcPr>
          <w:p w14:paraId="174A8BB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1.97</w:t>
            </w:r>
          </w:p>
        </w:tc>
        <w:tc>
          <w:tcPr>
            <w:tcW w:w="1143" w:type="dxa"/>
            <w:tcBorders>
              <w:top w:val="nil"/>
              <w:left w:val="nil"/>
              <w:bottom w:val="nil"/>
              <w:right w:val="nil"/>
            </w:tcBorders>
            <w:shd w:val="clear" w:color="auto" w:fill="auto"/>
            <w:noWrap/>
            <w:vAlign w:val="center"/>
            <w:hideMark/>
          </w:tcPr>
          <w:p w14:paraId="21DE59A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2.42</w:t>
            </w:r>
          </w:p>
        </w:tc>
        <w:tc>
          <w:tcPr>
            <w:tcW w:w="1201" w:type="dxa"/>
            <w:tcBorders>
              <w:top w:val="nil"/>
              <w:left w:val="nil"/>
              <w:bottom w:val="nil"/>
              <w:right w:val="nil"/>
            </w:tcBorders>
            <w:shd w:val="clear" w:color="auto" w:fill="auto"/>
            <w:noWrap/>
            <w:vAlign w:val="center"/>
            <w:hideMark/>
          </w:tcPr>
          <w:p w14:paraId="6A22064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2.41</w:t>
            </w:r>
          </w:p>
        </w:tc>
        <w:tc>
          <w:tcPr>
            <w:tcW w:w="1133" w:type="dxa"/>
            <w:tcBorders>
              <w:top w:val="nil"/>
              <w:left w:val="nil"/>
              <w:bottom w:val="nil"/>
              <w:right w:val="nil"/>
            </w:tcBorders>
            <w:shd w:val="clear" w:color="auto" w:fill="auto"/>
            <w:noWrap/>
            <w:vAlign w:val="center"/>
            <w:hideMark/>
          </w:tcPr>
          <w:p w14:paraId="36589F6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w:t>
            </w:r>
          </w:p>
        </w:tc>
        <w:tc>
          <w:tcPr>
            <w:tcW w:w="1211" w:type="dxa"/>
            <w:tcBorders>
              <w:top w:val="nil"/>
              <w:left w:val="nil"/>
              <w:bottom w:val="nil"/>
              <w:right w:val="nil"/>
            </w:tcBorders>
            <w:shd w:val="clear" w:color="auto" w:fill="auto"/>
            <w:noWrap/>
            <w:vAlign w:val="center"/>
            <w:hideMark/>
          </w:tcPr>
          <w:p w14:paraId="00E6F2D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2.85</w:t>
            </w:r>
          </w:p>
        </w:tc>
      </w:tr>
      <w:tr w:rsidR="00A10C66" w:rsidRPr="00A47D41" w14:paraId="37C2A24C"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5B37495D"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Jarque-Bera</w:t>
            </w:r>
          </w:p>
        </w:tc>
        <w:tc>
          <w:tcPr>
            <w:tcW w:w="1201" w:type="dxa"/>
            <w:tcBorders>
              <w:top w:val="nil"/>
              <w:left w:val="nil"/>
              <w:bottom w:val="nil"/>
              <w:right w:val="nil"/>
            </w:tcBorders>
            <w:shd w:val="clear" w:color="auto" w:fill="auto"/>
            <w:noWrap/>
            <w:vAlign w:val="center"/>
            <w:hideMark/>
          </w:tcPr>
          <w:p w14:paraId="73065AC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46.34</w:t>
            </w:r>
          </w:p>
        </w:tc>
        <w:tc>
          <w:tcPr>
            <w:tcW w:w="1220" w:type="dxa"/>
            <w:tcBorders>
              <w:top w:val="nil"/>
              <w:left w:val="nil"/>
              <w:bottom w:val="nil"/>
              <w:right w:val="nil"/>
            </w:tcBorders>
            <w:shd w:val="clear" w:color="auto" w:fill="auto"/>
            <w:noWrap/>
            <w:vAlign w:val="center"/>
            <w:hideMark/>
          </w:tcPr>
          <w:p w14:paraId="55D4CCD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6.99</w:t>
            </w:r>
          </w:p>
        </w:tc>
        <w:tc>
          <w:tcPr>
            <w:tcW w:w="1182" w:type="dxa"/>
            <w:tcBorders>
              <w:top w:val="nil"/>
              <w:left w:val="nil"/>
              <w:bottom w:val="nil"/>
              <w:right w:val="nil"/>
            </w:tcBorders>
            <w:shd w:val="clear" w:color="auto" w:fill="auto"/>
            <w:noWrap/>
            <w:vAlign w:val="center"/>
            <w:hideMark/>
          </w:tcPr>
          <w:p w14:paraId="5FC36AC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115.47</w:t>
            </w:r>
          </w:p>
        </w:tc>
        <w:tc>
          <w:tcPr>
            <w:tcW w:w="1123" w:type="dxa"/>
            <w:tcBorders>
              <w:top w:val="nil"/>
              <w:left w:val="nil"/>
              <w:bottom w:val="nil"/>
              <w:right w:val="nil"/>
            </w:tcBorders>
            <w:shd w:val="clear" w:color="auto" w:fill="auto"/>
            <w:noWrap/>
            <w:vAlign w:val="center"/>
            <w:hideMark/>
          </w:tcPr>
          <w:p w14:paraId="66E4859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135.67</w:t>
            </w:r>
          </w:p>
        </w:tc>
        <w:tc>
          <w:tcPr>
            <w:tcW w:w="1143" w:type="dxa"/>
            <w:tcBorders>
              <w:top w:val="nil"/>
              <w:left w:val="nil"/>
              <w:bottom w:val="nil"/>
              <w:right w:val="nil"/>
            </w:tcBorders>
            <w:shd w:val="clear" w:color="auto" w:fill="auto"/>
            <w:noWrap/>
            <w:vAlign w:val="center"/>
            <w:hideMark/>
          </w:tcPr>
          <w:p w14:paraId="67E5291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54.89</w:t>
            </w:r>
          </w:p>
        </w:tc>
        <w:tc>
          <w:tcPr>
            <w:tcW w:w="1201" w:type="dxa"/>
            <w:tcBorders>
              <w:top w:val="nil"/>
              <w:left w:val="nil"/>
              <w:bottom w:val="nil"/>
              <w:right w:val="nil"/>
            </w:tcBorders>
            <w:shd w:val="clear" w:color="auto" w:fill="auto"/>
            <w:noWrap/>
            <w:vAlign w:val="center"/>
            <w:hideMark/>
          </w:tcPr>
          <w:p w14:paraId="5D6695F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134.13</w:t>
            </w:r>
          </w:p>
        </w:tc>
        <w:tc>
          <w:tcPr>
            <w:tcW w:w="1133" w:type="dxa"/>
            <w:tcBorders>
              <w:top w:val="nil"/>
              <w:left w:val="nil"/>
              <w:bottom w:val="nil"/>
              <w:right w:val="nil"/>
            </w:tcBorders>
            <w:shd w:val="clear" w:color="auto" w:fill="auto"/>
            <w:noWrap/>
            <w:vAlign w:val="center"/>
            <w:hideMark/>
          </w:tcPr>
          <w:p w14:paraId="43944EE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198.08</w:t>
            </w:r>
          </w:p>
        </w:tc>
        <w:tc>
          <w:tcPr>
            <w:tcW w:w="1211" w:type="dxa"/>
            <w:tcBorders>
              <w:top w:val="nil"/>
              <w:left w:val="nil"/>
              <w:bottom w:val="nil"/>
              <w:right w:val="nil"/>
            </w:tcBorders>
            <w:shd w:val="clear" w:color="auto" w:fill="auto"/>
            <w:noWrap/>
            <w:vAlign w:val="center"/>
            <w:hideMark/>
          </w:tcPr>
          <w:p w14:paraId="2BA36E1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115.96</w:t>
            </w:r>
          </w:p>
        </w:tc>
      </w:tr>
      <w:tr w:rsidR="00A10C66" w:rsidRPr="00A47D41" w14:paraId="5AF03059"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40D91DD1"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Prob.</w:t>
            </w:r>
          </w:p>
        </w:tc>
        <w:tc>
          <w:tcPr>
            <w:tcW w:w="1201" w:type="dxa"/>
            <w:tcBorders>
              <w:top w:val="nil"/>
              <w:left w:val="nil"/>
              <w:bottom w:val="nil"/>
              <w:right w:val="nil"/>
            </w:tcBorders>
            <w:shd w:val="clear" w:color="auto" w:fill="auto"/>
            <w:noWrap/>
            <w:vAlign w:val="center"/>
            <w:hideMark/>
          </w:tcPr>
          <w:p w14:paraId="6459BD7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220" w:type="dxa"/>
            <w:tcBorders>
              <w:top w:val="nil"/>
              <w:left w:val="nil"/>
              <w:bottom w:val="nil"/>
              <w:right w:val="nil"/>
            </w:tcBorders>
            <w:shd w:val="clear" w:color="auto" w:fill="auto"/>
            <w:noWrap/>
            <w:vAlign w:val="center"/>
            <w:hideMark/>
          </w:tcPr>
          <w:p w14:paraId="61C605D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0.03</w:t>
            </w:r>
          </w:p>
        </w:tc>
        <w:tc>
          <w:tcPr>
            <w:tcW w:w="1182" w:type="dxa"/>
            <w:tcBorders>
              <w:top w:val="nil"/>
              <w:left w:val="nil"/>
              <w:bottom w:val="nil"/>
              <w:right w:val="nil"/>
            </w:tcBorders>
            <w:shd w:val="clear" w:color="auto" w:fill="auto"/>
            <w:noWrap/>
            <w:vAlign w:val="center"/>
            <w:hideMark/>
          </w:tcPr>
          <w:p w14:paraId="04DC2A1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123" w:type="dxa"/>
            <w:tcBorders>
              <w:top w:val="nil"/>
              <w:left w:val="nil"/>
              <w:bottom w:val="nil"/>
              <w:right w:val="nil"/>
            </w:tcBorders>
            <w:shd w:val="clear" w:color="auto" w:fill="auto"/>
            <w:noWrap/>
            <w:vAlign w:val="center"/>
            <w:hideMark/>
          </w:tcPr>
          <w:p w14:paraId="0D473AF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143" w:type="dxa"/>
            <w:tcBorders>
              <w:top w:val="nil"/>
              <w:left w:val="nil"/>
              <w:bottom w:val="nil"/>
              <w:right w:val="nil"/>
            </w:tcBorders>
            <w:shd w:val="clear" w:color="auto" w:fill="auto"/>
            <w:noWrap/>
            <w:vAlign w:val="center"/>
            <w:hideMark/>
          </w:tcPr>
          <w:p w14:paraId="00AD558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201" w:type="dxa"/>
            <w:tcBorders>
              <w:top w:val="nil"/>
              <w:left w:val="nil"/>
              <w:bottom w:val="nil"/>
              <w:right w:val="nil"/>
            </w:tcBorders>
            <w:shd w:val="clear" w:color="auto" w:fill="auto"/>
            <w:noWrap/>
            <w:vAlign w:val="center"/>
            <w:hideMark/>
          </w:tcPr>
          <w:p w14:paraId="14B68F9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133" w:type="dxa"/>
            <w:tcBorders>
              <w:top w:val="nil"/>
              <w:left w:val="nil"/>
              <w:bottom w:val="nil"/>
              <w:right w:val="nil"/>
            </w:tcBorders>
            <w:shd w:val="clear" w:color="auto" w:fill="auto"/>
            <w:noWrap/>
            <w:vAlign w:val="center"/>
            <w:hideMark/>
          </w:tcPr>
          <w:p w14:paraId="3AB0014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211" w:type="dxa"/>
            <w:tcBorders>
              <w:top w:val="nil"/>
              <w:left w:val="nil"/>
              <w:bottom w:val="nil"/>
              <w:right w:val="nil"/>
            </w:tcBorders>
            <w:shd w:val="clear" w:color="auto" w:fill="auto"/>
            <w:noWrap/>
            <w:vAlign w:val="center"/>
            <w:hideMark/>
          </w:tcPr>
          <w:p w14:paraId="0D2EE41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r>
      <w:tr w:rsidR="00A10C66" w:rsidRPr="00A47D41" w14:paraId="3DBD08AF" w14:textId="77777777" w:rsidTr="00A10C66">
        <w:trPr>
          <w:trHeight w:val="310"/>
        </w:trPr>
        <w:tc>
          <w:tcPr>
            <w:tcW w:w="1086" w:type="dxa"/>
            <w:tcBorders>
              <w:top w:val="nil"/>
              <w:left w:val="nil"/>
              <w:bottom w:val="nil"/>
              <w:right w:val="single" w:sz="4" w:space="0" w:color="auto"/>
            </w:tcBorders>
            <w:shd w:val="clear" w:color="auto" w:fill="auto"/>
            <w:noWrap/>
            <w:vAlign w:val="center"/>
            <w:hideMark/>
          </w:tcPr>
          <w:p w14:paraId="4B7BADC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Obs.</w:t>
            </w:r>
          </w:p>
        </w:tc>
        <w:tc>
          <w:tcPr>
            <w:tcW w:w="1201" w:type="dxa"/>
            <w:tcBorders>
              <w:top w:val="nil"/>
              <w:left w:val="nil"/>
              <w:bottom w:val="nil"/>
              <w:right w:val="nil"/>
            </w:tcBorders>
            <w:shd w:val="clear" w:color="auto" w:fill="auto"/>
            <w:noWrap/>
            <w:vAlign w:val="center"/>
            <w:hideMark/>
          </w:tcPr>
          <w:p w14:paraId="62C7B21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220" w:type="dxa"/>
            <w:tcBorders>
              <w:top w:val="nil"/>
              <w:left w:val="nil"/>
              <w:bottom w:val="nil"/>
              <w:right w:val="nil"/>
            </w:tcBorders>
            <w:shd w:val="clear" w:color="auto" w:fill="auto"/>
            <w:noWrap/>
            <w:vAlign w:val="center"/>
            <w:hideMark/>
          </w:tcPr>
          <w:p w14:paraId="2209138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182" w:type="dxa"/>
            <w:tcBorders>
              <w:top w:val="nil"/>
              <w:left w:val="nil"/>
              <w:bottom w:val="nil"/>
              <w:right w:val="nil"/>
            </w:tcBorders>
            <w:shd w:val="clear" w:color="auto" w:fill="auto"/>
            <w:noWrap/>
            <w:vAlign w:val="center"/>
            <w:hideMark/>
          </w:tcPr>
          <w:p w14:paraId="513EC15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123" w:type="dxa"/>
            <w:tcBorders>
              <w:top w:val="nil"/>
              <w:left w:val="nil"/>
              <w:bottom w:val="nil"/>
              <w:right w:val="nil"/>
            </w:tcBorders>
            <w:shd w:val="clear" w:color="auto" w:fill="auto"/>
            <w:noWrap/>
            <w:vAlign w:val="center"/>
            <w:hideMark/>
          </w:tcPr>
          <w:p w14:paraId="6F8CE3C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143" w:type="dxa"/>
            <w:tcBorders>
              <w:top w:val="nil"/>
              <w:left w:val="nil"/>
              <w:bottom w:val="nil"/>
              <w:right w:val="nil"/>
            </w:tcBorders>
            <w:shd w:val="clear" w:color="auto" w:fill="auto"/>
            <w:noWrap/>
            <w:vAlign w:val="center"/>
            <w:hideMark/>
          </w:tcPr>
          <w:p w14:paraId="0B0B1EB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201" w:type="dxa"/>
            <w:tcBorders>
              <w:top w:val="nil"/>
              <w:left w:val="nil"/>
              <w:bottom w:val="nil"/>
              <w:right w:val="nil"/>
            </w:tcBorders>
            <w:shd w:val="clear" w:color="auto" w:fill="auto"/>
            <w:noWrap/>
            <w:vAlign w:val="center"/>
            <w:hideMark/>
          </w:tcPr>
          <w:p w14:paraId="44A608A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133" w:type="dxa"/>
            <w:tcBorders>
              <w:top w:val="nil"/>
              <w:left w:val="nil"/>
              <w:bottom w:val="nil"/>
              <w:right w:val="nil"/>
            </w:tcBorders>
            <w:shd w:val="clear" w:color="auto" w:fill="auto"/>
            <w:noWrap/>
            <w:vAlign w:val="center"/>
            <w:hideMark/>
          </w:tcPr>
          <w:p w14:paraId="30A6D50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211" w:type="dxa"/>
            <w:tcBorders>
              <w:top w:val="nil"/>
              <w:left w:val="nil"/>
              <w:bottom w:val="nil"/>
              <w:right w:val="nil"/>
            </w:tcBorders>
            <w:shd w:val="clear" w:color="auto" w:fill="auto"/>
            <w:noWrap/>
            <w:vAlign w:val="center"/>
            <w:hideMark/>
          </w:tcPr>
          <w:p w14:paraId="0B46FF4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r>
    </w:tbl>
    <w:p w14:paraId="18030801" w14:textId="77777777" w:rsidR="00A10C66" w:rsidRPr="00A47D41" w:rsidRDefault="00A10C66" w:rsidP="00A10C66">
      <w:pPr>
        <w:spacing w:after="0" w:line="480" w:lineRule="auto"/>
        <w:jc w:val="both"/>
        <w:rPr>
          <w:rFonts w:ascii="Times New Roman" w:hAnsi="Times New Roman" w:cs="Times New Roman"/>
          <w:sz w:val="20"/>
          <w:szCs w:val="20"/>
        </w:rPr>
      </w:pPr>
    </w:p>
    <w:p w14:paraId="4756CD74" w14:textId="77777777" w:rsidR="00A10C66" w:rsidRDefault="00A10C66" w:rsidP="00A10C66">
      <w:pPr>
        <w:spacing w:after="0" w:line="480" w:lineRule="auto"/>
        <w:jc w:val="both"/>
        <w:rPr>
          <w:rFonts w:ascii="Times New Roman" w:hAnsi="Times New Roman" w:cs="Times New Roman"/>
          <w:sz w:val="20"/>
          <w:szCs w:val="20"/>
        </w:rPr>
      </w:pPr>
    </w:p>
    <w:p w14:paraId="6814B2BB" w14:textId="77777777" w:rsidR="00A10C66" w:rsidRDefault="00A10C66" w:rsidP="00A10C66">
      <w:pPr>
        <w:spacing w:after="0" w:line="480" w:lineRule="auto"/>
        <w:jc w:val="both"/>
        <w:rPr>
          <w:rFonts w:ascii="Times New Roman" w:hAnsi="Times New Roman" w:cs="Times New Roman"/>
          <w:sz w:val="20"/>
          <w:szCs w:val="20"/>
        </w:rPr>
      </w:pPr>
    </w:p>
    <w:p w14:paraId="7D1996BB" w14:textId="77777777" w:rsidR="00A10C66" w:rsidRDefault="00A10C66" w:rsidP="00A10C66">
      <w:pPr>
        <w:spacing w:after="0" w:line="480" w:lineRule="auto"/>
        <w:jc w:val="both"/>
        <w:rPr>
          <w:rFonts w:ascii="Times New Roman" w:hAnsi="Times New Roman" w:cs="Times New Roman"/>
          <w:sz w:val="20"/>
          <w:szCs w:val="20"/>
        </w:rPr>
      </w:pPr>
    </w:p>
    <w:p w14:paraId="59B88C3A" w14:textId="77777777" w:rsidR="00A10C66" w:rsidRDefault="00A10C66" w:rsidP="00A10C66">
      <w:pPr>
        <w:spacing w:after="0" w:line="480" w:lineRule="auto"/>
        <w:jc w:val="both"/>
        <w:rPr>
          <w:rFonts w:ascii="Times New Roman" w:hAnsi="Times New Roman" w:cs="Times New Roman"/>
          <w:sz w:val="20"/>
          <w:szCs w:val="20"/>
        </w:rPr>
      </w:pPr>
    </w:p>
    <w:p w14:paraId="17E8767F" w14:textId="77777777" w:rsidR="00A10C66" w:rsidRDefault="00A10C66" w:rsidP="00A10C66">
      <w:pPr>
        <w:spacing w:after="0" w:line="480" w:lineRule="auto"/>
        <w:jc w:val="both"/>
        <w:rPr>
          <w:rFonts w:ascii="Times New Roman" w:hAnsi="Times New Roman" w:cs="Times New Roman"/>
          <w:sz w:val="20"/>
          <w:szCs w:val="20"/>
        </w:rPr>
      </w:pPr>
    </w:p>
    <w:p w14:paraId="4C16AF6B" w14:textId="77777777" w:rsidR="00A10C66" w:rsidRDefault="00A10C66" w:rsidP="00A10C66">
      <w:pPr>
        <w:spacing w:after="0" w:line="480" w:lineRule="auto"/>
        <w:jc w:val="both"/>
        <w:rPr>
          <w:rFonts w:ascii="Times New Roman" w:hAnsi="Times New Roman" w:cs="Times New Roman"/>
          <w:sz w:val="20"/>
          <w:szCs w:val="20"/>
        </w:rPr>
      </w:pPr>
    </w:p>
    <w:p w14:paraId="1D546813" w14:textId="77777777" w:rsidR="00A10C66" w:rsidRDefault="00A10C66" w:rsidP="00A10C66">
      <w:pPr>
        <w:spacing w:after="0" w:line="480" w:lineRule="auto"/>
        <w:jc w:val="both"/>
        <w:rPr>
          <w:rFonts w:ascii="Times New Roman" w:hAnsi="Times New Roman" w:cs="Times New Roman"/>
          <w:sz w:val="20"/>
          <w:szCs w:val="20"/>
        </w:rPr>
      </w:pPr>
    </w:p>
    <w:p w14:paraId="4A297053" w14:textId="77777777" w:rsidR="00A10C66" w:rsidRDefault="00A10C66" w:rsidP="00A10C66">
      <w:pPr>
        <w:spacing w:after="0" w:line="480" w:lineRule="auto"/>
        <w:jc w:val="both"/>
        <w:rPr>
          <w:rFonts w:ascii="Times New Roman" w:hAnsi="Times New Roman" w:cs="Times New Roman"/>
          <w:sz w:val="20"/>
          <w:szCs w:val="20"/>
        </w:rPr>
      </w:pPr>
    </w:p>
    <w:p w14:paraId="32C70EAC" w14:textId="77777777" w:rsidR="00A10C66" w:rsidRPr="000A1404" w:rsidRDefault="00A10C66" w:rsidP="00A10C66">
      <w:pPr>
        <w:spacing w:after="0" w:line="480" w:lineRule="auto"/>
        <w:jc w:val="both"/>
        <w:rPr>
          <w:rFonts w:ascii="Times New Roman" w:hAnsi="Times New Roman" w:cs="Times New Roman"/>
          <w:sz w:val="20"/>
          <w:szCs w:val="20"/>
        </w:rPr>
      </w:pPr>
      <w:r w:rsidRPr="000A1404">
        <w:rPr>
          <w:rFonts w:ascii="Times New Roman" w:hAnsi="Times New Roman" w:cs="Times New Roman"/>
          <w:sz w:val="20"/>
          <w:szCs w:val="20"/>
        </w:rPr>
        <w:lastRenderedPageBreak/>
        <w:t xml:space="preserve">Panel (b): Country indices Descriptive Statistics. This panel reports the same set of descriptive statistics for the country group indices. We find similar results that the high risk portfolio has higher standard deviation and positive skewness. However, the low risk portfolio has lower standard deviation and its skewness is negative which is similar to the world index. </w:t>
      </w:r>
    </w:p>
    <w:p w14:paraId="198AB341" w14:textId="77777777" w:rsidR="00A10C66" w:rsidRPr="00A47D41" w:rsidRDefault="00A10C66" w:rsidP="00A10C66">
      <w:pPr>
        <w:spacing w:after="0" w:line="480" w:lineRule="auto"/>
        <w:jc w:val="both"/>
        <w:rPr>
          <w:rFonts w:ascii="Times New Roman" w:hAnsi="Times New Roman" w:cs="Times New Roman"/>
          <w:sz w:val="24"/>
          <w:szCs w:val="24"/>
        </w:rPr>
      </w:pPr>
    </w:p>
    <w:tbl>
      <w:tblPr>
        <w:tblW w:w="7540" w:type="dxa"/>
        <w:tblInd w:w="93" w:type="dxa"/>
        <w:tblLook w:val="04A0" w:firstRow="1" w:lastRow="0" w:firstColumn="1" w:lastColumn="0" w:noHBand="0" w:noVBand="1"/>
      </w:tblPr>
      <w:tblGrid>
        <w:gridCol w:w="1660"/>
        <w:gridCol w:w="1960"/>
        <w:gridCol w:w="1960"/>
        <w:gridCol w:w="1960"/>
      </w:tblGrid>
      <w:tr w:rsidR="00A10C66" w:rsidRPr="00A47D41" w14:paraId="47B4FCAE" w14:textId="77777777" w:rsidTr="00A10C66">
        <w:trPr>
          <w:trHeight w:val="207"/>
        </w:trPr>
        <w:tc>
          <w:tcPr>
            <w:tcW w:w="1660" w:type="dxa"/>
            <w:tcBorders>
              <w:top w:val="nil"/>
              <w:left w:val="nil"/>
              <w:bottom w:val="single" w:sz="4" w:space="0" w:color="auto"/>
              <w:right w:val="single" w:sz="4" w:space="0" w:color="auto"/>
            </w:tcBorders>
            <w:shd w:val="clear" w:color="auto" w:fill="auto"/>
            <w:noWrap/>
            <w:vAlign w:val="center"/>
            <w:hideMark/>
          </w:tcPr>
          <w:p w14:paraId="790B852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1960" w:type="dxa"/>
            <w:tcBorders>
              <w:top w:val="nil"/>
              <w:left w:val="nil"/>
              <w:bottom w:val="single" w:sz="4" w:space="0" w:color="auto"/>
              <w:right w:val="nil"/>
            </w:tcBorders>
            <w:shd w:val="clear" w:color="auto" w:fill="auto"/>
            <w:noWrap/>
            <w:vAlign w:val="center"/>
            <w:hideMark/>
          </w:tcPr>
          <w:p w14:paraId="49FF0586"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LOW</w:t>
            </w:r>
          </w:p>
        </w:tc>
        <w:tc>
          <w:tcPr>
            <w:tcW w:w="1960" w:type="dxa"/>
            <w:tcBorders>
              <w:top w:val="nil"/>
              <w:left w:val="nil"/>
              <w:bottom w:val="single" w:sz="4" w:space="0" w:color="auto"/>
              <w:right w:val="nil"/>
            </w:tcBorders>
            <w:shd w:val="clear" w:color="auto" w:fill="auto"/>
            <w:noWrap/>
            <w:vAlign w:val="center"/>
            <w:hideMark/>
          </w:tcPr>
          <w:p w14:paraId="5783CAE8"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HIGH</w:t>
            </w:r>
          </w:p>
        </w:tc>
        <w:tc>
          <w:tcPr>
            <w:tcW w:w="1960" w:type="dxa"/>
            <w:tcBorders>
              <w:top w:val="nil"/>
              <w:left w:val="nil"/>
              <w:bottom w:val="single" w:sz="4" w:space="0" w:color="auto"/>
              <w:right w:val="nil"/>
            </w:tcBorders>
            <w:shd w:val="clear" w:color="auto" w:fill="auto"/>
            <w:noWrap/>
            <w:vAlign w:val="center"/>
            <w:hideMark/>
          </w:tcPr>
          <w:p w14:paraId="760C0F5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MSWRLD$</w:t>
            </w:r>
          </w:p>
        </w:tc>
      </w:tr>
      <w:tr w:rsidR="00A10C66" w:rsidRPr="00A47D41" w14:paraId="57487225"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054E8019"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Mean</w:t>
            </w:r>
          </w:p>
        </w:tc>
        <w:tc>
          <w:tcPr>
            <w:tcW w:w="1960" w:type="dxa"/>
            <w:tcBorders>
              <w:top w:val="nil"/>
              <w:left w:val="nil"/>
              <w:bottom w:val="nil"/>
              <w:right w:val="nil"/>
            </w:tcBorders>
            <w:shd w:val="clear" w:color="auto" w:fill="auto"/>
            <w:noWrap/>
            <w:vAlign w:val="center"/>
            <w:hideMark/>
          </w:tcPr>
          <w:p w14:paraId="2F94ED3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7.74</w:t>
            </w:r>
          </w:p>
        </w:tc>
        <w:tc>
          <w:tcPr>
            <w:tcW w:w="1960" w:type="dxa"/>
            <w:tcBorders>
              <w:top w:val="nil"/>
              <w:left w:val="nil"/>
              <w:bottom w:val="nil"/>
              <w:right w:val="nil"/>
            </w:tcBorders>
            <w:shd w:val="clear" w:color="auto" w:fill="auto"/>
            <w:noWrap/>
            <w:vAlign w:val="center"/>
            <w:hideMark/>
          </w:tcPr>
          <w:p w14:paraId="7F5E12C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7.18</w:t>
            </w:r>
          </w:p>
        </w:tc>
        <w:tc>
          <w:tcPr>
            <w:tcW w:w="1960" w:type="dxa"/>
            <w:tcBorders>
              <w:top w:val="nil"/>
              <w:left w:val="nil"/>
              <w:bottom w:val="nil"/>
              <w:right w:val="nil"/>
            </w:tcBorders>
            <w:shd w:val="clear" w:color="auto" w:fill="auto"/>
            <w:noWrap/>
            <w:vAlign w:val="center"/>
            <w:hideMark/>
          </w:tcPr>
          <w:p w14:paraId="570433E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7.08</w:t>
            </w:r>
          </w:p>
        </w:tc>
      </w:tr>
      <w:tr w:rsidR="00A10C66" w:rsidRPr="00A47D41" w14:paraId="7B1FC286"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114FE2FD"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Median</w:t>
            </w:r>
          </w:p>
        </w:tc>
        <w:tc>
          <w:tcPr>
            <w:tcW w:w="1960" w:type="dxa"/>
            <w:tcBorders>
              <w:top w:val="nil"/>
              <w:left w:val="nil"/>
              <w:bottom w:val="nil"/>
              <w:right w:val="nil"/>
            </w:tcBorders>
            <w:shd w:val="clear" w:color="auto" w:fill="auto"/>
            <w:noWrap/>
            <w:vAlign w:val="center"/>
            <w:hideMark/>
          </w:tcPr>
          <w:p w14:paraId="40C3CCD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7.74</w:t>
            </w:r>
          </w:p>
        </w:tc>
        <w:tc>
          <w:tcPr>
            <w:tcW w:w="1960" w:type="dxa"/>
            <w:tcBorders>
              <w:top w:val="nil"/>
              <w:left w:val="nil"/>
              <w:bottom w:val="nil"/>
              <w:right w:val="nil"/>
            </w:tcBorders>
            <w:shd w:val="clear" w:color="auto" w:fill="auto"/>
            <w:noWrap/>
            <w:vAlign w:val="center"/>
            <w:hideMark/>
          </w:tcPr>
          <w:p w14:paraId="32953DA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7.06</w:t>
            </w:r>
          </w:p>
        </w:tc>
        <w:tc>
          <w:tcPr>
            <w:tcW w:w="1960" w:type="dxa"/>
            <w:tcBorders>
              <w:top w:val="nil"/>
              <w:left w:val="nil"/>
              <w:bottom w:val="nil"/>
              <w:right w:val="nil"/>
            </w:tcBorders>
            <w:shd w:val="clear" w:color="auto" w:fill="auto"/>
            <w:noWrap/>
            <w:vAlign w:val="center"/>
            <w:hideMark/>
          </w:tcPr>
          <w:p w14:paraId="226AED5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7.09</w:t>
            </w:r>
          </w:p>
        </w:tc>
      </w:tr>
      <w:tr w:rsidR="00A10C66" w:rsidRPr="00A47D41" w14:paraId="455CAC11"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0C76770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Maximum</w:t>
            </w:r>
          </w:p>
        </w:tc>
        <w:tc>
          <w:tcPr>
            <w:tcW w:w="1960" w:type="dxa"/>
            <w:tcBorders>
              <w:top w:val="nil"/>
              <w:left w:val="nil"/>
              <w:bottom w:val="nil"/>
              <w:right w:val="nil"/>
            </w:tcBorders>
            <w:shd w:val="clear" w:color="auto" w:fill="auto"/>
            <w:noWrap/>
            <w:vAlign w:val="center"/>
            <w:hideMark/>
          </w:tcPr>
          <w:p w14:paraId="37C22EF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8.21</w:t>
            </w:r>
          </w:p>
        </w:tc>
        <w:tc>
          <w:tcPr>
            <w:tcW w:w="1960" w:type="dxa"/>
            <w:tcBorders>
              <w:top w:val="nil"/>
              <w:left w:val="nil"/>
              <w:bottom w:val="nil"/>
              <w:right w:val="nil"/>
            </w:tcBorders>
            <w:shd w:val="clear" w:color="auto" w:fill="auto"/>
            <w:noWrap/>
            <w:vAlign w:val="center"/>
            <w:hideMark/>
          </w:tcPr>
          <w:p w14:paraId="2F90ECF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7.95</w:t>
            </w:r>
          </w:p>
        </w:tc>
        <w:tc>
          <w:tcPr>
            <w:tcW w:w="1960" w:type="dxa"/>
            <w:tcBorders>
              <w:top w:val="nil"/>
              <w:left w:val="nil"/>
              <w:bottom w:val="nil"/>
              <w:right w:val="nil"/>
            </w:tcBorders>
            <w:shd w:val="clear" w:color="auto" w:fill="auto"/>
            <w:noWrap/>
            <w:vAlign w:val="center"/>
            <w:hideMark/>
          </w:tcPr>
          <w:p w14:paraId="65DF5F6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7.43</w:t>
            </w:r>
          </w:p>
        </w:tc>
      </w:tr>
      <w:tr w:rsidR="00A10C66" w:rsidRPr="00A47D41" w14:paraId="55660F84"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0F41EF5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Minimum</w:t>
            </w:r>
          </w:p>
        </w:tc>
        <w:tc>
          <w:tcPr>
            <w:tcW w:w="1960" w:type="dxa"/>
            <w:tcBorders>
              <w:top w:val="nil"/>
              <w:left w:val="nil"/>
              <w:bottom w:val="nil"/>
              <w:right w:val="nil"/>
            </w:tcBorders>
            <w:shd w:val="clear" w:color="auto" w:fill="auto"/>
            <w:noWrap/>
            <w:vAlign w:val="center"/>
            <w:hideMark/>
          </w:tcPr>
          <w:p w14:paraId="6F882E1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7.09</w:t>
            </w:r>
          </w:p>
        </w:tc>
        <w:tc>
          <w:tcPr>
            <w:tcW w:w="1960" w:type="dxa"/>
            <w:tcBorders>
              <w:top w:val="nil"/>
              <w:left w:val="nil"/>
              <w:bottom w:val="nil"/>
              <w:right w:val="nil"/>
            </w:tcBorders>
            <w:shd w:val="clear" w:color="auto" w:fill="auto"/>
            <w:noWrap/>
            <w:vAlign w:val="center"/>
            <w:hideMark/>
          </w:tcPr>
          <w:p w14:paraId="565D968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6.35</w:t>
            </w:r>
          </w:p>
        </w:tc>
        <w:tc>
          <w:tcPr>
            <w:tcW w:w="1960" w:type="dxa"/>
            <w:tcBorders>
              <w:top w:val="nil"/>
              <w:left w:val="nil"/>
              <w:bottom w:val="nil"/>
              <w:right w:val="nil"/>
            </w:tcBorders>
            <w:shd w:val="clear" w:color="auto" w:fill="auto"/>
            <w:noWrap/>
            <w:vAlign w:val="center"/>
            <w:hideMark/>
          </w:tcPr>
          <w:p w14:paraId="5F6589D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6.53</w:t>
            </w:r>
          </w:p>
        </w:tc>
      </w:tr>
      <w:tr w:rsidR="00A10C66" w:rsidRPr="00A47D41" w14:paraId="4690FD68"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476E11F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Std. Dev.</w:t>
            </w:r>
          </w:p>
        </w:tc>
        <w:tc>
          <w:tcPr>
            <w:tcW w:w="1960" w:type="dxa"/>
            <w:tcBorders>
              <w:top w:val="nil"/>
              <w:left w:val="nil"/>
              <w:bottom w:val="nil"/>
              <w:right w:val="nil"/>
            </w:tcBorders>
            <w:shd w:val="clear" w:color="auto" w:fill="auto"/>
            <w:noWrap/>
            <w:vAlign w:val="center"/>
            <w:hideMark/>
          </w:tcPr>
          <w:p w14:paraId="64B3465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0.23</w:t>
            </w:r>
          </w:p>
        </w:tc>
        <w:tc>
          <w:tcPr>
            <w:tcW w:w="1960" w:type="dxa"/>
            <w:tcBorders>
              <w:top w:val="nil"/>
              <w:left w:val="nil"/>
              <w:bottom w:val="nil"/>
              <w:right w:val="nil"/>
            </w:tcBorders>
            <w:shd w:val="clear" w:color="auto" w:fill="auto"/>
            <w:noWrap/>
            <w:vAlign w:val="center"/>
            <w:hideMark/>
          </w:tcPr>
          <w:p w14:paraId="4C9E076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0.40</w:t>
            </w:r>
          </w:p>
        </w:tc>
        <w:tc>
          <w:tcPr>
            <w:tcW w:w="1960" w:type="dxa"/>
            <w:tcBorders>
              <w:top w:val="nil"/>
              <w:left w:val="nil"/>
              <w:bottom w:val="nil"/>
              <w:right w:val="nil"/>
            </w:tcBorders>
            <w:shd w:val="clear" w:color="auto" w:fill="auto"/>
            <w:noWrap/>
            <w:vAlign w:val="center"/>
            <w:hideMark/>
          </w:tcPr>
          <w:p w14:paraId="658F53D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0.18</w:t>
            </w:r>
          </w:p>
        </w:tc>
      </w:tr>
      <w:tr w:rsidR="00A10C66" w:rsidRPr="00A47D41" w14:paraId="488FA9CE"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43565A7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Skewness</w:t>
            </w:r>
          </w:p>
        </w:tc>
        <w:tc>
          <w:tcPr>
            <w:tcW w:w="1960" w:type="dxa"/>
            <w:tcBorders>
              <w:top w:val="nil"/>
              <w:left w:val="nil"/>
              <w:bottom w:val="nil"/>
              <w:right w:val="nil"/>
            </w:tcBorders>
            <w:shd w:val="clear" w:color="auto" w:fill="auto"/>
            <w:noWrap/>
            <w:vAlign w:val="center"/>
            <w:hideMark/>
          </w:tcPr>
          <w:p w14:paraId="62DA7A3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-0.17</w:t>
            </w:r>
          </w:p>
        </w:tc>
        <w:tc>
          <w:tcPr>
            <w:tcW w:w="1960" w:type="dxa"/>
            <w:tcBorders>
              <w:top w:val="nil"/>
              <w:left w:val="nil"/>
              <w:bottom w:val="nil"/>
              <w:right w:val="nil"/>
            </w:tcBorders>
            <w:shd w:val="clear" w:color="auto" w:fill="auto"/>
            <w:noWrap/>
            <w:vAlign w:val="center"/>
            <w:hideMark/>
          </w:tcPr>
          <w:p w14:paraId="728EDBF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0.32</w:t>
            </w:r>
          </w:p>
        </w:tc>
        <w:tc>
          <w:tcPr>
            <w:tcW w:w="1960" w:type="dxa"/>
            <w:tcBorders>
              <w:top w:val="nil"/>
              <w:left w:val="nil"/>
              <w:bottom w:val="nil"/>
              <w:right w:val="nil"/>
            </w:tcBorders>
            <w:shd w:val="clear" w:color="auto" w:fill="auto"/>
            <w:noWrap/>
            <w:vAlign w:val="center"/>
            <w:hideMark/>
          </w:tcPr>
          <w:p w14:paraId="6D9A03C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-0.50</w:t>
            </w:r>
          </w:p>
        </w:tc>
      </w:tr>
      <w:tr w:rsidR="00A10C66" w:rsidRPr="00A47D41" w14:paraId="50791479"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4A722CC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Kurtosis</w:t>
            </w:r>
          </w:p>
        </w:tc>
        <w:tc>
          <w:tcPr>
            <w:tcW w:w="1960" w:type="dxa"/>
            <w:tcBorders>
              <w:top w:val="nil"/>
              <w:left w:val="nil"/>
              <w:bottom w:val="nil"/>
              <w:right w:val="nil"/>
            </w:tcBorders>
            <w:shd w:val="clear" w:color="auto" w:fill="auto"/>
            <w:noWrap/>
            <w:vAlign w:val="center"/>
            <w:hideMark/>
          </w:tcPr>
          <w:p w14:paraId="192DED6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2.80</w:t>
            </w:r>
          </w:p>
        </w:tc>
        <w:tc>
          <w:tcPr>
            <w:tcW w:w="1960" w:type="dxa"/>
            <w:tcBorders>
              <w:top w:val="nil"/>
              <w:left w:val="nil"/>
              <w:bottom w:val="nil"/>
              <w:right w:val="nil"/>
            </w:tcBorders>
            <w:shd w:val="clear" w:color="auto" w:fill="auto"/>
            <w:noWrap/>
            <w:vAlign w:val="center"/>
            <w:hideMark/>
          </w:tcPr>
          <w:p w14:paraId="11F9209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1.80</w:t>
            </w:r>
          </w:p>
        </w:tc>
        <w:tc>
          <w:tcPr>
            <w:tcW w:w="1960" w:type="dxa"/>
            <w:tcBorders>
              <w:top w:val="nil"/>
              <w:left w:val="nil"/>
              <w:bottom w:val="nil"/>
              <w:right w:val="nil"/>
            </w:tcBorders>
            <w:shd w:val="clear" w:color="auto" w:fill="auto"/>
            <w:noWrap/>
            <w:vAlign w:val="center"/>
            <w:hideMark/>
          </w:tcPr>
          <w:p w14:paraId="1D6540F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2.85</w:t>
            </w:r>
          </w:p>
        </w:tc>
      </w:tr>
      <w:tr w:rsidR="00A10C66" w:rsidRPr="00A47D41" w14:paraId="2213E242"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5013454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Jarque-Bera</w:t>
            </w:r>
          </w:p>
        </w:tc>
        <w:tc>
          <w:tcPr>
            <w:tcW w:w="1960" w:type="dxa"/>
            <w:tcBorders>
              <w:top w:val="nil"/>
              <w:left w:val="nil"/>
              <w:bottom w:val="nil"/>
              <w:right w:val="nil"/>
            </w:tcBorders>
            <w:shd w:val="clear" w:color="auto" w:fill="auto"/>
            <w:noWrap/>
            <w:vAlign w:val="center"/>
            <w:hideMark/>
          </w:tcPr>
          <w:p w14:paraId="0E551D5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18.03</w:t>
            </w:r>
          </w:p>
        </w:tc>
        <w:tc>
          <w:tcPr>
            <w:tcW w:w="1960" w:type="dxa"/>
            <w:tcBorders>
              <w:top w:val="nil"/>
              <w:left w:val="nil"/>
              <w:bottom w:val="nil"/>
              <w:right w:val="nil"/>
            </w:tcBorders>
            <w:shd w:val="clear" w:color="auto" w:fill="auto"/>
            <w:noWrap/>
            <w:vAlign w:val="center"/>
            <w:hideMark/>
          </w:tcPr>
          <w:p w14:paraId="7253721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207.37</w:t>
            </w:r>
          </w:p>
        </w:tc>
        <w:tc>
          <w:tcPr>
            <w:tcW w:w="1960" w:type="dxa"/>
            <w:tcBorders>
              <w:top w:val="nil"/>
              <w:left w:val="nil"/>
              <w:bottom w:val="nil"/>
              <w:right w:val="nil"/>
            </w:tcBorders>
            <w:shd w:val="clear" w:color="auto" w:fill="auto"/>
            <w:noWrap/>
            <w:vAlign w:val="center"/>
            <w:hideMark/>
          </w:tcPr>
          <w:p w14:paraId="064BB96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115.96</w:t>
            </w:r>
          </w:p>
        </w:tc>
      </w:tr>
      <w:tr w:rsidR="00A10C66" w:rsidRPr="00A47D41" w14:paraId="288396CA"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6FDBC8E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Pr>
                <w:rFonts w:ascii="Times New Roman" w:eastAsia="Times New Roman" w:hAnsi="Times New Roman" w:cs="Times New Roman"/>
                <w:b/>
                <w:bCs/>
                <w:color w:val="000000"/>
                <w:sz w:val="20"/>
                <w:szCs w:val="20"/>
                <w:lang w:eastAsia="zh-CN"/>
              </w:rPr>
              <w:t xml:space="preserve"> Prob.</w:t>
            </w:r>
          </w:p>
        </w:tc>
        <w:tc>
          <w:tcPr>
            <w:tcW w:w="1960" w:type="dxa"/>
            <w:tcBorders>
              <w:top w:val="nil"/>
              <w:left w:val="nil"/>
              <w:bottom w:val="nil"/>
              <w:right w:val="nil"/>
            </w:tcBorders>
            <w:shd w:val="clear" w:color="auto" w:fill="auto"/>
            <w:noWrap/>
            <w:vAlign w:val="center"/>
            <w:hideMark/>
          </w:tcPr>
          <w:p w14:paraId="5DB7385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960" w:type="dxa"/>
            <w:tcBorders>
              <w:top w:val="nil"/>
              <w:left w:val="nil"/>
              <w:bottom w:val="nil"/>
              <w:right w:val="nil"/>
            </w:tcBorders>
            <w:shd w:val="clear" w:color="auto" w:fill="auto"/>
            <w:noWrap/>
            <w:vAlign w:val="center"/>
            <w:hideMark/>
          </w:tcPr>
          <w:p w14:paraId="58F8FCC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c>
          <w:tcPr>
            <w:tcW w:w="1960" w:type="dxa"/>
            <w:tcBorders>
              <w:top w:val="nil"/>
              <w:left w:val="nil"/>
              <w:bottom w:val="nil"/>
              <w:right w:val="nil"/>
            </w:tcBorders>
            <w:shd w:val="clear" w:color="auto" w:fill="auto"/>
            <w:noWrap/>
            <w:vAlign w:val="center"/>
            <w:hideMark/>
          </w:tcPr>
          <w:p w14:paraId="6307423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0.00</w:t>
            </w:r>
          </w:p>
        </w:tc>
      </w:tr>
      <w:tr w:rsidR="00A10C66" w:rsidRPr="00A47D41" w14:paraId="6B89880A" w14:textId="77777777" w:rsidTr="00A10C66">
        <w:trPr>
          <w:trHeight w:val="319"/>
        </w:trPr>
        <w:tc>
          <w:tcPr>
            <w:tcW w:w="1660" w:type="dxa"/>
            <w:tcBorders>
              <w:top w:val="nil"/>
              <w:left w:val="nil"/>
              <w:bottom w:val="nil"/>
              <w:right w:val="single" w:sz="4" w:space="0" w:color="auto"/>
            </w:tcBorders>
            <w:shd w:val="clear" w:color="auto" w:fill="auto"/>
            <w:noWrap/>
            <w:vAlign w:val="center"/>
            <w:hideMark/>
          </w:tcPr>
          <w:p w14:paraId="5B3C8B5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xml:space="preserve"> Observations</w:t>
            </w:r>
          </w:p>
        </w:tc>
        <w:tc>
          <w:tcPr>
            <w:tcW w:w="1960" w:type="dxa"/>
            <w:tcBorders>
              <w:top w:val="nil"/>
              <w:left w:val="nil"/>
              <w:bottom w:val="nil"/>
              <w:right w:val="nil"/>
            </w:tcBorders>
            <w:shd w:val="clear" w:color="auto" w:fill="auto"/>
            <w:noWrap/>
            <w:vAlign w:val="center"/>
            <w:hideMark/>
          </w:tcPr>
          <w:p w14:paraId="3CB9644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960" w:type="dxa"/>
            <w:tcBorders>
              <w:top w:val="nil"/>
              <w:left w:val="nil"/>
              <w:bottom w:val="nil"/>
              <w:right w:val="nil"/>
            </w:tcBorders>
            <w:shd w:val="clear" w:color="auto" w:fill="auto"/>
            <w:noWrap/>
            <w:vAlign w:val="center"/>
            <w:hideMark/>
          </w:tcPr>
          <w:p w14:paraId="2F4937C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c>
          <w:tcPr>
            <w:tcW w:w="1960" w:type="dxa"/>
            <w:tcBorders>
              <w:top w:val="nil"/>
              <w:left w:val="nil"/>
              <w:bottom w:val="nil"/>
              <w:right w:val="nil"/>
            </w:tcBorders>
            <w:shd w:val="clear" w:color="auto" w:fill="auto"/>
            <w:noWrap/>
            <w:vAlign w:val="center"/>
            <w:hideMark/>
          </w:tcPr>
          <w:p w14:paraId="26ECF54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2673</w:t>
            </w:r>
          </w:p>
        </w:tc>
      </w:tr>
    </w:tbl>
    <w:p w14:paraId="1634E823" w14:textId="69C273C3" w:rsidR="00A10C66" w:rsidRDefault="00A10C66" w:rsidP="00A10C66">
      <w:pPr>
        <w:spacing w:line="480" w:lineRule="auto"/>
        <w:rPr>
          <w:rFonts w:ascii="Times New Roman" w:hAnsi="Times New Roman" w:cs="Times New Roman"/>
          <w:b/>
          <w:sz w:val="24"/>
          <w:szCs w:val="24"/>
        </w:rPr>
      </w:pPr>
    </w:p>
    <w:p w14:paraId="63DFEB23" w14:textId="77777777" w:rsidR="00A10C66" w:rsidRDefault="00A10C66">
      <w:pPr>
        <w:rPr>
          <w:rFonts w:ascii="Times New Roman" w:hAnsi="Times New Roman" w:cs="Times New Roman"/>
          <w:b/>
          <w:sz w:val="24"/>
          <w:szCs w:val="24"/>
        </w:rPr>
      </w:pPr>
      <w:r>
        <w:rPr>
          <w:rFonts w:ascii="Times New Roman" w:hAnsi="Times New Roman" w:cs="Times New Roman"/>
          <w:b/>
          <w:sz w:val="24"/>
          <w:szCs w:val="24"/>
        </w:rPr>
        <w:br w:type="page"/>
      </w:r>
    </w:p>
    <w:p w14:paraId="06BA4DFA" w14:textId="77777777" w:rsidR="00A10C66" w:rsidRPr="00A47D41" w:rsidRDefault="00A10C66" w:rsidP="00A10C66">
      <w:pPr>
        <w:spacing w:line="480" w:lineRule="auto"/>
        <w:rPr>
          <w:rFonts w:ascii="Times New Roman" w:hAnsi="Times New Roman" w:cs="Times New Roman"/>
          <w:b/>
          <w:sz w:val="24"/>
          <w:szCs w:val="24"/>
        </w:rPr>
      </w:pPr>
      <w:r w:rsidRPr="00A47D41">
        <w:rPr>
          <w:rFonts w:ascii="Times New Roman" w:hAnsi="Times New Roman" w:cs="Times New Roman"/>
          <w:b/>
          <w:sz w:val="24"/>
          <w:szCs w:val="24"/>
        </w:rPr>
        <w:lastRenderedPageBreak/>
        <w:t>Table 4: Unit Root Tests.</w:t>
      </w:r>
    </w:p>
    <w:p w14:paraId="344E1955" w14:textId="77777777" w:rsidR="00A10C66" w:rsidRPr="000A1404" w:rsidRDefault="00A10C66" w:rsidP="00A10C66">
      <w:pPr>
        <w:spacing w:line="480" w:lineRule="auto"/>
        <w:rPr>
          <w:rFonts w:ascii="Times New Roman" w:hAnsi="Times New Roman" w:cs="Times New Roman"/>
          <w:sz w:val="20"/>
          <w:szCs w:val="20"/>
        </w:rPr>
      </w:pPr>
      <w:r w:rsidRPr="000A1404">
        <w:rPr>
          <w:rFonts w:ascii="Times New Roman" w:hAnsi="Times New Roman" w:cs="Times New Roman"/>
          <w:sz w:val="20"/>
          <w:szCs w:val="20"/>
        </w:rPr>
        <w:t>This table presents results of three unit root tests including ADF, PP and KPSS. These three tests are used to robustly test the stationarity/non-stationarity of the time series we constructed in order to fit multi-variate models. The results are consistent showing that low, high and MSWLDR price series are non-stationary throughout the sample period.</w:t>
      </w:r>
    </w:p>
    <w:tbl>
      <w:tblPr>
        <w:tblW w:w="6754" w:type="dxa"/>
        <w:tblInd w:w="93" w:type="dxa"/>
        <w:tblLook w:val="04A0" w:firstRow="1" w:lastRow="0" w:firstColumn="1" w:lastColumn="0" w:noHBand="0" w:noVBand="1"/>
      </w:tblPr>
      <w:tblGrid>
        <w:gridCol w:w="1340"/>
        <w:gridCol w:w="1349"/>
        <w:gridCol w:w="528"/>
        <w:gridCol w:w="1349"/>
        <w:gridCol w:w="528"/>
        <w:gridCol w:w="874"/>
        <w:gridCol w:w="786"/>
      </w:tblGrid>
      <w:tr w:rsidR="00A10C66" w:rsidRPr="00A47D41" w14:paraId="5825AFCE" w14:textId="77777777" w:rsidTr="00A10C66">
        <w:trPr>
          <w:trHeight w:val="439"/>
        </w:trPr>
        <w:tc>
          <w:tcPr>
            <w:tcW w:w="1340" w:type="dxa"/>
            <w:tcBorders>
              <w:top w:val="nil"/>
              <w:left w:val="nil"/>
              <w:bottom w:val="single" w:sz="4" w:space="0" w:color="auto"/>
              <w:right w:val="single" w:sz="4" w:space="0" w:color="auto"/>
            </w:tcBorders>
            <w:shd w:val="clear" w:color="auto" w:fill="auto"/>
            <w:noWrap/>
            <w:vAlign w:val="center"/>
            <w:hideMark/>
          </w:tcPr>
          <w:p w14:paraId="332E9D7C"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1877" w:type="dxa"/>
            <w:gridSpan w:val="2"/>
            <w:tcBorders>
              <w:top w:val="nil"/>
              <w:left w:val="nil"/>
              <w:bottom w:val="single" w:sz="4" w:space="0" w:color="auto"/>
              <w:right w:val="nil"/>
            </w:tcBorders>
            <w:shd w:val="clear" w:color="auto" w:fill="auto"/>
            <w:noWrap/>
            <w:vAlign w:val="center"/>
            <w:hideMark/>
          </w:tcPr>
          <w:p w14:paraId="1E5C5C1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ADF</w:t>
            </w:r>
          </w:p>
        </w:tc>
        <w:tc>
          <w:tcPr>
            <w:tcW w:w="1877" w:type="dxa"/>
            <w:gridSpan w:val="2"/>
            <w:tcBorders>
              <w:top w:val="nil"/>
              <w:left w:val="nil"/>
              <w:bottom w:val="single" w:sz="4" w:space="0" w:color="auto"/>
              <w:right w:val="nil"/>
            </w:tcBorders>
            <w:shd w:val="clear" w:color="auto" w:fill="auto"/>
            <w:noWrap/>
            <w:vAlign w:val="center"/>
            <w:hideMark/>
          </w:tcPr>
          <w:p w14:paraId="5845A11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PP</w:t>
            </w:r>
          </w:p>
        </w:tc>
        <w:tc>
          <w:tcPr>
            <w:tcW w:w="1660" w:type="dxa"/>
            <w:gridSpan w:val="2"/>
            <w:tcBorders>
              <w:top w:val="nil"/>
              <w:left w:val="nil"/>
              <w:bottom w:val="single" w:sz="4" w:space="0" w:color="auto"/>
              <w:right w:val="nil"/>
            </w:tcBorders>
            <w:shd w:val="clear" w:color="auto" w:fill="auto"/>
            <w:noWrap/>
            <w:vAlign w:val="center"/>
            <w:hideMark/>
          </w:tcPr>
          <w:p w14:paraId="0242CFAC"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KPSS</w:t>
            </w:r>
          </w:p>
        </w:tc>
      </w:tr>
      <w:tr w:rsidR="00A10C66" w:rsidRPr="00A47D41" w14:paraId="4ADEA6F2" w14:textId="77777777" w:rsidTr="00A10C66">
        <w:trPr>
          <w:trHeight w:val="360"/>
        </w:trPr>
        <w:tc>
          <w:tcPr>
            <w:tcW w:w="1340" w:type="dxa"/>
            <w:tcBorders>
              <w:top w:val="nil"/>
              <w:left w:val="nil"/>
              <w:bottom w:val="nil"/>
              <w:right w:val="single" w:sz="4" w:space="0" w:color="auto"/>
            </w:tcBorders>
            <w:shd w:val="clear" w:color="auto" w:fill="auto"/>
            <w:noWrap/>
            <w:vAlign w:val="center"/>
            <w:hideMark/>
          </w:tcPr>
          <w:p w14:paraId="38D66621"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Low</w:t>
            </w:r>
          </w:p>
        </w:tc>
        <w:tc>
          <w:tcPr>
            <w:tcW w:w="1349" w:type="dxa"/>
            <w:tcBorders>
              <w:top w:val="nil"/>
              <w:left w:val="nil"/>
              <w:bottom w:val="nil"/>
              <w:right w:val="nil"/>
            </w:tcBorders>
            <w:shd w:val="clear" w:color="auto" w:fill="auto"/>
            <w:noWrap/>
            <w:vAlign w:val="center"/>
            <w:hideMark/>
          </w:tcPr>
          <w:p w14:paraId="1418C6E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-2.06 (0.26)</w:t>
            </w:r>
          </w:p>
        </w:tc>
        <w:tc>
          <w:tcPr>
            <w:tcW w:w="528" w:type="dxa"/>
            <w:tcBorders>
              <w:top w:val="nil"/>
              <w:left w:val="nil"/>
              <w:bottom w:val="nil"/>
              <w:right w:val="nil"/>
            </w:tcBorders>
            <w:shd w:val="clear" w:color="auto" w:fill="auto"/>
            <w:noWrap/>
            <w:vAlign w:val="center"/>
            <w:hideMark/>
          </w:tcPr>
          <w:p w14:paraId="15922C69"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c>
          <w:tcPr>
            <w:tcW w:w="1349" w:type="dxa"/>
            <w:tcBorders>
              <w:top w:val="nil"/>
              <w:left w:val="nil"/>
              <w:bottom w:val="nil"/>
              <w:right w:val="nil"/>
            </w:tcBorders>
            <w:shd w:val="clear" w:color="auto" w:fill="auto"/>
            <w:noWrap/>
            <w:vAlign w:val="center"/>
            <w:hideMark/>
          </w:tcPr>
          <w:p w14:paraId="23BE71F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-1.98 (0.29)</w:t>
            </w:r>
          </w:p>
        </w:tc>
        <w:tc>
          <w:tcPr>
            <w:tcW w:w="528" w:type="dxa"/>
            <w:tcBorders>
              <w:top w:val="nil"/>
              <w:left w:val="nil"/>
              <w:bottom w:val="nil"/>
              <w:right w:val="nil"/>
            </w:tcBorders>
            <w:shd w:val="clear" w:color="auto" w:fill="auto"/>
            <w:noWrap/>
            <w:vAlign w:val="center"/>
            <w:hideMark/>
          </w:tcPr>
          <w:p w14:paraId="5C27D971"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c>
          <w:tcPr>
            <w:tcW w:w="874" w:type="dxa"/>
            <w:tcBorders>
              <w:top w:val="nil"/>
              <w:left w:val="nil"/>
              <w:bottom w:val="nil"/>
              <w:right w:val="nil"/>
            </w:tcBorders>
            <w:shd w:val="clear" w:color="auto" w:fill="auto"/>
            <w:noWrap/>
            <w:vAlign w:val="center"/>
            <w:hideMark/>
          </w:tcPr>
          <w:p w14:paraId="7FCD986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0.95</w:t>
            </w:r>
          </w:p>
        </w:tc>
        <w:tc>
          <w:tcPr>
            <w:tcW w:w="786" w:type="dxa"/>
            <w:tcBorders>
              <w:top w:val="nil"/>
              <w:left w:val="nil"/>
              <w:bottom w:val="nil"/>
              <w:right w:val="nil"/>
            </w:tcBorders>
            <w:shd w:val="clear" w:color="auto" w:fill="auto"/>
            <w:noWrap/>
            <w:vAlign w:val="center"/>
            <w:hideMark/>
          </w:tcPr>
          <w:p w14:paraId="0D5D2EF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r>
      <w:tr w:rsidR="00A10C66" w:rsidRPr="00A47D41" w14:paraId="1AF0FDB4" w14:textId="77777777" w:rsidTr="00A10C66">
        <w:trPr>
          <w:trHeight w:val="360"/>
        </w:trPr>
        <w:tc>
          <w:tcPr>
            <w:tcW w:w="1340" w:type="dxa"/>
            <w:tcBorders>
              <w:top w:val="nil"/>
              <w:left w:val="nil"/>
              <w:bottom w:val="nil"/>
              <w:right w:val="single" w:sz="4" w:space="0" w:color="auto"/>
            </w:tcBorders>
            <w:shd w:val="clear" w:color="auto" w:fill="auto"/>
            <w:noWrap/>
            <w:vAlign w:val="center"/>
            <w:hideMark/>
          </w:tcPr>
          <w:p w14:paraId="5AB7721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High</w:t>
            </w:r>
          </w:p>
        </w:tc>
        <w:tc>
          <w:tcPr>
            <w:tcW w:w="1349" w:type="dxa"/>
            <w:tcBorders>
              <w:top w:val="nil"/>
              <w:left w:val="nil"/>
              <w:bottom w:val="nil"/>
              <w:right w:val="nil"/>
            </w:tcBorders>
            <w:shd w:val="clear" w:color="auto" w:fill="auto"/>
            <w:noWrap/>
            <w:vAlign w:val="center"/>
            <w:hideMark/>
          </w:tcPr>
          <w:p w14:paraId="4AA1F1C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-1.10 (0.71)</w:t>
            </w:r>
          </w:p>
        </w:tc>
        <w:tc>
          <w:tcPr>
            <w:tcW w:w="528" w:type="dxa"/>
            <w:tcBorders>
              <w:top w:val="nil"/>
              <w:left w:val="nil"/>
              <w:bottom w:val="nil"/>
              <w:right w:val="nil"/>
            </w:tcBorders>
            <w:shd w:val="clear" w:color="auto" w:fill="auto"/>
            <w:noWrap/>
            <w:vAlign w:val="center"/>
            <w:hideMark/>
          </w:tcPr>
          <w:p w14:paraId="41C5CD1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c>
          <w:tcPr>
            <w:tcW w:w="1349" w:type="dxa"/>
            <w:tcBorders>
              <w:top w:val="nil"/>
              <w:left w:val="nil"/>
              <w:bottom w:val="nil"/>
              <w:right w:val="nil"/>
            </w:tcBorders>
            <w:shd w:val="clear" w:color="auto" w:fill="auto"/>
            <w:noWrap/>
            <w:vAlign w:val="center"/>
            <w:hideMark/>
          </w:tcPr>
          <w:p w14:paraId="5C5ABF9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-1.08 (0.73)</w:t>
            </w:r>
          </w:p>
        </w:tc>
        <w:tc>
          <w:tcPr>
            <w:tcW w:w="528" w:type="dxa"/>
            <w:tcBorders>
              <w:top w:val="nil"/>
              <w:left w:val="nil"/>
              <w:bottom w:val="nil"/>
              <w:right w:val="nil"/>
            </w:tcBorders>
            <w:shd w:val="clear" w:color="auto" w:fill="auto"/>
            <w:noWrap/>
            <w:vAlign w:val="center"/>
            <w:hideMark/>
          </w:tcPr>
          <w:p w14:paraId="207570A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c>
          <w:tcPr>
            <w:tcW w:w="874" w:type="dxa"/>
            <w:tcBorders>
              <w:top w:val="nil"/>
              <w:left w:val="nil"/>
              <w:bottom w:val="nil"/>
              <w:right w:val="nil"/>
            </w:tcBorders>
            <w:shd w:val="clear" w:color="auto" w:fill="auto"/>
            <w:noWrap/>
            <w:vAlign w:val="center"/>
            <w:hideMark/>
          </w:tcPr>
          <w:p w14:paraId="546EA9B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2.14</w:t>
            </w:r>
          </w:p>
        </w:tc>
        <w:tc>
          <w:tcPr>
            <w:tcW w:w="786" w:type="dxa"/>
            <w:tcBorders>
              <w:top w:val="nil"/>
              <w:left w:val="nil"/>
              <w:bottom w:val="nil"/>
              <w:right w:val="nil"/>
            </w:tcBorders>
            <w:shd w:val="clear" w:color="auto" w:fill="auto"/>
            <w:noWrap/>
            <w:vAlign w:val="center"/>
            <w:hideMark/>
          </w:tcPr>
          <w:p w14:paraId="34722B39"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r>
      <w:tr w:rsidR="00A10C66" w:rsidRPr="00A47D41" w14:paraId="7DFA1B3D" w14:textId="77777777" w:rsidTr="00A10C66">
        <w:trPr>
          <w:trHeight w:val="360"/>
        </w:trPr>
        <w:tc>
          <w:tcPr>
            <w:tcW w:w="1340" w:type="dxa"/>
            <w:tcBorders>
              <w:top w:val="nil"/>
              <w:left w:val="nil"/>
              <w:bottom w:val="nil"/>
              <w:right w:val="single" w:sz="4" w:space="0" w:color="auto"/>
            </w:tcBorders>
            <w:shd w:val="clear" w:color="auto" w:fill="auto"/>
            <w:noWrap/>
            <w:vAlign w:val="center"/>
            <w:hideMark/>
          </w:tcPr>
          <w:p w14:paraId="2A41AD9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MSWRLD</w:t>
            </w:r>
          </w:p>
        </w:tc>
        <w:tc>
          <w:tcPr>
            <w:tcW w:w="1349" w:type="dxa"/>
            <w:tcBorders>
              <w:top w:val="nil"/>
              <w:left w:val="nil"/>
              <w:bottom w:val="nil"/>
              <w:right w:val="nil"/>
            </w:tcBorders>
            <w:shd w:val="clear" w:color="auto" w:fill="auto"/>
            <w:noWrap/>
            <w:vAlign w:val="center"/>
            <w:hideMark/>
          </w:tcPr>
          <w:p w14:paraId="34AE6E5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-1.99 (0.29)</w:t>
            </w:r>
          </w:p>
        </w:tc>
        <w:tc>
          <w:tcPr>
            <w:tcW w:w="528" w:type="dxa"/>
            <w:tcBorders>
              <w:top w:val="nil"/>
              <w:left w:val="nil"/>
              <w:bottom w:val="nil"/>
              <w:right w:val="nil"/>
            </w:tcBorders>
            <w:shd w:val="clear" w:color="auto" w:fill="auto"/>
            <w:noWrap/>
            <w:vAlign w:val="center"/>
            <w:hideMark/>
          </w:tcPr>
          <w:p w14:paraId="22CB3D85"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c>
          <w:tcPr>
            <w:tcW w:w="1349" w:type="dxa"/>
            <w:tcBorders>
              <w:top w:val="nil"/>
              <w:left w:val="nil"/>
              <w:bottom w:val="nil"/>
              <w:right w:val="nil"/>
            </w:tcBorders>
            <w:shd w:val="clear" w:color="auto" w:fill="auto"/>
            <w:noWrap/>
            <w:vAlign w:val="center"/>
            <w:hideMark/>
          </w:tcPr>
          <w:p w14:paraId="6A03E93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-1.96 (0.31)</w:t>
            </w:r>
          </w:p>
        </w:tc>
        <w:tc>
          <w:tcPr>
            <w:tcW w:w="528" w:type="dxa"/>
            <w:tcBorders>
              <w:top w:val="nil"/>
              <w:left w:val="nil"/>
              <w:bottom w:val="nil"/>
              <w:right w:val="nil"/>
            </w:tcBorders>
            <w:shd w:val="clear" w:color="auto" w:fill="auto"/>
            <w:noWrap/>
            <w:vAlign w:val="center"/>
            <w:hideMark/>
          </w:tcPr>
          <w:p w14:paraId="3316AAEA"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c>
          <w:tcPr>
            <w:tcW w:w="874" w:type="dxa"/>
            <w:tcBorders>
              <w:top w:val="nil"/>
              <w:left w:val="nil"/>
              <w:bottom w:val="nil"/>
              <w:right w:val="nil"/>
            </w:tcBorders>
            <w:shd w:val="clear" w:color="auto" w:fill="auto"/>
            <w:noWrap/>
            <w:vAlign w:val="center"/>
            <w:hideMark/>
          </w:tcPr>
          <w:p w14:paraId="07A794E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1.07</w:t>
            </w:r>
          </w:p>
        </w:tc>
        <w:tc>
          <w:tcPr>
            <w:tcW w:w="786" w:type="dxa"/>
            <w:tcBorders>
              <w:top w:val="nil"/>
              <w:left w:val="nil"/>
              <w:bottom w:val="nil"/>
              <w:right w:val="nil"/>
            </w:tcBorders>
            <w:shd w:val="clear" w:color="auto" w:fill="auto"/>
            <w:noWrap/>
            <w:vAlign w:val="center"/>
            <w:hideMark/>
          </w:tcPr>
          <w:p w14:paraId="4306FBE3"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I(1)</w:t>
            </w:r>
          </w:p>
        </w:tc>
      </w:tr>
      <w:tr w:rsidR="00A10C66" w:rsidRPr="00A47D41" w14:paraId="382B0EA7" w14:textId="77777777" w:rsidTr="00A10C66">
        <w:trPr>
          <w:trHeight w:val="360"/>
        </w:trPr>
        <w:tc>
          <w:tcPr>
            <w:tcW w:w="1340" w:type="dxa"/>
            <w:tcBorders>
              <w:top w:val="nil"/>
              <w:left w:val="nil"/>
              <w:bottom w:val="nil"/>
              <w:right w:val="single" w:sz="4" w:space="0" w:color="auto"/>
            </w:tcBorders>
            <w:shd w:val="clear" w:color="auto" w:fill="auto"/>
            <w:noWrap/>
            <w:vAlign w:val="center"/>
          </w:tcPr>
          <w:p w14:paraId="7EF3E2F3"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1349" w:type="dxa"/>
            <w:tcBorders>
              <w:top w:val="nil"/>
              <w:left w:val="nil"/>
              <w:bottom w:val="nil"/>
              <w:right w:val="nil"/>
            </w:tcBorders>
            <w:shd w:val="clear" w:color="auto" w:fill="auto"/>
            <w:noWrap/>
            <w:vAlign w:val="center"/>
          </w:tcPr>
          <w:p w14:paraId="6D5684C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p>
        </w:tc>
        <w:tc>
          <w:tcPr>
            <w:tcW w:w="528" w:type="dxa"/>
            <w:tcBorders>
              <w:top w:val="nil"/>
              <w:left w:val="nil"/>
              <w:bottom w:val="nil"/>
              <w:right w:val="nil"/>
            </w:tcBorders>
            <w:shd w:val="clear" w:color="auto" w:fill="auto"/>
            <w:noWrap/>
            <w:vAlign w:val="center"/>
          </w:tcPr>
          <w:p w14:paraId="2B30B3EA"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349" w:type="dxa"/>
            <w:tcBorders>
              <w:top w:val="nil"/>
              <w:left w:val="nil"/>
              <w:bottom w:val="nil"/>
              <w:right w:val="nil"/>
            </w:tcBorders>
            <w:shd w:val="clear" w:color="auto" w:fill="auto"/>
            <w:noWrap/>
            <w:vAlign w:val="center"/>
          </w:tcPr>
          <w:p w14:paraId="0672E7F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p>
        </w:tc>
        <w:tc>
          <w:tcPr>
            <w:tcW w:w="528" w:type="dxa"/>
            <w:tcBorders>
              <w:top w:val="nil"/>
              <w:left w:val="nil"/>
              <w:bottom w:val="nil"/>
              <w:right w:val="nil"/>
            </w:tcBorders>
            <w:shd w:val="clear" w:color="auto" w:fill="auto"/>
            <w:noWrap/>
            <w:vAlign w:val="center"/>
          </w:tcPr>
          <w:p w14:paraId="0139749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874" w:type="dxa"/>
            <w:tcBorders>
              <w:top w:val="nil"/>
              <w:left w:val="nil"/>
              <w:bottom w:val="nil"/>
              <w:right w:val="nil"/>
            </w:tcBorders>
            <w:shd w:val="clear" w:color="auto" w:fill="auto"/>
            <w:noWrap/>
            <w:vAlign w:val="center"/>
          </w:tcPr>
          <w:p w14:paraId="143A0BB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p>
        </w:tc>
        <w:tc>
          <w:tcPr>
            <w:tcW w:w="786" w:type="dxa"/>
            <w:tcBorders>
              <w:top w:val="nil"/>
              <w:left w:val="nil"/>
              <w:bottom w:val="nil"/>
              <w:right w:val="nil"/>
            </w:tcBorders>
            <w:shd w:val="clear" w:color="auto" w:fill="auto"/>
            <w:noWrap/>
            <w:vAlign w:val="center"/>
          </w:tcPr>
          <w:p w14:paraId="11DF221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r>
    </w:tbl>
    <w:p w14:paraId="66DDF365" w14:textId="77777777" w:rsidR="00A10C66" w:rsidRDefault="00A10C66" w:rsidP="00A10C66">
      <w:pPr>
        <w:spacing w:line="480" w:lineRule="auto"/>
        <w:rPr>
          <w:rFonts w:ascii="Times New Roman" w:hAnsi="Times New Roman" w:cs="Times New Roman"/>
          <w:b/>
          <w:sz w:val="24"/>
          <w:szCs w:val="24"/>
        </w:rPr>
      </w:pPr>
    </w:p>
    <w:p w14:paraId="1A03E443" w14:textId="77777777" w:rsidR="00053CB7" w:rsidRDefault="00053CB7" w:rsidP="00A10C66">
      <w:pPr>
        <w:spacing w:line="480" w:lineRule="auto"/>
        <w:rPr>
          <w:rFonts w:ascii="Times New Roman" w:hAnsi="Times New Roman" w:cs="Times New Roman"/>
          <w:b/>
          <w:sz w:val="24"/>
          <w:szCs w:val="24"/>
        </w:rPr>
      </w:pPr>
    </w:p>
    <w:p w14:paraId="6BCF603A" w14:textId="77777777" w:rsidR="00A10C66" w:rsidRPr="00A47D41" w:rsidRDefault="00A10C66" w:rsidP="00A10C66">
      <w:pPr>
        <w:spacing w:line="480" w:lineRule="auto"/>
        <w:rPr>
          <w:rFonts w:ascii="Times New Roman" w:hAnsi="Times New Roman" w:cs="Times New Roman"/>
          <w:b/>
          <w:sz w:val="24"/>
          <w:szCs w:val="24"/>
        </w:rPr>
      </w:pPr>
      <w:r w:rsidRPr="00A47D41">
        <w:rPr>
          <w:rFonts w:ascii="Times New Roman" w:hAnsi="Times New Roman" w:cs="Times New Roman"/>
          <w:b/>
          <w:sz w:val="24"/>
          <w:szCs w:val="24"/>
        </w:rPr>
        <w:t>Table 5: Optimal Lag Structure.</w:t>
      </w:r>
    </w:p>
    <w:p w14:paraId="0DAB788D" w14:textId="77777777" w:rsidR="00A10C66" w:rsidRPr="000A1404" w:rsidRDefault="00A10C66" w:rsidP="00A10C66">
      <w:pPr>
        <w:spacing w:line="480" w:lineRule="auto"/>
        <w:rPr>
          <w:rFonts w:ascii="Times New Roman" w:hAnsi="Times New Roman" w:cs="Times New Roman"/>
          <w:sz w:val="20"/>
          <w:szCs w:val="20"/>
        </w:rPr>
      </w:pPr>
      <w:r w:rsidRPr="000A1404">
        <w:rPr>
          <w:rFonts w:ascii="Times New Roman" w:hAnsi="Times New Roman" w:cs="Times New Roman"/>
          <w:sz w:val="20"/>
          <w:szCs w:val="20"/>
        </w:rPr>
        <w:t>This table presents statistics of lag structure of the vector formed by the low, high and MSWRLD series. Both Akaike and Schwarz criteria are applied and the results are reported. The optimal lag revealed under the Akaike criteria is 3 but there is no clear indication of an optimal lag from the Schwarz criteria.  We follow the optimal lag decided by the Akaike criteria.</w:t>
      </w:r>
    </w:p>
    <w:tbl>
      <w:tblPr>
        <w:tblW w:w="7440" w:type="dxa"/>
        <w:tblInd w:w="93" w:type="dxa"/>
        <w:tblLook w:val="04A0" w:firstRow="1" w:lastRow="0" w:firstColumn="1" w:lastColumn="0" w:noHBand="0" w:noVBand="1"/>
      </w:tblPr>
      <w:tblGrid>
        <w:gridCol w:w="1240"/>
        <w:gridCol w:w="1240"/>
        <w:gridCol w:w="1240"/>
        <w:gridCol w:w="1240"/>
        <w:gridCol w:w="1240"/>
        <w:gridCol w:w="1240"/>
      </w:tblGrid>
      <w:tr w:rsidR="00A10C66" w:rsidRPr="00A47D41" w14:paraId="7CB789AD" w14:textId="77777777" w:rsidTr="00A10C66">
        <w:trPr>
          <w:trHeight w:val="439"/>
        </w:trPr>
        <w:tc>
          <w:tcPr>
            <w:tcW w:w="1240" w:type="dxa"/>
            <w:tcBorders>
              <w:top w:val="nil"/>
              <w:left w:val="nil"/>
              <w:bottom w:val="single" w:sz="4" w:space="0" w:color="auto"/>
              <w:right w:val="single" w:sz="4" w:space="0" w:color="auto"/>
            </w:tcBorders>
            <w:shd w:val="clear" w:color="auto" w:fill="auto"/>
            <w:noWrap/>
            <w:vAlign w:val="center"/>
            <w:hideMark/>
          </w:tcPr>
          <w:p w14:paraId="063C66DC"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1240" w:type="dxa"/>
            <w:tcBorders>
              <w:top w:val="nil"/>
              <w:left w:val="nil"/>
              <w:bottom w:val="single" w:sz="4" w:space="0" w:color="auto"/>
              <w:right w:val="nil"/>
            </w:tcBorders>
            <w:shd w:val="clear" w:color="auto" w:fill="auto"/>
            <w:noWrap/>
            <w:vAlign w:val="center"/>
            <w:hideMark/>
          </w:tcPr>
          <w:p w14:paraId="5642AAC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lag=2</w:t>
            </w:r>
          </w:p>
        </w:tc>
        <w:tc>
          <w:tcPr>
            <w:tcW w:w="1240" w:type="dxa"/>
            <w:tcBorders>
              <w:top w:val="nil"/>
              <w:left w:val="nil"/>
              <w:bottom w:val="single" w:sz="4" w:space="0" w:color="auto"/>
              <w:right w:val="nil"/>
            </w:tcBorders>
            <w:shd w:val="clear" w:color="auto" w:fill="auto"/>
            <w:noWrap/>
            <w:vAlign w:val="center"/>
            <w:hideMark/>
          </w:tcPr>
          <w:p w14:paraId="569EC8F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lag=3</w:t>
            </w:r>
          </w:p>
        </w:tc>
        <w:tc>
          <w:tcPr>
            <w:tcW w:w="1240" w:type="dxa"/>
            <w:tcBorders>
              <w:top w:val="nil"/>
              <w:left w:val="nil"/>
              <w:bottom w:val="single" w:sz="4" w:space="0" w:color="auto"/>
              <w:right w:val="nil"/>
            </w:tcBorders>
            <w:shd w:val="clear" w:color="auto" w:fill="auto"/>
            <w:noWrap/>
            <w:vAlign w:val="center"/>
            <w:hideMark/>
          </w:tcPr>
          <w:p w14:paraId="248FC34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lag=4</w:t>
            </w:r>
          </w:p>
        </w:tc>
        <w:tc>
          <w:tcPr>
            <w:tcW w:w="1240" w:type="dxa"/>
            <w:tcBorders>
              <w:top w:val="nil"/>
              <w:left w:val="nil"/>
              <w:bottom w:val="single" w:sz="4" w:space="0" w:color="auto"/>
              <w:right w:val="nil"/>
            </w:tcBorders>
            <w:shd w:val="clear" w:color="auto" w:fill="auto"/>
            <w:noWrap/>
            <w:vAlign w:val="center"/>
            <w:hideMark/>
          </w:tcPr>
          <w:p w14:paraId="3A43730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lag=5</w:t>
            </w:r>
          </w:p>
        </w:tc>
        <w:tc>
          <w:tcPr>
            <w:tcW w:w="1240" w:type="dxa"/>
            <w:tcBorders>
              <w:top w:val="nil"/>
              <w:left w:val="nil"/>
              <w:bottom w:val="single" w:sz="4" w:space="0" w:color="auto"/>
              <w:right w:val="nil"/>
            </w:tcBorders>
            <w:shd w:val="clear" w:color="auto" w:fill="auto"/>
            <w:noWrap/>
            <w:vAlign w:val="center"/>
            <w:hideMark/>
          </w:tcPr>
          <w:p w14:paraId="48A1A80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lag=6</w:t>
            </w:r>
          </w:p>
        </w:tc>
      </w:tr>
      <w:tr w:rsidR="00A10C66" w:rsidRPr="00A47D41" w14:paraId="3917A69C" w14:textId="77777777" w:rsidTr="00A10C66">
        <w:trPr>
          <w:trHeight w:val="360"/>
        </w:trPr>
        <w:tc>
          <w:tcPr>
            <w:tcW w:w="1240" w:type="dxa"/>
            <w:tcBorders>
              <w:top w:val="nil"/>
              <w:left w:val="nil"/>
              <w:bottom w:val="nil"/>
              <w:right w:val="single" w:sz="4" w:space="0" w:color="auto"/>
            </w:tcBorders>
            <w:shd w:val="clear" w:color="auto" w:fill="auto"/>
            <w:noWrap/>
            <w:vAlign w:val="center"/>
            <w:hideMark/>
          </w:tcPr>
          <w:p w14:paraId="2829A51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Akaike</w:t>
            </w:r>
          </w:p>
        </w:tc>
        <w:tc>
          <w:tcPr>
            <w:tcW w:w="1240" w:type="dxa"/>
            <w:tcBorders>
              <w:top w:val="nil"/>
              <w:left w:val="nil"/>
              <w:bottom w:val="nil"/>
              <w:right w:val="nil"/>
            </w:tcBorders>
            <w:shd w:val="clear" w:color="auto" w:fill="auto"/>
            <w:noWrap/>
            <w:vAlign w:val="center"/>
            <w:hideMark/>
          </w:tcPr>
          <w:p w14:paraId="60AF24E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24.022</w:t>
            </w:r>
          </w:p>
        </w:tc>
        <w:tc>
          <w:tcPr>
            <w:tcW w:w="1240" w:type="dxa"/>
            <w:tcBorders>
              <w:top w:val="nil"/>
              <w:left w:val="nil"/>
              <w:bottom w:val="nil"/>
              <w:right w:val="nil"/>
            </w:tcBorders>
            <w:shd w:val="clear" w:color="auto" w:fill="auto"/>
            <w:noWrap/>
            <w:vAlign w:val="center"/>
            <w:hideMark/>
          </w:tcPr>
          <w:p w14:paraId="3A2822BD"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24.013</w:t>
            </w:r>
          </w:p>
        </w:tc>
        <w:tc>
          <w:tcPr>
            <w:tcW w:w="1240" w:type="dxa"/>
            <w:tcBorders>
              <w:top w:val="nil"/>
              <w:left w:val="nil"/>
              <w:bottom w:val="nil"/>
              <w:right w:val="nil"/>
            </w:tcBorders>
            <w:shd w:val="clear" w:color="auto" w:fill="auto"/>
            <w:noWrap/>
            <w:vAlign w:val="center"/>
            <w:hideMark/>
          </w:tcPr>
          <w:p w14:paraId="30C97E8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24.014</w:t>
            </w:r>
          </w:p>
        </w:tc>
        <w:tc>
          <w:tcPr>
            <w:tcW w:w="1240" w:type="dxa"/>
            <w:tcBorders>
              <w:top w:val="nil"/>
              <w:left w:val="nil"/>
              <w:bottom w:val="nil"/>
              <w:right w:val="nil"/>
            </w:tcBorders>
            <w:shd w:val="clear" w:color="auto" w:fill="auto"/>
            <w:noWrap/>
            <w:vAlign w:val="center"/>
            <w:hideMark/>
          </w:tcPr>
          <w:p w14:paraId="3D08FBE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24.012</w:t>
            </w:r>
          </w:p>
        </w:tc>
        <w:tc>
          <w:tcPr>
            <w:tcW w:w="1240" w:type="dxa"/>
            <w:tcBorders>
              <w:top w:val="nil"/>
              <w:left w:val="nil"/>
              <w:bottom w:val="nil"/>
              <w:right w:val="nil"/>
            </w:tcBorders>
            <w:shd w:val="clear" w:color="auto" w:fill="auto"/>
            <w:noWrap/>
            <w:vAlign w:val="center"/>
            <w:hideMark/>
          </w:tcPr>
          <w:p w14:paraId="1CB3CEF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24.011</w:t>
            </w:r>
          </w:p>
        </w:tc>
      </w:tr>
      <w:tr w:rsidR="00A10C66" w:rsidRPr="00A47D41" w14:paraId="4E006AE3" w14:textId="77777777" w:rsidTr="00A10C66">
        <w:trPr>
          <w:trHeight w:val="360"/>
        </w:trPr>
        <w:tc>
          <w:tcPr>
            <w:tcW w:w="1240" w:type="dxa"/>
            <w:tcBorders>
              <w:top w:val="nil"/>
              <w:left w:val="nil"/>
              <w:bottom w:val="nil"/>
              <w:right w:val="single" w:sz="4" w:space="0" w:color="auto"/>
            </w:tcBorders>
            <w:shd w:val="clear" w:color="auto" w:fill="auto"/>
            <w:noWrap/>
            <w:vAlign w:val="center"/>
            <w:hideMark/>
          </w:tcPr>
          <w:p w14:paraId="5B5F7015"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Schwarz</w:t>
            </w:r>
          </w:p>
        </w:tc>
        <w:tc>
          <w:tcPr>
            <w:tcW w:w="1240" w:type="dxa"/>
            <w:tcBorders>
              <w:top w:val="nil"/>
              <w:left w:val="nil"/>
              <w:bottom w:val="nil"/>
              <w:right w:val="nil"/>
            </w:tcBorders>
            <w:shd w:val="clear" w:color="auto" w:fill="auto"/>
            <w:noWrap/>
            <w:vAlign w:val="center"/>
            <w:hideMark/>
          </w:tcPr>
          <w:p w14:paraId="775BC56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24.081</w:t>
            </w:r>
          </w:p>
        </w:tc>
        <w:tc>
          <w:tcPr>
            <w:tcW w:w="1240" w:type="dxa"/>
            <w:tcBorders>
              <w:top w:val="nil"/>
              <w:left w:val="nil"/>
              <w:bottom w:val="nil"/>
              <w:right w:val="nil"/>
            </w:tcBorders>
            <w:shd w:val="clear" w:color="auto" w:fill="auto"/>
            <w:noWrap/>
            <w:vAlign w:val="center"/>
            <w:hideMark/>
          </w:tcPr>
          <w:p w14:paraId="16B19A60" w14:textId="77777777" w:rsidR="00A10C66" w:rsidRPr="00A47D41" w:rsidRDefault="00A10C66" w:rsidP="00A10C66">
            <w:pPr>
              <w:spacing w:after="0" w:line="480" w:lineRule="auto"/>
              <w:jc w:val="center"/>
              <w:rPr>
                <w:rFonts w:ascii="Times New Roman" w:eastAsia="Times New Roman" w:hAnsi="Times New Roman" w:cs="Times New Roman"/>
                <w:bCs/>
                <w:color w:val="000000"/>
                <w:sz w:val="20"/>
                <w:szCs w:val="20"/>
                <w:lang w:eastAsia="zh-CN"/>
              </w:rPr>
            </w:pPr>
            <w:r w:rsidRPr="00A47D41">
              <w:rPr>
                <w:rFonts w:ascii="Times New Roman" w:eastAsia="Times New Roman" w:hAnsi="Times New Roman" w:cs="Times New Roman"/>
                <w:bCs/>
                <w:color w:val="000000"/>
                <w:sz w:val="20"/>
                <w:szCs w:val="20"/>
                <w:lang w:eastAsia="zh-CN"/>
              </w:rPr>
              <w:t>24.093</w:t>
            </w:r>
          </w:p>
        </w:tc>
        <w:tc>
          <w:tcPr>
            <w:tcW w:w="1240" w:type="dxa"/>
            <w:tcBorders>
              <w:top w:val="nil"/>
              <w:left w:val="nil"/>
              <w:bottom w:val="nil"/>
              <w:right w:val="nil"/>
            </w:tcBorders>
            <w:shd w:val="clear" w:color="auto" w:fill="auto"/>
            <w:noWrap/>
            <w:vAlign w:val="center"/>
            <w:hideMark/>
          </w:tcPr>
          <w:p w14:paraId="367C1C2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24.113</w:t>
            </w:r>
          </w:p>
        </w:tc>
        <w:tc>
          <w:tcPr>
            <w:tcW w:w="1240" w:type="dxa"/>
            <w:tcBorders>
              <w:top w:val="nil"/>
              <w:left w:val="nil"/>
              <w:bottom w:val="nil"/>
              <w:right w:val="nil"/>
            </w:tcBorders>
            <w:shd w:val="clear" w:color="auto" w:fill="auto"/>
            <w:noWrap/>
            <w:vAlign w:val="center"/>
            <w:hideMark/>
          </w:tcPr>
          <w:p w14:paraId="5250143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24.131</w:t>
            </w:r>
          </w:p>
        </w:tc>
        <w:tc>
          <w:tcPr>
            <w:tcW w:w="1240" w:type="dxa"/>
            <w:tcBorders>
              <w:top w:val="nil"/>
              <w:left w:val="nil"/>
              <w:bottom w:val="nil"/>
              <w:right w:val="nil"/>
            </w:tcBorders>
            <w:shd w:val="clear" w:color="auto" w:fill="auto"/>
            <w:noWrap/>
            <w:vAlign w:val="center"/>
            <w:hideMark/>
          </w:tcPr>
          <w:p w14:paraId="6524C0A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24.150</w:t>
            </w:r>
          </w:p>
        </w:tc>
      </w:tr>
    </w:tbl>
    <w:p w14:paraId="01116F98" w14:textId="77777777" w:rsidR="00A10C66" w:rsidRPr="00A47D41" w:rsidRDefault="00A10C66" w:rsidP="00A10C66">
      <w:pPr>
        <w:spacing w:line="480" w:lineRule="auto"/>
        <w:rPr>
          <w:rFonts w:ascii="Times New Roman" w:hAnsi="Times New Roman" w:cs="Times New Roman"/>
          <w:b/>
          <w:sz w:val="24"/>
          <w:szCs w:val="24"/>
        </w:rPr>
      </w:pPr>
    </w:p>
    <w:p w14:paraId="14F2C7A1" w14:textId="77777777" w:rsidR="00A10C66" w:rsidRDefault="00A10C66" w:rsidP="00A10C66">
      <w:pPr>
        <w:spacing w:after="0" w:line="480" w:lineRule="auto"/>
        <w:jc w:val="both"/>
        <w:rPr>
          <w:rFonts w:ascii="Times New Roman" w:hAnsi="Times New Roman" w:cs="Times New Roman"/>
          <w:b/>
          <w:sz w:val="24"/>
          <w:szCs w:val="24"/>
        </w:rPr>
      </w:pPr>
    </w:p>
    <w:p w14:paraId="40E121D0" w14:textId="77777777" w:rsidR="00A10C66" w:rsidRDefault="00A10C66" w:rsidP="00A10C66">
      <w:pPr>
        <w:spacing w:after="0" w:line="480" w:lineRule="auto"/>
        <w:jc w:val="both"/>
        <w:rPr>
          <w:rFonts w:ascii="Times New Roman" w:hAnsi="Times New Roman" w:cs="Times New Roman"/>
          <w:b/>
          <w:sz w:val="24"/>
          <w:szCs w:val="24"/>
        </w:rPr>
      </w:pPr>
    </w:p>
    <w:p w14:paraId="6398F772" w14:textId="77777777" w:rsidR="00DA4D6C" w:rsidRDefault="00DA4D6C">
      <w:pPr>
        <w:rPr>
          <w:rFonts w:ascii="Times New Roman" w:hAnsi="Times New Roman" w:cs="Times New Roman"/>
          <w:b/>
          <w:sz w:val="24"/>
          <w:szCs w:val="24"/>
        </w:rPr>
      </w:pPr>
      <w:r>
        <w:rPr>
          <w:rFonts w:ascii="Times New Roman" w:hAnsi="Times New Roman" w:cs="Times New Roman"/>
          <w:b/>
          <w:sz w:val="24"/>
          <w:szCs w:val="24"/>
        </w:rPr>
        <w:br w:type="page"/>
      </w:r>
    </w:p>
    <w:p w14:paraId="17DB01FE" w14:textId="3232D819" w:rsidR="00A10C66" w:rsidRPr="00A47D41" w:rsidRDefault="00A10C66" w:rsidP="00A10C66">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lastRenderedPageBreak/>
        <w:t>Table 6: Cointegration Tests</w:t>
      </w:r>
    </w:p>
    <w:p w14:paraId="47E82BC3" w14:textId="77777777" w:rsidR="00A10C66" w:rsidRPr="000A1404" w:rsidRDefault="00A10C66" w:rsidP="00A10C66">
      <w:pPr>
        <w:spacing w:after="0" w:line="480" w:lineRule="auto"/>
        <w:jc w:val="both"/>
        <w:rPr>
          <w:rFonts w:ascii="Times New Roman" w:hAnsi="Times New Roman" w:cs="Times New Roman"/>
          <w:sz w:val="20"/>
          <w:szCs w:val="20"/>
        </w:rPr>
      </w:pPr>
      <w:r w:rsidRPr="000A1404">
        <w:rPr>
          <w:rFonts w:ascii="Times New Roman" w:hAnsi="Times New Roman" w:cs="Times New Roman"/>
          <w:sz w:val="20"/>
          <w:szCs w:val="20"/>
        </w:rPr>
        <w:t xml:space="preserve">This table reports results on two different cointegration tests: Johansen trace and maximum eigenvalue tests. We test for pre and post ban periods and the entire sample period to see if there is any long run cointegrating </w:t>
      </w:r>
      <w:r>
        <w:rPr>
          <w:rFonts w:ascii="Times New Roman" w:hAnsi="Times New Roman" w:cs="Times New Roman"/>
          <w:sz w:val="20"/>
          <w:szCs w:val="20"/>
        </w:rPr>
        <w:t>relation</w:t>
      </w:r>
      <w:r w:rsidRPr="000A1404">
        <w:rPr>
          <w:rFonts w:ascii="Times New Roman" w:hAnsi="Times New Roman" w:cs="Times New Roman"/>
          <w:sz w:val="20"/>
          <w:szCs w:val="20"/>
        </w:rPr>
        <w:t xml:space="preserve"> among the low-risk, high-risk and world portfolios. The Johansen trace test suggests one cointegrating vector and the max-eigenvalue test indicates no more than two cointegrating vectors during the post-ban period. </w:t>
      </w:r>
    </w:p>
    <w:p w14:paraId="30E3C46A" w14:textId="77777777" w:rsidR="00A10C66" w:rsidRPr="00A47D41" w:rsidRDefault="00A10C66" w:rsidP="00A10C66">
      <w:pPr>
        <w:spacing w:after="0" w:line="480" w:lineRule="auto"/>
        <w:jc w:val="both"/>
        <w:rPr>
          <w:rFonts w:ascii="Times New Roman" w:hAnsi="Times New Roman" w:cs="Times New Roman"/>
          <w:sz w:val="24"/>
          <w:szCs w:val="24"/>
        </w:rPr>
      </w:pPr>
    </w:p>
    <w:tbl>
      <w:tblPr>
        <w:tblW w:w="10281" w:type="dxa"/>
        <w:tblInd w:w="93" w:type="dxa"/>
        <w:tblLook w:val="04A0" w:firstRow="1" w:lastRow="0" w:firstColumn="1" w:lastColumn="0" w:noHBand="0" w:noVBand="1"/>
      </w:tblPr>
      <w:tblGrid>
        <w:gridCol w:w="1161"/>
        <w:gridCol w:w="600"/>
        <w:gridCol w:w="760"/>
        <w:gridCol w:w="760"/>
        <w:gridCol w:w="760"/>
        <w:gridCol w:w="2080"/>
        <w:gridCol w:w="2080"/>
        <w:gridCol w:w="2080"/>
      </w:tblGrid>
      <w:tr w:rsidR="00A10C66" w:rsidRPr="00A47D41" w14:paraId="2B81D91B" w14:textId="77777777" w:rsidTr="00A10C66">
        <w:trPr>
          <w:trHeight w:val="402"/>
        </w:trPr>
        <w:tc>
          <w:tcPr>
            <w:tcW w:w="1161" w:type="dxa"/>
            <w:tcBorders>
              <w:top w:val="nil"/>
              <w:left w:val="nil"/>
              <w:bottom w:val="nil"/>
              <w:right w:val="nil"/>
            </w:tcBorders>
            <w:shd w:val="clear" w:color="auto" w:fill="auto"/>
            <w:noWrap/>
            <w:vAlign w:val="center"/>
            <w:hideMark/>
          </w:tcPr>
          <w:p w14:paraId="2CF2D18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600" w:type="dxa"/>
            <w:tcBorders>
              <w:top w:val="nil"/>
              <w:left w:val="nil"/>
              <w:bottom w:val="nil"/>
              <w:right w:val="single" w:sz="4" w:space="0" w:color="auto"/>
            </w:tcBorders>
            <w:shd w:val="clear" w:color="auto" w:fill="auto"/>
            <w:noWrap/>
            <w:vAlign w:val="center"/>
            <w:hideMark/>
          </w:tcPr>
          <w:p w14:paraId="7A5DED2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2280" w:type="dxa"/>
            <w:gridSpan w:val="3"/>
            <w:tcBorders>
              <w:top w:val="nil"/>
              <w:left w:val="nil"/>
              <w:bottom w:val="nil"/>
              <w:right w:val="single" w:sz="4" w:space="0" w:color="000000"/>
            </w:tcBorders>
            <w:shd w:val="clear" w:color="auto" w:fill="auto"/>
            <w:noWrap/>
            <w:vAlign w:val="center"/>
            <w:hideMark/>
          </w:tcPr>
          <w:p w14:paraId="005FF6B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Critical Value</w:t>
            </w:r>
          </w:p>
        </w:tc>
        <w:tc>
          <w:tcPr>
            <w:tcW w:w="2080" w:type="dxa"/>
            <w:vMerge w:val="restart"/>
            <w:tcBorders>
              <w:top w:val="nil"/>
              <w:left w:val="single" w:sz="4" w:space="0" w:color="auto"/>
              <w:bottom w:val="single" w:sz="4" w:space="0" w:color="000000"/>
              <w:right w:val="nil"/>
            </w:tcBorders>
            <w:shd w:val="clear" w:color="auto" w:fill="auto"/>
            <w:noWrap/>
            <w:vAlign w:val="center"/>
            <w:hideMark/>
          </w:tcPr>
          <w:p w14:paraId="7C87B226"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01/01/2003-29/03/2013</w:t>
            </w:r>
          </w:p>
        </w:tc>
        <w:tc>
          <w:tcPr>
            <w:tcW w:w="2080" w:type="dxa"/>
            <w:vMerge w:val="restart"/>
            <w:tcBorders>
              <w:top w:val="nil"/>
              <w:left w:val="nil"/>
              <w:bottom w:val="single" w:sz="4" w:space="0" w:color="000000"/>
              <w:right w:val="nil"/>
            </w:tcBorders>
            <w:shd w:val="clear" w:color="auto" w:fill="auto"/>
            <w:noWrap/>
            <w:vAlign w:val="center"/>
            <w:hideMark/>
          </w:tcPr>
          <w:p w14:paraId="7CCA5171"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01/01/2003-19/09/2008</w:t>
            </w:r>
          </w:p>
        </w:tc>
        <w:tc>
          <w:tcPr>
            <w:tcW w:w="2080" w:type="dxa"/>
            <w:vMerge w:val="restart"/>
            <w:tcBorders>
              <w:top w:val="nil"/>
              <w:left w:val="nil"/>
              <w:bottom w:val="single" w:sz="4" w:space="0" w:color="000000"/>
              <w:right w:val="nil"/>
            </w:tcBorders>
            <w:shd w:val="clear" w:color="auto" w:fill="auto"/>
            <w:noWrap/>
            <w:vAlign w:val="center"/>
            <w:hideMark/>
          </w:tcPr>
          <w:p w14:paraId="78A34B0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19/09/2008-29/03/2013</w:t>
            </w:r>
          </w:p>
        </w:tc>
      </w:tr>
      <w:tr w:rsidR="00A10C66" w:rsidRPr="00A47D41" w14:paraId="29E48F82" w14:textId="77777777" w:rsidTr="00A10C66">
        <w:trPr>
          <w:trHeight w:val="360"/>
        </w:trPr>
        <w:tc>
          <w:tcPr>
            <w:tcW w:w="1161" w:type="dxa"/>
            <w:tcBorders>
              <w:top w:val="nil"/>
              <w:left w:val="nil"/>
              <w:bottom w:val="single" w:sz="4" w:space="0" w:color="auto"/>
              <w:right w:val="nil"/>
            </w:tcBorders>
            <w:shd w:val="clear" w:color="auto" w:fill="auto"/>
            <w:noWrap/>
            <w:vAlign w:val="center"/>
            <w:hideMark/>
          </w:tcPr>
          <w:p w14:paraId="2F72B601"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600" w:type="dxa"/>
            <w:tcBorders>
              <w:top w:val="nil"/>
              <w:left w:val="nil"/>
              <w:bottom w:val="single" w:sz="4" w:space="0" w:color="auto"/>
              <w:right w:val="single" w:sz="4" w:space="0" w:color="auto"/>
            </w:tcBorders>
            <w:shd w:val="clear" w:color="auto" w:fill="auto"/>
            <w:noWrap/>
            <w:vAlign w:val="center"/>
            <w:hideMark/>
          </w:tcPr>
          <w:p w14:paraId="5EBD0BF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760" w:type="dxa"/>
            <w:tcBorders>
              <w:top w:val="nil"/>
              <w:left w:val="nil"/>
              <w:bottom w:val="single" w:sz="4" w:space="0" w:color="auto"/>
              <w:right w:val="nil"/>
            </w:tcBorders>
            <w:shd w:val="clear" w:color="auto" w:fill="auto"/>
            <w:noWrap/>
            <w:vAlign w:val="center"/>
            <w:hideMark/>
          </w:tcPr>
          <w:p w14:paraId="158201F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w:t>
            </w:r>
          </w:p>
        </w:tc>
        <w:tc>
          <w:tcPr>
            <w:tcW w:w="760" w:type="dxa"/>
            <w:tcBorders>
              <w:top w:val="nil"/>
              <w:left w:val="nil"/>
              <w:bottom w:val="single" w:sz="4" w:space="0" w:color="auto"/>
              <w:right w:val="nil"/>
            </w:tcBorders>
            <w:shd w:val="clear" w:color="auto" w:fill="auto"/>
            <w:noWrap/>
            <w:vAlign w:val="center"/>
            <w:hideMark/>
          </w:tcPr>
          <w:p w14:paraId="3793244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w:t>
            </w:r>
          </w:p>
        </w:tc>
        <w:tc>
          <w:tcPr>
            <w:tcW w:w="760" w:type="dxa"/>
            <w:tcBorders>
              <w:top w:val="nil"/>
              <w:left w:val="nil"/>
              <w:bottom w:val="single" w:sz="4" w:space="0" w:color="auto"/>
              <w:right w:val="single" w:sz="4" w:space="0" w:color="auto"/>
            </w:tcBorders>
            <w:shd w:val="clear" w:color="auto" w:fill="auto"/>
            <w:noWrap/>
            <w:vAlign w:val="center"/>
            <w:hideMark/>
          </w:tcPr>
          <w:p w14:paraId="22E3515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10%</w:t>
            </w:r>
          </w:p>
        </w:tc>
        <w:tc>
          <w:tcPr>
            <w:tcW w:w="2080" w:type="dxa"/>
            <w:vMerge/>
            <w:tcBorders>
              <w:top w:val="nil"/>
              <w:left w:val="single" w:sz="4" w:space="0" w:color="auto"/>
              <w:bottom w:val="single" w:sz="4" w:space="0" w:color="000000"/>
              <w:right w:val="nil"/>
            </w:tcBorders>
            <w:vAlign w:val="center"/>
            <w:hideMark/>
          </w:tcPr>
          <w:p w14:paraId="05B4747D"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2080" w:type="dxa"/>
            <w:vMerge/>
            <w:tcBorders>
              <w:top w:val="nil"/>
              <w:left w:val="nil"/>
              <w:bottom w:val="single" w:sz="4" w:space="0" w:color="000000"/>
              <w:right w:val="nil"/>
            </w:tcBorders>
            <w:vAlign w:val="center"/>
            <w:hideMark/>
          </w:tcPr>
          <w:p w14:paraId="76E598E1"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2080" w:type="dxa"/>
            <w:vMerge/>
            <w:tcBorders>
              <w:top w:val="nil"/>
              <w:left w:val="nil"/>
              <w:bottom w:val="single" w:sz="4" w:space="0" w:color="000000"/>
              <w:right w:val="nil"/>
            </w:tcBorders>
            <w:vAlign w:val="center"/>
            <w:hideMark/>
          </w:tcPr>
          <w:p w14:paraId="6126D5CA"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r>
      <w:tr w:rsidR="00A10C66" w:rsidRPr="00A47D41" w14:paraId="402CB97E" w14:textId="77777777" w:rsidTr="00A10C66">
        <w:trPr>
          <w:trHeight w:val="360"/>
        </w:trPr>
        <w:tc>
          <w:tcPr>
            <w:tcW w:w="1161" w:type="dxa"/>
            <w:vMerge w:val="restart"/>
            <w:tcBorders>
              <w:top w:val="nil"/>
              <w:left w:val="nil"/>
              <w:bottom w:val="nil"/>
              <w:right w:val="nil"/>
            </w:tcBorders>
            <w:shd w:val="clear" w:color="auto" w:fill="auto"/>
            <w:noWrap/>
            <w:vAlign w:val="center"/>
            <w:hideMark/>
          </w:tcPr>
          <w:p w14:paraId="406241FF"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Trace</w:t>
            </w:r>
          </w:p>
        </w:tc>
        <w:tc>
          <w:tcPr>
            <w:tcW w:w="600" w:type="dxa"/>
            <w:tcBorders>
              <w:top w:val="nil"/>
              <w:left w:val="nil"/>
              <w:bottom w:val="nil"/>
              <w:right w:val="single" w:sz="4" w:space="0" w:color="auto"/>
            </w:tcBorders>
            <w:shd w:val="clear" w:color="auto" w:fill="auto"/>
            <w:noWrap/>
            <w:vAlign w:val="center"/>
            <w:hideMark/>
          </w:tcPr>
          <w:p w14:paraId="148AB05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w:t>
            </w:r>
          </w:p>
        </w:tc>
        <w:tc>
          <w:tcPr>
            <w:tcW w:w="760" w:type="dxa"/>
            <w:tcBorders>
              <w:top w:val="nil"/>
              <w:left w:val="nil"/>
              <w:bottom w:val="nil"/>
              <w:right w:val="nil"/>
            </w:tcBorders>
            <w:shd w:val="clear" w:color="auto" w:fill="auto"/>
            <w:noWrap/>
            <w:vAlign w:val="center"/>
            <w:hideMark/>
          </w:tcPr>
          <w:p w14:paraId="279B2E1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35.46</w:t>
            </w:r>
          </w:p>
        </w:tc>
        <w:tc>
          <w:tcPr>
            <w:tcW w:w="760" w:type="dxa"/>
            <w:tcBorders>
              <w:top w:val="nil"/>
              <w:left w:val="nil"/>
              <w:bottom w:val="nil"/>
              <w:right w:val="nil"/>
            </w:tcBorders>
            <w:shd w:val="clear" w:color="auto" w:fill="auto"/>
            <w:noWrap/>
            <w:vAlign w:val="center"/>
            <w:hideMark/>
          </w:tcPr>
          <w:p w14:paraId="07438B8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27.80</w:t>
            </w:r>
          </w:p>
        </w:tc>
        <w:tc>
          <w:tcPr>
            <w:tcW w:w="760" w:type="dxa"/>
            <w:tcBorders>
              <w:top w:val="nil"/>
              <w:left w:val="nil"/>
              <w:bottom w:val="nil"/>
              <w:right w:val="single" w:sz="4" w:space="0" w:color="auto"/>
            </w:tcBorders>
            <w:shd w:val="clear" w:color="auto" w:fill="auto"/>
            <w:noWrap/>
            <w:vAlign w:val="center"/>
            <w:hideMark/>
          </w:tcPr>
          <w:p w14:paraId="454BD6B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27.07</w:t>
            </w:r>
          </w:p>
        </w:tc>
        <w:tc>
          <w:tcPr>
            <w:tcW w:w="2080" w:type="dxa"/>
            <w:tcBorders>
              <w:top w:val="nil"/>
              <w:left w:val="nil"/>
              <w:bottom w:val="nil"/>
              <w:right w:val="nil"/>
            </w:tcBorders>
            <w:shd w:val="clear" w:color="auto" w:fill="auto"/>
            <w:noWrap/>
            <w:vAlign w:val="center"/>
            <w:hideMark/>
          </w:tcPr>
          <w:p w14:paraId="0977FD5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19.75</w:t>
            </w:r>
          </w:p>
        </w:tc>
        <w:tc>
          <w:tcPr>
            <w:tcW w:w="2080" w:type="dxa"/>
            <w:tcBorders>
              <w:top w:val="nil"/>
              <w:left w:val="nil"/>
              <w:bottom w:val="nil"/>
              <w:right w:val="nil"/>
            </w:tcBorders>
            <w:shd w:val="clear" w:color="auto" w:fill="auto"/>
            <w:noWrap/>
            <w:vAlign w:val="center"/>
            <w:hideMark/>
          </w:tcPr>
          <w:p w14:paraId="5B3E156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40.02***</w:t>
            </w:r>
          </w:p>
        </w:tc>
        <w:tc>
          <w:tcPr>
            <w:tcW w:w="2080" w:type="dxa"/>
            <w:tcBorders>
              <w:top w:val="nil"/>
              <w:left w:val="nil"/>
              <w:bottom w:val="nil"/>
              <w:right w:val="nil"/>
            </w:tcBorders>
            <w:shd w:val="clear" w:color="auto" w:fill="auto"/>
            <w:noWrap/>
            <w:vAlign w:val="center"/>
            <w:hideMark/>
          </w:tcPr>
          <w:p w14:paraId="77C79F0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17.71</w:t>
            </w:r>
          </w:p>
        </w:tc>
      </w:tr>
      <w:tr w:rsidR="00A10C66" w:rsidRPr="00A47D41" w14:paraId="5614931E" w14:textId="77777777" w:rsidTr="00A10C66">
        <w:trPr>
          <w:trHeight w:val="360"/>
        </w:trPr>
        <w:tc>
          <w:tcPr>
            <w:tcW w:w="1161" w:type="dxa"/>
            <w:vMerge/>
            <w:tcBorders>
              <w:top w:val="nil"/>
              <w:left w:val="nil"/>
              <w:bottom w:val="nil"/>
              <w:right w:val="nil"/>
            </w:tcBorders>
            <w:vAlign w:val="center"/>
            <w:hideMark/>
          </w:tcPr>
          <w:p w14:paraId="0ED4EA9F"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600" w:type="dxa"/>
            <w:tcBorders>
              <w:top w:val="nil"/>
              <w:left w:val="nil"/>
              <w:bottom w:val="nil"/>
              <w:right w:val="single" w:sz="4" w:space="0" w:color="auto"/>
            </w:tcBorders>
            <w:shd w:val="clear" w:color="auto" w:fill="auto"/>
            <w:noWrap/>
            <w:vAlign w:val="center"/>
            <w:hideMark/>
          </w:tcPr>
          <w:p w14:paraId="1939930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w:t>
            </w:r>
          </w:p>
        </w:tc>
        <w:tc>
          <w:tcPr>
            <w:tcW w:w="760" w:type="dxa"/>
            <w:tcBorders>
              <w:top w:val="nil"/>
              <w:left w:val="nil"/>
              <w:bottom w:val="nil"/>
              <w:right w:val="nil"/>
            </w:tcBorders>
            <w:shd w:val="clear" w:color="auto" w:fill="auto"/>
            <w:noWrap/>
            <w:vAlign w:val="center"/>
            <w:hideMark/>
          </w:tcPr>
          <w:p w14:paraId="50CB49E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19.94</w:t>
            </w:r>
          </w:p>
        </w:tc>
        <w:tc>
          <w:tcPr>
            <w:tcW w:w="760" w:type="dxa"/>
            <w:tcBorders>
              <w:top w:val="nil"/>
              <w:left w:val="nil"/>
              <w:bottom w:val="nil"/>
              <w:right w:val="nil"/>
            </w:tcBorders>
            <w:shd w:val="clear" w:color="auto" w:fill="auto"/>
            <w:noWrap/>
            <w:vAlign w:val="center"/>
            <w:hideMark/>
          </w:tcPr>
          <w:p w14:paraId="21DE867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15.49</w:t>
            </w:r>
          </w:p>
        </w:tc>
        <w:tc>
          <w:tcPr>
            <w:tcW w:w="760" w:type="dxa"/>
            <w:tcBorders>
              <w:top w:val="nil"/>
              <w:left w:val="nil"/>
              <w:bottom w:val="nil"/>
              <w:right w:val="single" w:sz="4" w:space="0" w:color="auto"/>
            </w:tcBorders>
            <w:shd w:val="clear" w:color="auto" w:fill="auto"/>
            <w:noWrap/>
            <w:vAlign w:val="center"/>
            <w:hideMark/>
          </w:tcPr>
          <w:p w14:paraId="70D89C5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13.43</w:t>
            </w:r>
          </w:p>
        </w:tc>
        <w:tc>
          <w:tcPr>
            <w:tcW w:w="2080" w:type="dxa"/>
            <w:tcBorders>
              <w:top w:val="nil"/>
              <w:left w:val="nil"/>
              <w:bottom w:val="nil"/>
              <w:right w:val="nil"/>
            </w:tcBorders>
            <w:shd w:val="clear" w:color="auto" w:fill="auto"/>
            <w:noWrap/>
            <w:vAlign w:val="center"/>
            <w:hideMark/>
          </w:tcPr>
          <w:p w14:paraId="40F319D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5.49</w:t>
            </w:r>
          </w:p>
        </w:tc>
        <w:tc>
          <w:tcPr>
            <w:tcW w:w="2080" w:type="dxa"/>
            <w:tcBorders>
              <w:top w:val="nil"/>
              <w:left w:val="nil"/>
              <w:bottom w:val="nil"/>
              <w:right w:val="nil"/>
            </w:tcBorders>
            <w:shd w:val="clear" w:color="auto" w:fill="auto"/>
            <w:noWrap/>
            <w:vAlign w:val="center"/>
            <w:hideMark/>
          </w:tcPr>
          <w:p w14:paraId="49330B5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16.07**</w:t>
            </w:r>
          </w:p>
        </w:tc>
        <w:tc>
          <w:tcPr>
            <w:tcW w:w="2080" w:type="dxa"/>
            <w:tcBorders>
              <w:top w:val="nil"/>
              <w:left w:val="nil"/>
              <w:bottom w:val="nil"/>
              <w:right w:val="nil"/>
            </w:tcBorders>
            <w:shd w:val="clear" w:color="auto" w:fill="auto"/>
            <w:noWrap/>
            <w:vAlign w:val="center"/>
            <w:hideMark/>
          </w:tcPr>
          <w:p w14:paraId="4648132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5.82</w:t>
            </w:r>
          </w:p>
        </w:tc>
      </w:tr>
      <w:tr w:rsidR="00A10C66" w:rsidRPr="00A47D41" w14:paraId="729268A1" w14:textId="77777777" w:rsidTr="00A10C66">
        <w:trPr>
          <w:trHeight w:val="360"/>
        </w:trPr>
        <w:tc>
          <w:tcPr>
            <w:tcW w:w="1161" w:type="dxa"/>
            <w:vMerge/>
            <w:tcBorders>
              <w:top w:val="nil"/>
              <w:left w:val="nil"/>
              <w:bottom w:val="nil"/>
              <w:right w:val="nil"/>
            </w:tcBorders>
            <w:vAlign w:val="center"/>
            <w:hideMark/>
          </w:tcPr>
          <w:p w14:paraId="6E5CC3B5"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600" w:type="dxa"/>
            <w:tcBorders>
              <w:top w:val="nil"/>
              <w:left w:val="nil"/>
              <w:bottom w:val="nil"/>
              <w:right w:val="single" w:sz="4" w:space="0" w:color="auto"/>
            </w:tcBorders>
            <w:shd w:val="clear" w:color="auto" w:fill="auto"/>
            <w:noWrap/>
            <w:vAlign w:val="center"/>
            <w:hideMark/>
          </w:tcPr>
          <w:p w14:paraId="77CCE07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w:t>
            </w:r>
          </w:p>
        </w:tc>
        <w:tc>
          <w:tcPr>
            <w:tcW w:w="760" w:type="dxa"/>
            <w:tcBorders>
              <w:top w:val="nil"/>
              <w:left w:val="nil"/>
              <w:bottom w:val="nil"/>
              <w:right w:val="nil"/>
            </w:tcBorders>
            <w:shd w:val="clear" w:color="auto" w:fill="auto"/>
            <w:noWrap/>
            <w:vAlign w:val="center"/>
            <w:hideMark/>
          </w:tcPr>
          <w:p w14:paraId="09CC8D8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6.63</w:t>
            </w:r>
          </w:p>
        </w:tc>
        <w:tc>
          <w:tcPr>
            <w:tcW w:w="760" w:type="dxa"/>
            <w:tcBorders>
              <w:top w:val="nil"/>
              <w:left w:val="nil"/>
              <w:bottom w:val="nil"/>
              <w:right w:val="nil"/>
            </w:tcBorders>
            <w:shd w:val="clear" w:color="auto" w:fill="auto"/>
            <w:noWrap/>
            <w:vAlign w:val="center"/>
            <w:hideMark/>
          </w:tcPr>
          <w:p w14:paraId="075F1CF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3.84</w:t>
            </w:r>
          </w:p>
        </w:tc>
        <w:tc>
          <w:tcPr>
            <w:tcW w:w="760" w:type="dxa"/>
            <w:tcBorders>
              <w:top w:val="nil"/>
              <w:left w:val="nil"/>
              <w:bottom w:val="nil"/>
              <w:right w:val="single" w:sz="4" w:space="0" w:color="auto"/>
            </w:tcBorders>
            <w:shd w:val="clear" w:color="auto" w:fill="auto"/>
            <w:noWrap/>
            <w:vAlign w:val="center"/>
            <w:hideMark/>
          </w:tcPr>
          <w:p w14:paraId="66E7C35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2.71</w:t>
            </w:r>
          </w:p>
        </w:tc>
        <w:tc>
          <w:tcPr>
            <w:tcW w:w="2080" w:type="dxa"/>
            <w:tcBorders>
              <w:top w:val="nil"/>
              <w:left w:val="nil"/>
              <w:bottom w:val="nil"/>
              <w:right w:val="nil"/>
            </w:tcBorders>
            <w:shd w:val="clear" w:color="auto" w:fill="auto"/>
            <w:noWrap/>
            <w:vAlign w:val="center"/>
            <w:hideMark/>
          </w:tcPr>
          <w:p w14:paraId="643CD71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2.42</w:t>
            </w:r>
          </w:p>
        </w:tc>
        <w:tc>
          <w:tcPr>
            <w:tcW w:w="2080" w:type="dxa"/>
            <w:tcBorders>
              <w:top w:val="nil"/>
              <w:left w:val="nil"/>
              <w:bottom w:val="nil"/>
              <w:right w:val="nil"/>
            </w:tcBorders>
            <w:shd w:val="clear" w:color="auto" w:fill="auto"/>
            <w:noWrap/>
            <w:vAlign w:val="center"/>
            <w:hideMark/>
          </w:tcPr>
          <w:p w14:paraId="0D15417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2.04</w:t>
            </w:r>
          </w:p>
        </w:tc>
        <w:tc>
          <w:tcPr>
            <w:tcW w:w="2080" w:type="dxa"/>
            <w:tcBorders>
              <w:top w:val="nil"/>
              <w:left w:val="nil"/>
              <w:bottom w:val="nil"/>
              <w:right w:val="nil"/>
            </w:tcBorders>
            <w:shd w:val="clear" w:color="auto" w:fill="auto"/>
            <w:noWrap/>
            <w:vAlign w:val="center"/>
            <w:hideMark/>
          </w:tcPr>
          <w:p w14:paraId="037D221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1.12</w:t>
            </w:r>
          </w:p>
        </w:tc>
      </w:tr>
      <w:tr w:rsidR="00A10C66" w:rsidRPr="00A47D41" w14:paraId="4C0A9E23" w14:textId="77777777" w:rsidTr="00A10C66">
        <w:trPr>
          <w:trHeight w:val="360"/>
        </w:trPr>
        <w:tc>
          <w:tcPr>
            <w:tcW w:w="1161" w:type="dxa"/>
            <w:vMerge w:val="restart"/>
            <w:tcBorders>
              <w:top w:val="nil"/>
              <w:left w:val="nil"/>
              <w:bottom w:val="nil"/>
              <w:right w:val="nil"/>
            </w:tcBorders>
            <w:shd w:val="clear" w:color="auto" w:fill="auto"/>
            <w:vAlign w:val="center"/>
            <w:hideMark/>
          </w:tcPr>
          <w:p w14:paraId="75C4EE3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Max Eigenvalue</w:t>
            </w:r>
          </w:p>
        </w:tc>
        <w:tc>
          <w:tcPr>
            <w:tcW w:w="600" w:type="dxa"/>
            <w:tcBorders>
              <w:top w:val="nil"/>
              <w:left w:val="nil"/>
              <w:bottom w:val="nil"/>
              <w:right w:val="single" w:sz="4" w:space="0" w:color="auto"/>
            </w:tcBorders>
            <w:shd w:val="clear" w:color="auto" w:fill="auto"/>
            <w:noWrap/>
            <w:vAlign w:val="center"/>
            <w:hideMark/>
          </w:tcPr>
          <w:p w14:paraId="1EF4567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w:t>
            </w:r>
          </w:p>
        </w:tc>
        <w:tc>
          <w:tcPr>
            <w:tcW w:w="760" w:type="dxa"/>
            <w:tcBorders>
              <w:top w:val="nil"/>
              <w:left w:val="nil"/>
              <w:bottom w:val="nil"/>
              <w:right w:val="nil"/>
            </w:tcBorders>
            <w:shd w:val="clear" w:color="auto" w:fill="auto"/>
            <w:noWrap/>
            <w:vAlign w:val="center"/>
            <w:hideMark/>
          </w:tcPr>
          <w:p w14:paraId="1EA668B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25.86</w:t>
            </w:r>
          </w:p>
        </w:tc>
        <w:tc>
          <w:tcPr>
            <w:tcW w:w="760" w:type="dxa"/>
            <w:tcBorders>
              <w:top w:val="nil"/>
              <w:left w:val="nil"/>
              <w:bottom w:val="nil"/>
              <w:right w:val="nil"/>
            </w:tcBorders>
            <w:shd w:val="clear" w:color="auto" w:fill="auto"/>
            <w:noWrap/>
            <w:vAlign w:val="center"/>
            <w:hideMark/>
          </w:tcPr>
          <w:p w14:paraId="710B87D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21.13</w:t>
            </w:r>
          </w:p>
        </w:tc>
        <w:tc>
          <w:tcPr>
            <w:tcW w:w="760" w:type="dxa"/>
            <w:tcBorders>
              <w:top w:val="nil"/>
              <w:left w:val="nil"/>
              <w:bottom w:val="nil"/>
              <w:right w:val="single" w:sz="4" w:space="0" w:color="auto"/>
            </w:tcBorders>
            <w:shd w:val="clear" w:color="auto" w:fill="auto"/>
            <w:noWrap/>
            <w:vAlign w:val="center"/>
            <w:hideMark/>
          </w:tcPr>
          <w:p w14:paraId="6266799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18.89</w:t>
            </w:r>
          </w:p>
        </w:tc>
        <w:tc>
          <w:tcPr>
            <w:tcW w:w="2080" w:type="dxa"/>
            <w:tcBorders>
              <w:top w:val="nil"/>
              <w:left w:val="nil"/>
              <w:bottom w:val="nil"/>
              <w:right w:val="nil"/>
            </w:tcBorders>
            <w:shd w:val="clear" w:color="auto" w:fill="auto"/>
            <w:noWrap/>
            <w:vAlign w:val="center"/>
            <w:hideMark/>
          </w:tcPr>
          <w:p w14:paraId="1053DB9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14.27</w:t>
            </w:r>
          </w:p>
        </w:tc>
        <w:tc>
          <w:tcPr>
            <w:tcW w:w="2080" w:type="dxa"/>
            <w:tcBorders>
              <w:top w:val="nil"/>
              <w:left w:val="nil"/>
              <w:bottom w:val="nil"/>
              <w:right w:val="nil"/>
            </w:tcBorders>
            <w:shd w:val="clear" w:color="auto" w:fill="auto"/>
            <w:noWrap/>
            <w:vAlign w:val="center"/>
            <w:hideMark/>
          </w:tcPr>
          <w:p w14:paraId="7C1C171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24.51**</w:t>
            </w:r>
          </w:p>
        </w:tc>
        <w:tc>
          <w:tcPr>
            <w:tcW w:w="2080" w:type="dxa"/>
            <w:tcBorders>
              <w:top w:val="nil"/>
              <w:left w:val="nil"/>
              <w:bottom w:val="nil"/>
              <w:right w:val="nil"/>
            </w:tcBorders>
            <w:shd w:val="clear" w:color="auto" w:fill="auto"/>
            <w:noWrap/>
            <w:vAlign w:val="center"/>
            <w:hideMark/>
          </w:tcPr>
          <w:p w14:paraId="5CAF4C2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11.89</w:t>
            </w:r>
          </w:p>
        </w:tc>
      </w:tr>
      <w:tr w:rsidR="00A10C66" w:rsidRPr="00A47D41" w14:paraId="0031B859" w14:textId="77777777" w:rsidTr="00A10C66">
        <w:trPr>
          <w:trHeight w:val="360"/>
        </w:trPr>
        <w:tc>
          <w:tcPr>
            <w:tcW w:w="1161" w:type="dxa"/>
            <w:vMerge/>
            <w:tcBorders>
              <w:top w:val="nil"/>
              <w:left w:val="nil"/>
              <w:bottom w:val="nil"/>
              <w:right w:val="nil"/>
            </w:tcBorders>
            <w:vAlign w:val="center"/>
            <w:hideMark/>
          </w:tcPr>
          <w:p w14:paraId="4E61703E"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600" w:type="dxa"/>
            <w:tcBorders>
              <w:top w:val="nil"/>
              <w:left w:val="nil"/>
              <w:bottom w:val="nil"/>
              <w:right w:val="single" w:sz="4" w:space="0" w:color="auto"/>
            </w:tcBorders>
            <w:shd w:val="clear" w:color="auto" w:fill="auto"/>
            <w:noWrap/>
            <w:vAlign w:val="center"/>
            <w:hideMark/>
          </w:tcPr>
          <w:p w14:paraId="0B1BD7F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w:t>
            </w:r>
          </w:p>
        </w:tc>
        <w:tc>
          <w:tcPr>
            <w:tcW w:w="760" w:type="dxa"/>
            <w:tcBorders>
              <w:top w:val="nil"/>
              <w:left w:val="nil"/>
              <w:bottom w:val="nil"/>
              <w:right w:val="nil"/>
            </w:tcBorders>
            <w:shd w:val="clear" w:color="auto" w:fill="auto"/>
            <w:noWrap/>
            <w:vAlign w:val="center"/>
            <w:hideMark/>
          </w:tcPr>
          <w:p w14:paraId="4638BF4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18.52</w:t>
            </w:r>
          </w:p>
        </w:tc>
        <w:tc>
          <w:tcPr>
            <w:tcW w:w="760" w:type="dxa"/>
            <w:tcBorders>
              <w:top w:val="nil"/>
              <w:left w:val="nil"/>
              <w:bottom w:val="nil"/>
              <w:right w:val="nil"/>
            </w:tcBorders>
            <w:shd w:val="clear" w:color="auto" w:fill="auto"/>
            <w:noWrap/>
            <w:vAlign w:val="center"/>
            <w:hideMark/>
          </w:tcPr>
          <w:p w14:paraId="0A0DCDA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14.26</w:t>
            </w:r>
          </w:p>
        </w:tc>
        <w:tc>
          <w:tcPr>
            <w:tcW w:w="760" w:type="dxa"/>
            <w:tcBorders>
              <w:top w:val="nil"/>
              <w:left w:val="nil"/>
              <w:bottom w:val="nil"/>
              <w:right w:val="single" w:sz="4" w:space="0" w:color="auto"/>
            </w:tcBorders>
            <w:shd w:val="clear" w:color="auto" w:fill="auto"/>
            <w:noWrap/>
            <w:vAlign w:val="center"/>
            <w:hideMark/>
          </w:tcPr>
          <w:p w14:paraId="4E97132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12.3</w:t>
            </w:r>
          </w:p>
        </w:tc>
        <w:tc>
          <w:tcPr>
            <w:tcW w:w="2080" w:type="dxa"/>
            <w:tcBorders>
              <w:top w:val="nil"/>
              <w:left w:val="nil"/>
              <w:bottom w:val="nil"/>
              <w:right w:val="nil"/>
            </w:tcBorders>
            <w:shd w:val="clear" w:color="auto" w:fill="auto"/>
            <w:noWrap/>
            <w:vAlign w:val="center"/>
            <w:hideMark/>
          </w:tcPr>
          <w:p w14:paraId="14C67B5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3.07</w:t>
            </w:r>
          </w:p>
        </w:tc>
        <w:tc>
          <w:tcPr>
            <w:tcW w:w="2080" w:type="dxa"/>
            <w:tcBorders>
              <w:top w:val="nil"/>
              <w:left w:val="nil"/>
              <w:bottom w:val="nil"/>
              <w:right w:val="nil"/>
            </w:tcBorders>
            <w:shd w:val="clear" w:color="auto" w:fill="auto"/>
            <w:noWrap/>
            <w:vAlign w:val="center"/>
            <w:hideMark/>
          </w:tcPr>
          <w:p w14:paraId="1D76669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14.00*</w:t>
            </w:r>
          </w:p>
        </w:tc>
        <w:tc>
          <w:tcPr>
            <w:tcW w:w="2080" w:type="dxa"/>
            <w:tcBorders>
              <w:top w:val="nil"/>
              <w:left w:val="nil"/>
              <w:bottom w:val="nil"/>
              <w:right w:val="nil"/>
            </w:tcBorders>
            <w:shd w:val="clear" w:color="auto" w:fill="auto"/>
            <w:noWrap/>
            <w:vAlign w:val="center"/>
            <w:hideMark/>
          </w:tcPr>
          <w:p w14:paraId="624B5CBD"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4.70</w:t>
            </w:r>
          </w:p>
        </w:tc>
      </w:tr>
      <w:tr w:rsidR="00A10C66" w:rsidRPr="00A47D41" w14:paraId="312CCB09" w14:textId="77777777" w:rsidTr="00A10C66">
        <w:trPr>
          <w:trHeight w:val="360"/>
        </w:trPr>
        <w:tc>
          <w:tcPr>
            <w:tcW w:w="1161" w:type="dxa"/>
            <w:vMerge/>
            <w:tcBorders>
              <w:top w:val="nil"/>
              <w:left w:val="nil"/>
              <w:bottom w:val="nil"/>
              <w:right w:val="nil"/>
            </w:tcBorders>
            <w:vAlign w:val="center"/>
            <w:hideMark/>
          </w:tcPr>
          <w:p w14:paraId="0E79E136" w14:textId="77777777" w:rsidR="00A10C66" w:rsidRPr="00A47D41" w:rsidRDefault="00A10C66" w:rsidP="00A10C66">
            <w:pPr>
              <w:spacing w:after="0" w:line="480" w:lineRule="auto"/>
              <w:rPr>
                <w:rFonts w:ascii="Times New Roman" w:eastAsia="Times New Roman" w:hAnsi="Times New Roman" w:cs="Times New Roman"/>
                <w:b/>
                <w:bCs/>
                <w:color w:val="000000"/>
                <w:sz w:val="20"/>
                <w:szCs w:val="20"/>
                <w:lang w:eastAsia="zh-CN"/>
              </w:rPr>
            </w:pPr>
          </w:p>
        </w:tc>
        <w:tc>
          <w:tcPr>
            <w:tcW w:w="600" w:type="dxa"/>
            <w:tcBorders>
              <w:top w:val="nil"/>
              <w:left w:val="nil"/>
              <w:bottom w:val="nil"/>
              <w:right w:val="single" w:sz="4" w:space="0" w:color="auto"/>
            </w:tcBorders>
            <w:shd w:val="clear" w:color="auto" w:fill="auto"/>
            <w:noWrap/>
            <w:vAlign w:val="center"/>
            <w:hideMark/>
          </w:tcPr>
          <w:p w14:paraId="74C194E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w:t>
            </w:r>
          </w:p>
        </w:tc>
        <w:tc>
          <w:tcPr>
            <w:tcW w:w="760" w:type="dxa"/>
            <w:tcBorders>
              <w:top w:val="nil"/>
              <w:left w:val="nil"/>
              <w:bottom w:val="nil"/>
              <w:right w:val="nil"/>
            </w:tcBorders>
            <w:shd w:val="clear" w:color="auto" w:fill="auto"/>
            <w:noWrap/>
            <w:vAlign w:val="center"/>
            <w:hideMark/>
          </w:tcPr>
          <w:p w14:paraId="417A6AA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6.63</w:t>
            </w:r>
          </w:p>
        </w:tc>
        <w:tc>
          <w:tcPr>
            <w:tcW w:w="760" w:type="dxa"/>
            <w:tcBorders>
              <w:top w:val="nil"/>
              <w:left w:val="nil"/>
              <w:bottom w:val="nil"/>
              <w:right w:val="nil"/>
            </w:tcBorders>
            <w:shd w:val="clear" w:color="auto" w:fill="auto"/>
            <w:noWrap/>
            <w:vAlign w:val="center"/>
            <w:hideMark/>
          </w:tcPr>
          <w:p w14:paraId="105A0A3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3.84</w:t>
            </w:r>
          </w:p>
        </w:tc>
        <w:tc>
          <w:tcPr>
            <w:tcW w:w="760" w:type="dxa"/>
            <w:tcBorders>
              <w:top w:val="nil"/>
              <w:left w:val="nil"/>
              <w:bottom w:val="nil"/>
              <w:right w:val="single" w:sz="4" w:space="0" w:color="auto"/>
            </w:tcBorders>
            <w:shd w:val="clear" w:color="auto" w:fill="auto"/>
            <w:noWrap/>
            <w:vAlign w:val="center"/>
            <w:hideMark/>
          </w:tcPr>
          <w:p w14:paraId="6947BF3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2.71</w:t>
            </w:r>
          </w:p>
        </w:tc>
        <w:tc>
          <w:tcPr>
            <w:tcW w:w="2080" w:type="dxa"/>
            <w:tcBorders>
              <w:top w:val="nil"/>
              <w:left w:val="nil"/>
              <w:bottom w:val="nil"/>
              <w:right w:val="nil"/>
            </w:tcBorders>
            <w:shd w:val="clear" w:color="auto" w:fill="auto"/>
            <w:noWrap/>
            <w:vAlign w:val="center"/>
            <w:hideMark/>
          </w:tcPr>
          <w:p w14:paraId="00809BB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2.42</w:t>
            </w:r>
          </w:p>
        </w:tc>
        <w:tc>
          <w:tcPr>
            <w:tcW w:w="2080" w:type="dxa"/>
            <w:tcBorders>
              <w:top w:val="nil"/>
              <w:left w:val="nil"/>
              <w:bottom w:val="nil"/>
              <w:right w:val="nil"/>
            </w:tcBorders>
            <w:shd w:val="clear" w:color="auto" w:fill="auto"/>
            <w:noWrap/>
            <w:vAlign w:val="center"/>
            <w:hideMark/>
          </w:tcPr>
          <w:p w14:paraId="60E3A947"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2.75*</w:t>
            </w:r>
          </w:p>
        </w:tc>
        <w:tc>
          <w:tcPr>
            <w:tcW w:w="2080" w:type="dxa"/>
            <w:tcBorders>
              <w:top w:val="nil"/>
              <w:left w:val="nil"/>
              <w:bottom w:val="nil"/>
              <w:right w:val="nil"/>
            </w:tcBorders>
            <w:shd w:val="clear" w:color="auto" w:fill="auto"/>
            <w:noWrap/>
            <w:vAlign w:val="center"/>
            <w:hideMark/>
          </w:tcPr>
          <w:p w14:paraId="18E2002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1.12</w:t>
            </w:r>
          </w:p>
        </w:tc>
      </w:tr>
    </w:tbl>
    <w:p w14:paraId="1E75DD35" w14:textId="77777777" w:rsidR="00A10C66" w:rsidRDefault="00A10C66" w:rsidP="00A10C66">
      <w:pPr>
        <w:spacing w:after="0" w:line="480" w:lineRule="auto"/>
        <w:jc w:val="both"/>
        <w:rPr>
          <w:rFonts w:ascii="Times New Roman" w:hAnsi="Times New Roman" w:cs="Times New Roman"/>
          <w:b/>
          <w:sz w:val="24"/>
          <w:szCs w:val="24"/>
        </w:rPr>
      </w:pPr>
    </w:p>
    <w:p w14:paraId="2AB3F1ED" w14:textId="77777777" w:rsidR="00A10C66" w:rsidRDefault="00A10C66" w:rsidP="00A10C66">
      <w:pPr>
        <w:spacing w:after="0" w:line="480" w:lineRule="auto"/>
        <w:jc w:val="both"/>
        <w:rPr>
          <w:rFonts w:ascii="Times New Roman" w:hAnsi="Times New Roman" w:cs="Times New Roman"/>
          <w:b/>
          <w:sz w:val="24"/>
          <w:szCs w:val="24"/>
        </w:rPr>
      </w:pPr>
    </w:p>
    <w:p w14:paraId="51106F58" w14:textId="77777777" w:rsidR="00DA4D6C" w:rsidRDefault="00DA4D6C">
      <w:pPr>
        <w:rPr>
          <w:rFonts w:ascii="Times New Roman" w:hAnsi="Times New Roman" w:cs="Times New Roman"/>
          <w:b/>
          <w:sz w:val="24"/>
          <w:szCs w:val="24"/>
        </w:rPr>
      </w:pPr>
      <w:r>
        <w:rPr>
          <w:rFonts w:ascii="Times New Roman" w:hAnsi="Times New Roman" w:cs="Times New Roman"/>
          <w:b/>
          <w:sz w:val="24"/>
          <w:szCs w:val="24"/>
        </w:rPr>
        <w:br w:type="page"/>
      </w:r>
    </w:p>
    <w:p w14:paraId="5454E95D" w14:textId="7E59AB60" w:rsidR="00A10C66" w:rsidRPr="00A47D41" w:rsidRDefault="00A10C66" w:rsidP="00A10C66">
      <w:pPr>
        <w:spacing w:after="0" w:line="480" w:lineRule="auto"/>
        <w:jc w:val="both"/>
        <w:rPr>
          <w:rFonts w:ascii="Times New Roman" w:hAnsi="Times New Roman" w:cs="Times New Roman"/>
          <w:b/>
          <w:sz w:val="24"/>
          <w:szCs w:val="24"/>
        </w:rPr>
      </w:pPr>
      <w:r w:rsidRPr="00A47D41">
        <w:rPr>
          <w:rFonts w:ascii="Times New Roman" w:hAnsi="Times New Roman" w:cs="Times New Roman"/>
          <w:b/>
          <w:sz w:val="24"/>
          <w:szCs w:val="24"/>
        </w:rPr>
        <w:lastRenderedPageBreak/>
        <w:t>Table 7: Granger Causality Test</w:t>
      </w:r>
    </w:p>
    <w:p w14:paraId="58896D93" w14:textId="77777777" w:rsidR="00A10C66" w:rsidRPr="000A1404" w:rsidRDefault="00A10C66" w:rsidP="00A10C66">
      <w:pPr>
        <w:spacing w:after="0" w:line="480" w:lineRule="auto"/>
        <w:jc w:val="both"/>
        <w:rPr>
          <w:rFonts w:ascii="Times New Roman" w:hAnsi="Times New Roman" w:cs="Times New Roman"/>
          <w:sz w:val="20"/>
          <w:szCs w:val="20"/>
        </w:rPr>
      </w:pPr>
      <w:r w:rsidRPr="000A1404">
        <w:rPr>
          <w:rFonts w:ascii="Times New Roman" w:hAnsi="Times New Roman" w:cs="Times New Roman"/>
          <w:sz w:val="20"/>
          <w:szCs w:val="20"/>
        </w:rPr>
        <w:t xml:space="preserve">This table reports results from the Granger causality tests for the whole sample and two sub samples. The causation structure for each component in the vector and its dependence on other components both separately and collectively are reflected by the test statistics. </w:t>
      </w:r>
    </w:p>
    <w:p w14:paraId="2B3D839C" w14:textId="77777777" w:rsidR="00A10C66" w:rsidRPr="00A47D41" w:rsidRDefault="00A10C66" w:rsidP="00A10C66">
      <w:pPr>
        <w:spacing w:after="0" w:line="480" w:lineRule="auto"/>
        <w:jc w:val="both"/>
        <w:rPr>
          <w:rFonts w:ascii="Times New Roman" w:hAnsi="Times New Roman" w:cs="Times New Roman"/>
          <w:sz w:val="24"/>
          <w:szCs w:val="24"/>
        </w:rPr>
      </w:pPr>
    </w:p>
    <w:tbl>
      <w:tblPr>
        <w:tblpPr w:leftFromText="180" w:rightFromText="180" w:vertAnchor="text" w:horzAnchor="margin" w:tblpY="92"/>
        <w:tblW w:w="10102" w:type="dxa"/>
        <w:tblLook w:val="04A0" w:firstRow="1" w:lastRow="0" w:firstColumn="1" w:lastColumn="0" w:noHBand="0" w:noVBand="1"/>
      </w:tblPr>
      <w:tblGrid>
        <w:gridCol w:w="1139"/>
        <w:gridCol w:w="1092"/>
        <w:gridCol w:w="2633"/>
        <w:gridCol w:w="2633"/>
        <w:gridCol w:w="2633"/>
      </w:tblGrid>
      <w:tr w:rsidR="00A10C66" w:rsidRPr="00A47D41" w14:paraId="506015C6" w14:textId="77777777" w:rsidTr="00A10C66">
        <w:trPr>
          <w:trHeight w:val="390"/>
        </w:trPr>
        <w:tc>
          <w:tcPr>
            <w:tcW w:w="1111" w:type="dxa"/>
            <w:tcBorders>
              <w:top w:val="nil"/>
              <w:left w:val="nil"/>
              <w:bottom w:val="single" w:sz="4" w:space="0" w:color="auto"/>
              <w:right w:val="nil"/>
            </w:tcBorders>
            <w:shd w:val="clear" w:color="auto" w:fill="auto"/>
            <w:noWrap/>
            <w:vAlign w:val="center"/>
            <w:hideMark/>
          </w:tcPr>
          <w:p w14:paraId="71EEBE0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 </w:t>
            </w:r>
          </w:p>
        </w:tc>
        <w:tc>
          <w:tcPr>
            <w:tcW w:w="1092" w:type="dxa"/>
            <w:tcBorders>
              <w:top w:val="nil"/>
              <w:left w:val="nil"/>
              <w:bottom w:val="single" w:sz="4" w:space="0" w:color="auto"/>
              <w:right w:val="single" w:sz="4" w:space="0" w:color="auto"/>
            </w:tcBorders>
            <w:shd w:val="clear" w:color="auto" w:fill="auto"/>
            <w:noWrap/>
            <w:vAlign w:val="center"/>
            <w:hideMark/>
          </w:tcPr>
          <w:p w14:paraId="6EFD01E2" w14:textId="77777777" w:rsidR="00A10C66" w:rsidRPr="00A47D41" w:rsidRDefault="00A10C66" w:rsidP="00A10C66">
            <w:pPr>
              <w:spacing w:after="0" w:line="480" w:lineRule="auto"/>
              <w:jc w:val="center"/>
              <w:rPr>
                <w:rFonts w:ascii="Times New Roman" w:eastAsia="Times New Roman" w:hAnsi="Times New Roman" w:cs="Times New Roman"/>
                <w:b/>
                <w:bCs/>
                <w:i/>
                <w:iCs/>
                <w:color w:val="000000"/>
                <w:sz w:val="20"/>
                <w:szCs w:val="20"/>
                <w:lang w:eastAsia="zh-CN"/>
              </w:rPr>
            </w:pPr>
            <w:r w:rsidRPr="00A47D41">
              <w:rPr>
                <w:rFonts w:ascii="Times New Roman" w:eastAsia="Times New Roman" w:hAnsi="Times New Roman" w:cs="Times New Roman"/>
                <w:b/>
                <w:bCs/>
                <w:i/>
                <w:iCs/>
                <w:color w:val="000000"/>
                <w:sz w:val="20"/>
                <w:szCs w:val="20"/>
                <w:lang w:eastAsia="zh-CN"/>
              </w:rPr>
              <w:t> </w:t>
            </w:r>
          </w:p>
        </w:tc>
        <w:tc>
          <w:tcPr>
            <w:tcW w:w="2633" w:type="dxa"/>
            <w:tcBorders>
              <w:top w:val="nil"/>
              <w:left w:val="nil"/>
              <w:bottom w:val="single" w:sz="4" w:space="0" w:color="auto"/>
              <w:right w:val="nil"/>
            </w:tcBorders>
            <w:shd w:val="clear" w:color="auto" w:fill="auto"/>
            <w:noWrap/>
            <w:vAlign w:val="center"/>
            <w:hideMark/>
          </w:tcPr>
          <w:p w14:paraId="7B3E384E"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01/01/2003-29/03/2013</w:t>
            </w:r>
          </w:p>
        </w:tc>
        <w:tc>
          <w:tcPr>
            <w:tcW w:w="2633" w:type="dxa"/>
            <w:tcBorders>
              <w:top w:val="nil"/>
              <w:left w:val="nil"/>
              <w:bottom w:val="single" w:sz="4" w:space="0" w:color="auto"/>
              <w:right w:val="nil"/>
            </w:tcBorders>
            <w:shd w:val="clear" w:color="auto" w:fill="auto"/>
            <w:noWrap/>
            <w:vAlign w:val="center"/>
            <w:hideMark/>
          </w:tcPr>
          <w:p w14:paraId="1D02F642"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01/01/2003-19/09/2008</w:t>
            </w:r>
          </w:p>
        </w:tc>
        <w:tc>
          <w:tcPr>
            <w:tcW w:w="2633" w:type="dxa"/>
            <w:tcBorders>
              <w:top w:val="nil"/>
              <w:left w:val="nil"/>
              <w:bottom w:val="single" w:sz="4" w:space="0" w:color="auto"/>
              <w:right w:val="nil"/>
            </w:tcBorders>
            <w:shd w:val="clear" w:color="auto" w:fill="auto"/>
            <w:noWrap/>
            <w:vAlign w:val="center"/>
            <w:hideMark/>
          </w:tcPr>
          <w:p w14:paraId="15AE077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19/09/2008-29/03/2013</w:t>
            </w:r>
          </w:p>
        </w:tc>
      </w:tr>
      <w:tr w:rsidR="00A10C66" w:rsidRPr="00A47D41" w14:paraId="7E5E05AD" w14:textId="77777777" w:rsidTr="00A10C66">
        <w:trPr>
          <w:trHeight w:val="390"/>
        </w:trPr>
        <w:tc>
          <w:tcPr>
            <w:tcW w:w="1111" w:type="dxa"/>
            <w:tcBorders>
              <w:top w:val="nil"/>
              <w:left w:val="nil"/>
              <w:bottom w:val="nil"/>
              <w:right w:val="nil"/>
            </w:tcBorders>
            <w:shd w:val="clear" w:color="auto" w:fill="auto"/>
            <w:noWrap/>
            <w:vAlign w:val="center"/>
            <w:hideMark/>
          </w:tcPr>
          <w:p w14:paraId="11302EB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PILOW</w:t>
            </w:r>
          </w:p>
        </w:tc>
        <w:tc>
          <w:tcPr>
            <w:tcW w:w="1092" w:type="dxa"/>
            <w:tcBorders>
              <w:top w:val="nil"/>
              <w:left w:val="nil"/>
              <w:bottom w:val="nil"/>
              <w:right w:val="single" w:sz="4" w:space="0" w:color="auto"/>
            </w:tcBorders>
            <w:shd w:val="clear" w:color="auto" w:fill="auto"/>
            <w:noWrap/>
            <w:vAlign w:val="center"/>
            <w:hideMark/>
          </w:tcPr>
          <w:p w14:paraId="007CD789"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PIHIGH</w:t>
            </w:r>
          </w:p>
        </w:tc>
        <w:tc>
          <w:tcPr>
            <w:tcW w:w="2633" w:type="dxa"/>
            <w:tcBorders>
              <w:top w:val="nil"/>
              <w:left w:val="nil"/>
              <w:bottom w:val="nil"/>
              <w:right w:val="nil"/>
            </w:tcBorders>
            <w:shd w:val="clear" w:color="auto" w:fill="auto"/>
            <w:noWrap/>
            <w:vAlign w:val="center"/>
            <w:hideMark/>
          </w:tcPr>
          <w:p w14:paraId="506546F6"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13.36 (0.00)***</w:t>
            </w:r>
          </w:p>
        </w:tc>
        <w:tc>
          <w:tcPr>
            <w:tcW w:w="2633" w:type="dxa"/>
            <w:tcBorders>
              <w:top w:val="nil"/>
              <w:left w:val="nil"/>
              <w:bottom w:val="nil"/>
              <w:right w:val="nil"/>
            </w:tcBorders>
            <w:shd w:val="clear" w:color="auto" w:fill="auto"/>
            <w:noWrap/>
            <w:vAlign w:val="center"/>
            <w:hideMark/>
          </w:tcPr>
          <w:p w14:paraId="58601AF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0.47 (0.92)</w:t>
            </w:r>
          </w:p>
        </w:tc>
        <w:tc>
          <w:tcPr>
            <w:tcW w:w="2633" w:type="dxa"/>
            <w:tcBorders>
              <w:top w:val="nil"/>
              <w:left w:val="nil"/>
              <w:bottom w:val="nil"/>
              <w:right w:val="nil"/>
            </w:tcBorders>
            <w:shd w:val="clear" w:color="auto" w:fill="auto"/>
            <w:noWrap/>
            <w:vAlign w:val="center"/>
            <w:hideMark/>
          </w:tcPr>
          <w:p w14:paraId="79F6711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14.28 (0.00)***</w:t>
            </w:r>
          </w:p>
        </w:tc>
      </w:tr>
      <w:tr w:rsidR="00A10C66" w:rsidRPr="00A47D41" w14:paraId="214EAC2B" w14:textId="77777777" w:rsidTr="00A10C66">
        <w:trPr>
          <w:trHeight w:val="390"/>
        </w:trPr>
        <w:tc>
          <w:tcPr>
            <w:tcW w:w="1111" w:type="dxa"/>
            <w:tcBorders>
              <w:top w:val="nil"/>
              <w:left w:val="nil"/>
              <w:bottom w:val="nil"/>
              <w:right w:val="nil"/>
            </w:tcBorders>
            <w:shd w:val="clear" w:color="auto" w:fill="auto"/>
            <w:noWrap/>
            <w:vAlign w:val="center"/>
            <w:hideMark/>
          </w:tcPr>
          <w:p w14:paraId="780CBB33"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092" w:type="dxa"/>
            <w:tcBorders>
              <w:top w:val="nil"/>
              <w:left w:val="nil"/>
              <w:bottom w:val="nil"/>
              <w:right w:val="single" w:sz="4" w:space="0" w:color="auto"/>
            </w:tcBorders>
            <w:shd w:val="clear" w:color="auto" w:fill="auto"/>
            <w:noWrap/>
            <w:vAlign w:val="center"/>
            <w:hideMark/>
          </w:tcPr>
          <w:p w14:paraId="1B768F63"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MSWRLD</w:t>
            </w:r>
          </w:p>
        </w:tc>
        <w:tc>
          <w:tcPr>
            <w:tcW w:w="2633" w:type="dxa"/>
            <w:tcBorders>
              <w:top w:val="nil"/>
              <w:left w:val="nil"/>
              <w:bottom w:val="nil"/>
              <w:right w:val="nil"/>
            </w:tcBorders>
            <w:shd w:val="clear" w:color="auto" w:fill="auto"/>
            <w:noWrap/>
            <w:vAlign w:val="center"/>
            <w:hideMark/>
          </w:tcPr>
          <w:p w14:paraId="2E67862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339.85 (0.00)***</w:t>
            </w:r>
          </w:p>
        </w:tc>
        <w:tc>
          <w:tcPr>
            <w:tcW w:w="2633" w:type="dxa"/>
            <w:tcBorders>
              <w:top w:val="nil"/>
              <w:left w:val="nil"/>
              <w:bottom w:val="nil"/>
              <w:right w:val="nil"/>
            </w:tcBorders>
            <w:shd w:val="clear" w:color="auto" w:fill="auto"/>
            <w:noWrap/>
            <w:vAlign w:val="center"/>
            <w:hideMark/>
          </w:tcPr>
          <w:p w14:paraId="54937BE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187.26 (0.00) ***</w:t>
            </w:r>
          </w:p>
        </w:tc>
        <w:tc>
          <w:tcPr>
            <w:tcW w:w="2633" w:type="dxa"/>
            <w:tcBorders>
              <w:top w:val="nil"/>
              <w:left w:val="nil"/>
              <w:bottom w:val="nil"/>
              <w:right w:val="nil"/>
            </w:tcBorders>
            <w:shd w:val="clear" w:color="auto" w:fill="auto"/>
            <w:noWrap/>
            <w:vAlign w:val="center"/>
            <w:hideMark/>
          </w:tcPr>
          <w:p w14:paraId="3905746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145.84 (0.00)***</w:t>
            </w:r>
          </w:p>
        </w:tc>
      </w:tr>
      <w:tr w:rsidR="00A10C66" w:rsidRPr="00A47D41" w14:paraId="54C7C565" w14:textId="77777777" w:rsidTr="00A10C66">
        <w:trPr>
          <w:trHeight w:val="390"/>
        </w:trPr>
        <w:tc>
          <w:tcPr>
            <w:tcW w:w="1111" w:type="dxa"/>
            <w:tcBorders>
              <w:top w:val="nil"/>
              <w:left w:val="nil"/>
              <w:bottom w:val="nil"/>
              <w:right w:val="nil"/>
            </w:tcBorders>
            <w:shd w:val="clear" w:color="auto" w:fill="auto"/>
            <w:noWrap/>
            <w:vAlign w:val="center"/>
            <w:hideMark/>
          </w:tcPr>
          <w:p w14:paraId="622FBBEB"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092" w:type="dxa"/>
            <w:tcBorders>
              <w:top w:val="nil"/>
              <w:left w:val="nil"/>
              <w:bottom w:val="nil"/>
              <w:right w:val="single" w:sz="4" w:space="0" w:color="auto"/>
            </w:tcBorders>
            <w:shd w:val="clear" w:color="auto" w:fill="auto"/>
            <w:noWrap/>
            <w:vAlign w:val="center"/>
            <w:hideMark/>
          </w:tcPr>
          <w:p w14:paraId="5C491F74"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All</w:t>
            </w:r>
          </w:p>
        </w:tc>
        <w:tc>
          <w:tcPr>
            <w:tcW w:w="2633" w:type="dxa"/>
            <w:tcBorders>
              <w:top w:val="nil"/>
              <w:left w:val="nil"/>
              <w:bottom w:val="nil"/>
              <w:right w:val="nil"/>
            </w:tcBorders>
            <w:shd w:val="clear" w:color="auto" w:fill="auto"/>
            <w:noWrap/>
            <w:vAlign w:val="center"/>
            <w:hideMark/>
          </w:tcPr>
          <w:p w14:paraId="7C48935B"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357.58 (0.00)***</w:t>
            </w:r>
          </w:p>
        </w:tc>
        <w:tc>
          <w:tcPr>
            <w:tcW w:w="2633" w:type="dxa"/>
            <w:tcBorders>
              <w:top w:val="nil"/>
              <w:left w:val="nil"/>
              <w:bottom w:val="nil"/>
              <w:right w:val="nil"/>
            </w:tcBorders>
            <w:shd w:val="clear" w:color="auto" w:fill="auto"/>
            <w:noWrap/>
            <w:vAlign w:val="center"/>
            <w:hideMark/>
          </w:tcPr>
          <w:p w14:paraId="074A11AF"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188.12 (0.00)***</w:t>
            </w:r>
          </w:p>
        </w:tc>
        <w:tc>
          <w:tcPr>
            <w:tcW w:w="2633" w:type="dxa"/>
            <w:tcBorders>
              <w:top w:val="nil"/>
              <w:left w:val="nil"/>
              <w:bottom w:val="nil"/>
              <w:right w:val="nil"/>
            </w:tcBorders>
            <w:shd w:val="clear" w:color="auto" w:fill="auto"/>
            <w:noWrap/>
            <w:vAlign w:val="center"/>
            <w:hideMark/>
          </w:tcPr>
          <w:p w14:paraId="3F95115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166.43 (0.00)***</w:t>
            </w:r>
          </w:p>
        </w:tc>
      </w:tr>
      <w:tr w:rsidR="00A10C66" w:rsidRPr="00A47D41" w14:paraId="2C9AF878" w14:textId="77777777" w:rsidTr="00A10C66">
        <w:trPr>
          <w:trHeight w:val="390"/>
        </w:trPr>
        <w:tc>
          <w:tcPr>
            <w:tcW w:w="1111" w:type="dxa"/>
            <w:tcBorders>
              <w:top w:val="nil"/>
              <w:left w:val="nil"/>
              <w:bottom w:val="nil"/>
              <w:right w:val="nil"/>
            </w:tcBorders>
            <w:shd w:val="clear" w:color="auto" w:fill="auto"/>
            <w:noWrap/>
            <w:vAlign w:val="center"/>
            <w:hideMark/>
          </w:tcPr>
          <w:p w14:paraId="0EEC9EC4"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PIHIGH</w:t>
            </w:r>
          </w:p>
        </w:tc>
        <w:tc>
          <w:tcPr>
            <w:tcW w:w="1092" w:type="dxa"/>
            <w:tcBorders>
              <w:top w:val="nil"/>
              <w:left w:val="nil"/>
              <w:bottom w:val="nil"/>
              <w:right w:val="single" w:sz="4" w:space="0" w:color="auto"/>
            </w:tcBorders>
            <w:shd w:val="clear" w:color="auto" w:fill="auto"/>
            <w:noWrap/>
            <w:vAlign w:val="center"/>
            <w:hideMark/>
          </w:tcPr>
          <w:p w14:paraId="26938E56"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PILOW</w:t>
            </w:r>
          </w:p>
        </w:tc>
        <w:tc>
          <w:tcPr>
            <w:tcW w:w="2633" w:type="dxa"/>
            <w:tcBorders>
              <w:top w:val="nil"/>
              <w:left w:val="nil"/>
              <w:bottom w:val="nil"/>
              <w:right w:val="nil"/>
            </w:tcBorders>
            <w:shd w:val="clear" w:color="auto" w:fill="auto"/>
            <w:noWrap/>
            <w:vAlign w:val="center"/>
            <w:hideMark/>
          </w:tcPr>
          <w:p w14:paraId="05C8378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131.64 (0.00)***</w:t>
            </w:r>
          </w:p>
        </w:tc>
        <w:tc>
          <w:tcPr>
            <w:tcW w:w="2633" w:type="dxa"/>
            <w:tcBorders>
              <w:top w:val="nil"/>
              <w:left w:val="nil"/>
              <w:bottom w:val="nil"/>
              <w:right w:val="nil"/>
            </w:tcBorders>
            <w:shd w:val="clear" w:color="auto" w:fill="auto"/>
            <w:noWrap/>
            <w:vAlign w:val="center"/>
            <w:hideMark/>
          </w:tcPr>
          <w:p w14:paraId="6D064DE4"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75.05 (0.00)***</w:t>
            </w:r>
          </w:p>
        </w:tc>
        <w:tc>
          <w:tcPr>
            <w:tcW w:w="2633" w:type="dxa"/>
            <w:tcBorders>
              <w:top w:val="nil"/>
              <w:left w:val="nil"/>
              <w:bottom w:val="nil"/>
              <w:right w:val="nil"/>
            </w:tcBorders>
            <w:shd w:val="clear" w:color="auto" w:fill="auto"/>
            <w:noWrap/>
            <w:vAlign w:val="center"/>
            <w:hideMark/>
          </w:tcPr>
          <w:p w14:paraId="25E7119A"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54.15 (0.00)***</w:t>
            </w:r>
          </w:p>
        </w:tc>
      </w:tr>
      <w:tr w:rsidR="00A10C66" w:rsidRPr="00A47D41" w14:paraId="4C98E2C9" w14:textId="77777777" w:rsidTr="00A10C66">
        <w:trPr>
          <w:trHeight w:val="390"/>
        </w:trPr>
        <w:tc>
          <w:tcPr>
            <w:tcW w:w="1111" w:type="dxa"/>
            <w:tcBorders>
              <w:top w:val="nil"/>
              <w:left w:val="nil"/>
              <w:bottom w:val="nil"/>
              <w:right w:val="nil"/>
            </w:tcBorders>
            <w:shd w:val="clear" w:color="auto" w:fill="auto"/>
            <w:noWrap/>
            <w:vAlign w:val="center"/>
            <w:hideMark/>
          </w:tcPr>
          <w:p w14:paraId="503ADDEC"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092" w:type="dxa"/>
            <w:tcBorders>
              <w:top w:val="nil"/>
              <w:left w:val="nil"/>
              <w:bottom w:val="nil"/>
              <w:right w:val="single" w:sz="4" w:space="0" w:color="auto"/>
            </w:tcBorders>
            <w:shd w:val="clear" w:color="auto" w:fill="auto"/>
            <w:noWrap/>
            <w:vAlign w:val="center"/>
            <w:hideMark/>
          </w:tcPr>
          <w:p w14:paraId="7D6087C3"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MSWRLD</w:t>
            </w:r>
          </w:p>
        </w:tc>
        <w:tc>
          <w:tcPr>
            <w:tcW w:w="2633" w:type="dxa"/>
            <w:tcBorders>
              <w:top w:val="nil"/>
              <w:left w:val="nil"/>
              <w:bottom w:val="nil"/>
              <w:right w:val="nil"/>
            </w:tcBorders>
            <w:shd w:val="clear" w:color="auto" w:fill="auto"/>
            <w:noWrap/>
            <w:vAlign w:val="center"/>
            <w:hideMark/>
          </w:tcPr>
          <w:p w14:paraId="7B454CA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317.33 (0.00)***</w:t>
            </w:r>
          </w:p>
        </w:tc>
        <w:tc>
          <w:tcPr>
            <w:tcW w:w="2633" w:type="dxa"/>
            <w:tcBorders>
              <w:top w:val="nil"/>
              <w:left w:val="nil"/>
              <w:bottom w:val="nil"/>
              <w:right w:val="nil"/>
            </w:tcBorders>
            <w:shd w:val="clear" w:color="auto" w:fill="auto"/>
            <w:noWrap/>
            <w:vAlign w:val="center"/>
            <w:hideMark/>
          </w:tcPr>
          <w:p w14:paraId="2C9ABCF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171.28 (0.00)***</w:t>
            </w:r>
          </w:p>
        </w:tc>
        <w:tc>
          <w:tcPr>
            <w:tcW w:w="2633" w:type="dxa"/>
            <w:tcBorders>
              <w:top w:val="nil"/>
              <w:left w:val="nil"/>
              <w:bottom w:val="nil"/>
              <w:right w:val="nil"/>
            </w:tcBorders>
            <w:shd w:val="clear" w:color="auto" w:fill="auto"/>
            <w:noWrap/>
            <w:vAlign w:val="center"/>
            <w:hideMark/>
          </w:tcPr>
          <w:p w14:paraId="474F69C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140.10 (0.00)***</w:t>
            </w:r>
          </w:p>
        </w:tc>
      </w:tr>
      <w:tr w:rsidR="00A10C66" w:rsidRPr="00A47D41" w14:paraId="6CDFB2FF" w14:textId="77777777" w:rsidTr="00A10C66">
        <w:trPr>
          <w:trHeight w:val="390"/>
        </w:trPr>
        <w:tc>
          <w:tcPr>
            <w:tcW w:w="1111" w:type="dxa"/>
            <w:tcBorders>
              <w:top w:val="nil"/>
              <w:left w:val="nil"/>
              <w:bottom w:val="nil"/>
              <w:right w:val="nil"/>
            </w:tcBorders>
            <w:shd w:val="clear" w:color="auto" w:fill="auto"/>
            <w:noWrap/>
            <w:vAlign w:val="center"/>
            <w:hideMark/>
          </w:tcPr>
          <w:p w14:paraId="20411269"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092" w:type="dxa"/>
            <w:tcBorders>
              <w:top w:val="nil"/>
              <w:left w:val="nil"/>
              <w:bottom w:val="nil"/>
              <w:right w:val="single" w:sz="4" w:space="0" w:color="auto"/>
            </w:tcBorders>
            <w:shd w:val="clear" w:color="auto" w:fill="auto"/>
            <w:noWrap/>
            <w:vAlign w:val="center"/>
            <w:hideMark/>
          </w:tcPr>
          <w:p w14:paraId="7B6C145E"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All</w:t>
            </w:r>
          </w:p>
        </w:tc>
        <w:tc>
          <w:tcPr>
            <w:tcW w:w="2633" w:type="dxa"/>
            <w:tcBorders>
              <w:top w:val="nil"/>
              <w:left w:val="nil"/>
              <w:bottom w:val="nil"/>
              <w:right w:val="nil"/>
            </w:tcBorders>
            <w:shd w:val="clear" w:color="auto" w:fill="auto"/>
            <w:noWrap/>
            <w:vAlign w:val="center"/>
            <w:hideMark/>
          </w:tcPr>
          <w:p w14:paraId="7C564C43"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323.16 (0.00)***</w:t>
            </w:r>
          </w:p>
        </w:tc>
        <w:tc>
          <w:tcPr>
            <w:tcW w:w="2633" w:type="dxa"/>
            <w:tcBorders>
              <w:top w:val="nil"/>
              <w:left w:val="nil"/>
              <w:bottom w:val="nil"/>
              <w:right w:val="nil"/>
            </w:tcBorders>
            <w:shd w:val="clear" w:color="auto" w:fill="auto"/>
            <w:noWrap/>
            <w:vAlign w:val="center"/>
            <w:hideMark/>
          </w:tcPr>
          <w:p w14:paraId="15B898C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175.33 (0.00)***</w:t>
            </w:r>
          </w:p>
        </w:tc>
        <w:tc>
          <w:tcPr>
            <w:tcW w:w="2633" w:type="dxa"/>
            <w:tcBorders>
              <w:top w:val="nil"/>
              <w:left w:val="nil"/>
              <w:bottom w:val="nil"/>
              <w:right w:val="nil"/>
            </w:tcBorders>
            <w:shd w:val="clear" w:color="auto" w:fill="auto"/>
            <w:noWrap/>
            <w:vAlign w:val="center"/>
            <w:hideMark/>
          </w:tcPr>
          <w:p w14:paraId="65C90C0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146.20 (0.00)***</w:t>
            </w:r>
          </w:p>
        </w:tc>
      </w:tr>
      <w:tr w:rsidR="00A10C66" w:rsidRPr="00A47D41" w14:paraId="6DEF2355" w14:textId="77777777" w:rsidTr="00A10C66">
        <w:trPr>
          <w:trHeight w:val="390"/>
        </w:trPr>
        <w:tc>
          <w:tcPr>
            <w:tcW w:w="1111" w:type="dxa"/>
            <w:tcBorders>
              <w:top w:val="nil"/>
              <w:left w:val="nil"/>
              <w:bottom w:val="nil"/>
              <w:right w:val="nil"/>
            </w:tcBorders>
            <w:shd w:val="clear" w:color="auto" w:fill="auto"/>
            <w:noWrap/>
            <w:vAlign w:val="center"/>
            <w:hideMark/>
          </w:tcPr>
          <w:p w14:paraId="5CE2D8E5"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r w:rsidRPr="00A47D41">
              <w:rPr>
                <w:rFonts w:ascii="Times New Roman" w:eastAsia="Times New Roman" w:hAnsi="Times New Roman" w:cs="Times New Roman"/>
                <w:b/>
                <w:bCs/>
                <w:color w:val="000000"/>
                <w:sz w:val="20"/>
                <w:szCs w:val="20"/>
                <w:lang w:eastAsia="zh-CN"/>
              </w:rPr>
              <w:t>MSWRLD</w:t>
            </w:r>
          </w:p>
        </w:tc>
        <w:tc>
          <w:tcPr>
            <w:tcW w:w="1092" w:type="dxa"/>
            <w:tcBorders>
              <w:top w:val="nil"/>
              <w:left w:val="nil"/>
              <w:bottom w:val="nil"/>
              <w:right w:val="single" w:sz="4" w:space="0" w:color="auto"/>
            </w:tcBorders>
            <w:shd w:val="clear" w:color="auto" w:fill="auto"/>
            <w:noWrap/>
            <w:vAlign w:val="center"/>
            <w:hideMark/>
          </w:tcPr>
          <w:p w14:paraId="05A7B791"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PILOW</w:t>
            </w:r>
          </w:p>
        </w:tc>
        <w:tc>
          <w:tcPr>
            <w:tcW w:w="2633" w:type="dxa"/>
            <w:tcBorders>
              <w:top w:val="nil"/>
              <w:left w:val="nil"/>
              <w:bottom w:val="nil"/>
              <w:right w:val="nil"/>
            </w:tcBorders>
            <w:shd w:val="clear" w:color="auto" w:fill="auto"/>
            <w:noWrap/>
            <w:vAlign w:val="center"/>
            <w:hideMark/>
          </w:tcPr>
          <w:p w14:paraId="0E39D825"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23.18 (0.00)***</w:t>
            </w:r>
          </w:p>
        </w:tc>
        <w:tc>
          <w:tcPr>
            <w:tcW w:w="2633" w:type="dxa"/>
            <w:tcBorders>
              <w:top w:val="nil"/>
              <w:left w:val="nil"/>
              <w:bottom w:val="nil"/>
              <w:right w:val="nil"/>
            </w:tcBorders>
            <w:shd w:val="clear" w:color="auto" w:fill="auto"/>
            <w:noWrap/>
            <w:vAlign w:val="center"/>
            <w:hideMark/>
          </w:tcPr>
          <w:p w14:paraId="5C25CC32"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12.90 (0.00)***</w:t>
            </w:r>
          </w:p>
        </w:tc>
        <w:tc>
          <w:tcPr>
            <w:tcW w:w="2633" w:type="dxa"/>
            <w:tcBorders>
              <w:top w:val="nil"/>
              <w:left w:val="nil"/>
              <w:bottom w:val="nil"/>
              <w:right w:val="nil"/>
            </w:tcBorders>
            <w:shd w:val="clear" w:color="auto" w:fill="auto"/>
            <w:noWrap/>
            <w:vAlign w:val="center"/>
            <w:hideMark/>
          </w:tcPr>
          <w:p w14:paraId="31178251"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13.42 (0.01)***</w:t>
            </w:r>
          </w:p>
        </w:tc>
      </w:tr>
      <w:tr w:rsidR="00A10C66" w:rsidRPr="00A47D41" w14:paraId="47DB04CD" w14:textId="77777777" w:rsidTr="00A10C66">
        <w:trPr>
          <w:trHeight w:val="390"/>
        </w:trPr>
        <w:tc>
          <w:tcPr>
            <w:tcW w:w="1111" w:type="dxa"/>
            <w:tcBorders>
              <w:top w:val="nil"/>
              <w:left w:val="nil"/>
              <w:bottom w:val="nil"/>
              <w:right w:val="nil"/>
            </w:tcBorders>
            <w:shd w:val="clear" w:color="auto" w:fill="auto"/>
            <w:noWrap/>
            <w:vAlign w:val="center"/>
            <w:hideMark/>
          </w:tcPr>
          <w:p w14:paraId="0A2B5FC7"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092" w:type="dxa"/>
            <w:tcBorders>
              <w:top w:val="nil"/>
              <w:left w:val="nil"/>
              <w:bottom w:val="nil"/>
              <w:right w:val="single" w:sz="4" w:space="0" w:color="auto"/>
            </w:tcBorders>
            <w:shd w:val="clear" w:color="auto" w:fill="auto"/>
            <w:noWrap/>
            <w:vAlign w:val="center"/>
            <w:hideMark/>
          </w:tcPr>
          <w:p w14:paraId="3D061E59"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PIHIGH</w:t>
            </w:r>
          </w:p>
        </w:tc>
        <w:tc>
          <w:tcPr>
            <w:tcW w:w="2633" w:type="dxa"/>
            <w:tcBorders>
              <w:top w:val="nil"/>
              <w:left w:val="nil"/>
              <w:bottom w:val="nil"/>
              <w:right w:val="nil"/>
            </w:tcBorders>
            <w:shd w:val="clear" w:color="auto" w:fill="auto"/>
            <w:noWrap/>
            <w:vAlign w:val="center"/>
            <w:hideMark/>
          </w:tcPr>
          <w:p w14:paraId="2EC719FE"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10.00 (0.02)***</w:t>
            </w:r>
          </w:p>
        </w:tc>
        <w:tc>
          <w:tcPr>
            <w:tcW w:w="2633" w:type="dxa"/>
            <w:tcBorders>
              <w:top w:val="nil"/>
              <w:left w:val="nil"/>
              <w:bottom w:val="nil"/>
              <w:right w:val="nil"/>
            </w:tcBorders>
            <w:shd w:val="clear" w:color="auto" w:fill="auto"/>
            <w:noWrap/>
            <w:vAlign w:val="center"/>
            <w:hideMark/>
          </w:tcPr>
          <w:p w14:paraId="273D0110"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1.07 (0.78)</w:t>
            </w:r>
          </w:p>
        </w:tc>
        <w:tc>
          <w:tcPr>
            <w:tcW w:w="2633" w:type="dxa"/>
            <w:tcBorders>
              <w:top w:val="nil"/>
              <w:left w:val="nil"/>
              <w:bottom w:val="nil"/>
              <w:right w:val="nil"/>
            </w:tcBorders>
            <w:shd w:val="clear" w:color="auto" w:fill="auto"/>
            <w:noWrap/>
            <w:vAlign w:val="center"/>
            <w:hideMark/>
          </w:tcPr>
          <w:p w14:paraId="6A5E89D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11.92 (0.00)***</w:t>
            </w:r>
          </w:p>
        </w:tc>
      </w:tr>
      <w:tr w:rsidR="00A10C66" w:rsidRPr="00A47D41" w14:paraId="402C0468" w14:textId="77777777" w:rsidTr="00A10C66">
        <w:trPr>
          <w:trHeight w:val="390"/>
        </w:trPr>
        <w:tc>
          <w:tcPr>
            <w:tcW w:w="1111" w:type="dxa"/>
            <w:tcBorders>
              <w:top w:val="nil"/>
              <w:left w:val="nil"/>
              <w:bottom w:val="nil"/>
              <w:right w:val="nil"/>
            </w:tcBorders>
            <w:shd w:val="clear" w:color="auto" w:fill="auto"/>
            <w:noWrap/>
            <w:vAlign w:val="center"/>
            <w:hideMark/>
          </w:tcPr>
          <w:p w14:paraId="38540470" w14:textId="77777777" w:rsidR="00A10C66" w:rsidRPr="00A47D41" w:rsidRDefault="00A10C66" w:rsidP="00A10C66">
            <w:pPr>
              <w:spacing w:after="0" w:line="480" w:lineRule="auto"/>
              <w:jc w:val="center"/>
              <w:rPr>
                <w:rFonts w:ascii="Times New Roman" w:eastAsia="Times New Roman" w:hAnsi="Times New Roman" w:cs="Times New Roman"/>
                <w:b/>
                <w:bCs/>
                <w:color w:val="000000"/>
                <w:sz w:val="20"/>
                <w:szCs w:val="20"/>
                <w:lang w:eastAsia="zh-CN"/>
              </w:rPr>
            </w:pPr>
          </w:p>
        </w:tc>
        <w:tc>
          <w:tcPr>
            <w:tcW w:w="1092" w:type="dxa"/>
            <w:tcBorders>
              <w:top w:val="nil"/>
              <w:left w:val="nil"/>
              <w:bottom w:val="nil"/>
              <w:right w:val="single" w:sz="4" w:space="0" w:color="auto"/>
            </w:tcBorders>
            <w:shd w:val="clear" w:color="auto" w:fill="auto"/>
            <w:noWrap/>
            <w:vAlign w:val="center"/>
            <w:hideMark/>
          </w:tcPr>
          <w:p w14:paraId="0A3B1FF9" w14:textId="77777777" w:rsidR="00A10C66" w:rsidRPr="00A47D41" w:rsidRDefault="00A10C66" w:rsidP="00A10C66">
            <w:pPr>
              <w:spacing w:after="0" w:line="480" w:lineRule="auto"/>
              <w:jc w:val="center"/>
              <w:rPr>
                <w:rFonts w:ascii="Times New Roman" w:eastAsia="Times New Roman" w:hAnsi="Times New Roman" w:cs="Times New Roman"/>
                <w:i/>
                <w:iCs/>
                <w:color w:val="000000"/>
                <w:sz w:val="20"/>
                <w:szCs w:val="20"/>
                <w:lang w:eastAsia="zh-CN"/>
              </w:rPr>
            </w:pPr>
            <w:r w:rsidRPr="00A47D41">
              <w:rPr>
                <w:rFonts w:ascii="Times New Roman" w:eastAsia="Times New Roman" w:hAnsi="Times New Roman" w:cs="Times New Roman"/>
                <w:i/>
                <w:iCs/>
                <w:color w:val="000000"/>
                <w:sz w:val="20"/>
                <w:szCs w:val="20"/>
                <w:lang w:eastAsia="zh-CN"/>
              </w:rPr>
              <w:t>All</w:t>
            </w:r>
          </w:p>
        </w:tc>
        <w:tc>
          <w:tcPr>
            <w:tcW w:w="2633" w:type="dxa"/>
            <w:tcBorders>
              <w:top w:val="nil"/>
              <w:left w:val="nil"/>
              <w:bottom w:val="nil"/>
              <w:right w:val="nil"/>
            </w:tcBorders>
            <w:shd w:val="clear" w:color="auto" w:fill="auto"/>
            <w:noWrap/>
            <w:vAlign w:val="center"/>
            <w:hideMark/>
          </w:tcPr>
          <w:p w14:paraId="19463A6C"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33.38 (0.00)***</w:t>
            </w:r>
          </w:p>
        </w:tc>
        <w:tc>
          <w:tcPr>
            <w:tcW w:w="2633" w:type="dxa"/>
            <w:tcBorders>
              <w:top w:val="nil"/>
              <w:left w:val="nil"/>
              <w:bottom w:val="nil"/>
              <w:right w:val="nil"/>
            </w:tcBorders>
            <w:shd w:val="clear" w:color="auto" w:fill="auto"/>
            <w:noWrap/>
            <w:vAlign w:val="center"/>
            <w:hideMark/>
          </w:tcPr>
          <w:p w14:paraId="363C0618"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21.00 (0.00)***</w:t>
            </w:r>
          </w:p>
        </w:tc>
        <w:tc>
          <w:tcPr>
            <w:tcW w:w="2633" w:type="dxa"/>
            <w:tcBorders>
              <w:top w:val="nil"/>
              <w:left w:val="nil"/>
              <w:bottom w:val="nil"/>
              <w:right w:val="nil"/>
            </w:tcBorders>
            <w:shd w:val="clear" w:color="auto" w:fill="auto"/>
            <w:noWrap/>
            <w:vAlign w:val="center"/>
            <w:hideMark/>
          </w:tcPr>
          <w:p w14:paraId="37C29DC9" w14:textId="77777777" w:rsidR="00A10C66" w:rsidRPr="00A47D41" w:rsidRDefault="00A10C66" w:rsidP="00A10C66">
            <w:pPr>
              <w:spacing w:after="0" w:line="480" w:lineRule="auto"/>
              <w:jc w:val="center"/>
              <w:rPr>
                <w:rFonts w:ascii="Times New Roman" w:eastAsia="Times New Roman" w:hAnsi="Times New Roman" w:cs="Times New Roman"/>
                <w:color w:val="000000"/>
                <w:sz w:val="20"/>
                <w:szCs w:val="20"/>
                <w:lang w:eastAsia="zh-CN"/>
              </w:rPr>
            </w:pPr>
            <w:r w:rsidRPr="00A47D41">
              <w:rPr>
                <w:rFonts w:ascii="Times New Roman" w:eastAsia="Times New Roman" w:hAnsi="Times New Roman" w:cs="Times New Roman"/>
                <w:color w:val="000000"/>
                <w:sz w:val="20"/>
                <w:szCs w:val="20"/>
                <w:lang w:eastAsia="zh-CN"/>
              </w:rPr>
              <w:t>20.99 (0.00)***</w:t>
            </w:r>
          </w:p>
        </w:tc>
      </w:tr>
    </w:tbl>
    <w:p w14:paraId="0A3F7EE5" w14:textId="77777777" w:rsidR="00A10C66" w:rsidRDefault="00A10C66" w:rsidP="00A10C66">
      <w:pPr>
        <w:spacing w:after="0" w:line="480" w:lineRule="auto"/>
        <w:jc w:val="both"/>
        <w:rPr>
          <w:rFonts w:ascii="Times New Roman" w:hAnsi="Times New Roman" w:cs="Times New Roman"/>
          <w:b/>
          <w:sz w:val="24"/>
          <w:szCs w:val="24"/>
        </w:rPr>
      </w:pPr>
    </w:p>
    <w:p w14:paraId="40F3CBDE" w14:textId="77777777" w:rsidR="00A10C66" w:rsidRDefault="00A10C66" w:rsidP="00A10C66">
      <w:pPr>
        <w:spacing w:after="0" w:line="480" w:lineRule="auto"/>
        <w:jc w:val="both"/>
        <w:rPr>
          <w:rFonts w:ascii="Times New Roman" w:hAnsi="Times New Roman" w:cs="Times New Roman"/>
          <w:b/>
          <w:sz w:val="24"/>
          <w:szCs w:val="24"/>
        </w:rPr>
      </w:pPr>
    </w:p>
    <w:p w14:paraId="63E0D1B9" w14:textId="77777777" w:rsidR="00A10C66" w:rsidRDefault="00A10C66" w:rsidP="00A10C66">
      <w:pPr>
        <w:spacing w:after="0" w:line="480" w:lineRule="auto"/>
        <w:jc w:val="both"/>
        <w:rPr>
          <w:rFonts w:ascii="Times New Roman" w:hAnsi="Times New Roman" w:cs="Times New Roman"/>
          <w:b/>
          <w:sz w:val="24"/>
          <w:szCs w:val="24"/>
        </w:rPr>
      </w:pPr>
    </w:p>
    <w:p w14:paraId="7E8C6B57" w14:textId="77777777" w:rsidR="00DA4D6C" w:rsidRDefault="00DA4D6C" w:rsidP="00A10C66">
      <w:pPr>
        <w:spacing w:after="0" w:line="480" w:lineRule="auto"/>
        <w:jc w:val="both"/>
        <w:rPr>
          <w:rFonts w:ascii="Times New Roman" w:hAnsi="Times New Roman" w:cs="Times New Roman"/>
          <w:b/>
          <w:sz w:val="24"/>
          <w:szCs w:val="24"/>
        </w:rPr>
      </w:pPr>
    </w:p>
    <w:p w14:paraId="6BFEE9C8" w14:textId="77777777" w:rsidR="00DA4D6C" w:rsidRDefault="00DA4D6C" w:rsidP="00A10C66">
      <w:pPr>
        <w:spacing w:after="0" w:line="480" w:lineRule="auto"/>
        <w:jc w:val="both"/>
        <w:rPr>
          <w:rFonts w:ascii="Times New Roman" w:hAnsi="Times New Roman" w:cs="Times New Roman"/>
          <w:b/>
          <w:sz w:val="24"/>
          <w:szCs w:val="24"/>
        </w:rPr>
      </w:pPr>
    </w:p>
    <w:p w14:paraId="2D5B7D31" w14:textId="77777777" w:rsidR="00DA4D6C" w:rsidRDefault="00DA4D6C" w:rsidP="00A10C66">
      <w:pPr>
        <w:spacing w:after="0" w:line="480" w:lineRule="auto"/>
        <w:jc w:val="both"/>
        <w:rPr>
          <w:rFonts w:ascii="Times New Roman" w:hAnsi="Times New Roman" w:cs="Times New Roman"/>
          <w:b/>
          <w:sz w:val="24"/>
          <w:szCs w:val="24"/>
        </w:rPr>
      </w:pPr>
    </w:p>
    <w:p w14:paraId="29DE8B0E" w14:textId="77777777" w:rsidR="00DA4D6C" w:rsidRDefault="00DA4D6C" w:rsidP="00A10C66">
      <w:pPr>
        <w:spacing w:after="0" w:line="480" w:lineRule="auto"/>
        <w:jc w:val="both"/>
        <w:rPr>
          <w:rFonts w:ascii="Times New Roman" w:hAnsi="Times New Roman" w:cs="Times New Roman"/>
          <w:b/>
          <w:sz w:val="24"/>
          <w:szCs w:val="24"/>
        </w:rPr>
      </w:pPr>
    </w:p>
    <w:p w14:paraId="42DA8A63" w14:textId="77777777" w:rsidR="00A10C66" w:rsidRPr="00A47D41" w:rsidRDefault="00A10C66" w:rsidP="00A10C66">
      <w:pPr>
        <w:spacing w:after="0" w:line="480" w:lineRule="auto"/>
        <w:jc w:val="both"/>
        <w:rPr>
          <w:rFonts w:ascii="Times New Roman" w:hAnsi="Times New Roman" w:cs="Times New Roman"/>
          <w:sz w:val="24"/>
          <w:szCs w:val="24"/>
        </w:rPr>
      </w:pPr>
      <w:r w:rsidRPr="00A47D41">
        <w:rPr>
          <w:rFonts w:ascii="Times New Roman" w:hAnsi="Times New Roman" w:cs="Times New Roman"/>
          <w:b/>
          <w:sz w:val="24"/>
          <w:szCs w:val="24"/>
        </w:rPr>
        <w:t xml:space="preserve">Figure </w:t>
      </w:r>
      <w:r>
        <w:rPr>
          <w:rFonts w:ascii="Times New Roman" w:hAnsi="Times New Roman" w:cs="Times New Roman"/>
          <w:b/>
          <w:sz w:val="24"/>
          <w:szCs w:val="24"/>
        </w:rPr>
        <w:t>1</w:t>
      </w:r>
      <w:r w:rsidRPr="00A47D41">
        <w:rPr>
          <w:rFonts w:ascii="Times New Roman" w:hAnsi="Times New Roman" w:cs="Times New Roman"/>
          <w:b/>
          <w:sz w:val="24"/>
          <w:szCs w:val="24"/>
        </w:rPr>
        <w:t>: VAR-MV-GARCH</w:t>
      </w:r>
    </w:p>
    <w:p w14:paraId="54FBCC2F" w14:textId="03198DD7" w:rsidR="00A10C66" w:rsidRPr="000A1404" w:rsidRDefault="00A10C66" w:rsidP="00A10C66">
      <w:pPr>
        <w:spacing w:line="480" w:lineRule="auto"/>
        <w:rPr>
          <w:rFonts w:ascii="Times New Roman" w:hAnsi="Times New Roman" w:cs="Times New Roman"/>
          <w:sz w:val="20"/>
          <w:szCs w:val="20"/>
        </w:rPr>
        <w:sectPr w:rsidR="00A10C66" w:rsidRPr="000A1404" w:rsidSect="006978F8">
          <w:footerReference w:type="default" r:id="rId108"/>
          <w:pgSz w:w="11906" w:h="16838"/>
          <w:pgMar w:top="1440" w:right="1440" w:bottom="1440" w:left="1440" w:header="709" w:footer="709" w:gutter="0"/>
          <w:cols w:space="708"/>
          <w:docGrid w:linePitch="360"/>
        </w:sectPr>
      </w:pPr>
      <w:r w:rsidRPr="000A1404">
        <w:rPr>
          <w:rFonts w:ascii="Times New Roman" w:hAnsi="Times New Roman" w:cs="Times New Roman"/>
          <w:sz w:val="20"/>
          <w:szCs w:val="20"/>
        </w:rPr>
        <w:t>This figure shows the short run shock transmission reflected in the time varying factor loadings among the low, high risk and global market (segments). The dotted red lines indicate the events of the failure of Lehman’s Brothers, the application of the short selling ban and the onset of the Eurozone sovereign debt crisis. In terms of the off-diagonal factor loadings, they are the beta of the portfolio relative to itself, which is literally one. In the diagram, it would be represented by a horizontal line, which we do</w:t>
      </w:r>
      <w:r w:rsidR="00DA4D6C">
        <w:rPr>
          <w:rFonts w:ascii="Times New Roman" w:hAnsi="Times New Roman" w:cs="Times New Roman"/>
          <w:sz w:val="20"/>
          <w:szCs w:val="20"/>
        </w:rPr>
        <w:t xml:space="preserve"> </w:t>
      </w:r>
      <w:r w:rsidRPr="000A1404">
        <w:rPr>
          <w:rFonts w:ascii="Times New Roman" w:hAnsi="Times New Roman" w:cs="Times New Roman"/>
          <w:sz w:val="20"/>
          <w:szCs w:val="20"/>
        </w:rPr>
        <w:t>n</w:t>
      </w:r>
      <w:r w:rsidR="00DA4D6C">
        <w:rPr>
          <w:rFonts w:ascii="Times New Roman" w:hAnsi="Times New Roman" w:cs="Times New Roman"/>
          <w:sz w:val="20"/>
          <w:szCs w:val="20"/>
        </w:rPr>
        <w:t>o</w:t>
      </w:r>
      <w:r w:rsidRPr="000A1404">
        <w:rPr>
          <w:rFonts w:ascii="Times New Roman" w:hAnsi="Times New Roman" w:cs="Times New Roman"/>
          <w:sz w:val="20"/>
          <w:szCs w:val="20"/>
        </w:rPr>
        <w:t xml:space="preserve">t show. </w:t>
      </w:r>
    </w:p>
    <w:p w14:paraId="398257D1" w14:textId="63A17471" w:rsidR="00A10C66" w:rsidRPr="00A10C66" w:rsidRDefault="00A10C66" w:rsidP="00A10C66">
      <w:pPr>
        <w:spacing w:line="480" w:lineRule="auto"/>
        <w:rPr>
          <w:rFonts w:ascii="Times New Roman" w:hAnsi="Times New Roman" w:cs="Times New Roman"/>
          <w:b/>
        </w:rPr>
        <w:sectPr w:rsidR="00A10C66" w:rsidRPr="00A10C66" w:rsidSect="009066F0">
          <w:pgSz w:w="16838" w:h="11906" w:orient="landscape" w:code="9"/>
          <w:pgMar w:top="1440" w:right="1440" w:bottom="1440" w:left="1440" w:header="709" w:footer="709" w:gutter="0"/>
          <w:cols w:space="708"/>
          <w:docGrid w:linePitch="360"/>
        </w:sectPr>
      </w:pPr>
      <w:r w:rsidRPr="00A47D41">
        <w:rPr>
          <w:rFonts w:ascii="Times New Roman" w:hAnsi="Times New Roman" w:cs="Times New Roman"/>
          <w:b/>
          <w:noProof/>
          <w:lang w:eastAsia="en-GB"/>
        </w:rPr>
        <w:lastRenderedPageBreak/>
        <mc:AlternateContent>
          <mc:Choice Requires="wps">
            <w:drawing>
              <wp:anchor distT="0" distB="0" distL="114300" distR="114300" simplePos="0" relativeHeight="251661312" behindDoc="0" locked="0" layoutInCell="1" allowOverlap="1" wp14:anchorId="1475006C" wp14:editId="679DEDB9">
                <wp:simplePos x="0" y="0"/>
                <wp:positionH relativeFrom="column">
                  <wp:posOffset>5572125</wp:posOffset>
                </wp:positionH>
                <wp:positionV relativeFrom="paragraph">
                  <wp:posOffset>1809750</wp:posOffset>
                </wp:positionV>
                <wp:extent cx="838200" cy="2857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63A522FE"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low,wrld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5006C" id="_x0000_t202" coordsize="21600,21600" o:spt="202" path="m,l,21600r21600,l21600,xe">
                <v:stroke joinstyle="miter"/>
                <v:path gradientshapeok="t" o:connecttype="rect"/>
              </v:shapetype>
              <v:shape id="Text Box 2" o:spid="_x0000_s1026" type="#_x0000_t202" style="position:absolute;margin-left:438.75pt;margin-top:142.5pt;width:66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" filled="f" stroked="f">
                <v:textbox>
                  <w:txbxContent>
                    <w:p w14:paraId="63A522FE"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low,wrld</w:t>
                      </w:r>
                    </w:p>
                  </w:txbxContent>
                </v:textbox>
              </v:shape>
            </w:pict>
          </mc:Fallback>
        </mc:AlternateContent>
      </w:r>
      <w:r w:rsidRPr="00A47D41">
        <w:rPr>
          <w:rFonts w:ascii="Times New Roman" w:hAnsi="Times New Roman" w:cs="Times New Roman"/>
          <w:b/>
          <w:noProof/>
          <w:lang w:eastAsia="en-GB"/>
        </w:rPr>
        <mc:AlternateContent>
          <mc:Choice Requires="wps">
            <w:drawing>
              <wp:anchor distT="0" distB="0" distL="114300" distR="114300" simplePos="0" relativeHeight="251660288" behindDoc="0" locked="0" layoutInCell="1" allowOverlap="1" wp14:anchorId="30B5BEC8" wp14:editId="4764B9B3">
                <wp:simplePos x="0" y="0"/>
                <wp:positionH relativeFrom="column">
                  <wp:posOffset>5616575</wp:posOffset>
                </wp:positionH>
                <wp:positionV relativeFrom="paragraph">
                  <wp:posOffset>47625</wp:posOffset>
                </wp:positionV>
                <wp:extent cx="83820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10F0F3FE" w14:textId="77777777" w:rsidR="002D09B5" w:rsidRPr="00894942" w:rsidRDefault="002D09B5" w:rsidP="00A10C66">
                            <w:pPr>
                              <w:jc w:val="center"/>
                              <w:rPr>
                                <w:rFonts w:ascii="Arial" w:hAnsi="Arial" w:cs="Arial"/>
                                <w:b/>
                                <w:sz w:val="24"/>
                                <w:szCs w:val="24"/>
                              </w:rPr>
                            </w:pPr>
                            <w:r w:rsidRPr="00894942">
                              <w:rPr>
                                <w:rFonts w:ascii="Arial" w:hAnsi="Arial" w:cs="Arial"/>
                                <w:b/>
                                <w:sz w:val="24"/>
                                <w:szCs w:val="24"/>
                              </w:rPr>
                              <w:t>β</w:t>
                            </w:r>
                            <w:r>
                              <w:rPr>
                                <w:rFonts w:ascii="Arial" w:hAnsi="Arial" w:cs="Arial"/>
                                <w:b/>
                                <w:sz w:val="24"/>
                                <w:szCs w:val="24"/>
                                <w:vertAlign w:val="subscript"/>
                              </w:rPr>
                              <w:t>high,wrld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5BEC8" id="_x0000_s1027" type="#_x0000_t202" style="position:absolute;margin-left:442.25pt;margin-top:3.75pt;width:6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" filled="f" stroked="f">
                <v:textbox>
                  <w:txbxContent>
                    <w:p w14:paraId="10F0F3FE" w14:textId="77777777" w:rsidR="002D09B5" w:rsidRPr="00894942" w:rsidRDefault="002D09B5" w:rsidP="00A10C66">
                      <w:pPr>
                        <w:jc w:val="center"/>
                        <w:rPr>
                          <w:rFonts w:ascii="Arial" w:hAnsi="Arial" w:cs="Arial"/>
                          <w:b/>
                          <w:sz w:val="24"/>
                          <w:szCs w:val="24"/>
                        </w:rPr>
                      </w:pPr>
                      <w:r w:rsidRPr="00894942">
                        <w:rPr>
                          <w:rFonts w:ascii="Arial" w:hAnsi="Arial" w:cs="Arial"/>
                          <w:b/>
                          <w:sz w:val="24"/>
                          <w:szCs w:val="24"/>
                        </w:rPr>
                        <w:t>β</w:t>
                      </w:r>
                      <w:r>
                        <w:rPr>
                          <w:rFonts w:ascii="Arial" w:hAnsi="Arial" w:cs="Arial"/>
                          <w:b/>
                          <w:sz w:val="24"/>
                          <w:szCs w:val="24"/>
                          <w:vertAlign w:val="subscript"/>
                        </w:rPr>
                        <w:t>high,wrld</w:t>
                      </w:r>
                    </w:p>
                  </w:txbxContent>
                </v:textbox>
              </v:shape>
            </w:pict>
          </mc:Fallback>
        </mc:AlternateContent>
      </w:r>
      <w:r w:rsidRPr="00A47D41">
        <w:rPr>
          <w:rFonts w:ascii="Times New Roman" w:hAnsi="Times New Roman" w:cs="Times New Roman"/>
          <w:b/>
          <w:noProof/>
          <w:lang w:eastAsia="en-GB"/>
        </w:rPr>
        <mc:AlternateContent>
          <mc:Choice Requires="wps">
            <w:drawing>
              <wp:anchor distT="0" distB="0" distL="114300" distR="114300" simplePos="0" relativeHeight="251659264" behindDoc="0" locked="0" layoutInCell="1" allowOverlap="1" wp14:anchorId="7E34E6F5" wp14:editId="4E8D4A87">
                <wp:simplePos x="0" y="0"/>
                <wp:positionH relativeFrom="column">
                  <wp:posOffset>2918460</wp:posOffset>
                </wp:positionH>
                <wp:positionV relativeFrom="paragraph">
                  <wp:posOffset>47625</wp:posOffset>
                </wp:positionV>
                <wp:extent cx="83820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0604F830" w14:textId="77777777" w:rsidR="002D09B5" w:rsidRPr="00894942" w:rsidRDefault="002D09B5" w:rsidP="00A10C66">
                            <w:pPr>
                              <w:jc w:val="center"/>
                              <w:rPr>
                                <w:rFonts w:ascii="Arial" w:hAnsi="Arial" w:cs="Arial"/>
                                <w:b/>
                                <w:sz w:val="24"/>
                                <w:szCs w:val="24"/>
                              </w:rPr>
                            </w:pPr>
                            <w:r w:rsidRPr="00894942">
                              <w:rPr>
                                <w:rFonts w:ascii="Arial" w:hAnsi="Arial" w:cs="Arial"/>
                                <w:b/>
                                <w:sz w:val="24"/>
                                <w:szCs w:val="24"/>
                              </w:rPr>
                              <w:t>β</w:t>
                            </w:r>
                            <w:r w:rsidRPr="00894942">
                              <w:rPr>
                                <w:rFonts w:ascii="Arial" w:hAnsi="Arial" w:cs="Arial"/>
                                <w:b/>
                                <w:sz w:val="24"/>
                                <w:szCs w:val="24"/>
                                <w:vertAlign w:val="subscript"/>
                              </w:rPr>
                              <w:t>high, 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4E6F5" id="_x0000_s1028" type="#_x0000_t202" style="position:absolute;margin-left:229.8pt;margin-top:3.75pt;width:6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" filled="f" stroked="f">
                <v:textbox>
                  <w:txbxContent>
                    <w:p w14:paraId="0604F830" w14:textId="77777777" w:rsidR="002D09B5" w:rsidRPr="00894942" w:rsidRDefault="002D09B5" w:rsidP="00A10C66">
                      <w:pPr>
                        <w:jc w:val="center"/>
                        <w:rPr>
                          <w:rFonts w:ascii="Arial" w:hAnsi="Arial" w:cs="Arial"/>
                          <w:b/>
                          <w:sz w:val="24"/>
                          <w:szCs w:val="24"/>
                        </w:rPr>
                      </w:pPr>
                      <w:r w:rsidRPr="00894942">
                        <w:rPr>
                          <w:rFonts w:ascii="Arial" w:hAnsi="Arial" w:cs="Arial"/>
                          <w:b/>
                          <w:sz w:val="24"/>
                          <w:szCs w:val="24"/>
                        </w:rPr>
                        <w:t>β</w:t>
                      </w:r>
                      <w:r w:rsidRPr="00894942">
                        <w:rPr>
                          <w:rFonts w:ascii="Arial" w:hAnsi="Arial" w:cs="Arial"/>
                          <w:b/>
                          <w:sz w:val="24"/>
                          <w:szCs w:val="24"/>
                          <w:vertAlign w:val="subscript"/>
                        </w:rPr>
                        <w:t>high, low</w:t>
                      </w:r>
                    </w:p>
                  </w:txbxContent>
                </v:textbox>
              </v:shape>
            </w:pict>
          </mc:Fallback>
        </mc:AlternateContent>
      </w:r>
      <w:r w:rsidRPr="00A47D41">
        <w:rPr>
          <w:rFonts w:ascii="Times New Roman" w:hAnsi="Times New Roman" w:cs="Times New Roman"/>
          <w:b/>
          <w:noProof/>
          <w:lang w:eastAsia="en-GB"/>
        </w:rPr>
        <mc:AlternateContent>
          <mc:Choice Requires="wps">
            <w:drawing>
              <wp:anchor distT="0" distB="0" distL="114300" distR="114300" simplePos="0" relativeHeight="251664384" behindDoc="0" locked="0" layoutInCell="1" allowOverlap="1" wp14:anchorId="1D70EAE5" wp14:editId="0FF02278">
                <wp:simplePos x="0" y="0"/>
                <wp:positionH relativeFrom="column">
                  <wp:posOffset>2886075</wp:posOffset>
                </wp:positionH>
                <wp:positionV relativeFrom="paragraph">
                  <wp:posOffset>3581400</wp:posOffset>
                </wp:positionV>
                <wp:extent cx="83820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5470F576"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wrld, 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0EAE5" id="_x0000_s1029" type="#_x0000_t202" style="position:absolute;margin-left:227.25pt;margin-top:282pt;width:66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" filled="f" stroked="f">
                <v:textbox>
                  <w:txbxContent>
                    <w:p w14:paraId="5470F576"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wrld, low</w:t>
                      </w:r>
                    </w:p>
                  </w:txbxContent>
                </v:textbox>
              </v:shape>
            </w:pict>
          </mc:Fallback>
        </mc:AlternateContent>
      </w:r>
      <w:r w:rsidRPr="00A47D41">
        <w:rPr>
          <w:rFonts w:ascii="Times New Roman" w:hAnsi="Times New Roman" w:cs="Times New Roman"/>
          <w:b/>
          <w:noProof/>
          <w:lang w:eastAsia="en-GB"/>
        </w:rPr>
        <mc:AlternateContent>
          <mc:Choice Requires="wps">
            <w:drawing>
              <wp:anchor distT="0" distB="0" distL="114300" distR="114300" simplePos="0" relativeHeight="251662336" behindDoc="0" locked="0" layoutInCell="1" allowOverlap="1" wp14:anchorId="0A670FD1" wp14:editId="2ED67D93">
                <wp:simplePos x="0" y="0"/>
                <wp:positionH relativeFrom="column">
                  <wp:posOffset>161925</wp:posOffset>
                </wp:positionH>
                <wp:positionV relativeFrom="paragraph">
                  <wp:posOffset>1819275</wp:posOffset>
                </wp:positionV>
                <wp:extent cx="83820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7A3D13B5"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low,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70FD1" id="_x0000_s1030" type="#_x0000_t202" style="position:absolute;margin-left:12.75pt;margin-top:143.25pt;width:66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" filled="f" stroked="f">
                <v:textbox>
                  <w:txbxContent>
                    <w:p w14:paraId="7A3D13B5"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low, high</w:t>
                      </w:r>
                    </w:p>
                  </w:txbxContent>
                </v:textbox>
              </v:shape>
            </w:pict>
          </mc:Fallback>
        </mc:AlternateContent>
      </w:r>
      <w:r w:rsidRPr="00A47D41">
        <w:rPr>
          <w:rFonts w:ascii="Times New Roman" w:hAnsi="Times New Roman" w:cs="Times New Roman"/>
          <w:b/>
          <w:noProof/>
          <w:lang w:eastAsia="zh-CN"/>
        </w:rPr>
        <w:t xml:space="preserve">                                                                              </w:t>
      </w:r>
      <w:r w:rsidRPr="00A47D41">
        <w:rPr>
          <w:rFonts w:ascii="Times New Roman" w:hAnsi="Times New Roman" w:cs="Times New Roman"/>
          <w:b/>
          <w:noProof/>
          <w:lang w:eastAsia="en-GB"/>
        </w:rPr>
        <w:drawing>
          <wp:inline distT="0" distB="0" distL="0" distR="0" wp14:anchorId="759C302A" wp14:editId="03F0AB34">
            <wp:extent cx="2520000" cy="1728000"/>
            <wp:effectExtent l="0" t="0" r="0"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20000" cy="1728000"/>
                    </a:xfrm>
                    <a:prstGeom prst="rect">
                      <a:avLst/>
                    </a:prstGeom>
                    <a:noFill/>
                    <a:ln>
                      <a:noFill/>
                    </a:ln>
                  </pic:spPr>
                </pic:pic>
              </a:graphicData>
            </a:graphic>
          </wp:inline>
        </w:drawing>
      </w:r>
      <w:r w:rsidRPr="00A47D41">
        <w:rPr>
          <w:rFonts w:ascii="Times New Roman" w:hAnsi="Times New Roman" w:cs="Times New Roman"/>
          <w:b/>
          <w:noProof/>
          <w:lang w:eastAsia="en-GB"/>
        </w:rPr>
        <mc:AlternateContent>
          <mc:Choice Requires="wps">
            <w:drawing>
              <wp:anchor distT="0" distB="0" distL="114300" distR="114300" simplePos="0" relativeHeight="251663360" behindDoc="0" locked="0" layoutInCell="1" allowOverlap="1" wp14:anchorId="42E4ABC1" wp14:editId="599DD7FD">
                <wp:simplePos x="0" y="0"/>
                <wp:positionH relativeFrom="column">
                  <wp:posOffset>161925</wp:posOffset>
                </wp:positionH>
                <wp:positionV relativeFrom="paragraph">
                  <wp:posOffset>3581400</wp:posOffset>
                </wp:positionV>
                <wp:extent cx="83820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w="9525">
                          <a:noFill/>
                          <a:miter lim="800000"/>
                          <a:headEnd/>
                          <a:tailEnd/>
                        </a:ln>
                      </wps:spPr>
                      <wps:txbx>
                        <w:txbxContent>
                          <w:p w14:paraId="29CFE88C"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wrld,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4ABC1" id="_x0000_s1031" type="#_x0000_t202" style="position:absolute;margin-left:12.75pt;margin-top:282pt;width:66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" filled="f" stroked="f">
                <v:textbox>
                  <w:txbxContent>
                    <w:p w14:paraId="29CFE88C" w14:textId="77777777" w:rsidR="002D09B5" w:rsidRPr="00894942" w:rsidRDefault="002D09B5" w:rsidP="00A10C66">
                      <w:pPr>
                        <w:jc w:val="center"/>
                        <w:rPr>
                          <w:rFonts w:ascii="Arial" w:hAnsi="Arial" w:cs="Arial"/>
                          <w:b/>
                          <w:sz w:val="24"/>
                          <w:szCs w:val="24"/>
                        </w:rPr>
                      </w:pPr>
                      <w:r>
                        <w:rPr>
                          <w:rFonts w:ascii="Arial" w:hAnsi="Arial" w:cs="Arial"/>
                          <w:b/>
                          <w:sz w:val="24"/>
                          <w:szCs w:val="24"/>
                        </w:rPr>
                        <w:t>β</w:t>
                      </w:r>
                      <w:r>
                        <w:rPr>
                          <w:rFonts w:ascii="Arial" w:hAnsi="Arial" w:cs="Arial"/>
                          <w:b/>
                          <w:sz w:val="24"/>
                          <w:szCs w:val="24"/>
                          <w:vertAlign w:val="subscript"/>
                        </w:rPr>
                        <w:t>wrld, high</w:t>
                      </w:r>
                    </w:p>
                  </w:txbxContent>
                </v:textbox>
              </v:shape>
            </w:pict>
          </mc:Fallback>
        </mc:AlternateContent>
      </w:r>
      <w:r w:rsidRPr="00A47D41">
        <w:rPr>
          <w:rFonts w:ascii="Times New Roman" w:hAnsi="Times New Roman" w:cs="Times New Roman"/>
          <w:b/>
        </w:rPr>
        <w:t xml:space="preserve">   </w:t>
      </w:r>
      <w:r w:rsidRPr="00A47D41">
        <w:rPr>
          <w:rFonts w:ascii="Times New Roman" w:hAnsi="Times New Roman" w:cs="Times New Roman"/>
          <w:b/>
          <w:noProof/>
          <w:lang w:eastAsia="en-GB"/>
        </w:rPr>
        <w:drawing>
          <wp:inline distT="0" distB="0" distL="0" distR="0" wp14:anchorId="1773ECB0" wp14:editId="554BE55E">
            <wp:extent cx="2680615" cy="1728000"/>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80615" cy="1728000"/>
                    </a:xfrm>
                    <a:prstGeom prst="rect">
                      <a:avLst/>
                    </a:prstGeom>
                    <a:noFill/>
                    <a:ln>
                      <a:noFill/>
                    </a:ln>
                  </pic:spPr>
                </pic:pic>
              </a:graphicData>
            </a:graphic>
          </wp:inline>
        </w:drawing>
      </w:r>
      <w:r w:rsidRPr="00A47D41">
        <w:rPr>
          <w:rFonts w:ascii="Times New Roman" w:hAnsi="Times New Roman" w:cs="Times New Roman"/>
          <w:b/>
        </w:rPr>
        <w:t xml:space="preserve">                      </w:t>
      </w:r>
      <w:r w:rsidRPr="00A47D41">
        <w:rPr>
          <w:rFonts w:ascii="Times New Roman" w:hAnsi="Times New Roman" w:cs="Times New Roman"/>
          <w:b/>
          <w:noProof/>
          <w:lang w:eastAsia="en-GB"/>
        </w:rPr>
        <w:drawing>
          <wp:inline distT="0" distB="0" distL="0" distR="0" wp14:anchorId="5BAB2149" wp14:editId="4F28DB10">
            <wp:extent cx="2669045" cy="1728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9045" cy="1728000"/>
                    </a:xfrm>
                    <a:prstGeom prst="rect">
                      <a:avLst/>
                    </a:prstGeom>
                    <a:noFill/>
                    <a:ln>
                      <a:noFill/>
                    </a:ln>
                  </pic:spPr>
                </pic:pic>
              </a:graphicData>
            </a:graphic>
          </wp:inline>
        </w:drawing>
      </w:r>
      <w:r w:rsidRPr="00A47D41">
        <w:rPr>
          <w:rFonts w:ascii="Times New Roman" w:hAnsi="Times New Roman" w:cs="Times New Roman"/>
          <w:b/>
        </w:rPr>
        <w:t xml:space="preserve">               </w:t>
      </w:r>
      <w:r w:rsidRPr="00A47D41">
        <w:rPr>
          <w:rFonts w:ascii="Times New Roman" w:hAnsi="Times New Roman" w:cs="Times New Roman"/>
          <w:b/>
        </w:rPr>
        <w:tab/>
      </w:r>
      <w:r w:rsidRPr="00A47D41">
        <w:rPr>
          <w:rFonts w:ascii="Times New Roman" w:hAnsi="Times New Roman" w:cs="Times New Roman"/>
          <w:b/>
        </w:rPr>
        <w:tab/>
      </w:r>
      <w:r w:rsidRPr="00A47D41">
        <w:rPr>
          <w:rFonts w:ascii="Times New Roman" w:hAnsi="Times New Roman" w:cs="Times New Roman"/>
          <w:b/>
        </w:rPr>
        <w:tab/>
      </w:r>
      <w:r w:rsidRPr="00A47D41">
        <w:rPr>
          <w:rFonts w:ascii="Times New Roman" w:hAnsi="Times New Roman" w:cs="Times New Roman"/>
          <w:b/>
        </w:rPr>
        <w:tab/>
      </w:r>
      <w:r w:rsidRPr="00A47D41">
        <w:rPr>
          <w:rFonts w:ascii="Times New Roman" w:hAnsi="Times New Roman" w:cs="Times New Roman"/>
          <w:b/>
        </w:rPr>
        <w:tab/>
        <w:t xml:space="preserve">   </w:t>
      </w:r>
      <w:r>
        <w:rPr>
          <w:rFonts w:ascii="Times New Roman" w:hAnsi="Times New Roman" w:cs="Times New Roman"/>
          <w:b/>
        </w:rPr>
        <w:t xml:space="preserve">     </w:t>
      </w:r>
      <w:r w:rsidRPr="00A47D41">
        <w:rPr>
          <w:rFonts w:ascii="Times New Roman" w:hAnsi="Times New Roman" w:cs="Times New Roman"/>
          <w:b/>
        </w:rPr>
        <w:t xml:space="preserve"> </w:t>
      </w:r>
      <w:r w:rsidRPr="00A47D41">
        <w:rPr>
          <w:rFonts w:ascii="Times New Roman" w:hAnsi="Times New Roman" w:cs="Times New Roman"/>
          <w:b/>
          <w:noProof/>
          <w:lang w:eastAsia="en-GB"/>
        </w:rPr>
        <w:drawing>
          <wp:inline distT="0" distB="0" distL="0" distR="0" wp14:anchorId="6D68E414" wp14:editId="6C02C95A">
            <wp:extent cx="2658038" cy="1728000"/>
            <wp:effectExtent l="0" t="0" r="952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58038" cy="1728000"/>
                    </a:xfrm>
                    <a:prstGeom prst="rect">
                      <a:avLst/>
                    </a:prstGeom>
                    <a:noFill/>
                    <a:ln>
                      <a:noFill/>
                    </a:ln>
                  </pic:spPr>
                </pic:pic>
              </a:graphicData>
            </a:graphic>
          </wp:inline>
        </w:drawing>
      </w:r>
      <w:r w:rsidRPr="00A47D41">
        <w:rPr>
          <w:rFonts w:ascii="Times New Roman" w:hAnsi="Times New Roman" w:cs="Times New Roman"/>
          <w:b/>
        </w:rPr>
        <w:t xml:space="preserve">         </w:t>
      </w:r>
      <w:r w:rsidRPr="00A47D41">
        <w:rPr>
          <w:rFonts w:ascii="Times New Roman" w:hAnsi="Times New Roman" w:cs="Times New Roman"/>
          <w:b/>
          <w:noProof/>
          <w:lang w:eastAsia="en-GB"/>
        </w:rPr>
        <w:drawing>
          <wp:inline distT="0" distB="0" distL="0" distR="0" wp14:anchorId="41F365BA" wp14:editId="319256EE">
            <wp:extent cx="2666528" cy="1728000"/>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66528" cy="1728000"/>
                    </a:xfrm>
                    <a:prstGeom prst="rect">
                      <a:avLst/>
                    </a:prstGeom>
                    <a:noFill/>
                    <a:ln>
                      <a:noFill/>
                    </a:ln>
                  </pic:spPr>
                </pic:pic>
              </a:graphicData>
            </a:graphic>
          </wp:inline>
        </w:drawing>
      </w:r>
      <w:r w:rsidRPr="00A47D41">
        <w:rPr>
          <w:rFonts w:ascii="Times New Roman" w:hAnsi="Times New Roman" w:cs="Times New Roman"/>
          <w:b/>
        </w:rPr>
        <w:t xml:space="preserve">  </w:t>
      </w:r>
      <w:r w:rsidRPr="00A47D41">
        <w:rPr>
          <w:rFonts w:ascii="Times New Roman" w:hAnsi="Times New Roman" w:cs="Times New Roman"/>
          <w:b/>
          <w:noProof/>
          <w:lang w:eastAsia="en-GB"/>
        </w:rPr>
        <w:drawing>
          <wp:inline distT="0" distB="0" distL="0" distR="0" wp14:anchorId="561DB171" wp14:editId="4C2D12BE">
            <wp:extent cx="2658041" cy="1728000"/>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58041" cy="1728000"/>
                    </a:xfrm>
                    <a:prstGeom prst="rect">
                      <a:avLst/>
                    </a:prstGeom>
                    <a:noFill/>
                    <a:ln>
                      <a:noFill/>
                    </a:ln>
                  </pic:spPr>
                </pic:pic>
              </a:graphicData>
            </a:graphic>
          </wp:inline>
        </w:drawing>
      </w:r>
      <w:r w:rsidRPr="00A47D41">
        <w:rPr>
          <w:rFonts w:ascii="Times New Roman" w:hAnsi="Times New Roman" w:cs="Times New Roman"/>
          <w:b/>
        </w:rPr>
        <w:t xml:space="preserve">                                          </w:t>
      </w:r>
      <w:r w:rsidR="00DA4D6C">
        <w:rPr>
          <w:rFonts w:ascii="Times New Roman" w:hAnsi="Times New Roman" w:cs="Times New Roman"/>
          <w:b/>
        </w:rPr>
        <w:t xml:space="preserve">                             </w:t>
      </w:r>
    </w:p>
    <w:p w14:paraId="7CD12764" w14:textId="13928F5C" w:rsidR="009314BE" w:rsidRPr="00A47D41" w:rsidRDefault="009314BE" w:rsidP="00591AFC">
      <w:pPr>
        <w:spacing w:line="480" w:lineRule="auto"/>
        <w:rPr>
          <w:rFonts w:ascii="Times New Roman" w:hAnsi="Times New Roman" w:cs="Times New Roman"/>
          <w:sz w:val="24"/>
          <w:szCs w:val="24"/>
        </w:rPr>
      </w:pPr>
    </w:p>
    <w:sectPr w:rsidR="009314BE" w:rsidRPr="00A47D41" w:rsidSect="00C97ED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3F9F6" w14:textId="77777777" w:rsidR="00133FA0" w:rsidRDefault="00133FA0" w:rsidP="00137F15">
      <w:pPr>
        <w:spacing w:after="0" w:line="240" w:lineRule="auto"/>
      </w:pPr>
      <w:r>
        <w:separator/>
      </w:r>
    </w:p>
  </w:endnote>
  <w:endnote w:type="continuationSeparator" w:id="0">
    <w:p w14:paraId="6B511D30" w14:textId="77777777" w:rsidR="00133FA0" w:rsidRDefault="00133FA0" w:rsidP="00137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hruti">
    <w:altName w:val="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 P 4 DF">
    <w:altName w:val="Calibri"/>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525735"/>
      <w:docPartObj>
        <w:docPartGallery w:val="Page Numbers (Bottom of Page)"/>
        <w:docPartUnique/>
      </w:docPartObj>
    </w:sdtPr>
    <w:sdtEndPr/>
    <w:sdtContent>
      <w:p w14:paraId="0B2AE87D" w14:textId="77777777" w:rsidR="002D09B5" w:rsidRDefault="002D09B5">
        <w:pPr>
          <w:pStyle w:val="Footer"/>
          <w:jc w:val="center"/>
        </w:pPr>
        <w:r>
          <w:fldChar w:fldCharType="begin"/>
        </w:r>
        <w:r>
          <w:instrText xml:space="preserve"> PAGE   \* MERGEFORMAT </w:instrText>
        </w:r>
        <w:r>
          <w:fldChar w:fldCharType="separate"/>
        </w:r>
        <w:r w:rsidR="00024AED">
          <w:rPr>
            <w:noProof/>
          </w:rPr>
          <w:t>1</w:t>
        </w:r>
        <w:r>
          <w:rPr>
            <w:noProof/>
          </w:rPr>
          <w:fldChar w:fldCharType="end"/>
        </w:r>
      </w:p>
    </w:sdtContent>
  </w:sdt>
  <w:p w14:paraId="0825BC0F" w14:textId="77777777" w:rsidR="002D09B5" w:rsidRDefault="002D0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981869"/>
      <w:docPartObj>
        <w:docPartGallery w:val="Page Numbers (Bottom of Page)"/>
        <w:docPartUnique/>
      </w:docPartObj>
    </w:sdtPr>
    <w:sdtEndPr/>
    <w:sdtContent>
      <w:p w14:paraId="08A5AA4D" w14:textId="77777777" w:rsidR="002D09B5" w:rsidRDefault="002D09B5">
        <w:pPr>
          <w:pStyle w:val="Footer"/>
          <w:jc w:val="center"/>
        </w:pPr>
        <w:r>
          <w:fldChar w:fldCharType="begin"/>
        </w:r>
        <w:r>
          <w:instrText xml:space="preserve"> PAGE   \* MERGEFORMAT </w:instrText>
        </w:r>
        <w:r>
          <w:fldChar w:fldCharType="separate"/>
        </w:r>
        <w:r w:rsidR="00024AED">
          <w:rPr>
            <w:noProof/>
          </w:rPr>
          <w:t>28</w:t>
        </w:r>
        <w:r>
          <w:rPr>
            <w:noProof/>
          </w:rPr>
          <w:fldChar w:fldCharType="end"/>
        </w:r>
      </w:p>
    </w:sdtContent>
  </w:sdt>
  <w:p w14:paraId="568309B6" w14:textId="77777777" w:rsidR="002D09B5" w:rsidRDefault="002D0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C9C18" w14:textId="77777777" w:rsidR="00133FA0" w:rsidRDefault="00133FA0" w:rsidP="00137F15">
      <w:pPr>
        <w:spacing w:after="0" w:line="240" w:lineRule="auto"/>
      </w:pPr>
      <w:r>
        <w:separator/>
      </w:r>
    </w:p>
  </w:footnote>
  <w:footnote w:type="continuationSeparator" w:id="0">
    <w:p w14:paraId="492E2FE9" w14:textId="77777777" w:rsidR="00133FA0" w:rsidRDefault="00133FA0" w:rsidP="00137F15">
      <w:pPr>
        <w:spacing w:after="0" w:line="240" w:lineRule="auto"/>
      </w:pPr>
      <w:r>
        <w:continuationSeparator/>
      </w:r>
    </w:p>
  </w:footnote>
  <w:footnote w:id="1">
    <w:p w14:paraId="52EDFF7B" w14:textId="77777777" w:rsidR="002D09B5" w:rsidRPr="00F03CE7" w:rsidRDefault="002D09B5" w:rsidP="00223E00">
      <w:pPr>
        <w:pStyle w:val="FootnoteText"/>
        <w:rPr>
          <w:rFonts w:ascii="Times New Roman" w:hAnsi="Times New Roman" w:cs="Times New Roman"/>
          <w:sz w:val="16"/>
          <w:szCs w:val="16"/>
        </w:rPr>
      </w:pPr>
      <w:r w:rsidRPr="00F03CE7">
        <w:rPr>
          <w:rStyle w:val="FootnoteReference"/>
          <w:rFonts w:ascii="Times New Roman" w:hAnsi="Times New Roman" w:cs="Times New Roman"/>
          <w:sz w:val="16"/>
          <w:szCs w:val="16"/>
        </w:rPr>
        <w:footnoteRef/>
      </w:r>
      <w:r w:rsidRPr="00F03CE7">
        <w:rPr>
          <w:rFonts w:ascii="Times New Roman" w:hAnsi="Times New Roman" w:cs="Times New Roman"/>
          <w:sz w:val="16"/>
          <w:szCs w:val="16"/>
        </w:rPr>
        <w:t xml:space="preserve"> The filing for bankruptcy occurred on the 15</w:t>
      </w:r>
      <w:r w:rsidRPr="00F03CE7">
        <w:rPr>
          <w:rFonts w:ascii="Times New Roman" w:hAnsi="Times New Roman" w:cs="Times New Roman"/>
          <w:sz w:val="16"/>
          <w:szCs w:val="16"/>
          <w:vertAlign w:val="superscript"/>
        </w:rPr>
        <w:t>th</w:t>
      </w:r>
      <w:r w:rsidRPr="00F03CE7">
        <w:rPr>
          <w:rFonts w:ascii="Times New Roman" w:hAnsi="Times New Roman" w:cs="Times New Roman"/>
          <w:sz w:val="16"/>
          <w:szCs w:val="16"/>
        </w:rPr>
        <w:t xml:space="preserve"> September</w:t>
      </w:r>
    </w:p>
  </w:footnote>
  <w:footnote w:id="2">
    <w:p w14:paraId="00F3A19E" w14:textId="77777777" w:rsidR="002D09B5" w:rsidRPr="00F03CE7" w:rsidRDefault="002D09B5" w:rsidP="00223E00">
      <w:pPr>
        <w:pStyle w:val="FootnoteText"/>
        <w:rPr>
          <w:rFonts w:ascii="Times New Roman" w:hAnsi="Times New Roman" w:cs="Times New Roman"/>
          <w:sz w:val="16"/>
          <w:szCs w:val="16"/>
        </w:rPr>
      </w:pPr>
      <w:r w:rsidRPr="00F03CE7">
        <w:rPr>
          <w:rStyle w:val="FootnoteReference"/>
          <w:rFonts w:ascii="Times New Roman" w:hAnsi="Times New Roman" w:cs="Times New Roman"/>
          <w:sz w:val="16"/>
          <w:szCs w:val="16"/>
        </w:rPr>
        <w:footnoteRef/>
      </w:r>
      <w:r w:rsidRPr="00F03CE7">
        <w:rPr>
          <w:rFonts w:ascii="Times New Roman" w:hAnsi="Times New Roman" w:cs="Times New Roman"/>
          <w:sz w:val="16"/>
          <w:szCs w:val="16"/>
        </w:rPr>
        <w:t xml:space="preserve"> Note that the short selling ban (19/9/2008) occurs shortly after the collapse of Lehman Brothers (14/9/2008) so it is difficult to separate out the effects of the two events.</w:t>
      </w:r>
    </w:p>
  </w:footnote>
  <w:footnote w:id="3">
    <w:p w14:paraId="6EF5267C" w14:textId="47347EEE" w:rsidR="002D09B5" w:rsidRPr="002431F8" w:rsidRDefault="002D09B5" w:rsidP="002431F8">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w:t>
      </w:r>
      <w:r w:rsidRPr="002431F8">
        <w:rPr>
          <w:rFonts w:ascii="Times New Roman" w:hAnsi="Times New Roman" w:cs="Times New Roman"/>
        </w:rPr>
        <w:t xml:space="preserve">impact of short-selling ban on market liquidity and volatility </w:t>
      </w:r>
      <w:r>
        <w:rPr>
          <w:rFonts w:ascii="Times New Roman" w:hAnsi="Times New Roman" w:cs="Times New Roman"/>
        </w:rPr>
        <w:t xml:space="preserve">is also considered by, for example, </w:t>
      </w:r>
      <w:r w:rsidRPr="002431F8">
        <w:rPr>
          <w:rFonts w:ascii="Times New Roman" w:hAnsi="Times New Roman" w:cs="Times New Roman"/>
        </w:rPr>
        <w:t>Battalio and Schultz</w:t>
      </w:r>
      <w:r>
        <w:rPr>
          <w:rFonts w:ascii="Times New Roman" w:hAnsi="Times New Roman" w:cs="Times New Roman"/>
        </w:rPr>
        <w:t xml:space="preserve"> (</w:t>
      </w:r>
      <w:r w:rsidRPr="002431F8">
        <w:rPr>
          <w:rFonts w:ascii="Times New Roman" w:hAnsi="Times New Roman" w:cs="Times New Roman"/>
        </w:rPr>
        <w:t>2011</w:t>
      </w:r>
      <w:r>
        <w:rPr>
          <w:rFonts w:ascii="Times New Roman" w:hAnsi="Times New Roman" w:cs="Times New Roman"/>
        </w:rPr>
        <w:t xml:space="preserve">), </w:t>
      </w:r>
      <w:r w:rsidRPr="002431F8">
        <w:rPr>
          <w:rFonts w:ascii="Times New Roman" w:hAnsi="Times New Roman" w:cs="Times New Roman"/>
        </w:rPr>
        <w:t>Battalio et al.</w:t>
      </w:r>
      <w:r>
        <w:rPr>
          <w:rFonts w:ascii="Times New Roman" w:hAnsi="Times New Roman" w:cs="Times New Roman"/>
        </w:rPr>
        <w:t xml:space="preserve"> (</w:t>
      </w:r>
      <w:r w:rsidRPr="002431F8">
        <w:rPr>
          <w:rFonts w:ascii="Times New Roman" w:hAnsi="Times New Roman" w:cs="Times New Roman"/>
        </w:rPr>
        <w:t>2011</w:t>
      </w:r>
      <w:r>
        <w:rPr>
          <w:rFonts w:ascii="Times New Roman" w:hAnsi="Times New Roman" w:cs="Times New Roman"/>
        </w:rPr>
        <w:t>), B</w:t>
      </w:r>
      <w:r w:rsidRPr="002431F8">
        <w:rPr>
          <w:rFonts w:ascii="Times New Roman" w:hAnsi="Times New Roman" w:cs="Times New Roman"/>
        </w:rPr>
        <w:t>eber and Pagano</w:t>
      </w:r>
      <w:r>
        <w:rPr>
          <w:rFonts w:ascii="Times New Roman" w:hAnsi="Times New Roman" w:cs="Times New Roman"/>
        </w:rPr>
        <w:t xml:space="preserve"> (</w:t>
      </w:r>
      <w:r w:rsidRPr="002431F8">
        <w:rPr>
          <w:rFonts w:ascii="Times New Roman" w:hAnsi="Times New Roman" w:cs="Times New Roman"/>
        </w:rPr>
        <w:t>2013</w:t>
      </w:r>
      <w:r>
        <w:rPr>
          <w:rFonts w:ascii="Times New Roman" w:hAnsi="Times New Roman" w:cs="Times New Roman"/>
        </w:rPr>
        <w:t xml:space="preserve">), </w:t>
      </w:r>
      <w:r w:rsidRPr="002431F8">
        <w:rPr>
          <w:rFonts w:ascii="Times New Roman" w:hAnsi="Times New Roman" w:cs="Times New Roman"/>
        </w:rPr>
        <w:t>Boehemer et al</w:t>
      </w:r>
      <w:r>
        <w:rPr>
          <w:rFonts w:ascii="Times New Roman" w:hAnsi="Times New Roman" w:cs="Times New Roman"/>
        </w:rPr>
        <w:t xml:space="preserve"> (</w:t>
      </w:r>
      <w:r w:rsidRPr="002431F8">
        <w:rPr>
          <w:rFonts w:ascii="Times New Roman" w:hAnsi="Times New Roman" w:cs="Times New Roman"/>
        </w:rPr>
        <w:t>2013</w:t>
      </w:r>
      <w:r>
        <w:rPr>
          <w:rFonts w:ascii="Times New Roman" w:hAnsi="Times New Roman" w:cs="Times New Roman"/>
        </w:rPr>
        <w:t xml:space="preserve">), </w:t>
      </w:r>
      <w:r w:rsidRPr="002431F8">
        <w:rPr>
          <w:rFonts w:ascii="Times New Roman" w:hAnsi="Times New Roman" w:cs="Times New Roman"/>
        </w:rPr>
        <w:t>Crane et al.</w:t>
      </w:r>
      <w:r>
        <w:rPr>
          <w:rFonts w:ascii="Times New Roman" w:hAnsi="Times New Roman" w:cs="Times New Roman"/>
        </w:rPr>
        <w:t xml:space="preserve"> (</w:t>
      </w:r>
      <w:r w:rsidRPr="002431F8">
        <w:rPr>
          <w:rFonts w:ascii="Times New Roman" w:hAnsi="Times New Roman" w:cs="Times New Roman"/>
        </w:rPr>
        <w:t>2016</w:t>
      </w:r>
      <w:r>
        <w:rPr>
          <w:rFonts w:ascii="Times New Roman" w:hAnsi="Times New Roman" w:cs="Times New Roman"/>
        </w:rPr>
        <w:t xml:space="preserve">) and </w:t>
      </w:r>
      <w:r w:rsidRPr="002431F8">
        <w:rPr>
          <w:rFonts w:ascii="Times New Roman" w:hAnsi="Times New Roman" w:cs="Times New Roman"/>
        </w:rPr>
        <w:t>Marsh and Payne</w:t>
      </w:r>
      <w:r>
        <w:rPr>
          <w:rFonts w:ascii="Times New Roman" w:hAnsi="Times New Roman" w:cs="Times New Roman"/>
        </w:rPr>
        <w:t xml:space="preserve"> (</w:t>
      </w:r>
      <w:r w:rsidRPr="002431F8">
        <w:rPr>
          <w:rFonts w:ascii="Times New Roman" w:hAnsi="Times New Roman" w:cs="Times New Roman"/>
        </w:rPr>
        <w:t>2012)</w:t>
      </w:r>
      <w:r>
        <w:rPr>
          <w:rFonts w:ascii="Times New Roman" w:hAnsi="Times New Roman" w:cs="Times New Roman"/>
        </w:rPr>
        <w:t xml:space="preserve">. </w:t>
      </w:r>
    </w:p>
  </w:footnote>
  <w:footnote w:id="4">
    <w:p w14:paraId="31F1A073" w14:textId="6F04E4B6" w:rsidR="002D09B5" w:rsidRPr="00E77D60" w:rsidRDefault="002D09B5">
      <w:pPr>
        <w:pStyle w:val="FootnoteText"/>
      </w:pPr>
      <w:r>
        <w:rPr>
          <w:rStyle w:val="FootnoteReference"/>
        </w:rPr>
        <w:footnoteRef/>
      </w:r>
      <w:r>
        <w:t xml:space="preserve"> </w:t>
      </w:r>
      <w:r>
        <w:rPr>
          <w:rFonts w:ascii="Times New Roman" w:hAnsi="Times New Roman" w:cs="Times New Roman"/>
        </w:rPr>
        <w:t>We</w:t>
      </w:r>
      <w:r w:rsidRPr="00E77D60">
        <w:rPr>
          <w:rFonts w:ascii="Times New Roman" w:hAnsi="Times New Roman" w:cs="Times New Roman"/>
        </w:rPr>
        <w:t xml:space="preserve"> believe</w:t>
      </w:r>
      <w:r>
        <w:rPr>
          <w:rFonts w:ascii="Times New Roman" w:hAnsi="Times New Roman" w:cs="Times New Roman"/>
        </w:rPr>
        <w:t xml:space="preserve"> </w:t>
      </w:r>
      <w:r w:rsidRPr="00E77D60">
        <w:rPr>
          <w:rFonts w:ascii="Times New Roman" w:hAnsi="Times New Roman" w:cs="Times New Roman"/>
        </w:rPr>
        <w:t xml:space="preserve">, provides a natural extension of the literature in applying either long or short run modelling to look for evidence of structural dynamics in a market (for example, Brooks and </w:t>
      </w:r>
      <w:r w:rsidRPr="00E77D60">
        <w:rPr>
          <w:rFonts w:ascii="Times New Roman" w:hAnsi="Times New Roman" w:cs="Times New Roman"/>
        </w:rPr>
        <w:t>Ragunathan, 2003; Buckland et. al, 2011).</w:t>
      </w:r>
    </w:p>
  </w:footnote>
  <w:footnote w:id="5">
    <w:p w14:paraId="5944E79B" w14:textId="44E8C091" w:rsidR="002D09B5" w:rsidRPr="006769A4" w:rsidRDefault="002D09B5">
      <w:pPr>
        <w:pStyle w:val="FootnoteText"/>
        <w:rPr>
          <w:rFonts w:ascii="Times New Roman" w:hAnsi="Times New Roman" w:cs="Times New Roman"/>
        </w:rPr>
      </w:pPr>
      <w:r>
        <w:rPr>
          <w:rStyle w:val="FootnoteReference"/>
        </w:rPr>
        <w:footnoteRef/>
      </w:r>
      <w:r>
        <w:t xml:space="preserve"> </w:t>
      </w:r>
      <w:r w:rsidRPr="006769A4">
        <w:rPr>
          <w:rFonts w:ascii="Times New Roman" w:hAnsi="Times New Roman" w:cs="Times New Roman"/>
        </w:rPr>
        <w:t xml:space="preserve">As </w:t>
      </w:r>
      <w:r>
        <w:rPr>
          <w:rFonts w:ascii="Times New Roman" w:hAnsi="Times New Roman" w:cs="Times New Roman"/>
        </w:rPr>
        <w:t>alternative approaches for dealing with</w:t>
      </w:r>
      <w:r w:rsidRPr="006769A4">
        <w:rPr>
          <w:rFonts w:ascii="Times New Roman" w:hAnsi="Times New Roman" w:cs="Times New Roman"/>
        </w:rPr>
        <w:t xml:space="preserve"> structure change </w:t>
      </w:r>
      <w:r>
        <w:rPr>
          <w:rFonts w:ascii="Times New Roman" w:hAnsi="Times New Roman" w:cs="Times New Roman"/>
        </w:rPr>
        <w:t xml:space="preserve">in the relations we could consider the </w:t>
      </w:r>
      <w:r w:rsidRPr="006769A4">
        <w:rPr>
          <w:rFonts w:ascii="Times New Roman" w:hAnsi="Times New Roman" w:cs="Times New Roman"/>
        </w:rPr>
        <w:t>test</w:t>
      </w:r>
      <w:r>
        <w:rPr>
          <w:rFonts w:ascii="Times New Roman" w:hAnsi="Times New Roman" w:cs="Times New Roman"/>
        </w:rPr>
        <w:t xml:space="preserve">s of </w:t>
      </w:r>
      <w:r w:rsidRPr="006769A4">
        <w:rPr>
          <w:rFonts w:ascii="Times New Roman" w:hAnsi="Times New Roman" w:cs="Times New Roman"/>
        </w:rPr>
        <w:t>Bai and Perron (1998, 2003) or apply</w:t>
      </w:r>
      <w:r>
        <w:rPr>
          <w:rFonts w:ascii="Times New Roman" w:hAnsi="Times New Roman" w:cs="Times New Roman"/>
        </w:rPr>
        <w:t xml:space="preserve"> </w:t>
      </w:r>
      <w:r w:rsidRPr="006769A4">
        <w:rPr>
          <w:rFonts w:ascii="Times New Roman" w:hAnsi="Times New Roman" w:cs="Times New Roman"/>
        </w:rPr>
        <w:t>a Chow type test</w:t>
      </w:r>
      <w:r>
        <w:rPr>
          <w:rFonts w:ascii="Times New Roman" w:hAnsi="Times New Roman" w:cs="Times New Roman"/>
        </w:rPr>
        <w:t>.</w:t>
      </w:r>
      <w:r w:rsidRPr="006769A4">
        <w:rPr>
          <w:rFonts w:ascii="Times New Roman" w:hAnsi="Times New Roman" w:cs="Times New Roman"/>
        </w:rPr>
        <w:t xml:space="preserve"> However, </w:t>
      </w:r>
      <w:r>
        <w:rPr>
          <w:rFonts w:ascii="Times New Roman" w:hAnsi="Times New Roman" w:cs="Times New Roman"/>
        </w:rPr>
        <w:t xml:space="preserve">given the events of September 2008, it is unlikely that the data would satisfy the necessary distributional assumptions necessary for these tests. A </w:t>
      </w:r>
      <w:r w:rsidRPr="006769A4">
        <w:rPr>
          <w:rFonts w:ascii="Times New Roman" w:hAnsi="Times New Roman" w:cs="Times New Roman"/>
        </w:rPr>
        <w:t>time-varying VECM could also be considered</w:t>
      </w:r>
      <w:r>
        <w:rPr>
          <w:rFonts w:ascii="Times New Roman" w:hAnsi="Times New Roman" w:cs="Times New Roman"/>
        </w:rPr>
        <w:t xml:space="preserve">, such as the </w:t>
      </w:r>
      <w:r w:rsidRPr="006769A4">
        <w:rPr>
          <w:rFonts w:ascii="Times New Roman" w:hAnsi="Times New Roman" w:cs="Times New Roman"/>
        </w:rPr>
        <w:t xml:space="preserve">one proposed by Bierens and Martins (2010). However, this type of modelling usually requires full stochasticity in the price time series (or the cointegrating vectors) with smooth changes in order to get robust results. </w:t>
      </w:r>
      <w:r>
        <w:rPr>
          <w:rFonts w:ascii="Times New Roman" w:hAnsi="Times New Roman" w:cs="Times New Roman"/>
        </w:rPr>
        <w:t xml:space="preserve">Again, this is not consistent with the </w:t>
      </w:r>
      <w:r w:rsidRPr="006769A4">
        <w:rPr>
          <w:rFonts w:ascii="Times New Roman" w:hAnsi="Times New Roman" w:cs="Times New Roman"/>
        </w:rPr>
        <w:t>distortion</w:t>
      </w:r>
      <w:r>
        <w:rPr>
          <w:rFonts w:ascii="Times New Roman" w:hAnsi="Times New Roman" w:cs="Times New Roman"/>
        </w:rPr>
        <w:t>s</w:t>
      </w:r>
      <w:r w:rsidRPr="006769A4">
        <w:rPr>
          <w:rFonts w:ascii="Times New Roman" w:hAnsi="Times New Roman" w:cs="Times New Roman"/>
        </w:rPr>
        <w:t xml:space="preserve"> </w:t>
      </w:r>
      <w:r>
        <w:rPr>
          <w:rFonts w:ascii="Times New Roman" w:hAnsi="Times New Roman" w:cs="Times New Roman"/>
        </w:rPr>
        <w:t xml:space="preserve">arising </w:t>
      </w:r>
      <w:r w:rsidRPr="006769A4">
        <w:rPr>
          <w:rFonts w:ascii="Times New Roman" w:hAnsi="Times New Roman" w:cs="Times New Roman"/>
        </w:rPr>
        <w:t xml:space="preserve">from the extreme events </w:t>
      </w:r>
      <w:r>
        <w:rPr>
          <w:rFonts w:ascii="Times New Roman" w:hAnsi="Times New Roman" w:cs="Times New Roman"/>
        </w:rPr>
        <w:t>over this time period.</w:t>
      </w:r>
      <w:r w:rsidRPr="006769A4">
        <w:rPr>
          <w:rFonts w:ascii="Times New Roman" w:hAnsi="Times New Roman" w:cs="Times New Roman"/>
        </w:rPr>
        <w:t xml:space="preserve">  </w:t>
      </w:r>
    </w:p>
  </w:footnote>
  <w:footnote w:id="6">
    <w:p w14:paraId="0028899F" w14:textId="077910B2" w:rsidR="002D09B5" w:rsidRPr="00F03CE7" w:rsidRDefault="002D09B5" w:rsidP="00D77203">
      <w:pPr>
        <w:pStyle w:val="FootnoteText"/>
        <w:jc w:val="both"/>
        <w:rPr>
          <w:rFonts w:ascii="Times New Roman" w:hAnsi="Times New Roman" w:cs="Times New Roman"/>
          <w:sz w:val="16"/>
          <w:szCs w:val="16"/>
          <w:lang w:val="en-US"/>
        </w:rPr>
      </w:pPr>
      <w:r w:rsidRPr="00E86E7E">
        <w:rPr>
          <w:rStyle w:val="FootnoteReference"/>
          <w:rFonts w:ascii="Times New Roman" w:hAnsi="Times New Roman" w:cs="Times New Roman"/>
        </w:rPr>
        <w:footnoteRef/>
      </w:r>
      <w:r w:rsidRPr="00E86E7E">
        <w:rPr>
          <w:rFonts w:ascii="Times New Roman" w:hAnsi="Times New Roman" w:cs="Times New Roman"/>
        </w:rPr>
        <w:t xml:space="preserve"> </w:t>
      </w:r>
      <w:r w:rsidRPr="00D77203">
        <w:rPr>
          <w:rFonts w:ascii="Times New Roman" w:hAnsi="Times New Roman" w:cs="Times New Roman"/>
        </w:rPr>
        <w:t>Buckland, Chen and Williams (2012) proposed a bootstrap approach to enhance the robustness of these two tests. The method is to collect the eigenvalues</w:t>
      </w:r>
      <w:r w:rsidR="00133FA0" w:rsidRPr="00D77203">
        <w:rPr>
          <w:rFonts w:ascii="Times New Roman" w:hAnsi="Times New Roman" w:cs="Times New Roman"/>
          <w:noProof/>
          <w:position w:val="-8"/>
        </w:rPr>
        <w:object w:dxaOrig="1080" w:dyaOrig="360" w14:anchorId="3CAC06E6">
          <v:shape id="_x0000_i1072" type="#_x0000_t75" alt="" style="width:54pt;height:18pt;mso-width-percent:0;mso-height-percent:0;mso-width-percent:0;mso-height-percent:0" o:ole="">
            <v:imagedata r:id="rId1" o:title=""/>
          </v:shape>
          <o:OLEObject Type="Embed" ProgID="Equation.3" ShapeID="_x0000_i1072" DrawAspect="Content" ObjectID="_1586774305" r:id="rId2"/>
        </w:object>
      </w:r>
      <w:r w:rsidRPr="00D77203">
        <w:rPr>
          <w:rFonts w:ascii="Times New Roman" w:hAnsi="Times New Roman" w:cs="Times New Roman"/>
        </w:rPr>
        <w:t xml:space="preserve"> and resample them with two residual series collected from the polynomial projection process described in formula (2). Then, they re-compute the canonical correlation series and their distributions following Johansen and </w:t>
      </w:r>
      <w:r w:rsidRPr="00D77203">
        <w:rPr>
          <w:rFonts w:ascii="Times New Roman" w:hAnsi="Times New Roman" w:cs="Times New Roman"/>
        </w:rPr>
        <w:t xml:space="preserve">Juselius (1990) and MacKinnon et al. (1999). Finally, they compare the two sets of critical statistics to decide whether the results of cointegration tests are robust or not.  </w:t>
      </w:r>
    </w:p>
  </w:footnote>
  <w:footnote w:id="7">
    <w:p w14:paraId="068547EC" w14:textId="7A878B05" w:rsidR="002D09B5" w:rsidRPr="000D2715" w:rsidRDefault="002D09B5">
      <w:pPr>
        <w:pStyle w:val="FootnoteText"/>
        <w:rPr>
          <w:rFonts w:ascii="Times New Roman" w:hAnsi="Times New Roman" w:cs="Times New Roman"/>
        </w:rPr>
      </w:pPr>
      <w:r>
        <w:rPr>
          <w:rStyle w:val="FootnoteReference"/>
        </w:rPr>
        <w:footnoteRef/>
      </w:r>
      <w:r>
        <w:t xml:space="preserve"> A</w:t>
      </w:r>
      <w:r>
        <w:rPr>
          <w:rFonts w:ascii="Times New Roman" w:hAnsi="Times New Roman" w:cs="Times New Roman"/>
        </w:rPr>
        <w:t xml:space="preserve">n open question concerns the choice of multi-variate GARCH model. Notably, common alternatives to the VECH model here include the BEKK (Engle and Kroner, 1995) and (A)DCC (Engle, 2002; </w:t>
      </w:r>
      <w:r w:rsidRPr="001006B0">
        <w:rPr>
          <w:rFonts w:ascii="Times New Roman" w:hAnsi="Times New Roman" w:cs="Times New Roman"/>
        </w:rPr>
        <w:t>Cappiello</w:t>
      </w:r>
      <w:r>
        <w:rPr>
          <w:rFonts w:ascii="Times New Roman" w:hAnsi="Times New Roman" w:cs="Times New Roman"/>
        </w:rPr>
        <w:t xml:space="preserve"> et al, 2006) approaches. Each approach has its own merits and demerits based on parameterisation, computational feasibility and efficiency; see, the useful discussion in Tsay (2014). For example, the BEKK approach can suffer from over-parameterisation, while the DCC may be viewed as too simplistic. We chose the VECH model as providing the best balance between these (de)merits. </w:t>
      </w:r>
    </w:p>
  </w:footnote>
  <w:footnote w:id="8">
    <w:p w14:paraId="3EF6A44A" w14:textId="458E7D4F" w:rsidR="002D09B5" w:rsidRPr="00EF6EEE" w:rsidRDefault="002D09B5" w:rsidP="00540D4B">
      <w:pPr>
        <w:pStyle w:val="FootnoteText"/>
        <w:rPr>
          <w:rFonts w:ascii="Times New Roman" w:hAnsi="Times New Roman" w:cs="Times New Roman"/>
        </w:rPr>
      </w:pPr>
      <w:r w:rsidRPr="00EF6EEE">
        <w:rPr>
          <w:rStyle w:val="FootnoteReference"/>
          <w:rFonts w:ascii="Times New Roman" w:hAnsi="Times New Roman" w:cs="Times New Roman"/>
        </w:rPr>
        <w:footnoteRef/>
      </w:r>
      <w:r w:rsidRPr="00EF6EEE">
        <w:rPr>
          <w:rFonts w:ascii="Times New Roman" w:hAnsi="Times New Roman" w:cs="Times New Roman"/>
        </w:rPr>
        <w:t xml:space="preserve"> </w:t>
      </w:r>
      <w:r w:rsidRPr="00EF6EEE">
        <w:rPr>
          <w:rFonts w:ascii="Times New Roman" w:hAnsi="Times New Roman" w:cs="Times New Roman"/>
          <w:iCs/>
        </w:rPr>
        <w:t xml:space="preserve">France does not have </w:t>
      </w:r>
      <w:r>
        <w:rPr>
          <w:rFonts w:ascii="Times New Roman" w:hAnsi="Times New Roman" w:cs="Times New Roman"/>
          <w:iCs/>
        </w:rPr>
        <w:t xml:space="preserve">a </w:t>
      </w:r>
      <w:r w:rsidRPr="00EF6EEE">
        <w:rPr>
          <w:rFonts w:ascii="Times New Roman" w:hAnsi="Times New Roman" w:cs="Times New Roman"/>
          <w:iCs/>
        </w:rPr>
        <w:t>direct dollar index but the data extracted are in US$.</w:t>
      </w:r>
    </w:p>
  </w:footnote>
  <w:footnote w:id="9">
    <w:p w14:paraId="17098014" w14:textId="797638FA" w:rsidR="002D09B5" w:rsidRDefault="002D09B5" w:rsidP="00540D4B">
      <w:pPr>
        <w:pStyle w:val="FootnoteText"/>
      </w:pPr>
      <w:r>
        <w:rPr>
          <w:rStyle w:val="FootnoteReference"/>
        </w:rPr>
        <w:footnoteRef/>
      </w:r>
      <w:r>
        <w:t xml:space="preserve"> </w:t>
      </w:r>
      <w:r w:rsidRPr="00D010D7">
        <w:rPr>
          <w:rFonts w:ascii="Times New Roman" w:hAnsi="Times New Roman" w:cs="Times New Roman"/>
        </w:rPr>
        <w:t xml:space="preserve">In order to consistently reflect the size of the equity of the market, </w:t>
      </w:r>
      <w:r w:rsidRPr="00D010D7">
        <w:rPr>
          <w:rFonts w:ascii="Times New Roman" w:hAnsi="Times New Roman" w:cs="Times New Roman"/>
          <w:iCs/>
        </w:rPr>
        <w:t xml:space="preserve">we use total market US$ indices (coded as ‘TOTMXXX’) to ensure consistency in the construction of the country group indices instead of some well-known representative indices such as FTSE100, CAC40, DAX30 </w:t>
      </w:r>
      <w:r>
        <w:rPr>
          <w:rFonts w:ascii="Times New Roman" w:hAnsi="Times New Roman" w:cs="Times New Roman"/>
          <w:iCs/>
        </w:rPr>
        <w:t>and so on</w:t>
      </w:r>
      <w:r w:rsidRPr="00D010D7">
        <w:rPr>
          <w:rFonts w:ascii="Times New Roman" w:hAnsi="Times New Roman" w:cs="Times New Roman"/>
          <w:iCs/>
        </w:rPr>
        <w:t>.</w:t>
      </w:r>
    </w:p>
  </w:footnote>
  <w:footnote w:id="10">
    <w:p w14:paraId="6143B1E8" w14:textId="77777777" w:rsidR="002D09B5" w:rsidRPr="00EB27EC" w:rsidRDefault="002D09B5" w:rsidP="00A10C66">
      <w:pPr>
        <w:pStyle w:val="FootnoteText"/>
        <w:rPr>
          <w:rFonts w:ascii="Times New Roman" w:hAnsi="Times New Roman" w:cs="Times New Roman"/>
        </w:rPr>
      </w:pPr>
      <w:r w:rsidRPr="00EB27EC">
        <w:rPr>
          <w:rStyle w:val="FootnoteReference"/>
          <w:rFonts w:ascii="Times New Roman" w:hAnsi="Times New Roman" w:cs="Times New Roman"/>
        </w:rPr>
        <w:footnoteRef/>
      </w:r>
      <w:r w:rsidRPr="00EB27EC">
        <w:rPr>
          <w:rFonts w:ascii="Times New Roman" w:hAnsi="Times New Roman" w:cs="Times New Roman"/>
        </w:rPr>
        <w:t xml:space="preserve"> Unit Root and optimal lag structure tests are done prior to the cointegration tests (see Tables 4 and 5).</w:t>
      </w:r>
    </w:p>
  </w:footnote>
  <w:footnote w:id="11">
    <w:p w14:paraId="6B30AF62" w14:textId="77777777" w:rsidR="002D09B5" w:rsidRPr="00075AEF" w:rsidRDefault="002D09B5" w:rsidP="00A10C66">
      <w:pPr>
        <w:pStyle w:val="FootnoteText"/>
        <w:rPr>
          <w:lang w:val="en-US"/>
        </w:rPr>
      </w:pPr>
      <w:r>
        <w:rPr>
          <w:rStyle w:val="FootnoteReference"/>
        </w:rPr>
        <w:footnoteRef/>
      </w:r>
      <w:r>
        <w:t xml:space="preserve"> </w:t>
      </w:r>
      <w:r w:rsidRPr="00075AEF">
        <w:rPr>
          <w:rFonts w:ascii="Times New Roman" w:hAnsi="Times New Roman" w:cs="Times New Roman"/>
          <w:lang w:val="en-US"/>
        </w:rPr>
        <w:t>See Table 6. The Johansen trace test suggests one cointegrating vector and the maximum eigenvalue test indicates no more than two long run co-movements.</w:t>
      </w:r>
    </w:p>
  </w:footnote>
  <w:footnote w:id="12">
    <w:p w14:paraId="7AD92189" w14:textId="79847136" w:rsidR="002D09B5" w:rsidRPr="00ED296B" w:rsidRDefault="002D09B5" w:rsidP="00522494">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We implement the test of Gregory and Hansen (1996) and consider the possibility of breaks in the level, trend and slope of the cointegrating vector. The test effectively utilises the ADF approach and considers in a recursive manner potential break dates and reports the minimum ADF statistic. The test statistics (5% critical values) for a break in the level, level and trend, level and slope and level, trend and slope respectively are: -3.74 (-4.92), -4.52 (-5.29), -5.01 (-5.50) and -6.23 (-5.96). As such these tests do not support cointegration unless we assume a full regime break between the two sub-samples. This is implicitly what we assume by separating the sample as discussed above. Furthermore, the break date determined in the test (21/10/08) is similar to that imposed in the sub-samples. Therefore, given that the Johansen procedure is preferred when we have more than two variables and the Gregory-Hansen test employs the ADF procedure, we proceed on the belief of no cointegration.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20C1"/>
    <w:multiLevelType w:val="hybridMultilevel"/>
    <w:tmpl w:val="6A304B38"/>
    <w:lvl w:ilvl="0" w:tplc="07F0EDCA">
      <w:start w:val="1"/>
      <w:numFmt w:val="bullet"/>
      <w:lvlText w:val=""/>
      <w:lvlJc w:val="left"/>
      <w:pPr>
        <w:tabs>
          <w:tab w:val="num" w:pos="720"/>
        </w:tabs>
        <w:ind w:left="720" w:hanging="360"/>
      </w:pPr>
      <w:rPr>
        <w:rFonts w:ascii="Wingdings 2" w:hAnsi="Wingdings 2" w:hint="default"/>
      </w:rPr>
    </w:lvl>
    <w:lvl w:ilvl="1" w:tplc="252EC4BA" w:tentative="1">
      <w:start w:val="1"/>
      <w:numFmt w:val="bullet"/>
      <w:lvlText w:val=""/>
      <w:lvlJc w:val="left"/>
      <w:pPr>
        <w:tabs>
          <w:tab w:val="num" w:pos="1440"/>
        </w:tabs>
        <w:ind w:left="1440" w:hanging="360"/>
      </w:pPr>
      <w:rPr>
        <w:rFonts w:ascii="Wingdings 2" w:hAnsi="Wingdings 2" w:hint="default"/>
      </w:rPr>
    </w:lvl>
    <w:lvl w:ilvl="2" w:tplc="86F4B696" w:tentative="1">
      <w:start w:val="1"/>
      <w:numFmt w:val="bullet"/>
      <w:lvlText w:val=""/>
      <w:lvlJc w:val="left"/>
      <w:pPr>
        <w:tabs>
          <w:tab w:val="num" w:pos="2160"/>
        </w:tabs>
        <w:ind w:left="2160" w:hanging="360"/>
      </w:pPr>
      <w:rPr>
        <w:rFonts w:ascii="Wingdings 2" w:hAnsi="Wingdings 2" w:hint="default"/>
      </w:rPr>
    </w:lvl>
    <w:lvl w:ilvl="3" w:tplc="4574CFA2" w:tentative="1">
      <w:start w:val="1"/>
      <w:numFmt w:val="bullet"/>
      <w:lvlText w:val=""/>
      <w:lvlJc w:val="left"/>
      <w:pPr>
        <w:tabs>
          <w:tab w:val="num" w:pos="2880"/>
        </w:tabs>
        <w:ind w:left="2880" w:hanging="360"/>
      </w:pPr>
      <w:rPr>
        <w:rFonts w:ascii="Wingdings 2" w:hAnsi="Wingdings 2" w:hint="default"/>
      </w:rPr>
    </w:lvl>
    <w:lvl w:ilvl="4" w:tplc="16180836" w:tentative="1">
      <w:start w:val="1"/>
      <w:numFmt w:val="bullet"/>
      <w:lvlText w:val=""/>
      <w:lvlJc w:val="left"/>
      <w:pPr>
        <w:tabs>
          <w:tab w:val="num" w:pos="3600"/>
        </w:tabs>
        <w:ind w:left="3600" w:hanging="360"/>
      </w:pPr>
      <w:rPr>
        <w:rFonts w:ascii="Wingdings 2" w:hAnsi="Wingdings 2" w:hint="default"/>
      </w:rPr>
    </w:lvl>
    <w:lvl w:ilvl="5" w:tplc="480EBED4" w:tentative="1">
      <w:start w:val="1"/>
      <w:numFmt w:val="bullet"/>
      <w:lvlText w:val=""/>
      <w:lvlJc w:val="left"/>
      <w:pPr>
        <w:tabs>
          <w:tab w:val="num" w:pos="4320"/>
        </w:tabs>
        <w:ind w:left="4320" w:hanging="360"/>
      </w:pPr>
      <w:rPr>
        <w:rFonts w:ascii="Wingdings 2" w:hAnsi="Wingdings 2" w:hint="default"/>
      </w:rPr>
    </w:lvl>
    <w:lvl w:ilvl="6" w:tplc="718467AC" w:tentative="1">
      <w:start w:val="1"/>
      <w:numFmt w:val="bullet"/>
      <w:lvlText w:val=""/>
      <w:lvlJc w:val="left"/>
      <w:pPr>
        <w:tabs>
          <w:tab w:val="num" w:pos="5040"/>
        </w:tabs>
        <w:ind w:left="5040" w:hanging="360"/>
      </w:pPr>
      <w:rPr>
        <w:rFonts w:ascii="Wingdings 2" w:hAnsi="Wingdings 2" w:hint="default"/>
      </w:rPr>
    </w:lvl>
    <w:lvl w:ilvl="7" w:tplc="A1DE3B0C" w:tentative="1">
      <w:start w:val="1"/>
      <w:numFmt w:val="bullet"/>
      <w:lvlText w:val=""/>
      <w:lvlJc w:val="left"/>
      <w:pPr>
        <w:tabs>
          <w:tab w:val="num" w:pos="5760"/>
        </w:tabs>
        <w:ind w:left="5760" w:hanging="360"/>
      </w:pPr>
      <w:rPr>
        <w:rFonts w:ascii="Wingdings 2" w:hAnsi="Wingdings 2" w:hint="default"/>
      </w:rPr>
    </w:lvl>
    <w:lvl w:ilvl="8" w:tplc="C1EC03A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9192ED4"/>
    <w:multiLevelType w:val="hybridMultilevel"/>
    <w:tmpl w:val="69CE6DD2"/>
    <w:lvl w:ilvl="0" w:tplc="72A2118C">
      <w:start w:val="1"/>
      <w:numFmt w:val="bullet"/>
      <w:lvlText w:val=""/>
      <w:lvlJc w:val="left"/>
      <w:pPr>
        <w:tabs>
          <w:tab w:val="num" w:pos="720"/>
        </w:tabs>
        <w:ind w:left="720" w:hanging="360"/>
      </w:pPr>
      <w:rPr>
        <w:rFonts w:ascii="Wingdings 2" w:hAnsi="Wingdings 2" w:hint="default"/>
      </w:rPr>
    </w:lvl>
    <w:lvl w:ilvl="1" w:tplc="6920857C" w:tentative="1">
      <w:start w:val="1"/>
      <w:numFmt w:val="bullet"/>
      <w:lvlText w:val=""/>
      <w:lvlJc w:val="left"/>
      <w:pPr>
        <w:tabs>
          <w:tab w:val="num" w:pos="1440"/>
        </w:tabs>
        <w:ind w:left="1440" w:hanging="360"/>
      </w:pPr>
      <w:rPr>
        <w:rFonts w:ascii="Wingdings 2" w:hAnsi="Wingdings 2" w:hint="default"/>
      </w:rPr>
    </w:lvl>
    <w:lvl w:ilvl="2" w:tplc="4EB268FC" w:tentative="1">
      <w:start w:val="1"/>
      <w:numFmt w:val="bullet"/>
      <w:lvlText w:val=""/>
      <w:lvlJc w:val="left"/>
      <w:pPr>
        <w:tabs>
          <w:tab w:val="num" w:pos="2160"/>
        </w:tabs>
        <w:ind w:left="2160" w:hanging="360"/>
      </w:pPr>
      <w:rPr>
        <w:rFonts w:ascii="Wingdings 2" w:hAnsi="Wingdings 2" w:hint="default"/>
      </w:rPr>
    </w:lvl>
    <w:lvl w:ilvl="3" w:tplc="F86000A8" w:tentative="1">
      <w:start w:val="1"/>
      <w:numFmt w:val="bullet"/>
      <w:lvlText w:val=""/>
      <w:lvlJc w:val="left"/>
      <w:pPr>
        <w:tabs>
          <w:tab w:val="num" w:pos="2880"/>
        </w:tabs>
        <w:ind w:left="2880" w:hanging="360"/>
      </w:pPr>
      <w:rPr>
        <w:rFonts w:ascii="Wingdings 2" w:hAnsi="Wingdings 2" w:hint="default"/>
      </w:rPr>
    </w:lvl>
    <w:lvl w:ilvl="4" w:tplc="7DD83DB4" w:tentative="1">
      <w:start w:val="1"/>
      <w:numFmt w:val="bullet"/>
      <w:lvlText w:val=""/>
      <w:lvlJc w:val="left"/>
      <w:pPr>
        <w:tabs>
          <w:tab w:val="num" w:pos="3600"/>
        </w:tabs>
        <w:ind w:left="3600" w:hanging="360"/>
      </w:pPr>
      <w:rPr>
        <w:rFonts w:ascii="Wingdings 2" w:hAnsi="Wingdings 2" w:hint="default"/>
      </w:rPr>
    </w:lvl>
    <w:lvl w:ilvl="5" w:tplc="916C6440" w:tentative="1">
      <w:start w:val="1"/>
      <w:numFmt w:val="bullet"/>
      <w:lvlText w:val=""/>
      <w:lvlJc w:val="left"/>
      <w:pPr>
        <w:tabs>
          <w:tab w:val="num" w:pos="4320"/>
        </w:tabs>
        <w:ind w:left="4320" w:hanging="360"/>
      </w:pPr>
      <w:rPr>
        <w:rFonts w:ascii="Wingdings 2" w:hAnsi="Wingdings 2" w:hint="default"/>
      </w:rPr>
    </w:lvl>
    <w:lvl w:ilvl="6" w:tplc="69A2F292" w:tentative="1">
      <w:start w:val="1"/>
      <w:numFmt w:val="bullet"/>
      <w:lvlText w:val=""/>
      <w:lvlJc w:val="left"/>
      <w:pPr>
        <w:tabs>
          <w:tab w:val="num" w:pos="5040"/>
        </w:tabs>
        <w:ind w:left="5040" w:hanging="360"/>
      </w:pPr>
      <w:rPr>
        <w:rFonts w:ascii="Wingdings 2" w:hAnsi="Wingdings 2" w:hint="default"/>
      </w:rPr>
    </w:lvl>
    <w:lvl w:ilvl="7" w:tplc="58A40C62" w:tentative="1">
      <w:start w:val="1"/>
      <w:numFmt w:val="bullet"/>
      <w:lvlText w:val=""/>
      <w:lvlJc w:val="left"/>
      <w:pPr>
        <w:tabs>
          <w:tab w:val="num" w:pos="5760"/>
        </w:tabs>
        <w:ind w:left="5760" w:hanging="360"/>
      </w:pPr>
      <w:rPr>
        <w:rFonts w:ascii="Wingdings 2" w:hAnsi="Wingdings 2" w:hint="default"/>
      </w:rPr>
    </w:lvl>
    <w:lvl w:ilvl="8" w:tplc="7DEE863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BAB62C7"/>
    <w:multiLevelType w:val="hybridMultilevel"/>
    <w:tmpl w:val="88827B38"/>
    <w:lvl w:ilvl="0" w:tplc="A6B6FD7E">
      <w:start w:val="1"/>
      <w:numFmt w:val="bullet"/>
      <w:lvlText w:val=""/>
      <w:lvlJc w:val="left"/>
      <w:pPr>
        <w:tabs>
          <w:tab w:val="num" w:pos="720"/>
        </w:tabs>
        <w:ind w:left="720" w:hanging="360"/>
      </w:pPr>
      <w:rPr>
        <w:rFonts w:ascii="Wingdings 2" w:hAnsi="Wingdings 2" w:hint="default"/>
      </w:rPr>
    </w:lvl>
    <w:lvl w:ilvl="1" w:tplc="760AD862">
      <w:start w:val="1"/>
      <w:numFmt w:val="bullet"/>
      <w:lvlText w:val=""/>
      <w:lvlJc w:val="left"/>
      <w:pPr>
        <w:tabs>
          <w:tab w:val="num" w:pos="1440"/>
        </w:tabs>
        <w:ind w:left="1440" w:hanging="360"/>
      </w:pPr>
      <w:rPr>
        <w:rFonts w:ascii="Wingdings 2" w:hAnsi="Wingdings 2" w:hint="default"/>
      </w:rPr>
    </w:lvl>
    <w:lvl w:ilvl="2" w:tplc="AF909326" w:tentative="1">
      <w:start w:val="1"/>
      <w:numFmt w:val="bullet"/>
      <w:lvlText w:val=""/>
      <w:lvlJc w:val="left"/>
      <w:pPr>
        <w:tabs>
          <w:tab w:val="num" w:pos="2160"/>
        </w:tabs>
        <w:ind w:left="2160" w:hanging="360"/>
      </w:pPr>
      <w:rPr>
        <w:rFonts w:ascii="Wingdings 2" w:hAnsi="Wingdings 2" w:hint="default"/>
      </w:rPr>
    </w:lvl>
    <w:lvl w:ilvl="3" w:tplc="B2A4BE5A" w:tentative="1">
      <w:start w:val="1"/>
      <w:numFmt w:val="bullet"/>
      <w:lvlText w:val=""/>
      <w:lvlJc w:val="left"/>
      <w:pPr>
        <w:tabs>
          <w:tab w:val="num" w:pos="2880"/>
        </w:tabs>
        <w:ind w:left="2880" w:hanging="360"/>
      </w:pPr>
      <w:rPr>
        <w:rFonts w:ascii="Wingdings 2" w:hAnsi="Wingdings 2" w:hint="default"/>
      </w:rPr>
    </w:lvl>
    <w:lvl w:ilvl="4" w:tplc="2C02B520" w:tentative="1">
      <w:start w:val="1"/>
      <w:numFmt w:val="bullet"/>
      <w:lvlText w:val=""/>
      <w:lvlJc w:val="left"/>
      <w:pPr>
        <w:tabs>
          <w:tab w:val="num" w:pos="3600"/>
        </w:tabs>
        <w:ind w:left="3600" w:hanging="360"/>
      </w:pPr>
      <w:rPr>
        <w:rFonts w:ascii="Wingdings 2" w:hAnsi="Wingdings 2" w:hint="default"/>
      </w:rPr>
    </w:lvl>
    <w:lvl w:ilvl="5" w:tplc="36D4D910" w:tentative="1">
      <w:start w:val="1"/>
      <w:numFmt w:val="bullet"/>
      <w:lvlText w:val=""/>
      <w:lvlJc w:val="left"/>
      <w:pPr>
        <w:tabs>
          <w:tab w:val="num" w:pos="4320"/>
        </w:tabs>
        <w:ind w:left="4320" w:hanging="360"/>
      </w:pPr>
      <w:rPr>
        <w:rFonts w:ascii="Wingdings 2" w:hAnsi="Wingdings 2" w:hint="default"/>
      </w:rPr>
    </w:lvl>
    <w:lvl w:ilvl="6" w:tplc="D354DD44" w:tentative="1">
      <w:start w:val="1"/>
      <w:numFmt w:val="bullet"/>
      <w:lvlText w:val=""/>
      <w:lvlJc w:val="left"/>
      <w:pPr>
        <w:tabs>
          <w:tab w:val="num" w:pos="5040"/>
        </w:tabs>
        <w:ind w:left="5040" w:hanging="360"/>
      </w:pPr>
      <w:rPr>
        <w:rFonts w:ascii="Wingdings 2" w:hAnsi="Wingdings 2" w:hint="default"/>
      </w:rPr>
    </w:lvl>
    <w:lvl w:ilvl="7" w:tplc="35EAD1DA" w:tentative="1">
      <w:start w:val="1"/>
      <w:numFmt w:val="bullet"/>
      <w:lvlText w:val=""/>
      <w:lvlJc w:val="left"/>
      <w:pPr>
        <w:tabs>
          <w:tab w:val="num" w:pos="5760"/>
        </w:tabs>
        <w:ind w:left="5760" w:hanging="360"/>
      </w:pPr>
      <w:rPr>
        <w:rFonts w:ascii="Wingdings 2" w:hAnsi="Wingdings 2" w:hint="default"/>
      </w:rPr>
    </w:lvl>
    <w:lvl w:ilvl="8" w:tplc="260E412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D3567ED"/>
    <w:multiLevelType w:val="hybridMultilevel"/>
    <w:tmpl w:val="382EC51C"/>
    <w:lvl w:ilvl="0" w:tplc="2804980A">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E6889"/>
    <w:multiLevelType w:val="hybridMultilevel"/>
    <w:tmpl w:val="4E905434"/>
    <w:lvl w:ilvl="0" w:tplc="D11CC0DE">
      <w:start w:val="1"/>
      <w:numFmt w:val="bullet"/>
      <w:lvlText w:val=""/>
      <w:lvlJc w:val="left"/>
      <w:pPr>
        <w:tabs>
          <w:tab w:val="num" w:pos="720"/>
        </w:tabs>
        <w:ind w:left="720" w:hanging="360"/>
      </w:pPr>
      <w:rPr>
        <w:rFonts w:ascii="Wingdings 2" w:hAnsi="Wingdings 2" w:hint="default"/>
      </w:rPr>
    </w:lvl>
    <w:lvl w:ilvl="1" w:tplc="8CD6827C" w:tentative="1">
      <w:start w:val="1"/>
      <w:numFmt w:val="bullet"/>
      <w:lvlText w:val=""/>
      <w:lvlJc w:val="left"/>
      <w:pPr>
        <w:tabs>
          <w:tab w:val="num" w:pos="1440"/>
        </w:tabs>
        <w:ind w:left="1440" w:hanging="360"/>
      </w:pPr>
      <w:rPr>
        <w:rFonts w:ascii="Wingdings 2" w:hAnsi="Wingdings 2" w:hint="default"/>
      </w:rPr>
    </w:lvl>
    <w:lvl w:ilvl="2" w:tplc="747657B8" w:tentative="1">
      <w:start w:val="1"/>
      <w:numFmt w:val="bullet"/>
      <w:lvlText w:val=""/>
      <w:lvlJc w:val="left"/>
      <w:pPr>
        <w:tabs>
          <w:tab w:val="num" w:pos="2160"/>
        </w:tabs>
        <w:ind w:left="2160" w:hanging="360"/>
      </w:pPr>
      <w:rPr>
        <w:rFonts w:ascii="Wingdings 2" w:hAnsi="Wingdings 2" w:hint="default"/>
      </w:rPr>
    </w:lvl>
    <w:lvl w:ilvl="3" w:tplc="92BEFE56" w:tentative="1">
      <w:start w:val="1"/>
      <w:numFmt w:val="bullet"/>
      <w:lvlText w:val=""/>
      <w:lvlJc w:val="left"/>
      <w:pPr>
        <w:tabs>
          <w:tab w:val="num" w:pos="2880"/>
        </w:tabs>
        <w:ind w:left="2880" w:hanging="360"/>
      </w:pPr>
      <w:rPr>
        <w:rFonts w:ascii="Wingdings 2" w:hAnsi="Wingdings 2" w:hint="default"/>
      </w:rPr>
    </w:lvl>
    <w:lvl w:ilvl="4" w:tplc="ECCCCE1A" w:tentative="1">
      <w:start w:val="1"/>
      <w:numFmt w:val="bullet"/>
      <w:lvlText w:val=""/>
      <w:lvlJc w:val="left"/>
      <w:pPr>
        <w:tabs>
          <w:tab w:val="num" w:pos="3600"/>
        </w:tabs>
        <w:ind w:left="3600" w:hanging="360"/>
      </w:pPr>
      <w:rPr>
        <w:rFonts w:ascii="Wingdings 2" w:hAnsi="Wingdings 2" w:hint="default"/>
      </w:rPr>
    </w:lvl>
    <w:lvl w:ilvl="5" w:tplc="578E4714" w:tentative="1">
      <w:start w:val="1"/>
      <w:numFmt w:val="bullet"/>
      <w:lvlText w:val=""/>
      <w:lvlJc w:val="left"/>
      <w:pPr>
        <w:tabs>
          <w:tab w:val="num" w:pos="4320"/>
        </w:tabs>
        <w:ind w:left="4320" w:hanging="360"/>
      </w:pPr>
      <w:rPr>
        <w:rFonts w:ascii="Wingdings 2" w:hAnsi="Wingdings 2" w:hint="default"/>
      </w:rPr>
    </w:lvl>
    <w:lvl w:ilvl="6" w:tplc="269A4B42" w:tentative="1">
      <w:start w:val="1"/>
      <w:numFmt w:val="bullet"/>
      <w:lvlText w:val=""/>
      <w:lvlJc w:val="left"/>
      <w:pPr>
        <w:tabs>
          <w:tab w:val="num" w:pos="5040"/>
        </w:tabs>
        <w:ind w:left="5040" w:hanging="360"/>
      </w:pPr>
      <w:rPr>
        <w:rFonts w:ascii="Wingdings 2" w:hAnsi="Wingdings 2" w:hint="default"/>
      </w:rPr>
    </w:lvl>
    <w:lvl w:ilvl="7" w:tplc="7AD0E020" w:tentative="1">
      <w:start w:val="1"/>
      <w:numFmt w:val="bullet"/>
      <w:lvlText w:val=""/>
      <w:lvlJc w:val="left"/>
      <w:pPr>
        <w:tabs>
          <w:tab w:val="num" w:pos="5760"/>
        </w:tabs>
        <w:ind w:left="5760" w:hanging="360"/>
      </w:pPr>
      <w:rPr>
        <w:rFonts w:ascii="Wingdings 2" w:hAnsi="Wingdings 2" w:hint="default"/>
      </w:rPr>
    </w:lvl>
    <w:lvl w:ilvl="8" w:tplc="D5EEC69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49C6621"/>
    <w:multiLevelType w:val="hybridMultilevel"/>
    <w:tmpl w:val="7F08F464"/>
    <w:lvl w:ilvl="0" w:tplc="4364EA56">
      <w:start w:val="1"/>
      <w:numFmt w:val="bullet"/>
      <w:lvlText w:val=""/>
      <w:lvlJc w:val="left"/>
      <w:pPr>
        <w:tabs>
          <w:tab w:val="num" w:pos="720"/>
        </w:tabs>
        <w:ind w:left="720" w:hanging="360"/>
      </w:pPr>
      <w:rPr>
        <w:rFonts w:ascii="Wingdings 2" w:hAnsi="Wingdings 2" w:hint="default"/>
      </w:rPr>
    </w:lvl>
    <w:lvl w:ilvl="1" w:tplc="796EF3CE" w:tentative="1">
      <w:start w:val="1"/>
      <w:numFmt w:val="bullet"/>
      <w:lvlText w:val=""/>
      <w:lvlJc w:val="left"/>
      <w:pPr>
        <w:tabs>
          <w:tab w:val="num" w:pos="1440"/>
        </w:tabs>
        <w:ind w:left="1440" w:hanging="360"/>
      </w:pPr>
      <w:rPr>
        <w:rFonts w:ascii="Wingdings 2" w:hAnsi="Wingdings 2" w:hint="default"/>
      </w:rPr>
    </w:lvl>
    <w:lvl w:ilvl="2" w:tplc="B0505DAE" w:tentative="1">
      <w:start w:val="1"/>
      <w:numFmt w:val="bullet"/>
      <w:lvlText w:val=""/>
      <w:lvlJc w:val="left"/>
      <w:pPr>
        <w:tabs>
          <w:tab w:val="num" w:pos="2160"/>
        </w:tabs>
        <w:ind w:left="2160" w:hanging="360"/>
      </w:pPr>
      <w:rPr>
        <w:rFonts w:ascii="Wingdings 2" w:hAnsi="Wingdings 2" w:hint="default"/>
      </w:rPr>
    </w:lvl>
    <w:lvl w:ilvl="3" w:tplc="45EA916C" w:tentative="1">
      <w:start w:val="1"/>
      <w:numFmt w:val="bullet"/>
      <w:lvlText w:val=""/>
      <w:lvlJc w:val="left"/>
      <w:pPr>
        <w:tabs>
          <w:tab w:val="num" w:pos="2880"/>
        </w:tabs>
        <w:ind w:left="2880" w:hanging="360"/>
      </w:pPr>
      <w:rPr>
        <w:rFonts w:ascii="Wingdings 2" w:hAnsi="Wingdings 2" w:hint="default"/>
      </w:rPr>
    </w:lvl>
    <w:lvl w:ilvl="4" w:tplc="4BD493B4" w:tentative="1">
      <w:start w:val="1"/>
      <w:numFmt w:val="bullet"/>
      <w:lvlText w:val=""/>
      <w:lvlJc w:val="left"/>
      <w:pPr>
        <w:tabs>
          <w:tab w:val="num" w:pos="3600"/>
        </w:tabs>
        <w:ind w:left="3600" w:hanging="360"/>
      </w:pPr>
      <w:rPr>
        <w:rFonts w:ascii="Wingdings 2" w:hAnsi="Wingdings 2" w:hint="default"/>
      </w:rPr>
    </w:lvl>
    <w:lvl w:ilvl="5" w:tplc="FFD08B52" w:tentative="1">
      <w:start w:val="1"/>
      <w:numFmt w:val="bullet"/>
      <w:lvlText w:val=""/>
      <w:lvlJc w:val="left"/>
      <w:pPr>
        <w:tabs>
          <w:tab w:val="num" w:pos="4320"/>
        </w:tabs>
        <w:ind w:left="4320" w:hanging="360"/>
      </w:pPr>
      <w:rPr>
        <w:rFonts w:ascii="Wingdings 2" w:hAnsi="Wingdings 2" w:hint="default"/>
      </w:rPr>
    </w:lvl>
    <w:lvl w:ilvl="6" w:tplc="2A4C0C26" w:tentative="1">
      <w:start w:val="1"/>
      <w:numFmt w:val="bullet"/>
      <w:lvlText w:val=""/>
      <w:lvlJc w:val="left"/>
      <w:pPr>
        <w:tabs>
          <w:tab w:val="num" w:pos="5040"/>
        </w:tabs>
        <w:ind w:left="5040" w:hanging="360"/>
      </w:pPr>
      <w:rPr>
        <w:rFonts w:ascii="Wingdings 2" w:hAnsi="Wingdings 2" w:hint="default"/>
      </w:rPr>
    </w:lvl>
    <w:lvl w:ilvl="7" w:tplc="75408492" w:tentative="1">
      <w:start w:val="1"/>
      <w:numFmt w:val="bullet"/>
      <w:lvlText w:val=""/>
      <w:lvlJc w:val="left"/>
      <w:pPr>
        <w:tabs>
          <w:tab w:val="num" w:pos="5760"/>
        </w:tabs>
        <w:ind w:left="5760" w:hanging="360"/>
      </w:pPr>
      <w:rPr>
        <w:rFonts w:ascii="Wingdings 2" w:hAnsi="Wingdings 2" w:hint="default"/>
      </w:rPr>
    </w:lvl>
    <w:lvl w:ilvl="8" w:tplc="7EBA13B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5481C24"/>
    <w:multiLevelType w:val="hybridMultilevel"/>
    <w:tmpl w:val="B24C86BA"/>
    <w:lvl w:ilvl="0" w:tplc="2DDCDE30">
      <w:start w:val="1"/>
      <w:numFmt w:val="bullet"/>
      <w:lvlText w:val=""/>
      <w:lvlJc w:val="left"/>
      <w:pPr>
        <w:tabs>
          <w:tab w:val="num" w:pos="720"/>
        </w:tabs>
        <w:ind w:left="720" w:hanging="360"/>
      </w:pPr>
      <w:rPr>
        <w:rFonts w:ascii="Wingdings 2" w:hAnsi="Wingdings 2" w:hint="default"/>
      </w:rPr>
    </w:lvl>
    <w:lvl w:ilvl="1" w:tplc="5DFC18D4" w:tentative="1">
      <w:start w:val="1"/>
      <w:numFmt w:val="bullet"/>
      <w:lvlText w:val=""/>
      <w:lvlJc w:val="left"/>
      <w:pPr>
        <w:tabs>
          <w:tab w:val="num" w:pos="1440"/>
        </w:tabs>
        <w:ind w:left="1440" w:hanging="360"/>
      </w:pPr>
      <w:rPr>
        <w:rFonts w:ascii="Wingdings 2" w:hAnsi="Wingdings 2" w:hint="default"/>
      </w:rPr>
    </w:lvl>
    <w:lvl w:ilvl="2" w:tplc="FDF08778" w:tentative="1">
      <w:start w:val="1"/>
      <w:numFmt w:val="bullet"/>
      <w:lvlText w:val=""/>
      <w:lvlJc w:val="left"/>
      <w:pPr>
        <w:tabs>
          <w:tab w:val="num" w:pos="2160"/>
        </w:tabs>
        <w:ind w:left="2160" w:hanging="360"/>
      </w:pPr>
      <w:rPr>
        <w:rFonts w:ascii="Wingdings 2" w:hAnsi="Wingdings 2" w:hint="default"/>
      </w:rPr>
    </w:lvl>
    <w:lvl w:ilvl="3" w:tplc="7CB8428C" w:tentative="1">
      <w:start w:val="1"/>
      <w:numFmt w:val="bullet"/>
      <w:lvlText w:val=""/>
      <w:lvlJc w:val="left"/>
      <w:pPr>
        <w:tabs>
          <w:tab w:val="num" w:pos="2880"/>
        </w:tabs>
        <w:ind w:left="2880" w:hanging="360"/>
      </w:pPr>
      <w:rPr>
        <w:rFonts w:ascii="Wingdings 2" w:hAnsi="Wingdings 2" w:hint="default"/>
      </w:rPr>
    </w:lvl>
    <w:lvl w:ilvl="4" w:tplc="6D5E3266" w:tentative="1">
      <w:start w:val="1"/>
      <w:numFmt w:val="bullet"/>
      <w:lvlText w:val=""/>
      <w:lvlJc w:val="left"/>
      <w:pPr>
        <w:tabs>
          <w:tab w:val="num" w:pos="3600"/>
        </w:tabs>
        <w:ind w:left="3600" w:hanging="360"/>
      </w:pPr>
      <w:rPr>
        <w:rFonts w:ascii="Wingdings 2" w:hAnsi="Wingdings 2" w:hint="default"/>
      </w:rPr>
    </w:lvl>
    <w:lvl w:ilvl="5" w:tplc="EF82F3AC" w:tentative="1">
      <w:start w:val="1"/>
      <w:numFmt w:val="bullet"/>
      <w:lvlText w:val=""/>
      <w:lvlJc w:val="left"/>
      <w:pPr>
        <w:tabs>
          <w:tab w:val="num" w:pos="4320"/>
        </w:tabs>
        <w:ind w:left="4320" w:hanging="360"/>
      </w:pPr>
      <w:rPr>
        <w:rFonts w:ascii="Wingdings 2" w:hAnsi="Wingdings 2" w:hint="default"/>
      </w:rPr>
    </w:lvl>
    <w:lvl w:ilvl="6" w:tplc="A5089FDA" w:tentative="1">
      <w:start w:val="1"/>
      <w:numFmt w:val="bullet"/>
      <w:lvlText w:val=""/>
      <w:lvlJc w:val="left"/>
      <w:pPr>
        <w:tabs>
          <w:tab w:val="num" w:pos="5040"/>
        </w:tabs>
        <w:ind w:left="5040" w:hanging="360"/>
      </w:pPr>
      <w:rPr>
        <w:rFonts w:ascii="Wingdings 2" w:hAnsi="Wingdings 2" w:hint="default"/>
      </w:rPr>
    </w:lvl>
    <w:lvl w:ilvl="7" w:tplc="008AEEF2" w:tentative="1">
      <w:start w:val="1"/>
      <w:numFmt w:val="bullet"/>
      <w:lvlText w:val=""/>
      <w:lvlJc w:val="left"/>
      <w:pPr>
        <w:tabs>
          <w:tab w:val="num" w:pos="5760"/>
        </w:tabs>
        <w:ind w:left="5760" w:hanging="360"/>
      </w:pPr>
      <w:rPr>
        <w:rFonts w:ascii="Wingdings 2" w:hAnsi="Wingdings 2" w:hint="default"/>
      </w:rPr>
    </w:lvl>
    <w:lvl w:ilvl="8" w:tplc="49C800C6"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7E5575B"/>
    <w:multiLevelType w:val="hybridMultilevel"/>
    <w:tmpl w:val="D51AF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001B6"/>
    <w:multiLevelType w:val="hybridMultilevel"/>
    <w:tmpl w:val="9D289110"/>
    <w:lvl w:ilvl="0" w:tplc="B882D8FA">
      <w:start w:val="1"/>
      <w:numFmt w:val="bullet"/>
      <w:lvlText w:val=""/>
      <w:lvlJc w:val="left"/>
      <w:pPr>
        <w:tabs>
          <w:tab w:val="num" w:pos="720"/>
        </w:tabs>
        <w:ind w:left="720" w:hanging="360"/>
      </w:pPr>
      <w:rPr>
        <w:rFonts w:ascii="Wingdings 2" w:hAnsi="Wingdings 2" w:hint="default"/>
      </w:rPr>
    </w:lvl>
    <w:lvl w:ilvl="1" w:tplc="A7A4B020">
      <w:start w:val="2003"/>
      <w:numFmt w:val="bullet"/>
      <w:lvlText w:val=""/>
      <w:lvlJc w:val="left"/>
      <w:pPr>
        <w:tabs>
          <w:tab w:val="num" w:pos="1440"/>
        </w:tabs>
        <w:ind w:left="1440" w:hanging="360"/>
      </w:pPr>
      <w:rPr>
        <w:rFonts w:ascii="Wingdings 2" w:hAnsi="Wingdings 2" w:hint="default"/>
      </w:rPr>
    </w:lvl>
    <w:lvl w:ilvl="2" w:tplc="7202303C" w:tentative="1">
      <w:start w:val="1"/>
      <w:numFmt w:val="bullet"/>
      <w:lvlText w:val=""/>
      <w:lvlJc w:val="left"/>
      <w:pPr>
        <w:tabs>
          <w:tab w:val="num" w:pos="2160"/>
        </w:tabs>
        <w:ind w:left="2160" w:hanging="360"/>
      </w:pPr>
      <w:rPr>
        <w:rFonts w:ascii="Wingdings 2" w:hAnsi="Wingdings 2" w:hint="default"/>
      </w:rPr>
    </w:lvl>
    <w:lvl w:ilvl="3" w:tplc="FA74F2A4" w:tentative="1">
      <w:start w:val="1"/>
      <w:numFmt w:val="bullet"/>
      <w:lvlText w:val=""/>
      <w:lvlJc w:val="left"/>
      <w:pPr>
        <w:tabs>
          <w:tab w:val="num" w:pos="2880"/>
        </w:tabs>
        <w:ind w:left="2880" w:hanging="360"/>
      </w:pPr>
      <w:rPr>
        <w:rFonts w:ascii="Wingdings 2" w:hAnsi="Wingdings 2" w:hint="default"/>
      </w:rPr>
    </w:lvl>
    <w:lvl w:ilvl="4" w:tplc="42EE2664" w:tentative="1">
      <w:start w:val="1"/>
      <w:numFmt w:val="bullet"/>
      <w:lvlText w:val=""/>
      <w:lvlJc w:val="left"/>
      <w:pPr>
        <w:tabs>
          <w:tab w:val="num" w:pos="3600"/>
        </w:tabs>
        <w:ind w:left="3600" w:hanging="360"/>
      </w:pPr>
      <w:rPr>
        <w:rFonts w:ascii="Wingdings 2" w:hAnsi="Wingdings 2" w:hint="default"/>
      </w:rPr>
    </w:lvl>
    <w:lvl w:ilvl="5" w:tplc="180006D0" w:tentative="1">
      <w:start w:val="1"/>
      <w:numFmt w:val="bullet"/>
      <w:lvlText w:val=""/>
      <w:lvlJc w:val="left"/>
      <w:pPr>
        <w:tabs>
          <w:tab w:val="num" w:pos="4320"/>
        </w:tabs>
        <w:ind w:left="4320" w:hanging="360"/>
      </w:pPr>
      <w:rPr>
        <w:rFonts w:ascii="Wingdings 2" w:hAnsi="Wingdings 2" w:hint="default"/>
      </w:rPr>
    </w:lvl>
    <w:lvl w:ilvl="6" w:tplc="97A62034" w:tentative="1">
      <w:start w:val="1"/>
      <w:numFmt w:val="bullet"/>
      <w:lvlText w:val=""/>
      <w:lvlJc w:val="left"/>
      <w:pPr>
        <w:tabs>
          <w:tab w:val="num" w:pos="5040"/>
        </w:tabs>
        <w:ind w:left="5040" w:hanging="360"/>
      </w:pPr>
      <w:rPr>
        <w:rFonts w:ascii="Wingdings 2" w:hAnsi="Wingdings 2" w:hint="default"/>
      </w:rPr>
    </w:lvl>
    <w:lvl w:ilvl="7" w:tplc="D81059E2" w:tentative="1">
      <w:start w:val="1"/>
      <w:numFmt w:val="bullet"/>
      <w:lvlText w:val=""/>
      <w:lvlJc w:val="left"/>
      <w:pPr>
        <w:tabs>
          <w:tab w:val="num" w:pos="5760"/>
        </w:tabs>
        <w:ind w:left="5760" w:hanging="360"/>
      </w:pPr>
      <w:rPr>
        <w:rFonts w:ascii="Wingdings 2" w:hAnsi="Wingdings 2" w:hint="default"/>
      </w:rPr>
    </w:lvl>
    <w:lvl w:ilvl="8" w:tplc="85CEAF3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99F1E8F"/>
    <w:multiLevelType w:val="multilevel"/>
    <w:tmpl w:val="0C92BA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3755BA"/>
    <w:multiLevelType w:val="hybridMultilevel"/>
    <w:tmpl w:val="F1B2D9D0"/>
    <w:lvl w:ilvl="0" w:tplc="C312062E">
      <w:start w:val="1"/>
      <w:numFmt w:val="bullet"/>
      <w:lvlText w:val=""/>
      <w:lvlJc w:val="left"/>
      <w:pPr>
        <w:tabs>
          <w:tab w:val="num" w:pos="720"/>
        </w:tabs>
        <w:ind w:left="720" w:hanging="360"/>
      </w:pPr>
      <w:rPr>
        <w:rFonts w:ascii="Wingdings 2" w:hAnsi="Wingdings 2" w:hint="default"/>
      </w:rPr>
    </w:lvl>
    <w:lvl w:ilvl="1" w:tplc="6A7234A8" w:tentative="1">
      <w:start w:val="1"/>
      <w:numFmt w:val="bullet"/>
      <w:lvlText w:val=""/>
      <w:lvlJc w:val="left"/>
      <w:pPr>
        <w:tabs>
          <w:tab w:val="num" w:pos="1440"/>
        </w:tabs>
        <w:ind w:left="1440" w:hanging="360"/>
      </w:pPr>
      <w:rPr>
        <w:rFonts w:ascii="Wingdings 2" w:hAnsi="Wingdings 2" w:hint="default"/>
      </w:rPr>
    </w:lvl>
    <w:lvl w:ilvl="2" w:tplc="94723F56" w:tentative="1">
      <w:start w:val="1"/>
      <w:numFmt w:val="bullet"/>
      <w:lvlText w:val=""/>
      <w:lvlJc w:val="left"/>
      <w:pPr>
        <w:tabs>
          <w:tab w:val="num" w:pos="2160"/>
        </w:tabs>
        <w:ind w:left="2160" w:hanging="360"/>
      </w:pPr>
      <w:rPr>
        <w:rFonts w:ascii="Wingdings 2" w:hAnsi="Wingdings 2" w:hint="default"/>
      </w:rPr>
    </w:lvl>
    <w:lvl w:ilvl="3" w:tplc="2968F670" w:tentative="1">
      <w:start w:val="1"/>
      <w:numFmt w:val="bullet"/>
      <w:lvlText w:val=""/>
      <w:lvlJc w:val="left"/>
      <w:pPr>
        <w:tabs>
          <w:tab w:val="num" w:pos="2880"/>
        </w:tabs>
        <w:ind w:left="2880" w:hanging="360"/>
      </w:pPr>
      <w:rPr>
        <w:rFonts w:ascii="Wingdings 2" w:hAnsi="Wingdings 2" w:hint="default"/>
      </w:rPr>
    </w:lvl>
    <w:lvl w:ilvl="4" w:tplc="E3966E1C" w:tentative="1">
      <w:start w:val="1"/>
      <w:numFmt w:val="bullet"/>
      <w:lvlText w:val=""/>
      <w:lvlJc w:val="left"/>
      <w:pPr>
        <w:tabs>
          <w:tab w:val="num" w:pos="3600"/>
        </w:tabs>
        <w:ind w:left="3600" w:hanging="360"/>
      </w:pPr>
      <w:rPr>
        <w:rFonts w:ascii="Wingdings 2" w:hAnsi="Wingdings 2" w:hint="default"/>
      </w:rPr>
    </w:lvl>
    <w:lvl w:ilvl="5" w:tplc="9440E30E" w:tentative="1">
      <w:start w:val="1"/>
      <w:numFmt w:val="bullet"/>
      <w:lvlText w:val=""/>
      <w:lvlJc w:val="left"/>
      <w:pPr>
        <w:tabs>
          <w:tab w:val="num" w:pos="4320"/>
        </w:tabs>
        <w:ind w:left="4320" w:hanging="360"/>
      </w:pPr>
      <w:rPr>
        <w:rFonts w:ascii="Wingdings 2" w:hAnsi="Wingdings 2" w:hint="default"/>
      </w:rPr>
    </w:lvl>
    <w:lvl w:ilvl="6" w:tplc="55E46BD4" w:tentative="1">
      <w:start w:val="1"/>
      <w:numFmt w:val="bullet"/>
      <w:lvlText w:val=""/>
      <w:lvlJc w:val="left"/>
      <w:pPr>
        <w:tabs>
          <w:tab w:val="num" w:pos="5040"/>
        </w:tabs>
        <w:ind w:left="5040" w:hanging="360"/>
      </w:pPr>
      <w:rPr>
        <w:rFonts w:ascii="Wingdings 2" w:hAnsi="Wingdings 2" w:hint="default"/>
      </w:rPr>
    </w:lvl>
    <w:lvl w:ilvl="7" w:tplc="FD9CF6CA" w:tentative="1">
      <w:start w:val="1"/>
      <w:numFmt w:val="bullet"/>
      <w:lvlText w:val=""/>
      <w:lvlJc w:val="left"/>
      <w:pPr>
        <w:tabs>
          <w:tab w:val="num" w:pos="5760"/>
        </w:tabs>
        <w:ind w:left="5760" w:hanging="360"/>
      </w:pPr>
      <w:rPr>
        <w:rFonts w:ascii="Wingdings 2" w:hAnsi="Wingdings 2" w:hint="default"/>
      </w:rPr>
    </w:lvl>
    <w:lvl w:ilvl="8" w:tplc="55482F2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8D419F6"/>
    <w:multiLevelType w:val="multilevel"/>
    <w:tmpl w:val="2E16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B51C61"/>
    <w:multiLevelType w:val="hybridMultilevel"/>
    <w:tmpl w:val="B8DEBA06"/>
    <w:lvl w:ilvl="0" w:tplc="11A42C0A">
      <w:start w:val="1"/>
      <w:numFmt w:val="bullet"/>
      <w:lvlText w:val=""/>
      <w:lvlJc w:val="left"/>
      <w:pPr>
        <w:tabs>
          <w:tab w:val="num" w:pos="720"/>
        </w:tabs>
        <w:ind w:left="720" w:hanging="360"/>
      </w:pPr>
      <w:rPr>
        <w:rFonts w:ascii="Wingdings 2" w:hAnsi="Wingdings 2" w:hint="default"/>
      </w:rPr>
    </w:lvl>
    <w:lvl w:ilvl="1" w:tplc="04848198" w:tentative="1">
      <w:start w:val="1"/>
      <w:numFmt w:val="bullet"/>
      <w:lvlText w:val=""/>
      <w:lvlJc w:val="left"/>
      <w:pPr>
        <w:tabs>
          <w:tab w:val="num" w:pos="1440"/>
        </w:tabs>
        <w:ind w:left="1440" w:hanging="360"/>
      </w:pPr>
      <w:rPr>
        <w:rFonts w:ascii="Wingdings 2" w:hAnsi="Wingdings 2" w:hint="default"/>
      </w:rPr>
    </w:lvl>
    <w:lvl w:ilvl="2" w:tplc="3996C2CE" w:tentative="1">
      <w:start w:val="1"/>
      <w:numFmt w:val="bullet"/>
      <w:lvlText w:val=""/>
      <w:lvlJc w:val="left"/>
      <w:pPr>
        <w:tabs>
          <w:tab w:val="num" w:pos="2160"/>
        </w:tabs>
        <w:ind w:left="2160" w:hanging="360"/>
      </w:pPr>
      <w:rPr>
        <w:rFonts w:ascii="Wingdings 2" w:hAnsi="Wingdings 2" w:hint="default"/>
      </w:rPr>
    </w:lvl>
    <w:lvl w:ilvl="3" w:tplc="EA86D8F8" w:tentative="1">
      <w:start w:val="1"/>
      <w:numFmt w:val="bullet"/>
      <w:lvlText w:val=""/>
      <w:lvlJc w:val="left"/>
      <w:pPr>
        <w:tabs>
          <w:tab w:val="num" w:pos="2880"/>
        </w:tabs>
        <w:ind w:left="2880" w:hanging="360"/>
      </w:pPr>
      <w:rPr>
        <w:rFonts w:ascii="Wingdings 2" w:hAnsi="Wingdings 2" w:hint="default"/>
      </w:rPr>
    </w:lvl>
    <w:lvl w:ilvl="4" w:tplc="1AA473EC" w:tentative="1">
      <w:start w:val="1"/>
      <w:numFmt w:val="bullet"/>
      <w:lvlText w:val=""/>
      <w:lvlJc w:val="left"/>
      <w:pPr>
        <w:tabs>
          <w:tab w:val="num" w:pos="3600"/>
        </w:tabs>
        <w:ind w:left="3600" w:hanging="360"/>
      </w:pPr>
      <w:rPr>
        <w:rFonts w:ascii="Wingdings 2" w:hAnsi="Wingdings 2" w:hint="default"/>
      </w:rPr>
    </w:lvl>
    <w:lvl w:ilvl="5" w:tplc="94F6402E" w:tentative="1">
      <w:start w:val="1"/>
      <w:numFmt w:val="bullet"/>
      <w:lvlText w:val=""/>
      <w:lvlJc w:val="left"/>
      <w:pPr>
        <w:tabs>
          <w:tab w:val="num" w:pos="4320"/>
        </w:tabs>
        <w:ind w:left="4320" w:hanging="360"/>
      </w:pPr>
      <w:rPr>
        <w:rFonts w:ascii="Wingdings 2" w:hAnsi="Wingdings 2" w:hint="default"/>
      </w:rPr>
    </w:lvl>
    <w:lvl w:ilvl="6" w:tplc="A5C605C4" w:tentative="1">
      <w:start w:val="1"/>
      <w:numFmt w:val="bullet"/>
      <w:lvlText w:val=""/>
      <w:lvlJc w:val="left"/>
      <w:pPr>
        <w:tabs>
          <w:tab w:val="num" w:pos="5040"/>
        </w:tabs>
        <w:ind w:left="5040" w:hanging="360"/>
      </w:pPr>
      <w:rPr>
        <w:rFonts w:ascii="Wingdings 2" w:hAnsi="Wingdings 2" w:hint="default"/>
      </w:rPr>
    </w:lvl>
    <w:lvl w:ilvl="7" w:tplc="86A28C88" w:tentative="1">
      <w:start w:val="1"/>
      <w:numFmt w:val="bullet"/>
      <w:lvlText w:val=""/>
      <w:lvlJc w:val="left"/>
      <w:pPr>
        <w:tabs>
          <w:tab w:val="num" w:pos="5760"/>
        </w:tabs>
        <w:ind w:left="5760" w:hanging="360"/>
      </w:pPr>
      <w:rPr>
        <w:rFonts w:ascii="Wingdings 2" w:hAnsi="Wingdings 2" w:hint="default"/>
      </w:rPr>
    </w:lvl>
    <w:lvl w:ilvl="8" w:tplc="B690494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C2A769B"/>
    <w:multiLevelType w:val="hybridMultilevel"/>
    <w:tmpl w:val="F744AEEA"/>
    <w:lvl w:ilvl="0" w:tplc="EC32F1A8">
      <w:start w:val="1"/>
      <w:numFmt w:val="bullet"/>
      <w:lvlText w:val=""/>
      <w:lvlJc w:val="left"/>
      <w:pPr>
        <w:tabs>
          <w:tab w:val="num" w:pos="720"/>
        </w:tabs>
        <w:ind w:left="720" w:hanging="360"/>
      </w:pPr>
      <w:rPr>
        <w:rFonts w:ascii="Wingdings 2" w:hAnsi="Wingdings 2" w:hint="default"/>
      </w:rPr>
    </w:lvl>
    <w:lvl w:ilvl="1" w:tplc="7846AAC4" w:tentative="1">
      <w:start w:val="1"/>
      <w:numFmt w:val="bullet"/>
      <w:lvlText w:val=""/>
      <w:lvlJc w:val="left"/>
      <w:pPr>
        <w:tabs>
          <w:tab w:val="num" w:pos="1440"/>
        </w:tabs>
        <w:ind w:left="1440" w:hanging="360"/>
      </w:pPr>
      <w:rPr>
        <w:rFonts w:ascii="Wingdings 2" w:hAnsi="Wingdings 2" w:hint="default"/>
      </w:rPr>
    </w:lvl>
    <w:lvl w:ilvl="2" w:tplc="92DCA2AA" w:tentative="1">
      <w:start w:val="1"/>
      <w:numFmt w:val="bullet"/>
      <w:lvlText w:val=""/>
      <w:lvlJc w:val="left"/>
      <w:pPr>
        <w:tabs>
          <w:tab w:val="num" w:pos="2160"/>
        </w:tabs>
        <w:ind w:left="2160" w:hanging="360"/>
      </w:pPr>
      <w:rPr>
        <w:rFonts w:ascii="Wingdings 2" w:hAnsi="Wingdings 2" w:hint="default"/>
      </w:rPr>
    </w:lvl>
    <w:lvl w:ilvl="3" w:tplc="02CE0CC6" w:tentative="1">
      <w:start w:val="1"/>
      <w:numFmt w:val="bullet"/>
      <w:lvlText w:val=""/>
      <w:lvlJc w:val="left"/>
      <w:pPr>
        <w:tabs>
          <w:tab w:val="num" w:pos="2880"/>
        </w:tabs>
        <w:ind w:left="2880" w:hanging="360"/>
      </w:pPr>
      <w:rPr>
        <w:rFonts w:ascii="Wingdings 2" w:hAnsi="Wingdings 2" w:hint="default"/>
      </w:rPr>
    </w:lvl>
    <w:lvl w:ilvl="4" w:tplc="6192A57C" w:tentative="1">
      <w:start w:val="1"/>
      <w:numFmt w:val="bullet"/>
      <w:lvlText w:val=""/>
      <w:lvlJc w:val="left"/>
      <w:pPr>
        <w:tabs>
          <w:tab w:val="num" w:pos="3600"/>
        </w:tabs>
        <w:ind w:left="3600" w:hanging="360"/>
      </w:pPr>
      <w:rPr>
        <w:rFonts w:ascii="Wingdings 2" w:hAnsi="Wingdings 2" w:hint="default"/>
      </w:rPr>
    </w:lvl>
    <w:lvl w:ilvl="5" w:tplc="27901D00" w:tentative="1">
      <w:start w:val="1"/>
      <w:numFmt w:val="bullet"/>
      <w:lvlText w:val=""/>
      <w:lvlJc w:val="left"/>
      <w:pPr>
        <w:tabs>
          <w:tab w:val="num" w:pos="4320"/>
        </w:tabs>
        <w:ind w:left="4320" w:hanging="360"/>
      </w:pPr>
      <w:rPr>
        <w:rFonts w:ascii="Wingdings 2" w:hAnsi="Wingdings 2" w:hint="default"/>
      </w:rPr>
    </w:lvl>
    <w:lvl w:ilvl="6" w:tplc="F4CCFEDA" w:tentative="1">
      <w:start w:val="1"/>
      <w:numFmt w:val="bullet"/>
      <w:lvlText w:val=""/>
      <w:lvlJc w:val="left"/>
      <w:pPr>
        <w:tabs>
          <w:tab w:val="num" w:pos="5040"/>
        </w:tabs>
        <w:ind w:left="5040" w:hanging="360"/>
      </w:pPr>
      <w:rPr>
        <w:rFonts w:ascii="Wingdings 2" w:hAnsi="Wingdings 2" w:hint="default"/>
      </w:rPr>
    </w:lvl>
    <w:lvl w:ilvl="7" w:tplc="B13E3D0E" w:tentative="1">
      <w:start w:val="1"/>
      <w:numFmt w:val="bullet"/>
      <w:lvlText w:val=""/>
      <w:lvlJc w:val="left"/>
      <w:pPr>
        <w:tabs>
          <w:tab w:val="num" w:pos="5760"/>
        </w:tabs>
        <w:ind w:left="5760" w:hanging="360"/>
      </w:pPr>
      <w:rPr>
        <w:rFonts w:ascii="Wingdings 2" w:hAnsi="Wingdings 2" w:hint="default"/>
      </w:rPr>
    </w:lvl>
    <w:lvl w:ilvl="8" w:tplc="D4CAD85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6884308"/>
    <w:multiLevelType w:val="hybridMultilevel"/>
    <w:tmpl w:val="8326B1B0"/>
    <w:lvl w:ilvl="0" w:tplc="19089EE4">
      <w:start w:val="1"/>
      <w:numFmt w:val="bullet"/>
      <w:lvlText w:val=""/>
      <w:lvlJc w:val="left"/>
      <w:pPr>
        <w:tabs>
          <w:tab w:val="num" w:pos="720"/>
        </w:tabs>
        <w:ind w:left="720" w:hanging="360"/>
      </w:pPr>
      <w:rPr>
        <w:rFonts w:ascii="Wingdings 2" w:hAnsi="Wingdings 2" w:hint="default"/>
      </w:rPr>
    </w:lvl>
    <w:lvl w:ilvl="1" w:tplc="1EBA2F56" w:tentative="1">
      <w:start w:val="1"/>
      <w:numFmt w:val="bullet"/>
      <w:lvlText w:val=""/>
      <w:lvlJc w:val="left"/>
      <w:pPr>
        <w:tabs>
          <w:tab w:val="num" w:pos="1440"/>
        </w:tabs>
        <w:ind w:left="1440" w:hanging="360"/>
      </w:pPr>
      <w:rPr>
        <w:rFonts w:ascii="Wingdings 2" w:hAnsi="Wingdings 2" w:hint="default"/>
      </w:rPr>
    </w:lvl>
    <w:lvl w:ilvl="2" w:tplc="7FFA2DDA" w:tentative="1">
      <w:start w:val="1"/>
      <w:numFmt w:val="bullet"/>
      <w:lvlText w:val=""/>
      <w:lvlJc w:val="left"/>
      <w:pPr>
        <w:tabs>
          <w:tab w:val="num" w:pos="2160"/>
        </w:tabs>
        <w:ind w:left="2160" w:hanging="360"/>
      </w:pPr>
      <w:rPr>
        <w:rFonts w:ascii="Wingdings 2" w:hAnsi="Wingdings 2" w:hint="default"/>
      </w:rPr>
    </w:lvl>
    <w:lvl w:ilvl="3" w:tplc="7B1E9E86" w:tentative="1">
      <w:start w:val="1"/>
      <w:numFmt w:val="bullet"/>
      <w:lvlText w:val=""/>
      <w:lvlJc w:val="left"/>
      <w:pPr>
        <w:tabs>
          <w:tab w:val="num" w:pos="2880"/>
        </w:tabs>
        <w:ind w:left="2880" w:hanging="360"/>
      </w:pPr>
      <w:rPr>
        <w:rFonts w:ascii="Wingdings 2" w:hAnsi="Wingdings 2" w:hint="default"/>
      </w:rPr>
    </w:lvl>
    <w:lvl w:ilvl="4" w:tplc="2A9E4758" w:tentative="1">
      <w:start w:val="1"/>
      <w:numFmt w:val="bullet"/>
      <w:lvlText w:val=""/>
      <w:lvlJc w:val="left"/>
      <w:pPr>
        <w:tabs>
          <w:tab w:val="num" w:pos="3600"/>
        </w:tabs>
        <w:ind w:left="3600" w:hanging="360"/>
      </w:pPr>
      <w:rPr>
        <w:rFonts w:ascii="Wingdings 2" w:hAnsi="Wingdings 2" w:hint="default"/>
      </w:rPr>
    </w:lvl>
    <w:lvl w:ilvl="5" w:tplc="5D867B6E" w:tentative="1">
      <w:start w:val="1"/>
      <w:numFmt w:val="bullet"/>
      <w:lvlText w:val=""/>
      <w:lvlJc w:val="left"/>
      <w:pPr>
        <w:tabs>
          <w:tab w:val="num" w:pos="4320"/>
        </w:tabs>
        <w:ind w:left="4320" w:hanging="360"/>
      </w:pPr>
      <w:rPr>
        <w:rFonts w:ascii="Wingdings 2" w:hAnsi="Wingdings 2" w:hint="default"/>
      </w:rPr>
    </w:lvl>
    <w:lvl w:ilvl="6" w:tplc="9A0C4518" w:tentative="1">
      <w:start w:val="1"/>
      <w:numFmt w:val="bullet"/>
      <w:lvlText w:val=""/>
      <w:lvlJc w:val="left"/>
      <w:pPr>
        <w:tabs>
          <w:tab w:val="num" w:pos="5040"/>
        </w:tabs>
        <w:ind w:left="5040" w:hanging="360"/>
      </w:pPr>
      <w:rPr>
        <w:rFonts w:ascii="Wingdings 2" w:hAnsi="Wingdings 2" w:hint="default"/>
      </w:rPr>
    </w:lvl>
    <w:lvl w:ilvl="7" w:tplc="0742F01A" w:tentative="1">
      <w:start w:val="1"/>
      <w:numFmt w:val="bullet"/>
      <w:lvlText w:val=""/>
      <w:lvlJc w:val="left"/>
      <w:pPr>
        <w:tabs>
          <w:tab w:val="num" w:pos="5760"/>
        </w:tabs>
        <w:ind w:left="5760" w:hanging="360"/>
      </w:pPr>
      <w:rPr>
        <w:rFonts w:ascii="Wingdings 2" w:hAnsi="Wingdings 2" w:hint="default"/>
      </w:rPr>
    </w:lvl>
    <w:lvl w:ilvl="8" w:tplc="966658E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ACB489E"/>
    <w:multiLevelType w:val="hybridMultilevel"/>
    <w:tmpl w:val="E86E8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063D2"/>
    <w:multiLevelType w:val="hybridMultilevel"/>
    <w:tmpl w:val="683053BE"/>
    <w:lvl w:ilvl="0" w:tplc="36BE943E">
      <w:start w:val="1"/>
      <w:numFmt w:val="bullet"/>
      <w:lvlText w:val=""/>
      <w:lvlJc w:val="left"/>
      <w:pPr>
        <w:tabs>
          <w:tab w:val="num" w:pos="720"/>
        </w:tabs>
        <w:ind w:left="720" w:hanging="360"/>
      </w:pPr>
      <w:rPr>
        <w:rFonts w:ascii="Wingdings 2" w:hAnsi="Wingdings 2" w:hint="default"/>
      </w:rPr>
    </w:lvl>
    <w:lvl w:ilvl="1" w:tplc="91A4A828" w:tentative="1">
      <w:start w:val="1"/>
      <w:numFmt w:val="bullet"/>
      <w:lvlText w:val=""/>
      <w:lvlJc w:val="left"/>
      <w:pPr>
        <w:tabs>
          <w:tab w:val="num" w:pos="1440"/>
        </w:tabs>
        <w:ind w:left="1440" w:hanging="360"/>
      </w:pPr>
      <w:rPr>
        <w:rFonts w:ascii="Wingdings 2" w:hAnsi="Wingdings 2" w:hint="default"/>
      </w:rPr>
    </w:lvl>
    <w:lvl w:ilvl="2" w:tplc="772AFB16" w:tentative="1">
      <w:start w:val="1"/>
      <w:numFmt w:val="bullet"/>
      <w:lvlText w:val=""/>
      <w:lvlJc w:val="left"/>
      <w:pPr>
        <w:tabs>
          <w:tab w:val="num" w:pos="2160"/>
        </w:tabs>
        <w:ind w:left="2160" w:hanging="360"/>
      </w:pPr>
      <w:rPr>
        <w:rFonts w:ascii="Wingdings 2" w:hAnsi="Wingdings 2" w:hint="default"/>
      </w:rPr>
    </w:lvl>
    <w:lvl w:ilvl="3" w:tplc="446062B4" w:tentative="1">
      <w:start w:val="1"/>
      <w:numFmt w:val="bullet"/>
      <w:lvlText w:val=""/>
      <w:lvlJc w:val="left"/>
      <w:pPr>
        <w:tabs>
          <w:tab w:val="num" w:pos="2880"/>
        </w:tabs>
        <w:ind w:left="2880" w:hanging="360"/>
      </w:pPr>
      <w:rPr>
        <w:rFonts w:ascii="Wingdings 2" w:hAnsi="Wingdings 2" w:hint="default"/>
      </w:rPr>
    </w:lvl>
    <w:lvl w:ilvl="4" w:tplc="2C24DC46" w:tentative="1">
      <w:start w:val="1"/>
      <w:numFmt w:val="bullet"/>
      <w:lvlText w:val=""/>
      <w:lvlJc w:val="left"/>
      <w:pPr>
        <w:tabs>
          <w:tab w:val="num" w:pos="3600"/>
        </w:tabs>
        <w:ind w:left="3600" w:hanging="360"/>
      </w:pPr>
      <w:rPr>
        <w:rFonts w:ascii="Wingdings 2" w:hAnsi="Wingdings 2" w:hint="default"/>
      </w:rPr>
    </w:lvl>
    <w:lvl w:ilvl="5" w:tplc="EF5C3B32" w:tentative="1">
      <w:start w:val="1"/>
      <w:numFmt w:val="bullet"/>
      <w:lvlText w:val=""/>
      <w:lvlJc w:val="left"/>
      <w:pPr>
        <w:tabs>
          <w:tab w:val="num" w:pos="4320"/>
        </w:tabs>
        <w:ind w:left="4320" w:hanging="360"/>
      </w:pPr>
      <w:rPr>
        <w:rFonts w:ascii="Wingdings 2" w:hAnsi="Wingdings 2" w:hint="default"/>
      </w:rPr>
    </w:lvl>
    <w:lvl w:ilvl="6" w:tplc="694E63D6" w:tentative="1">
      <w:start w:val="1"/>
      <w:numFmt w:val="bullet"/>
      <w:lvlText w:val=""/>
      <w:lvlJc w:val="left"/>
      <w:pPr>
        <w:tabs>
          <w:tab w:val="num" w:pos="5040"/>
        </w:tabs>
        <w:ind w:left="5040" w:hanging="360"/>
      </w:pPr>
      <w:rPr>
        <w:rFonts w:ascii="Wingdings 2" w:hAnsi="Wingdings 2" w:hint="default"/>
      </w:rPr>
    </w:lvl>
    <w:lvl w:ilvl="7" w:tplc="6B0C3658" w:tentative="1">
      <w:start w:val="1"/>
      <w:numFmt w:val="bullet"/>
      <w:lvlText w:val=""/>
      <w:lvlJc w:val="left"/>
      <w:pPr>
        <w:tabs>
          <w:tab w:val="num" w:pos="5760"/>
        </w:tabs>
        <w:ind w:left="5760" w:hanging="360"/>
      </w:pPr>
      <w:rPr>
        <w:rFonts w:ascii="Wingdings 2" w:hAnsi="Wingdings 2" w:hint="default"/>
      </w:rPr>
    </w:lvl>
    <w:lvl w:ilvl="8" w:tplc="18EC9EA8"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8A058BF"/>
    <w:multiLevelType w:val="hybridMultilevel"/>
    <w:tmpl w:val="B7D4ECC6"/>
    <w:lvl w:ilvl="0" w:tplc="03B46F70">
      <w:start w:val="1"/>
      <w:numFmt w:val="bullet"/>
      <w:lvlText w:val=""/>
      <w:lvlJc w:val="left"/>
      <w:pPr>
        <w:tabs>
          <w:tab w:val="num" w:pos="720"/>
        </w:tabs>
        <w:ind w:left="720" w:hanging="360"/>
      </w:pPr>
      <w:rPr>
        <w:rFonts w:ascii="Wingdings 2" w:hAnsi="Wingdings 2" w:hint="default"/>
      </w:rPr>
    </w:lvl>
    <w:lvl w:ilvl="1" w:tplc="B880B82C">
      <w:start w:val="2003"/>
      <w:numFmt w:val="bullet"/>
      <w:lvlText w:val=""/>
      <w:lvlJc w:val="left"/>
      <w:pPr>
        <w:tabs>
          <w:tab w:val="num" w:pos="1440"/>
        </w:tabs>
        <w:ind w:left="1440" w:hanging="360"/>
      </w:pPr>
      <w:rPr>
        <w:rFonts w:ascii="Wingdings 2" w:hAnsi="Wingdings 2" w:hint="default"/>
      </w:rPr>
    </w:lvl>
    <w:lvl w:ilvl="2" w:tplc="FD58ABA8" w:tentative="1">
      <w:start w:val="1"/>
      <w:numFmt w:val="bullet"/>
      <w:lvlText w:val=""/>
      <w:lvlJc w:val="left"/>
      <w:pPr>
        <w:tabs>
          <w:tab w:val="num" w:pos="2160"/>
        </w:tabs>
        <w:ind w:left="2160" w:hanging="360"/>
      </w:pPr>
      <w:rPr>
        <w:rFonts w:ascii="Wingdings 2" w:hAnsi="Wingdings 2" w:hint="default"/>
      </w:rPr>
    </w:lvl>
    <w:lvl w:ilvl="3" w:tplc="FFD06F4E" w:tentative="1">
      <w:start w:val="1"/>
      <w:numFmt w:val="bullet"/>
      <w:lvlText w:val=""/>
      <w:lvlJc w:val="left"/>
      <w:pPr>
        <w:tabs>
          <w:tab w:val="num" w:pos="2880"/>
        </w:tabs>
        <w:ind w:left="2880" w:hanging="360"/>
      </w:pPr>
      <w:rPr>
        <w:rFonts w:ascii="Wingdings 2" w:hAnsi="Wingdings 2" w:hint="default"/>
      </w:rPr>
    </w:lvl>
    <w:lvl w:ilvl="4" w:tplc="698EE194" w:tentative="1">
      <w:start w:val="1"/>
      <w:numFmt w:val="bullet"/>
      <w:lvlText w:val=""/>
      <w:lvlJc w:val="left"/>
      <w:pPr>
        <w:tabs>
          <w:tab w:val="num" w:pos="3600"/>
        </w:tabs>
        <w:ind w:left="3600" w:hanging="360"/>
      </w:pPr>
      <w:rPr>
        <w:rFonts w:ascii="Wingdings 2" w:hAnsi="Wingdings 2" w:hint="default"/>
      </w:rPr>
    </w:lvl>
    <w:lvl w:ilvl="5" w:tplc="AA68D180" w:tentative="1">
      <w:start w:val="1"/>
      <w:numFmt w:val="bullet"/>
      <w:lvlText w:val=""/>
      <w:lvlJc w:val="left"/>
      <w:pPr>
        <w:tabs>
          <w:tab w:val="num" w:pos="4320"/>
        </w:tabs>
        <w:ind w:left="4320" w:hanging="360"/>
      </w:pPr>
      <w:rPr>
        <w:rFonts w:ascii="Wingdings 2" w:hAnsi="Wingdings 2" w:hint="default"/>
      </w:rPr>
    </w:lvl>
    <w:lvl w:ilvl="6" w:tplc="D396C6C6" w:tentative="1">
      <w:start w:val="1"/>
      <w:numFmt w:val="bullet"/>
      <w:lvlText w:val=""/>
      <w:lvlJc w:val="left"/>
      <w:pPr>
        <w:tabs>
          <w:tab w:val="num" w:pos="5040"/>
        </w:tabs>
        <w:ind w:left="5040" w:hanging="360"/>
      </w:pPr>
      <w:rPr>
        <w:rFonts w:ascii="Wingdings 2" w:hAnsi="Wingdings 2" w:hint="default"/>
      </w:rPr>
    </w:lvl>
    <w:lvl w:ilvl="7" w:tplc="134A5750" w:tentative="1">
      <w:start w:val="1"/>
      <w:numFmt w:val="bullet"/>
      <w:lvlText w:val=""/>
      <w:lvlJc w:val="left"/>
      <w:pPr>
        <w:tabs>
          <w:tab w:val="num" w:pos="5760"/>
        </w:tabs>
        <w:ind w:left="5760" w:hanging="360"/>
      </w:pPr>
      <w:rPr>
        <w:rFonts w:ascii="Wingdings 2" w:hAnsi="Wingdings 2" w:hint="default"/>
      </w:rPr>
    </w:lvl>
    <w:lvl w:ilvl="8" w:tplc="E8F6E64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99D4456"/>
    <w:multiLevelType w:val="hybridMultilevel"/>
    <w:tmpl w:val="9D380058"/>
    <w:lvl w:ilvl="0" w:tplc="689A41A8">
      <w:start w:val="1"/>
      <w:numFmt w:val="bullet"/>
      <w:lvlText w:val=""/>
      <w:lvlJc w:val="left"/>
      <w:pPr>
        <w:tabs>
          <w:tab w:val="num" w:pos="720"/>
        </w:tabs>
        <w:ind w:left="720" w:hanging="360"/>
      </w:pPr>
      <w:rPr>
        <w:rFonts w:ascii="Wingdings 2" w:hAnsi="Wingdings 2" w:hint="default"/>
      </w:rPr>
    </w:lvl>
    <w:lvl w:ilvl="1" w:tplc="18A25D6A" w:tentative="1">
      <w:start w:val="1"/>
      <w:numFmt w:val="bullet"/>
      <w:lvlText w:val=""/>
      <w:lvlJc w:val="left"/>
      <w:pPr>
        <w:tabs>
          <w:tab w:val="num" w:pos="1440"/>
        </w:tabs>
        <w:ind w:left="1440" w:hanging="360"/>
      </w:pPr>
      <w:rPr>
        <w:rFonts w:ascii="Wingdings 2" w:hAnsi="Wingdings 2" w:hint="default"/>
      </w:rPr>
    </w:lvl>
    <w:lvl w:ilvl="2" w:tplc="19B6CE48" w:tentative="1">
      <w:start w:val="1"/>
      <w:numFmt w:val="bullet"/>
      <w:lvlText w:val=""/>
      <w:lvlJc w:val="left"/>
      <w:pPr>
        <w:tabs>
          <w:tab w:val="num" w:pos="2160"/>
        </w:tabs>
        <w:ind w:left="2160" w:hanging="360"/>
      </w:pPr>
      <w:rPr>
        <w:rFonts w:ascii="Wingdings 2" w:hAnsi="Wingdings 2" w:hint="default"/>
      </w:rPr>
    </w:lvl>
    <w:lvl w:ilvl="3" w:tplc="3F1C97F6" w:tentative="1">
      <w:start w:val="1"/>
      <w:numFmt w:val="bullet"/>
      <w:lvlText w:val=""/>
      <w:lvlJc w:val="left"/>
      <w:pPr>
        <w:tabs>
          <w:tab w:val="num" w:pos="2880"/>
        </w:tabs>
        <w:ind w:left="2880" w:hanging="360"/>
      </w:pPr>
      <w:rPr>
        <w:rFonts w:ascii="Wingdings 2" w:hAnsi="Wingdings 2" w:hint="default"/>
      </w:rPr>
    </w:lvl>
    <w:lvl w:ilvl="4" w:tplc="65BAE80A" w:tentative="1">
      <w:start w:val="1"/>
      <w:numFmt w:val="bullet"/>
      <w:lvlText w:val=""/>
      <w:lvlJc w:val="left"/>
      <w:pPr>
        <w:tabs>
          <w:tab w:val="num" w:pos="3600"/>
        </w:tabs>
        <w:ind w:left="3600" w:hanging="360"/>
      </w:pPr>
      <w:rPr>
        <w:rFonts w:ascii="Wingdings 2" w:hAnsi="Wingdings 2" w:hint="default"/>
      </w:rPr>
    </w:lvl>
    <w:lvl w:ilvl="5" w:tplc="742899AC" w:tentative="1">
      <w:start w:val="1"/>
      <w:numFmt w:val="bullet"/>
      <w:lvlText w:val=""/>
      <w:lvlJc w:val="left"/>
      <w:pPr>
        <w:tabs>
          <w:tab w:val="num" w:pos="4320"/>
        </w:tabs>
        <w:ind w:left="4320" w:hanging="360"/>
      </w:pPr>
      <w:rPr>
        <w:rFonts w:ascii="Wingdings 2" w:hAnsi="Wingdings 2" w:hint="default"/>
      </w:rPr>
    </w:lvl>
    <w:lvl w:ilvl="6" w:tplc="F278A3A8" w:tentative="1">
      <w:start w:val="1"/>
      <w:numFmt w:val="bullet"/>
      <w:lvlText w:val=""/>
      <w:lvlJc w:val="left"/>
      <w:pPr>
        <w:tabs>
          <w:tab w:val="num" w:pos="5040"/>
        </w:tabs>
        <w:ind w:left="5040" w:hanging="360"/>
      </w:pPr>
      <w:rPr>
        <w:rFonts w:ascii="Wingdings 2" w:hAnsi="Wingdings 2" w:hint="default"/>
      </w:rPr>
    </w:lvl>
    <w:lvl w:ilvl="7" w:tplc="02920C00" w:tentative="1">
      <w:start w:val="1"/>
      <w:numFmt w:val="bullet"/>
      <w:lvlText w:val=""/>
      <w:lvlJc w:val="left"/>
      <w:pPr>
        <w:tabs>
          <w:tab w:val="num" w:pos="5760"/>
        </w:tabs>
        <w:ind w:left="5760" w:hanging="360"/>
      </w:pPr>
      <w:rPr>
        <w:rFonts w:ascii="Wingdings 2" w:hAnsi="Wingdings 2" w:hint="default"/>
      </w:rPr>
    </w:lvl>
    <w:lvl w:ilvl="8" w:tplc="C6867E9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9A92454"/>
    <w:multiLevelType w:val="hybridMultilevel"/>
    <w:tmpl w:val="B186EF86"/>
    <w:lvl w:ilvl="0" w:tplc="7B9A4D58">
      <w:start w:val="1"/>
      <w:numFmt w:val="bullet"/>
      <w:lvlText w:val=""/>
      <w:lvlJc w:val="left"/>
      <w:pPr>
        <w:tabs>
          <w:tab w:val="num" w:pos="720"/>
        </w:tabs>
        <w:ind w:left="720" w:hanging="360"/>
      </w:pPr>
      <w:rPr>
        <w:rFonts w:ascii="Wingdings 2" w:hAnsi="Wingdings 2" w:hint="default"/>
      </w:rPr>
    </w:lvl>
    <w:lvl w:ilvl="1" w:tplc="B482717E" w:tentative="1">
      <w:start w:val="1"/>
      <w:numFmt w:val="bullet"/>
      <w:lvlText w:val=""/>
      <w:lvlJc w:val="left"/>
      <w:pPr>
        <w:tabs>
          <w:tab w:val="num" w:pos="1440"/>
        </w:tabs>
        <w:ind w:left="1440" w:hanging="360"/>
      </w:pPr>
      <w:rPr>
        <w:rFonts w:ascii="Wingdings 2" w:hAnsi="Wingdings 2" w:hint="default"/>
      </w:rPr>
    </w:lvl>
    <w:lvl w:ilvl="2" w:tplc="5906A112" w:tentative="1">
      <w:start w:val="1"/>
      <w:numFmt w:val="bullet"/>
      <w:lvlText w:val=""/>
      <w:lvlJc w:val="left"/>
      <w:pPr>
        <w:tabs>
          <w:tab w:val="num" w:pos="2160"/>
        </w:tabs>
        <w:ind w:left="2160" w:hanging="360"/>
      </w:pPr>
      <w:rPr>
        <w:rFonts w:ascii="Wingdings 2" w:hAnsi="Wingdings 2" w:hint="default"/>
      </w:rPr>
    </w:lvl>
    <w:lvl w:ilvl="3" w:tplc="AA38DB8A" w:tentative="1">
      <w:start w:val="1"/>
      <w:numFmt w:val="bullet"/>
      <w:lvlText w:val=""/>
      <w:lvlJc w:val="left"/>
      <w:pPr>
        <w:tabs>
          <w:tab w:val="num" w:pos="2880"/>
        </w:tabs>
        <w:ind w:left="2880" w:hanging="360"/>
      </w:pPr>
      <w:rPr>
        <w:rFonts w:ascii="Wingdings 2" w:hAnsi="Wingdings 2" w:hint="default"/>
      </w:rPr>
    </w:lvl>
    <w:lvl w:ilvl="4" w:tplc="C6FEA66E" w:tentative="1">
      <w:start w:val="1"/>
      <w:numFmt w:val="bullet"/>
      <w:lvlText w:val=""/>
      <w:lvlJc w:val="left"/>
      <w:pPr>
        <w:tabs>
          <w:tab w:val="num" w:pos="3600"/>
        </w:tabs>
        <w:ind w:left="3600" w:hanging="360"/>
      </w:pPr>
      <w:rPr>
        <w:rFonts w:ascii="Wingdings 2" w:hAnsi="Wingdings 2" w:hint="default"/>
      </w:rPr>
    </w:lvl>
    <w:lvl w:ilvl="5" w:tplc="7526C2E8" w:tentative="1">
      <w:start w:val="1"/>
      <w:numFmt w:val="bullet"/>
      <w:lvlText w:val=""/>
      <w:lvlJc w:val="left"/>
      <w:pPr>
        <w:tabs>
          <w:tab w:val="num" w:pos="4320"/>
        </w:tabs>
        <w:ind w:left="4320" w:hanging="360"/>
      </w:pPr>
      <w:rPr>
        <w:rFonts w:ascii="Wingdings 2" w:hAnsi="Wingdings 2" w:hint="default"/>
      </w:rPr>
    </w:lvl>
    <w:lvl w:ilvl="6" w:tplc="F86E5DD6" w:tentative="1">
      <w:start w:val="1"/>
      <w:numFmt w:val="bullet"/>
      <w:lvlText w:val=""/>
      <w:lvlJc w:val="left"/>
      <w:pPr>
        <w:tabs>
          <w:tab w:val="num" w:pos="5040"/>
        </w:tabs>
        <w:ind w:left="5040" w:hanging="360"/>
      </w:pPr>
      <w:rPr>
        <w:rFonts w:ascii="Wingdings 2" w:hAnsi="Wingdings 2" w:hint="default"/>
      </w:rPr>
    </w:lvl>
    <w:lvl w:ilvl="7" w:tplc="552E188A" w:tentative="1">
      <w:start w:val="1"/>
      <w:numFmt w:val="bullet"/>
      <w:lvlText w:val=""/>
      <w:lvlJc w:val="left"/>
      <w:pPr>
        <w:tabs>
          <w:tab w:val="num" w:pos="5760"/>
        </w:tabs>
        <w:ind w:left="5760" w:hanging="360"/>
      </w:pPr>
      <w:rPr>
        <w:rFonts w:ascii="Wingdings 2" w:hAnsi="Wingdings 2" w:hint="default"/>
      </w:rPr>
    </w:lvl>
    <w:lvl w:ilvl="8" w:tplc="D0D2B6D6"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B414AB9"/>
    <w:multiLevelType w:val="hybridMultilevel"/>
    <w:tmpl w:val="BF7A2574"/>
    <w:lvl w:ilvl="0" w:tplc="2EB0A66C">
      <w:start w:val="1"/>
      <w:numFmt w:val="bullet"/>
      <w:lvlText w:val=""/>
      <w:lvlJc w:val="left"/>
      <w:pPr>
        <w:tabs>
          <w:tab w:val="num" w:pos="720"/>
        </w:tabs>
        <w:ind w:left="720" w:hanging="360"/>
      </w:pPr>
      <w:rPr>
        <w:rFonts w:ascii="Wingdings 2" w:hAnsi="Wingdings 2" w:hint="default"/>
      </w:rPr>
    </w:lvl>
    <w:lvl w:ilvl="1" w:tplc="1D849ECA" w:tentative="1">
      <w:start w:val="1"/>
      <w:numFmt w:val="bullet"/>
      <w:lvlText w:val=""/>
      <w:lvlJc w:val="left"/>
      <w:pPr>
        <w:tabs>
          <w:tab w:val="num" w:pos="1440"/>
        </w:tabs>
        <w:ind w:left="1440" w:hanging="360"/>
      </w:pPr>
      <w:rPr>
        <w:rFonts w:ascii="Wingdings 2" w:hAnsi="Wingdings 2" w:hint="default"/>
      </w:rPr>
    </w:lvl>
    <w:lvl w:ilvl="2" w:tplc="4740C846" w:tentative="1">
      <w:start w:val="1"/>
      <w:numFmt w:val="bullet"/>
      <w:lvlText w:val=""/>
      <w:lvlJc w:val="left"/>
      <w:pPr>
        <w:tabs>
          <w:tab w:val="num" w:pos="2160"/>
        </w:tabs>
        <w:ind w:left="2160" w:hanging="360"/>
      </w:pPr>
      <w:rPr>
        <w:rFonts w:ascii="Wingdings 2" w:hAnsi="Wingdings 2" w:hint="default"/>
      </w:rPr>
    </w:lvl>
    <w:lvl w:ilvl="3" w:tplc="DF7635D0" w:tentative="1">
      <w:start w:val="1"/>
      <w:numFmt w:val="bullet"/>
      <w:lvlText w:val=""/>
      <w:lvlJc w:val="left"/>
      <w:pPr>
        <w:tabs>
          <w:tab w:val="num" w:pos="2880"/>
        </w:tabs>
        <w:ind w:left="2880" w:hanging="360"/>
      </w:pPr>
      <w:rPr>
        <w:rFonts w:ascii="Wingdings 2" w:hAnsi="Wingdings 2" w:hint="default"/>
      </w:rPr>
    </w:lvl>
    <w:lvl w:ilvl="4" w:tplc="DA928F2A" w:tentative="1">
      <w:start w:val="1"/>
      <w:numFmt w:val="bullet"/>
      <w:lvlText w:val=""/>
      <w:lvlJc w:val="left"/>
      <w:pPr>
        <w:tabs>
          <w:tab w:val="num" w:pos="3600"/>
        </w:tabs>
        <w:ind w:left="3600" w:hanging="360"/>
      </w:pPr>
      <w:rPr>
        <w:rFonts w:ascii="Wingdings 2" w:hAnsi="Wingdings 2" w:hint="default"/>
      </w:rPr>
    </w:lvl>
    <w:lvl w:ilvl="5" w:tplc="D93EBEF2" w:tentative="1">
      <w:start w:val="1"/>
      <w:numFmt w:val="bullet"/>
      <w:lvlText w:val=""/>
      <w:lvlJc w:val="left"/>
      <w:pPr>
        <w:tabs>
          <w:tab w:val="num" w:pos="4320"/>
        </w:tabs>
        <w:ind w:left="4320" w:hanging="360"/>
      </w:pPr>
      <w:rPr>
        <w:rFonts w:ascii="Wingdings 2" w:hAnsi="Wingdings 2" w:hint="default"/>
      </w:rPr>
    </w:lvl>
    <w:lvl w:ilvl="6" w:tplc="F07A2688" w:tentative="1">
      <w:start w:val="1"/>
      <w:numFmt w:val="bullet"/>
      <w:lvlText w:val=""/>
      <w:lvlJc w:val="left"/>
      <w:pPr>
        <w:tabs>
          <w:tab w:val="num" w:pos="5040"/>
        </w:tabs>
        <w:ind w:left="5040" w:hanging="360"/>
      </w:pPr>
      <w:rPr>
        <w:rFonts w:ascii="Wingdings 2" w:hAnsi="Wingdings 2" w:hint="default"/>
      </w:rPr>
    </w:lvl>
    <w:lvl w:ilvl="7" w:tplc="9BD83534" w:tentative="1">
      <w:start w:val="1"/>
      <w:numFmt w:val="bullet"/>
      <w:lvlText w:val=""/>
      <w:lvlJc w:val="left"/>
      <w:pPr>
        <w:tabs>
          <w:tab w:val="num" w:pos="5760"/>
        </w:tabs>
        <w:ind w:left="5760" w:hanging="360"/>
      </w:pPr>
      <w:rPr>
        <w:rFonts w:ascii="Wingdings 2" w:hAnsi="Wingdings 2" w:hint="default"/>
      </w:rPr>
    </w:lvl>
    <w:lvl w:ilvl="8" w:tplc="66BEE26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EE868AF"/>
    <w:multiLevelType w:val="hybridMultilevel"/>
    <w:tmpl w:val="99F4ACC6"/>
    <w:lvl w:ilvl="0" w:tplc="9B04559A">
      <w:start w:val="1"/>
      <w:numFmt w:val="bullet"/>
      <w:lvlText w:val=""/>
      <w:lvlJc w:val="left"/>
      <w:pPr>
        <w:tabs>
          <w:tab w:val="num" w:pos="720"/>
        </w:tabs>
        <w:ind w:left="720" w:hanging="360"/>
      </w:pPr>
      <w:rPr>
        <w:rFonts w:ascii="Wingdings 2" w:hAnsi="Wingdings 2" w:hint="default"/>
      </w:rPr>
    </w:lvl>
    <w:lvl w:ilvl="1" w:tplc="483469BC">
      <w:start w:val="1"/>
      <w:numFmt w:val="bullet"/>
      <w:lvlText w:val=""/>
      <w:lvlJc w:val="left"/>
      <w:pPr>
        <w:tabs>
          <w:tab w:val="num" w:pos="1440"/>
        </w:tabs>
        <w:ind w:left="1440" w:hanging="360"/>
      </w:pPr>
      <w:rPr>
        <w:rFonts w:ascii="Wingdings 2" w:hAnsi="Wingdings 2" w:hint="default"/>
      </w:rPr>
    </w:lvl>
    <w:lvl w:ilvl="2" w:tplc="B6B844EE" w:tentative="1">
      <w:start w:val="1"/>
      <w:numFmt w:val="bullet"/>
      <w:lvlText w:val=""/>
      <w:lvlJc w:val="left"/>
      <w:pPr>
        <w:tabs>
          <w:tab w:val="num" w:pos="2160"/>
        </w:tabs>
        <w:ind w:left="2160" w:hanging="360"/>
      </w:pPr>
      <w:rPr>
        <w:rFonts w:ascii="Wingdings 2" w:hAnsi="Wingdings 2" w:hint="default"/>
      </w:rPr>
    </w:lvl>
    <w:lvl w:ilvl="3" w:tplc="CFA0C7C2" w:tentative="1">
      <w:start w:val="1"/>
      <w:numFmt w:val="bullet"/>
      <w:lvlText w:val=""/>
      <w:lvlJc w:val="left"/>
      <w:pPr>
        <w:tabs>
          <w:tab w:val="num" w:pos="2880"/>
        </w:tabs>
        <w:ind w:left="2880" w:hanging="360"/>
      </w:pPr>
      <w:rPr>
        <w:rFonts w:ascii="Wingdings 2" w:hAnsi="Wingdings 2" w:hint="default"/>
      </w:rPr>
    </w:lvl>
    <w:lvl w:ilvl="4" w:tplc="EFC2AFBE" w:tentative="1">
      <w:start w:val="1"/>
      <w:numFmt w:val="bullet"/>
      <w:lvlText w:val=""/>
      <w:lvlJc w:val="left"/>
      <w:pPr>
        <w:tabs>
          <w:tab w:val="num" w:pos="3600"/>
        </w:tabs>
        <w:ind w:left="3600" w:hanging="360"/>
      </w:pPr>
      <w:rPr>
        <w:rFonts w:ascii="Wingdings 2" w:hAnsi="Wingdings 2" w:hint="default"/>
      </w:rPr>
    </w:lvl>
    <w:lvl w:ilvl="5" w:tplc="AC745EA8" w:tentative="1">
      <w:start w:val="1"/>
      <w:numFmt w:val="bullet"/>
      <w:lvlText w:val=""/>
      <w:lvlJc w:val="left"/>
      <w:pPr>
        <w:tabs>
          <w:tab w:val="num" w:pos="4320"/>
        </w:tabs>
        <w:ind w:left="4320" w:hanging="360"/>
      </w:pPr>
      <w:rPr>
        <w:rFonts w:ascii="Wingdings 2" w:hAnsi="Wingdings 2" w:hint="default"/>
      </w:rPr>
    </w:lvl>
    <w:lvl w:ilvl="6" w:tplc="CD9A2A04" w:tentative="1">
      <w:start w:val="1"/>
      <w:numFmt w:val="bullet"/>
      <w:lvlText w:val=""/>
      <w:lvlJc w:val="left"/>
      <w:pPr>
        <w:tabs>
          <w:tab w:val="num" w:pos="5040"/>
        </w:tabs>
        <w:ind w:left="5040" w:hanging="360"/>
      </w:pPr>
      <w:rPr>
        <w:rFonts w:ascii="Wingdings 2" w:hAnsi="Wingdings 2" w:hint="default"/>
      </w:rPr>
    </w:lvl>
    <w:lvl w:ilvl="7" w:tplc="1EDE9FA8" w:tentative="1">
      <w:start w:val="1"/>
      <w:numFmt w:val="bullet"/>
      <w:lvlText w:val=""/>
      <w:lvlJc w:val="left"/>
      <w:pPr>
        <w:tabs>
          <w:tab w:val="num" w:pos="5760"/>
        </w:tabs>
        <w:ind w:left="5760" w:hanging="360"/>
      </w:pPr>
      <w:rPr>
        <w:rFonts w:ascii="Wingdings 2" w:hAnsi="Wingdings 2" w:hint="default"/>
      </w:rPr>
    </w:lvl>
    <w:lvl w:ilvl="8" w:tplc="8DD255F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1932945"/>
    <w:multiLevelType w:val="hybridMultilevel"/>
    <w:tmpl w:val="0CAA1642"/>
    <w:lvl w:ilvl="0" w:tplc="49D4B558">
      <w:start w:val="1"/>
      <w:numFmt w:val="bullet"/>
      <w:lvlText w:val=""/>
      <w:lvlJc w:val="left"/>
      <w:pPr>
        <w:tabs>
          <w:tab w:val="num" w:pos="720"/>
        </w:tabs>
        <w:ind w:left="720" w:hanging="360"/>
      </w:pPr>
      <w:rPr>
        <w:rFonts w:ascii="Wingdings 2" w:hAnsi="Wingdings 2" w:hint="default"/>
      </w:rPr>
    </w:lvl>
    <w:lvl w:ilvl="1" w:tplc="92A43290" w:tentative="1">
      <w:start w:val="1"/>
      <w:numFmt w:val="bullet"/>
      <w:lvlText w:val=""/>
      <w:lvlJc w:val="left"/>
      <w:pPr>
        <w:tabs>
          <w:tab w:val="num" w:pos="1440"/>
        </w:tabs>
        <w:ind w:left="1440" w:hanging="360"/>
      </w:pPr>
      <w:rPr>
        <w:rFonts w:ascii="Wingdings 2" w:hAnsi="Wingdings 2" w:hint="default"/>
      </w:rPr>
    </w:lvl>
    <w:lvl w:ilvl="2" w:tplc="4AA28240" w:tentative="1">
      <w:start w:val="1"/>
      <w:numFmt w:val="bullet"/>
      <w:lvlText w:val=""/>
      <w:lvlJc w:val="left"/>
      <w:pPr>
        <w:tabs>
          <w:tab w:val="num" w:pos="2160"/>
        </w:tabs>
        <w:ind w:left="2160" w:hanging="360"/>
      </w:pPr>
      <w:rPr>
        <w:rFonts w:ascii="Wingdings 2" w:hAnsi="Wingdings 2" w:hint="default"/>
      </w:rPr>
    </w:lvl>
    <w:lvl w:ilvl="3" w:tplc="6FA46716" w:tentative="1">
      <w:start w:val="1"/>
      <w:numFmt w:val="bullet"/>
      <w:lvlText w:val=""/>
      <w:lvlJc w:val="left"/>
      <w:pPr>
        <w:tabs>
          <w:tab w:val="num" w:pos="2880"/>
        </w:tabs>
        <w:ind w:left="2880" w:hanging="360"/>
      </w:pPr>
      <w:rPr>
        <w:rFonts w:ascii="Wingdings 2" w:hAnsi="Wingdings 2" w:hint="default"/>
      </w:rPr>
    </w:lvl>
    <w:lvl w:ilvl="4" w:tplc="3A009512" w:tentative="1">
      <w:start w:val="1"/>
      <w:numFmt w:val="bullet"/>
      <w:lvlText w:val=""/>
      <w:lvlJc w:val="left"/>
      <w:pPr>
        <w:tabs>
          <w:tab w:val="num" w:pos="3600"/>
        </w:tabs>
        <w:ind w:left="3600" w:hanging="360"/>
      </w:pPr>
      <w:rPr>
        <w:rFonts w:ascii="Wingdings 2" w:hAnsi="Wingdings 2" w:hint="default"/>
      </w:rPr>
    </w:lvl>
    <w:lvl w:ilvl="5" w:tplc="6E0419DC" w:tentative="1">
      <w:start w:val="1"/>
      <w:numFmt w:val="bullet"/>
      <w:lvlText w:val=""/>
      <w:lvlJc w:val="left"/>
      <w:pPr>
        <w:tabs>
          <w:tab w:val="num" w:pos="4320"/>
        </w:tabs>
        <w:ind w:left="4320" w:hanging="360"/>
      </w:pPr>
      <w:rPr>
        <w:rFonts w:ascii="Wingdings 2" w:hAnsi="Wingdings 2" w:hint="default"/>
      </w:rPr>
    </w:lvl>
    <w:lvl w:ilvl="6" w:tplc="900205E4" w:tentative="1">
      <w:start w:val="1"/>
      <w:numFmt w:val="bullet"/>
      <w:lvlText w:val=""/>
      <w:lvlJc w:val="left"/>
      <w:pPr>
        <w:tabs>
          <w:tab w:val="num" w:pos="5040"/>
        </w:tabs>
        <w:ind w:left="5040" w:hanging="360"/>
      </w:pPr>
      <w:rPr>
        <w:rFonts w:ascii="Wingdings 2" w:hAnsi="Wingdings 2" w:hint="default"/>
      </w:rPr>
    </w:lvl>
    <w:lvl w:ilvl="7" w:tplc="3C005130" w:tentative="1">
      <w:start w:val="1"/>
      <w:numFmt w:val="bullet"/>
      <w:lvlText w:val=""/>
      <w:lvlJc w:val="left"/>
      <w:pPr>
        <w:tabs>
          <w:tab w:val="num" w:pos="5760"/>
        </w:tabs>
        <w:ind w:left="5760" w:hanging="360"/>
      </w:pPr>
      <w:rPr>
        <w:rFonts w:ascii="Wingdings 2" w:hAnsi="Wingdings 2" w:hint="default"/>
      </w:rPr>
    </w:lvl>
    <w:lvl w:ilvl="8" w:tplc="F348A7F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1A56710"/>
    <w:multiLevelType w:val="hybridMultilevel"/>
    <w:tmpl w:val="5C0C99DA"/>
    <w:lvl w:ilvl="0" w:tplc="D2A83204">
      <w:start w:val="1"/>
      <w:numFmt w:val="bullet"/>
      <w:lvlText w:val=""/>
      <w:lvlJc w:val="left"/>
      <w:pPr>
        <w:tabs>
          <w:tab w:val="num" w:pos="720"/>
        </w:tabs>
        <w:ind w:left="720" w:hanging="360"/>
      </w:pPr>
      <w:rPr>
        <w:rFonts w:ascii="Wingdings 2" w:hAnsi="Wingdings 2" w:hint="default"/>
      </w:rPr>
    </w:lvl>
    <w:lvl w:ilvl="1" w:tplc="18C6C69E">
      <w:start w:val="1"/>
      <w:numFmt w:val="bullet"/>
      <w:lvlText w:val=""/>
      <w:lvlJc w:val="left"/>
      <w:pPr>
        <w:tabs>
          <w:tab w:val="num" w:pos="1440"/>
        </w:tabs>
        <w:ind w:left="1440" w:hanging="360"/>
      </w:pPr>
      <w:rPr>
        <w:rFonts w:ascii="Wingdings 2" w:hAnsi="Wingdings 2" w:hint="default"/>
      </w:rPr>
    </w:lvl>
    <w:lvl w:ilvl="2" w:tplc="0D88942C" w:tentative="1">
      <w:start w:val="1"/>
      <w:numFmt w:val="bullet"/>
      <w:lvlText w:val=""/>
      <w:lvlJc w:val="left"/>
      <w:pPr>
        <w:tabs>
          <w:tab w:val="num" w:pos="2160"/>
        </w:tabs>
        <w:ind w:left="2160" w:hanging="360"/>
      </w:pPr>
      <w:rPr>
        <w:rFonts w:ascii="Wingdings 2" w:hAnsi="Wingdings 2" w:hint="default"/>
      </w:rPr>
    </w:lvl>
    <w:lvl w:ilvl="3" w:tplc="086ED212" w:tentative="1">
      <w:start w:val="1"/>
      <w:numFmt w:val="bullet"/>
      <w:lvlText w:val=""/>
      <w:lvlJc w:val="left"/>
      <w:pPr>
        <w:tabs>
          <w:tab w:val="num" w:pos="2880"/>
        </w:tabs>
        <w:ind w:left="2880" w:hanging="360"/>
      </w:pPr>
      <w:rPr>
        <w:rFonts w:ascii="Wingdings 2" w:hAnsi="Wingdings 2" w:hint="default"/>
      </w:rPr>
    </w:lvl>
    <w:lvl w:ilvl="4" w:tplc="B7084B82" w:tentative="1">
      <w:start w:val="1"/>
      <w:numFmt w:val="bullet"/>
      <w:lvlText w:val=""/>
      <w:lvlJc w:val="left"/>
      <w:pPr>
        <w:tabs>
          <w:tab w:val="num" w:pos="3600"/>
        </w:tabs>
        <w:ind w:left="3600" w:hanging="360"/>
      </w:pPr>
      <w:rPr>
        <w:rFonts w:ascii="Wingdings 2" w:hAnsi="Wingdings 2" w:hint="default"/>
      </w:rPr>
    </w:lvl>
    <w:lvl w:ilvl="5" w:tplc="42400D16" w:tentative="1">
      <w:start w:val="1"/>
      <w:numFmt w:val="bullet"/>
      <w:lvlText w:val=""/>
      <w:lvlJc w:val="left"/>
      <w:pPr>
        <w:tabs>
          <w:tab w:val="num" w:pos="4320"/>
        </w:tabs>
        <w:ind w:left="4320" w:hanging="360"/>
      </w:pPr>
      <w:rPr>
        <w:rFonts w:ascii="Wingdings 2" w:hAnsi="Wingdings 2" w:hint="default"/>
      </w:rPr>
    </w:lvl>
    <w:lvl w:ilvl="6" w:tplc="620039D8" w:tentative="1">
      <w:start w:val="1"/>
      <w:numFmt w:val="bullet"/>
      <w:lvlText w:val=""/>
      <w:lvlJc w:val="left"/>
      <w:pPr>
        <w:tabs>
          <w:tab w:val="num" w:pos="5040"/>
        </w:tabs>
        <w:ind w:left="5040" w:hanging="360"/>
      </w:pPr>
      <w:rPr>
        <w:rFonts w:ascii="Wingdings 2" w:hAnsi="Wingdings 2" w:hint="default"/>
      </w:rPr>
    </w:lvl>
    <w:lvl w:ilvl="7" w:tplc="8536C8E0" w:tentative="1">
      <w:start w:val="1"/>
      <w:numFmt w:val="bullet"/>
      <w:lvlText w:val=""/>
      <w:lvlJc w:val="left"/>
      <w:pPr>
        <w:tabs>
          <w:tab w:val="num" w:pos="5760"/>
        </w:tabs>
        <w:ind w:left="5760" w:hanging="360"/>
      </w:pPr>
      <w:rPr>
        <w:rFonts w:ascii="Wingdings 2" w:hAnsi="Wingdings 2" w:hint="default"/>
      </w:rPr>
    </w:lvl>
    <w:lvl w:ilvl="8" w:tplc="C8F048B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62B0097"/>
    <w:multiLevelType w:val="hybridMultilevel"/>
    <w:tmpl w:val="B45A570E"/>
    <w:lvl w:ilvl="0" w:tplc="14BCD76A">
      <w:start w:val="1"/>
      <w:numFmt w:val="bullet"/>
      <w:lvlText w:val=""/>
      <w:lvlJc w:val="left"/>
      <w:pPr>
        <w:tabs>
          <w:tab w:val="num" w:pos="720"/>
        </w:tabs>
        <w:ind w:left="720" w:hanging="360"/>
      </w:pPr>
      <w:rPr>
        <w:rFonts w:ascii="Wingdings 2" w:hAnsi="Wingdings 2" w:hint="default"/>
      </w:rPr>
    </w:lvl>
    <w:lvl w:ilvl="1" w:tplc="A5E27A00" w:tentative="1">
      <w:start w:val="1"/>
      <w:numFmt w:val="bullet"/>
      <w:lvlText w:val=""/>
      <w:lvlJc w:val="left"/>
      <w:pPr>
        <w:tabs>
          <w:tab w:val="num" w:pos="1440"/>
        </w:tabs>
        <w:ind w:left="1440" w:hanging="360"/>
      </w:pPr>
      <w:rPr>
        <w:rFonts w:ascii="Wingdings 2" w:hAnsi="Wingdings 2" w:hint="default"/>
      </w:rPr>
    </w:lvl>
    <w:lvl w:ilvl="2" w:tplc="EFD44CA8" w:tentative="1">
      <w:start w:val="1"/>
      <w:numFmt w:val="bullet"/>
      <w:lvlText w:val=""/>
      <w:lvlJc w:val="left"/>
      <w:pPr>
        <w:tabs>
          <w:tab w:val="num" w:pos="2160"/>
        </w:tabs>
        <w:ind w:left="2160" w:hanging="360"/>
      </w:pPr>
      <w:rPr>
        <w:rFonts w:ascii="Wingdings 2" w:hAnsi="Wingdings 2" w:hint="default"/>
      </w:rPr>
    </w:lvl>
    <w:lvl w:ilvl="3" w:tplc="1A187EFE" w:tentative="1">
      <w:start w:val="1"/>
      <w:numFmt w:val="bullet"/>
      <w:lvlText w:val=""/>
      <w:lvlJc w:val="left"/>
      <w:pPr>
        <w:tabs>
          <w:tab w:val="num" w:pos="2880"/>
        </w:tabs>
        <w:ind w:left="2880" w:hanging="360"/>
      </w:pPr>
      <w:rPr>
        <w:rFonts w:ascii="Wingdings 2" w:hAnsi="Wingdings 2" w:hint="default"/>
      </w:rPr>
    </w:lvl>
    <w:lvl w:ilvl="4" w:tplc="5D423EF4" w:tentative="1">
      <w:start w:val="1"/>
      <w:numFmt w:val="bullet"/>
      <w:lvlText w:val=""/>
      <w:lvlJc w:val="left"/>
      <w:pPr>
        <w:tabs>
          <w:tab w:val="num" w:pos="3600"/>
        </w:tabs>
        <w:ind w:left="3600" w:hanging="360"/>
      </w:pPr>
      <w:rPr>
        <w:rFonts w:ascii="Wingdings 2" w:hAnsi="Wingdings 2" w:hint="default"/>
      </w:rPr>
    </w:lvl>
    <w:lvl w:ilvl="5" w:tplc="650618FA" w:tentative="1">
      <w:start w:val="1"/>
      <w:numFmt w:val="bullet"/>
      <w:lvlText w:val=""/>
      <w:lvlJc w:val="left"/>
      <w:pPr>
        <w:tabs>
          <w:tab w:val="num" w:pos="4320"/>
        </w:tabs>
        <w:ind w:left="4320" w:hanging="360"/>
      </w:pPr>
      <w:rPr>
        <w:rFonts w:ascii="Wingdings 2" w:hAnsi="Wingdings 2" w:hint="default"/>
      </w:rPr>
    </w:lvl>
    <w:lvl w:ilvl="6" w:tplc="795EA986" w:tentative="1">
      <w:start w:val="1"/>
      <w:numFmt w:val="bullet"/>
      <w:lvlText w:val=""/>
      <w:lvlJc w:val="left"/>
      <w:pPr>
        <w:tabs>
          <w:tab w:val="num" w:pos="5040"/>
        </w:tabs>
        <w:ind w:left="5040" w:hanging="360"/>
      </w:pPr>
      <w:rPr>
        <w:rFonts w:ascii="Wingdings 2" w:hAnsi="Wingdings 2" w:hint="default"/>
      </w:rPr>
    </w:lvl>
    <w:lvl w:ilvl="7" w:tplc="F0046D82" w:tentative="1">
      <w:start w:val="1"/>
      <w:numFmt w:val="bullet"/>
      <w:lvlText w:val=""/>
      <w:lvlJc w:val="left"/>
      <w:pPr>
        <w:tabs>
          <w:tab w:val="num" w:pos="5760"/>
        </w:tabs>
        <w:ind w:left="5760" w:hanging="360"/>
      </w:pPr>
      <w:rPr>
        <w:rFonts w:ascii="Wingdings 2" w:hAnsi="Wingdings 2" w:hint="default"/>
      </w:rPr>
    </w:lvl>
    <w:lvl w:ilvl="8" w:tplc="AAAAF166"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D2363C2"/>
    <w:multiLevelType w:val="hybridMultilevel"/>
    <w:tmpl w:val="5D888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102CBD"/>
    <w:multiLevelType w:val="hybridMultilevel"/>
    <w:tmpl w:val="AA38C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154BC4"/>
    <w:multiLevelType w:val="hybridMultilevel"/>
    <w:tmpl w:val="E07A565C"/>
    <w:lvl w:ilvl="0" w:tplc="98068218">
      <w:start w:val="1"/>
      <w:numFmt w:val="bullet"/>
      <w:lvlText w:val=""/>
      <w:lvlJc w:val="left"/>
      <w:pPr>
        <w:tabs>
          <w:tab w:val="num" w:pos="720"/>
        </w:tabs>
        <w:ind w:left="720" w:hanging="360"/>
      </w:pPr>
      <w:rPr>
        <w:rFonts w:ascii="Wingdings 2" w:hAnsi="Wingdings 2" w:hint="default"/>
      </w:rPr>
    </w:lvl>
    <w:lvl w:ilvl="1" w:tplc="3AE01CA0">
      <w:start w:val="2003"/>
      <w:numFmt w:val="bullet"/>
      <w:lvlText w:val=""/>
      <w:lvlJc w:val="left"/>
      <w:pPr>
        <w:tabs>
          <w:tab w:val="num" w:pos="1440"/>
        </w:tabs>
        <w:ind w:left="1440" w:hanging="360"/>
      </w:pPr>
      <w:rPr>
        <w:rFonts w:ascii="Wingdings 2" w:hAnsi="Wingdings 2" w:hint="default"/>
      </w:rPr>
    </w:lvl>
    <w:lvl w:ilvl="2" w:tplc="7AEE9B74" w:tentative="1">
      <w:start w:val="1"/>
      <w:numFmt w:val="bullet"/>
      <w:lvlText w:val=""/>
      <w:lvlJc w:val="left"/>
      <w:pPr>
        <w:tabs>
          <w:tab w:val="num" w:pos="2160"/>
        </w:tabs>
        <w:ind w:left="2160" w:hanging="360"/>
      </w:pPr>
      <w:rPr>
        <w:rFonts w:ascii="Wingdings 2" w:hAnsi="Wingdings 2" w:hint="default"/>
      </w:rPr>
    </w:lvl>
    <w:lvl w:ilvl="3" w:tplc="6158DEC0" w:tentative="1">
      <w:start w:val="1"/>
      <w:numFmt w:val="bullet"/>
      <w:lvlText w:val=""/>
      <w:lvlJc w:val="left"/>
      <w:pPr>
        <w:tabs>
          <w:tab w:val="num" w:pos="2880"/>
        </w:tabs>
        <w:ind w:left="2880" w:hanging="360"/>
      </w:pPr>
      <w:rPr>
        <w:rFonts w:ascii="Wingdings 2" w:hAnsi="Wingdings 2" w:hint="default"/>
      </w:rPr>
    </w:lvl>
    <w:lvl w:ilvl="4" w:tplc="E9EC84A8" w:tentative="1">
      <w:start w:val="1"/>
      <w:numFmt w:val="bullet"/>
      <w:lvlText w:val=""/>
      <w:lvlJc w:val="left"/>
      <w:pPr>
        <w:tabs>
          <w:tab w:val="num" w:pos="3600"/>
        </w:tabs>
        <w:ind w:left="3600" w:hanging="360"/>
      </w:pPr>
      <w:rPr>
        <w:rFonts w:ascii="Wingdings 2" w:hAnsi="Wingdings 2" w:hint="default"/>
      </w:rPr>
    </w:lvl>
    <w:lvl w:ilvl="5" w:tplc="853601D6" w:tentative="1">
      <w:start w:val="1"/>
      <w:numFmt w:val="bullet"/>
      <w:lvlText w:val=""/>
      <w:lvlJc w:val="left"/>
      <w:pPr>
        <w:tabs>
          <w:tab w:val="num" w:pos="4320"/>
        </w:tabs>
        <w:ind w:left="4320" w:hanging="360"/>
      </w:pPr>
      <w:rPr>
        <w:rFonts w:ascii="Wingdings 2" w:hAnsi="Wingdings 2" w:hint="default"/>
      </w:rPr>
    </w:lvl>
    <w:lvl w:ilvl="6" w:tplc="C8564694" w:tentative="1">
      <w:start w:val="1"/>
      <w:numFmt w:val="bullet"/>
      <w:lvlText w:val=""/>
      <w:lvlJc w:val="left"/>
      <w:pPr>
        <w:tabs>
          <w:tab w:val="num" w:pos="5040"/>
        </w:tabs>
        <w:ind w:left="5040" w:hanging="360"/>
      </w:pPr>
      <w:rPr>
        <w:rFonts w:ascii="Wingdings 2" w:hAnsi="Wingdings 2" w:hint="default"/>
      </w:rPr>
    </w:lvl>
    <w:lvl w:ilvl="7" w:tplc="2B8AC79A" w:tentative="1">
      <w:start w:val="1"/>
      <w:numFmt w:val="bullet"/>
      <w:lvlText w:val=""/>
      <w:lvlJc w:val="left"/>
      <w:pPr>
        <w:tabs>
          <w:tab w:val="num" w:pos="5760"/>
        </w:tabs>
        <w:ind w:left="5760" w:hanging="360"/>
      </w:pPr>
      <w:rPr>
        <w:rFonts w:ascii="Wingdings 2" w:hAnsi="Wingdings 2" w:hint="default"/>
      </w:rPr>
    </w:lvl>
    <w:lvl w:ilvl="8" w:tplc="0640189A"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B2416C1"/>
    <w:multiLevelType w:val="hybridMultilevel"/>
    <w:tmpl w:val="6086944C"/>
    <w:lvl w:ilvl="0" w:tplc="C3F41BF2">
      <w:start w:val="1"/>
      <w:numFmt w:val="bullet"/>
      <w:lvlText w:val=""/>
      <w:lvlJc w:val="left"/>
      <w:pPr>
        <w:tabs>
          <w:tab w:val="num" w:pos="720"/>
        </w:tabs>
        <w:ind w:left="720" w:hanging="360"/>
      </w:pPr>
      <w:rPr>
        <w:rFonts w:ascii="Wingdings 2" w:hAnsi="Wingdings 2" w:hint="default"/>
      </w:rPr>
    </w:lvl>
    <w:lvl w:ilvl="1" w:tplc="697ACC04">
      <w:start w:val="1"/>
      <w:numFmt w:val="bullet"/>
      <w:lvlText w:val=""/>
      <w:lvlJc w:val="left"/>
      <w:pPr>
        <w:tabs>
          <w:tab w:val="num" w:pos="1440"/>
        </w:tabs>
        <w:ind w:left="1440" w:hanging="360"/>
      </w:pPr>
      <w:rPr>
        <w:rFonts w:ascii="Wingdings 2" w:hAnsi="Wingdings 2" w:hint="default"/>
      </w:rPr>
    </w:lvl>
    <w:lvl w:ilvl="2" w:tplc="6D2211BE" w:tentative="1">
      <w:start w:val="1"/>
      <w:numFmt w:val="bullet"/>
      <w:lvlText w:val=""/>
      <w:lvlJc w:val="left"/>
      <w:pPr>
        <w:tabs>
          <w:tab w:val="num" w:pos="2160"/>
        </w:tabs>
        <w:ind w:left="2160" w:hanging="360"/>
      </w:pPr>
      <w:rPr>
        <w:rFonts w:ascii="Wingdings 2" w:hAnsi="Wingdings 2" w:hint="default"/>
      </w:rPr>
    </w:lvl>
    <w:lvl w:ilvl="3" w:tplc="06902FB0" w:tentative="1">
      <w:start w:val="1"/>
      <w:numFmt w:val="bullet"/>
      <w:lvlText w:val=""/>
      <w:lvlJc w:val="left"/>
      <w:pPr>
        <w:tabs>
          <w:tab w:val="num" w:pos="2880"/>
        </w:tabs>
        <w:ind w:left="2880" w:hanging="360"/>
      </w:pPr>
      <w:rPr>
        <w:rFonts w:ascii="Wingdings 2" w:hAnsi="Wingdings 2" w:hint="default"/>
      </w:rPr>
    </w:lvl>
    <w:lvl w:ilvl="4" w:tplc="E38E681C" w:tentative="1">
      <w:start w:val="1"/>
      <w:numFmt w:val="bullet"/>
      <w:lvlText w:val=""/>
      <w:lvlJc w:val="left"/>
      <w:pPr>
        <w:tabs>
          <w:tab w:val="num" w:pos="3600"/>
        </w:tabs>
        <w:ind w:left="3600" w:hanging="360"/>
      </w:pPr>
      <w:rPr>
        <w:rFonts w:ascii="Wingdings 2" w:hAnsi="Wingdings 2" w:hint="default"/>
      </w:rPr>
    </w:lvl>
    <w:lvl w:ilvl="5" w:tplc="8898A080" w:tentative="1">
      <w:start w:val="1"/>
      <w:numFmt w:val="bullet"/>
      <w:lvlText w:val=""/>
      <w:lvlJc w:val="left"/>
      <w:pPr>
        <w:tabs>
          <w:tab w:val="num" w:pos="4320"/>
        </w:tabs>
        <w:ind w:left="4320" w:hanging="360"/>
      </w:pPr>
      <w:rPr>
        <w:rFonts w:ascii="Wingdings 2" w:hAnsi="Wingdings 2" w:hint="default"/>
      </w:rPr>
    </w:lvl>
    <w:lvl w:ilvl="6" w:tplc="F056DB14" w:tentative="1">
      <w:start w:val="1"/>
      <w:numFmt w:val="bullet"/>
      <w:lvlText w:val=""/>
      <w:lvlJc w:val="left"/>
      <w:pPr>
        <w:tabs>
          <w:tab w:val="num" w:pos="5040"/>
        </w:tabs>
        <w:ind w:left="5040" w:hanging="360"/>
      </w:pPr>
      <w:rPr>
        <w:rFonts w:ascii="Wingdings 2" w:hAnsi="Wingdings 2" w:hint="default"/>
      </w:rPr>
    </w:lvl>
    <w:lvl w:ilvl="7" w:tplc="1972A248" w:tentative="1">
      <w:start w:val="1"/>
      <w:numFmt w:val="bullet"/>
      <w:lvlText w:val=""/>
      <w:lvlJc w:val="left"/>
      <w:pPr>
        <w:tabs>
          <w:tab w:val="num" w:pos="5760"/>
        </w:tabs>
        <w:ind w:left="5760" w:hanging="360"/>
      </w:pPr>
      <w:rPr>
        <w:rFonts w:ascii="Wingdings 2" w:hAnsi="Wingdings 2" w:hint="default"/>
      </w:rPr>
    </w:lvl>
    <w:lvl w:ilvl="8" w:tplc="2A6604C6"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21730B0"/>
    <w:multiLevelType w:val="hybridMultilevel"/>
    <w:tmpl w:val="1B70E534"/>
    <w:lvl w:ilvl="0" w:tplc="7F9ADB0C">
      <w:start w:val="1"/>
      <w:numFmt w:val="bullet"/>
      <w:lvlText w:val=""/>
      <w:lvlJc w:val="left"/>
      <w:pPr>
        <w:tabs>
          <w:tab w:val="num" w:pos="720"/>
        </w:tabs>
        <w:ind w:left="720" w:hanging="360"/>
      </w:pPr>
      <w:rPr>
        <w:rFonts w:ascii="Wingdings 2" w:hAnsi="Wingdings 2" w:hint="default"/>
      </w:rPr>
    </w:lvl>
    <w:lvl w:ilvl="1" w:tplc="0C4AE916" w:tentative="1">
      <w:start w:val="1"/>
      <w:numFmt w:val="bullet"/>
      <w:lvlText w:val=""/>
      <w:lvlJc w:val="left"/>
      <w:pPr>
        <w:tabs>
          <w:tab w:val="num" w:pos="1440"/>
        </w:tabs>
        <w:ind w:left="1440" w:hanging="360"/>
      </w:pPr>
      <w:rPr>
        <w:rFonts w:ascii="Wingdings 2" w:hAnsi="Wingdings 2" w:hint="default"/>
      </w:rPr>
    </w:lvl>
    <w:lvl w:ilvl="2" w:tplc="A95A8282" w:tentative="1">
      <w:start w:val="1"/>
      <w:numFmt w:val="bullet"/>
      <w:lvlText w:val=""/>
      <w:lvlJc w:val="left"/>
      <w:pPr>
        <w:tabs>
          <w:tab w:val="num" w:pos="2160"/>
        </w:tabs>
        <w:ind w:left="2160" w:hanging="360"/>
      </w:pPr>
      <w:rPr>
        <w:rFonts w:ascii="Wingdings 2" w:hAnsi="Wingdings 2" w:hint="default"/>
      </w:rPr>
    </w:lvl>
    <w:lvl w:ilvl="3" w:tplc="2A14B720" w:tentative="1">
      <w:start w:val="1"/>
      <w:numFmt w:val="bullet"/>
      <w:lvlText w:val=""/>
      <w:lvlJc w:val="left"/>
      <w:pPr>
        <w:tabs>
          <w:tab w:val="num" w:pos="2880"/>
        </w:tabs>
        <w:ind w:left="2880" w:hanging="360"/>
      </w:pPr>
      <w:rPr>
        <w:rFonts w:ascii="Wingdings 2" w:hAnsi="Wingdings 2" w:hint="default"/>
      </w:rPr>
    </w:lvl>
    <w:lvl w:ilvl="4" w:tplc="F82A1EB6" w:tentative="1">
      <w:start w:val="1"/>
      <w:numFmt w:val="bullet"/>
      <w:lvlText w:val=""/>
      <w:lvlJc w:val="left"/>
      <w:pPr>
        <w:tabs>
          <w:tab w:val="num" w:pos="3600"/>
        </w:tabs>
        <w:ind w:left="3600" w:hanging="360"/>
      </w:pPr>
      <w:rPr>
        <w:rFonts w:ascii="Wingdings 2" w:hAnsi="Wingdings 2" w:hint="default"/>
      </w:rPr>
    </w:lvl>
    <w:lvl w:ilvl="5" w:tplc="76528F82" w:tentative="1">
      <w:start w:val="1"/>
      <w:numFmt w:val="bullet"/>
      <w:lvlText w:val=""/>
      <w:lvlJc w:val="left"/>
      <w:pPr>
        <w:tabs>
          <w:tab w:val="num" w:pos="4320"/>
        </w:tabs>
        <w:ind w:left="4320" w:hanging="360"/>
      </w:pPr>
      <w:rPr>
        <w:rFonts w:ascii="Wingdings 2" w:hAnsi="Wingdings 2" w:hint="default"/>
      </w:rPr>
    </w:lvl>
    <w:lvl w:ilvl="6" w:tplc="18389276" w:tentative="1">
      <w:start w:val="1"/>
      <w:numFmt w:val="bullet"/>
      <w:lvlText w:val=""/>
      <w:lvlJc w:val="left"/>
      <w:pPr>
        <w:tabs>
          <w:tab w:val="num" w:pos="5040"/>
        </w:tabs>
        <w:ind w:left="5040" w:hanging="360"/>
      </w:pPr>
      <w:rPr>
        <w:rFonts w:ascii="Wingdings 2" w:hAnsi="Wingdings 2" w:hint="default"/>
      </w:rPr>
    </w:lvl>
    <w:lvl w:ilvl="7" w:tplc="62ACC308" w:tentative="1">
      <w:start w:val="1"/>
      <w:numFmt w:val="bullet"/>
      <w:lvlText w:val=""/>
      <w:lvlJc w:val="left"/>
      <w:pPr>
        <w:tabs>
          <w:tab w:val="num" w:pos="5760"/>
        </w:tabs>
        <w:ind w:left="5760" w:hanging="360"/>
      </w:pPr>
      <w:rPr>
        <w:rFonts w:ascii="Wingdings 2" w:hAnsi="Wingdings 2" w:hint="default"/>
      </w:rPr>
    </w:lvl>
    <w:lvl w:ilvl="8" w:tplc="961C1558"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73A60B1A"/>
    <w:multiLevelType w:val="hybridMultilevel"/>
    <w:tmpl w:val="1AD236CE"/>
    <w:lvl w:ilvl="0" w:tplc="CECE3626">
      <w:start w:val="1"/>
      <w:numFmt w:val="bullet"/>
      <w:lvlText w:val=""/>
      <w:lvlJc w:val="left"/>
      <w:pPr>
        <w:tabs>
          <w:tab w:val="num" w:pos="720"/>
        </w:tabs>
        <w:ind w:left="720" w:hanging="360"/>
      </w:pPr>
      <w:rPr>
        <w:rFonts w:ascii="Wingdings 2" w:hAnsi="Wingdings 2" w:hint="default"/>
      </w:rPr>
    </w:lvl>
    <w:lvl w:ilvl="1" w:tplc="9C948860">
      <w:start w:val="1"/>
      <w:numFmt w:val="bullet"/>
      <w:lvlText w:val=""/>
      <w:lvlJc w:val="left"/>
      <w:pPr>
        <w:tabs>
          <w:tab w:val="num" w:pos="1440"/>
        </w:tabs>
        <w:ind w:left="1440" w:hanging="360"/>
      </w:pPr>
      <w:rPr>
        <w:rFonts w:ascii="Wingdings 2" w:hAnsi="Wingdings 2" w:hint="default"/>
      </w:rPr>
    </w:lvl>
    <w:lvl w:ilvl="2" w:tplc="3F621D90" w:tentative="1">
      <w:start w:val="1"/>
      <w:numFmt w:val="bullet"/>
      <w:lvlText w:val=""/>
      <w:lvlJc w:val="left"/>
      <w:pPr>
        <w:tabs>
          <w:tab w:val="num" w:pos="2160"/>
        </w:tabs>
        <w:ind w:left="2160" w:hanging="360"/>
      </w:pPr>
      <w:rPr>
        <w:rFonts w:ascii="Wingdings 2" w:hAnsi="Wingdings 2" w:hint="default"/>
      </w:rPr>
    </w:lvl>
    <w:lvl w:ilvl="3" w:tplc="9C8AF664" w:tentative="1">
      <w:start w:val="1"/>
      <w:numFmt w:val="bullet"/>
      <w:lvlText w:val=""/>
      <w:lvlJc w:val="left"/>
      <w:pPr>
        <w:tabs>
          <w:tab w:val="num" w:pos="2880"/>
        </w:tabs>
        <w:ind w:left="2880" w:hanging="360"/>
      </w:pPr>
      <w:rPr>
        <w:rFonts w:ascii="Wingdings 2" w:hAnsi="Wingdings 2" w:hint="default"/>
      </w:rPr>
    </w:lvl>
    <w:lvl w:ilvl="4" w:tplc="F036DB2E" w:tentative="1">
      <w:start w:val="1"/>
      <w:numFmt w:val="bullet"/>
      <w:lvlText w:val=""/>
      <w:lvlJc w:val="left"/>
      <w:pPr>
        <w:tabs>
          <w:tab w:val="num" w:pos="3600"/>
        </w:tabs>
        <w:ind w:left="3600" w:hanging="360"/>
      </w:pPr>
      <w:rPr>
        <w:rFonts w:ascii="Wingdings 2" w:hAnsi="Wingdings 2" w:hint="default"/>
      </w:rPr>
    </w:lvl>
    <w:lvl w:ilvl="5" w:tplc="348427F0" w:tentative="1">
      <w:start w:val="1"/>
      <w:numFmt w:val="bullet"/>
      <w:lvlText w:val=""/>
      <w:lvlJc w:val="left"/>
      <w:pPr>
        <w:tabs>
          <w:tab w:val="num" w:pos="4320"/>
        </w:tabs>
        <w:ind w:left="4320" w:hanging="360"/>
      </w:pPr>
      <w:rPr>
        <w:rFonts w:ascii="Wingdings 2" w:hAnsi="Wingdings 2" w:hint="default"/>
      </w:rPr>
    </w:lvl>
    <w:lvl w:ilvl="6" w:tplc="8F8A17D0" w:tentative="1">
      <w:start w:val="1"/>
      <w:numFmt w:val="bullet"/>
      <w:lvlText w:val=""/>
      <w:lvlJc w:val="left"/>
      <w:pPr>
        <w:tabs>
          <w:tab w:val="num" w:pos="5040"/>
        </w:tabs>
        <w:ind w:left="5040" w:hanging="360"/>
      </w:pPr>
      <w:rPr>
        <w:rFonts w:ascii="Wingdings 2" w:hAnsi="Wingdings 2" w:hint="default"/>
      </w:rPr>
    </w:lvl>
    <w:lvl w:ilvl="7" w:tplc="0CEC3B06" w:tentative="1">
      <w:start w:val="1"/>
      <w:numFmt w:val="bullet"/>
      <w:lvlText w:val=""/>
      <w:lvlJc w:val="left"/>
      <w:pPr>
        <w:tabs>
          <w:tab w:val="num" w:pos="5760"/>
        </w:tabs>
        <w:ind w:left="5760" w:hanging="360"/>
      </w:pPr>
      <w:rPr>
        <w:rFonts w:ascii="Wingdings 2" w:hAnsi="Wingdings 2" w:hint="default"/>
      </w:rPr>
    </w:lvl>
    <w:lvl w:ilvl="8" w:tplc="BCE087F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73FB3C0C"/>
    <w:multiLevelType w:val="hybridMultilevel"/>
    <w:tmpl w:val="9292611C"/>
    <w:lvl w:ilvl="0" w:tplc="D34CC72C">
      <w:start w:val="1"/>
      <w:numFmt w:val="bullet"/>
      <w:lvlText w:val=""/>
      <w:lvlJc w:val="left"/>
      <w:pPr>
        <w:tabs>
          <w:tab w:val="num" w:pos="720"/>
        </w:tabs>
        <w:ind w:left="720" w:hanging="360"/>
      </w:pPr>
      <w:rPr>
        <w:rFonts w:ascii="Wingdings 2" w:hAnsi="Wingdings 2" w:hint="default"/>
      </w:rPr>
    </w:lvl>
    <w:lvl w:ilvl="1" w:tplc="8C20410A" w:tentative="1">
      <w:start w:val="1"/>
      <w:numFmt w:val="bullet"/>
      <w:lvlText w:val=""/>
      <w:lvlJc w:val="left"/>
      <w:pPr>
        <w:tabs>
          <w:tab w:val="num" w:pos="1440"/>
        </w:tabs>
        <w:ind w:left="1440" w:hanging="360"/>
      </w:pPr>
      <w:rPr>
        <w:rFonts w:ascii="Wingdings 2" w:hAnsi="Wingdings 2" w:hint="default"/>
      </w:rPr>
    </w:lvl>
    <w:lvl w:ilvl="2" w:tplc="8096721A" w:tentative="1">
      <w:start w:val="1"/>
      <w:numFmt w:val="bullet"/>
      <w:lvlText w:val=""/>
      <w:lvlJc w:val="left"/>
      <w:pPr>
        <w:tabs>
          <w:tab w:val="num" w:pos="2160"/>
        </w:tabs>
        <w:ind w:left="2160" w:hanging="360"/>
      </w:pPr>
      <w:rPr>
        <w:rFonts w:ascii="Wingdings 2" w:hAnsi="Wingdings 2" w:hint="default"/>
      </w:rPr>
    </w:lvl>
    <w:lvl w:ilvl="3" w:tplc="ADA4F838" w:tentative="1">
      <w:start w:val="1"/>
      <w:numFmt w:val="bullet"/>
      <w:lvlText w:val=""/>
      <w:lvlJc w:val="left"/>
      <w:pPr>
        <w:tabs>
          <w:tab w:val="num" w:pos="2880"/>
        </w:tabs>
        <w:ind w:left="2880" w:hanging="360"/>
      </w:pPr>
      <w:rPr>
        <w:rFonts w:ascii="Wingdings 2" w:hAnsi="Wingdings 2" w:hint="default"/>
      </w:rPr>
    </w:lvl>
    <w:lvl w:ilvl="4" w:tplc="42B6C848" w:tentative="1">
      <w:start w:val="1"/>
      <w:numFmt w:val="bullet"/>
      <w:lvlText w:val=""/>
      <w:lvlJc w:val="left"/>
      <w:pPr>
        <w:tabs>
          <w:tab w:val="num" w:pos="3600"/>
        </w:tabs>
        <w:ind w:left="3600" w:hanging="360"/>
      </w:pPr>
      <w:rPr>
        <w:rFonts w:ascii="Wingdings 2" w:hAnsi="Wingdings 2" w:hint="default"/>
      </w:rPr>
    </w:lvl>
    <w:lvl w:ilvl="5" w:tplc="0B08A44E" w:tentative="1">
      <w:start w:val="1"/>
      <w:numFmt w:val="bullet"/>
      <w:lvlText w:val=""/>
      <w:lvlJc w:val="left"/>
      <w:pPr>
        <w:tabs>
          <w:tab w:val="num" w:pos="4320"/>
        </w:tabs>
        <w:ind w:left="4320" w:hanging="360"/>
      </w:pPr>
      <w:rPr>
        <w:rFonts w:ascii="Wingdings 2" w:hAnsi="Wingdings 2" w:hint="default"/>
      </w:rPr>
    </w:lvl>
    <w:lvl w:ilvl="6" w:tplc="E3BC270E" w:tentative="1">
      <w:start w:val="1"/>
      <w:numFmt w:val="bullet"/>
      <w:lvlText w:val=""/>
      <w:lvlJc w:val="left"/>
      <w:pPr>
        <w:tabs>
          <w:tab w:val="num" w:pos="5040"/>
        </w:tabs>
        <w:ind w:left="5040" w:hanging="360"/>
      </w:pPr>
      <w:rPr>
        <w:rFonts w:ascii="Wingdings 2" w:hAnsi="Wingdings 2" w:hint="default"/>
      </w:rPr>
    </w:lvl>
    <w:lvl w:ilvl="7" w:tplc="A28A0FB4" w:tentative="1">
      <w:start w:val="1"/>
      <w:numFmt w:val="bullet"/>
      <w:lvlText w:val=""/>
      <w:lvlJc w:val="left"/>
      <w:pPr>
        <w:tabs>
          <w:tab w:val="num" w:pos="5760"/>
        </w:tabs>
        <w:ind w:left="5760" w:hanging="360"/>
      </w:pPr>
      <w:rPr>
        <w:rFonts w:ascii="Wingdings 2" w:hAnsi="Wingdings 2" w:hint="default"/>
      </w:rPr>
    </w:lvl>
    <w:lvl w:ilvl="8" w:tplc="B6C41B12"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4E82D19"/>
    <w:multiLevelType w:val="hybridMultilevel"/>
    <w:tmpl w:val="C7DE483C"/>
    <w:lvl w:ilvl="0" w:tplc="744CECE6">
      <w:start w:val="1"/>
      <w:numFmt w:val="bullet"/>
      <w:lvlText w:val=""/>
      <w:lvlJc w:val="left"/>
      <w:pPr>
        <w:tabs>
          <w:tab w:val="num" w:pos="720"/>
        </w:tabs>
        <w:ind w:left="720" w:hanging="360"/>
      </w:pPr>
      <w:rPr>
        <w:rFonts w:ascii="Wingdings 2" w:hAnsi="Wingdings 2" w:hint="default"/>
      </w:rPr>
    </w:lvl>
    <w:lvl w:ilvl="1" w:tplc="DE180344" w:tentative="1">
      <w:start w:val="1"/>
      <w:numFmt w:val="bullet"/>
      <w:lvlText w:val=""/>
      <w:lvlJc w:val="left"/>
      <w:pPr>
        <w:tabs>
          <w:tab w:val="num" w:pos="1440"/>
        </w:tabs>
        <w:ind w:left="1440" w:hanging="360"/>
      </w:pPr>
      <w:rPr>
        <w:rFonts w:ascii="Wingdings 2" w:hAnsi="Wingdings 2" w:hint="default"/>
      </w:rPr>
    </w:lvl>
    <w:lvl w:ilvl="2" w:tplc="8B326BFA" w:tentative="1">
      <w:start w:val="1"/>
      <w:numFmt w:val="bullet"/>
      <w:lvlText w:val=""/>
      <w:lvlJc w:val="left"/>
      <w:pPr>
        <w:tabs>
          <w:tab w:val="num" w:pos="2160"/>
        </w:tabs>
        <w:ind w:left="2160" w:hanging="360"/>
      </w:pPr>
      <w:rPr>
        <w:rFonts w:ascii="Wingdings 2" w:hAnsi="Wingdings 2" w:hint="default"/>
      </w:rPr>
    </w:lvl>
    <w:lvl w:ilvl="3" w:tplc="D72EAFC2" w:tentative="1">
      <w:start w:val="1"/>
      <w:numFmt w:val="bullet"/>
      <w:lvlText w:val=""/>
      <w:lvlJc w:val="left"/>
      <w:pPr>
        <w:tabs>
          <w:tab w:val="num" w:pos="2880"/>
        </w:tabs>
        <w:ind w:left="2880" w:hanging="360"/>
      </w:pPr>
      <w:rPr>
        <w:rFonts w:ascii="Wingdings 2" w:hAnsi="Wingdings 2" w:hint="default"/>
      </w:rPr>
    </w:lvl>
    <w:lvl w:ilvl="4" w:tplc="26E45D92" w:tentative="1">
      <w:start w:val="1"/>
      <w:numFmt w:val="bullet"/>
      <w:lvlText w:val=""/>
      <w:lvlJc w:val="left"/>
      <w:pPr>
        <w:tabs>
          <w:tab w:val="num" w:pos="3600"/>
        </w:tabs>
        <w:ind w:left="3600" w:hanging="360"/>
      </w:pPr>
      <w:rPr>
        <w:rFonts w:ascii="Wingdings 2" w:hAnsi="Wingdings 2" w:hint="default"/>
      </w:rPr>
    </w:lvl>
    <w:lvl w:ilvl="5" w:tplc="3DA20172" w:tentative="1">
      <w:start w:val="1"/>
      <w:numFmt w:val="bullet"/>
      <w:lvlText w:val=""/>
      <w:lvlJc w:val="left"/>
      <w:pPr>
        <w:tabs>
          <w:tab w:val="num" w:pos="4320"/>
        </w:tabs>
        <w:ind w:left="4320" w:hanging="360"/>
      </w:pPr>
      <w:rPr>
        <w:rFonts w:ascii="Wingdings 2" w:hAnsi="Wingdings 2" w:hint="default"/>
      </w:rPr>
    </w:lvl>
    <w:lvl w:ilvl="6" w:tplc="D424F580" w:tentative="1">
      <w:start w:val="1"/>
      <w:numFmt w:val="bullet"/>
      <w:lvlText w:val=""/>
      <w:lvlJc w:val="left"/>
      <w:pPr>
        <w:tabs>
          <w:tab w:val="num" w:pos="5040"/>
        </w:tabs>
        <w:ind w:left="5040" w:hanging="360"/>
      </w:pPr>
      <w:rPr>
        <w:rFonts w:ascii="Wingdings 2" w:hAnsi="Wingdings 2" w:hint="default"/>
      </w:rPr>
    </w:lvl>
    <w:lvl w:ilvl="7" w:tplc="D5D8412A" w:tentative="1">
      <w:start w:val="1"/>
      <w:numFmt w:val="bullet"/>
      <w:lvlText w:val=""/>
      <w:lvlJc w:val="left"/>
      <w:pPr>
        <w:tabs>
          <w:tab w:val="num" w:pos="5760"/>
        </w:tabs>
        <w:ind w:left="5760" w:hanging="360"/>
      </w:pPr>
      <w:rPr>
        <w:rFonts w:ascii="Wingdings 2" w:hAnsi="Wingdings 2" w:hint="default"/>
      </w:rPr>
    </w:lvl>
    <w:lvl w:ilvl="8" w:tplc="645EDE32"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7F3F7B6E"/>
    <w:multiLevelType w:val="hybridMultilevel"/>
    <w:tmpl w:val="0166DEA4"/>
    <w:lvl w:ilvl="0" w:tplc="CC02F886">
      <w:start w:val="1"/>
      <w:numFmt w:val="bullet"/>
      <w:lvlText w:val=""/>
      <w:lvlJc w:val="left"/>
      <w:pPr>
        <w:tabs>
          <w:tab w:val="num" w:pos="720"/>
        </w:tabs>
        <w:ind w:left="720" w:hanging="360"/>
      </w:pPr>
      <w:rPr>
        <w:rFonts w:ascii="Wingdings 2" w:hAnsi="Wingdings 2" w:hint="default"/>
      </w:rPr>
    </w:lvl>
    <w:lvl w:ilvl="1" w:tplc="F8903620" w:tentative="1">
      <w:start w:val="1"/>
      <w:numFmt w:val="bullet"/>
      <w:lvlText w:val=""/>
      <w:lvlJc w:val="left"/>
      <w:pPr>
        <w:tabs>
          <w:tab w:val="num" w:pos="1440"/>
        </w:tabs>
        <w:ind w:left="1440" w:hanging="360"/>
      </w:pPr>
      <w:rPr>
        <w:rFonts w:ascii="Wingdings 2" w:hAnsi="Wingdings 2" w:hint="default"/>
      </w:rPr>
    </w:lvl>
    <w:lvl w:ilvl="2" w:tplc="CBB0A838" w:tentative="1">
      <w:start w:val="1"/>
      <w:numFmt w:val="bullet"/>
      <w:lvlText w:val=""/>
      <w:lvlJc w:val="left"/>
      <w:pPr>
        <w:tabs>
          <w:tab w:val="num" w:pos="2160"/>
        </w:tabs>
        <w:ind w:left="2160" w:hanging="360"/>
      </w:pPr>
      <w:rPr>
        <w:rFonts w:ascii="Wingdings 2" w:hAnsi="Wingdings 2" w:hint="default"/>
      </w:rPr>
    </w:lvl>
    <w:lvl w:ilvl="3" w:tplc="1A941818" w:tentative="1">
      <w:start w:val="1"/>
      <w:numFmt w:val="bullet"/>
      <w:lvlText w:val=""/>
      <w:lvlJc w:val="left"/>
      <w:pPr>
        <w:tabs>
          <w:tab w:val="num" w:pos="2880"/>
        </w:tabs>
        <w:ind w:left="2880" w:hanging="360"/>
      </w:pPr>
      <w:rPr>
        <w:rFonts w:ascii="Wingdings 2" w:hAnsi="Wingdings 2" w:hint="default"/>
      </w:rPr>
    </w:lvl>
    <w:lvl w:ilvl="4" w:tplc="9976DE2A" w:tentative="1">
      <w:start w:val="1"/>
      <w:numFmt w:val="bullet"/>
      <w:lvlText w:val=""/>
      <w:lvlJc w:val="left"/>
      <w:pPr>
        <w:tabs>
          <w:tab w:val="num" w:pos="3600"/>
        </w:tabs>
        <w:ind w:left="3600" w:hanging="360"/>
      </w:pPr>
      <w:rPr>
        <w:rFonts w:ascii="Wingdings 2" w:hAnsi="Wingdings 2" w:hint="default"/>
      </w:rPr>
    </w:lvl>
    <w:lvl w:ilvl="5" w:tplc="A4B65F16" w:tentative="1">
      <w:start w:val="1"/>
      <w:numFmt w:val="bullet"/>
      <w:lvlText w:val=""/>
      <w:lvlJc w:val="left"/>
      <w:pPr>
        <w:tabs>
          <w:tab w:val="num" w:pos="4320"/>
        </w:tabs>
        <w:ind w:left="4320" w:hanging="360"/>
      </w:pPr>
      <w:rPr>
        <w:rFonts w:ascii="Wingdings 2" w:hAnsi="Wingdings 2" w:hint="default"/>
      </w:rPr>
    </w:lvl>
    <w:lvl w:ilvl="6" w:tplc="2B00022A" w:tentative="1">
      <w:start w:val="1"/>
      <w:numFmt w:val="bullet"/>
      <w:lvlText w:val=""/>
      <w:lvlJc w:val="left"/>
      <w:pPr>
        <w:tabs>
          <w:tab w:val="num" w:pos="5040"/>
        </w:tabs>
        <w:ind w:left="5040" w:hanging="360"/>
      </w:pPr>
      <w:rPr>
        <w:rFonts w:ascii="Wingdings 2" w:hAnsi="Wingdings 2" w:hint="default"/>
      </w:rPr>
    </w:lvl>
    <w:lvl w:ilvl="7" w:tplc="5D7CD1D6" w:tentative="1">
      <w:start w:val="1"/>
      <w:numFmt w:val="bullet"/>
      <w:lvlText w:val=""/>
      <w:lvlJc w:val="left"/>
      <w:pPr>
        <w:tabs>
          <w:tab w:val="num" w:pos="5760"/>
        </w:tabs>
        <w:ind w:left="5760" w:hanging="360"/>
      </w:pPr>
      <w:rPr>
        <w:rFonts w:ascii="Wingdings 2" w:hAnsi="Wingdings 2" w:hint="default"/>
      </w:rPr>
    </w:lvl>
    <w:lvl w:ilvl="8" w:tplc="9118E52E"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15"/>
  </w:num>
  <w:num w:numId="3">
    <w:abstractNumId w:val="20"/>
  </w:num>
  <w:num w:numId="4">
    <w:abstractNumId w:val="13"/>
  </w:num>
  <w:num w:numId="5">
    <w:abstractNumId w:val="27"/>
  </w:num>
  <w:num w:numId="6">
    <w:abstractNumId w:val="17"/>
  </w:num>
  <w:num w:numId="7">
    <w:abstractNumId w:val="2"/>
  </w:num>
  <w:num w:numId="8">
    <w:abstractNumId w:val="26"/>
  </w:num>
  <w:num w:numId="9">
    <w:abstractNumId w:val="31"/>
  </w:num>
  <w:num w:numId="10">
    <w:abstractNumId w:val="32"/>
  </w:num>
  <w:num w:numId="11">
    <w:abstractNumId w:val="29"/>
  </w:num>
  <w:num w:numId="12">
    <w:abstractNumId w:val="28"/>
  </w:num>
  <w:num w:numId="13">
    <w:abstractNumId w:val="19"/>
  </w:num>
  <w:num w:numId="14">
    <w:abstractNumId w:val="12"/>
  </w:num>
  <w:num w:numId="15">
    <w:abstractNumId w:val="22"/>
  </w:num>
  <w:num w:numId="16">
    <w:abstractNumId w:val="24"/>
  </w:num>
  <w:num w:numId="17">
    <w:abstractNumId w:val="8"/>
  </w:num>
  <w:num w:numId="18">
    <w:abstractNumId w:val="16"/>
  </w:num>
  <w:num w:numId="19">
    <w:abstractNumId w:val="33"/>
  </w:num>
  <w:num w:numId="20">
    <w:abstractNumId w:val="6"/>
  </w:num>
  <w:num w:numId="21">
    <w:abstractNumId w:val="4"/>
  </w:num>
  <w:num w:numId="22">
    <w:abstractNumId w:val="9"/>
  </w:num>
  <w:num w:numId="23">
    <w:abstractNumId w:val="18"/>
  </w:num>
  <w:num w:numId="24">
    <w:abstractNumId w:val="10"/>
  </w:num>
  <w:num w:numId="25">
    <w:abstractNumId w:val="5"/>
  </w:num>
  <w:num w:numId="26">
    <w:abstractNumId w:val="0"/>
  </w:num>
  <w:num w:numId="27">
    <w:abstractNumId w:val="14"/>
  </w:num>
  <w:num w:numId="28">
    <w:abstractNumId w:val="1"/>
  </w:num>
  <w:num w:numId="29">
    <w:abstractNumId w:val="30"/>
  </w:num>
  <w:num w:numId="30">
    <w:abstractNumId w:val="21"/>
  </w:num>
  <w:num w:numId="31">
    <w:abstractNumId w:val="23"/>
  </w:num>
  <w:num w:numId="32">
    <w:abstractNumId w:val="25"/>
  </w:num>
  <w:num w:numId="33">
    <w:abstractNumId w:val="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049"/>
    <w:rsid w:val="00000550"/>
    <w:rsid w:val="000012E2"/>
    <w:rsid w:val="0000273E"/>
    <w:rsid w:val="000040C6"/>
    <w:rsid w:val="0000418A"/>
    <w:rsid w:val="00004957"/>
    <w:rsid w:val="0000563C"/>
    <w:rsid w:val="00006063"/>
    <w:rsid w:val="00006B71"/>
    <w:rsid w:val="000070EC"/>
    <w:rsid w:val="00007E73"/>
    <w:rsid w:val="00011E0E"/>
    <w:rsid w:val="0001485A"/>
    <w:rsid w:val="00015353"/>
    <w:rsid w:val="00015EFC"/>
    <w:rsid w:val="000178D6"/>
    <w:rsid w:val="00023A11"/>
    <w:rsid w:val="00024AED"/>
    <w:rsid w:val="00025E3E"/>
    <w:rsid w:val="000268F9"/>
    <w:rsid w:val="00026E0C"/>
    <w:rsid w:val="00032612"/>
    <w:rsid w:val="000329B7"/>
    <w:rsid w:val="000355E0"/>
    <w:rsid w:val="0004001E"/>
    <w:rsid w:val="0004102B"/>
    <w:rsid w:val="000503CD"/>
    <w:rsid w:val="000520E7"/>
    <w:rsid w:val="00052218"/>
    <w:rsid w:val="00052690"/>
    <w:rsid w:val="00053CB7"/>
    <w:rsid w:val="000607F3"/>
    <w:rsid w:val="00060FC5"/>
    <w:rsid w:val="000643C4"/>
    <w:rsid w:val="00064F70"/>
    <w:rsid w:val="000676BD"/>
    <w:rsid w:val="00070E3B"/>
    <w:rsid w:val="000713D5"/>
    <w:rsid w:val="00075AEF"/>
    <w:rsid w:val="000773A6"/>
    <w:rsid w:val="00082618"/>
    <w:rsid w:val="000834AA"/>
    <w:rsid w:val="0008545A"/>
    <w:rsid w:val="00087491"/>
    <w:rsid w:val="00094A0C"/>
    <w:rsid w:val="000A1404"/>
    <w:rsid w:val="000A2F6E"/>
    <w:rsid w:val="000A50A1"/>
    <w:rsid w:val="000A53EE"/>
    <w:rsid w:val="000B04A4"/>
    <w:rsid w:val="000B3C22"/>
    <w:rsid w:val="000B3F6A"/>
    <w:rsid w:val="000B6D5D"/>
    <w:rsid w:val="000B76CC"/>
    <w:rsid w:val="000B7B35"/>
    <w:rsid w:val="000B7F0B"/>
    <w:rsid w:val="000C4B05"/>
    <w:rsid w:val="000C520E"/>
    <w:rsid w:val="000C7232"/>
    <w:rsid w:val="000C76A0"/>
    <w:rsid w:val="000C7951"/>
    <w:rsid w:val="000D0BCD"/>
    <w:rsid w:val="000D2715"/>
    <w:rsid w:val="000D42C0"/>
    <w:rsid w:val="000D4A15"/>
    <w:rsid w:val="000E295F"/>
    <w:rsid w:val="000E48C9"/>
    <w:rsid w:val="000E7857"/>
    <w:rsid w:val="000E7A7B"/>
    <w:rsid w:val="000E7C9D"/>
    <w:rsid w:val="000F00E6"/>
    <w:rsid w:val="000F2010"/>
    <w:rsid w:val="000F229C"/>
    <w:rsid w:val="000F25BE"/>
    <w:rsid w:val="000F27CA"/>
    <w:rsid w:val="000F3CA6"/>
    <w:rsid w:val="000F4B81"/>
    <w:rsid w:val="000F56A4"/>
    <w:rsid w:val="000F5D73"/>
    <w:rsid w:val="000F6CBE"/>
    <w:rsid w:val="000F7C1E"/>
    <w:rsid w:val="00100586"/>
    <w:rsid w:val="001006B0"/>
    <w:rsid w:val="00100AE6"/>
    <w:rsid w:val="00100DDB"/>
    <w:rsid w:val="00101CB2"/>
    <w:rsid w:val="00104052"/>
    <w:rsid w:val="00107947"/>
    <w:rsid w:val="00107AA8"/>
    <w:rsid w:val="001100A3"/>
    <w:rsid w:val="00110BC3"/>
    <w:rsid w:val="00112A4A"/>
    <w:rsid w:val="00112E37"/>
    <w:rsid w:val="00115C1E"/>
    <w:rsid w:val="00116778"/>
    <w:rsid w:val="001208AD"/>
    <w:rsid w:val="00123FD1"/>
    <w:rsid w:val="00127AD6"/>
    <w:rsid w:val="00133FA0"/>
    <w:rsid w:val="00137F15"/>
    <w:rsid w:val="001424EC"/>
    <w:rsid w:val="00145902"/>
    <w:rsid w:val="00152262"/>
    <w:rsid w:val="001538DC"/>
    <w:rsid w:val="001647B8"/>
    <w:rsid w:val="00165F2E"/>
    <w:rsid w:val="00173414"/>
    <w:rsid w:val="00181CD2"/>
    <w:rsid w:val="0018330D"/>
    <w:rsid w:val="00185EC9"/>
    <w:rsid w:val="00191F87"/>
    <w:rsid w:val="001960C5"/>
    <w:rsid w:val="00196E2E"/>
    <w:rsid w:val="001979F8"/>
    <w:rsid w:val="001A0F9A"/>
    <w:rsid w:val="001A10A5"/>
    <w:rsid w:val="001A1814"/>
    <w:rsid w:val="001A1C94"/>
    <w:rsid w:val="001A2500"/>
    <w:rsid w:val="001A70B2"/>
    <w:rsid w:val="001B194D"/>
    <w:rsid w:val="001B1EF0"/>
    <w:rsid w:val="001B2AB8"/>
    <w:rsid w:val="001B5F7A"/>
    <w:rsid w:val="001C0C10"/>
    <w:rsid w:val="001C2368"/>
    <w:rsid w:val="001C2A87"/>
    <w:rsid w:val="001C49E9"/>
    <w:rsid w:val="001C619A"/>
    <w:rsid w:val="001D14D3"/>
    <w:rsid w:val="001D2502"/>
    <w:rsid w:val="001D4930"/>
    <w:rsid w:val="001E3CA0"/>
    <w:rsid w:val="001E7A11"/>
    <w:rsid w:val="001F179D"/>
    <w:rsid w:val="001F1F4C"/>
    <w:rsid w:val="001F35E0"/>
    <w:rsid w:val="001F41FD"/>
    <w:rsid w:val="001F4DE1"/>
    <w:rsid w:val="001F7153"/>
    <w:rsid w:val="00200880"/>
    <w:rsid w:val="00202435"/>
    <w:rsid w:val="0020293A"/>
    <w:rsid w:val="00205B52"/>
    <w:rsid w:val="002067C7"/>
    <w:rsid w:val="002105A5"/>
    <w:rsid w:val="00211816"/>
    <w:rsid w:val="0021217F"/>
    <w:rsid w:val="00215B34"/>
    <w:rsid w:val="002166FD"/>
    <w:rsid w:val="00221AC6"/>
    <w:rsid w:val="00221FDE"/>
    <w:rsid w:val="00222D07"/>
    <w:rsid w:val="00223E00"/>
    <w:rsid w:val="00231EC2"/>
    <w:rsid w:val="002330D5"/>
    <w:rsid w:val="002356A2"/>
    <w:rsid w:val="002406A0"/>
    <w:rsid w:val="00242B60"/>
    <w:rsid w:val="002431F8"/>
    <w:rsid w:val="002442F4"/>
    <w:rsid w:val="00246079"/>
    <w:rsid w:val="00247528"/>
    <w:rsid w:val="002543D2"/>
    <w:rsid w:val="00256ED7"/>
    <w:rsid w:val="00264232"/>
    <w:rsid w:val="00264BB5"/>
    <w:rsid w:val="00264C0A"/>
    <w:rsid w:val="00270F32"/>
    <w:rsid w:val="00271812"/>
    <w:rsid w:val="002718F1"/>
    <w:rsid w:val="00271B37"/>
    <w:rsid w:val="00272A3E"/>
    <w:rsid w:val="0027357F"/>
    <w:rsid w:val="00273963"/>
    <w:rsid w:val="002747CB"/>
    <w:rsid w:val="00281572"/>
    <w:rsid w:val="00282EF4"/>
    <w:rsid w:val="00286943"/>
    <w:rsid w:val="002901C5"/>
    <w:rsid w:val="00292B98"/>
    <w:rsid w:val="00293153"/>
    <w:rsid w:val="00297AE1"/>
    <w:rsid w:val="002A0D48"/>
    <w:rsid w:val="002A2761"/>
    <w:rsid w:val="002A3AE7"/>
    <w:rsid w:val="002A50FA"/>
    <w:rsid w:val="002A5EDD"/>
    <w:rsid w:val="002A60C7"/>
    <w:rsid w:val="002B0824"/>
    <w:rsid w:val="002B1469"/>
    <w:rsid w:val="002B177D"/>
    <w:rsid w:val="002B6DBF"/>
    <w:rsid w:val="002C7287"/>
    <w:rsid w:val="002D0642"/>
    <w:rsid w:val="002D0788"/>
    <w:rsid w:val="002D09B5"/>
    <w:rsid w:val="002D236D"/>
    <w:rsid w:val="002D4789"/>
    <w:rsid w:val="002D573E"/>
    <w:rsid w:val="002D5E1F"/>
    <w:rsid w:val="002D6357"/>
    <w:rsid w:val="002D6E1C"/>
    <w:rsid w:val="002D7B25"/>
    <w:rsid w:val="002E5BF3"/>
    <w:rsid w:val="002E7CC2"/>
    <w:rsid w:val="002F2075"/>
    <w:rsid w:val="002F7F0E"/>
    <w:rsid w:val="00300C06"/>
    <w:rsid w:val="0030171F"/>
    <w:rsid w:val="0031067E"/>
    <w:rsid w:val="00316B50"/>
    <w:rsid w:val="00316F8B"/>
    <w:rsid w:val="003212E2"/>
    <w:rsid w:val="003219AF"/>
    <w:rsid w:val="00322416"/>
    <w:rsid w:val="003225C2"/>
    <w:rsid w:val="00322EAF"/>
    <w:rsid w:val="00326E92"/>
    <w:rsid w:val="00327152"/>
    <w:rsid w:val="00330104"/>
    <w:rsid w:val="00331390"/>
    <w:rsid w:val="00331A27"/>
    <w:rsid w:val="00331D00"/>
    <w:rsid w:val="003427E0"/>
    <w:rsid w:val="00346589"/>
    <w:rsid w:val="00352365"/>
    <w:rsid w:val="00352588"/>
    <w:rsid w:val="00352858"/>
    <w:rsid w:val="003552DF"/>
    <w:rsid w:val="00355487"/>
    <w:rsid w:val="00356571"/>
    <w:rsid w:val="00356D4D"/>
    <w:rsid w:val="00357F0A"/>
    <w:rsid w:val="00364046"/>
    <w:rsid w:val="00365DA6"/>
    <w:rsid w:val="00367D91"/>
    <w:rsid w:val="0037502F"/>
    <w:rsid w:val="003764F6"/>
    <w:rsid w:val="00377470"/>
    <w:rsid w:val="0038011C"/>
    <w:rsid w:val="0038019F"/>
    <w:rsid w:val="003805F5"/>
    <w:rsid w:val="00390651"/>
    <w:rsid w:val="00390835"/>
    <w:rsid w:val="00391C19"/>
    <w:rsid w:val="003926E5"/>
    <w:rsid w:val="00394D39"/>
    <w:rsid w:val="003A0280"/>
    <w:rsid w:val="003A0E3E"/>
    <w:rsid w:val="003A1BC2"/>
    <w:rsid w:val="003A1C14"/>
    <w:rsid w:val="003A3D55"/>
    <w:rsid w:val="003A6B45"/>
    <w:rsid w:val="003B1F53"/>
    <w:rsid w:val="003B347F"/>
    <w:rsid w:val="003B75D0"/>
    <w:rsid w:val="003C2715"/>
    <w:rsid w:val="003C7C36"/>
    <w:rsid w:val="003D1170"/>
    <w:rsid w:val="003D21B6"/>
    <w:rsid w:val="003D2887"/>
    <w:rsid w:val="003D2AF8"/>
    <w:rsid w:val="003D5E18"/>
    <w:rsid w:val="003D6250"/>
    <w:rsid w:val="003D66EC"/>
    <w:rsid w:val="003D682B"/>
    <w:rsid w:val="003E0D3B"/>
    <w:rsid w:val="003E0DDE"/>
    <w:rsid w:val="003E2077"/>
    <w:rsid w:val="003E69CD"/>
    <w:rsid w:val="003F1411"/>
    <w:rsid w:val="003F23AC"/>
    <w:rsid w:val="003F3E97"/>
    <w:rsid w:val="003F42E1"/>
    <w:rsid w:val="003F68D6"/>
    <w:rsid w:val="003F6AD2"/>
    <w:rsid w:val="00403B15"/>
    <w:rsid w:val="004047C2"/>
    <w:rsid w:val="004070A3"/>
    <w:rsid w:val="004144D4"/>
    <w:rsid w:val="00415947"/>
    <w:rsid w:val="00417092"/>
    <w:rsid w:val="00423D7A"/>
    <w:rsid w:val="004244B9"/>
    <w:rsid w:val="004263B9"/>
    <w:rsid w:val="00426C66"/>
    <w:rsid w:val="0042782B"/>
    <w:rsid w:val="00431114"/>
    <w:rsid w:val="004317D8"/>
    <w:rsid w:val="00444E48"/>
    <w:rsid w:val="0044770E"/>
    <w:rsid w:val="00450C49"/>
    <w:rsid w:val="00451359"/>
    <w:rsid w:val="00451D32"/>
    <w:rsid w:val="004554A4"/>
    <w:rsid w:val="0046159F"/>
    <w:rsid w:val="00461AE5"/>
    <w:rsid w:val="00467F70"/>
    <w:rsid w:val="00471EA1"/>
    <w:rsid w:val="00474229"/>
    <w:rsid w:val="00483D56"/>
    <w:rsid w:val="00484183"/>
    <w:rsid w:val="00484FB4"/>
    <w:rsid w:val="00485DD2"/>
    <w:rsid w:val="00490993"/>
    <w:rsid w:val="00491A64"/>
    <w:rsid w:val="00491F22"/>
    <w:rsid w:val="00492434"/>
    <w:rsid w:val="004924E7"/>
    <w:rsid w:val="00493E45"/>
    <w:rsid w:val="00496E05"/>
    <w:rsid w:val="004A0A52"/>
    <w:rsid w:val="004A0BFC"/>
    <w:rsid w:val="004A1777"/>
    <w:rsid w:val="004A1E34"/>
    <w:rsid w:val="004A395F"/>
    <w:rsid w:val="004A4606"/>
    <w:rsid w:val="004C48E7"/>
    <w:rsid w:val="004C494D"/>
    <w:rsid w:val="004C5CD9"/>
    <w:rsid w:val="004C74BB"/>
    <w:rsid w:val="004D3EAD"/>
    <w:rsid w:val="004D443A"/>
    <w:rsid w:val="004D6462"/>
    <w:rsid w:val="004D735C"/>
    <w:rsid w:val="004D7807"/>
    <w:rsid w:val="004E2662"/>
    <w:rsid w:val="004E3565"/>
    <w:rsid w:val="004E3A75"/>
    <w:rsid w:val="004E3ED3"/>
    <w:rsid w:val="004E45A6"/>
    <w:rsid w:val="004E52F8"/>
    <w:rsid w:val="004E55B1"/>
    <w:rsid w:val="004E7A7B"/>
    <w:rsid w:val="004F3D7F"/>
    <w:rsid w:val="004F3E39"/>
    <w:rsid w:val="004F55B6"/>
    <w:rsid w:val="005005CE"/>
    <w:rsid w:val="00500CA2"/>
    <w:rsid w:val="00501D8E"/>
    <w:rsid w:val="00510AD4"/>
    <w:rsid w:val="00513EBE"/>
    <w:rsid w:val="005147CC"/>
    <w:rsid w:val="005154AE"/>
    <w:rsid w:val="00522494"/>
    <w:rsid w:val="00522BC0"/>
    <w:rsid w:val="005264C1"/>
    <w:rsid w:val="00530597"/>
    <w:rsid w:val="00530CF2"/>
    <w:rsid w:val="00531D13"/>
    <w:rsid w:val="00531F67"/>
    <w:rsid w:val="00532154"/>
    <w:rsid w:val="005327E0"/>
    <w:rsid w:val="005328A0"/>
    <w:rsid w:val="005328FF"/>
    <w:rsid w:val="00532C0E"/>
    <w:rsid w:val="005343EE"/>
    <w:rsid w:val="0053662E"/>
    <w:rsid w:val="00536EF5"/>
    <w:rsid w:val="00540D4B"/>
    <w:rsid w:val="00541E95"/>
    <w:rsid w:val="00542059"/>
    <w:rsid w:val="005435BF"/>
    <w:rsid w:val="00545E4C"/>
    <w:rsid w:val="00551DBD"/>
    <w:rsid w:val="00555323"/>
    <w:rsid w:val="00555FDC"/>
    <w:rsid w:val="00556356"/>
    <w:rsid w:val="00557796"/>
    <w:rsid w:val="00562596"/>
    <w:rsid w:val="005627AB"/>
    <w:rsid w:val="005634FC"/>
    <w:rsid w:val="00564956"/>
    <w:rsid w:val="00566D33"/>
    <w:rsid w:val="00567D39"/>
    <w:rsid w:val="005704F0"/>
    <w:rsid w:val="00571EFE"/>
    <w:rsid w:val="005749F0"/>
    <w:rsid w:val="005767F8"/>
    <w:rsid w:val="00576835"/>
    <w:rsid w:val="00581BA5"/>
    <w:rsid w:val="00581FEC"/>
    <w:rsid w:val="00582116"/>
    <w:rsid w:val="00584C47"/>
    <w:rsid w:val="005853D3"/>
    <w:rsid w:val="005917DA"/>
    <w:rsid w:val="00591AFC"/>
    <w:rsid w:val="00592EFF"/>
    <w:rsid w:val="00596472"/>
    <w:rsid w:val="0059660B"/>
    <w:rsid w:val="005A0EAE"/>
    <w:rsid w:val="005A197F"/>
    <w:rsid w:val="005A355A"/>
    <w:rsid w:val="005A57A8"/>
    <w:rsid w:val="005B5A1C"/>
    <w:rsid w:val="005B5ADE"/>
    <w:rsid w:val="005B677A"/>
    <w:rsid w:val="005C01BB"/>
    <w:rsid w:val="005C12D8"/>
    <w:rsid w:val="005C1C2B"/>
    <w:rsid w:val="005C2405"/>
    <w:rsid w:val="005C2623"/>
    <w:rsid w:val="005C5C6F"/>
    <w:rsid w:val="005C5D1C"/>
    <w:rsid w:val="005D04C9"/>
    <w:rsid w:val="005D2572"/>
    <w:rsid w:val="005D5396"/>
    <w:rsid w:val="005D5695"/>
    <w:rsid w:val="005D7C53"/>
    <w:rsid w:val="005D7D17"/>
    <w:rsid w:val="005E18FD"/>
    <w:rsid w:val="005E64B6"/>
    <w:rsid w:val="005F120A"/>
    <w:rsid w:val="005F5EBE"/>
    <w:rsid w:val="005F73B0"/>
    <w:rsid w:val="00600CB9"/>
    <w:rsid w:val="00603080"/>
    <w:rsid w:val="00603394"/>
    <w:rsid w:val="00605554"/>
    <w:rsid w:val="00606A4E"/>
    <w:rsid w:val="00607F14"/>
    <w:rsid w:val="006111C0"/>
    <w:rsid w:val="006115A6"/>
    <w:rsid w:val="0061181C"/>
    <w:rsid w:val="00614136"/>
    <w:rsid w:val="006164A8"/>
    <w:rsid w:val="006179AC"/>
    <w:rsid w:val="00617A95"/>
    <w:rsid w:val="00622CFD"/>
    <w:rsid w:val="00624259"/>
    <w:rsid w:val="00625239"/>
    <w:rsid w:val="006273A0"/>
    <w:rsid w:val="0063169C"/>
    <w:rsid w:val="00632842"/>
    <w:rsid w:val="00633D19"/>
    <w:rsid w:val="00636EAA"/>
    <w:rsid w:val="00641D91"/>
    <w:rsid w:val="00643EC8"/>
    <w:rsid w:val="00645C97"/>
    <w:rsid w:val="00647E0D"/>
    <w:rsid w:val="006506F2"/>
    <w:rsid w:val="00650A40"/>
    <w:rsid w:val="00651B7D"/>
    <w:rsid w:val="00657B98"/>
    <w:rsid w:val="00660593"/>
    <w:rsid w:val="00660CBF"/>
    <w:rsid w:val="00660EC0"/>
    <w:rsid w:val="00661C18"/>
    <w:rsid w:val="0066317C"/>
    <w:rsid w:val="00664FDE"/>
    <w:rsid w:val="006655D3"/>
    <w:rsid w:val="00665C83"/>
    <w:rsid w:val="00666CF6"/>
    <w:rsid w:val="006677B6"/>
    <w:rsid w:val="006730CC"/>
    <w:rsid w:val="006734BB"/>
    <w:rsid w:val="0067538B"/>
    <w:rsid w:val="006757C2"/>
    <w:rsid w:val="006769A4"/>
    <w:rsid w:val="00677531"/>
    <w:rsid w:val="00680711"/>
    <w:rsid w:val="006809E2"/>
    <w:rsid w:val="0068252A"/>
    <w:rsid w:val="00685D1D"/>
    <w:rsid w:val="00687747"/>
    <w:rsid w:val="0069291F"/>
    <w:rsid w:val="0069545A"/>
    <w:rsid w:val="00695A29"/>
    <w:rsid w:val="006968D5"/>
    <w:rsid w:val="006978F8"/>
    <w:rsid w:val="006A101F"/>
    <w:rsid w:val="006A1C2A"/>
    <w:rsid w:val="006A3B26"/>
    <w:rsid w:val="006A4108"/>
    <w:rsid w:val="006B1728"/>
    <w:rsid w:val="006B1926"/>
    <w:rsid w:val="006B28A7"/>
    <w:rsid w:val="006B3EAC"/>
    <w:rsid w:val="006B571D"/>
    <w:rsid w:val="006B6790"/>
    <w:rsid w:val="006C0FC1"/>
    <w:rsid w:val="006C2AE7"/>
    <w:rsid w:val="006C3C98"/>
    <w:rsid w:val="006C4273"/>
    <w:rsid w:val="006D1664"/>
    <w:rsid w:val="006D4341"/>
    <w:rsid w:val="006E044D"/>
    <w:rsid w:val="006E0C44"/>
    <w:rsid w:val="006E5132"/>
    <w:rsid w:val="006E6C84"/>
    <w:rsid w:val="006E6FBE"/>
    <w:rsid w:val="006E7622"/>
    <w:rsid w:val="006F1920"/>
    <w:rsid w:val="006F2F88"/>
    <w:rsid w:val="006F52F2"/>
    <w:rsid w:val="006F6282"/>
    <w:rsid w:val="00701D1D"/>
    <w:rsid w:val="0070577B"/>
    <w:rsid w:val="007066F9"/>
    <w:rsid w:val="007101B4"/>
    <w:rsid w:val="00710458"/>
    <w:rsid w:val="00710D5D"/>
    <w:rsid w:val="007130B5"/>
    <w:rsid w:val="007131C7"/>
    <w:rsid w:val="0071395C"/>
    <w:rsid w:val="007178D8"/>
    <w:rsid w:val="00727F19"/>
    <w:rsid w:val="0073029C"/>
    <w:rsid w:val="007320CF"/>
    <w:rsid w:val="00732D5A"/>
    <w:rsid w:val="00733927"/>
    <w:rsid w:val="00734A7E"/>
    <w:rsid w:val="00735168"/>
    <w:rsid w:val="00735BB5"/>
    <w:rsid w:val="00735F57"/>
    <w:rsid w:val="00736478"/>
    <w:rsid w:val="00742A36"/>
    <w:rsid w:val="00743161"/>
    <w:rsid w:val="00743DEA"/>
    <w:rsid w:val="0074703A"/>
    <w:rsid w:val="00751F52"/>
    <w:rsid w:val="00752C77"/>
    <w:rsid w:val="00753497"/>
    <w:rsid w:val="00753F40"/>
    <w:rsid w:val="00760115"/>
    <w:rsid w:val="00760830"/>
    <w:rsid w:val="00760CC1"/>
    <w:rsid w:val="00761581"/>
    <w:rsid w:val="00762DB0"/>
    <w:rsid w:val="0076325A"/>
    <w:rsid w:val="00763E3B"/>
    <w:rsid w:val="00766173"/>
    <w:rsid w:val="007714BF"/>
    <w:rsid w:val="0077409B"/>
    <w:rsid w:val="00776EA3"/>
    <w:rsid w:val="007804FD"/>
    <w:rsid w:val="00781386"/>
    <w:rsid w:val="007832A1"/>
    <w:rsid w:val="007855B7"/>
    <w:rsid w:val="0078700A"/>
    <w:rsid w:val="0079095F"/>
    <w:rsid w:val="00790B56"/>
    <w:rsid w:val="00794EE0"/>
    <w:rsid w:val="007952DE"/>
    <w:rsid w:val="007955DF"/>
    <w:rsid w:val="00796A2B"/>
    <w:rsid w:val="00797731"/>
    <w:rsid w:val="00797B0E"/>
    <w:rsid w:val="00797C54"/>
    <w:rsid w:val="00797FA2"/>
    <w:rsid w:val="007A0692"/>
    <w:rsid w:val="007A1632"/>
    <w:rsid w:val="007A28BC"/>
    <w:rsid w:val="007A4203"/>
    <w:rsid w:val="007A7763"/>
    <w:rsid w:val="007A7E1C"/>
    <w:rsid w:val="007B449B"/>
    <w:rsid w:val="007B4BA5"/>
    <w:rsid w:val="007B60E7"/>
    <w:rsid w:val="007B72D1"/>
    <w:rsid w:val="007C19B2"/>
    <w:rsid w:val="007C5C48"/>
    <w:rsid w:val="007D2CCA"/>
    <w:rsid w:val="007D37A8"/>
    <w:rsid w:val="007D6197"/>
    <w:rsid w:val="007E05F6"/>
    <w:rsid w:val="007E1C46"/>
    <w:rsid w:val="007E32E5"/>
    <w:rsid w:val="007E395B"/>
    <w:rsid w:val="007E3B15"/>
    <w:rsid w:val="007E4FD6"/>
    <w:rsid w:val="007E7134"/>
    <w:rsid w:val="007F08B7"/>
    <w:rsid w:val="007F11E6"/>
    <w:rsid w:val="007F1362"/>
    <w:rsid w:val="007F1673"/>
    <w:rsid w:val="007F16C7"/>
    <w:rsid w:val="007F3810"/>
    <w:rsid w:val="007F3F51"/>
    <w:rsid w:val="007F5B23"/>
    <w:rsid w:val="007F7047"/>
    <w:rsid w:val="007F777A"/>
    <w:rsid w:val="007F77BA"/>
    <w:rsid w:val="008006CF"/>
    <w:rsid w:val="008015CA"/>
    <w:rsid w:val="00801780"/>
    <w:rsid w:val="008027B8"/>
    <w:rsid w:val="008034F0"/>
    <w:rsid w:val="00803A75"/>
    <w:rsid w:val="00806B0B"/>
    <w:rsid w:val="00807A82"/>
    <w:rsid w:val="00807B8B"/>
    <w:rsid w:val="00811577"/>
    <w:rsid w:val="00811C6C"/>
    <w:rsid w:val="00814207"/>
    <w:rsid w:val="008143AD"/>
    <w:rsid w:val="008217E5"/>
    <w:rsid w:val="00824476"/>
    <w:rsid w:val="00825502"/>
    <w:rsid w:val="00827E98"/>
    <w:rsid w:val="00831CA1"/>
    <w:rsid w:val="00832253"/>
    <w:rsid w:val="0083443C"/>
    <w:rsid w:val="00837DC7"/>
    <w:rsid w:val="00840320"/>
    <w:rsid w:val="008434B0"/>
    <w:rsid w:val="00843C2D"/>
    <w:rsid w:val="00846B0F"/>
    <w:rsid w:val="00847B7D"/>
    <w:rsid w:val="0085421C"/>
    <w:rsid w:val="0085656E"/>
    <w:rsid w:val="008626FF"/>
    <w:rsid w:val="00862E8A"/>
    <w:rsid w:val="008635E5"/>
    <w:rsid w:val="0086619F"/>
    <w:rsid w:val="008663E0"/>
    <w:rsid w:val="008711C2"/>
    <w:rsid w:val="00872B07"/>
    <w:rsid w:val="00873C90"/>
    <w:rsid w:val="008746DB"/>
    <w:rsid w:val="00876E81"/>
    <w:rsid w:val="008817FA"/>
    <w:rsid w:val="008832C2"/>
    <w:rsid w:val="00886419"/>
    <w:rsid w:val="00892DA1"/>
    <w:rsid w:val="00893934"/>
    <w:rsid w:val="00893E5D"/>
    <w:rsid w:val="008950E8"/>
    <w:rsid w:val="00895430"/>
    <w:rsid w:val="008955C6"/>
    <w:rsid w:val="00895C69"/>
    <w:rsid w:val="00896304"/>
    <w:rsid w:val="008A72A3"/>
    <w:rsid w:val="008A7F3A"/>
    <w:rsid w:val="008B0D10"/>
    <w:rsid w:val="008B783A"/>
    <w:rsid w:val="008C1EBB"/>
    <w:rsid w:val="008C3271"/>
    <w:rsid w:val="008C32FB"/>
    <w:rsid w:val="008C337D"/>
    <w:rsid w:val="008C60B5"/>
    <w:rsid w:val="008D60DA"/>
    <w:rsid w:val="008E0532"/>
    <w:rsid w:val="008E166E"/>
    <w:rsid w:val="008E3A9A"/>
    <w:rsid w:val="008E5D96"/>
    <w:rsid w:val="008E60D9"/>
    <w:rsid w:val="008E7A21"/>
    <w:rsid w:val="008F2792"/>
    <w:rsid w:val="008F6115"/>
    <w:rsid w:val="008F64D1"/>
    <w:rsid w:val="00902AFE"/>
    <w:rsid w:val="00903201"/>
    <w:rsid w:val="009066F0"/>
    <w:rsid w:val="00910D1D"/>
    <w:rsid w:val="00910F9F"/>
    <w:rsid w:val="00913578"/>
    <w:rsid w:val="0091435A"/>
    <w:rsid w:val="009145A6"/>
    <w:rsid w:val="00916435"/>
    <w:rsid w:val="00916E9F"/>
    <w:rsid w:val="00920C2E"/>
    <w:rsid w:val="00920CB3"/>
    <w:rsid w:val="0092213E"/>
    <w:rsid w:val="0092701D"/>
    <w:rsid w:val="0093050F"/>
    <w:rsid w:val="00930FE2"/>
    <w:rsid w:val="009314BE"/>
    <w:rsid w:val="009362B3"/>
    <w:rsid w:val="0094052C"/>
    <w:rsid w:val="00940D48"/>
    <w:rsid w:val="00942308"/>
    <w:rsid w:val="009549B5"/>
    <w:rsid w:val="0095574E"/>
    <w:rsid w:val="00956BF6"/>
    <w:rsid w:val="00956F3E"/>
    <w:rsid w:val="00957786"/>
    <w:rsid w:val="00960F4B"/>
    <w:rsid w:val="0096186D"/>
    <w:rsid w:val="00962291"/>
    <w:rsid w:val="0096235E"/>
    <w:rsid w:val="009628D9"/>
    <w:rsid w:val="00970E7B"/>
    <w:rsid w:val="00983014"/>
    <w:rsid w:val="00983913"/>
    <w:rsid w:val="00985816"/>
    <w:rsid w:val="00987B63"/>
    <w:rsid w:val="00990221"/>
    <w:rsid w:val="009963B9"/>
    <w:rsid w:val="0099647E"/>
    <w:rsid w:val="009964EF"/>
    <w:rsid w:val="009976CD"/>
    <w:rsid w:val="009A5768"/>
    <w:rsid w:val="009A5F2D"/>
    <w:rsid w:val="009B28B8"/>
    <w:rsid w:val="009B2E57"/>
    <w:rsid w:val="009B3B65"/>
    <w:rsid w:val="009B44E8"/>
    <w:rsid w:val="009B4BDF"/>
    <w:rsid w:val="009B6F27"/>
    <w:rsid w:val="009B77B6"/>
    <w:rsid w:val="009C1471"/>
    <w:rsid w:val="009C297A"/>
    <w:rsid w:val="009C304C"/>
    <w:rsid w:val="009C784E"/>
    <w:rsid w:val="009D0A78"/>
    <w:rsid w:val="009D2D0F"/>
    <w:rsid w:val="009D3FDD"/>
    <w:rsid w:val="009D47EF"/>
    <w:rsid w:val="009D5945"/>
    <w:rsid w:val="009D5DB0"/>
    <w:rsid w:val="009D7071"/>
    <w:rsid w:val="009E050B"/>
    <w:rsid w:val="009E1614"/>
    <w:rsid w:val="009E216E"/>
    <w:rsid w:val="009E2A36"/>
    <w:rsid w:val="009E4241"/>
    <w:rsid w:val="009E4813"/>
    <w:rsid w:val="009E684F"/>
    <w:rsid w:val="009E6D4E"/>
    <w:rsid w:val="009F0471"/>
    <w:rsid w:val="009F1749"/>
    <w:rsid w:val="009F49E5"/>
    <w:rsid w:val="00A01815"/>
    <w:rsid w:val="00A02834"/>
    <w:rsid w:val="00A02AC6"/>
    <w:rsid w:val="00A07B9A"/>
    <w:rsid w:val="00A10049"/>
    <w:rsid w:val="00A1090D"/>
    <w:rsid w:val="00A10C66"/>
    <w:rsid w:val="00A121E8"/>
    <w:rsid w:val="00A12A6E"/>
    <w:rsid w:val="00A13D21"/>
    <w:rsid w:val="00A16377"/>
    <w:rsid w:val="00A17CF6"/>
    <w:rsid w:val="00A2113A"/>
    <w:rsid w:val="00A2251A"/>
    <w:rsid w:val="00A22B60"/>
    <w:rsid w:val="00A24370"/>
    <w:rsid w:val="00A27D0C"/>
    <w:rsid w:val="00A27D6E"/>
    <w:rsid w:val="00A30E6C"/>
    <w:rsid w:val="00A3490C"/>
    <w:rsid w:val="00A41B0E"/>
    <w:rsid w:val="00A41DE0"/>
    <w:rsid w:val="00A42D0B"/>
    <w:rsid w:val="00A42EC6"/>
    <w:rsid w:val="00A43D60"/>
    <w:rsid w:val="00A44106"/>
    <w:rsid w:val="00A4435B"/>
    <w:rsid w:val="00A475BB"/>
    <w:rsid w:val="00A47D41"/>
    <w:rsid w:val="00A51780"/>
    <w:rsid w:val="00A52910"/>
    <w:rsid w:val="00A53302"/>
    <w:rsid w:val="00A54404"/>
    <w:rsid w:val="00A5502A"/>
    <w:rsid w:val="00A55D71"/>
    <w:rsid w:val="00A5659D"/>
    <w:rsid w:val="00A57DE2"/>
    <w:rsid w:val="00A606FE"/>
    <w:rsid w:val="00A61336"/>
    <w:rsid w:val="00A72444"/>
    <w:rsid w:val="00A74375"/>
    <w:rsid w:val="00A87D94"/>
    <w:rsid w:val="00A9049D"/>
    <w:rsid w:val="00A90F71"/>
    <w:rsid w:val="00A94364"/>
    <w:rsid w:val="00A97493"/>
    <w:rsid w:val="00AA75B6"/>
    <w:rsid w:val="00AB3230"/>
    <w:rsid w:val="00AB3665"/>
    <w:rsid w:val="00AB6D27"/>
    <w:rsid w:val="00AB78A7"/>
    <w:rsid w:val="00AC20C2"/>
    <w:rsid w:val="00AC4327"/>
    <w:rsid w:val="00AC49EA"/>
    <w:rsid w:val="00AC600B"/>
    <w:rsid w:val="00AC6DED"/>
    <w:rsid w:val="00AD0522"/>
    <w:rsid w:val="00AD0BDD"/>
    <w:rsid w:val="00AD3971"/>
    <w:rsid w:val="00AD7DF7"/>
    <w:rsid w:val="00AE0794"/>
    <w:rsid w:val="00AE209A"/>
    <w:rsid w:val="00AE2B66"/>
    <w:rsid w:val="00AE36AD"/>
    <w:rsid w:val="00AE44BA"/>
    <w:rsid w:val="00AE4A3A"/>
    <w:rsid w:val="00AE4C76"/>
    <w:rsid w:val="00AE6368"/>
    <w:rsid w:val="00AE781D"/>
    <w:rsid w:val="00AF461C"/>
    <w:rsid w:val="00AF4960"/>
    <w:rsid w:val="00AF4C4F"/>
    <w:rsid w:val="00AF676F"/>
    <w:rsid w:val="00AF70D8"/>
    <w:rsid w:val="00B03D95"/>
    <w:rsid w:val="00B04120"/>
    <w:rsid w:val="00B074F5"/>
    <w:rsid w:val="00B12832"/>
    <w:rsid w:val="00B13B06"/>
    <w:rsid w:val="00B161BF"/>
    <w:rsid w:val="00B17FEB"/>
    <w:rsid w:val="00B212A0"/>
    <w:rsid w:val="00B234E8"/>
    <w:rsid w:val="00B23980"/>
    <w:rsid w:val="00B25A88"/>
    <w:rsid w:val="00B30C86"/>
    <w:rsid w:val="00B310EF"/>
    <w:rsid w:val="00B3612E"/>
    <w:rsid w:val="00B37CFB"/>
    <w:rsid w:val="00B400F4"/>
    <w:rsid w:val="00B40F1D"/>
    <w:rsid w:val="00B41F92"/>
    <w:rsid w:val="00B447A1"/>
    <w:rsid w:val="00B45B09"/>
    <w:rsid w:val="00B4625F"/>
    <w:rsid w:val="00B530A5"/>
    <w:rsid w:val="00B55AA0"/>
    <w:rsid w:val="00B60F6A"/>
    <w:rsid w:val="00B62155"/>
    <w:rsid w:val="00B62831"/>
    <w:rsid w:val="00B66063"/>
    <w:rsid w:val="00B70A55"/>
    <w:rsid w:val="00B70CF0"/>
    <w:rsid w:val="00B74F7E"/>
    <w:rsid w:val="00B75187"/>
    <w:rsid w:val="00B756D0"/>
    <w:rsid w:val="00B75F29"/>
    <w:rsid w:val="00B81496"/>
    <w:rsid w:val="00B82C49"/>
    <w:rsid w:val="00B83EC7"/>
    <w:rsid w:val="00B86DE2"/>
    <w:rsid w:val="00B906C5"/>
    <w:rsid w:val="00B9231C"/>
    <w:rsid w:val="00B92456"/>
    <w:rsid w:val="00B926BE"/>
    <w:rsid w:val="00B92F00"/>
    <w:rsid w:val="00B95953"/>
    <w:rsid w:val="00B95D60"/>
    <w:rsid w:val="00B964B9"/>
    <w:rsid w:val="00B974C6"/>
    <w:rsid w:val="00BA009D"/>
    <w:rsid w:val="00BA0BBA"/>
    <w:rsid w:val="00BA1F3E"/>
    <w:rsid w:val="00BA5D21"/>
    <w:rsid w:val="00BA6EB2"/>
    <w:rsid w:val="00BA7FBB"/>
    <w:rsid w:val="00BB0BB6"/>
    <w:rsid w:val="00BB142D"/>
    <w:rsid w:val="00BB6752"/>
    <w:rsid w:val="00BB6E8F"/>
    <w:rsid w:val="00BB7D47"/>
    <w:rsid w:val="00BC1E6C"/>
    <w:rsid w:val="00BC2712"/>
    <w:rsid w:val="00BC2CC1"/>
    <w:rsid w:val="00BC3296"/>
    <w:rsid w:val="00BC42A3"/>
    <w:rsid w:val="00BD1683"/>
    <w:rsid w:val="00BD4B19"/>
    <w:rsid w:val="00BD7C3A"/>
    <w:rsid w:val="00BE08FC"/>
    <w:rsid w:val="00BE2E98"/>
    <w:rsid w:val="00BE3B45"/>
    <w:rsid w:val="00BE4EDC"/>
    <w:rsid w:val="00BF199B"/>
    <w:rsid w:val="00BF45B2"/>
    <w:rsid w:val="00BF7F5F"/>
    <w:rsid w:val="00C00049"/>
    <w:rsid w:val="00C00652"/>
    <w:rsid w:val="00C04494"/>
    <w:rsid w:val="00C04643"/>
    <w:rsid w:val="00C05E10"/>
    <w:rsid w:val="00C119C7"/>
    <w:rsid w:val="00C12C21"/>
    <w:rsid w:val="00C1786B"/>
    <w:rsid w:val="00C20438"/>
    <w:rsid w:val="00C20790"/>
    <w:rsid w:val="00C20C0A"/>
    <w:rsid w:val="00C23806"/>
    <w:rsid w:val="00C24F26"/>
    <w:rsid w:val="00C251CD"/>
    <w:rsid w:val="00C255C8"/>
    <w:rsid w:val="00C25F98"/>
    <w:rsid w:val="00C3024A"/>
    <w:rsid w:val="00C35D64"/>
    <w:rsid w:val="00C447B4"/>
    <w:rsid w:val="00C5101D"/>
    <w:rsid w:val="00C528B5"/>
    <w:rsid w:val="00C52F80"/>
    <w:rsid w:val="00C531CD"/>
    <w:rsid w:val="00C53D3C"/>
    <w:rsid w:val="00C53F31"/>
    <w:rsid w:val="00C57ED1"/>
    <w:rsid w:val="00C60636"/>
    <w:rsid w:val="00C60BE8"/>
    <w:rsid w:val="00C60D5C"/>
    <w:rsid w:val="00C627DA"/>
    <w:rsid w:val="00C6563C"/>
    <w:rsid w:val="00C65F5C"/>
    <w:rsid w:val="00C6614C"/>
    <w:rsid w:val="00C66F86"/>
    <w:rsid w:val="00C672D3"/>
    <w:rsid w:val="00C70A5B"/>
    <w:rsid w:val="00C71465"/>
    <w:rsid w:val="00C72608"/>
    <w:rsid w:val="00C761BF"/>
    <w:rsid w:val="00C7654B"/>
    <w:rsid w:val="00C76795"/>
    <w:rsid w:val="00C80B20"/>
    <w:rsid w:val="00C8567C"/>
    <w:rsid w:val="00C8692A"/>
    <w:rsid w:val="00C91525"/>
    <w:rsid w:val="00C934AE"/>
    <w:rsid w:val="00C94510"/>
    <w:rsid w:val="00C9480B"/>
    <w:rsid w:val="00C97ED1"/>
    <w:rsid w:val="00CA0B4A"/>
    <w:rsid w:val="00CA21A2"/>
    <w:rsid w:val="00CA4366"/>
    <w:rsid w:val="00CA5F34"/>
    <w:rsid w:val="00CB20A2"/>
    <w:rsid w:val="00CB3060"/>
    <w:rsid w:val="00CB520B"/>
    <w:rsid w:val="00CB6032"/>
    <w:rsid w:val="00CB7D0D"/>
    <w:rsid w:val="00CC1506"/>
    <w:rsid w:val="00CC51D6"/>
    <w:rsid w:val="00CD0305"/>
    <w:rsid w:val="00CD0A7B"/>
    <w:rsid w:val="00CD0B1F"/>
    <w:rsid w:val="00CD5595"/>
    <w:rsid w:val="00CD6805"/>
    <w:rsid w:val="00CE08B9"/>
    <w:rsid w:val="00CE1596"/>
    <w:rsid w:val="00CE1F51"/>
    <w:rsid w:val="00CE6FBB"/>
    <w:rsid w:val="00CE7772"/>
    <w:rsid w:val="00CF0FA2"/>
    <w:rsid w:val="00CF105D"/>
    <w:rsid w:val="00CF23AE"/>
    <w:rsid w:val="00CF36B1"/>
    <w:rsid w:val="00D010D7"/>
    <w:rsid w:val="00D02F0E"/>
    <w:rsid w:val="00D03FEF"/>
    <w:rsid w:val="00D04DA3"/>
    <w:rsid w:val="00D1020A"/>
    <w:rsid w:val="00D10D31"/>
    <w:rsid w:val="00D164A7"/>
    <w:rsid w:val="00D17ABF"/>
    <w:rsid w:val="00D2124D"/>
    <w:rsid w:val="00D22316"/>
    <w:rsid w:val="00D22B9B"/>
    <w:rsid w:val="00D23A8F"/>
    <w:rsid w:val="00D26A98"/>
    <w:rsid w:val="00D40895"/>
    <w:rsid w:val="00D41B23"/>
    <w:rsid w:val="00D431B2"/>
    <w:rsid w:val="00D45324"/>
    <w:rsid w:val="00D45E6F"/>
    <w:rsid w:val="00D461CC"/>
    <w:rsid w:val="00D477C1"/>
    <w:rsid w:val="00D477E6"/>
    <w:rsid w:val="00D51CCD"/>
    <w:rsid w:val="00D5356D"/>
    <w:rsid w:val="00D536F1"/>
    <w:rsid w:val="00D54865"/>
    <w:rsid w:val="00D56868"/>
    <w:rsid w:val="00D56D1C"/>
    <w:rsid w:val="00D60473"/>
    <w:rsid w:val="00D63AE7"/>
    <w:rsid w:val="00D65EB4"/>
    <w:rsid w:val="00D663A0"/>
    <w:rsid w:val="00D66F5F"/>
    <w:rsid w:val="00D6738E"/>
    <w:rsid w:val="00D7214C"/>
    <w:rsid w:val="00D73518"/>
    <w:rsid w:val="00D752F1"/>
    <w:rsid w:val="00D7546F"/>
    <w:rsid w:val="00D77203"/>
    <w:rsid w:val="00D83777"/>
    <w:rsid w:val="00D8491C"/>
    <w:rsid w:val="00D866B4"/>
    <w:rsid w:val="00D87A0E"/>
    <w:rsid w:val="00D90725"/>
    <w:rsid w:val="00D9293B"/>
    <w:rsid w:val="00D941AB"/>
    <w:rsid w:val="00D95A97"/>
    <w:rsid w:val="00D9683E"/>
    <w:rsid w:val="00D96B75"/>
    <w:rsid w:val="00D97FC6"/>
    <w:rsid w:val="00DA24F4"/>
    <w:rsid w:val="00DA3065"/>
    <w:rsid w:val="00DA3F2B"/>
    <w:rsid w:val="00DA4154"/>
    <w:rsid w:val="00DA4D6C"/>
    <w:rsid w:val="00DA5F7E"/>
    <w:rsid w:val="00DA7838"/>
    <w:rsid w:val="00DA7AAD"/>
    <w:rsid w:val="00DB0877"/>
    <w:rsid w:val="00DB0EB2"/>
    <w:rsid w:val="00DB0F47"/>
    <w:rsid w:val="00DB10BA"/>
    <w:rsid w:val="00DB1F1E"/>
    <w:rsid w:val="00DC46DF"/>
    <w:rsid w:val="00DD0D88"/>
    <w:rsid w:val="00DD11DD"/>
    <w:rsid w:val="00DD3B00"/>
    <w:rsid w:val="00DD4557"/>
    <w:rsid w:val="00DE0A7F"/>
    <w:rsid w:val="00DE2DE4"/>
    <w:rsid w:val="00DE371D"/>
    <w:rsid w:val="00DE4BE1"/>
    <w:rsid w:val="00DE5170"/>
    <w:rsid w:val="00DE56FF"/>
    <w:rsid w:val="00DE7BEF"/>
    <w:rsid w:val="00DF6AE7"/>
    <w:rsid w:val="00E015B6"/>
    <w:rsid w:val="00E0347D"/>
    <w:rsid w:val="00E054D4"/>
    <w:rsid w:val="00E07080"/>
    <w:rsid w:val="00E11DC1"/>
    <w:rsid w:val="00E129E1"/>
    <w:rsid w:val="00E15133"/>
    <w:rsid w:val="00E208F3"/>
    <w:rsid w:val="00E20A17"/>
    <w:rsid w:val="00E20A1E"/>
    <w:rsid w:val="00E21706"/>
    <w:rsid w:val="00E24CFD"/>
    <w:rsid w:val="00E25C60"/>
    <w:rsid w:val="00E26396"/>
    <w:rsid w:val="00E278EB"/>
    <w:rsid w:val="00E27F82"/>
    <w:rsid w:val="00E31012"/>
    <w:rsid w:val="00E37EE0"/>
    <w:rsid w:val="00E40E07"/>
    <w:rsid w:val="00E40FFE"/>
    <w:rsid w:val="00E4786C"/>
    <w:rsid w:val="00E51A27"/>
    <w:rsid w:val="00E535BB"/>
    <w:rsid w:val="00E542B2"/>
    <w:rsid w:val="00E558A1"/>
    <w:rsid w:val="00E611EE"/>
    <w:rsid w:val="00E627A1"/>
    <w:rsid w:val="00E64872"/>
    <w:rsid w:val="00E64CBF"/>
    <w:rsid w:val="00E66722"/>
    <w:rsid w:val="00E70AAD"/>
    <w:rsid w:val="00E72303"/>
    <w:rsid w:val="00E72928"/>
    <w:rsid w:val="00E72C8E"/>
    <w:rsid w:val="00E72D60"/>
    <w:rsid w:val="00E72F32"/>
    <w:rsid w:val="00E749B3"/>
    <w:rsid w:val="00E7539D"/>
    <w:rsid w:val="00E754A2"/>
    <w:rsid w:val="00E76EB0"/>
    <w:rsid w:val="00E77D60"/>
    <w:rsid w:val="00E827FA"/>
    <w:rsid w:val="00E83A57"/>
    <w:rsid w:val="00E84003"/>
    <w:rsid w:val="00E863C2"/>
    <w:rsid w:val="00E86754"/>
    <w:rsid w:val="00E86E7E"/>
    <w:rsid w:val="00E91E9D"/>
    <w:rsid w:val="00E95031"/>
    <w:rsid w:val="00E9671F"/>
    <w:rsid w:val="00EA0F06"/>
    <w:rsid w:val="00EA0FDA"/>
    <w:rsid w:val="00EA6638"/>
    <w:rsid w:val="00EA70FA"/>
    <w:rsid w:val="00EB0ED6"/>
    <w:rsid w:val="00EB18FF"/>
    <w:rsid w:val="00EB27EC"/>
    <w:rsid w:val="00EB4E5E"/>
    <w:rsid w:val="00EB5ADB"/>
    <w:rsid w:val="00EB6237"/>
    <w:rsid w:val="00EC1923"/>
    <w:rsid w:val="00EC5C06"/>
    <w:rsid w:val="00EC6E13"/>
    <w:rsid w:val="00EC7317"/>
    <w:rsid w:val="00ED2178"/>
    <w:rsid w:val="00ED296B"/>
    <w:rsid w:val="00ED3C9D"/>
    <w:rsid w:val="00ED5D10"/>
    <w:rsid w:val="00EE06CC"/>
    <w:rsid w:val="00EE158E"/>
    <w:rsid w:val="00EE1978"/>
    <w:rsid w:val="00EE3CE8"/>
    <w:rsid w:val="00EE3E10"/>
    <w:rsid w:val="00EE438A"/>
    <w:rsid w:val="00EE4A4F"/>
    <w:rsid w:val="00EF20DF"/>
    <w:rsid w:val="00EF2C7C"/>
    <w:rsid w:val="00EF64F1"/>
    <w:rsid w:val="00EF6EEE"/>
    <w:rsid w:val="00F005F2"/>
    <w:rsid w:val="00F0263F"/>
    <w:rsid w:val="00F0293C"/>
    <w:rsid w:val="00F02C4F"/>
    <w:rsid w:val="00F02EE0"/>
    <w:rsid w:val="00F03CE7"/>
    <w:rsid w:val="00F0505B"/>
    <w:rsid w:val="00F074C2"/>
    <w:rsid w:val="00F136AC"/>
    <w:rsid w:val="00F14845"/>
    <w:rsid w:val="00F173BD"/>
    <w:rsid w:val="00F232F1"/>
    <w:rsid w:val="00F23AAF"/>
    <w:rsid w:val="00F24B4D"/>
    <w:rsid w:val="00F31076"/>
    <w:rsid w:val="00F34B00"/>
    <w:rsid w:val="00F3661A"/>
    <w:rsid w:val="00F41374"/>
    <w:rsid w:val="00F415CF"/>
    <w:rsid w:val="00F437CB"/>
    <w:rsid w:val="00F445B6"/>
    <w:rsid w:val="00F45B6F"/>
    <w:rsid w:val="00F51804"/>
    <w:rsid w:val="00F51E5A"/>
    <w:rsid w:val="00F55A77"/>
    <w:rsid w:val="00F5603F"/>
    <w:rsid w:val="00F67B3B"/>
    <w:rsid w:val="00F74F05"/>
    <w:rsid w:val="00F76528"/>
    <w:rsid w:val="00F77738"/>
    <w:rsid w:val="00F77FF3"/>
    <w:rsid w:val="00F80987"/>
    <w:rsid w:val="00F827A8"/>
    <w:rsid w:val="00F82A84"/>
    <w:rsid w:val="00F85E21"/>
    <w:rsid w:val="00F863EB"/>
    <w:rsid w:val="00F905CE"/>
    <w:rsid w:val="00F9634A"/>
    <w:rsid w:val="00F963C1"/>
    <w:rsid w:val="00FA17C3"/>
    <w:rsid w:val="00FA21C8"/>
    <w:rsid w:val="00FA24AF"/>
    <w:rsid w:val="00FA2677"/>
    <w:rsid w:val="00FA2E80"/>
    <w:rsid w:val="00FA5E6B"/>
    <w:rsid w:val="00FB180F"/>
    <w:rsid w:val="00FB2D08"/>
    <w:rsid w:val="00FB5B24"/>
    <w:rsid w:val="00FC2409"/>
    <w:rsid w:val="00FC5A1A"/>
    <w:rsid w:val="00FD02C6"/>
    <w:rsid w:val="00FD26BF"/>
    <w:rsid w:val="00FD3605"/>
    <w:rsid w:val="00FD39BD"/>
    <w:rsid w:val="00FD3CA7"/>
    <w:rsid w:val="00FD4075"/>
    <w:rsid w:val="00FD54FA"/>
    <w:rsid w:val="00FE07C9"/>
    <w:rsid w:val="00FE1214"/>
    <w:rsid w:val="00FE181B"/>
    <w:rsid w:val="00FF2721"/>
    <w:rsid w:val="00FF3803"/>
    <w:rsid w:val="00FF590B"/>
    <w:rsid w:val="00FF6A1E"/>
    <w:rsid w:val="00FF6AC6"/>
  </w:rsids>
  <m:mathPr>
    <m:mathFont m:val="Cambria Math"/>
    <m:brkBin m:val="before"/>
    <m:brkBinSub m:val="--"/>
    <m:smallFrac m:val="0"/>
    <m:dispDef/>
    <m:lMargin m:val="0"/>
    <m:rMargin m:val="0"/>
    <m:defJc m:val="centerGroup"/>
    <m:wrapIndent m:val="1440"/>
    <m:intLim m:val="subSup"/>
    <m:naryLim m:val="undOvr"/>
  </m:mathPr>
  <w:themeFontLang w:val="en-US" w:eastAsia="zh-CN"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90D12D"/>
  <w15:docId w15:val="{F3A2F4DA-E88F-6342-BB7A-B271FBABD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0049"/>
  </w:style>
  <w:style w:type="paragraph" w:styleId="Heading1">
    <w:name w:val="heading 1"/>
    <w:basedOn w:val="Normal"/>
    <w:next w:val="Normal"/>
    <w:link w:val="Heading1Char"/>
    <w:uiPriority w:val="9"/>
    <w:qFormat/>
    <w:rsid w:val="00256ED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256ED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256ED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56ED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56ED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56ED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56ED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56ED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56ED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0049"/>
    <w:pPr>
      <w:spacing w:after="0" w:line="240" w:lineRule="auto"/>
    </w:pPr>
  </w:style>
  <w:style w:type="paragraph" w:styleId="FootnoteText">
    <w:name w:val="footnote text"/>
    <w:basedOn w:val="Normal"/>
    <w:link w:val="FootnoteTextChar"/>
    <w:uiPriority w:val="99"/>
    <w:unhideWhenUsed/>
    <w:rsid w:val="00137F15"/>
    <w:pPr>
      <w:spacing w:after="0" w:line="240" w:lineRule="auto"/>
    </w:pPr>
    <w:rPr>
      <w:sz w:val="20"/>
      <w:szCs w:val="20"/>
    </w:rPr>
  </w:style>
  <w:style w:type="character" w:customStyle="1" w:styleId="FootnoteTextChar">
    <w:name w:val="Footnote Text Char"/>
    <w:basedOn w:val="DefaultParagraphFont"/>
    <w:link w:val="FootnoteText"/>
    <w:uiPriority w:val="99"/>
    <w:rsid w:val="00137F15"/>
    <w:rPr>
      <w:sz w:val="20"/>
      <w:szCs w:val="20"/>
    </w:rPr>
  </w:style>
  <w:style w:type="character" w:styleId="FootnoteReference">
    <w:name w:val="footnote reference"/>
    <w:basedOn w:val="DefaultParagraphFont"/>
    <w:unhideWhenUsed/>
    <w:rsid w:val="00137F15"/>
    <w:rPr>
      <w:vertAlign w:val="superscript"/>
    </w:rPr>
  </w:style>
  <w:style w:type="paragraph" w:styleId="ListParagraph">
    <w:name w:val="List Paragraph"/>
    <w:basedOn w:val="Normal"/>
    <w:uiPriority w:val="34"/>
    <w:qFormat/>
    <w:rsid w:val="00137F15"/>
    <w:pPr>
      <w:ind w:left="720"/>
      <w:contextualSpacing/>
    </w:pPr>
  </w:style>
  <w:style w:type="paragraph" w:styleId="Header">
    <w:name w:val="header"/>
    <w:basedOn w:val="Normal"/>
    <w:link w:val="HeaderChar"/>
    <w:unhideWhenUsed/>
    <w:rsid w:val="00F34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B00"/>
  </w:style>
  <w:style w:type="paragraph" w:styleId="Footer">
    <w:name w:val="footer"/>
    <w:basedOn w:val="Normal"/>
    <w:link w:val="FooterChar"/>
    <w:uiPriority w:val="99"/>
    <w:unhideWhenUsed/>
    <w:rsid w:val="00F34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B00"/>
  </w:style>
  <w:style w:type="paragraph" w:styleId="BalloonText">
    <w:name w:val="Balloon Text"/>
    <w:basedOn w:val="Normal"/>
    <w:link w:val="BalloonTextChar"/>
    <w:uiPriority w:val="99"/>
    <w:semiHidden/>
    <w:unhideWhenUsed/>
    <w:rsid w:val="00EC1923"/>
    <w:pPr>
      <w:spacing w:after="0" w:line="240" w:lineRule="auto"/>
    </w:pPr>
    <w:rPr>
      <w:rFonts w:ascii="Calibri" w:hAnsi="Calibri" w:cs="Calibri"/>
      <w:sz w:val="16"/>
      <w:szCs w:val="16"/>
    </w:rPr>
  </w:style>
  <w:style w:type="character" w:customStyle="1" w:styleId="BalloonTextChar">
    <w:name w:val="Balloon Text Char"/>
    <w:basedOn w:val="DefaultParagraphFont"/>
    <w:link w:val="BalloonText"/>
    <w:uiPriority w:val="99"/>
    <w:semiHidden/>
    <w:rsid w:val="00EC1923"/>
    <w:rPr>
      <w:rFonts w:ascii="Calibri" w:hAnsi="Calibri" w:cs="Calibri"/>
      <w:sz w:val="16"/>
      <w:szCs w:val="16"/>
    </w:rPr>
  </w:style>
  <w:style w:type="character" w:styleId="Hyperlink">
    <w:name w:val="Hyperlink"/>
    <w:basedOn w:val="DefaultParagraphFont"/>
    <w:uiPriority w:val="99"/>
    <w:unhideWhenUsed/>
    <w:rsid w:val="00B4625F"/>
    <w:rPr>
      <w:color w:val="0000FF" w:themeColor="hyperlink"/>
      <w:u w:val="single"/>
    </w:rPr>
  </w:style>
  <w:style w:type="character" w:customStyle="1" w:styleId="Heading1Char">
    <w:name w:val="Heading 1 Char"/>
    <w:basedOn w:val="DefaultParagraphFont"/>
    <w:link w:val="Heading1"/>
    <w:uiPriority w:val="9"/>
    <w:rsid w:val="00256ED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256ED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56ED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56ED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56ED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56ED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56ED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56ED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56ED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56ED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56ED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56ED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56ED7"/>
    <w:rPr>
      <w:rFonts w:asciiTheme="majorHAnsi" w:eastAsiaTheme="majorEastAsia" w:hAnsiTheme="majorHAnsi" w:cstheme="majorBidi"/>
      <w:i/>
      <w:iCs/>
      <w:spacing w:val="13"/>
      <w:sz w:val="24"/>
      <w:szCs w:val="24"/>
    </w:rPr>
  </w:style>
  <w:style w:type="character" w:styleId="Strong">
    <w:name w:val="Strong"/>
    <w:uiPriority w:val="22"/>
    <w:qFormat/>
    <w:rsid w:val="00256ED7"/>
    <w:rPr>
      <w:b/>
      <w:bCs/>
    </w:rPr>
  </w:style>
  <w:style w:type="character" w:styleId="Emphasis">
    <w:name w:val="Emphasis"/>
    <w:uiPriority w:val="20"/>
    <w:qFormat/>
    <w:rsid w:val="00256ED7"/>
    <w:rPr>
      <w:b/>
      <w:bCs/>
      <w:i/>
      <w:iCs/>
      <w:spacing w:val="10"/>
      <w:bdr w:val="none" w:sz="0" w:space="0" w:color="auto"/>
      <w:shd w:val="clear" w:color="auto" w:fill="auto"/>
    </w:rPr>
  </w:style>
  <w:style w:type="paragraph" w:styleId="Quote">
    <w:name w:val="Quote"/>
    <w:basedOn w:val="Normal"/>
    <w:next w:val="Normal"/>
    <w:link w:val="QuoteChar"/>
    <w:uiPriority w:val="29"/>
    <w:qFormat/>
    <w:rsid w:val="00256ED7"/>
    <w:pPr>
      <w:spacing w:before="200" w:after="0"/>
      <w:ind w:left="360" w:right="360"/>
    </w:pPr>
    <w:rPr>
      <w:i/>
      <w:iCs/>
    </w:rPr>
  </w:style>
  <w:style w:type="character" w:customStyle="1" w:styleId="QuoteChar">
    <w:name w:val="Quote Char"/>
    <w:basedOn w:val="DefaultParagraphFont"/>
    <w:link w:val="Quote"/>
    <w:uiPriority w:val="29"/>
    <w:rsid w:val="00256ED7"/>
    <w:rPr>
      <w:i/>
      <w:iCs/>
    </w:rPr>
  </w:style>
  <w:style w:type="paragraph" w:styleId="IntenseQuote">
    <w:name w:val="Intense Quote"/>
    <w:basedOn w:val="Normal"/>
    <w:next w:val="Normal"/>
    <w:link w:val="IntenseQuoteChar"/>
    <w:uiPriority w:val="30"/>
    <w:qFormat/>
    <w:rsid w:val="00256ED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56ED7"/>
    <w:rPr>
      <w:b/>
      <w:bCs/>
      <w:i/>
      <w:iCs/>
    </w:rPr>
  </w:style>
  <w:style w:type="character" w:styleId="SubtleEmphasis">
    <w:name w:val="Subtle Emphasis"/>
    <w:uiPriority w:val="19"/>
    <w:qFormat/>
    <w:rsid w:val="00256ED7"/>
    <w:rPr>
      <w:i/>
      <w:iCs/>
    </w:rPr>
  </w:style>
  <w:style w:type="character" w:styleId="IntenseEmphasis">
    <w:name w:val="Intense Emphasis"/>
    <w:uiPriority w:val="21"/>
    <w:qFormat/>
    <w:rsid w:val="00256ED7"/>
    <w:rPr>
      <w:b/>
      <w:bCs/>
    </w:rPr>
  </w:style>
  <w:style w:type="character" w:styleId="SubtleReference">
    <w:name w:val="Subtle Reference"/>
    <w:uiPriority w:val="31"/>
    <w:qFormat/>
    <w:rsid w:val="00256ED7"/>
    <w:rPr>
      <w:smallCaps/>
    </w:rPr>
  </w:style>
  <w:style w:type="character" w:styleId="IntenseReference">
    <w:name w:val="Intense Reference"/>
    <w:uiPriority w:val="32"/>
    <w:qFormat/>
    <w:rsid w:val="00256ED7"/>
    <w:rPr>
      <w:smallCaps/>
      <w:spacing w:val="5"/>
      <w:u w:val="single"/>
    </w:rPr>
  </w:style>
  <w:style w:type="character" w:styleId="BookTitle">
    <w:name w:val="Book Title"/>
    <w:uiPriority w:val="33"/>
    <w:qFormat/>
    <w:rsid w:val="00256ED7"/>
    <w:rPr>
      <w:i/>
      <w:iCs/>
      <w:smallCaps/>
      <w:spacing w:val="5"/>
    </w:rPr>
  </w:style>
  <w:style w:type="paragraph" w:styleId="TOCHeading">
    <w:name w:val="TOC Heading"/>
    <w:basedOn w:val="Heading1"/>
    <w:next w:val="Normal"/>
    <w:uiPriority w:val="39"/>
    <w:semiHidden/>
    <w:unhideWhenUsed/>
    <w:qFormat/>
    <w:rsid w:val="00256ED7"/>
    <w:pPr>
      <w:outlineLvl w:val="9"/>
    </w:pPr>
  </w:style>
  <w:style w:type="character" w:styleId="CommentReference">
    <w:name w:val="annotation reference"/>
    <w:basedOn w:val="DefaultParagraphFont"/>
    <w:uiPriority w:val="99"/>
    <w:semiHidden/>
    <w:unhideWhenUsed/>
    <w:rsid w:val="00753497"/>
    <w:rPr>
      <w:sz w:val="16"/>
      <w:szCs w:val="16"/>
    </w:rPr>
  </w:style>
  <w:style w:type="paragraph" w:styleId="CommentText">
    <w:name w:val="annotation text"/>
    <w:basedOn w:val="Normal"/>
    <w:link w:val="CommentTextChar"/>
    <w:uiPriority w:val="99"/>
    <w:semiHidden/>
    <w:unhideWhenUsed/>
    <w:rsid w:val="00753497"/>
    <w:pPr>
      <w:spacing w:line="240" w:lineRule="auto"/>
    </w:pPr>
    <w:rPr>
      <w:sz w:val="20"/>
      <w:szCs w:val="20"/>
    </w:rPr>
  </w:style>
  <w:style w:type="character" w:customStyle="1" w:styleId="CommentTextChar">
    <w:name w:val="Comment Text Char"/>
    <w:basedOn w:val="DefaultParagraphFont"/>
    <w:link w:val="CommentText"/>
    <w:uiPriority w:val="99"/>
    <w:semiHidden/>
    <w:rsid w:val="00753497"/>
    <w:rPr>
      <w:sz w:val="20"/>
      <w:szCs w:val="20"/>
    </w:rPr>
  </w:style>
  <w:style w:type="paragraph" w:styleId="CommentSubject">
    <w:name w:val="annotation subject"/>
    <w:basedOn w:val="CommentText"/>
    <w:next w:val="CommentText"/>
    <w:link w:val="CommentSubjectChar"/>
    <w:uiPriority w:val="99"/>
    <w:semiHidden/>
    <w:unhideWhenUsed/>
    <w:rsid w:val="00753497"/>
    <w:rPr>
      <w:b/>
      <w:bCs/>
    </w:rPr>
  </w:style>
  <w:style w:type="character" w:customStyle="1" w:styleId="CommentSubjectChar">
    <w:name w:val="Comment Subject Char"/>
    <w:basedOn w:val="CommentTextChar"/>
    <w:link w:val="CommentSubject"/>
    <w:uiPriority w:val="99"/>
    <w:semiHidden/>
    <w:rsid w:val="00753497"/>
    <w:rPr>
      <w:b/>
      <w:bCs/>
      <w:sz w:val="20"/>
      <w:szCs w:val="20"/>
    </w:rPr>
  </w:style>
  <w:style w:type="paragraph" w:customStyle="1" w:styleId="Default">
    <w:name w:val="Default"/>
    <w:rsid w:val="00B41F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DefaultParagraphFont"/>
    <w:rsid w:val="001A2500"/>
  </w:style>
  <w:style w:type="table" w:styleId="TableGrid">
    <w:name w:val="Table Grid"/>
    <w:basedOn w:val="TableNormal"/>
    <w:uiPriority w:val="59"/>
    <w:rsid w:val="00617A9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earch-output-journal-article-author">
    <w:name w:val="research-output-journal-article-author"/>
    <w:basedOn w:val="DefaultParagraphFont"/>
    <w:rsid w:val="00E129E1"/>
  </w:style>
  <w:style w:type="character" w:customStyle="1" w:styleId="research-output-journal-article-author-surname">
    <w:name w:val="research-output-journal-article-author-surname"/>
    <w:basedOn w:val="DefaultParagraphFont"/>
    <w:rsid w:val="00E129E1"/>
  </w:style>
  <w:style w:type="character" w:customStyle="1" w:styleId="research-output-journal-article-author-initials">
    <w:name w:val="research-output-journal-article-author-initials"/>
    <w:basedOn w:val="DefaultParagraphFont"/>
    <w:rsid w:val="00E129E1"/>
  </w:style>
  <w:style w:type="character" w:customStyle="1" w:styleId="research-output-journal-article-date">
    <w:name w:val="research-output-journal-article-date"/>
    <w:basedOn w:val="DefaultParagraphFont"/>
    <w:rsid w:val="00E129E1"/>
  </w:style>
  <w:style w:type="character" w:customStyle="1" w:styleId="research-output-journal-article-name">
    <w:name w:val="research-output-journal-article-name"/>
    <w:basedOn w:val="DefaultParagraphFont"/>
    <w:rsid w:val="00E129E1"/>
  </w:style>
  <w:style w:type="character" w:customStyle="1" w:styleId="research-output-journal-article-periodical1">
    <w:name w:val="research-output-journal-article-periodical1"/>
    <w:basedOn w:val="DefaultParagraphFont"/>
    <w:rsid w:val="00E129E1"/>
    <w:rPr>
      <w:i/>
      <w:iCs/>
    </w:rPr>
  </w:style>
  <w:style w:type="character" w:customStyle="1" w:styleId="research-output-journal-article-volume">
    <w:name w:val="research-output-journal-article-volume"/>
    <w:basedOn w:val="DefaultParagraphFont"/>
    <w:rsid w:val="00E129E1"/>
  </w:style>
  <w:style w:type="character" w:customStyle="1" w:styleId="research-output-journal-article-issue">
    <w:name w:val="research-output-journal-article-issue"/>
    <w:basedOn w:val="DefaultParagraphFont"/>
    <w:rsid w:val="00E129E1"/>
  </w:style>
  <w:style w:type="character" w:customStyle="1" w:styleId="research-output-journal-article-paginationstart">
    <w:name w:val="research-output-journal-article-paginationstart"/>
    <w:basedOn w:val="DefaultParagraphFont"/>
    <w:rsid w:val="00E129E1"/>
  </w:style>
  <w:style w:type="character" w:customStyle="1" w:styleId="research-output-journal-article-paginationend">
    <w:name w:val="research-output-journal-article-paginationend"/>
    <w:basedOn w:val="DefaultParagraphFont"/>
    <w:rsid w:val="00E129E1"/>
  </w:style>
  <w:style w:type="character" w:customStyle="1" w:styleId="research-output-journal-article-doi">
    <w:name w:val="research-output-journal-article-doi"/>
    <w:basedOn w:val="DefaultParagraphFont"/>
    <w:rsid w:val="00E129E1"/>
  </w:style>
  <w:style w:type="paragraph" w:styleId="NormalWeb">
    <w:name w:val="Normal (Web)"/>
    <w:basedOn w:val="Normal"/>
    <w:uiPriority w:val="99"/>
    <w:semiHidden/>
    <w:unhideWhenUsed/>
    <w:rsid w:val="00A01815"/>
    <w:pPr>
      <w:spacing w:before="100" w:beforeAutospacing="1" w:after="100" w:afterAutospacing="1" w:line="240" w:lineRule="auto"/>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202435"/>
    <w:rPr>
      <w:color w:val="800080" w:themeColor="followedHyperlink"/>
      <w:u w:val="single"/>
    </w:rPr>
  </w:style>
  <w:style w:type="paragraph" w:styleId="Revision">
    <w:name w:val="Revision"/>
    <w:hidden/>
    <w:uiPriority w:val="99"/>
    <w:semiHidden/>
    <w:rsid w:val="00264B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3715">
      <w:bodyDiv w:val="1"/>
      <w:marLeft w:val="0"/>
      <w:marRight w:val="0"/>
      <w:marTop w:val="0"/>
      <w:marBottom w:val="0"/>
      <w:divBdr>
        <w:top w:val="none" w:sz="0" w:space="0" w:color="auto"/>
        <w:left w:val="none" w:sz="0" w:space="0" w:color="auto"/>
        <w:bottom w:val="none" w:sz="0" w:space="0" w:color="auto"/>
        <w:right w:val="none" w:sz="0" w:space="0" w:color="auto"/>
      </w:divBdr>
      <w:divsChild>
        <w:div w:id="822543217">
          <w:marLeft w:val="547"/>
          <w:marRight w:val="0"/>
          <w:marTop w:val="400"/>
          <w:marBottom w:val="0"/>
          <w:divBdr>
            <w:top w:val="none" w:sz="0" w:space="0" w:color="auto"/>
            <w:left w:val="none" w:sz="0" w:space="0" w:color="auto"/>
            <w:bottom w:val="none" w:sz="0" w:space="0" w:color="auto"/>
            <w:right w:val="none" w:sz="0" w:space="0" w:color="auto"/>
          </w:divBdr>
        </w:div>
      </w:divsChild>
    </w:div>
    <w:div w:id="98187471">
      <w:bodyDiv w:val="1"/>
      <w:marLeft w:val="0"/>
      <w:marRight w:val="0"/>
      <w:marTop w:val="0"/>
      <w:marBottom w:val="0"/>
      <w:divBdr>
        <w:top w:val="none" w:sz="0" w:space="0" w:color="auto"/>
        <w:left w:val="none" w:sz="0" w:space="0" w:color="auto"/>
        <w:bottom w:val="none" w:sz="0" w:space="0" w:color="auto"/>
        <w:right w:val="none" w:sz="0" w:space="0" w:color="auto"/>
      </w:divBdr>
    </w:div>
    <w:div w:id="136337520">
      <w:bodyDiv w:val="1"/>
      <w:marLeft w:val="0"/>
      <w:marRight w:val="0"/>
      <w:marTop w:val="0"/>
      <w:marBottom w:val="0"/>
      <w:divBdr>
        <w:top w:val="none" w:sz="0" w:space="0" w:color="auto"/>
        <w:left w:val="none" w:sz="0" w:space="0" w:color="auto"/>
        <w:bottom w:val="none" w:sz="0" w:space="0" w:color="auto"/>
        <w:right w:val="none" w:sz="0" w:space="0" w:color="auto"/>
      </w:divBdr>
      <w:divsChild>
        <w:div w:id="1844081679">
          <w:marLeft w:val="547"/>
          <w:marRight w:val="0"/>
          <w:marTop w:val="400"/>
          <w:marBottom w:val="0"/>
          <w:divBdr>
            <w:top w:val="none" w:sz="0" w:space="0" w:color="auto"/>
            <w:left w:val="none" w:sz="0" w:space="0" w:color="auto"/>
            <w:bottom w:val="none" w:sz="0" w:space="0" w:color="auto"/>
            <w:right w:val="none" w:sz="0" w:space="0" w:color="auto"/>
          </w:divBdr>
        </w:div>
      </w:divsChild>
    </w:div>
    <w:div w:id="151482554">
      <w:bodyDiv w:val="1"/>
      <w:marLeft w:val="0"/>
      <w:marRight w:val="0"/>
      <w:marTop w:val="0"/>
      <w:marBottom w:val="0"/>
      <w:divBdr>
        <w:top w:val="none" w:sz="0" w:space="0" w:color="auto"/>
        <w:left w:val="none" w:sz="0" w:space="0" w:color="auto"/>
        <w:bottom w:val="none" w:sz="0" w:space="0" w:color="auto"/>
        <w:right w:val="none" w:sz="0" w:space="0" w:color="auto"/>
      </w:divBdr>
      <w:divsChild>
        <w:div w:id="693381236">
          <w:marLeft w:val="547"/>
          <w:marRight w:val="0"/>
          <w:marTop w:val="400"/>
          <w:marBottom w:val="0"/>
          <w:divBdr>
            <w:top w:val="none" w:sz="0" w:space="0" w:color="auto"/>
            <w:left w:val="none" w:sz="0" w:space="0" w:color="auto"/>
            <w:bottom w:val="none" w:sz="0" w:space="0" w:color="auto"/>
            <w:right w:val="none" w:sz="0" w:space="0" w:color="auto"/>
          </w:divBdr>
        </w:div>
        <w:div w:id="1337415228">
          <w:marLeft w:val="547"/>
          <w:marRight w:val="0"/>
          <w:marTop w:val="400"/>
          <w:marBottom w:val="0"/>
          <w:divBdr>
            <w:top w:val="none" w:sz="0" w:space="0" w:color="auto"/>
            <w:left w:val="none" w:sz="0" w:space="0" w:color="auto"/>
            <w:bottom w:val="none" w:sz="0" w:space="0" w:color="auto"/>
            <w:right w:val="none" w:sz="0" w:space="0" w:color="auto"/>
          </w:divBdr>
        </w:div>
        <w:div w:id="1350258951">
          <w:marLeft w:val="547"/>
          <w:marRight w:val="0"/>
          <w:marTop w:val="400"/>
          <w:marBottom w:val="0"/>
          <w:divBdr>
            <w:top w:val="none" w:sz="0" w:space="0" w:color="auto"/>
            <w:left w:val="none" w:sz="0" w:space="0" w:color="auto"/>
            <w:bottom w:val="none" w:sz="0" w:space="0" w:color="auto"/>
            <w:right w:val="none" w:sz="0" w:space="0" w:color="auto"/>
          </w:divBdr>
        </w:div>
        <w:div w:id="1726641369">
          <w:marLeft w:val="547"/>
          <w:marRight w:val="0"/>
          <w:marTop w:val="400"/>
          <w:marBottom w:val="0"/>
          <w:divBdr>
            <w:top w:val="none" w:sz="0" w:space="0" w:color="auto"/>
            <w:left w:val="none" w:sz="0" w:space="0" w:color="auto"/>
            <w:bottom w:val="none" w:sz="0" w:space="0" w:color="auto"/>
            <w:right w:val="none" w:sz="0" w:space="0" w:color="auto"/>
          </w:divBdr>
        </w:div>
        <w:div w:id="1788768997">
          <w:marLeft w:val="547"/>
          <w:marRight w:val="0"/>
          <w:marTop w:val="400"/>
          <w:marBottom w:val="0"/>
          <w:divBdr>
            <w:top w:val="none" w:sz="0" w:space="0" w:color="auto"/>
            <w:left w:val="none" w:sz="0" w:space="0" w:color="auto"/>
            <w:bottom w:val="none" w:sz="0" w:space="0" w:color="auto"/>
            <w:right w:val="none" w:sz="0" w:space="0" w:color="auto"/>
          </w:divBdr>
        </w:div>
        <w:div w:id="1949385805">
          <w:marLeft w:val="547"/>
          <w:marRight w:val="0"/>
          <w:marTop w:val="400"/>
          <w:marBottom w:val="0"/>
          <w:divBdr>
            <w:top w:val="none" w:sz="0" w:space="0" w:color="auto"/>
            <w:left w:val="none" w:sz="0" w:space="0" w:color="auto"/>
            <w:bottom w:val="none" w:sz="0" w:space="0" w:color="auto"/>
            <w:right w:val="none" w:sz="0" w:space="0" w:color="auto"/>
          </w:divBdr>
        </w:div>
      </w:divsChild>
    </w:div>
    <w:div w:id="204635961">
      <w:bodyDiv w:val="1"/>
      <w:marLeft w:val="0"/>
      <w:marRight w:val="0"/>
      <w:marTop w:val="0"/>
      <w:marBottom w:val="0"/>
      <w:divBdr>
        <w:top w:val="none" w:sz="0" w:space="0" w:color="auto"/>
        <w:left w:val="none" w:sz="0" w:space="0" w:color="auto"/>
        <w:bottom w:val="none" w:sz="0" w:space="0" w:color="auto"/>
        <w:right w:val="none" w:sz="0" w:space="0" w:color="auto"/>
      </w:divBdr>
    </w:div>
    <w:div w:id="216548383">
      <w:bodyDiv w:val="1"/>
      <w:marLeft w:val="0"/>
      <w:marRight w:val="0"/>
      <w:marTop w:val="0"/>
      <w:marBottom w:val="0"/>
      <w:divBdr>
        <w:top w:val="none" w:sz="0" w:space="0" w:color="auto"/>
        <w:left w:val="none" w:sz="0" w:space="0" w:color="auto"/>
        <w:bottom w:val="none" w:sz="0" w:space="0" w:color="auto"/>
        <w:right w:val="none" w:sz="0" w:space="0" w:color="auto"/>
      </w:divBdr>
    </w:div>
    <w:div w:id="222713224">
      <w:bodyDiv w:val="1"/>
      <w:marLeft w:val="0"/>
      <w:marRight w:val="0"/>
      <w:marTop w:val="0"/>
      <w:marBottom w:val="0"/>
      <w:divBdr>
        <w:top w:val="none" w:sz="0" w:space="0" w:color="auto"/>
        <w:left w:val="none" w:sz="0" w:space="0" w:color="auto"/>
        <w:bottom w:val="none" w:sz="0" w:space="0" w:color="auto"/>
        <w:right w:val="none" w:sz="0" w:space="0" w:color="auto"/>
      </w:divBdr>
    </w:div>
    <w:div w:id="264267046">
      <w:bodyDiv w:val="1"/>
      <w:marLeft w:val="0"/>
      <w:marRight w:val="0"/>
      <w:marTop w:val="0"/>
      <w:marBottom w:val="0"/>
      <w:divBdr>
        <w:top w:val="none" w:sz="0" w:space="0" w:color="auto"/>
        <w:left w:val="none" w:sz="0" w:space="0" w:color="auto"/>
        <w:bottom w:val="none" w:sz="0" w:space="0" w:color="auto"/>
        <w:right w:val="none" w:sz="0" w:space="0" w:color="auto"/>
      </w:divBdr>
      <w:divsChild>
        <w:div w:id="1064373032">
          <w:marLeft w:val="547"/>
          <w:marRight w:val="0"/>
          <w:marTop w:val="400"/>
          <w:marBottom w:val="0"/>
          <w:divBdr>
            <w:top w:val="none" w:sz="0" w:space="0" w:color="auto"/>
            <w:left w:val="none" w:sz="0" w:space="0" w:color="auto"/>
            <w:bottom w:val="none" w:sz="0" w:space="0" w:color="auto"/>
            <w:right w:val="none" w:sz="0" w:space="0" w:color="auto"/>
          </w:divBdr>
        </w:div>
      </w:divsChild>
    </w:div>
    <w:div w:id="265424754">
      <w:bodyDiv w:val="1"/>
      <w:marLeft w:val="0"/>
      <w:marRight w:val="0"/>
      <w:marTop w:val="0"/>
      <w:marBottom w:val="0"/>
      <w:divBdr>
        <w:top w:val="none" w:sz="0" w:space="0" w:color="auto"/>
        <w:left w:val="none" w:sz="0" w:space="0" w:color="auto"/>
        <w:bottom w:val="none" w:sz="0" w:space="0" w:color="auto"/>
        <w:right w:val="none" w:sz="0" w:space="0" w:color="auto"/>
      </w:divBdr>
      <w:divsChild>
        <w:div w:id="383263311">
          <w:marLeft w:val="547"/>
          <w:marRight w:val="0"/>
          <w:marTop w:val="400"/>
          <w:marBottom w:val="0"/>
          <w:divBdr>
            <w:top w:val="none" w:sz="0" w:space="0" w:color="auto"/>
            <w:left w:val="none" w:sz="0" w:space="0" w:color="auto"/>
            <w:bottom w:val="none" w:sz="0" w:space="0" w:color="auto"/>
            <w:right w:val="none" w:sz="0" w:space="0" w:color="auto"/>
          </w:divBdr>
        </w:div>
        <w:div w:id="1183670452">
          <w:marLeft w:val="547"/>
          <w:marRight w:val="0"/>
          <w:marTop w:val="400"/>
          <w:marBottom w:val="0"/>
          <w:divBdr>
            <w:top w:val="none" w:sz="0" w:space="0" w:color="auto"/>
            <w:left w:val="none" w:sz="0" w:space="0" w:color="auto"/>
            <w:bottom w:val="none" w:sz="0" w:space="0" w:color="auto"/>
            <w:right w:val="none" w:sz="0" w:space="0" w:color="auto"/>
          </w:divBdr>
        </w:div>
        <w:div w:id="1746874172">
          <w:marLeft w:val="547"/>
          <w:marRight w:val="0"/>
          <w:marTop w:val="400"/>
          <w:marBottom w:val="0"/>
          <w:divBdr>
            <w:top w:val="none" w:sz="0" w:space="0" w:color="auto"/>
            <w:left w:val="none" w:sz="0" w:space="0" w:color="auto"/>
            <w:bottom w:val="none" w:sz="0" w:space="0" w:color="auto"/>
            <w:right w:val="none" w:sz="0" w:space="0" w:color="auto"/>
          </w:divBdr>
        </w:div>
      </w:divsChild>
    </w:div>
    <w:div w:id="363946625">
      <w:bodyDiv w:val="1"/>
      <w:marLeft w:val="0"/>
      <w:marRight w:val="0"/>
      <w:marTop w:val="0"/>
      <w:marBottom w:val="0"/>
      <w:divBdr>
        <w:top w:val="none" w:sz="0" w:space="0" w:color="auto"/>
        <w:left w:val="none" w:sz="0" w:space="0" w:color="auto"/>
        <w:bottom w:val="none" w:sz="0" w:space="0" w:color="auto"/>
        <w:right w:val="none" w:sz="0" w:space="0" w:color="auto"/>
      </w:divBdr>
    </w:div>
    <w:div w:id="364447988">
      <w:bodyDiv w:val="1"/>
      <w:marLeft w:val="0"/>
      <w:marRight w:val="0"/>
      <w:marTop w:val="0"/>
      <w:marBottom w:val="0"/>
      <w:divBdr>
        <w:top w:val="none" w:sz="0" w:space="0" w:color="auto"/>
        <w:left w:val="none" w:sz="0" w:space="0" w:color="auto"/>
        <w:bottom w:val="none" w:sz="0" w:space="0" w:color="auto"/>
        <w:right w:val="none" w:sz="0" w:space="0" w:color="auto"/>
      </w:divBdr>
    </w:div>
    <w:div w:id="365637872">
      <w:bodyDiv w:val="1"/>
      <w:marLeft w:val="0"/>
      <w:marRight w:val="0"/>
      <w:marTop w:val="0"/>
      <w:marBottom w:val="0"/>
      <w:divBdr>
        <w:top w:val="none" w:sz="0" w:space="0" w:color="auto"/>
        <w:left w:val="none" w:sz="0" w:space="0" w:color="auto"/>
        <w:bottom w:val="none" w:sz="0" w:space="0" w:color="auto"/>
        <w:right w:val="none" w:sz="0" w:space="0" w:color="auto"/>
      </w:divBdr>
      <w:divsChild>
        <w:div w:id="1685862311">
          <w:marLeft w:val="547"/>
          <w:marRight w:val="0"/>
          <w:marTop w:val="400"/>
          <w:marBottom w:val="0"/>
          <w:divBdr>
            <w:top w:val="none" w:sz="0" w:space="0" w:color="auto"/>
            <w:left w:val="none" w:sz="0" w:space="0" w:color="auto"/>
            <w:bottom w:val="none" w:sz="0" w:space="0" w:color="auto"/>
            <w:right w:val="none" w:sz="0" w:space="0" w:color="auto"/>
          </w:divBdr>
        </w:div>
      </w:divsChild>
    </w:div>
    <w:div w:id="406658716">
      <w:bodyDiv w:val="1"/>
      <w:marLeft w:val="0"/>
      <w:marRight w:val="0"/>
      <w:marTop w:val="0"/>
      <w:marBottom w:val="0"/>
      <w:divBdr>
        <w:top w:val="none" w:sz="0" w:space="0" w:color="auto"/>
        <w:left w:val="none" w:sz="0" w:space="0" w:color="auto"/>
        <w:bottom w:val="none" w:sz="0" w:space="0" w:color="auto"/>
        <w:right w:val="none" w:sz="0" w:space="0" w:color="auto"/>
      </w:divBdr>
    </w:div>
    <w:div w:id="429006854">
      <w:bodyDiv w:val="1"/>
      <w:marLeft w:val="0"/>
      <w:marRight w:val="0"/>
      <w:marTop w:val="0"/>
      <w:marBottom w:val="0"/>
      <w:divBdr>
        <w:top w:val="none" w:sz="0" w:space="0" w:color="auto"/>
        <w:left w:val="none" w:sz="0" w:space="0" w:color="auto"/>
        <w:bottom w:val="none" w:sz="0" w:space="0" w:color="auto"/>
        <w:right w:val="none" w:sz="0" w:space="0" w:color="auto"/>
      </w:divBdr>
    </w:div>
    <w:div w:id="452408750">
      <w:bodyDiv w:val="1"/>
      <w:marLeft w:val="0"/>
      <w:marRight w:val="0"/>
      <w:marTop w:val="0"/>
      <w:marBottom w:val="0"/>
      <w:divBdr>
        <w:top w:val="none" w:sz="0" w:space="0" w:color="auto"/>
        <w:left w:val="none" w:sz="0" w:space="0" w:color="auto"/>
        <w:bottom w:val="none" w:sz="0" w:space="0" w:color="auto"/>
        <w:right w:val="none" w:sz="0" w:space="0" w:color="auto"/>
      </w:divBdr>
      <w:divsChild>
        <w:div w:id="1157571851">
          <w:marLeft w:val="0"/>
          <w:marRight w:val="0"/>
          <w:marTop w:val="0"/>
          <w:marBottom w:val="0"/>
          <w:divBdr>
            <w:top w:val="none" w:sz="0" w:space="0" w:color="auto"/>
            <w:left w:val="none" w:sz="0" w:space="0" w:color="auto"/>
            <w:bottom w:val="none" w:sz="0" w:space="0" w:color="auto"/>
            <w:right w:val="none" w:sz="0" w:space="0" w:color="auto"/>
          </w:divBdr>
          <w:divsChild>
            <w:div w:id="1424953550">
              <w:marLeft w:val="0"/>
              <w:marRight w:val="0"/>
              <w:marTop w:val="0"/>
              <w:marBottom w:val="0"/>
              <w:divBdr>
                <w:top w:val="none" w:sz="0" w:space="0" w:color="auto"/>
                <w:left w:val="none" w:sz="0" w:space="0" w:color="auto"/>
                <w:bottom w:val="none" w:sz="0" w:space="0" w:color="auto"/>
                <w:right w:val="none" w:sz="0" w:space="0" w:color="auto"/>
              </w:divBdr>
              <w:divsChild>
                <w:div w:id="1956208736">
                  <w:marLeft w:val="0"/>
                  <w:marRight w:val="0"/>
                  <w:marTop w:val="0"/>
                  <w:marBottom w:val="0"/>
                  <w:divBdr>
                    <w:top w:val="none" w:sz="0" w:space="0" w:color="auto"/>
                    <w:left w:val="none" w:sz="0" w:space="0" w:color="auto"/>
                    <w:bottom w:val="none" w:sz="0" w:space="0" w:color="auto"/>
                    <w:right w:val="none" w:sz="0" w:space="0" w:color="auto"/>
                  </w:divBdr>
                  <w:divsChild>
                    <w:div w:id="1741905095">
                      <w:marLeft w:val="0"/>
                      <w:marRight w:val="0"/>
                      <w:marTop w:val="0"/>
                      <w:marBottom w:val="0"/>
                      <w:divBdr>
                        <w:top w:val="none" w:sz="0" w:space="0" w:color="auto"/>
                        <w:left w:val="none" w:sz="0" w:space="0" w:color="auto"/>
                        <w:bottom w:val="none" w:sz="0" w:space="0" w:color="auto"/>
                        <w:right w:val="none" w:sz="0" w:space="0" w:color="auto"/>
                      </w:divBdr>
                      <w:divsChild>
                        <w:div w:id="1098328963">
                          <w:marLeft w:val="0"/>
                          <w:marRight w:val="0"/>
                          <w:marTop w:val="0"/>
                          <w:marBottom w:val="0"/>
                          <w:divBdr>
                            <w:top w:val="none" w:sz="0" w:space="0" w:color="auto"/>
                            <w:left w:val="none" w:sz="0" w:space="0" w:color="auto"/>
                            <w:bottom w:val="none" w:sz="0" w:space="0" w:color="auto"/>
                            <w:right w:val="none" w:sz="0" w:space="0" w:color="auto"/>
                          </w:divBdr>
                          <w:divsChild>
                            <w:div w:id="3901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4582">
      <w:bodyDiv w:val="1"/>
      <w:marLeft w:val="0"/>
      <w:marRight w:val="0"/>
      <w:marTop w:val="0"/>
      <w:marBottom w:val="0"/>
      <w:divBdr>
        <w:top w:val="none" w:sz="0" w:space="0" w:color="auto"/>
        <w:left w:val="none" w:sz="0" w:space="0" w:color="auto"/>
        <w:bottom w:val="none" w:sz="0" w:space="0" w:color="auto"/>
        <w:right w:val="none" w:sz="0" w:space="0" w:color="auto"/>
      </w:divBdr>
    </w:div>
    <w:div w:id="494801454">
      <w:bodyDiv w:val="1"/>
      <w:marLeft w:val="0"/>
      <w:marRight w:val="0"/>
      <w:marTop w:val="0"/>
      <w:marBottom w:val="0"/>
      <w:divBdr>
        <w:top w:val="none" w:sz="0" w:space="0" w:color="auto"/>
        <w:left w:val="none" w:sz="0" w:space="0" w:color="auto"/>
        <w:bottom w:val="none" w:sz="0" w:space="0" w:color="auto"/>
        <w:right w:val="none" w:sz="0" w:space="0" w:color="auto"/>
      </w:divBdr>
      <w:divsChild>
        <w:div w:id="150105426">
          <w:marLeft w:val="1080"/>
          <w:marRight w:val="0"/>
          <w:marTop w:val="120"/>
          <w:marBottom w:val="0"/>
          <w:divBdr>
            <w:top w:val="none" w:sz="0" w:space="0" w:color="auto"/>
            <w:left w:val="none" w:sz="0" w:space="0" w:color="auto"/>
            <w:bottom w:val="none" w:sz="0" w:space="0" w:color="auto"/>
            <w:right w:val="none" w:sz="0" w:space="0" w:color="auto"/>
          </w:divBdr>
        </w:div>
        <w:div w:id="252782612">
          <w:marLeft w:val="1080"/>
          <w:marRight w:val="0"/>
          <w:marTop w:val="120"/>
          <w:marBottom w:val="0"/>
          <w:divBdr>
            <w:top w:val="none" w:sz="0" w:space="0" w:color="auto"/>
            <w:left w:val="none" w:sz="0" w:space="0" w:color="auto"/>
            <w:bottom w:val="none" w:sz="0" w:space="0" w:color="auto"/>
            <w:right w:val="none" w:sz="0" w:space="0" w:color="auto"/>
          </w:divBdr>
        </w:div>
        <w:div w:id="279537168">
          <w:marLeft w:val="547"/>
          <w:marRight w:val="0"/>
          <w:marTop w:val="400"/>
          <w:marBottom w:val="0"/>
          <w:divBdr>
            <w:top w:val="none" w:sz="0" w:space="0" w:color="auto"/>
            <w:left w:val="none" w:sz="0" w:space="0" w:color="auto"/>
            <w:bottom w:val="none" w:sz="0" w:space="0" w:color="auto"/>
            <w:right w:val="none" w:sz="0" w:space="0" w:color="auto"/>
          </w:divBdr>
        </w:div>
        <w:div w:id="658654791">
          <w:marLeft w:val="1080"/>
          <w:marRight w:val="0"/>
          <w:marTop w:val="120"/>
          <w:marBottom w:val="0"/>
          <w:divBdr>
            <w:top w:val="none" w:sz="0" w:space="0" w:color="auto"/>
            <w:left w:val="none" w:sz="0" w:space="0" w:color="auto"/>
            <w:bottom w:val="none" w:sz="0" w:space="0" w:color="auto"/>
            <w:right w:val="none" w:sz="0" w:space="0" w:color="auto"/>
          </w:divBdr>
        </w:div>
        <w:div w:id="873617538">
          <w:marLeft w:val="1080"/>
          <w:marRight w:val="0"/>
          <w:marTop w:val="120"/>
          <w:marBottom w:val="0"/>
          <w:divBdr>
            <w:top w:val="none" w:sz="0" w:space="0" w:color="auto"/>
            <w:left w:val="none" w:sz="0" w:space="0" w:color="auto"/>
            <w:bottom w:val="none" w:sz="0" w:space="0" w:color="auto"/>
            <w:right w:val="none" w:sz="0" w:space="0" w:color="auto"/>
          </w:divBdr>
        </w:div>
        <w:div w:id="2096243645">
          <w:marLeft w:val="1080"/>
          <w:marRight w:val="0"/>
          <w:marTop w:val="120"/>
          <w:marBottom w:val="0"/>
          <w:divBdr>
            <w:top w:val="none" w:sz="0" w:space="0" w:color="auto"/>
            <w:left w:val="none" w:sz="0" w:space="0" w:color="auto"/>
            <w:bottom w:val="none" w:sz="0" w:space="0" w:color="auto"/>
            <w:right w:val="none" w:sz="0" w:space="0" w:color="auto"/>
          </w:divBdr>
        </w:div>
      </w:divsChild>
    </w:div>
    <w:div w:id="541333126">
      <w:bodyDiv w:val="1"/>
      <w:marLeft w:val="0"/>
      <w:marRight w:val="0"/>
      <w:marTop w:val="0"/>
      <w:marBottom w:val="0"/>
      <w:divBdr>
        <w:top w:val="none" w:sz="0" w:space="0" w:color="auto"/>
        <w:left w:val="none" w:sz="0" w:space="0" w:color="auto"/>
        <w:bottom w:val="none" w:sz="0" w:space="0" w:color="auto"/>
        <w:right w:val="none" w:sz="0" w:space="0" w:color="auto"/>
      </w:divBdr>
      <w:divsChild>
        <w:div w:id="580724966">
          <w:marLeft w:val="1080"/>
          <w:marRight w:val="0"/>
          <w:marTop w:val="120"/>
          <w:marBottom w:val="0"/>
          <w:divBdr>
            <w:top w:val="none" w:sz="0" w:space="0" w:color="auto"/>
            <w:left w:val="none" w:sz="0" w:space="0" w:color="auto"/>
            <w:bottom w:val="none" w:sz="0" w:space="0" w:color="auto"/>
            <w:right w:val="none" w:sz="0" w:space="0" w:color="auto"/>
          </w:divBdr>
        </w:div>
      </w:divsChild>
    </w:div>
    <w:div w:id="557518806">
      <w:bodyDiv w:val="1"/>
      <w:marLeft w:val="0"/>
      <w:marRight w:val="0"/>
      <w:marTop w:val="0"/>
      <w:marBottom w:val="0"/>
      <w:divBdr>
        <w:top w:val="none" w:sz="0" w:space="0" w:color="auto"/>
        <w:left w:val="none" w:sz="0" w:space="0" w:color="auto"/>
        <w:bottom w:val="none" w:sz="0" w:space="0" w:color="auto"/>
        <w:right w:val="none" w:sz="0" w:space="0" w:color="auto"/>
      </w:divBdr>
      <w:divsChild>
        <w:div w:id="38356744">
          <w:marLeft w:val="547"/>
          <w:marRight w:val="0"/>
          <w:marTop w:val="400"/>
          <w:marBottom w:val="0"/>
          <w:divBdr>
            <w:top w:val="none" w:sz="0" w:space="0" w:color="auto"/>
            <w:left w:val="none" w:sz="0" w:space="0" w:color="auto"/>
            <w:bottom w:val="none" w:sz="0" w:space="0" w:color="auto"/>
            <w:right w:val="none" w:sz="0" w:space="0" w:color="auto"/>
          </w:divBdr>
        </w:div>
      </w:divsChild>
    </w:div>
    <w:div w:id="570582971">
      <w:bodyDiv w:val="1"/>
      <w:marLeft w:val="0"/>
      <w:marRight w:val="0"/>
      <w:marTop w:val="0"/>
      <w:marBottom w:val="0"/>
      <w:divBdr>
        <w:top w:val="none" w:sz="0" w:space="0" w:color="auto"/>
        <w:left w:val="none" w:sz="0" w:space="0" w:color="auto"/>
        <w:bottom w:val="none" w:sz="0" w:space="0" w:color="auto"/>
        <w:right w:val="none" w:sz="0" w:space="0" w:color="auto"/>
      </w:divBdr>
      <w:divsChild>
        <w:div w:id="936211778">
          <w:marLeft w:val="547"/>
          <w:marRight w:val="0"/>
          <w:marTop w:val="400"/>
          <w:marBottom w:val="0"/>
          <w:divBdr>
            <w:top w:val="none" w:sz="0" w:space="0" w:color="auto"/>
            <w:left w:val="none" w:sz="0" w:space="0" w:color="auto"/>
            <w:bottom w:val="none" w:sz="0" w:space="0" w:color="auto"/>
            <w:right w:val="none" w:sz="0" w:space="0" w:color="auto"/>
          </w:divBdr>
        </w:div>
      </w:divsChild>
    </w:div>
    <w:div w:id="644159702">
      <w:bodyDiv w:val="1"/>
      <w:marLeft w:val="0"/>
      <w:marRight w:val="0"/>
      <w:marTop w:val="0"/>
      <w:marBottom w:val="0"/>
      <w:divBdr>
        <w:top w:val="none" w:sz="0" w:space="0" w:color="auto"/>
        <w:left w:val="none" w:sz="0" w:space="0" w:color="auto"/>
        <w:bottom w:val="none" w:sz="0" w:space="0" w:color="auto"/>
        <w:right w:val="none" w:sz="0" w:space="0" w:color="auto"/>
      </w:divBdr>
    </w:div>
    <w:div w:id="695691539">
      <w:bodyDiv w:val="1"/>
      <w:marLeft w:val="0"/>
      <w:marRight w:val="0"/>
      <w:marTop w:val="0"/>
      <w:marBottom w:val="0"/>
      <w:divBdr>
        <w:top w:val="none" w:sz="0" w:space="0" w:color="auto"/>
        <w:left w:val="none" w:sz="0" w:space="0" w:color="auto"/>
        <w:bottom w:val="none" w:sz="0" w:space="0" w:color="auto"/>
        <w:right w:val="none" w:sz="0" w:space="0" w:color="auto"/>
      </w:divBdr>
      <w:divsChild>
        <w:div w:id="1900286771">
          <w:marLeft w:val="547"/>
          <w:marRight w:val="0"/>
          <w:marTop w:val="400"/>
          <w:marBottom w:val="0"/>
          <w:divBdr>
            <w:top w:val="none" w:sz="0" w:space="0" w:color="auto"/>
            <w:left w:val="none" w:sz="0" w:space="0" w:color="auto"/>
            <w:bottom w:val="none" w:sz="0" w:space="0" w:color="auto"/>
            <w:right w:val="none" w:sz="0" w:space="0" w:color="auto"/>
          </w:divBdr>
        </w:div>
      </w:divsChild>
    </w:div>
    <w:div w:id="743183428">
      <w:bodyDiv w:val="1"/>
      <w:marLeft w:val="0"/>
      <w:marRight w:val="0"/>
      <w:marTop w:val="0"/>
      <w:marBottom w:val="0"/>
      <w:divBdr>
        <w:top w:val="none" w:sz="0" w:space="0" w:color="auto"/>
        <w:left w:val="none" w:sz="0" w:space="0" w:color="auto"/>
        <w:bottom w:val="none" w:sz="0" w:space="0" w:color="auto"/>
        <w:right w:val="none" w:sz="0" w:space="0" w:color="auto"/>
      </w:divBdr>
    </w:div>
    <w:div w:id="767391521">
      <w:bodyDiv w:val="1"/>
      <w:marLeft w:val="0"/>
      <w:marRight w:val="0"/>
      <w:marTop w:val="0"/>
      <w:marBottom w:val="0"/>
      <w:divBdr>
        <w:top w:val="none" w:sz="0" w:space="0" w:color="auto"/>
        <w:left w:val="none" w:sz="0" w:space="0" w:color="auto"/>
        <w:bottom w:val="none" w:sz="0" w:space="0" w:color="auto"/>
        <w:right w:val="none" w:sz="0" w:space="0" w:color="auto"/>
      </w:divBdr>
    </w:div>
    <w:div w:id="857230521">
      <w:bodyDiv w:val="1"/>
      <w:marLeft w:val="0"/>
      <w:marRight w:val="0"/>
      <w:marTop w:val="0"/>
      <w:marBottom w:val="0"/>
      <w:divBdr>
        <w:top w:val="none" w:sz="0" w:space="0" w:color="auto"/>
        <w:left w:val="none" w:sz="0" w:space="0" w:color="auto"/>
        <w:bottom w:val="none" w:sz="0" w:space="0" w:color="auto"/>
        <w:right w:val="none" w:sz="0" w:space="0" w:color="auto"/>
      </w:divBdr>
    </w:div>
    <w:div w:id="876547332">
      <w:bodyDiv w:val="1"/>
      <w:marLeft w:val="0"/>
      <w:marRight w:val="0"/>
      <w:marTop w:val="0"/>
      <w:marBottom w:val="0"/>
      <w:divBdr>
        <w:top w:val="none" w:sz="0" w:space="0" w:color="auto"/>
        <w:left w:val="none" w:sz="0" w:space="0" w:color="auto"/>
        <w:bottom w:val="none" w:sz="0" w:space="0" w:color="auto"/>
        <w:right w:val="none" w:sz="0" w:space="0" w:color="auto"/>
      </w:divBdr>
    </w:div>
    <w:div w:id="948925258">
      <w:bodyDiv w:val="1"/>
      <w:marLeft w:val="0"/>
      <w:marRight w:val="0"/>
      <w:marTop w:val="0"/>
      <w:marBottom w:val="0"/>
      <w:divBdr>
        <w:top w:val="none" w:sz="0" w:space="0" w:color="auto"/>
        <w:left w:val="none" w:sz="0" w:space="0" w:color="auto"/>
        <w:bottom w:val="none" w:sz="0" w:space="0" w:color="auto"/>
        <w:right w:val="none" w:sz="0" w:space="0" w:color="auto"/>
      </w:divBdr>
      <w:divsChild>
        <w:div w:id="227224851">
          <w:marLeft w:val="547"/>
          <w:marRight w:val="0"/>
          <w:marTop w:val="400"/>
          <w:marBottom w:val="0"/>
          <w:divBdr>
            <w:top w:val="none" w:sz="0" w:space="0" w:color="auto"/>
            <w:left w:val="none" w:sz="0" w:space="0" w:color="auto"/>
            <w:bottom w:val="none" w:sz="0" w:space="0" w:color="auto"/>
            <w:right w:val="none" w:sz="0" w:space="0" w:color="auto"/>
          </w:divBdr>
        </w:div>
      </w:divsChild>
    </w:div>
    <w:div w:id="1002733459">
      <w:bodyDiv w:val="1"/>
      <w:marLeft w:val="0"/>
      <w:marRight w:val="0"/>
      <w:marTop w:val="0"/>
      <w:marBottom w:val="0"/>
      <w:divBdr>
        <w:top w:val="none" w:sz="0" w:space="0" w:color="auto"/>
        <w:left w:val="none" w:sz="0" w:space="0" w:color="auto"/>
        <w:bottom w:val="none" w:sz="0" w:space="0" w:color="auto"/>
        <w:right w:val="none" w:sz="0" w:space="0" w:color="auto"/>
      </w:divBdr>
      <w:divsChild>
        <w:div w:id="1320424024">
          <w:marLeft w:val="0"/>
          <w:marRight w:val="0"/>
          <w:marTop w:val="0"/>
          <w:marBottom w:val="0"/>
          <w:divBdr>
            <w:top w:val="none" w:sz="0" w:space="0" w:color="auto"/>
            <w:left w:val="none" w:sz="0" w:space="0" w:color="auto"/>
            <w:bottom w:val="none" w:sz="0" w:space="0" w:color="auto"/>
            <w:right w:val="none" w:sz="0" w:space="0" w:color="auto"/>
          </w:divBdr>
          <w:divsChild>
            <w:div w:id="817961594">
              <w:marLeft w:val="0"/>
              <w:marRight w:val="0"/>
              <w:marTop w:val="0"/>
              <w:marBottom w:val="0"/>
              <w:divBdr>
                <w:top w:val="none" w:sz="0" w:space="0" w:color="auto"/>
                <w:left w:val="none" w:sz="0" w:space="0" w:color="auto"/>
                <w:bottom w:val="none" w:sz="0" w:space="0" w:color="auto"/>
                <w:right w:val="none" w:sz="0" w:space="0" w:color="auto"/>
              </w:divBdr>
              <w:divsChild>
                <w:div w:id="4476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7168">
      <w:bodyDiv w:val="1"/>
      <w:marLeft w:val="0"/>
      <w:marRight w:val="0"/>
      <w:marTop w:val="0"/>
      <w:marBottom w:val="0"/>
      <w:divBdr>
        <w:top w:val="none" w:sz="0" w:space="0" w:color="auto"/>
        <w:left w:val="none" w:sz="0" w:space="0" w:color="auto"/>
        <w:bottom w:val="none" w:sz="0" w:space="0" w:color="auto"/>
        <w:right w:val="none" w:sz="0" w:space="0" w:color="auto"/>
      </w:divBdr>
      <w:divsChild>
        <w:div w:id="481696886">
          <w:marLeft w:val="547"/>
          <w:marRight w:val="0"/>
          <w:marTop w:val="400"/>
          <w:marBottom w:val="0"/>
          <w:divBdr>
            <w:top w:val="none" w:sz="0" w:space="0" w:color="auto"/>
            <w:left w:val="none" w:sz="0" w:space="0" w:color="auto"/>
            <w:bottom w:val="none" w:sz="0" w:space="0" w:color="auto"/>
            <w:right w:val="none" w:sz="0" w:space="0" w:color="auto"/>
          </w:divBdr>
        </w:div>
        <w:div w:id="708995400">
          <w:marLeft w:val="547"/>
          <w:marRight w:val="0"/>
          <w:marTop w:val="400"/>
          <w:marBottom w:val="0"/>
          <w:divBdr>
            <w:top w:val="none" w:sz="0" w:space="0" w:color="auto"/>
            <w:left w:val="none" w:sz="0" w:space="0" w:color="auto"/>
            <w:bottom w:val="none" w:sz="0" w:space="0" w:color="auto"/>
            <w:right w:val="none" w:sz="0" w:space="0" w:color="auto"/>
          </w:divBdr>
        </w:div>
        <w:div w:id="1662999360">
          <w:marLeft w:val="547"/>
          <w:marRight w:val="0"/>
          <w:marTop w:val="400"/>
          <w:marBottom w:val="0"/>
          <w:divBdr>
            <w:top w:val="none" w:sz="0" w:space="0" w:color="auto"/>
            <w:left w:val="none" w:sz="0" w:space="0" w:color="auto"/>
            <w:bottom w:val="none" w:sz="0" w:space="0" w:color="auto"/>
            <w:right w:val="none" w:sz="0" w:space="0" w:color="auto"/>
          </w:divBdr>
        </w:div>
      </w:divsChild>
    </w:div>
    <w:div w:id="1046028793">
      <w:bodyDiv w:val="1"/>
      <w:marLeft w:val="0"/>
      <w:marRight w:val="0"/>
      <w:marTop w:val="0"/>
      <w:marBottom w:val="0"/>
      <w:divBdr>
        <w:top w:val="none" w:sz="0" w:space="0" w:color="auto"/>
        <w:left w:val="none" w:sz="0" w:space="0" w:color="auto"/>
        <w:bottom w:val="none" w:sz="0" w:space="0" w:color="auto"/>
        <w:right w:val="none" w:sz="0" w:space="0" w:color="auto"/>
      </w:divBdr>
    </w:div>
    <w:div w:id="1058167791">
      <w:bodyDiv w:val="1"/>
      <w:marLeft w:val="0"/>
      <w:marRight w:val="0"/>
      <w:marTop w:val="0"/>
      <w:marBottom w:val="0"/>
      <w:divBdr>
        <w:top w:val="none" w:sz="0" w:space="0" w:color="auto"/>
        <w:left w:val="none" w:sz="0" w:space="0" w:color="auto"/>
        <w:bottom w:val="none" w:sz="0" w:space="0" w:color="auto"/>
        <w:right w:val="none" w:sz="0" w:space="0" w:color="auto"/>
      </w:divBdr>
      <w:divsChild>
        <w:div w:id="1484203716">
          <w:marLeft w:val="547"/>
          <w:marRight w:val="0"/>
          <w:marTop w:val="400"/>
          <w:marBottom w:val="0"/>
          <w:divBdr>
            <w:top w:val="none" w:sz="0" w:space="0" w:color="auto"/>
            <w:left w:val="none" w:sz="0" w:space="0" w:color="auto"/>
            <w:bottom w:val="none" w:sz="0" w:space="0" w:color="auto"/>
            <w:right w:val="none" w:sz="0" w:space="0" w:color="auto"/>
          </w:divBdr>
        </w:div>
      </w:divsChild>
    </w:div>
    <w:div w:id="1172835423">
      <w:bodyDiv w:val="1"/>
      <w:marLeft w:val="0"/>
      <w:marRight w:val="0"/>
      <w:marTop w:val="0"/>
      <w:marBottom w:val="0"/>
      <w:divBdr>
        <w:top w:val="none" w:sz="0" w:space="0" w:color="auto"/>
        <w:left w:val="none" w:sz="0" w:space="0" w:color="auto"/>
        <w:bottom w:val="none" w:sz="0" w:space="0" w:color="auto"/>
        <w:right w:val="none" w:sz="0" w:space="0" w:color="auto"/>
      </w:divBdr>
      <w:divsChild>
        <w:div w:id="580218236">
          <w:marLeft w:val="547"/>
          <w:marRight w:val="0"/>
          <w:marTop w:val="400"/>
          <w:marBottom w:val="0"/>
          <w:divBdr>
            <w:top w:val="none" w:sz="0" w:space="0" w:color="auto"/>
            <w:left w:val="none" w:sz="0" w:space="0" w:color="auto"/>
            <w:bottom w:val="none" w:sz="0" w:space="0" w:color="auto"/>
            <w:right w:val="none" w:sz="0" w:space="0" w:color="auto"/>
          </w:divBdr>
        </w:div>
        <w:div w:id="1650284925">
          <w:marLeft w:val="547"/>
          <w:marRight w:val="0"/>
          <w:marTop w:val="400"/>
          <w:marBottom w:val="0"/>
          <w:divBdr>
            <w:top w:val="none" w:sz="0" w:space="0" w:color="auto"/>
            <w:left w:val="none" w:sz="0" w:space="0" w:color="auto"/>
            <w:bottom w:val="none" w:sz="0" w:space="0" w:color="auto"/>
            <w:right w:val="none" w:sz="0" w:space="0" w:color="auto"/>
          </w:divBdr>
        </w:div>
        <w:div w:id="1861508836">
          <w:marLeft w:val="547"/>
          <w:marRight w:val="0"/>
          <w:marTop w:val="400"/>
          <w:marBottom w:val="0"/>
          <w:divBdr>
            <w:top w:val="none" w:sz="0" w:space="0" w:color="auto"/>
            <w:left w:val="none" w:sz="0" w:space="0" w:color="auto"/>
            <w:bottom w:val="none" w:sz="0" w:space="0" w:color="auto"/>
            <w:right w:val="none" w:sz="0" w:space="0" w:color="auto"/>
          </w:divBdr>
        </w:div>
      </w:divsChild>
    </w:div>
    <w:div w:id="1193417038">
      <w:bodyDiv w:val="1"/>
      <w:marLeft w:val="0"/>
      <w:marRight w:val="0"/>
      <w:marTop w:val="0"/>
      <w:marBottom w:val="0"/>
      <w:divBdr>
        <w:top w:val="none" w:sz="0" w:space="0" w:color="auto"/>
        <w:left w:val="none" w:sz="0" w:space="0" w:color="auto"/>
        <w:bottom w:val="none" w:sz="0" w:space="0" w:color="auto"/>
        <w:right w:val="none" w:sz="0" w:space="0" w:color="auto"/>
      </w:divBdr>
      <w:divsChild>
        <w:div w:id="1037463508">
          <w:marLeft w:val="547"/>
          <w:marRight w:val="0"/>
          <w:marTop w:val="400"/>
          <w:marBottom w:val="0"/>
          <w:divBdr>
            <w:top w:val="none" w:sz="0" w:space="0" w:color="auto"/>
            <w:left w:val="none" w:sz="0" w:space="0" w:color="auto"/>
            <w:bottom w:val="none" w:sz="0" w:space="0" w:color="auto"/>
            <w:right w:val="none" w:sz="0" w:space="0" w:color="auto"/>
          </w:divBdr>
        </w:div>
        <w:div w:id="1334722022">
          <w:marLeft w:val="547"/>
          <w:marRight w:val="0"/>
          <w:marTop w:val="400"/>
          <w:marBottom w:val="0"/>
          <w:divBdr>
            <w:top w:val="none" w:sz="0" w:space="0" w:color="auto"/>
            <w:left w:val="none" w:sz="0" w:space="0" w:color="auto"/>
            <w:bottom w:val="none" w:sz="0" w:space="0" w:color="auto"/>
            <w:right w:val="none" w:sz="0" w:space="0" w:color="auto"/>
          </w:divBdr>
        </w:div>
      </w:divsChild>
    </w:div>
    <w:div w:id="1200817785">
      <w:bodyDiv w:val="1"/>
      <w:marLeft w:val="0"/>
      <w:marRight w:val="0"/>
      <w:marTop w:val="0"/>
      <w:marBottom w:val="0"/>
      <w:divBdr>
        <w:top w:val="none" w:sz="0" w:space="0" w:color="auto"/>
        <w:left w:val="none" w:sz="0" w:space="0" w:color="auto"/>
        <w:bottom w:val="none" w:sz="0" w:space="0" w:color="auto"/>
        <w:right w:val="none" w:sz="0" w:space="0" w:color="auto"/>
      </w:divBdr>
    </w:div>
    <w:div w:id="1219245524">
      <w:bodyDiv w:val="1"/>
      <w:marLeft w:val="0"/>
      <w:marRight w:val="0"/>
      <w:marTop w:val="0"/>
      <w:marBottom w:val="0"/>
      <w:divBdr>
        <w:top w:val="none" w:sz="0" w:space="0" w:color="auto"/>
        <w:left w:val="none" w:sz="0" w:space="0" w:color="auto"/>
        <w:bottom w:val="none" w:sz="0" w:space="0" w:color="auto"/>
        <w:right w:val="none" w:sz="0" w:space="0" w:color="auto"/>
      </w:divBdr>
    </w:div>
    <w:div w:id="1255475372">
      <w:bodyDiv w:val="1"/>
      <w:marLeft w:val="0"/>
      <w:marRight w:val="0"/>
      <w:marTop w:val="0"/>
      <w:marBottom w:val="0"/>
      <w:divBdr>
        <w:top w:val="none" w:sz="0" w:space="0" w:color="auto"/>
        <w:left w:val="none" w:sz="0" w:space="0" w:color="auto"/>
        <w:bottom w:val="none" w:sz="0" w:space="0" w:color="auto"/>
        <w:right w:val="none" w:sz="0" w:space="0" w:color="auto"/>
      </w:divBdr>
    </w:div>
    <w:div w:id="1269771263">
      <w:bodyDiv w:val="1"/>
      <w:marLeft w:val="0"/>
      <w:marRight w:val="0"/>
      <w:marTop w:val="0"/>
      <w:marBottom w:val="0"/>
      <w:divBdr>
        <w:top w:val="none" w:sz="0" w:space="0" w:color="auto"/>
        <w:left w:val="none" w:sz="0" w:space="0" w:color="auto"/>
        <w:bottom w:val="none" w:sz="0" w:space="0" w:color="auto"/>
        <w:right w:val="none" w:sz="0" w:space="0" w:color="auto"/>
      </w:divBdr>
      <w:divsChild>
        <w:div w:id="151795794">
          <w:marLeft w:val="547"/>
          <w:marRight w:val="0"/>
          <w:marTop w:val="400"/>
          <w:marBottom w:val="0"/>
          <w:divBdr>
            <w:top w:val="none" w:sz="0" w:space="0" w:color="auto"/>
            <w:left w:val="none" w:sz="0" w:space="0" w:color="auto"/>
            <w:bottom w:val="none" w:sz="0" w:space="0" w:color="auto"/>
            <w:right w:val="none" w:sz="0" w:space="0" w:color="auto"/>
          </w:divBdr>
        </w:div>
      </w:divsChild>
    </w:div>
    <w:div w:id="1309286194">
      <w:bodyDiv w:val="1"/>
      <w:marLeft w:val="0"/>
      <w:marRight w:val="0"/>
      <w:marTop w:val="0"/>
      <w:marBottom w:val="0"/>
      <w:divBdr>
        <w:top w:val="none" w:sz="0" w:space="0" w:color="auto"/>
        <w:left w:val="none" w:sz="0" w:space="0" w:color="auto"/>
        <w:bottom w:val="none" w:sz="0" w:space="0" w:color="auto"/>
        <w:right w:val="none" w:sz="0" w:space="0" w:color="auto"/>
      </w:divBdr>
      <w:divsChild>
        <w:div w:id="140855950">
          <w:marLeft w:val="1080"/>
          <w:marRight w:val="0"/>
          <w:marTop w:val="120"/>
          <w:marBottom w:val="0"/>
          <w:divBdr>
            <w:top w:val="none" w:sz="0" w:space="0" w:color="auto"/>
            <w:left w:val="none" w:sz="0" w:space="0" w:color="auto"/>
            <w:bottom w:val="none" w:sz="0" w:space="0" w:color="auto"/>
            <w:right w:val="none" w:sz="0" w:space="0" w:color="auto"/>
          </w:divBdr>
        </w:div>
        <w:div w:id="1077824796">
          <w:marLeft w:val="1080"/>
          <w:marRight w:val="0"/>
          <w:marTop w:val="120"/>
          <w:marBottom w:val="0"/>
          <w:divBdr>
            <w:top w:val="none" w:sz="0" w:space="0" w:color="auto"/>
            <w:left w:val="none" w:sz="0" w:space="0" w:color="auto"/>
            <w:bottom w:val="none" w:sz="0" w:space="0" w:color="auto"/>
            <w:right w:val="none" w:sz="0" w:space="0" w:color="auto"/>
          </w:divBdr>
        </w:div>
      </w:divsChild>
    </w:div>
    <w:div w:id="1310943395">
      <w:bodyDiv w:val="1"/>
      <w:marLeft w:val="0"/>
      <w:marRight w:val="0"/>
      <w:marTop w:val="0"/>
      <w:marBottom w:val="0"/>
      <w:divBdr>
        <w:top w:val="none" w:sz="0" w:space="0" w:color="auto"/>
        <w:left w:val="none" w:sz="0" w:space="0" w:color="auto"/>
        <w:bottom w:val="none" w:sz="0" w:space="0" w:color="auto"/>
        <w:right w:val="none" w:sz="0" w:space="0" w:color="auto"/>
      </w:divBdr>
      <w:divsChild>
        <w:div w:id="451629176">
          <w:marLeft w:val="547"/>
          <w:marRight w:val="0"/>
          <w:marTop w:val="400"/>
          <w:marBottom w:val="0"/>
          <w:divBdr>
            <w:top w:val="none" w:sz="0" w:space="0" w:color="auto"/>
            <w:left w:val="none" w:sz="0" w:space="0" w:color="auto"/>
            <w:bottom w:val="none" w:sz="0" w:space="0" w:color="auto"/>
            <w:right w:val="none" w:sz="0" w:space="0" w:color="auto"/>
          </w:divBdr>
        </w:div>
        <w:div w:id="817498592">
          <w:marLeft w:val="547"/>
          <w:marRight w:val="0"/>
          <w:marTop w:val="400"/>
          <w:marBottom w:val="0"/>
          <w:divBdr>
            <w:top w:val="none" w:sz="0" w:space="0" w:color="auto"/>
            <w:left w:val="none" w:sz="0" w:space="0" w:color="auto"/>
            <w:bottom w:val="none" w:sz="0" w:space="0" w:color="auto"/>
            <w:right w:val="none" w:sz="0" w:space="0" w:color="auto"/>
          </w:divBdr>
        </w:div>
        <w:div w:id="1364205992">
          <w:marLeft w:val="547"/>
          <w:marRight w:val="0"/>
          <w:marTop w:val="400"/>
          <w:marBottom w:val="0"/>
          <w:divBdr>
            <w:top w:val="none" w:sz="0" w:space="0" w:color="auto"/>
            <w:left w:val="none" w:sz="0" w:space="0" w:color="auto"/>
            <w:bottom w:val="none" w:sz="0" w:space="0" w:color="auto"/>
            <w:right w:val="none" w:sz="0" w:space="0" w:color="auto"/>
          </w:divBdr>
        </w:div>
      </w:divsChild>
    </w:div>
    <w:div w:id="1329402313">
      <w:bodyDiv w:val="1"/>
      <w:marLeft w:val="0"/>
      <w:marRight w:val="0"/>
      <w:marTop w:val="0"/>
      <w:marBottom w:val="0"/>
      <w:divBdr>
        <w:top w:val="none" w:sz="0" w:space="0" w:color="auto"/>
        <w:left w:val="none" w:sz="0" w:space="0" w:color="auto"/>
        <w:bottom w:val="none" w:sz="0" w:space="0" w:color="auto"/>
        <w:right w:val="none" w:sz="0" w:space="0" w:color="auto"/>
      </w:divBdr>
      <w:divsChild>
        <w:div w:id="1759017741">
          <w:marLeft w:val="1080"/>
          <w:marRight w:val="0"/>
          <w:marTop w:val="120"/>
          <w:marBottom w:val="0"/>
          <w:divBdr>
            <w:top w:val="none" w:sz="0" w:space="0" w:color="auto"/>
            <w:left w:val="none" w:sz="0" w:space="0" w:color="auto"/>
            <w:bottom w:val="none" w:sz="0" w:space="0" w:color="auto"/>
            <w:right w:val="none" w:sz="0" w:space="0" w:color="auto"/>
          </w:divBdr>
        </w:div>
      </w:divsChild>
    </w:div>
    <w:div w:id="1340934767">
      <w:bodyDiv w:val="1"/>
      <w:marLeft w:val="0"/>
      <w:marRight w:val="0"/>
      <w:marTop w:val="0"/>
      <w:marBottom w:val="0"/>
      <w:divBdr>
        <w:top w:val="none" w:sz="0" w:space="0" w:color="auto"/>
        <w:left w:val="none" w:sz="0" w:space="0" w:color="auto"/>
        <w:bottom w:val="none" w:sz="0" w:space="0" w:color="auto"/>
        <w:right w:val="none" w:sz="0" w:space="0" w:color="auto"/>
      </w:divBdr>
      <w:divsChild>
        <w:div w:id="642004838">
          <w:marLeft w:val="0"/>
          <w:marRight w:val="0"/>
          <w:marTop w:val="0"/>
          <w:marBottom w:val="0"/>
          <w:divBdr>
            <w:top w:val="none" w:sz="0" w:space="0" w:color="auto"/>
            <w:left w:val="none" w:sz="0" w:space="0" w:color="auto"/>
            <w:bottom w:val="none" w:sz="0" w:space="0" w:color="auto"/>
            <w:right w:val="none" w:sz="0" w:space="0" w:color="auto"/>
          </w:divBdr>
          <w:divsChild>
            <w:div w:id="72970566">
              <w:marLeft w:val="0"/>
              <w:marRight w:val="0"/>
              <w:marTop w:val="0"/>
              <w:marBottom w:val="0"/>
              <w:divBdr>
                <w:top w:val="none" w:sz="0" w:space="0" w:color="auto"/>
                <w:left w:val="none" w:sz="0" w:space="0" w:color="auto"/>
                <w:bottom w:val="none" w:sz="0" w:space="0" w:color="auto"/>
                <w:right w:val="none" w:sz="0" w:space="0" w:color="auto"/>
              </w:divBdr>
              <w:divsChild>
                <w:div w:id="12839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759">
      <w:bodyDiv w:val="1"/>
      <w:marLeft w:val="0"/>
      <w:marRight w:val="0"/>
      <w:marTop w:val="0"/>
      <w:marBottom w:val="0"/>
      <w:divBdr>
        <w:top w:val="none" w:sz="0" w:space="0" w:color="auto"/>
        <w:left w:val="none" w:sz="0" w:space="0" w:color="auto"/>
        <w:bottom w:val="none" w:sz="0" w:space="0" w:color="auto"/>
        <w:right w:val="none" w:sz="0" w:space="0" w:color="auto"/>
      </w:divBdr>
    </w:div>
    <w:div w:id="1380742669">
      <w:bodyDiv w:val="1"/>
      <w:marLeft w:val="0"/>
      <w:marRight w:val="0"/>
      <w:marTop w:val="0"/>
      <w:marBottom w:val="0"/>
      <w:divBdr>
        <w:top w:val="none" w:sz="0" w:space="0" w:color="auto"/>
        <w:left w:val="none" w:sz="0" w:space="0" w:color="auto"/>
        <w:bottom w:val="none" w:sz="0" w:space="0" w:color="auto"/>
        <w:right w:val="none" w:sz="0" w:space="0" w:color="auto"/>
      </w:divBdr>
    </w:div>
    <w:div w:id="1435441171">
      <w:bodyDiv w:val="1"/>
      <w:marLeft w:val="0"/>
      <w:marRight w:val="0"/>
      <w:marTop w:val="0"/>
      <w:marBottom w:val="0"/>
      <w:divBdr>
        <w:top w:val="none" w:sz="0" w:space="0" w:color="auto"/>
        <w:left w:val="none" w:sz="0" w:space="0" w:color="auto"/>
        <w:bottom w:val="none" w:sz="0" w:space="0" w:color="auto"/>
        <w:right w:val="none" w:sz="0" w:space="0" w:color="auto"/>
      </w:divBdr>
      <w:divsChild>
        <w:div w:id="1190991930">
          <w:marLeft w:val="547"/>
          <w:marRight w:val="0"/>
          <w:marTop w:val="400"/>
          <w:marBottom w:val="0"/>
          <w:divBdr>
            <w:top w:val="none" w:sz="0" w:space="0" w:color="auto"/>
            <w:left w:val="none" w:sz="0" w:space="0" w:color="auto"/>
            <w:bottom w:val="none" w:sz="0" w:space="0" w:color="auto"/>
            <w:right w:val="none" w:sz="0" w:space="0" w:color="auto"/>
          </w:divBdr>
        </w:div>
        <w:div w:id="1813448134">
          <w:marLeft w:val="1080"/>
          <w:marRight w:val="0"/>
          <w:marTop w:val="120"/>
          <w:marBottom w:val="0"/>
          <w:divBdr>
            <w:top w:val="none" w:sz="0" w:space="0" w:color="auto"/>
            <w:left w:val="none" w:sz="0" w:space="0" w:color="auto"/>
            <w:bottom w:val="none" w:sz="0" w:space="0" w:color="auto"/>
            <w:right w:val="none" w:sz="0" w:space="0" w:color="auto"/>
          </w:divBdr>
        </w:div>
        <w:div w:id="2047900479">
          <w:marLeft w:val="1080"/>
          <w:marRight w:val="0"/>
          <w:marTop w:val="120"/>
          <w:marBottom w:val="0"/>
          <w:divBdr>
            <w:top w:val="none" w:sz="0" w:space="0" w:color="auto"/>
            <w:left w:val="none" w:sz="0" w:space="0" w:color="auto"/>
            <w:bottom w:val="none" w:sz="0" w:space="0" w:color="auto"/>
            <w:right w:val="none" w:sz="0" w:space="0" w:color="auto"/>
          </w:divBdr>
        </w:div>
      </w:divsChild>
    </w:div>
    <w:div w:id="1477530265">
      <w:bodyDiv w:val="1"/>
      <w:marLeft w:val="0"/>
      <w:marRight w:val="0"/>
      <w:marTop w:val="0"/>
      <w:marBottom w:val="0"/>
      <w:divBdr>
        <w:top w:val="none" w:sz="0" w:space="0" w:color="auto"/>
        <w:left w:val="none" w:sz="0" w:space="0" w:color="auto"/>
        <w:bottom w:val="none" w:sz="0" w:space="0" w:color="auto"/>
        <w:right w:val="none" w:sz="0" w:space="0" w:color="auto"/>
      </w:divBdr>
      <w:divsChild>
        <w:div w:id="2041666896">
          <w:marLeft w:val="547"/>
          <w:marRight w:val="0"/>
          <w:marTop w:val="400"/>
          <w:marBottom w:val="0"/>
          <w:divBdr>
            <w:top w:val="none" w:sz="0" w:space="0" w:color="auto"/>
            <w:left w:val="none" w:sz="0" w:space="0" w:color="auto"/>
            <w:bottom w:val="none" w:sz="0" w:space="0" w:color="auto"/>
            <w:right w:val="none" w:sz="0" w:space="0" w:color="auto"/>
          </w:divBdr>
        </w:div>
      </w:divsChild>
    </w:div>
    <w:div w:id="1482312799">
      <w:bodyDiv w:val="1"/>
      <w:marLeft w:val="0"/>
      <w:marRight w:val="0"/>
      <w:marTop w:val="0"/>
      <w:marBottom w:val="0"/>
      <w:divBdr>
        <w:top w:val="none" w:sz="0" w:space="0" w:color="auto"/>
        <w:left w:val="none" w:sz="0" w:space="0" w:color="auto"/>
        <w:bottom w:val="none" w:sz="0" w:space="0" w:color="auto"/>
        <w:right w:val="none" w:sz="0" w:space="0" w:color="auto"/>
      </w:divBdr>
    </w:div>
    <w:div w:id="1552837611">
      <w:bodyDiv w:val="1"/>
      <w:marLeft w:val="0"/>
      <w:marRight w:val="0"/>
      <w:marTop w:val="0"/>
      <w:marBottom w:val="0"/>
      <w:divBdr>
        <w:top w:val="none" w:sz="0" w:space="0" w:color="auto"/>
        <w:left w:val="none" w:sz="0" w:space="0" w:color="auto"/>
        <w:bottom w:val="none" w:sz="0" w:space="0" w:color="auto"/>
        <w:right w:val="none" w:sz="0" w:space="0" w:color="auto"/>
      </w:divBdr>
      <w:divsChild>
        <w:div w:id="89086343">
          <w:marLeft w:val="547"/>
          <w:marRight w:val="0"/>
          <w:marTop w:val="400"/>
          <w:marBottom w:val="0"/>
          <w:divBdr>
            <w:top w:val="none" w:sz="0" w:space="0" w:color="auto"/>
            <w:left w:val="none" w:sz="0" w:space="0" w:color="auto"/>
            <w:bottom w:val="none" w:sz="0" w:space="0" w:color="auto"/>
            <w:right w:val="none" w:sz="0" w:space="0" w:color="auto"/>
          </w:divBdr>
        </w:div>
        <w:div w:id="397018518">
          <w:marLeft w:val="547"/>
          <w:marRight w:val="0"/>
          <w:marTop w:val="400"/>
          <w:marBottom w:val="0"/>
          <w:divBdr>
            <w:top w:val="none" w:sz="0" w:space="0" w:color="auto"/>
            <w:left w:val="none" w:sz="0" w:space="0" w:color="auto"/>
            <w:bottom w:val="none" w:sz="0" w:space="0" w:color="auto"/>
            <w:right w:val="none" w:sz="0" w:space="0" w:color="auto"/>
          </w:divBdr>
        </w:div>
        <w:div w:id="1143618098">
          <w:marLeft w:val="547"/>
          <w:marRight w:val="0"/>
          <w:marTop w:val="400"/>
          <w:marBottom w:val="0"/>
          <w:divBdr>
            <w:top w:val="none" w:sz="0" w:space="0" w:color="auto"/>
            <w:left w:val="none" w:sz="0" w:space="0" w:color="auto"/>
            <w:bottom w:val="none" w:sz="0" w:space="0" w:color="auto"/>
            <w:right w:val="none" w:sz="0" w:space="0" w:color="auto"/>
          </w:divBdr>
        </w:div>
        <w:div w:id="1852521927">
          <w:marLeft w:val="547"/>
          <w:marRight w:val="0"/>
          <w:marTop w:val="400"/>
          <w:marBottom w:val="0"/>
          <w:divBdr>
            <w:top w:val="none" w:sz="0" w:space="0" w:color="auto"/>
            <w:left w:val="none" w:sz="0" w:space="0" w:color="auto"/>
            <w:bottom w:val="none" w:sz="0" w:space="0" w:color="auto"/>
            <w:right w:val="none" w:sz="0" w:space="0" w:color="auto"/>
          </w:divBdr>
        </w:div>
      </w:divsChild>
    </w:div>
    <w:div w:id="1566992566">
      <w:bodyDiv w:val="1"/>
      <w:marLeft w:val="0"/>
      <w:marRight w:val="0"/>
      <w:marTop w:val="0"/>
      <w:marBottom w:val="0"/>
      <w:divBdr>
        <w:top w:val="none" w:sz="0" w:space="0" w:color="auto"/>
        <w:left w:val="none" w:sz="0" w:space="0" w:color="auto"/>
        <w:bottom w:val="none" w:sz="0" w:space="0" w:color="auto"/>
        <w:right w:val="none" w:sz="0" w:space="0" w:color="auto"/>
      </w:divBdr>
      <w:divsChild>
        <w:div w:id="1371956060">
          <w:marLeft w:val="547"/>
          <w:marRight w:val="0"/>
          <w:marTop w:val="400"/>
          <w:marBottom w:val="0"/>
          <w:divBdr>
            <w:top w:val="none" w:sz="0" w:space="0" w:color="auto"/>
            <w:left w:val="none" w:sz="0" w:space="0" w:color="auto"/>
            <w:bottom w:val="none" w:sz="0" w:space="0" w:color="auto"/>
            <w:right w:val="none" w:sz="0" w:space="0" w:color="auto"/>
          </w:divBdr>
        </w:div>
      </w:divsChild>
    </w:div>
    <w:div w:id="1652372469">
      <w:bodyDiv w:val="1"/>
      <w:marLeft w:val="0"/>
      <w:marRight w:val="0"/>
      <w:marTop w:val="0"/>
      <w:marBottom w:val="0"/>
      <w:divBdr>
        <w:top w:val="none" w:sz="0" w:space="0" w:color="auto"/>
        <w:left w:val="none" w:sz="0" w:space="0" w:color="auto"/>
        <w:bottom w:val="none" w:sz="0" w:space="0" w:color="auto"/>
        <w:right w:val="none" w:sz="0" w:space="0" w:color="auto"/>
      </w:divBdr>
    </w:div>
    <w:div w:id="1801723607">
      <w:bodyDiv w:val="1"/>
      <w:marLeft w:val="0"/>
      <w:marRight w:val="0"/>
      <w:marTop w:val="0"/>
      <w:marBottom w:val="0"/>
      <w:divBdr>
        <w:top w:val="none" w:sz="0" w:space="0" w:color="auto"/>
        <w:left w:val="none" w:sz="0" w:space="0" w:color="auto"/>
        <w:bottom w:val="none" w:sz="0" w:space="0" w:color="auto"/>
        <w:right w:val="none" w:sz="0" w:space="0" w:color="auto"/>
      </w:divBdr>
      <w:divsChild>
        <w:div w:id="159202984">
          <w:marLeft w:val="547"/>
          <w:marRight w:val="0"/>
          <w:marTop w:val="400"/>
          <w:marBottom w:val="0"/>
          <w:divBdr>
            <w:top w:val="none" w:sz="0" w:space="0" w:color="auto"/>
            <w:left w:val="none" w:sz="0" w:space="0" w:color="auto"/>
            <w:bottom w:val="none" w:sz="0" w:space="0" w:color="auto"/>
            <w:right w:val="none" w:sz="0" w:space="0" w:color="auto"/>
          </w:divBdr>
        </w:div>
        <w:div w:id="1280070464">
          <w:marLeft w:val="547"/>
          <w:marRight w:val="0"/>
          <w:marTop w:val="400"/>
          <w:marBottom w:val="0"/>
          <w:divBdr>
            <w:top w:val="none" w:sz="0" w:space="0" w:color="auto"/>
            <w:left w:val="none" w:sz="0" w:space="0" w:color="auto"/>
            <w:bottom w:val="none" w:sz="0" w:space="0" w:color="auto"/>
            <w:right w:val="none" w:sz="0" w:space="0" w:color="auto"/>
          </w:divBdr>
        </w:div>
        <w:div w:id="1770926574">
          <w:marLeft w:val="547"/>
          <w:marRight w:val="0"/>
          <w:marTop w:val="400"/>
          <w:marBottom w:val="0"/>
          <w:divBdr>
            <w:top w:val="none" w:sz="0" w:space="0" w:color="auto"/>
            <w:left w:val="none" w:sz="0" w:space="0" w:color="auto"/>
            <w:bottom w:val="none" w:sz="0" w:space="0" w:color="auto"/>
            <w:right w:val="none" w:sz="0" w:space="0" w:color="auto"/>
          </w:divBdr>
        </w:div>
      </w:divsChild>
    </w:div>
    <w:div w:id="1858959573">
      <w:bodyDiv w:val="1"/>
      <w:marLeft w:val="0"/>
      <w:marRight w:val="0"/>
      <w:marTop w:val="0"/>
      <w:marBottom w:val="0"/>
      <w:divBdr>
        <w:top w:val="none" w:sz="0" w:space="0" w:color="auto"/>
        <w:left w:val="none" w:sz="0" w:space="0" w:color="auto"/>
        <w:bottom w:val="none" w:sz="0" w:space="0" w:color="auto"/>
        <w:right w:val="none" w:sz="0" w:space="0" w:color="auto"/>
      </w:divBdr>
    </w:div>
    <w:div w:id="2003045181">
      <w:bodyDiv w:val="1"/>
      <w:marLeft w:val="0"/>
      <w:marRight w:val="0"/>
      <w:marTop w:val="0"/>
      <w:marBottom w:val="0"/>
      <w:divBdr>
        <w:top w:val="none" w:sz="0" w:space="0" w:color="auto"/>
        <w:left w:val="none" w:sz="0" w:space="0" w:color="auto"/>
        <w:bottom w:val="none" w:sz="0" w:space="0" w:color="auto"/>
        <w:right w:val="none" w:sz="0" w:space="0" w:color="auto"/>
      </w:divBdr>
      <w:divsChild>
        <w:div w:id="284388966">
          <w:marLeft w:val="1080"/>
          <w:marRight w:val="0"/>
          <w:marTop w:val="120"/>
          <w:marBottom w:val="0"/>
          <w:divBdr>
            <w:top w:val="none" w:sz="0" w:space="0" w:color="auto"/>
            <w:left w:val="none" w:sz="0" w:space="0" w:color="auto"/>
            <w:bottom w:val="none" w:sz="0" w:space="0" w:color="auto"/>
            <w:right w:val="none" w:sz="0" w:space="0" w:color="auto"/>
          </w:divBdr>
        </w:div>
        <w:div w:id="2113671380">
          <w:marLeft w:val="1080"/>
          <w:marRight w:val="0"/>
          <w:marTop w:val="120"/>
          <w:marBottom w:val="0"/>
          <w:divBdr>
            <w:top w:val="none" w:sz="0" w:space="0" w:color="auto"/>
            <w:left w:val="none" w:sz="0" w:space="0" w:color="auto"/>
            <w:bottom w:val="none" w:sz="0" w:space="0" w:color="auto"/>
            <w:right w:val="none" w:sz="0" w:space="0" w:color="auto"/>
          </w:divBdr>
        </w:div>
      </w:divsChild>
    </w:div>
    <w:div w:id="2120686753">
      <w:bodyDiv w:val="1"/>
      <w:marLeft w:val="0"/>
      <w:marRight w:val="0"/>
      <w:marTop w:val="0"/>
      <w:marBottom w:val="0"/>
      <w:divBdr>
        <w:top w:val="none" w:sz="0" w:space="0" w:color="auto"/>
        <w:left w:val="none" w:sz="0" w:space="0" w:color="auto"/>
        <w:bottom w:val="none" w:sz="0" w:space="0" w:color="auto"/>
        <w:right w:val="none" w:sz="0" w:space="0" w:color="auto"/>
      </w:divBdr>
      <w:divsChild>
        <w:div w:id="151063810">
          <w:marLeft w:val="547"/>
          <w:marRight w:val="0"/>
          <w:marTop w:val="400"/>
          <w:marBottom w:val="0"/>
          <w:divBdr>
            <w:top w:val="none" w:sz="0" w:space="0" w:color="auto"/>
            <w:left w:val="none" w:sz="0" w:space="0" w:color="auto"/>
            <w:bottom w:val="none" w:sz="0" w:space="0" w:color="auto"/>
            <w:right w:val="none" w:sz="0" w:space="0" w:color="auto"/>
          </w:divBdr>
        </w:div>
      </w:divsChild>
    </w:div>
    <w:div w:id="213051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oleObject" Target="embeddings/oleObject41.bin"/><Relationship Id="rId112" Type="http://schemas.openxmlformats.org/officeDocument/2006/relationships/image" Target="media/image57.png"/><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image" Target="media/image36.emf"/><Relationship Id="rId79" Type="http://schemas.openxmlformats.org/officeDocument/2006/relationships/oleObject" Target="embeddings/oleObject36.bin"/><Relationship Id="rId102" Type="http://schemas.openxmlformats.org/officeDocument/2006/relationships/image" Target="media/image50.emf"/><Relationship Id="rId5" Type="http://schemas.openxmlformats.org/officeDocument/2006/relationships/webSettings" Target="webSettings.xml"/><Relationship Id="rId90" Type="http://schemas.openxmlformats.org/officeDocument/2006/relationships/image" Target="media/image44.emf"/><Relationship Id="rId95" Type="http://schemas.openxmlformats.org/officeDocument/2006/relationships/oleObject" Target="embeddings/oleObject44.bin"/><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emf"/><Relationship Id="rId64" Type="http://schemas.openxmlformats.org/officeDocument/2006/relationships/image" Target="media/image31.emf"/><Relationship Id="rId69" Type="http://schemas.openxmlformats.org/officeDocument/2006/relationships/oleObject" Target="embeddings/oleObject31.bin"/><Relationship Id="rId113" Type="http://schemas.openxmlformats.org/officeDocument/2006/relationships/image" Target="media/image58.png"/><Relationship Id="rId80" Type="http://schemas.openxmlformats.org/officeDocument/2006/relationships/image" Target="media/image39.emf"/><Relationship Id="rId85" Type="http://schemas.openxmlformats.org/officeDocument/2006/relationships/oleObject" Target="embeddings/oleObject39.bin"/><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emf"/><Relationship Id="rId59" Type="http://schemas.openxmlformats.org/officeDocument/2006/relationships/image" Target="media/image28.emf"/><Relationship Id="rId103" Type="http://schemas.openxmlformats.org/officeDocument/2006/relationships/oleObject" Target="embeddings/oleObject48.bin"/><Relationship Id="rId108" Type="http://schemas.openxmlformats.org/officeDocument/2006/relationships/footer" Target="footer2.xml"/><Relationship Id="rId54" Type="http://schemas.openxmlformats.org/officeDocument/2006/relationships/image" Target="media/image25.emf"/><Relationship Id="rId70" Type="http://schemas.openxmlformats.org/officeDocument/2006/relationships/image" Target="media/image34.e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image" Target="media/image27.emf"/><Relationship Id="rId106" Type="http://schemas.openxmlformats.org/officeDocument/2006/relationships/image" Target="media/image52.emf"/><Relationship Id="rId114" Type="http://schemas.openxmlformats.org/officeDocument/2006/relationships/image" Target="media/image59.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oleObject" Target="embeddings/oleObject27.bin"/><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8.emf"/><Relationship Id="rId81" Type="http://schemas.openxmlformats.org/officeDocument/2006/relationships/oleObject" Target="embeddings/oleObject37.bin"/><Relationship Id="rId86" Type="http://schemas.openxmlformats.org/officeDocument/2006/relationships/image" Target="media/image42.emf"/><Relationship Id="rId94" Type="http://schemas.openxmlformats.org/officeDocument/2006/relationships/image" Target="media/image46.e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54.png"/><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oleObject" Target="embeddings/oleObject45.bin"/><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2.emf"/><Relationship Id="rId87" Type="http://schemas.openxmlformats.org/officeDocument/2006/relationships/oleObject" Target="embeddings/oleObject40.bin"/><Relationship Id="rId110" Type="http://schemas.openxmlformats.org/officeDocument/2006/relationships/image" Target="media/image55.png"/><Relationship Id="rId115"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image" Target="media/image49.emf"/><Relationship Id="rId105" Type="http://schemas.openxmlformats.org/officeDocument/2006/relationships/image" Target="media/image51.emf"/><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5.emf"/><Relationship Id="rId93" Type="http://schemas.openxmlformats.org/officeDocument/2006/relationships/oleObject" Target="embeddings/oleObject43.bin"/><Relationship Id="rId98" Type="http://schemas.openxmlformats.org/officeDocument/2006/relationships/image" Target="media/image48.e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30.emf"/><Relationship Id="rId83" Type="http://schemas.openxmlformats.org/officeDocument/2006/relationships/oleObject" Target="embeddings/oleObject38.bin"/><Relationship Id="rId88" Type="http://schemas.openxmlformats.org/officeDocument/2006/relationships/image" Target="media/image43.emf"/><Relationship Id="rId111" Type="http://schemas.openxmlformats.org/officeDocument/2006/relationships/image" Target="media/image56.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8C81F-8A92-5B44-B2F4-2DB07C71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7461</Words>
  <Characters>42529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49891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Adams</dc:creator>
  <cp:lastModifiedBy>Buckle, Michael</cp:lastModifiedBy>
  <cp:revision>2</cp:revision>
  <cp:lastPrinted>2016-01-04T16:22:00Z</cp:lastPrinted>
  <dcterms:created xsi:type="dcterms:W3CDTF">2018-05-02T12:50:00Z</dcterms:created>
  <dcterms:modified xsi:type="dcterms:W3CDTF">2018-05-02T12:50:00Z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UseMTPrefs">
    <vt:lpwstr>1</vt:lpwstr>
  </property>
</Properties>
</file>