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ABA8D" w14:textId="52583DCD" w:rsidR="005708B4" w:rsidRPr="00520DB0" w:rsidRDefault="005708B4" w:rsidP="007F587E">
      <w:pPr>
        <w:spacing w:line="480" w:lineRule="auto"/>
        <w:jc w:val="both"/>
        <w:rPr>
          <w:rFonts w:ascii="Times New Roman" w:hAnsi="Times New Roman"/>
          <w:sz w:val="24"/>
          <w:szCs w:val="24"/>
          <w:lang w:val="en-GB"/>
        </w:rPr>
      </w:pPr>
      <w:bookmarkStart w:id="0" w:name="_GoBack"/>
      <w:bookmarkEnd w:id="0"/>
      <w:r w:rsidRPr="00520DB0">
        <w:rPr>
          <w:rFonts w:ascii="Times New Roman" w:hAnsi="Times New Roman"/>
          <w:sz w:val="24"/>
          <w:szCs w:val="24"/>
          <w:lang w:val="en-GB"/>
        </w:rPr>
        <w:t xml:space="preserve">Population </w:t>
      </w:r>
      <w:r w:rsidR="00C67206" w:rsidRPr="00520DB0">
        <w:rPr>
          <w:rFonts w:ascii="Times New Roman" w:hAnsi="Times New Roman"/>
          <w:sz w:val="24"/>
          <w:szCs w:val="24"/>
          <w:lang w:val="en-GB"/>
        </w:rPr>
        <w:t>p</w:t>
      </w:r>
      <w:r w:rsidRPr="00520DB0">
        <w:rPr>
          <w:rFonts w:ascii="Times New Roman" w:hAnsi="Times New Roman"/>
          <w:sz w:val="24"/>
          <w:szCs w:val="24"/>
          <w:lang w:val="en-GB"/>
        </w:rPr>
        <w:t xml:space="preserve">harmacokinetics and </w:t>
      </w:r>
      <w:r w:rsidR="007F587E" w:rsidRPr="00520DB0">
        <w:rPr>
          <w:rFonts w:ascii="Times New Roman" w:hAnsi="Times New Roman"/>
          <w:sz w:val="24"/>
          <w:szCs w:val="24"/>
          <w:lang w:val="en-GB"/>
        </w:rPr>
        <w:t xml:space="preserve">pharmacodynamics </w:t>
      </w:r>
      <w:r w:rsidRPr="00520DB0">
        <w:rPr>
          <w:rFonts w:ascii="Times New Roman" w:hAnsi="Times New Roman"/>
          <w:sz w:val="24"/>
          <w:szCs w:val="24"/>
          <w:lang w:val="en-GB"/>
        </w:rPr>
        <w:t xml:space="preserve">of </w:t>
      </w:r>
      <w:r w:rsidR="007F587E" w:rsidRPr="00520DB0">
        <w:rPr>
          <w:rFonts w:ascii="Times New Roman" w:hAnsi="Times New Roman"/>
          <w:sz w:val="24"/>
          <w:szCs w:val="24"/>
          <w:lang w:val="en-GB"/>
        </w:rPr>
        <w:t>f</w:t>
      </w:r>
      <w:r w:rsidRPr="00520DB0">
        <w:rPr>
          <w:rFonts w:ascii="Times New Roman" w:hAnsi="Times New Roman"/>
          <w:sz w:val="24"/>
          <w:szCs w:val="24"/>
          <w:lang w:val="en-GB"/>
        </w:rPr>
        <w:t xml:space="preserve">osfomycin in non-critically ill patients with bacteremic urinary infection caused by multidrug-resistant </w:t>
      </w:r>
      <w:r w:rsidRPr="00520DB0">
        <w:rPr>
          <w:rFonts w:ascii="Times New Roman" w:hAnsi="Times New Roman"/>
          <w:i/>
          <w:sz w:val="24"/>
          <w:szCs w:val="24"/>
          <w:lang w:val="en-GB"/>
        </w:rPr>
        <w:t>Escherichia coli</w:t>
      </w:r>
    </w:p>
    <w:p w14:paraId="16A66790" w14:textId="7FD96E46" w:rsidR="003F085B" w:rsidRPr="00FC15F8" w:rsidRDefault="003F085B" w:rsidP="00CD4C27">
      <w:pPr>
        <w:spacing w:line="480" w:lineRule="auto"/>
        <w:rPr>
          <w:rFonts w:ascii="Times New Roman" w:hAnsi="Times New Roman"/>
          <w:sz w:val="24"/>
          <w:szCs w:val="24"/>
          <w:lang w:val="es-ES_tradnl"/>
        </w:rPr>
      </w:pPr>
      <w:r w:rsidRPr="0052037A">
        <w:rPr>
          <w:rFonts w:ascii="Times New Roman" w:hAnsi="Times New Roman"/>
          <w:sz w:val="24"/>
          <w:szCs w:val="24"/>
        </w:rPr>
        <w:t>Vicente Merino</w:t>
      </w:r>
      <w:r w:rsidR="00FC15F8">
        <w:rPr>
          <w:rFonts w:ascii="Times New Roman" w:hAnsi="Times New Roman"/>
          <w:sz w:val="24"/>
          <w:szCs w:val="24"/>
        </w:rPr>
        <w:t>-Bohorquez</w:t>
      </w:r>
      <w:r w:rsidR="00396563" w:rsidRPr="0052037A">
        <w:rPr>
          <w:rFonts w:ascii="Times New Roman" w:hAnsi="Times New Roman"/>
          <w:sz w:val="24"/>
          <w:szCs w:val="24"/>
        </w:rPr>
        <w:t>,</w:t>
      </w:r>
      <w:r w:rsidRPr="0052037A">
        <w:rPr>
          <w:rFonts w:ascii="Times New Roman" w:hAnsi="Times New Roman"/>
          <w:sz w:val="24"/>
          <w:szCs w:val="24"/>
          <w:vertAlign w:val="superscript"/>
        </w:rPr>
        <w:t>1</w:t>
      </w:r>
      <w:r w:rsidR="00FC2D9E" w:rsidRPr="0052037A">
        <w:rPr>
          <w:rFonts w:ascii="Times New Roman" w:hAnsi="Times New Roman"/>
          <w:sz w:val="24"/>
          <w:szCs w:val="24"/>
          <w:vertAlign w:val="superscript"/>
        </w:rPr>
        <w:t>,#</w:t>
      </w:r>
      <w:r w:rsidR="008C6EC2" w:rsidRPr="0052037A">
        <w:rPr>
          <w:rFonts w:ascii="Times New Roman" w:hAnsi="Times New Roman"/>
          <w:sz w:val="24"/>
          <w:szCs w:val="24"/>
        </w:rPr>
        <w:t xml:space="preserve"> </w:t>
      </w:r>
      <w:r w:rsidRPr="0052037A">
        <w:rPr>
          <w:rFonts w:ascii="Times New Roman" w:hAnsi="Times New Roman"/>
          <w:sz w:val="24"/>
          <w:szCs w:val="24"/>
        </w:rPr>
        <w:t>Fernando Docobo-Pérez</w:t>
      </w:r>
      <w:r w:rsidR="00396563" w:rsidRPr="0052037A">
        <w:rPr>
          <w:rFonts w:ascii="Times New Roman" w:hAnsi="Times New Roman"/>
          <w:sz w:val="24"/>
          <w:szCs w:val="24"/>
        </w:rPr>
        <w:t>,</w:t>
      </w:r>
      <w:r w:rsidRPr="0052037A">
        <w:rPr>
          <w:rFonts w:ascii="Times New Roman" w:hAnsi="Times New Roman"/>
          <w:sz w:val="24"/>
          <w:szCs w:val="24"/>
          <w:vertAlign w:val="superscript"/>
        </w:rPr>
        <w:t>2</w:t>
      </w:r>
      <w:r w:rsidR="00D60771" w:rsidRPr="0052037A">
        <w:rPr>
          <w:rFonts w:ascii="Times New Roman" w:hAnsi="Times New Roman"/>
          <w:sz w:val="24"/>
          <w:szCs w:val="24"/>
          <w:vertAlign w:val="superscript"/>
        </w:rPr>
        <w:t>,</w:t>
      </w:r>
      <w:r w:rsidR="00AF1219" w:rsidRPr="0052037A">
        <w:rPr>
          <w:rFonts w:ascii="Times New Roman" w:hAnsi="Times New Roman"/>
          <w:sz w:val="24"/>
          <w:szCs w:val="24"/>
          <w:vertAlign w:val="superscript"/>
        </w:rPr>
        <w:t>3,4,</w:t>
      </w:r>
      <w:r w:rsidR="00FC2D9E" w:rsidRPr="0052037A">
        <w:rPr>
          <w:rFonts w:ascii="Times New Roman" w:hAnsi="Times New Roman"/>
          <w:sz w:val="24"/>
          <w:szCs w:val="24"/>
          <w:vertAlign w:val="superscript"/>
        </w:rPr>
        <w:t>#,</w:t>
      </w:r>
      <w:r w:rsidRPr="0052037A">
        <w:rPr>
          <w:rFonts w:ascii="Times New Roman" w:hAnsi="Times New Roman"/>
          <w:sz w:val="24"/>
          <w:szCs w:val="24"/>
        </w:rPr>
        <w:t>*</w:t>
      </w:r>
      <w:r w:rsidR="008C6EC2" w:rsidRPr="0052037A">
        <w:rPr>
          <w:rFonts w:ascii="Times New Roman" w:hAnsi="Times New Roman"/>
          <w:sz w:val="24"/>
          <w:szCs w:val="24"/>
        </w:rPr>
        <w:t xml:space="preserve"> </w:t>
      </w:r>
      <w:r w:rsidRPr="0052037A">
        <w:rPr>
          <w:rFonts w:ascii="Times New Roman" w:hAnsi="Times New Roman"/>
          <w:sz w:val="24"/>
          <w:szCs w:val="24"/>
        </w:rPr>
        <w:t>Jesús Sojo</w:t>
      </w:r>
      <w:r w:rsidR="00396563" w:rsidRPr="0052037A">
        <w:rPr>
          <w:rFonts w:ascii="Times New Roman" w:hAnsi="Times New Roman"/>
          <w:sz w:val="24"/>
          <w:szCs w:val="24"/>
        </w:rPr>
        <w:t>,</w:t>
      </w:r>
      <w:r w:rsidR="00AF1219" w:rsidRPr="0052037A">
        <w:rPr>
          <w:rFonts w:ascii="Times New Roman" w:hAnsi="Times New Roman"/>
          <w:sz w:val="24"/>
          <w:szCs w:val="24"/>
          <w:vertAlign w:val="superscript"/>
        </w:rPr>
        <w:t>3,4,5</w:t>
      </w:r>
      <w:r w:rsidR="008C6EC2" w:rsidRPr="0052037A">
        <w:rPr>
          <w:rFonts w:ascii="Times New Roman" w:hAnsi="Times New Roman"/>
          <w:sz w:val="24"/>
          <w:szCs w:val="24"/>
        </w:rPr>
        <w:t xml:space="preserve"> </w:t>
      </w:r>
      <w:r w:rsidRPr="0052037A">
        <w:rPr>
          <w:rFonts w:ascii="Times New Roman" w:hAnsi="Times New Roman"/>
          <w:sz w:val="24"/>
          <w:szCs w:val="24"/>
        </w:rPr>
        <w:t>Isabel Morales</w:t>
      </w:r>
      <w:r w:rsidR="00396563" w:rsidRPr="0052037A">
        <w:rPr>
          <w:rFonts w:ascii="Times New Roman" w:hAnsi="Times New Roman"/>
          <w:sz w:val="24"/>
          <w:szCs w:val="24"/>
        </w:rPr>
        <w:t>,</w:t>
      </w:r>
      <w:r w:rsidR="00AF1219" w:rsidRPr="0052037A">
        <w:rPr>
          <w:rFonts w:ascii="Times New Roman" w:hAnsi="Times New Roman"/>
          <w:sz w:val="24"/>
          <w:szCs w:val="24"/>
          <w:vertAlign w:val="superscript"/>
        </w:rPr>
        <w:t xml:space="preserve"> 3,4,5</w:t>
      </w:r>
      <w:r w:rsidR="008C6EC2" w:rsidRPr="0052037A">
        <w:rPr>
          <w:rFonts w:ascii="Times New Roman" w:hAnsi="Times New Roman"/>
          <w:sz w:val="24"/>
          <w:szCs w:val="24"/>
        </w:rPr>
        <w:t xml:space="preserve"> </w:t>
      </w:r>
      <w:r w:rsidRPr="0052037A">
        <w:rPr>
          <w:rFonts w:ascii="Times New Roman" w:hAnsi="Times New Roman"/>
          <w:sz w:val="24"/>
          <w:szCs w:val="24"/>
        </w:rPr>
        <w:t>Carmen Lupión</w:t>
      </w:r>
      <w:r w:rsidR="00396563" w:rsidRPr="0052037A">
        <w:rPr>
          <w:rFonts w:ascii="Times New Roman" w:hAnsi="Times New Roman"/>
          <w:sz w:val="24"/>
          <w:szCs w:val="24"/>
        </w:rPr>
        <w:t>,</w:t>
      </w:r>
      <w:r w:rsidR="00AF1219" w:rsidRPr="0052037A">
        <w:rPr>
          <w:rFonts w:ascii="Times New Roman" w:hAnsi="Times New Roman"/>
          <w:sz w:val="24"/>
          <w:szCs w:val="24"/>
          <w:vertAlign w:val="superscript"/>
        </w:rPr>
        <w:t xml:space="preserve"> 3,4,5</w:t>
      </w:r>
      <w:r w:rsidR="008C6EC2" w:rsidRPr="0052037A">
        <w:rPr>
          <w:rFonts w:ascii="Times New Roman" w:hAnsi="Times New Roman"/>
          <w:sz w:val="24"/>
          <w:szCs w:val="24"/>
        </w:rPr>
        <w:t xml:space="preserve"> </w:t>
      </w:r>
      <w:r w:rsidRPr="0052037A">
        <w:rPr>
          <w:rFonts w:ascii="Times New Roman" w:hAnsi="Times New Roman"/>
          <w:sz w:val="24"/>
          <w:szCs w:val="24"/>
        </w:rPr>
        <w:t>Dolores Martín</w:t>
      </w:r>
      <w:r w:rsidR="00396563" w:rsidRPr="0052037A">
        <w:rPr>
          <w:rFonts w:ascii="Times New Roman" w:hAnsi="Times New Roman"/>
          <w:sz w:val="24"/>
          <w:szCs w:val="24"/>
        </w:rPr>
        <w:t>,</w:t>
      </w:r>
      <w:r w:rsidR="00AF1219" w:rsidRPr="0052037A">
        <w:rPr>
          <w:rFonts w:ascii="Times New Roman" w:hAnsi="Times New Roman"/>
          <w:sz w:val="24"/>
          <w:szCs w:val="24"/>
          <w:vertAlign w:val="superscript"/>
        </w:rPr>
        <w:t xml:space="preserve"> 3,4,5</w:t>
      </w:r>
      <w:r w:rsidR="008C6EC2" w:rsidRPr="0052037A">
        <w:rPr>
          <w:rFonts w:ascii="Times New Roman" w:hAnsi="Times New Roman"/>
          <w:sz w:val="24"/>
          <w:szCs w:val="24"/>
        </w:rPr>
        <w:t xml:space="preserve"> Manuel Came</w:t>
      </w:r>
      <w:r w:rsidR="00D60771" w:rsidRPr="0052037A">
        <w:rPr>
          <w:rFonts w:ascii="Times New Roman" w:hAnsi="Times New Roman"/>
          <w:sz w:val="24"/>
          <w:szCs w:val="24"/>
        </w:rPr>
        <w:t>á</w:t>
      </w:r>
      <w:r w:rsidR="008C6EC2" w:rsidRPr="0052037A">
        <w:rPr>
          <w:rFonts w:ascii="Times New Roman" w:hAnsi="Times New Roman"/>
          <w:sz w:val="24"/>
          <w:szCs w:val="24"/>
        </w:rPr>
        <w:t>n</w:t>
      </w:r>
      <w:r w:rsidR="00396563" w:rsidRPr="0052037A">
        <w:rPr>
          <w:rFonts w:ascii="Times New Roman" w:hAnsi="Times New Roman"/>
          <w:sz w:val="24"/>
          <w:szCs w:val="24"/>
        </w:rPr>
        <w:t>,</w:t>
      </w:r>
      <w:r w:rsidRPr="0052037A">
        <w:rPr>
          <w:rFonts w:ascii="Times New Roman" w:hAnsi="Times New Roman"/>
          <w:sz w:val="24"/>
          <w:szCs w:val="24"/>
          <w:vertAlign w:val="superscript"/>
        </w:rPr>
        <w:t>1</w:t>
      </w:r>
      <w:r w:rsidR="008C6EC2" w:rsidRPr="0052037A">
        <w:rPr>
          <w:rFonts w:ascii="Times New Roman" w:hAnsi="Times New Roman"/>
          <w:sz w:val="24"/>
          <w:szCs w:val="24"/>
        </w:rPr>
        <w:t xml:space="preserve"> </w:t>
      </w:r>
      <w:r w:rsidRPr="0052037A">
        <w:rPr>
          <w:rFonts w:ascii="Times New Roman" w:hAnsi="Times New Roman"/>
          <w:sz w:val="24"/>
          <w:szCs w:val="24"/>
        </w:rPr>
        <w:t>William Hope</w:t>
      </w:r>
      <w:r w:rsidR="00396563" w:rsidRPr="0052037A">
        <w:rPr>
          <w:rFonts w:ascii="Times New Roman" w:hAnsi="Times New Roman"/>
          <w:sz w:val="24"/>
          <w:szCs w:val="24"/>
        </w:rPr>
        <w:t>,</w:t>
      </w:r>
      <w:r w:rsidR="00AF1219" w:rsidRPr="0052037A">
        <w:rPr>
          <w:rFonts w:ascii="Times New Roman" w:hAnsi="Times New Roman"/>
          <w:sz w:val="24"/>
          <w:szCs w:val="24"/>
          <w:vertAlign w:val="superscript"/>
        </w:rPr>
        <w:t>6</w:t>
      </w:r>
      <w:r w:rsidR="008C6EC2" w:rsidRPr="0052037A">
        <w:rPr>
          <w:rFonts w:ascii="Times New Roman" w:hAnsi="Times New Roman"/>
          <w:sz w:val="24"/>
          <w:szCs w:val="24"/>
        </w:rPr>
        <w:t xml:space="preserve"> Álvaro</w:t>
      </w:r>
      <w:r w:rsidRPr="0052037A">
        <w:rPr>
          <w:rFonts w:ascii="Times New Roman" w:hAnsi="Times New Roman"/>
          <w:sz w:val="24"/>
          <w:szCs w:val="24"/>
        </w:rPr>
        <w:t xml:space="preserve"> Pascual</w:t>
      </w:r>
      <w:r w:rsidR="00396563" w:rsidRPr="0052037A">
        <w:rPr>
          <w:rFonts w:ascii="Times New Roman" w:hAnsi="Times New Roman"/>
          <w:sz w:val="24"/>
          <w:szCs w:val="24"/>
        </w:rPr>
        <w:t>,</w:t>
      </w:r>
      <w:r w:rsidR="00AF1219" w:rsidRPr="0052037A">
        <w:rPr>
          <w:rFonts w:ascii="Times New Roman" w:hAnsi="Times New Roman"/>
          <w:sz w:val="24"/>
          <w:szCs w:val="24"/>
          <w:vertAlign w:val="superscript"/>
        </w:rPr>
        <w:t xml:space="preserve"> 2,3,4,5</w:t>
      </w:r>
      <w:r w:rsidR="008C6EC2" w:rsidRPr="0052037A">
        <w:rPr>
          <w:rFonts w:ascii="Times New Roman" w:hAnsi="Times New Roman"/>
          <w:sz w:val="24"/>
          <w:szCs w:val="24"/>
        </w:rPr>
        <w:t xml:space="preserve"> </w:t>
      </w:r>
      <w:r w:rsidRPr="0052037A">
        <w:rPr>
          <w:rFonts w:ascii="Times New Roman" w:hAnsi="Times New Roman"/>
          <w:sz w:val="24"/>
          <w:szCs w:val="24"/>
        </w:rPr>
        <w:t>Jesús Rodríguez-Baño</w:t>
      </w:r>
      <w:r w:rsidR="00396563" w:rsidRPr="0052037A">
        <w:rPr>
          <w:rFonts w:ascii="Times New Roman" w:hAnsi="Times New Roman"/>
          <w:sz w:val="24"/>
          <w:szCs w:val="24"/>
        </w:rPr>
        <w:t>.</w:t>
      </w:r>
      <w:r w:rsidR="00AF1219" w:rsidRPr="0052037A">
        <w:rPr>
          <w:rFonts w:ascii="Times New Roman" w:hAnsi="Times New Roman"/>
          <w:sz w:val="24"/>
          <w:szCs w:val="24"/>
          <w:vertAlign w:val="superscript"/>
        </w:rPr>
        <w:t xml:space="preserve"> </w:t>
      </w:r>
      <w:r w:rsidR="00AF1219" w:rsidRPr="00FC15F8">
        <w:rPr>
          <w:rFonts w:ascii="Times New Roman" w:hAnsi="Times New Roman"/>
          <w:sz w:val="24"/>
          <w:szCs w:val="24"/>
          <w:vertAlign w:val="superscript"/>
          <w:lang w:val="es-ES_tradnl"/>
        </w:rPr>
        <w:t>3,4,5,7</w:t>
      </w:r>
    </w:p>
    <w:p w14:paraId="4FF63B36" w14:textId="77777777" w:rsidR="002B78FA" w:rsidRPr="00FC15F8" w:rsidRDefault="002B78FA" w:rsidP="002B78FA">
      <w:pPr>
        <w:spacing w:after="0" w:line="480" w:lineRule="auto"/>
        <w:jc w:val="both"/>
        <w:rPr>
          <w:rFonts w:ascii="Times New Roman" w:hAnsi="Times New Roman"/>
          <w:b/>
          <w:sz w:val="24"/>
          <w:szCs w:val="24"/>
          <w:lang w:val="es-ES_tradnl"/>
        </w:rPr>
      </w:pPr>
      <w:r w:rsidRPr="00FC15F8">
        <w:rPr>
          <w:rFonts w:ascii="Times New Roman" w:hAnsi="Times New Roman"/>
          <w:b/>
          <w:sz w:val="24"/>
          <w:szCs w:val="24"/>
          <w:lang w:val="es-ES_tradnl"/>
        </w:rPr>
        <w:t xml:space="preserve">Affiliation: </w:t>
      </w:r>
    </w:p>
    <w:p w14:paraId="344A6A6C" w14:textId="3473786A" w:rsidR="002B78FA" w:rsidRPr="0052037A" w:rsidRDefault="002B78FA" w:rsidP="008C6EC2">
      <w:pPr>
        <w:pStyle w:val="ListParagraph"/>
        <w:numPr>
          <w:ilvl w:val="0"/>
          <w:numId w:val="9"/>
        </w:numPr>
        <w:spacing w:after="0" w:line="480" w:lineRule="auto"/>
        <w:jc w:val="both"/>
        <w:rPr>
          <w:rFonts w:ascii="Times New Roman" w:hAnsi="Times New Roman"/>
          <w:color w:val="000000"/>
          <w:sz w:val="24"/>
          <w:szCs w:val="24"/>
          <w:shd w:val="clear" w:color="auto" w:fill="FFFFFF"/>
        </w:rPr>
      </w:pPr>
      <w:r w:rsidRPr="0052037A">
        <w:rPr>
          <w:rFonts w:ascii="Times New Roman" w:hAnsi="Times New Roman"/>
          <w:color w:val="000000"/>
          <w:sz w:val="24"/>
          <w:szCs w:val="24"/>
          <w:shd w:val="clear" w:color="auto" w:fill="FFFFFF"/>
        </w:rPr>
        <w:t xml:space="preserve">Unidad de Gestión de Farmacia Hospitalaria, Hospital Universitario Virgen Macarena, </w:t>
      </w:r>
      <w:r w:rsidR="00AF1219" w:rsidRPr="0052037A">
        <w:rPr>
          <w:rFonts w:ascii="Times New Roman" w:hAnsi="Times New Roman"/>
          <w:color w:val="000000"/>
          <w:sz w:val="24"/>
          <w:szCs w:val="24"/>
          <w:shd w:val="clear" w:color="auto" w:fill="FFFFFF"/>
        </w:rPr>
        <w:t xml:space="preserve">Seville, </w:t>
      </w:r>
      <w:r w:rsidRPr="0052037A">
        <w:rPr>
          <w:rFonts w:ascii="Times New Roman" w:hAnsi="Times New Roman"/>
          <w:color w:val="000000"/>
          <w:sz w:val="24"/>
          <w:szCs w:val="24"/>
          <w:shd w:val="clear" w:color="auto" w:fill="FFFFFF"/>
        </w:rPr>
        <w:t>Spain.</w:t>
      </w:r>
    </w:p>
    <w:p w14:paraId="71AB863B" w14:textId="0D79D957" w:rsidR="001B58CA" w:rsidRPr="0052037A" w:rsidRDefault="001B58CA" w:rsidP="008C6EC2">
      <w:pPr>
        <w:pStyle w:val="ListParagraph"/>
        <w:numPr>
          <w:ilvl w:val="0"/>
          <w:numId w:val="9"/>
        </w:numPr>
        <w:spacing w:after="0" w:line="480" w:lineRule="auto"/>
        <w:jc w:val="both"/>
        <w:rPr>
          <w:rFonts w:ascii="Times New Roman" w:hAnsi="Times New Roman"/>
          <w:color w:val="000000"/>
          <w:sz w:val="24"/>
          <w:szCs w:val="24"/>
          <w:shd w:val="clear" w:color="auto" w:fill="FFFFFF"/>
        </w:rPr>
      </w:pPr>
      <w:r w:rsidRPr="0052037A">
        <w:rPr>
          <w:rFonts w:ascii="Times New Roman" w:hAnsi="Times New Roman"/>
          <w:color w:val="000000"/>
          <w:sz w:val="24"/>
          <w:szCs w:val="24"/>
          <w:shd w:val="clear" w:color="auto" w:fill="FFFFFF"/>
        </w:rPr>
        <w:t>Departamento de Microbiología, Universidad de Sevilla, Seville</w:t>
      </w:r>
      <w:r w:rsidR="00AF1219" w:rsidRPr="0052037A">
        <w:rPr>
          <w:rFonts w:ascii="Times New Roman" w:hAnsi="Times New Roman"/>
          <w:color w:val="000000"/>
          <w:sz w:val="24"/>
          <w:szCs w:val="24"/>
          <w:shd w:val="clear" w:color="auto" w:fill="FFFFFF"/>
        </w:rPr>
        <w:t>,</w:t>
      </w:r>
      <w:r w:rsidRPr="0052037A">
        <w:rPr>
          <w:rFonts w:ascii="Times New Roman" w:hAnsi="Times New Roman"/>
          <w:color w:val="000000"/>
          <w:sz w:val="24"/>
          <w:szCs w:val="24"/>
          <w:shd w:val="clear" w:color="auto" w:fill="FFFFFF"/>
        </w:rPr>
        <w:t xml:space="preserve"> Spain.</w:t>
      </w:r>
    </w:p>
    <w:p w14:paraId="1693A929" w14:textId="095162E4" w:rsidR="00AF1219" w:rsidRPr="0052037A" w:rsidRDefault="00AF1219" w:rsidP="00AF1219">
      <w:pPr>
        <w:pStyle w:val="ListParagraph"/>
        <w:numPr>
          <w:ilvl w:val="0"/>
          <w:numId w:val="9"/>
        </w:numPr>
        <w:spacing w:after="0" w:line="480" w:lineRule="auto"/>
        <w:jc w:val="both"/>
        <w:rPr>
          <w:rFonts w:ascii="Times New Roman" w:hAnsi="Times New Roman"/>
          <w:color w:val="000000"/>
          <w:sz w:val="24"/>
          <w:szCs w:val="24"/>
          <w:shd w:val="clear" w:color="auto" w:fill="FFFFFF"/>
        </w:rPr>
      </w:pPr>
      <w:r w:rsidRPr="0052037A">
        <w:rPr>
          <w:rFonts w:ascii="Times New Roman" w:hAnsi="Times New Roman"/>
          <w:color w:val="000000"/>
          <w:sz w:val="24"/>
          <w:szCs w:val="24"/>
          <w:shd w:val="clear" w:color="auto" w:fill="FFFFFF"/>
        </w:rPr>
        <w:t xml:space="preserve">Instituto de Biomedicina de Sevilla IBIS, Hospital Universitario Virgen del Rocío/CSIC/Universidad de Sevilla, Seville, Spain. </w:t>
      </w:r>
    </w:p>
    <w:p w14:paraId="4F563F1D" w14:textId="4C8B3FDE" w:rsidR="00AF1219" w:rsidRPr="0052037A" w:rsidRDefault="00AF1219" w:rsidP="00AF1219">
      <w:pPr>
        <w:pStyle w:val="ListParagraph"/>
        <w:numPr>
          <w:ilvl w:val="0"/>
          <w:numId w:val="9"/>
        </w:numPr>
        <w:spacing w:after="0" w:line="480" w:lineRule="auto"/>
        <w:jc w:val="both"/>
        <w:rPr>
          <w:rFonts w:ascii="Times New Roman" w:hAnsi="Times New Roman"/>
          <w:color w:val="000000"/>
          <w:sz w:val="24"/>
          <w:szCs w:val="24"/>
          <w:shd w:val="clear" w:color="auto" w:fill="FFFFFF"/>
        </w:rPr>
      </w:pPr>
      <w:r w:rsidRPr="0052037A">
        <w:rPr>
          <w:rFonts w:ascii="Times New Roman" w:hAnsi="Times New Roman"/>
          <w:color w:val="000000"/>
          <w:sz w:val="24"/>
          <w:szCs w:val="24"/>
          <w:shd w:val="clear" w:color="auto" w:fill="FFFFFF"/>
        </w:rPr>
        <w:t>Red Española de Investigación en Patología Infecciosa (REIPI</w:t>
      </w:r>
      <w:r w:rsidR="00526354" w:rsidRPr="0052037A">
        <w:rPr>
          <w:rFonts w:ascii="Times New Roman" w:hAnsi="Times New Roman"/>
          <w:color w:val="000000"/>
          <w:sz w:val="24"/>
          <w:szCs w:val="24"/>
          <w:shd w:val="clear" w:color="auto" w:fill="FFFFFF"/>
        </w:rPr>
        <w:t xml:space="preserve"> RD16/0016</w:t>
      </w:r>
      <w:r w:rsidRPr="0052037A">
        <w:rPr>
          <w:rFonts w:ascii="Times New Roman" w:hAnsi="Times New Roman"/>
          <w:color w:val="000000"/>
          <w:sz w:val="24"/>
          <w:szCs w:val="24"/>
          <w:shd w:val="clear" w:color="auto" w:fill="FFFFFF"/>
        </w:rPr>
        <w:t>), Instituto de Salud Carlos III, Madrid, Spain.</w:t>
      </w:r>
    </w:p>
    <w:p w14:paraId="0E74932E" w14:textId="45D463DD" w:rsidR="00D60771" w:rsidRPr="0052037A" w:rsidRDefault="00396563" w:rsidP="00D60771">
      <w:pPr>
        <w:pStyle w:val="ListParagraph"/>
        <w:numPr>
          <w:ilvl w:val="0"/>
          <w:numId w:val="9"/>
        </w:numPr>
        <w:spacing w:after="0" w:line="480" w:lineRule="auto"/>
        <w:jc w:val="both"/>
        <w:rPr>
          <w:rFonts w:ascii="Times New Roman" w:hAnsi="Times New Roman"/>
          <w:color w:val="000000"/>
          <w:sz w:val="24"/>
          <w:szCs w:val="24"/>
          <w:shd w:val="clear" w:color="auto" w:fill="FFFFFF"/>
        </w:rPr>
      </w:pPr>
      <w:r w:rsidRPr="0052037A">
        <w:rPr>
          <w:rFonts w:ascii="Times New Roman" w:hAnsi="Times New Roman"/>
          <w:color w:val="000000"/>
          <w:sz w:val="24"/>
          <w:szCs w:val="24"/>
          <w:shd w:val="clear" w:color="auto" w:fill="FFFFFF"/>
        </w:rPr>
        <w:t xml:space="preserve">Unidad Clínica de Enfermedades Infecciosas y Microbiología, </w:t>
      </w:r>
      <w:r w:rsidR="00D60771" w:rsidRPr="0052037A">
        <w:rPr>
          <w:rFonts w:ascii="Times New Roman" w:hAnsi="Times New Roman"/>
          <w:color w:val="000000"/>
          <w:sz w:val="24"/>
          <w:szCs w:val="24"/>
          <w:shd w:val="clear" w:color="auto" w:fill="FFFFFF"/>
        </w:rPr>
        <w:t xml:space="preserve">Hospital Universitario Virgen </w:t>
      </w:r>
      <w:r w:rsidRPr="0052037A">
        <w:rPr>
          <w:rFonts w:ascii="Times New Roman" w:hAnsi="Times New Roman"/>
          <w:color w:val="000000"/>
          <w:sz w:val="24"/>
          <w:szCs w:val="24"/>
          <w:shd w:val="clear" w:color="auto" w:fill="FFFFFF"/>
        </w:rPr>
        <w:t xml:space="preserve">Macarena, </w:t>
      </w:r>
      <w:r w:rsidR="00D60771" w:rsidRPr="0052037A">
        <w:rPr>
          <w:rFonts w:ascii="Times New Roman" w:hAnsi="Times New Roman"/>
          <w:color w:val="000000"/>
          <w:sz w:val="24"/>
          <w:szCs w:val="24"/>
          <w:shd w:val="clear" w:color="auto" w:fill="FFFFFF"/>
        </w:rPr>
        <w:t>Seville, Spain.</w:t>
      </w:r>
    </w:p>
    <w:p w14:paraId="6E88E5D0" w14:textId="0F0369C7" w:rsidR="00D60771" w:rsidRPr="00520DB0" w:rsidRDefault="00D60771" w:rsidP="00D60771">
      <w:pPr>
        <w:pStyle w:val="ListParagraph"/>
        <w:numPr>
          <w:ilvl w:val="0"/>
          <w:numId w:val="9"/>
        </w:numPr>
        <w:spacing w:line="480" w:lineRule="auto"/>
        <w:rPr>
          <w:rFonts w:ascii="Times New Roman" w:hAnsi="Times New Roman"/>
          <w:sz w:val="24"/>
          <w:szCs w:val="24"/>
          <w:shd w:val="clear" w:color="auto" w:fill="FFFFFF"/>
          <w:lang w:val="en-GB"/>
        </w:rPr>
      </w:pPr>
      <w:r w:rsidRPr="00520DB0">
        <w:rPr>
          <w:rFonts w:ascii="Times New Roman" w:hAnsi="Times New Roman"/>
          <w:sz w:val="24"/>
          <w:szCs w:val="24"/>
          <w:shd w:val="clear" w:color="auto" w:fill="FFFFFF"/>
          <w:lang w:val="en-GB"/>
        </w:rPr>
        <w:t>Department of Molecular and Clinical Pharmacology, University of Liverpool, Liverpool, UK.</w:t>
      </w:r>
    </w:p>
    <w:p w14:paraId="5ED73559" w14:textId="18DED756" w:rsidR="00AF1219" w:rsidRPr="0052037A" w:rsidRDefault="00AF1219" w:rsidP="00AF1219">
      <w:pPr>
        <w:pStyle w:val="ListParagraph"/>
        <w:numPr>
          <w:ilvl w:val="0"/>
          <w:numId w:val="9"/>
        </w:numPr>
        <w:spacing w:after="0" w:line="480" w:lineRule="auto"/>
        <w:jc w:val="both"/>
        <w:rPr>
          <w:rFonts w:ascii="Times New Roman" w:hAnsi="Times New Roman"/>
          <w:color w:val="000000"/>
          <w:sz w:val="24"/>
          <w:szCs w:val="24"/>
          <w:shd w:val="clear" w:color="auto" w:fill="FFFFFF"/>
        </w:rPr>
      </w:pPr>
      <w:r w:rsidRPr="0052037A">
        <w:rPr>
          <w:rFonts w:ascii="Times New Roman" w:hAnsi="Times New Roman"/>
          <w:color w:val="000000"/>
          <w:sz w:val="24"/>
          <w:szCs w:val="24"/>
          <w:shd w:val="clear" w:color="auto" w:fill="FFFFFF"/>
        </w:rPr>
        <w:t>Departamento de Medicina, Universidad de Sevilla, Seville, Spain.</w:t>
      </w:r>
    </w:p>
    <w:p w14:paraId="0006584B" w14:textId="35899E89" w:rsidR="00CD4C27" w:rsidRPr="00520DB0" w:rsidRDefault="00456664" w:rsidP="00CD4C27">
      <w:pPr>
        <w:spacing w:after="0" w:line="480" w:lineRule="auto"/>
        <w:rPr>
          <w:rFonts w:ascii="Times New Roman" w:hAnsi="Times New Roman"/>
          <w:sz w:val="24"/>
          <w:szCs w:val="24"/>
          <w:lang w:val="en-GB"/>
        </w:rPr>
      </w:pPr>
      <w:r w:rsidRPr="00520DB0">
        <w:rPr>
          <w:rFonts w:ascii="Times New Roman" w:hAnsi="Times New Roman"/>
          <w:sz w:val="24"/>
          <w:szCs w:val="24"/>
          <w:lang w:val="en-GB"/>
        </w:rPr>
        <w:t>Keywords. Fosfomycin, pharmacokinetics, pharmacodynamics, mathematical model, PTA, susceptibility breakpoints.</w:t>
      </w:r>
    </w:p>
    <w:p w14:paraId="3300F853" w14:textId="2B88F3B0" w:rsidR="00FC2D9E" w:rsidRPr="00520DB0" w:rsidRDefault="00FC2D9E" w:rsidP="008C6EC2">
      <w:pPr>
        <w:spacing w:after="0" w:line="480" w:lineRule="auto"/>
        <w:rPr>
          <w:rFonts w:ascii="Times New Roman" w:hAnsi="Times New Roman"/>
          <w:sz w:val="24"/>
          <w:szCs w:val="24"/>
          <w:lang w:val="en-GB"/>
        </w:rPr>
      </w:pPr>
      <w:r w:rsidRPr="00520DB0">
        <w:rPr>
          <w:rFonts w:ascii="Times New Roman" w:hAnsi="Times New Roman"/>
          <w:sz w:val="24"/>
          <w:szCs w:val="24"/>
          <w:vertAlign w:val="superscript"/>
          <w:lang w:val="en-GB"/>
        </w:rPr>
        <w:t>#</w:t>
      </w:r>
      <w:r w:rsidRPr="00520DB0">
        <w:rPr>
          <w:rFonts w:ascii="Times New Roman" w:hAnsi="Times New Roman"/>
          <w:sz w:val="24"/>
          <w:szCs w:val="24"/>
          <w:lang w:val="en-GB"/>
        </w:rPr>
        <w:t>Both authors contributed equally to this study.</w:t>
      </w:r>
    </w:p>
    <w:p w14:paraId="124E5DCC" w14:textId="474EBEF8" w:rsidR="008C6EC2" w:rsidRPr="0052037A" w:rsidRDefault="003F085B" w:rsidP="008C6EC2">
      <w:pPr>
        <w:spacing w:after="0" w:line="480" w:lineRule="auto"/>
        <w:rPr>
          <w:rFonts w:ascii="Times New Roman" w:hAnsi="Times New Roman"/>
          <w:sz w:val="24"/>
          <w:szCs w:val="24"/>
        </w:rPr>
      </w:pPr>
      <w:r w:rsidRPr="0052037A">
        <w:rPr>
          <w:rFonts w:ascii="Times New Roman" w:hAnsi="Times New Roman"/>
          <w:sz w:val="24"/>
          <w:szCs w:val="24"/>
          <w:vertAlign w:val="superscript"/>
        </w:rPr>
        <w:t>*</w:t>
      </w:r>
      <w:r w:rsidR="00B42F6F" w:rsidRPr="0052037A">
        <w:rPr>
          <w:rFonts w:ascii="Times New Roman" w:hAnsi="Times New Roman"/>
          <w:sz w:val="24"/>
          <w:szCs w:val="24"/>
          <w:vertAlign w:val="superscript"/>
        </w:rPr>
        <w:t xml:space="preserve"> </w:t>
      </w:r>
      <w:r w:rsidR="00CD4C27" w:rsidRPr="0052037A">
        <w:rPr>
          <w:rFonts w:ascii="Times New Roman" w:hAnsi="Times New Roman"/>
          <w:sz w:val="24"/>
          <w:szCs w:val="24"/>
        </w:rPr>
        <w:t>Corresponding author:</w:t>
      </w:r>
      <w:r w:rsidR="007F1C94" w:rsidRPr="0052037A">
        <w:rPr>
          <w:rFonts w:ascii="Times New Roman" w:hAnsi="Times New Roman"/>
          <w:sz w:val="24"/>
          <w:szCs w:val="24"/>
        </w:rPr>
        <w:t xml:space="preserve"> </w:t>
      </w:r>
      <w:r w:rsidR="008C6EC2" w:rsidRPr="0052037A">
        <w:rPr>
          <w:rFonts w:ascii="Times New Roman" w:hAnsi="Times New Roman"/>
          <w:sz w:val="24"/>
          <w:szCs w:val="24"/>
        </w:rPr>
        <w:t>F. Docobo-Pérez, Departamento de Microbiología, Universidad de Sevilla, Sevilla, Spain.</w:t>
      </w:r>
    </w:p>
    <w:p w14:paraId="3785DF6C" w14:textId="12432014" w:rsidR="002A1DFF" w:rsidRPr="00520DB0" w:rsidRDefault="008C6EC2" w:rsidP="008C6EC2">
      <w:pPr>
        <w:spacing w:after="0" w:line="480" w:lineRule="auto"/>
        <w:rPr>
          <w:rFonts w:ascii="Times New Roman" w:hAnsi="Times New Roman"/>
          <w:sz w:val="24"/>
          <w:szCs w:val="24"/>
          <w:lang w:val="en-GB"/>
        </w:rPr>
      </w:pPr>
      <w:r w:rsidRPr="00520DB0">
        <w:rPr>
          <w:rFonts w:ascii="Times New Roman" w:hAnsi="Times New Roman"/>
          <w:sz w:val="24"/>
          <w:szCs w:val="24"/>
          <w:lang w:val="en-GB"/>
        </w:rPr>
        <w:t>E-mail address: fdocobop@yahoo.es (F. Docobo-Pérez).</w:t>
      </w:r>
      <w:r w:rsidR="002A1DFF" w:rsidRPr="00520DB0">
        <w:rPr>
          <w:rFonts w:ascii="Times New Roman" w:hAnsi="Times New Roman"/>
          <w:sz w:val="24"/>
          <w:szCs w:val="24"/>
          <w:lang w:val="en-GB"/>
        </w:rPr>
        <w:br w:type="page"/>
      </w:r>
    </w:p>
    <w:p w14:paraId="304ADC50" w14:textId="77777777" w:rsidR="00CE7AF9" w:rsidRPr="00520DB0" w:rsidRDefault="00CE7AF9" w:rsidP="009339A9">
      <w:pPr>
        <w:spacing w:after="0" w:line="480" w:lineRule="auto"/>
        <w:rPr>
          <w:rFonts w:ascii="Times New Roman" w:hAnsi="Times New Roman"/>
          <w:b/>
          <w:sz w:val="24"/>
          <w:szCs w:val="24"/>
          <w:lang w:val="en-GB"/>
        </w:rPr>
      </w:pPr>
      <w:r w:rsidRPr="00520DB0">
        <w:rPr>
          <w:rFonts w:ascii="Times New Roman" w:hAnsi="Times New Roman"/>
          <w:b/>
          <w:sz w:val="24"/>
          <w:szCs w:val="24"/>
          <w:lang w:val="en-GB"/>
        </w:rPr>
        <w:lastRenderedPageBreak/>
        <w:t>ABSTRACT</w:t>
      </w:r>
    </w:p>
    <w:p w14:paraId="691FA6AA" w14:textId="77777777" w:rsidR="00CE7AF9" w:rsidRPr="00520DB0" w:rsidRDefault="00CE7AF9" w:rsidP="009339A9">
      <w:pPr>
        <w:spacing w:line="480" w:lineRule="auto"/>
        <w:jc w:val="both"/>
        <w:rPr>
          <w:rFonts w:ascii="Times New Roman" w:hAnsi="Times New Roman"/>
          <w:b/>
          <w:sz w:val="24"/>
          <w:szCs w:val="24"/>
          <w:lang w:val="en-GB"/>
        </w:rPr>
      </w:pPr>
      <w:r w:rsidRPr="00520DB0">
        <w:rPr>
          <w:rFonts w:ascii="Times New Roman" w:hAnsi="Times New Roman"/>
          <w:b/>
          <w:sz w:val="24"/>
          <w:szCs w:val="24"/>
          <w:lang w:val="en-GB"/>
        </w:rPr>
        <w:t>Objective</w:t>
      </w:r>
    </w:p>
    <w:p w14:paraId="7E49AC3C" w14:textId="284F0E7B" w:rsidR="00CE7AF9" w:rsidRPr="00520DB0" w:rsidRDefault="00CE7AF9" w:rsidP="009339A9">
      <w:pPr>
        <w:spacing w:line="480" w:lineRule="auto"/>
        <w:jc w:val="both"/>
        <w:rPr>
          <w:rFonts w:ascii="Times New Roman" w:hAnsi="Times New Roman"/>
          <w:sz w:val="24"/>
          <w:szCs w:val="24"/>
          <w:lang w:val="en-GB"/>
        </w:rPr>
      </w:pPr>
      <w:r w:rsidRPr="00520DB0">
        <w:rPr>
          <w:rFonts w:ascii="Times New Roman" w:hAnsi="Times New Roman"/>
          <w:sz w:val="24"/>
          <w:szCs w:val="24"/>
          <w:lang w:val="en-GB"/>
        </w:rPr>
        <w:t xml:space="preserve">The aim of the present study </w:t>
      </w:r>
      <w:r w:rsidR="00EC4E5E" w:rsidRPr="00520DB0">
        <w:rPr>
          <w:rFonts w:ascii="Times New Roman" w:hAnsi="Times New Roman"/>
          <w:sz w:val="24"/>
          <w:szCs w:val="24"/>
          <w:lang w:val="en-GB"/>
        </w:rPr>
        <w:t xml:space="preserve">was </w:t>
      </w:r>
      <w:r w:rsidRPr="00520DB0">
        <w:rPr>
          <w:rFonts w:ascii="Times New Roman" w:hAnsi="Times New Roman"/>
          <w:sz w:val="24"/>
          <w:szCs w:val="24"/>
          <w:lang w:val="en-GB"/>
        </w:rPr>
        <w:t xml:space="preserve">to </w:t>
      </w:r>
      <w:r w:rsidR="00012F08" w:rsidRPr="00520DB0">
        <w:rPr>
          <w:rFonts w:ascii="Times New Roman" w:hAnsi="Times New Roman"/>
          <w:sz w:val="24"/>
          <w:szCs w:val="24"/>
          <w:lang w:val="en-GB"/>
        </w:rPr>
        <w:t>describe the population pharmacokinetics</w:t>
      </w:r>
      <w:r w:rsidRPr="00520DB0">
        <w:rPr>
          <w:rFonts w:ascii="Times New Roman" w:hAnsi="Times New Roman"/>
          <w:sz w:val="24"/>
          <w:szCs w:val="24"/>
          <w:lang w:val="en-GB"/>
        </w:rPr>
        <w:t xml:space="preserve"> of fosfomycin </w:t>
      </w:r>
      <w:r w:rsidR="00012F08" w:rsidRPr="00520DB0">
        <w:rPr>
          <w:rFonts w:ascii="Times New Roman" w:hAnsi="Times New Roman"/>
          <w:sz w:val="24"/>
          <w:szCs w:val="24"/>
          <w:lang w:val="en-GB"/>
        </w:rPr>
        <w:t>for</w:t>
      </w:r>
      <w:r w:rsidRPr="00520DB0">
        <w:rPr>
          <w:rFonts w:ascii="Times New Roman" w:hAnsi="Times New Roman"/>
          <w:sz w:val="24"/>
          <w:szCs w:val="24"/>
          <w:lang w:val="en-GB"/>
        </w:rPr>
        <w:t xml:space="preserve"> patients</w:t>
      </w:r>
      <w:r w:rsidR="00C67206" w:rsidRPr="00520DB0">
        <w:rPr>
          <w:rFonts w:ascii="Times New Roman" w:hAnsi="Times New Roman"/>
          <w:sz w:val="24"/>
          <w:szCs w:val="24"/>
          <w:lang w:val="en-GB"/>
        </w:rPr>
        <w:t xml:space="preserve"> with bacteraemic urinary tract infection (B-UTI)</w:t>
      </w:r>
      <w:r w:rsidR="00012F08" w:rsidRPr="00520DB0">
        <w:rPr>
          <w:rFonts w:ascii="Times New Roman" w:hAnsi="Times New Roman"/>
          <w:sz w:val="24"/>
          <w:szCs w:val="24"/>
          <w:lang w:val="en-GB"/>
        </w:rPr>
        <w:t xml:space="preserve">. The analysis </w:t>
      </w:r>
      <w:r w:rsidR="00920EBA" w:rsidRPr="00520DB0">
        <w:rPr>
          <w:rFonts w:ascii="Times New Roman" w:hAnsi="Times New Roman"/>
          <w:sz w:val="24"/>
          <w:szCs w:val="24"/>
          <w:lang w:val="en-GB"/>
        </w:rPr>
        <w:t xml:space="preserve">identified </w:t>
      </w:r>
      <w:r w:rsidRPr="00520DB0">
        <w:rPr>
          <w:rFonts w:ascii="Times New Roman" w:hAnsi="Times New Roman"/>
          <w:sz w:val="24"/>
          <w:szCs w:val="24"/>
          <w:lang w:val="en-GB"/>
        </w:rPr>
        <w:t>optimal regimens</w:t>
      </w:r>
      <w:r w:rsidR="00920EBA" w:rsidRPr="00520DB0">
        <w:rPr>
          <w:rFonts w:ascii="Times New Roman" w:hAnsi="Times New Roman"/>
          <w:sz w:val="24"/>
          <w:szCs w:val="24"/>
          <w:lang w:val="en-GB"/>
        </w:rPr>
        <w:t>,</w:t>
      </w:r>
      <w:r w:rsidRPr="00520DB0">
        <w:rPr>
          <w:rFonts w:ascii="Times New Roman" w:hAnsi="Times New Roman"/>
          <w:sz w:val="24"/>
          <w:szCs w:val="24"/>
          <w:lang w:val="en-GB"/>
        </w:rPr>
        <w:t xml:space="preserve"> based on pharmacodynamic targets and </w:t>
      </w:r>
      <w:r w:rsidR="00012F08" w:rsidRPr="00520DB0">
        <w:rPr>
          <w:rFonts w:ascii="Times New Roman" w:hAnsi="Times New Roman"/>
          <w:sz w:val="24"/>
          <w:szCs w:val="24"/>
          <w:lang w:val="en-GB"/>
        </w:rPr>
        <w:t>assess</w:t>
      </w:r>
      <w:r w:rsidR="005D770C" w:rsidRPr="00520DB0">
        <w:rPr>
          <w:rFonts w:ascii="Times New Roman" w:hAnsi="Times New Roman"/>
          <w:sz w:val="24"/>
          <w:szCs w:val="24"/>
          <w:lang w:val="en-GB"/>
        </w:rPr>
        <w:t>ed</w:t>
      </w:r>
      <w:r w:rsidR="00012F08" w:rsidRPr="00520DB0">
        <w:rPr>
          <w:rFonts w:ascii="Times New Roman" w:hAnsi="Times New Roman"/>
          <w:sz w:val="24"/>
          <w:szCs w:val="24"/>
          <w:lang w:val="en-GB"/>
        </w:rPr>
        <w:t xml:space="preserve"> </w:t>
      </w:r>
      <w:r w:rsidRPr="00520DB0">
        <w:rPr>
          <w:rFonts w:ascii="Times New Roman" w:hAnsi="Times New Roman"/>
          <w:sz w:val="24"/>
          <w:szCs w:val="24"/>
          <w:lang w:val="en-GB"/>
        </w:rPr>
        <w:t xml:space="preserve">the adequacy of </w:t>
      </w:r>
      <w:r w:rsidR="005D770C" w:rsidRPr="00520DB0">
        <w:rPr>
          <w:rFonts w:ascii="Times New Roman" w:hAnsi="Times New Roman"/>
          <w:sz w:val="24"/>
          <w:szCs w:val="24"/>
          <w:lang w:val="en-GB"/>
        </w:rPr>
        <w:t xml:space="preserve">CLSI and EUCAST </w:t>
      </w:r>
      <w:r w:rsidRPr="00520DB0">
        <w:rPr>
          <w:rFonts w:ascii="Times New Roman" w:hAnsi="Times New Roman"/>
          <w:sz w:val="24"/>
          <w:szCs w:val="24"/>
          <w:lang w:val="en-GB"/>
        </w:rPr>
        <w:t xml:space="preserve">susceptibility breakpoints for </w:t>
      </w:r>
      <w:r w:rsidRPr="00520DB0">
        <w:rPr>
          <w:rFonts w:ascii="Times New Roman" w:hAnsi="Times New Roman"/>
          <w:i/>
          <w:sz w:val="24"/>
          <w:szCs w:val="24"/>
          <w:lang w:val="en-GB"/>
        </w:rPr>
        <w:t>E</w:t>
      </w:r>
      <w:r w:rsidR="00C67206" w:rsidRPr="00520DB0">
        <w:rPr>
          <w:rFonts w:ascii="Times New Roman" w:hAnsi="Times New Roman"/>
          <w:i/>
          <w:sz w:val="24"/>
          <w:szCs w:val="24"/>
          <w:lang w:val="en-GB"/>
        </w:rPr>
        <w:t>scherchia</w:t>
      </w:r>
      <w:r w:rsidRPr="00520DB0">
        <w:rPr>
          <w:rFonts w:ascii="Times New Roman" w:hAnsi="Times New Roman"/>
          <w:i/>
          <w:sz w:val="24"/>
          <w:szCs w:val="24"/>
          <w:lang w:val="en-GB"/>
        </w:rPr>
        <w:t xml:space="preserve"> coli</w:t>
      </w:r>
      <w:r w:rsidRPr="00520DB0">
        <w:rPr>
          <w:rFonts w:ascii="Times New Roman" w:hAnsi="Times New Roman"/>
          <w:sz w:val="24"/>
          <w:szCs w:val="24"/>
          <w:lang w:val="en-GB"/>
        </w:rPr>
        <w:t>.</w:t>
      </w:r>
    </w:p>
    <w:p w14:paraId="6B6169E3" w14:textId="77777777" w:rsidR="00CE7AF9" w:rsidRPr="00520DB0" w:rsidRDefault="00CE7AF9" w:rsidP="009339A9">
      <w:pPr>
        <w:spacing w:line="480" w:lineRule="auto"/>
        <w:jc w:val="both"/>
        <w:rPr>
          <w:rFonts w:ascii="Times New Roman" w:hAnsi="Times New Roman"/>
          <w:b/>
          <w:sz w:val="24"/>
          <w:szCs w:val="24"/>
          <w:lang w:val="en-GB"/>
        </w:rPr>
      </w:pPr>
      <w:r w:rsidRPr="00520DB0">
        <w:rPr>
          <w:rFonts w:ascii="Times New Roman" w:hAnsi="Times New Roman"/>
          <w:b/>
          <w:sz w:val="24"/>
          <w:szCs w:val="24"/>
          <w:lang w:val="en-GB"/>
        </w:rPr>
        <w:t>Methods</w:t>
      </w:r>
    </w:p>
    <w:p w14:paraId="054C6876" w14:textId="2259E2C0" w:rsidR="00CE7AF9" w:rsidRPr="002C7B68" w:rsidRDefault="00D04D4A" w:rsidP="00CE7AF9">
      <w:pPr>
        <w:spacing w:line="480" w:lineRule="auto"/>
        <w:jc w:val="both"/>
        <w:rPr>
          <w:rFonts w:ascii="Times New Roman" w:hAnsi="Times New Roman"/>
          <w:sz w:val="24"/>
          <w:szCs w:val="24"/>
          <w:lang w:val="en-GB"/>
        </w:rPr>
      </w:pPr>
      <w:r w:rsidRPr="00520DB0">
        <w:rPr>
          <w:rFonts w:ascii="Times New Roman" w:hAnsi="Times New Roman"/>
          <w:sz w:val="24"/>
          <w:szCs w:val="24"/>
          <w:lang w:val="en-GB"/>
        </w:rPr>
        <w:t xml:space="preserve">Sixteen patients with </w:t>
      </w:r>
      <w:r w:rsidR="00C67206" w:rsidRPr="00520DB0">
        <w:rPr>
          <w:rFonts w:ascii="Times New Roman" w:hAnsi="Times New Roman"/>
          <w:sz w:val="24"/>
          <w:szCs w:val="24"/>
          <w:lang w:val="en-GB"/>
        </w:rPr>
        <w:t>B-UTI</w:t>
      </w:r>
      <w:r w:rsidRPr="00520DB0">
        <w:rPr>
          <w:rFonts w:ascii="Times New Roman" w:hAnsi="Times New Roman"/>
          <w:sz w:val="24"/>
          <w:szCs w:val="24"/>
          <w:lang w:val="en-GB"/>
        </w:rPr>
        <w:t xml:space="preserve"> </w:t>
      </w:r>
      <w:r w:rsidR="00012F08" w:rsidRPr="00520DB0">
        <w:rPr>
          <w:rFonts w:ascii="Times New Roman" w:hAnsi="Times New Roman"/>
          <w:sz w:val="24"/>
          <w:szCs w:val="24"/>
          <w:lang w:val="en-GB"/>
        </w:rPr>
        <w:t>caused by</w:t>
      </w:r>
      <w:r w:rsidRPr="00520DB0">
        <w:rPr>
          <w:rFonts w:ascii="Times New Roman" w:hAnsi="Times New Roman"/>
          <w:sz w:val="24"/>
          <w:szCs w:val="24"/>
          <w:lang w:val="en-GB"/>
        </w:rPr>
        <w:t xml:space="preserve"> multidrug-resistant </w:t>
      </w:r>
      <w:r w:rsidRPr="00520DB0">
        <w:rPr>
          <w:rFonts w:ascii="Times New Roman" w:hAnsi="Times New Roman"/>
          <w:i/>
          <w:sz w:val="24"/>
          <w:szCs w:val="24"/>
          <w:lang w:val="en-GB"/>
        </w:rPr>
        <w:t>E. coli,</w:t>
      </w:r>
      <w:r w:rsidRPr="00520DB0">
        <w:rPr>
          <w:rFonts w:ascii="Times New Roman" w:hAnsi="Times New Roman"/>
          <w:sz w:val="24"/>
          <w:szCs w:val="24"/>
          <w:lang w:val="en-GB"/>
        </w:rPr>
        <w:t xml:space="preserve"> </w:t>
      </w:r>
      <w:r w:rsidR="00185C23" w:rsidRPr="00520DB0">
        <w:rPr>
          <w:rFonts w:ascii="Times New Roman" w:hAnsi="Times New Roman"/>
          <w:sz w:val="24"/>
          <w:szCs w:val="24"/>
          <w:lang w:val="en-GB"/>
        </w:rPr>
        <w:t>(</w:t>
      </w:r>
      <w:r w:rsidRPr="00520DB0">
        <w:rPr>
          <w:rFonts w:ascii="Times New Roman" w:hAnsi="Times New Roman"/>
          <w:sz w:val="24"/>
          <w:szCs w:val="24"/>
          <w:lang w:val="en-GB"/>
        </w:rPr>
        <w:t>FOREST clinical trial</w:t>
      </w:r>
      <w:r w:rsidR="00185C23" w:rsidRPr="00520DB0">
        <w:rPr>
          <w:rFonts w:ascii="Times New Roman" w:hAnsi="Times New Roman"/>
          <w:sz w:val="24"/>
          <w:szCs w:val="24"/>
          <w:lang w:val="en-GB"/>
        </w:rPr>
        <w:t xml:space="preserve">) </w:t>
      </w:r>
      <w:r w:rsidRPr="00520DB0">
        <w:rPr>
          <w:rFonts w:ascii="Times New Roman" w:hAnsi="Times New Roman"/>
          <w:sz w:val="24"/>
          <w:szCs w:val="24"/>
          <w:lang w:val="en-GB"/>
        </w:rPr>
        <w:t xml:space="preserve">received intravenous fosfomycin </w:t>
      </w:r>
      <w:r w:rsidR="00DE706F" w:rsidRPr="00520DB0">
        <w:rPr>
          <w:rFonts w:ascii="Times New Roman" w:hAnsi="Times New Roman"/>
          <w:sz w:val="24"/>
          <w:szCs w:val="24"/>
          <w:lang w:val="en-GB"/>
        </w:rPr>
        <w:t xml:space="preserve">(4g/Q6h) </w:t>
      </w:r>
      <w:r w:rsidR="00D909EA" w:rsidRPr="00520DB0">
        <w:rPr>
          <w:rFonts w:ascii="Times New Roman" w:hAnsi="Times New Roman"/>
          <w:sz w:val="24"/>
          <w:szCs w:val="24"/>
          <w:lang w:val="en-GB"/>
        </w:rPr>
        <w:t>were analy</w:t>
      </w:r>
      <w:r w:rsidR="00013B02">
        <w:rPr>
          <w:rFonts w:ascii="Times New Roman" w:hAnsi="Times New Roman"/>
          <w:sz w:val="24"/>
          <w:szCs w:val="24"/>
          <w:lang w:val="en-GB"/>
        </w:rPr>
        <w:t>sed</w:t>
      </w:r>
      <w:r w:rsidRPr="00520DB0">
        <w:rPr>
          <w:rFonts w:ascii="Times New Roman" w:hAnsi="Times New Roman"/>
          <w:sz w:val="24"/>
          <w:szCs w:val="24"/>
          <w:lang w:val="en-GB"/>
        </w:rPr>
        <w:t xml:space="preserve">. </w:t>
      </w:r>
      <w:r w:rsidR="00CE7AF9" w:rsidRPr="00520DB0">
        <w:rPr>
          <w:rFonts w:ascii="Times New Roman" w:hAnsi="Times New Roman"/>
          <w:sz w:val="24"/>
          <w:szCs w:val="24"/>
          <w:lang w:val="en-GB"/>
        </w:rPr>
        <w:t xml:space="preserve">A population pharmacokinetic analysis was </w:t>
      </w:r>
      <w:r w:rsidR="00012F08" w:rsidRPr="00520DB0">
        <w:rPr>
          <w:rFonts w:ascii="Times New Roman" w:hAnsi="Times New Roman"/>
          <w:sz w:val="24"/>
          <w:szCs w:val="24"/>
          <w:lang w:val="en-GB"/>
        </w:rPr>
        <w:t>performed</w:t>
      </w:r>
      <w:r w:rsidR="00AF6C01" w:rsidRPr="00520DB0">
        <w:rPr>
          <w:rFonts w:ascii="Times New Roman" w:hAnsi="Times New Roman"/>
          <w:sz w:val="24"/>
          <w:szCs w:val="24"/>
          <w:lang w:val="en-GB"/>
        </w:rPr>
        <w:t>,</w:t>
      </w:r>
      <w:r w:rsidR="00CE7AF9" w:rsidRPr="00520DB0">
        <w:rPr>
          <w:rFonts w:ascii="Times New Roman" w:hAnsi="Times New Roman"/>
          <w:sz w:val="24"/>
          <w:szCs w:val="24"/>
          <w:lang w:val="en-GB"/>
        </w:rPr>
        <w:t xml:space="preserve"> </w:t>
      </w:r>
      <w:r w:rsidR="00B65AB5" w:rsidRPr="00520DB0">
        <w:rPr>
          <w:rFonts w:ascii="Times New Roman" w:hAnsi="Times New Roman"/>
          <w:sz w:val="24"/>
          <w:szCs w:val="24"/>
          <w:lang w:val="en-GB"/>
        </w:rPr>
        <w:t>and Monte Carlo simulations</w:t>
      </w:r>
      <w:r w:rsidR="00D909EA" w:rsidRPr="00520DB0">
        <w:rPr>
          <w:rFonts w:ascii="Times New Roman" w:hAnsi="Times New Roman"/>
          <w:sz w:val="24"/>
          <w:szCs w:val="24"/>
          <w:lang w:val="en-GB"/>
        </w:rPr>
        <w:t xml:space="preserve"> </w:t>
      </w:r>
      <w:r w:rsidR="00B65AB5" w:rsidRPr="00520DB0">
        <w:rPr>
          <w:rFonts w:ascii="Times New Roman" w:hAnsi="Times New Roman"/>
          <w:sz w:val="24"/>
          <w:szCs w:val="24"/>
          <w:lang w:val="en-GB"/>
        </w:rPr>
        <w:t xml:space="preserve">were </w:t>
      </w:r>
      <w:r w:rsidR="00012F08" w:rsidRPr="00520DB0">
        <w:rPr>
          <w:rFonts w:ascii="Times New Roman" w:hAnsi="Times New Roman"/>
          <w:sz w:val="24"/>
          <w:szCs w:val="24"/>
          <w:lang w:val="en-GB"/>
        </w:rPr>
        <w:t xml:space="preserve">undertaken </w:t>
      </w:r>
      <w:r w:rsidR="00B65AB5" w:rsidRPr="00520DB0">
        <w:rPr>
          <w:rFonts w:ascii="Times New Roman" w:hAnsi="Times New Roman"/>
          <w:sz w:val="24"/>
          <w:szCs w:val="24"/>
          <w:lang w:val="en-GB"/>
        </w:rPr>
        <w:t>using 4g</w:t>
      </w:r>
      <w:r w:rsidR="005D770C" w:rsidRPr="00520DB0">
        <w:rPr>
          <w:rFonts w:ascii="Times New Roman" w:hAnsi="Times New Roman"/>
          <w:sz w:val="24"/>
          <w:szCs w:val="24"/>
          <w:lang w:val="en-GB"/>
        </w:rPr>
        <w:t>/</w:t>
      </w:r>
      <w:r w:rsidR="00B65AB5" w:rsidRPr="00520DB0">
        <w:rPr>
          <w:rFonts w:ascii="Times New Roman" w:hAnsi="Times New Roman"/>
          <w:sz w:val="24"/>
          <w:szCs w:val="24"/>
          <w:lang w:val="en-GB"/>
        </w:rPr>
        <w:t>Q6h or 8g</w:t>
      </w:r>
      <w:r w:rsidR="005D770C" w:rsidRPr="00520DB0">
        <w:rPr>
          <w:rFonts w:ascii="Times New Roman" w:hAnsi="Times New Roman"/>
          <w:sz w:val="24"/>
          <w:szCs w:val="24"/>
          <w:lang w:val="en-GB"/>
        </w:rPr>
        <w:t>/</w:t>
      </w:r>
      <w:r w:rsidR="00B65AB5" w:rsidRPr="00520DB0">
        <w:rPr>
          <w:rFonts w:ascii="Times New Roman" w:hAnsi="Times New Roman"/>
          <w:sz w:val="24"/>
          <w:szCs w:val="24"/>
          <w:lang w:val="en-GB"/>
        </w:rPr>
        <w:t xml:space="preserve">Q8h. </w:t>
      </w:r>
      <w:r w:rsidR="00CE7AF9" w:rsidRPr="00520DB0">
        <w:rPr>
          <w:rFonts w:ascii="Times New Roman" w:hAnsi="Times New Roman"/>
          <w:sz w:val="24"/>
          <w:szCs w:val="24"/>
          <w:lang w:val="en-GB"/>
        </w:rPr>
        <w:t xml:space="preserve">The </w:t>
      </w:r>
      <w:r w:rsidR="00C67206" w:rsidRPr="00520DB0">
        <w:rPr>
          <w:rFonts w:ascii="Times New Roman" w:hAnsi="Times New Roman"/>
          <w:sz w:val="24"/>
          <w:szCs w:val="24"/>
          <w:lang w:val="en-GB"/>
        </w:rPr>
        <w:t xml:space="preserve">probability of </w:t>
      </w:r>
      <w:r w:rsidR="00D03296" w:rsidRPr="00520DB0">
        <w:rPr>
          <w:rFonts w:ascii="Times New Roman" w:hAnsi="Times New Roman"/>
          <w:sz w:val="24"/>
          <w:szCs w:val="24"/>
          <w:lang w:val="en-GB"/>
        </w:rPr>
        <w:t xml:space="preserve">pharmacodynamic </w:t>
      </w:r>
      <w:r w:rsidR="00C67206" w:rsidRPr="00520DB0">
        <w:rPr>
          <w:rFonts w:ascii="Times New Roman" w:hAnsi="Times New Roman"/>
          <w:sz w:val="24"/>
          <w:szCs w:val="24"/>
          <w:lang w:val="en-GB"/>
        </w:rPr>
        <w:t>target attainment (</w:t>
      </w:r>
      <w:r w:rsidR="00CE7AF9" w:rsidRPr="00520DB0">
        <w:rPr>
          <w:rFonts w:ascii="Times New Roman" w:hAnsi="Times New Roman"/>
          <w:sz w:val="24"/>
          <w:szCs w:val="24"/>
          <w:lang w:val="en-GB"/>
        </w:rPr>
        <w:t>PTA</w:t>
      </w:r>
      <w:r w:rsidR="00C67206" w:rsidRPr="00520DB0">
        <w:rPr>
          <w:rFonts w:ascii="Times New Roman" w:hAnsi="Times New Roman"/>
          <w:sz w:val="24"/>
          <w:szCs w:val="24"/>
          <w:lang w:val="en-GB"/>
        </w:rPr>
        <w:t>)</w:t>
      </w:r>
      <w:r w:rsidR="00CE7AF9" w:rsidRPr="00520DB0">
        <w:rPr>
          <w:rFonts w:ascii="Times New Roman" w:hAnsi="Times New Roman"/>
          <w:sz w:val="24"/>
          <w:szCs w:val="24"/>
          <w:lang w:val="en-GB"/>
        </w:rPr>
        <w:t xml:space="preserve"> was assessed using </w:t>
      </w:r>
      <w:r w:rsidR="00012F08" w:rsidRPr="00520DB0">
        <w:rPr>
          <w:rFonts w:ascii="Times New Roman" w:hAnsi="Times New Roman"/>
          <w:sz w:val="24"/>
          <w:szCs w:val="24"/>
          <w:lang w:val="en-GB"/>
        </w:rPr>
        <w:t>pharmacodynamic targets</w:t>
      </w:r>
      <w:r w:rsidR="00CE7AF9" w:rsidRPr="00520DB0">
        <w:rPr>
          <w:rFonts w:ascii="Times New Roman" w:hAnsi="Times New Roman"/>
          <w:sz w:val="24"/>
          <w:szCs w:val="24"/>
          <w:lang w:val="en-GB"/>
        </w:rPr>
        <w:t xml:space="preserve"> for </w:t>
      </w:r>
      <w:r w:rsidR="00CE7AF9" w:rsidRPr="00520DB0">
        <w:rPr>
          <w:rFonts w:ascii="Times New Roman" w:hAnsi="Times New Roman"/>
          <w:i/>
          <w:sz w:val="24"/>
          <w:szCs w:val="24"/>
          <w:lang w:val="en-GB"/>
        </w:rPr>
        <w:t>E. coli</w:t>
      </w:r>
      <w:r w:rsidR="00CE7AF9" w:rsidRPr="00520DB0">
        <w:rPr>
          <w:rFonts w:ascii="Times New Roman" w:hAnsi="Times New Roman"/>
          <w:sz w:val="24"/>
          <w:szCs w:val="24"/>
          <w:lang w:val="en-GB"/>
        </w:rPr>
        <w:t xml:space="preserve"> for static effect</w:t>
      </w:r>
      <w:r w:rsidR="00D24CBA" w:rsidRPr="00520DB0">
        <w:rPr>
          <w:rFonts w:ascii="Times New Roman" w:hAnsi="Times New Roman"/>
          <w:sz w:val="24"/>
          <w:szCs w:val="24"/>
          <w:lang w:val="en-GB"/>
        </w:rPr>
        <w:t>,</w:t>
      </w:r>
      <w:r w:rsidR="00CE7AF9" w:rsidRPr="00520DB0">
        <w:rPr>
          <w:rFonts w:ascii="Times New Roman" w:hAnsi="Times New Roman"/>
          <w:sz w:val="24"/>
          <w:szCs w:val="24"/>
          <w:lang w:val="en-GB"/>
        </w:rPr>
        <w:t xml:space="preserve"> 1-log </w:t>
      </w:r>
      <w:r w:rsidR="00EC4E5E" w:rsidRPr="00520DB0">
        <w:rPr>
          <w:rFonts w:ascii="Times New Roman" w:hAnsi="Times New Roman"/>
          <w:sz w:val="24"/>
          <w:szCs w:val="24"/>
          <w:lang w:val="en-GB"/>
        </w:rPr>
        <w:t xml:space="preserve">drop in </w:t>
      </w:r>
      <w:r w:rsidR="00CE7AF9" w:rsidRPr="00520DB0">
        <w:rPr>
          <w:rFonts w:ascii="Times New Roman" w:hAnsi="Times New Roman"/>
          <w:sz w:val="24"/>
          <w:szCs w:val="24"/>
          <w:lang w:val="en-GB"/>
        </w:rPr>
        <w:t>bacterial burden</w:t>
      </w:r>
      <w:r w:rsidR="00990A64" w:rsidRPr="00520DB0">
        <w:rPr>
          <w:rFonts w:ascii="Times New Roman" w:hAnsi="Times New Roman"/>
          <w:sz w:val="24"/>
          <w:szCs w:val="24"/>
          <w:lang w:val="en-GB"/>
        </w:rPr>
        <w:t xml:space="preserve"> (murine thigh infection model, Lepak </w:t>
      </w:r>
      <w:r w:rsidR="00990A64" w:rsidRPr="002C7B68">
        <w:rPr>
          <w:rFonts w:ascii="Times New Roman" w:hAnsi="Times New Roman"/>
          <w:i/>
          <w:sz w:val="24"/>
          <w:szCs w:val="24"/>
          <w:lang w:val="en-GB"/>
        </w:rPr>
        <w:t>et al.</w:t>
      </w:r>
      <w:r w:rsidR="00990A64" w:rsidRPr="002C7B68">
        <w:rPr>
          <w:rFonts w:ascii="Times New Roman" w:hAnsi="Times New Roman"/>
          <w:sz w:val="24"/>
          <w:szCs w:val="24"/>
          <w:lang w:val="en-GB"/>
        </w:rPr>
        <w:t xml:space="preserve"> </w:t>
      </w:r>
      <w:r w:rsidR="00DD790D" w:rsidRPr="002C7B68">
        <w:rPr>
          <w:rFonts w:ascii="Times New Roman" w:hAnsi="Times New Roman"/>
          <w:sz w:val="24"/>
          <w:szCs w:val="24"/>
          <w:lang w:val="en-GB"/>
        </w:rPr>
        <w:t>AAC 2017</w:t>
      </w:r>
      <w:r w:rsidR="00990A64" w:rsidRPr="002C7B68">
        <w:rPr>
          <w:rFonts w:ascii="Times New Roman" w:hAnsi="Times New Roman"/>
          <w:sz w:val="24"/>
          <w:szCs w:val="24"/>
          <w:lang w:val="en-GB"/>
        </w:rPr>
        <w:t>)</w:t>
      </w:r>
      <w:r w:rsidR="00D24CBA" w:rsidRPr="002C7B68">
        <w:rPr>
          <w:rFonts w:ascii="Times New Roman" w:hAnsi="Times New Roman"/>
          <w:sz w:val="24"/>
          <w:szCs w:val="24"/>
          <w:lang w:val="en-GB"/>
        </w:rPr>
        <w:t xml:space="preserve">, and </w:t>
      </w:r>
      <w:r w:rsidR="00FB794A" w:rsidRPr="002C7B68">
        <w:rPr>
          <w:rFonts w:ascii="Times New Roman" w:hAnsi="Times New Roman"/>
          <w:sz w:val="24"/>
          <w:szCs w:val="24"/>
          <w:lang w:val="en-GB"/>
        </w:rPr>
        <w:t xml:space="preserve">for </w:t>
      </w:r>
      <w:r w:rsidR="00D24CBA" w:rsidRPr="002C7B68">
        <w:rPr>
          <w:rFonts w:ascii="Times New Roman" w:hAnsi="Times New Roman"/>
          <w:sz w:val="24"/>
          <w:szCs w:val="24"/>
          <w:lang w:val="en-GB"/>
        </w:rPr>
        <w:t>resistance suppression</w:t>
      </w:r>
      <w:r w:rsidR="00990A64" w:rsidRPr="002C7B68">
        <w:rPr>
          <w:rFonts w:ascii="Times New Roman" w:hAnsi="Times New Roman"/>
          <w:sz w:val="24"/>
          <w:szCs w:val="24"/>
          <w:lang w:val="en-GB"/>
        </w:rPr>
        <w:t xml:space="preserve"> (hollow fiber infection model, Docobo-Perez </w:t>
      </w:r>
      <w:r w:rsidR="00990A64" w:rsidRPr="002C7B68">
        <w:rPr>
          <w:rFonts w:ascii="Times New Roman" w:hAnsi="Times New Roman"/>
          <w:i/>
          <w:sz w:val="24"/>
          <w:szCs w:val="24"/>
          <w:lang w:val="en-GB"/>
        </w:rPr>
        <w:t>et al.</w:t>
      </w:r>
      <w:r w:rsidR="00DD790D" w:rsidRPr="002C7B68">
        <w:rPr>
          <w:rFonts w:ascii="Times New Roman" w:hAnsi="Times New Roman"/>
          <w:sz w:val="24"/>
          <w:szCs w:val="24"/>
          <w:lang w:val="en-GB"/>
        </w:rPr>
        <w:t xml:space="preserve"> AAC 2015</w:t>
      </w:r>
      <w:r w:rsidR="00990A64" w:rsidRPr="002C7B68">
        <w:rPr>
          <w:rFonts w:ascii="Times New Roman" w:hAnsi="Times New Roman"/>
          <w:sz w:val="24"/>
          <w:szCs w:val="24"/>
          <w:lang w:val="en-GB"/>
        </w:rPr>
        <w:t>)</w:t>
      </w:r>
      <w:r w:rsidR="00B65AB5" w:rsidRPr="002C7B68">
        <w:rPr>
          <w:rFonts w:ascii="Times New Roman" w:hAnsi="Times New Roman"/>
          <w:sz w:val="24"/>
          <w:szCs w:val="24"/>
          <w:lang w:val="en-GB"/>
        </w:rPr>
        <w:t>.</w:t>
      </w:r>
    </w:p>
    <w:p w14:paraId="5F5021E0" w14:textId="650631A5" w:rsidR="00CE7AF9" w:rsidRPr="002C7B68" w:rsidRDefault="00CE7AF9" w:rsidP="00CE7AF9">
      <w:pPr>
        <w:spacing w:line="480" w:lineRule="auto"/>
        <w:jc w:val="both"/>
        <w:rPr>
          <w:rFonts w:ascii="Times New Roman" w:hAnsi="Times New Roman"/>
          <w:b/>
          <w:sz w:val="24"/>
          <w:szCs w:val="24"/>
          <w:lang w:val="en-GB"/>
        </w:rPr>
      </w:pPr>
      <w:r w:rsidRPr="002C7B68">
        <w:rPr>
          <w:rFonts w:ascii="Times New Roman" w:hAnsi="Times New Roman"/>
          <w:b/>
          <w:sz w:val="24"/>
          <w:szCs w:val="24"/>
          <w:lang w:val="en-GB"/>
        </w:rPr>
        <w:t>Results</w:t>
      </w:r>
    </w:p>
    <w:p w14:paraId="6A9012D6" w14:textId="6411C050" w:rsidR="008136DA" w:rsidRPr="00A46E42" w:rsidRDefault="007E4047" w:rsidP="008136DA">
      <w:pPr>
        <w:spacing w:line="480" w:lineRule="auto"/>
        <w:jc w:val="both"/>
        <w:rPr>
          <w:rFonts w:ascii="Times New Roman" w:hAnsi="Times New Roman"/>
          <w:sz w:val="24"/>
          <w:szCs w:val="24"/>
          <w:lang w:val="en-GB"/>
        </w:rPr>
      </w:pPr>
      <w:r w:rsidRPr="002C7B68">
        <w:rPr>
          <w:rFonts w:ascii="Times New Roman" w:hAnsi="Times New Roman"/>
          <w:sz w:val="24"/>
          <w:szCs w:val="24"/>
          <w:lang w:val="en-GB"/>
        </w:rPr>
        <w:t xml:space="preserve">Sixty-four </w:t>
      </w:r>
      <w:r w:rsidR="00A97D27" w:rsidRPr="002C7B68">
        <w:rPr>
          <w:rFonts w:ascii="Times New Roman" w:hAnsi="Times New Roman"/>
          <w:sz w:val="24"/>
          <w:szCs w:val="24"/>
          <w:lang w:val="en-GB"/>
        </w:rPr>
        <w:t xml:space="preserve">plasma samples were collected over a single dosing interval (day 2 or 3 after starting fosfomycin treatment). </w:t>
      </w:r>
      <w:r w:rsidR="00DE706F" w:rsidRPr="002C7B68">
        <w:rPr>
          <w:rFonts w:ascii="Times New Roman" w:hAnsi="Times New Roman"/>
          <w:sz w:val="24"/>
          <w:szCs w:val="24"/>
          <w:lang w:val="en-GB"/>
        </w:rPr>
        <w:t xml:space="preserve">Fosfomycin concentrations were highly variable. </w:t>
      </w:r>
      <w:r w:rsidR="00F44713" w:rsidRPr="002C7B68">
        <w:rPr>
          <w:rFonts w:ascii="Times New Roman" w:hAnsi="Times New Roman"/>
          <w:sz w:val="24"/>
          <w:szCs w:val="24"/>
          <w:lang w:val="en-GB"/>
        </w:rPr>
        <w:t xml:space="preserve">PTA analysis </w:t>
      </w:r>
      <w:r w:rsidR="00B65AB5" w:rsidRPr="002C7B68">
        <w:rPr>
          <w:rFonts w:ascii="Times New Roman" w:hAnsi="Times New Roman"/>
          <w:sz w:val="24"/>
          <w:szCs w:val="24"/>
          <w:lang w:val="en-GB"/>
        </w:rPr>
        <w:t>show</w:t>
      </w:r>
      <w:r w:rsidR="00013B02">
        <w:rPr>
          <w:rFonts w:ascii="Times New Roman" w:hAnsi="Times New Roman"/>
          <w:sz w:val="24"/>
          <w:szCs w:val="24"/>
          <w:lang w:val="en-GB"/>
        </w:rPr>
        <w:t>ed mild</w:t>
      </w:r>
      <w:r w:rsidR="00B65AB5" w:rsidRPr="002C7B68">
        <w:rPr>
          <w:rFonts w:ascii="Times New Roman" w:hAnsi="Times New Roman"/>
          <w:sz w:val="24"/>
          <w:szCs w:val="24"/>
          <w:lang w:val="en-GB"/>
        </w:rPr>
        <w:t xml:space="preserve"> improvement </w:t>
      </w:r>
      <w:r w:rsidR="0032388E" w:rsidRPr="002C7B68">
        <w:rPr>
          <w:rFonts w:ascii="Times New Roman" w:hAnsi="Times New Roman"/>
          <w:sz w:val="24"/>
          <w:szCs w:val="24"/>
          <w:lang w:val="en-GB"/>
        </w:rPr>
        <w:t>by increasing fosfomycin dosing (4g/Q6h vs 8g/Q8h).</w:t>
      </w:r>
      <w:r w:rsidR="00F44713" w:rsidRPr="002C7B68">
        <w:rPr>
          <w:rFonts w:ascii="Times New Roman" w:hAnsi="Times New Roman"/>
          <w:sz w:val="24"/>
          <w:szCs w:val="24"/>
          <w:lang w:val="en-GB"/>
        </w:rPr>
        <w:t xml:space="preserve"> </w:t>
      </w:r>
      <w:bookmarkStart w:id="1" w:name="_Hlk503192946"/>
      <w:bookmarkStart w:id="2" w:name="_Hlk503951386"/>
      <w:r w:rsidR="008136DA">
        <w:rPr>
          <w:rFonts w:ascii="Times New Roman" w:hAnsi="Times New Roman"/>
          <w:sz w:val="24"/>
          <w:szCs w:val="24"/>
          <w:lang w:val="en-GB"/>
        </w:rPr>
        <w:t>These</w:t>
      </w:r>
      <w:r w:rsidR="008136DA" w:rsidRPr="00A46E42">
        <w:rPr>
          <w:rFonts w:ascii="Times New Roman" w:hAnsi="Times New Roman"/>
          <w:sz w:val="24"/>
          <w:szCs w:val="24"/>
          <w:lang w:val="en-GB"/>
        </w:rPr>
        <w:t xml:space="preserve"> dosages</w:t>
      </w:r>
      <w:r w:rsidR="008136DA">
        <w:rPr>
          <w:rFonts w:ascii="Times New Roman" w:hAnsi="Times New Roman"/>
          <w:sz w:val="24"/>
          <w:szCs w:val="24"/>
          <w:lang w:val="en-GB"/>
        </w:rPr>
        <w:t xml:space="preserve"> showed </w:t>
      </w:r>
      <w:r w:rsidR="008136DA" w:rsidRPr="00A46E42">
        <w:rPr>
          <w:rFonts w:ascii="Times New Roman" w:hAnsi="Times New Roman"/>
          <w:sz w:val="24"/>
          <w:szCs w:val="24"/>
          <w:lang w:val="en-GB"/>
        </w:rPr>
        <w:t>success for decreasing 1-log bacterial burden in 89-96% (EUCAST breakpoints) and 33-54% (CLSI breakpoints) of patients</w:t>
      </w:r>
      <w:r w:rsidR="008136DA">
        <w:rPr>
          <w:rFonts w:ascii="Times New Roman" w:hAnsi="Times New Roman"/>
          <w:sz w:val="24"/>
          <w:szCs w:val="24"/>
          <w:lang w:val="en-GB"/>
        </w:rPr>
        <w:t xml:space="preserve">, but unable to reach </w:t>
      </w:r>
      <w:r w:rsidR="008136DA" w:rsidRPr="00A46E42">
        <w:rPr>
          <w:rFonts w:ascii="Times New Roman" w:hAnsi="Times New Roman"/>
          <w:sz w:val="24"/>
          <w:szCs w:val="24"/>
          <w:lang w:val="en-GB"/>
        </w:rPr>
        <w:t xml:space="preserve">bacterial resistance suppression </w:t>
      </w:r>
      <w:r w:rsidR="008136DA">
        <w:rPr>
          <w:rFonts w:ascii="Times New Roman" w:hAnsi="Times New Roman"/>
          <w:sz w:val="24"/>
          <w:szCs w:val="24"/>
          <w:lang w:val="en-GB"/>
        </w:rPr>
        <w:t>targets</w:t>
      </w:r>
      <w:r w:rsidR="008136DA" w:rsidRPr="00A46E42">
        <w:rPr>
          <w:rFonts w:ascii="Times New Roman" w:hAnsi="Times New Roman"/>
          <w:sz w:val="24"/>
          <w:szCs w:val="24"/>
          <w:lang w:val="en-GB"/>
        </w:rPr>
        <w:t>.</w:t>
      </w:r>
    </w:p>
    <w:bookmarkEnd w:id="1"/>
    <w:bookmarkEnd w:id="2"/>
    <w:p w14:paraId="20307242" w14:textId="77777777" w:rsidR="00CE7AF9" w:rsidRPr="002C7B68" w:rsidRDefault="00CE7AF9" w:rsidP="00CE7AF9">
      <w:pPr>
        <w:spacing w:line="480" w:lineRule="auto"/>
        <w:jc w:val="both"/>
        <w:rPr>
          <w:rFonts w:ascii="Times New Roman" w:hAnsi="Times New Roman"/>
          <w:b/>
          <w:sz w:val="24"/>
          <w:szCs w:val="24"/>
          <w:lang w:val="en-GB"/>
        </w:rPr>
      </w:pPr>
      <w:r w:rsidRPr="002C7B68">
        <w:rPr>
          <w:rFonts w:ascii="Times New Roman" w:hAnsi="Times New Roman"/>
          <w:b/>
          <w:sz w:val="24"/>
          <w:szCs w:val="24"/>
          <w:lang w:val="en-GB"/>
        </w:rPr>
        <w:t>Conclusions</w:t>
      </w:r>
    </w:p>
    <w:p w14:paraId="4E6E6105" w14:textId="1CA5C2CC" w:rsidR="007E4047" w:rsidRPr="002C7B68" w:rsidRDefault="004940D9" w:rsidP="005D770C">
      <w:pPr>
        <w:autoSpaceDE w:val="0"/>
        <w:autoSpaceDN w:val="0"/>
        <w:adjustRightInd w:val="0"/>
        <w:spacing w:after="0" w:line="480" w:lineRule="auto"/>
        <w:jc w:val="both"/>
        <w:rPr>
          <w:rFonts w:ascii="Times New Roman" w:hAnsi="Times New Roman"/>
          <w:sz w:val="24"/>
          <w:szCs w:val="24"/>
          <w:lang w:val="en-GB"/>
        </w:rPr>
      </w:pPr>
      <w:r w:rsidRPr="002C7B68">
        <w:rPr>
          <w:rFonts w:ascii="Times New Roman" w:hAnsi="Times New Roman"/>
          <w:sz w:val="24"/>
          <w:szCs w:val="24"/>
          <w:lang w:val="en-GB"/>
        </w:rPr>
        <w:lastRenderedPageBreak/>
        <w:t>F</w:t>
      </w:r>
      <w:r w:rsidR="00CE7AF9" w:rsidRPr="002C7B68">
        <w:rPr>
          <w:rFonts w:ascii="Times New Roman" w:hAnsi="Times New Roman"/>
          <w:sz w:val="24"/>
          <w:szCs w:val="24"/>
          <w:lang w:val="en-GB"/>
        </w:rPr>
        <w:t>osfomycin concentrations are highly variable</w:t>
      </w:r>
      <w:r w:rsidR="00146F99">
        <w:rPr>
          <w:rFonts w:ascii="Times New Roman" w:hAnsi="Times New Roman"/>
          <w:sz w:val="24"/>
          <w:szCs w:val="24"/>
          <w:lang w:val="en-GB"/>
        </w:rPr>
        <w:t>, partially</w:t>
      </w:r>
      <w:r w:rsidR="00EC4E5E" w:rsidRPr="002C7B68">
        <w:rPr>
          <w:rFonts w:ascii="Times New Roman" w:hAnsi="Times New Roman"/>
          <w:sz w:val="24"/>
          <w:szCs w:val="24"/>
          <w:lang w:val="en-GB"/>
        </w:rPr>
        <w:t xml:space="preserve"> explained by renal impairment</w:t>
      </w:r>
      <w:r w:rsidR="00CE7AF9" w:rsidRPr="002C7B68">
        <w:rPr>
          <w:rFonts w:ascii="Times New Roman" w:hAnsi="Times New Roman"/>
          <w:sz w:val="24"/>
          <w:szCs w:val="24"/>
          <w:lang w:val="en-GB"/>
        </w:rPr>
        <w:t xml:space="preserve">. </w:t>
      </w:r>
      <w:r w:rsidR="0002682F" w:rsidRPr="002C7B68">
        <w:rPr>
          <w:rFonts w:ascii="Times New Roman" w:hAnsi="Times New Roman"/>
          <w:sz w:val="24"/>
          <w:szCs w:val="24"/>
          <w:lang w:val="en-GB"/>
        </w:rPr>
        <w:t>T</w:t>
      </w:r>
      <w:r w:rsidR="00CE7AF9" w:rsidRPr="002C7B68">
        <w:rPr>
          <w:rFonts w:ascii="Times New Roman" w:hAnsi="Times New Roman"/>
          <w:sz w:val="24"/>
          <w:szCs w:val="24"/>
          <w:lang w:val="en-GB"/>
        </w:rPr>
        <w:t xml:space="preserve">he present work </w:t>
      </w:r>
      <w:r w:rsidR="0002682F" w:rsidRPr="002C7B68">
        <w:rPr>
          <w:rFonts w:ascii="Times New Roman" w:hAnsi="Times New Roman"/>
          <w:sz w:val="24"/>
          <w:szCs w:val="24"/>
          <w:lang w:val="en-GB"/>
        </w:rPr>
        <w:t>support</w:t>
      </w:r>
      <w:r w:rsidR="00EC4E5E" w:rsidRPr="002C7B68">
        <w:rPr>
          <w:rFonts w:ascii="Times New Roman" w:hAnsi="Times New Roman"/>
          <w:sz w:val="24"/>
          <w:szCs w:val="24"/>
          <w:lang w:val="en-GB"/>
        </w:rPr>
        <w:t>s</w:t>
      </w:r>
      <w:r w:rsidR="0002682F" w:rsidRPr="002C7B68">
        <w:rPr>
          <w:rFonts w:ascii="Times New Roman" w:hAnsi="Times New Roman"/>
          <w:sz w:val="24"/>
          <w:szCs w:val="24"/>
          <w:lang w:val="en-GB"/>
        </w:rPr>
        <w:t xml:space="preserve"> </w:t>
      </w:r>
      <w:r w:rsidR="00CE7AF9" w:rsidRPr="002C7B68">
        <w:rPr>
          <w:rFonts w:ascii="Times New Roman" w:hAnsi="Times New Roman"/>
          <w:sz w:val="24"/>
          <w:szCs w:val="24"/>
          <w:lang w:val="en-GB"/>
        </w:rPr>
        <w:t>the use of 4g</w:t>
      </w:r>
      <w:r w:rsidR="007C2705" w:rsidRPr="002C7B68">
        <w:rPr>
          <w:rFonts w:ascii="Times New Roman" w:hAnsi="Times New Roman"/>
          <w:sz w:val="24"/>
          <w:szCs w:val="24"/>
          <w:lang w:val="en-GB"/>
        </w:rPr>
        <w:t>/</w:t>
      </w:r>
      <w:r w:rsidR="00CE7AF9" w:rsidRPr="002C7B68">
        <w:rPr>
          <w:rFonts w:ascii="Times New Roman" w:hAnsi="Times New Roman"/>
          <w:sz w:val="24"/>
          <w:szCs w:val="24"/>
          <w:lang w:val="en-GB"/>
        </w:rPr>
        <w:t xml:space="preserve">Q6h as an effective </w:t>
      </w:r>
      <w:r w:rsidR="00EC4E5E" w:rsidRPr="002C7B68">
        <w:rPr>
          <w:rFonts w:ascii="Times New Roman" w:hAnsi="Times New Roman"/>
          <w:sz w:val="24"/>
          <w:szCs w:val="24"/>
          <w:lang w:val="en-GB"/>
        </w:rPr>
        <w:t xml:space="preserve">regimen </w:t>
      </w:r>
      <w:r w:rsidR="00CE7AF9" w:rsidRPr="002C7B68">
        <w:rPr>
          <w:rFonts w:ascii="Times New Roman" w:hAnsi="Times New Roman"/>
          <w:sz w:val="24"/>
          <w:szCs w:val="24"/>
          <w:lang w:val="en-GB"/>
        </w:rPr>
        <w:t xml:space="preserve">for the treatment of non-critically ill patients with </w:t>
      </w:r>
      <w:r w:rsidR="00235FA4" w:rsidRPr="002C7B68">
        <w:rPr>
          <w:rFonts w:ascii="Times New Roman" w:hAnsi="Times New Roman"/>
          <w:sz w:val="24"/>
          <w:szCs w:val="24"/>
          <w:lang w:val="en-GB"/>
        </w:rPr>
        <w:t>B-UTI</w:t>
      </w:r>
      <w:r w:rsidR="00CE7AF9" w:rsidRPr="002C7B68">
        <w:rPr>
          <w:rFonts w:ascii="Times New Roman" w:hAnsi="Times New Roman"/>
          <w:sz w:val="24"/>
          <w:szCs w:val="24"/>
          <w:lang w:val="en-GB"/>
        </w:rPr>
        <w:t xml:space="preserve"> caused by multidrug-resistant </w:t>
      </w:r>
      <w:r w:rsidR="00CE7AF9" w:rsidRPr="002C7B68">
        <w:rPr>
          <w:rFonts w:ascii="Times New Roman" w:hAnsi="Times New Roman"/>
          <w:i/>
          <w:sz w:val="24"/>
          <w:szCs w:val="24"/>
          <w:lang w:val="en-GB"/>
        </w:rPr>
        <w:t>E. coli</w:t>
      </w:r>
      <w:r w:rsidR="00CE7AF9" w:rsidRPr="002C7B68">
        <w:rPr>
          <w:rFonts w:ascii="Times New Roman" w:hAnsi="Times New Roman"/>
          <w:sz w:val="24"/>
          <w:szCs w:val="24"/>
          <w:lang w:val="en-GB"/>
        </w:rPr>
        <w:t xml:space="preserve"> </w:t>
      </w:r>
      <w:r w:rsidR="00C67206" w:rsidRPr="002C7B68">
        <w:rPr>
          <w:rFonts w:ascii="Times New Roman" w:hAnsi="Times New Roman"/>
          <w:sz w:val="24"/>
          <w:szCs w:val="24"/>
          <w:lang w:val="en-GB"/>
        </w:rPr>
        <w:t>as h</w:t>
      </w:r>
      <w:r w:rsidR="00CE7AF9" w:rsidRPr="002C7B68">
        <w:rPr>
          <w:rFonts w:ascii="Times New Roman" w:hAnsi="Times New Roman"/>
          <w:sz w:val="24"/>
          <w:szCs w:val="24"/>
          <w:lang w:val="en-GB"/>
        </w:rPr>
        <w:t xml:space="preserve">igher dosages might increase toxicity but </w:t>
      </w:r>
      <w:r w:rsidR="00EC4E5E" w:rsidRPr="002C7B68">
        <w:rPr>
          <w:rFonts w:ascii="Times New Roman" w:hAnsi="Times New Roman"/>
          <w:sz w:val="24"/>
          <w:szCs w:val="24"/>
          <w:lang w:val="en-GB"/>
        </w:rPr>
        <w:t xml:space="preserve">may </w:t>
      </w:r>
      <w:r w:rsidR="00CE7AF9" w:rsidRPr="002C7B68">
        <w:rPr>
          <w:rFonts w:ascii="Times New Roman" w:hAnsi="Times New Roman"/>
          <w:sz w:val="24"/>
          <w:szCs w:val="24"/>
          <w:lang w:val="en-GB"/>
        </w:rPr>
        <w:t>not s</w:t>
      </w:r>
      <w:r w:rsidR="00973F6F" w:rsidRPr="002C7B68">
        <w:rPr>
          <w:rFonts w:ascii="Times New Roman" w:hAnsi="Times New Roman"/>
          <w:sz w:val="24"/>
          <w:szCs w:val="24"/>
          <w:lang w:val="en-GB"/>
        </w:rPr>
        <w:t>ignificantly increase efficacy.</w:t>
      </w:r>
      <w:r w:rsidR="00185C23" w:rsidRPr="002C7B68">
        <w:rPr>
          <w:rFonts w:ascii="Times New Roman" w:hAnsi="Times New Roman"/>
          <w:sz w:val="24"/>
          <w:szCs w:val="24"/>
          <w:lang w:val="en-GB"/>
        </w:rPr>
        <w:t xml:space="preserve"> </w:t>
      </w:r>
      <w:r w:rsidR="005D770C" w:rsidRPr="002C7B68">
        <w:rPr>
          <w:rFonts w:ascii="Times New Roman" w:hAnsi="Times New Roman"/>
          <w:sz w:val="24"/>
          <w:szCs w:val="24"/>
          <w:lang w:val="en-GB"/>
        </w:rPr>
        <w:t>The current information may suggest the reappraisal of f</w:t>
      </w:r>
      <w:r w:rsidR="00185C23" w:rsidRPr="002C7B68">
        <w:rPr>
          <w:rFonts w:ascii="Times New Roman" w:hAnsi="Times New Roman"/>
          <w:sz w:val="24"/>
          <w:szCs w:val="24"/>
          <w:lang w:val="en-GB"/>
        </w:rPr>
        <w:t>osfomycin susceptibility breakpoints.</w:t>
      </w:r>
    </w:p>
    <w:p w14:paraId="7322D3B0" w14:textId="6195E490" w:rsidR="00CE7AF9" w:rsidRPr="002C7B68" w:rsidRDefault="00CE7AF9" w:rsidP="005D770C">
      <w:pPr>
        <w:autoSpaceDE w:val="0"/>
        <w:autoSpaceDN w:val="0"/>
        <w:adjustRightInd w:val="0"/>
        <w:spacing w:after="0" w:line="480" w:lineRule="auto"/>
        <w:jc w:val="both"/>
        <w:rPr>
          <w:rFonts w:ascii="Times New Roman" w:hAnsi="Times New Roman"/>
          <w:b/>
          <w:sz w:val="24"/>
          <w:szCs w:val="24"/>
          <w:lang w:val="en-GB"/>
        </w:rPr>
      </w:pPr>
      <w:r w:rsidRPr="002C7B68">
        <w:rPr>
          <w:rFonts w:ascii="Times New Roman" w:hAnsi="Times New Roman"/>
          <w:b/>
          <w:sz w:val="24"/>
          <w:szCs w:val="24"/>
          <w:lang w:val="en-GB"/>
        </w:rPr>
        <w:br w:type="page"/>
      </w:r>
    </w:p>
    <w:p w14:paraId="25D90FF9" w14:textId="02A79C46" w:rsidR="00A861DB" w:rsidRPr="002C7B68" w:rsidRDefault="002A1DFF" w:rsidP="00A861DB">
      <w:pPr>
        <w:rPr>
          <w:rFonts w:ascii="Times New Roman" w:hAnsi="Times New Roman"/>
          <w:b/>
          <w:sz w:val="24"/>
          <w:szCs w:val="24"/>
          <w:lang w:val="en-GB"/>
        </w:rPr>
      </w:pPr>
      <w:r w:rsidRPr="002C7B68">
        <w:rPr>
          <w:rFonts w:ascii="Times New Roman" w:hAnsi="Times New Roman"/>
          <w:b/>
          <w:sz w:val="24"/>
          <w:szCs w:val="24"/>
          <w:lang w:val="en-GB"/>
        </w:rPr>
        <w:lastRenderedPageBreak/>
        <w:t>INTRODUCTION</w:t>
      </w:r>
    </w:p>
    <w:p w14:paraId="3BAF94B8" w14:textId="265225CC" w:rsidR="006509AE" w:rsidRPr="002C7B68" w:rsidRDefault="00550FE4" w:rsidP="007F587E">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 xml:space="preserve">Fosfomycin is a </w:t>
      </w:r>
      <w:r w:rsidR="005708B4" w:rsidRPr="002C7B68">
        <w:rPr>
          <w:rFonts w:ascii="Times New Roman" w:hAnsi="Times New Roman"/>
          <w:sz w:val="24"/>
          <w:szCs w:val="24"/>
          <w:lang w:val="en-GB"/>
        </w:rPr>
        <w:t xml:space="preserve">cell wall </w:t>
      </w:r>
      <w:r w:rsidR="007F587E" w:rsidRPr="002C7B68">
        <w:rPr>
          <w:rFonts w:ascii="Times New Roman" w:hAnsi="Times New Roman"/>
          <w:sz w:val="24"/>
          <w:szCs w:val="24"/>
          <w:lang w:val="en-GB"/>
        </w:rPr>
        <w:t>synthesis</w:t>
      </w:r>
      <w:r w:rsidR="005708B4" w:rsidRPr="002C7B68">
        <w:rPr>
          <w:rFonts w:ascii="Times New Roman" w:hAnsi="Times New Roman"/>
          <w:sz w:val="24"/>
          <w:szCs w:val="24"/>
          <w:lang w:val="en-GB"/>
        </w:rPr>
        <w:t xml:space="preserve"> inhibitor with broad spectrum antimicrobial </w:t>
      </w:r>
      <w:r w:rsidRPr="002C7B68">
        <w:rPr>
          <w:rFonts w:ascii="Times New Roman" w:hAnsi="Times New Roman"/>
          <w:sz w:val="24"/>
          <w:szCs w:val="24"/>
          <w:lang w:val="en-GB"/>
        </w:rPr>
        <w:t xml:space="preserve">activity </w:t>
      </w:r>
      <w:r w:rsidR="009027DE" w:rsidRPr="002C7B68">
        <w:rPr>
          <w:rFonts w:ascii="Times New Roman" w:hAnsi="Times New Roman"/>
          <w:sz w:val="24"/>
          <w:szCs w:val="24"/>
          <w:lang w:val="en-GB"/>
        </w:rPr>
        <w:fldChar w:fldCharType="begin" w:fldLock="1"/>
      </w:r>
      <w:r w:rsidR="007B72C6" w:rsidRPr="002C7B68">
        <w:rPr>
          <w:rFonts w:ascii="Times New Roman" w:hAnsi="Times New Roman"/>
          <w:sz w:val="24"/>
          <w:szCs w:val="24"/>
          <w:lang w:val="en-GB"/>
        </w:rPr>
        <w:instrText>ADDIN CSL_CITATION { "citationItems" : [ { "id" : "ITEM-1", "itemData" : { "author" : [ { "dropping-particle" : "", "family" : "Casta\u00f1eda-Garc\u00eda A, Bl\u00e1zquez J", "given" : "Rodr\u00edguez-Rojas A.", "non-dropping-particle" : "", "parse-names" : false, "suffix" : "" } ], "container-title" : "Antibiotics", "id" : "ITEM-1", "issued" : { "date-parts" : [ [ "2013" ] ] }, "page" : "217-36", "title" : "Molecular Mechanisms and Clinical Impact of Acquired and Intrinsic Fosfomycin Resistance", "type" : "article-journal", "volume" : "16" }, "uris" : [ "http://www.mendeley.com/documents/?uuid=9cd94cc1-f02d-4388-ac0d-6c6900cd0510" ] } ], "mendeley" : { "formattedCitation" : "[1]", "plainTextFormattedCitation" : "[1]", "previouslyFormattedCitation" : "[1]" }, "properties" : {  }, "schema" : "https://github.com/citation-style-language/schema/raw/master/csl-citation.json" }</w:instrText>
      </w:r>
      <w:r w:rsidR="009027DE" w:rsidRPr="002C7B68">
        <w:rPr>
          <w:rFonts w:ascii="Times New Roman" w:hAnsi="Times New Roman"/>
          <w:sz w:val="24"/>
          <w:szCs w:val="24"/>
          <w:lang w:val="en-GB"/>
        </w:rPr>
        <w:fldChar w:fldCharType="separate"/>
      </w:r>
      <w:r w:rsidR="009027DE" w:rsidRPr="002C7B68">
        <w:rPr>
          <w:rFonts w:ascii="Times New Roman" w:hAnsi="Times New Roman"/>
          <w:noProof/>
          <w:sz w:val="24"/>
          <w:szCs w:val="24"/>
          <w:lang w:val="en-GB"/>
        </w:rPr>
        <w:t>[1]</w:t>
      </w:r>
      <w:r w:rsidR="009027DE" w:rsidRPr="002C7B68">
        <w:rPr>
          <w:rFonts w:ascii="Times New Roman" w:hAnsi="Times New Roman"/>
          <w:sz w:val="24"/>
          <w:szCs w:val="24"/>
          <w:lang w:val="en-GB"/>
        </w:rPr>
        <w:fldChar w:fldCharType="end"/>
      </w:r>
      <w:r w:rsidR="00071AA9" w:rsidRPr="002C7B68">
        <w:rPr>
          <w:rFonts w:ascii="Times New Roman" w:hAnsi="Times New Roman"/>
          <w:sz w:val="24"/>
          <w:szCs w:val="24"/>
          <w:lang w:val="en-GB"/>
        </w:rPr>
        <w:t>.</w:t>
      </w:r>
      <w:r w:rsidR="005765DC" w:rsidRPr="002C7B68">
        <w:rPr>
          <w:rFonts w:ascii="Times New Roman" w:hAnsi="Times New Roman"/>
          <w:sz w:val="24"/>
          <w:szCs w:val="24"/>
          <w:lang w:val="en-GB"/>
        </w:rPr>
        <w:t xml:space="preserve"> </w:t>
      </w:r>
      <w:r w:rsidR="005708B4" w:rsidRPr="002C7B68">
        <w:rPr>
          <w:rFonts w:ascii="Times New Roman" w:hAnsi="Times New Roman"/>
          <w:sz w:val="24"/>
          <w:szCs w:val="24"/>
          <w:lang w:val="en-GB"/>
        </w:rPr>
        <w:t>S</w:t>
      </w:r>
      <w:r w:rsidR="007E7A74" w:rsidRPr="002C7B68">
        <w:rPr>
          <w:rFonts w:ascii="Times New Roman" w:hAnsi="Times New Roman"/>
          <w:sz w:val="24"/>
          <w:szCs w:val="24"/>
          <w:lang w:val="en-GB"/>
        </w:rPr>
        <w:t xml:space="preserve">tudies </w:t>
      </w:r>
      <w:r w:rsidR="005708B4" w:rsidRPr="002C7B68">
        <w:rPr>
          <w:rFonts w:ascii="Times New Roman" w:hAnsi="Times New Roman"/>
          <w:sz w:val="24"/>
          <w:szCs w:val="24"/>
          <w:lang w:val="en-GB"/>
        </w:rPr>
        <w:t xml:space="preserve">from multiple countries </w:t>
      </w:r>
      <w:r w:rsidR="007E7A74" w:rsidRPr="002C7B68">
        <w:rPr>
          <w:rFonts w:ascii="Times New Roman" w:hAnsi="Times New Roman"/>
          <w:sz w:val="24"/>
          <w:szCs w:val="24"/>
          <w:lang w:val="en-GB"/>
        </w:rPr>
        <w:t xml:space="preserve">have </w:t>
      </w:r>
      <w:r w:rsidR="00166D61" w:rsidRPr="002C7B68">
        <w:rPr>
          <w:rFonts w:ascii="Times New Roman" w:hAnsi="Times New Roman"/>
          <w:sz w:val="24"/>
          <w:szCs w:val="24"/>
          <w:lang w:val="en-GB"/>
        </w:rPr>
        <w:t>consistently</w:t>
      </w:r>
      <w:r w:rsidR="00972A09" w:rsidRPr="002C7B68">
        <w:rPr>
          <w:rFonts w:ascii="Times New Roman" w:hAnsi="Times New Roman"/>
          <w:sz w:val="24"/>
          <w:szCs w:val="24"/>
          <w:lang w:val="en-GB"/>
        </w:rPr>
        <w:t xml:space="preserve"> demonstrated </w:t>
      </w:r>
      <w:r w:rsidR="007E7A74" w:rsidRPr="002C7B68">
        <w:rPr>
          <w:rFonts w:ascii="Times New Roman" w:hAnsi="Times New Roman"/>
          <w:sz w:val="24"/>
          <w:szCs w:val="24"/>
          <w:lang w:val="en-GB"/>
        </w:rPr>
        <w:t xml:space="preserve">high </w:t>
      </w:r>
      <w:r w:rsidR="00972A09" w:rsidRPr="002C7B68">
        <w:rPr>
          <w:rFonts w:ascii="Times New Roman" w:hAnsi="Times New Roman"/>
          <w:sz w:val="24"/>
          <w:szCs w:val="24"/>
          <w:lang w:val="en-GB"/>
        </w:rPr>
        <w:t xml:space="preserve">rates of </w:t>
      </w:r>
      <w:r w:rsidR="007E7A74" w:rsidRPr="002C7B68">
        <w:rPr>
          <w:rFonts w:ascii="Times New Roman" w:hAnsi="Times New Roman"/>
          <w:sz w:val="24"/>
          <w:szCs w:val="24"/>
          <w:lang w:val="en-GB"/>
        </w:rPr>
        <w:t xml:space="preserve">susceptibility </w:t>
      </w:r>
      <w:r w:rsidR="00972A09" w:rsidRPr="002C7B68">
        <w:rPr>
          <w:rFonts w:ascii="Times New Roman" w:hAnsi="Times New Roman"/>
          <w:sz w:val="24"/>
          <w:szCs w:val="24"/>
          <w:lang w:val="en-GB"/>
        </w:rPr>
        <w:t>of</w:t>
      </w:r>
      <w:r w:rsidR="007E7A74" w:rsidRPr="002C7B68">
        <w:rPr>
          <w:rFonts w:ascii="Times New Roman" w:hAnsi="Times New Roman"/>
          <w:sz w:val="24"/>
          <w:szCs w:val="24"/>
          <w:lang w:val="en-GB"/>
        </w:rPr>
        <w:t xml:space="preserve"> ESBL- and carbapenemase-producing Enterobacteriaceae </w:t>
      </w:r>
      <w:r w:rsidR="002122DC" w:rsidRPr="002C7B68">
        <w:rPr>
          <w:rFonts w:ascii="Times New Roman" w:hAnsi="Times New Roman"/>
          <w:sz w:val="24"/>
          <w:szCs w:val="24"/>
          <w:lang w:val="en-GB"/>
        </w:rPr>
        <w:fldChar w:fldCharType="begin" w:fldLock="1"/>
      </w:r>
      <w:r w:rsidR="007B72C6" w:rsidRPr="002C7B68">
        <w:rPr>
          <w:rFonts w:ascii="Times New Roman" w:hAnsi="Times New Roman"/>
          <w:sz w:val="24"/>
          <w:szCs w:val="24"/>
          <w:lang w:val="en-GB"/>
        </w:rPr>
        <w:instrText>ADDIN CSL_CITATION { "citationItems" : [ { "id" : "ITEM-1", "itemData" : { "DOI" : "10.1128/JCM.03484-13", "ISSN" : "0095-1137", "author" : [ { "dropping-particle" : "", "family" : "Kaase", "given" : "Martin", "non-dropping-particle" : "", "parse-names" : false, "suffix" : "" }, { "dropping-particle" : "", "family" : "Szabados", "given" : "Florian", "non-dropping-particle" : "", "parse-names" : false, "suffix" : "" }, { "dropping-particle" : "", "family" : "Anders", "given" : "Agnes", "non-dropping-particle" : "", "parse-names" : false, "suffix" : "" }, { "dropping-particle" : "", "family" : "Gatermann", "given" : "S. G.", "non-dropping-particle" : "", "parse-names" : false, "suffix" : "" } ], "container-title" : "Journal of Clinical Microbiology", "id" : "ITEM-1", "issue" : "6", "issued" : { "date-parts" : [ [ "2014", "6", "1" ] ] }, "page" : "1893-1897", "title" : "Fosfomycin Susceptibility in Carbapenem-Resistant Enterobacteriaceae from Germany", "type" : "article-journal", "volume" : "52" }, "uris" : [ "http://www.mendeley.com/documents/?uuid=62244376-6b45-4092-8cfd-ca80a654546e" ] }, { "id" : "ITEM-2", "itemData" : { "DOI" : "10.1016/j.ijantimicag.2009.10.019", "ISSN" : "1872-7913", "PMID" : "20034765", "abstract" : "The advancing antimicrobial drug resistance among Enterobacteriaceae renders the evaluation of potential novel therapeutic options necessary. We sought to evaluate the in vitro antimicrobial activity of fosfomycin against multidrug-resistant (MDR) Enterobacteriaceae isolates. Antimicrobial susceptibility to fosfomycin and 12 additional antibiotics of MDR Enterobacteriaceae isolates collected between November 2007 and April 2009 at the University Hospital of Heraklion, Crete, Greece, was examined using the Etest method. A total of 152 MDR Enterobacteriaceae isolates were studied, including Klebsiella pneumoniae (76.3%), Escherichia coli (17.1%), Proteus mirabilis (4.6%) and other species (2.0%). Antimicrobial susceptibility rates were highest for fosfomycin (92.8%), tigecycline (92.1%) and colistin (73.0%) followed by imipenem (35.5%), tetracycline (20.4%), gentamicin (19.7%), trimethoprim/sulfamethoxazole (12.5%) and ciprofloxacin (10.5%). Of the 152 isolates, 85 (55.9%) were extensively drug-resistant (XDR), of which 78 (91.8%) remained susceptible to fosfomycin. Susceptibility to fosfomycin of the 79 carbapenemase-producing, 34 extended-spectrum beta-lactamase-producing and 24 metallo-beta-lactamase-producing isolates was 94.9%, 94.1% and 83.3%, respectively. In conclusion, in this study fosfomycin exhibited good in vitro antimicrobial activity against MDR and XDR Enterobacteriaceae. We suggest further evaluation of the potential clinical utility of fosfomycin against infections caused by these pathogens.", "author" : [ { "dropping-particle" : "", "family" : "Falagas", "given" : "Matthew E", "non-dropping-particle" : "", "parse-names" : false, "suffix" : "" }, { "dropping-particle" : "", "family" : "Maraki", "given" : "Sofia", "non-dropping-particle" : "", "parse-names" : false, "suffix" : "" }, { "dropping-particle" : "", "family" : "Karageorgopoulos", "given" : "Drosos E", "non-dropping-particle" : "", "parse-names" : false, "suffix" : "" }, { "dropping-particle" : "", "family" : "Kastoris", "given" : "Antonia C", "non-dropping-particle" : "", "parse-names" : false, "suffix" : "" }, { "dropping-particle" : "", "family" : "Mavromanolakis", "given" : "Emmanuel", "non-dropping-particle" : "", "parse-names" : false, "suffix" : "" }, { "dropping-particle" : "", "family" : "Samonis", "given" : "George", "non-dropping-particle" : "", "parse-names" : false, "suffix" : "" } ], "container-title" : "International journal of antimicrobial agents", "id" : "ITEM-2", "issue" : "3", "issued" : { "date-parts" : [ [ "2010", "3" ] ] }, "page" : "240-3", "title" : "Antimicrobial susceptibility of multidrug-resistant (MDR) and extensively drug-resistant (XDR) Enterobacteriaceae isolates to fosfomycin.", "type" : "article-journal", "volume" : "35" }, "uris" : [ "http://www.mendeley.com/documents/?uuid=ed51e245-a77a-41c8-b8ac-d50fc4db2d3a" ] }, { "id" : "ITEM-3", "itemData" : { "DOI" : "10.1371/journal.pone.0135269", "ISSN" : "1932-6203", "PMID" : "26252888", "abstract" : "Escherichia coli is one of the most common pathogens in nosocomial and community-acquired infections in humans. Fosfomycin is a broad-spectrum antibiotic which inhibits peptidoglycan synthesis responsible for bacterial cell wall formation. Although low, the exact E. coli susceptibility to fosfomycin as well as the mechanisms of resistance in the population from Mainland China are mostly unknown. 1109 non-duplicate clinical E. coli strains isolated from urine, sputum, blood and pus samples in 20 widely dispersed tertiary hospitals from Mainland China were collected from July 2009 to June 2010, followed by determination of minimum inhibitory concentrations of fosfomycin. Detection of the murA, glpT, uhpT, fosA, fosA3 and fosC genes was performed in fosfomycin non-susceptible E. coli strains and conjugation experiments were employed to determine the mobility of fosA3 gene. In this study, 7.8% (86/1109) E. coli strains were fosfomycin non-susceptible. Amino acid substitutions in GlpT and MurA were found in six and four E.coli strains, respectively, while the uhpT gene was absent in eighteen E.coli strains. Twenty-nine isolates carried the transferable plasmid with the fosA3 gene at high frequencies of around 10(-6) to 10(-7) per donor cell in broth mating. The majority of isolates were susceptible to fosfomycin, showing that the drug is still viable in clinical applications. Also, the main mechanism of E. coli resistance in Mainland China was found to be due to the presence of the fosA3 gene.", "author" : [ { "dropping-particle" : "", "family" : "Li", "given" : "Yun Ya", "non-dropping-particle" : "", "parse-names" : false, "suffix" : "" }, { "dropping-particle" : "", "family" : "Zheng", "given" : "Bo", "non-dropping-particle" : "", "parse-names" : false, "suffix" : "" }, { "dropping-particle" : "", "family" : "Li", "given" : "Yun Ya", "non-dropping-particle" : "", "parse-names" : false, "suffix" : "" }, { "dropping-particle" : "", "family" : "Zhu", "given" : "Sainan", "non-dropping-particle" : "", "parse-names" : false, "suffix" : "" }, { "dropping-particle" : "", "family" : "Xue", "given" : "Feng", "non-dropping-particle" : "", "parse-names" : false, "suffix" : "" }, { "dropping-particle" : "", "family" : "Liu", "given" : "Jian", "non-dropping-particle" : "", "parse-names" : false, "suffix" : "" } ], "container-title" : "PloS one", "id" : "ITEM-3", "issue" : "8", "issued" : { "date-parts" : [ [ "2015" ] ] }, "page" : "e0135269", "title" : "Antimicrobial Susceptibility and Molecular Mechanisms of Fosfomycin Resistance in Clinical Escherichia coli Isolates in Mainland China.", "type" : "article-journal", "volume" : "10" }, "uris" : [ "http://www.mendeley.com/documents/?uuid=613b6fdd-7ffd-4b86-84c9-f3e2263b270e" ] } ], "mendeley" : { "formattedCitation" : "[2\u20134]", "plainTextFormattedCitation" : "[2\u20134]", "previouslyFormattedCitation" : "[2\u20134]" }, "properties" : {  }, "schema" : "https://github.com/citation-style-language/schema/raw/master/csl-citation.json" }</w:instrText>
      </w:r>
      <w:r w:rsidR="002122DC" w:rsidRPr="002C7B68">
        <w:rPr>
          <w:rFonts w:ascii="Times New Roman" w:hAnsi="Times New Roman"/>
          <w:sz w:val="24"/>
          <w:szCs w:val="24"/>
          <w:lang w:val="en-GB"/>
        </w:rPr>
        <w:fldChar w:fldCharType="separate"/>
      </w:r>
      <w:r w:rsidR="002122DC" w:rsidRPr="002C7B68">
        <w:rPr>
          <w:rFonts w:ascii="Times New Roman" w:hAnsi="Times New Roman"/>
          <w:noProof/>
          <w:sz w:val="24"/>
          <w:szCs w:val="24"/>
          <w:lang w:val="en-GB"/>
        </w:rPr>
        <w:t>[2–4]</w:t>
      </w:r>
      <w:r w:rsidR="002122DC" w:rsidRPr="002C7B68">
        <w:rPr>
          <w:rFonts w:ascii="Times New Roman" w:hAnsi="Times New Roman"/>
          <w:sz w:val="24"/>
          <w:szCs w:val="24"/>
          <w:lang w:val="en-GB"/>
        </w:rPr>
        <w:fldChar w:fldCharType="end"/>
      </w:r>
      <w:r w:rsidR="00972A09" w:rsidRPr="002C7B68">
        <w:rPr>
          <w:rFonts w:ascii="Times New Roman" w:hAnsi="Times New Roman"/>
          <w:sz w:val="24"/>
          <w:szCs w:val="24"/>
          <w:lang w:val="en-GB"/>
        </w:rPr>
        <w:t xml:space="preserve"> to fosfomycin</w:t>
      </w:r>
      <w:r w:rsidR="00071AA9" w:rsidRPr="002C7B68">
        <w:rPr>
          <w:rFonts w:ascii="Times New Roman" w:hAnsi="Times New Roman"/>
          <w:sz w:val="24"/>
          <w:szCs w:val="24"/>
          <w:lang w:val="en-GB"/>
        </w:rPr>
        <w:t>.</w:t>
      </w:r>
      <w:r w:rsidR="00D40F19" w:rsidRPr="002C7B68">
        <w:rPr>
          <w:rFonts w:ascii="Times New Roman" w:hAnsi="Times New Roman"/>
          <w:sz w:val="24"/>
          <w:szCs w:val="24"/>
          <w:lang w:val="en-GB"/>
        </w:rPr>
        <w:t xml:space="preserve"> </w:t>
      </w:r>
      <w:r w:rsidR="007E7A74" w:rsidRPr="002C7B68">
        <w:rPr>
          <w:rFonts w:ascii="Times New Roman" w:hAnsi="Times New Roman"/>
          <w:sz w:val="24"/>
          <w:szCs w:val="24"/>
          <w:lang w:val="en-GB"/>
        </w:rPr>
        <w:t xml:space="preserve">Due to the </w:t>
      </w:r>
      <w:r w:rsidR="005708B4" w:rsidRPr="002C7B68">
        <w:rPr>
          <w:rFonts w:ascii="Times New Roman" w:hAnsi="Times New Roman"/>
          <w:sz w:val="24"/>
          <w:szCs w:val="24"/>
          <w:lang w:val="en-GB"/>
        </w:rPr>
        <w:t xml:space="preserve">paucity </w:t>
      </w:r>
      <w:r w:rsidR="007E7A74" w:rsidRPr="002C7B68">
        <w:rPr>
          <w:rFonts w:ascii="Times New Roman" w:hAnsi="Times New Roman"/>
          <w:sz w:val="24"/>
          <w:szCs w:val="24"/>
          <w:lang w:val="en-GB"/>
        </w:rPr>
        <w:t>of active compounds</w:t>
      </w:r>
      <w:r w:rsidR="00D40F19" w:rsidRPr="002C7B68">
        <w:rPr>
          <w:rFonts w:ascii="Times New Roman" w:hAnsi="Times New Roman"/>
          <w:sz w:val="24"/>
          <w:szCs w:val="24"/>
          <w:lang w:val="en-GB"/>
        </w:rPr>
        <w:t>, fosfomycin has been suggested</w:t>
      </w:r>
      <w:r w:rsidR="005765DC" w:rsidRPr="002C7B68">
        <w:rPr>
          <w:rFonts w:ascii="Times New Roman" w:hAnsi="Times New Roman"/>
          <w:sz w:val="24"/>
          <w:szCs w:val="24"/>
          <w:lang w:val="en-GB"/>
        </w:rPr>
        <w:t xml:space="preserve"> as a potential treatment </w:t>
      </w:r>
      <w:r w:rsidR="00D40F19" w:rsidRPr="002C7B68">
        <w:rPr>
          <w:rFonts w:ascii="Times New Roman" w:hAnsi="Times New Roman"/>
          <w:sz w:val="24"/>
          <w:szCs w:val="24"/>
          <w:lang w:val="en-GB"/>
        </w:rPr>
        <w:t xml:space="preserve">for severe </w:t>
      </w:r>
      <w:r w:rsidR="005765DC" w:rsidRPr="002C7B68">
        <w:rPr>
          <w:rFonts w:ascii="Times New Roman" w:hAnsi="Times New Roman"/>
          <w:sz w:val="24"/>
          <w:szCs w:val="24"/>
          <w:lang w:val="en-GB"/>
        </w:rPr>
        <w:t>infections caused by multidrug-resistant Enterobacteriaceae</w:t>
      </w:r>
      <w:r w:rsidR="009027DE" w:rsidRPr="002C7B68">
        <w:rPr>
          <w:rFonts w:ascii="Times New Roman" w:hAnsi="Times New Roman"/>
          <w:sz w:val="24"/>
          <w:szCs w:val="24"/>
          <w:lang w:val="en-GB"/>
        </w:rPr>
        <w:t xml:space="preserve"> </w:t>
      </w:r>
      <w:r w:rsidR="009027DE" w:rsidRPr="002C7B68">
        <w:rPr>
          <w:rFonts w:ascii="Times New Roman" w:hAnsi="Times New Roman"/>
          <w:sz w:val="24"/>
          <w:szCs w:val="24"/>
          <w:lang w:val="en-GB"/>
        </w:rPr>
        <w:fldChar w:fldCharType="begin" w:fldLock="1"/>
      </w:r>
      <w:r w:rsidR="007B72C6" w:rsidRPr="002C7B68">
        <w:rPr>
          <w:rFonts w:ascii="Times New Roman" w:hAnsi="Times New Roman"/>
          <w:sz w:val="24"/>
          <w:szCs w:val="24"/>
          <w:lang w:val="en-GB"/>
        </w:rPr>
        <w:instrText>ADDIN CSL_CITATION { "citationItems" : [ { "id" : "ITEM-1", "itemData" : { "DOI" : "10.1128/AAC.00752-15", "ISSN" : "10986596", "PMID" : "26124169", "abstract" : "The aim of this study was to improve the understanding of the pharmacokinetic-pharmacodynamic relationships of fosfomycin against extended-spectrum beta-lactamase (ESBL)-producing Escherichia coli strains that have different fosfomycin MICs. Our methods included the use of a hollow fiber infection model with three clinical ESBL-producing E. coli strains. Human fosfomycin pharmacokinetic profiles were simulated over 4 days. Preliminary studies conducted to determine the dose ranges, including the dose ranges that suppressed the development of drug-resistant mutants, were conducted with regimens from 12 g/day to 36 g/day. The combination of fosfomycin at 4 g every 8 h (q8h) and meropenem at 1 g/q8h was selected for further assessment. The total bacterial population and the resistant subpopulations were determined. No efficacy was observed against the Ec42444 strain (fosfomycin MIC, 64 mg/liter) at doses of 12, 24, or 36 g/day. All dosages induced at least initial bacterial killing against Ec46 (fosfomycin MIC, 1 mg/liter). High-level drug-resistant mutants appeared in this strain in response to 12, 15, and 18 g/day. In the study arms that included 24 g/day, once or in a divided dose, a complete extinction of the bacterial inoculum was observed. The combination of meropenem with fosfomycin was synergistic for bacterial killing and also suppressed all fosfomycin-resistant clones of Ec2974 (fosfomycin MIC, 1 mg/liter). We conclude that fosfomycin susceptibility breakpoints (\u226464 mg/liter according to CLSI [for E. coli urinary tract infections only]) should be revised for the treatment of serious systemic infections. Fosfomycin can be used to treat infections caused by organisms that demonstrate lower MICs and lower bacterial densities, although relatively high daily dosages (i.e., 24 g/day) are required to prevent the emergence of bacterial resistance. The ratio of the area under the concentration-time curve for the free, unbound fraction of fosfomycin versus the MIC (fAUC/MIC) appears to be the dynamically linked index of suppression of bacterial resistance. Fosfomycin with meropenem can act synergistically against E. coli strains in preventing the emergence of fosfomycin resistance.", "author" : [ { "dropping-particle" : "", "family" : "Docobo-P\u00e9rez", "given" : "F.", "non-dropping-particle" : "", "parse-names" : false, "suffix" : "" }, { "dropping-particle" : "", "family" : "Drusano", "given" : "G. L.", "non-dropping-particle" : "", "parse-names" : false, "suffix" : "" }, { "dropping-particle" : "", "family" : "Johnson", "given" : "A.", "non-dropping-particle" : "", "parse-names" : false, "suffix" : "" }, { "dropping-particle" : "", "family" : "Goodwin", "given" : "J.", "non-dropping-particle" : "", "parse-names" : false, "suffix" : "" }, { "dropping-particle" : "", "family" : "Whalley", "given" : "S.", "non-dropping-particle" : "", "parse-names" : false, "suffix" : "" }, { "dropping-particle" : "", "family" : "Ramos-Mart\u00edn", "given" : "V.", "non-dropping-particle" : "", "parse-names" : false, "suffix" : "" }, { "dropping-particle" : "", "family" : "Ballestero-Tellez", "given" : "M.", "non-dropping-particle" : "", "parse-names" : false, "suffix" : "" }, { "dropping-particle" : "", "family" : "Rodriguez-Martinez", "given" : "J. M.", "non-dropping-particle" : "", "parse-names" : false, "suffix" : "" }, { "dropping-particle" : "", "family" : "Conejo", "given" : "M. C.", "non-dropping-particle" : "", "parse-names" : false, "suffix" : "" }, { "dropping-particle" : "", "family" : "Guilder", "given" : "M.", "non-dropping-particle" : "Van", "parse-names" : false, "suffix" : "" }, { "dropping-particle" : "", "family" : "Rodr\u00edguez-Ba\u00f1o", "given" : "J.", "non-dropping-particle" : "", "parse-names" : false, "suffix" : "" }, { "dropping-particle" : "", "family" : "Pascual", "given" : "A.", "non-dropping-particle" : "", "parse-names" : false, "suffix" : "" }, { "dropping-particle" : "", "family" : "Hope", "given" : "W. W.", "non-dropping-particle" : "", "parse-names" : false, "suffix" : "" } ], "container-title" : "Antimicrobial Agents and Chemotherapy", "id" : "ITEM-1", "issue" : "9", "issued" : { "date-parts" : [ [ "2015", "9" ] ] }, "page" : "5602-5610", "title" : "Pharmacodynamics of fosfomycin: Insights into clinical use for antimicrobial resistance", "type" : "article-journal", "volume" : "59" }, "uris" : [ "http://www.mendeley.com/documents/?uuid=b5bdd729-09ba-40fa-91af-ebe0c999dd2e" ] } ], "mendeley" : { "formattedCitation" : "[5]", "plainTextFormattedCitation" : "[5]", "previouslyFormattedCitation" : "[5]" }, "properties" : {  }, "schema" : "https://github.com/citation-style-language/schema/raw/master/csl-citation.json" }</w:instrText>
      </w:r>
      <w:r w:rsidR="009027DE" w:rsidRPr="002C7B68">
        <w:rPr>
          <w:rFonts w:ascii="Times New Roman" w:hAnsi="Times New Roman"/>
          <w:sz w:val="24"/>
          <w:szCs w:val="24"/>
          <w:lang w:val="en-GB"/>
        </w:rPr>
        <w:fldChar w:fldCharType="separate"/>
      </w:r>
      <w:r w:rsidR="002122DC" w:rsidRPr="002C7B68">
        <w:rPr>
          <w:rFonts w:ascii="Times New Roman" w:hAnsi="Times New Roman"/>
          <w:noProof/>
          <w:sz w:val="24"/>
          <w:szCs w:val="24"/>
          <w:lang w:val="en-GB"/>
        </w:rPr>
        <w:t>[5]</w:t>
      </w:r>
      <w:r w:rsidR="009027DE" w:rsidRPr="002C7B68">
        <w:rPr>
          <w:rFonts w:ascii="Times New Roman" w:hAnsi="Times New Roman"/>
          <w:sz w:val="24"/>
          <w:szCs w:val="24"/>
          <w:lang w:val="en-GB"/>
        </w:rPr>
        <w:fldChar w:fldCharType="end"/>
      </w:r>
      <w:r w:rsidR="00071AA9" w:rsidRPr="002C7B68">
        <w:rPr>
          <w:rFonts w:ascii="Times New Roman" w:hAnsi="Times New Roman"/>
          <w:sz w:val="24"/>
          <w:szCs w:val="24"/>
          <w:lang w:val="en-GB"/>
        </w:rPr>
        <w:t>.</w:t>
      </w:r>
      <w:r w:rsidR="005765DC" w:rsidRPr="002C7B68">
        <w:rPr>
          <w:rFonts w:ascii="Times New Roman" w:hAnsi="Times New Roman"/>
          <w:sz w:val="24"/>
          <w:szCs w:val="24"/>
          <w:lang w:val="en-GB"/>
        </w:rPr>
        <w:t xml:space="preserve"> </w:t>
      </w:r>
      <w:r w:rsidR="005708B4" w:rsidRPr="002C7B68">
        <w:rPr>
          <w:rFonts w:ascii="Times New Roman" w:hAnsi="Times New Roman"/>
          <w:sz w:val="24"/>
          <w:szCs w:val="24"/>
          <w:lang w:val="en-GB"/>
        </w:rPr>
        <w:t>The o</w:t>
      </w:r>
      <w:r w:rsidR="00B629FD" w:rsidRPr="002C7B68">
        <w:rPr>
          <w:rFonts w:ascii="Times New Roman" w:hAnsi="Times New Roman"/>
          <w:sz w:val="24"/>
          <w:szCs w:val="24"/>
          <w:lang w:val="en-GB"/>
        </w:rPr>
        <w:t>ral formulation of fosfomycin has been widely use</w:t>
      </w:r>
      <w:r w:rsidR="00612793" w:rsidRPr="002C7B68">
        <w:rPr>
          <w:rFonts w:ascii="Times New Roman" w:hAnsi="Times New Roman"/>
          <w:sz w:val="24"/>
          <w:szCs w:val="24"/>
          <w:lang w:val="en-GB"/>
        </w:rPr>
        <w:t>d</w:t>
      </w:r>
      <w:r w:rsidR="00B629FD" w:rsidRPr="002C7B68">
        <w:rPr>
          <w:rFonts w:ascii="Times New Roman" w:hAnsi="Times New Roman"/>
          <w:sz w:val="24"/>
          <w:szCs w:val="24"/>
          <w:lang w:val="en-GB"/>
        </w:rPr>
        <w:t xml:space="preserve"> for the treatment of acute uncomplicated urinary tract infection</w:t>
      </w:r>
      <w:r w:rsidR="00EC405F" w:rsidRPr="002C7B68">
        <w:rPr>
          <w:rFonts w:ascii="Times New Roman" w:hAnsi="Times New Roman"/>
          <w:sz w:val="24"/>
          <w:szCs w:val="24"/>
          <w:lang w:val="en-GB"/>
        </w:rPr>
        <w:t xml:space="preserve"> </w:t>
      </w:r>
      <w:r w:rsidR="00EC405F" w:rsidRPr="002C7B68">
        <w:rPr>
          <w:rFonts w:ascii="Times New Roman" w:hAnsi="Times New Roman"/>
          <w:sz w:val="24"/>
          <w:szCs w:val="24"/>
          <w:lang w:val="en-GB"/>
        </w:rPr>
        <w:fldChar w:fldCharType="begin" w:fldLock="1"/>
      </w:r>
      <w:r w:rsidR="007B72C6" w:rsidRPr="002C7B68">
        <w:rPr>
          <w:rFonts w:ascii="Times New Roman" w:hAnsi="Times New Roman"/>
          <w:sz w:val="24"/>
          <w:szCs w:val="24"/>
          <w:lang w:val="en-GB"/>
        </w:rPr>
        <w:instrText>ADDIN CSL_CITATION { "citationItems" : [ { "id" : "ITEM-1", "itemData" : { "DOI" : "10.1093/cid/ciq257", "ISSN" : "1058-4838", "author" : [ { "dropping-particle" : "", "family" : "Gupta", "given" : "K.", "non-dropping-particle" : "", "parse-names" : false, "suffix" : "" }, { "dropping-particle" : "", "family" : "Hooton", "given" : "T. M.", "non-dropping-particle" : "", "parse-names" : false, "suffix" : "" }, { "dropping-particle" : "", "family" : "Naber", "given" : "K. G.", "non-dropping-particle" : "", "parse-names" : false, "suffix" : "" }, { "dropping-particle" : "", "family" : "Wullt", "given" : "B.", "non-dropping-particle" : "", "parse-names" : false, "suffix" : "" }, { "dropping-particle" : "", "family" : "Colgan", "given" : "R.", "non-dropping-particle" : "", "parse-names" : false, "suffix" : "" }, { "dropping-particle" : "", "family" : "Miller", "given" : "L. G.", "non-dropping-particle" : "", "parse-names" : false, "suffix" : "" }, { "dropping-particle" : "", "family" : "Moran", "given" : "G. J.", "non-dropping-particle" : "", "parse-names" : false, "suffix" : "" }, { "dropping-particle" : "", "family" : "Nicolle", "given" : "L. E.", "non-dropping-particle" : "", "parse-names" : false, "suffix" : "" }, { "dropping-particle" : "", "family" : "Raz", "given" : "R.", "non-dropping-particle" : "", "parse-names" : false, "suffix" : "" }, { "dropping-particle" : "", "family" : "Schaeffer", "given" : "A. J.", "non-dropping-particle" : "", "parse-names" : false, "suffix" : "" }, { "dropping-particle" : "", "family" : "Soper", "given" : "D. E.", "non-dropping-particle" : "", "parse-names" : false, "suffix" : "" } ], "container-title" : "Clinical Infectious Diseases", "id" : "ITEM-1", "issue" : "5", "issued" : { "date-parts" : [ [ "2011", "3", "1" ] ] }, "page" : "e103-e120", "title" : "International Clinical Practice Guidelines for the Treatment of Acute Uncomplicated Cystitis and Pyelonephritis in Women: A 2010 Update by the Infectious Diseases Society of America and the European Society for Microbiology and Infectious Diseases", "type" : "article-journal", "volume" : "52" }, "uris" : [ "http://www.mendeley.com/documents/?uuid=bfa1b5cf-82aa-4025-8dd0-9b449cacd8f9" ] } ], "mendeley" : { "formattedCitation" : "[6]", "plainTextFormattedCitation" : "[6]", "previouslyFormattedCitation" : "[6]" }, "properties" : {  }, "schema" : "https://github.com/citation-style-language/schema/raw/master/csl-citation.json" }</w:instrText>
      </w:r>
      <w:r w:rsidR="00EC405F" w:rsidRPr="002C7B68">
        <w:rPr>
          <w:rFonts w:ascii="Times New Roman" w:hAnsi="Times New Roman"/>
          <w:sz w:val="24"/>
          <w:szCs w:val="24"/>
          <w:lang w:val="en-GB"/>
        </w:rPr>
        <w:fldChar w:fldCharType="separate"/>
      </w:r>
      <w:r w:rsidR="002122DC" w:rsidRPr="002C7B68">
        <w:rPr>
          <w:rFonts w:ascii="Times New Roman" w:hAnsi="Times New Roman"/>
          <w:noProof/>
          <w:sz w:val="24"/>
          <w:szCs w:val="24"/>
          <w:lang w:val="en-GB"/>
        </w:rPr>
        <w:t>[6]</w:t>
      </w:r>
      <w:r w:rsidR="00EC405F" w:rsidRPr="002C7B68">
        <w:rPr>
          <w:rFonts w:ascii="Times New Roman" w:hAnsi="Times New Roman"/>
          <w:sz w:val="24"/>
          <w:szCs w:val="24"/>
          <w:lang w:val="en-GB"/>
        </w:rPr>
        <w:fldChar w:fldCharType="end"/>
      </w:r>
      <w:r w:rsidR="005708B4" w:rsidRPr="002C7B68">
        <w:rPr>
          <w:rFonts w:ascii="Times New Roman" w:hAnsi="Times New Roman"/>
          <w:sz w:val="24"/>
          <w:szCs w:val="24"/>
          <w:lang w:val="en-GB"/>
        </w:rPr>
        <w:t>. In contrast, there is less experience and a relative absence of quality data that supports</w:t>
      </w:r>
      <w:r w:rsidR="00B629FD" w:rsidRPr="002C7B68">
        <w:rPr>
          <w:rFonts w:ascii="Times New Roman" w:hAnsi="Times New Roman"/>
          <w:sz w:val="24"/>
          <w:szCs w:val="24"/>
          <w:lang w:val="en-GB"/>
        </w:rPr>
        <w:t xml:space="preserve"> the </w:t>
      </w:r>
      <w:r w:rsidR="005708B4" w:rsidRPr="002C7B68">
        <w:rPr>
          <w:rFonts w:ascii="Times New Roman" w:hAnsi="Times New Roman"/>
          <w:sz w:val="24"/>
          <w:szCs w:val="24"/>
          <w:lang w:val="en-GB"/>
        </w:rPr>
        <w:t xml:space="preserve">use of the </w:t>
      </w:r>
      <w:r w:rsidR="00B629FD" w:rsidRPr="002C7B68">
        <w:rPr>
          <w:rFonts w:ascii="Times New Roman" w:hAnsi="Times New Roman"/>
          <w:sz w:val="24"/>
          <w:szCs w:val="24"/>
          <w:lang w:val="en-GB"/>
        </w:rPr>
        <w:t>intravenous formulation</w:t>
      </w:r>
      <w:r w:rsidR="005708B4" w:rsidRPr="002C7B68">
        <w:rPr>
          <w:rFonts w:ascii="Times New Roman" w:hAnsi="Times New Roman"/>
          <w:sz w:val="24"/>
          <w:szCs w:val="24"/>
          <w:lang w:val="en-GB"/>
        </w:rPr>
        <w:t xml:space="preserve"> for treatment of </w:t>
      </w:r>
      <w:r w:rsidR="00C67206" w:rsidRPr="002C7B68">
        <w:rPr>
          <w:rFonts w:ascii="Times New Roman" w:hAnsi="Times New Roman"/>
          <w:sz w:val="24"/>
          <w:szCs w:val="24"/>
          <w:lang w:val="en-GB"/>
        </w:rPr>
        <w:t xml:space="preserve">invasive infections caused by </w:t>
      </w:r>
      <w:r w:rsidR="005708B4" w:rsidRPr="002C7B68">
        <w:rPr>
          <w:rFonts w:ascii="Times New Roman" w:hAnsi="Times New Roman"/>
          <w:sz w:val="24"/>
          <w:szCs w:val="24"/>
          <w:lang w:val="en-GB"/>
        </w:rPr>
        <w:t>multidrug-resistant bacteria</w:t>
      </w:r>
      <w:r w:rsidR="00B629FD" w:rsidRPr="002C7B68">
        <w:rPr>
          <w:rFonts w:ascii="Times New Roman" w:hAnsi="Times New Roman"/>
          <w:sz w:val="24"/>
          <w:szCs w:val="24"/>
          <w:lang w:val="en-GB"/>
        </w:rPr>
        <w:t xml:space="preserve"> </w:t>
      </w:r>
      <w:r w:rsidR="0084624D" w:rsidRPr="002C7B68">
        <w:rPr>
          <w:rFonts w:ascii="Times New Roman" w:hAnsi="Times New Roman"/>
          <w:sz w:val="24"/>
          <w:szCs w:val="24"/>
          <w:lang w:val="en-GB"/>
        </w:rPr>
        <w:fldChar w:fldCharType="begin" w:fldLock="1"/>
      </w:r>
      <w:r w:rsidR="007B72C6" w:rsidRPr="002C7B68">
        <w:rPr>
          <w:rFonts w:ascii="Times New Roman" w:hAnsi="Times New Roman"/>
          <w:sz w:val="24"/>
          <w:szCs w:val="24"/>
          <w:lang w:val="en-GB"/>
        </w:rPr>
        <w:instrText>ADDIN CSL_CITATION { "citationItems" : [ { "id" : "ITEM-1", "itemData" : { "DOI" : "10.1016/j.ijid.2011.07.007", "ISSN" : "1878-3511", "PMID" : "21945848", "abstract" : "Fosfomycin, originally named phosphonomycin, was discovered in Spain in 1969. There are three forms of fosfomycin: fosfomycin tromethamine (a soluble salt) and fosfomycin calcium for oral use, and fosfomycin disodium for intravenous use. Fosfomycin is a bactericidal antibiotic that interferes with cell wall synthesis in both Gram-positive and Gram-negative bacteria by inhibiting the initial step involving phosphoenolpyruvate synthetase. It has a broad spectrum of activity against a wide range of Gram-positive and Gram-negative bacteria. It is highly active against Gram-positive pathogens such as Staphylococcus aureus and Enterococcus, and against Gram-negative bacteria such as Pseudomonas aeruginosa and Klebsiella pneumoniae. Its unique mechanism of action may provide a synergistic effect to other classes of antibiotics including beta-lactams, aminoglycosides, and fluoroquinolones. Oral fosfomycin is mainly used in the treatment of urinary tract infections, particularly those caused by Escherichia coli and Enterococcus faecalis. Intravenous fosfomycin has been administered in combination with other antibiotics for the treatment of nosocomial infections due to multidrug-resistant (MDR) Gram-positive and Gram-negative bacteria. Fosfomycin has good distribution into tissues, achieving clinically relevant concentrations in serum, kidneys, bladder wall, prostate, lungs, inflamed tissues, bone, cerebrospinal fluid, abscess fluid, and heart valves. Fosfomycin is well tolerated, with a low incidence of adverse events. Further randomized controlled trials are needed in order to evaluate the efficacy of intravenous fosfomycin for the management of nosocomial infections due to MDR pathogens.", "author" : [ { "dropping-particle" : "", "family" : "Michalopoulos", "given" : "Argyris S", "non-dropping-particle" : "", "parse-names" : false, "suffix" : "" }, { "dropping-particle" : "", "family" : "Livaditis", "given" : "Ioannis G", "non-dropping-particle" : "", "parse-names" : false, "suffix" : "" }, { "dropping-particle" : "", "family" : "Gougoutas", "given" : "Vassilios", "non-dropping-particle" : "", "parse-names" : false, "suffix" : "" } ], "container-title" : "International journal of infectious diseases : IJID : official publication of the International Society for Infectious Diseases", "id" : "ITEM-1", "issue" : "11", "issued" : { "date-parts" : [ [ "2011", "11" ] ] }, "page" : "e732-9", "publisher" : "International Society for Infectious Diseases", "title" : "The revival of fosfomycin.", "type" : "article-journal", "volume" : "15" }, "uris" : [ "http://www.mendeley.com/documents/?uuid=0fff0b90-d90b-4dc2-8d7f-1649f28059f6" ] } ], "mendeley" : { "formattedCitation" : "[7]", "plainTextFormattedCitation" : "[7]", "previouslyFormattedCitation" : "[7]" }, "properties" : {  }, "schema" : "https://github.com/citation-style-language/schema/raw/master/csl-citation.json" }</w:instrText>
      </w:r>
      <w:r w:rsidR="0084624D" w:rsidRPr="002C7B68">
        <w:rPr>
          <w:rFonts w:ascii="Times New Roman" w:hAnsi="Times New Roman"/>
          <w:sz w:val="24"/>
          <w:szCs w:val="24"/>
          <w:lang w:val="en-GB"/>
        </w:rPr>
        <w:fldChar w:fldCharType="separate"/>
      </w:r>
      <w:r w:rsidR="002122DC" w:rsidRPr="002C7B68">
        <w:rPr>
          <w:rFonts w:ascii="Times New Roman" w:hAnsi="Times New Roman"/>
          <w:noProof/>
          <w:sz w:val="24"/>
          <w:szCs w:val="24"/>
          <w:lang w:val="en-GB"/>
        </w:rPr>
        <w:t>[7]</w:t>
      </w:r>
      <w:r w:rsidR="0084624D" w:rsidRPr="002C7B68">
        <w:rPr>
          <w:rFonts w:ascii="Times New Roman" w:hAnsi="Times New Roman"/>
          <w:sz w:val="24"/>
          <w:szCs w:val="24"/>
          <w:lang w:val="en-GB"/>
        </w:rPr>
        <w:fldChar w:fldCharType="end"/>
      </w:r>
      <w:r w:rsidR="00D40F19" w:rsidRPr="002C7B68">
        <w:rPr>
          <w:rFonts w:ascii="Times New Roman" w:hAnsi="Times New Roman"/>
          <w:sz w:val="24"/>
          <w:szCs w:val="24"/>
          <w:lang w:val="en-GB"/>
        </w:rPr>
        <w:t xml:space="preserve">. </w:t>
      </w:r>
    </w:p>
    <w:p w14:paraId="13467FDA" w14:textId="10966F72" w:rsidR="001C739C" w:rsidRPr="002C7B68" w:rsidRDefault="00C67206" w:rsidP="007F587E">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Several</w:t>
      </w:r>
      <w:r w:rsidR="00EF0D9A" w:rsidRPr="002C7B68">
        <w:rPr>
          <w:rFonts w:ascii="Times New Roman" w:hAnsi="Times New Roman"/>
          <w:sz w:val="24"/>
          <w:szCs w:val="24"/>
          <w:lang w:val="en-GB"/>
        </w:rPr>
        <w:t xml:space="preserve"> fosfomycin pharmacokinetic studies have </w:t>
      </w:r>
      <w:r w:rsidR="005708B4" w:rsidRPr="002C7B68">
        <w:rPr>
          <w:rFonts w:ascii="Times New Roman" w:hAnsi="Times New Roman"/>
          <w:sz w:val="24"/>
          <w:szCs w:val="24"/>
          <w:lang w:val="en-GB"/>
        </w:rPr>
        <w:t>been performed</w:t>
      </w:r>
      <w:r w:rsidR="009027DE" w:rsidRPr="002C7B68">
        <w:rPr>
          <w:rFonts w:ascii="Times New Roman" w:hAnsi="Times New Roman"/>
          <w:sz w:val="24"/>
          <w:szCs w:val="24"/>
          <w:lang w:val="en-GB"/>
        </w:rPr>
        <w:t xml:space="preserve"> </w:t>
      </w:r>
      <w:r w:rsidR="00B42F6F" w:rsidRPr="002C7B68">
        <w:rPr>
          <w:rFonts w:ascii="Times New Roman" w:hAnsi="Times New Roman"/>
          <w:sz w:val="24"/>
          <w:szCs w:val="24"/>
          <w:lang w:val="en-GB"/>
        </w:rPr>
        <w:fldChar w:fldCharType="begin" w:fldLock="1"/>
      </w:r>
      <w:r w:rsidR="007B72C6" w:rsidRPr="002C7B68">
        <w:rPr>
          <w:rFonts w:ascii="Times New Roman" w:hAnsi="Times New Roman"/>
          <w:sz w:val="24"/>
          <w:szCs w:val="24"/>
          <w:lang w:val="en-GB"/>
        </w:rPr>
        <w:instrText>ADDIN CSL_CITATION { "citationItems" : [ { "id" : "ITEM-1", "itemData" : { "ISSN" : "0066-4804", "PMID" : "10991852", "abstract" : "Fosfomycin is a broad-spectrum antibiotic which is established as therapy for uncomplicated lower urinary tract infections. In addition, preliminary data indicate that fosfomycin has a potential role in the treatment of soft tissue infections. However, the use of fosfomycin has not been established for this condition, and it is unclear whether the level of fosfomycin penetration into human soft tissues is high enough to eradicate relevant pathogens. To better characterize the antibiotic potential of fosfomycin, we applied a combined in vivo pharmacokinetic-in vitro pharmacodynamic model to human volunteers. For this purpose fosfomycin concentrations in vivo in the fluid of the interstitial space of human soft tissues were measured by microdialysis following intravenous infusion of 4 or 8 g of fosfomycin (n = 6). Subsequently, bacterial isolates with relevance for soft tissue infections were exposed to concentrations according to the in vivo pharmacokinetic profile in the interstitial space fluid obtained by microdialysis. Our experiments indicated a high degree of soft tissue penetration for fosfomycin, with ratios of the area under the concentration-time curve from 0 to 8 h for muscle (AUC(0-8(muscle)))/AUC(0-8(serum)) of 0.48+/-0.08 and 0.53+/-0.04 and ratios of AUC(0-8(adipose tissue))/AUC(0-8(serum)) of 0.74+/-0.12 and 0.71+/-0.11 following administration of 4 and 8 g, respectively. In corresponding in vitro simulation experiments with selected isolates of Staphylococcus aureus, Enterobacter cloacae, and Serratia marcescens for which MICs were 16 microg/ml, organisms were undetectable after a single dosing interval. Fosfomycin exhibits a strong ability to penetrate into the fluid of the interstitial space of soft tissues and reaches levels sufficient to substantially inhibit the growth of relevant bacteria at the target site. We therefore conclude that fosfomycin might qualify as an alternative candidate for the therapy of soft tissue infections.", "author" : [ { "dropping-particle" : "", "family" : "Frossard", "given" : "M", "non-dropping-particle" : "", "parse-names" : false, "suffix" : "" }, { "dropping-particle" : "", "family" : "Joukhadar", "given" : "C", "non-dropping-particle" : "", "parse-names" : false, "suffix" : "" }, { "dropping-particle" : "", "family" : "Erovic", "given" : "B M", "non-dropping-particle" : "", "parse-names" : false, "suffix" : "" }, { "dropping-particle" : "", "family" : "Dittrich", "given" : "P", "non-dropping-particle" : "", "parse-names" : false, "suffix" : "" }, { "dropping-particle" : "", "family" : "Mrass", "given" : "P E", "non-dropping-particle" : "", "parse-names" : false, "suffix" : "" }, { "dropping-particle" : "", "family" : "Houte", "given" : "M", "non-dropping-particle" : "Van", "parse-names" : false, "suffix" : "" }, { "dropping-particle" : "", "family" : "Burgmann", "given" : "H", "non-dropping-particle" : "", "parse-names" : false, "suffix" : "" }, { "dropping-particle" : "", "family" : "Georgopoulos", "given" : "A", "non-dropping-particle" : "", "parse-names" : false, "suffix" : "" }, { "dropping-particle" : "", "family" : "M\u00fcller", "given" : "M", "non-dropping-particle" : "", "parse-names" : false, "suffix" : "" } ], "container-title" : "Antimicrobial agents and chemotherapy", "id" : "ITEM-1", "issue" : "10", "issued" : { "date-parts" : [ [ "2000", "10" ] ] }, "page" : "2728-32", "title" : "Distribution and antimicrobial activity of fosfomycin in the interstitial fluid of human soft tissues.", "type" : "article-journal", "volume" : "44" }, "uris" : [ "http://www.mendeley.com/documents/?uuid=59caf455-573e-4652-9cc7-0e88b1b79c9e" ] }, { "id" : "ITEM-2", "itemData" : { "ISSN" : "0305-7453", "abstract" : "Objective: The present study was performed to test the ability of fosfomycin to penetrate into the CSF of neurointensive care patients with ventriculostomy-associated ventriculitis.Patients and methods: Six patients requiring neurointensive care monitoring, including extraventricular drainage due to secondary obstructive hydrocephalus, were enrolled into the study. All patients received 8 g of fosfomycin intravenously three times a day over a period of at least 5 days. Concentrations of fosfomycin in the CSF and plasma were measured after single-dose administration and at steady state.Results: Mean values of the fosfomycin area under the time\u2013concentration curves for the dosing interval of     8 h (AUC8) were 929 \u00b1 280 and 225 \u00b1 131 mg\u00b7h/L for plasma and CSF after single-dose administration, respectively (P &amp;lt; 0.03). The ratios of the AUC8 for CSF to the AUC8 for plasma were 0.23 \u00b1 0.07 after a single dose and 0.27 \u00b1 0.08 following multiple doses (P &amp;gt; 0.05, not significant). Additional in vitro experiments have shown that fosfomycin exerts non-concentration-dependent microbial growth inhibition. At steady state, the time above MIC (t &amp;gt; MIC) values were 98%, 92% and 61% for pathogens with MIC values of 8, 16 and 32 mg/L, respectively.Conclusion: The present pharmacokinetic study indicates that 8 g of fosfomycin three times per day should provide sufficient antimicrobial concentrations in the CSF for the overall treatment period. Thus, the                   co-administration of fosfomycin could be useful for the treatment of ventriculitis caused by susceptible pathogens.", "author" : [ { "dropping-particle" : "", "family" : "Pfausler", "given" : "Bettina", "non-dropping-particle" : "", "parse-names" : false, "suffix" : "" }, { "dropping-particle" : "", "family" : "Spiss", "given" : "Heinrich", "non-dropping-particle" : "", "parse-names" : false, "suffix" : "" }, { "dropping-particle" : "", "family" : "Dittrich", "given" : "Peter", "non-dropping-particle" : "", "parse-names" : false, "suffix" : "" }, { "dropping-particle" : "", "family" : "Zeitlinger", "given" : "Markus", "non-dropping-particle" : "", "parse-names" : false, "suffix" : "" }, { "dropping-particle" : "", "family" : "Schmutzhard", "given" : "Erich", "non-dropping-particle" : "", "parse-names" : false, "suffix" : "" }, { "dropping-particle" : "", "family" : "Joukhadar", "given" : "Christian", "non-dropping-particle" : "", "parse-names" : false, "suffix" : "" } ], "container-title" : "Journal of Antimicrobial Chemotherapy", "id" : "ITEM-2", "issue" : "5", "issued" : { "date-parts" : [ [ "2004", "5" ] ] }, "page" : "848-852", "title" : "Concentrations of fosfomycin in the cerebrospinal fluid of neurointensive care patients with ventriculostomy-associated ventriculitis", "type" : "article-journal", "volume" : "53" }, "uris" : [ "http://www.mendeley.com/documents/?uuid=fd30b25a-fc2f-4e22-ab9b-ef44eddcf221" ] } ], "mendeley" : { "formattedCitation" : "[8,9]", "plainTextFormattedCitation" : "[8,9]", "previouslyFormattedCitation" : "[8,9]" }, "properties" : {  }, "schema" : "https://github.com/citation-style-language/schema/raw/master/csl-citation.json" }</w:instrText>
      </w:r>
      <w:r w:rsidR="00B42F6F" w:rsidRPr="002C7B68">
        <w:rPr>
          <w:rFonts w:ascii="Times New Roman" w:hAnsi="Times New Roman"/>
          <w:sz w:val="24"/>
          <w:szCs w:val="24"/>
          <w:lang w:val="en-GB"/>
        </w:rPr>
        <w:fldChar w:fldCharType="separate"/>
      </w:r>
      <w:r w:rsidR="002122DC" w:rsidRPr="002C7B68">
        <w:rPr>
          <w:rFonts w:ascii="Times New Roman" w:hAnsi="Times New Roman"/>
          <w:noProof/>
          <w:sz w:val="24"/>
          <w:szCs w:val="24"/>
          <w:lang w:val="en-GB"/>
        </w:rPr>
        <w:t>[8,9]</w:t>
      </w:r>
      <w:r w:rsidR="00B42F6F" w:rsidRPr="002C7B68">
        <w:rPr>
          <w:rFonts w:ascii="Times New Roman" w:hAnsi="Times New Roman"/>
          <w:sz w:val="24"/>
          <w:szCs w:val="24"/>
          <w:lang w:val="en-GB"/>
        </w:rPr>
        <w:fldChar w:fldCharType="end"/>
      </w:r>
      <w:r w:rsidR="006509AE" w:rsidRPr="002C7B68">
        <w:rPr>
          <w:rFonts w:ascii="Times New Roman" w:hAnsi="Times New Roman"/>
          <w:sz w:val="24"/>
          <w:szCs w:val="24"/>
          <w:lang w:val="en-GB"/>
        </w:rPr>
        <w:t>.</w:t>
      </w:r>
      <w:r w:rsidR="00EF0D9A" w:rsidRPr="002C7B68">
        <w:rPr>
          <w:rFonts w:ascii="Times New Roman" w:hAnsi="Times New Roman"/>
          <w:sz w:val="24"/>
          <w:szCs w:val="24"/>
          <w:lang w:val="en-GB"/>
        </w:rPr>
        <w:t xml:space="preserve"> </w:t>
      </w:r>
      <w:r w:rsidR="006509AE" w:rsidRPr="002C7B68">
        <w:rPr>
          <w:rFonts w:ascii="Times New Roman" w:hAnsi="Times New Roman"/>
          <w:sz w:val="24"/>
          <w:szCs w:val="24"/>
          <w:lang w:val="en-GB"/>
        </w:rPr>
        <w:t>However</w:t>
      </w:r>
      <w:r w:rsidR="005708B4" w:rsidRPr="002C7B68">
        <w:rPr>
          <w:rFonts w:ascii="Times New Roman" w:hAnsi="Times New Roman"/>
          <w:sz w:val="24"/>
          <w:szCs w:val="24"/>
          <w:lang w:val="en-GB"/>
        </w:rPr>
        <w:t>,</w:t>
      </w:r>
      <w:r w:rsidR="00325503" w:rsidRPr="002C7B68">
        <w:rPr>
          <w:rFonts w:ascii="Times New Roman" w:hAnsi="Times New Roman"/>
          <w:sz w:val="24"/>
          <w:szCs w:val="24"/>
          <w:lang w:val="en-GB"/>
        </w:rPr>
        <w:t xml:space="preserve"> </w:t>
      </w:r>
      <w:r w:rsidRPr="002C7B68">
        <w:rPr>
          <w:rFonts w:ascii="Times New Roman" w:hAnsi="Times New Roman"/>
          <w:sz w:val="24"/>
          <w:szCs w:val="24"/>
          <w:lang w:val="en-GB"/>
        </w:rPr>
        <w:t xml:space="preserve">to our knowledge </w:t>
      </w:r>
      <w:r w:rsidR="00325503" w:rsidRPr="002C7B68">
        <w:rPr>
          <w:rFonts w:ascii="Times New Roman" w:hAnsi="Times New Roman"/>
          <w:sz w:val="24"/>
          <w:szCs w:val="24"/>
          <w:lang w:val="en-GB"/>
        </w:rPr>
        <w:t xml:space="preserve">only </w:t>
      </w:r>
      <w:r w:rsidR="00EF0D9A" w:rsidRPr="002C7B68">
        <w:rPr>
          <w:rFonts w:ascii="Times New Roman" w:hAnsi="Times New Roman"/>
          <w:sz w:val="24"/>
          <w:szCs w:val="24"/>
          <w:lang w:val="en-GB"/>
        </w:rPr>
        <w:t xml:space="preserve">the </w:t>
      </w:r>
      <w:r w:rsidR="00B42F6F" w:rsidRPr="002C7B68">
        <w:rPr>
          <w:rFonts w:ascii="Times New Roman" w:hAnsi="Times New Roman"/>
          <w:sz w:val="24"/>
          <w:szCs w:val="24"/>
          <w:lang w:val="en-GB"/>
        </w:rPr>
        <w:t xml:space="preserve">recent </w:t>
      </w:r>
      <w:r w:rsidR="00EF0D9A" w:rsidRPr="002C7B68">
        <w:rPr>
          <w:rFonts w:ascii="Times New Roman" w:hAnsi="Times New Roman"/>
          <w:sz w:val="24"/>
          <w:szCs w:val="24"/>
          <w:lang w:val="en-GB"/>
        </w:rPr>
        <w:t xml:space="preserve">study conducted by Parker </w:t>
      </w:r>
      <w:r w:rsidR="00EF0D9A" w:rsidRPr="002C7B68">
        <w:rPr>
          <w:rFonts w:ascii="Times New Roman" w:hAnsi="Times New Roman"/>
          <w:i/>
          <w:sz w:val="24"/>
          <w:szCs w:val="24"/>
          <w:lang w:val="en-GB"/>
        </w:rPr>
        <w:t>et al.</w:t>
      </w:r>
      <w:r w:rsidR="00EF0D9A" w:rsidRPr="002C7B68">
        <w:rPr>
          <w:rFonts w:ascii="Times New Roman" w:hAnsi="Times New Roman"/>
          <w:sz w:val="24"/>
          <w:szCs w:val="24"/>
          <w:lang w:val="en-GB"/>
        </w:rPr>
        <w:t xml:space="preserve"> in critically-ill patients has </w:t>
      </w:r>
      <w:r w:rsidR="005708B4" w:rsidRPr="002C7B68">
        <w:rPr>
          <w:rFonts w:ascii="Times New Roman" w:hAnsi="Times New Roman"/>
          <w:sz w:val="24"/>
          <w:szCs w:val="24"/>
          <w:lang w:val="en-GB"/>
        </w:rPr>
        <w:t>used</w:t>
      </w:r>
      <w:r w:rsidR="00EF0D9A" w:rsidRPr="002C7B68">
        <w:rPr>
          <w:rFonts w:ascii="Times New Roman" w:hAnsi="Times New Roman"/>
          <w:sz w:val="24"/>
          <w:szCs w:val="24"/>
          <w:lang w:val="en-GB"/>
        </w:rPr>
        <w:t xml:space="preserve"> </w:t>
      </w:r>
      <w:r w:rsidR="00866EB3" w:rsidRPr="002C7B68">
        <w:rPr>
          <w:rFonts w:ascii="Times New Roman" w:hAnsi="Times New Roman"/>
          <w:sz w:val="24"/>
          <w:szCs w:val="24"/>
          <w:lang w:val="en-GB"/>
        </w:rPr>
        <w:t xml:space="preserve">a </w:t>
      </w:r>
      <w:r w:rsidR="00EF0D9A" w:rsidRPr="002C7B68">
        <w:rPr>
          <w:rFonts w:ascii="Times New Roman" w:hAnsi="Times New Roman"/>
          <w:sz w:val="24"/>
          <w:szCs w:val="24"/>
          <w:lang w:val="en-GB"/>
        </w:rPr>
        <w:t xml:space="preserve">population pharmacokinetic </w:t>
      </w:r>
      <w:r w:rsidR="00EC4E5E" w:rsidRPr="002C7B68">
        <w:rPr>
          <w:rFonts w:ascii="Times New Roman" w:hAnsi="Times New Roman"/>
          <w:sz w:val="24"/>
          <w:szCs w:val="24"/>
          <w:lang w:val="en-GB"/>
        </w:rPr>
        <w:t xml:space="preserve">methodology </w:t>
      </w:r>
      <w:r w:rsidR="00EF0D9A" w:rsidRPr="002C7B68">
        <w:rPr>
          <w:rFonts w:ascii="Times New Roman" w:hAnsi="Times New Roman"/>
          <w:sz w:val="24"/>
          <w:szCs w:val="24"/>
          <w:lang w:val="en-GB"/>
        </w:rPr>
        <w:fldChar w:fldCharType="begin" w:fldLock="1"/>
      </w:r>
      <w:r w:rsidR="007B72C6" w:rsidRPr="002C7B68">
        <w:rPr>
          <w:rFonts w:ascii="Times New Roman" w:hAnsi="Times New Roman"/>
          <w:sz w:val="24"/>
          <w:szCs w:val="24"/>
          <w:lang w:val="en-GB"/>
        </w:rPr>
        <w:instrText>ADDIN CSL_CITATION { "citationItems" : [ { "id" : "ITEM-1", "itemData" : { "DOI" : "10.1128/AAC.01321-15", "ISSN" : "0066-4804", "abstract" : "This study describes the population pharmacokinetics of fosfomycin in critically ill patients. In this observational study, serial blood samples were taken over several dosing intervals of intravenous fosfomycin treatment. Blood samples were analyzed using a validated liquid chromatography-tandem mass spectrometry technique. A population pharmacokinetic analysis was performed using nonlinear mixed-effects modeling. Five hundred fifteen blood samples were collected over one to six dosing intervals from 12 patients. The mean (standard deviation) age was 62 (17) years, 67% of patients were male, and creatinine clearance (CL CR ) ranged from 30 to 300 ml/min. A two-compartment model with between-subject variability on clearance and volume of distribution of the central compartment ( V c ) described the data adequately. Calculated CL CR was supported as a covariate on fosfomycin clearance. The mean parameter estimates for clearance on the first day were 2.06 liters/h, V c of 27.2 liters, intercompartmental clearance of 19.8 liters/h, and volume of the peripheral compartment of 22.3 liters. We found significant pharmacokinetic variability for fosfomycin in this heterogeneous patient sample, which may be explained somewhat by the observed variations in renal function.", "author" : [ { "dropping-particle" : "", "family" : "Parker", "given" : "Suzanne L.", "non-dropping-particle" : "", "parse-names" : false, "suffix" : "" }, { "dropping-particle" : "", "family" : "Frantzeskaki", "given" : "Frantzeska", "non-dropping-particle" : "", "parse-names" : false, "suffix" : "" }, { "dropping-particle" : "", "family" : "Wallis", "given" : "Steven C.", "non-dropping-particle" : "", "parse-names" : false, "suffix" : "" }, { "dropping-particle" : "", "family" : "Diakaki", "given" : "Chryssa", "non-dropping-particle" : "", "parse-names" : false, "suffix" : "" }, { "dropping-particle" : "", "family" : "Giamarellou", "given" : "Helen", "non-dropping-particle" : "", "parse-names" : false, "suffix" : "" }, { "dropping-particle" : "", "family" : "Koulenti", "given" : "Despoina", "non-dropping-particle" : "", "parse-names" : false, "suffix" : "" }, { "dropping-particle" : "", "family" : "Karaiskos", "given" : "Ilias", "non-dropping-particle" : "", "parse-names" : false, "suffix" : "" }, { "dropping-particle" : "", "family" : "Lipman", "given" : "Jeffrey", "non-dropping-particle" : "", "parse-names" : false, "suffix" : "" }, { "dropping-particle" : "", "family" : "Dimopoulos", "given" : "George", "non-dropping-particle" : "", "parse-names" : false, "suffix" : "" }, { "dropping-particle" : "", "family" : "Roberts", "given" : "Jason A.", "non-dropping-particle" : "", "parse-names" : false, "suffix" : "" } ], "container-title" : "Antimicrobial Agents and Chemotherapy", "id" : "ITEM-1", "issue" : "10", "issued" : { "date-parts" : [ [ "2015", "10" ] ] }, "page" : "6471-6476", "title" : "Population Pharmacokinetics of Fosfomycin in Critically Ill Patients", "type" : "article-journal", "volume" : "59" }, "uris" : [ "http://www.mendeley.com/documents/?uuid=bc4cb844-5dec-4f5d-9809-ec1baf7e213b" ] } ], "mendeley" : { "formattedCitation" : "[10]", "plainTextFormattedCitation" : "[10]", "previouslyFormattedCitation" : "[10]" }, "properties" : {  }, "schema" : "https://github.com/citation-style-language/schema/raw/master/csl-citation.json" }</w:instrText>
      </w:r>
      <w:r w:rsidR="00EF0D9A" w:rsidRPr="002C7B68">
        <w:rPr>
          <w:rFonts w:ascii="Times New Roman" w:hAnsi="Times New Roman"/>
          <w:sz w:val="24"/>
          <w:szCs w:val="24"/>
          <w:lang w:val="en-GB"/>
        </w:rPr>
        <w:fldChar w:fldCharType="separate"/>
      </w:r>
      <w:r w:rsidR="002122DC" w:rsidRPr="002C7B68">
        <w:rPr>
          <w:rFonts w:ascii="Times New Roman" w:hAnsi="Times New Roman"/>
          <w:noProof/>
          <w:sz w:val="24"/>
          <w:szCs w:val="24"/>
          <w:lang w:val="en-GB"/>
        </w:rPr>
        <w:t>[10]</w:t>
      </w:r>
      <w:r w:rsidR="00EF0D9A" w:rsidRPr="002C7B68">
        <w:rPr>
          <w:rFonts w:ascii="Times New Roman" w:hAnsi="Times New Roman"/>
          <w:sz w:val="24"/>
          <w:szCs w:val="24"/>
          <w:lang w:val="en-GB"/>
        </w:rPr>
        <w:fldChar w:fldCharType="end"/>
      </w:r>
      <w:r w:rsidR="00071AA9" w:rsidRPr="002C7B68">
        <w:rPr>
          <w:rFonts w:ascii="Times New Roman" w:hAnsi="Times New Roman"/>
          <w:sz w:val="24"/>
          <w:szCs w:val="24"/>
          <w:lang w:val="en-GB"/>
        </w:rPr>
        <w:t>.</w:t>
      </w:r>
      <w:r w:rsidR="00B42F6F" w:rsidRPr="002C7B68">
        <w:rPr>
          <w:rFonts w:ascii="Times New Roman" w:hAnsi="Times New Roman"/>
          <w:sz w:val="24"/>
          <w:szCs w:val="24"/>
          <w:lang w:val="en-GB"/>
        </w:rPr>
        <w:t xml:space="preserve"> </w:t>
      </w:r>
      <w:r w:rsidR="008A3EA3" w:rsidRPr="002C7B68">
        <w:rPr>
          <w:rFonts w:ascii="Times New Roman" w:hAnsi="Times New Roman"/>
          <w:sz w:val="24"/>
          <w:szCs w:val="24"/>
          <w:lang w:val="en-GB"/>
        </w:rPr>
        <w:t>Moreover, s</w:t>
      </w:r>
      <w:r w:rsidR="005708B4" w:rsidRPr="002C7B68">
        <w:rPr>
          <w:rFonts w:ascii="Times New Roman" w:hAnsi="Times New Roman"/>
          <w:sz w:val="24"/>
          <w:szCs w:val="24"/>
          <w:lang w:val="en-GB"/>
        </w:rPr>
        <w:t>everal</w:t>
      </w:r>
      <w:r w:rsidR="007D6926" w:rsidRPr="002C7B68">
        <w:rPr>
          <w:rFonts w:ascii="Times New Roman" w:hAnsi="Times New Roman"/>
          <w:sz w:val="24"/>
          <w:szCs w:val="24"/>
          <w:lang w:val="en-GB"/>
        </w:rPr>
        <w:t xml:space="preserve"> </w:t>
      </w:r>
      <w:r w:rsidR="00866EB3" w:rsidRPr="002C7B68">
        <w:rPr>
          <w:rFonts w:ascii="Times New Roman" w:hAnsi="Times New Roman"/>
          <w:sz w:val="24"/>
          <w:szCs w:val="24"/>
          <w:lang w:val="en-GB"/>
        </w:rPr>
        <w:t xml:space="preserve">pharmacodynamic </w:t>
      </w:r>
      <w:r w:rsidR="007D6926" w:rsidRPr="002C7B68">
        <w:rPr>
          <w:rFonts w:ascii="Times New Roman" w:hAnsi="Times New Roman"/>
          <w:sz w:val="24"/>
          <w:szCs w:val="24"/>
          <w:lang w:val="en-GB"/>
        </w:rPr>
        <w:t xml:space="preserve">studies have been </w:t>
      </w:r>
      <w:r w:rsidR="005708B4" w:rsidRPr="002C7B68">
        <w:rPr>
          <w:rFonts w:ascii="Times New Roman" w:hAnsi="Times New Roman"/>
          <w:sz w:val="24"/>
          <w:szCs w:val="24"/>
          <w:lang w:val="en-GB"/>
        </w:rPr>
        <w:t xml:space="preserve">recently </w:t>
      </w:r>
      <w:r w:rsidR="007D6926" w:rsidRPr="002C7B68">
        <w:rPr>
          <w:rFonts w:ascii="Times New Roman" w:hAnsi="Times New Roman"/>
          <w:sz w:val="24"/>
          <w:szCs w:val="24"/>
          <w:lang w:val="en-GB"/>
        </w:rPr>
        <w:t xml:space="preserve">performed </w:t>
      </w:r>
      <w:r w:rsidRPr="002C7B68">
        <w:rPr>
          <w:rFonts w:ascii="Times New Roman" w:hAnsi="Times New Roman"/>
          <w:sz w:val="24"/>
          <w:szCs w:val="24"/>
          <w:lang w:val="en-GB"/>
        </w:rPr>
        <w:t xml:space="preserve">just </w:t>
      </w:r>
      <w:r w:rsidR="007D6926" w:rsidRPr="002C7B68">
        <w:rPr>
          <w:rFonts w:ascii="Times New Roman" w:hAnsi="Times New Roman"/>
          <w:sz w:val="24"/>
          <w:szCs w:val="24"/>
          <w:lang w:val="en-GB"/>
        </w:rPr>
        <w:t xml:space="preserve">to </w:t>
      </w:r>
      <w:r w:rsidR="005708B4" w:rsidRPr="002C7B68">
        <w:rPr>
          <w:rFonts w:ascii="Times New Roman" w:hAnsi="Times New Roman"/>
          <w:sz w:val="24"/>
          <w:szCs w:val="24"/>
          <w:lang w:val="en-GB"/>
        </w:rPr>
        <w:t xml:space="preserve">better </w:t>
      </w:r>
      <w:r w:rsidR="007D6926" w:rsidRPr="002C7B68">
        <w:rPr>
          <w:rFonts w:ascii="Times New Roman" w:hAnsi="Times New Roman"/>
          <w:sz w:val="24"/>
          <w:szCs w:val="24"/>
          <w:lang w:val="en-GB"/>
        </w:rPr>
        <w:t xml:space="preserve">understand </w:t>
      </w:r>
      <w:r w:rsidR="00866EB3" w:rsidRPr="002C7B68">
        <w:rPr>
          <w:rFonts w:ascii="Times New Roman" w:hAnsi="Times New Roman"/>
          <w:sz w:val="24"/>
          <w:szCs w:val="24"/>
          <w:lang w:val="en-GB"/>
        </w:rPr>
        <w:t>dose-exposure-response relationships</w:t>
      </w:r>
      <w:r w:rsidR="009977DC" w:rsidRPr="002C7B68">
        <w:rPr>
          <w:rFonts w:ascii="Times New Roman" w:hAnsi="Times New Roman"/>
          <w:sz w:val="24"/>
          <w:szCs w:val="24"/>
          <w:lang w:val="en-GB"/>
        </w:rPr>
        <w:t xml:space="preserve"> </w:t>
      </w:r>
      <w:r w:rsidR="00CD4C27" w:rsidRPr="002C7B68">
        <w:rPr>
          <w:rFonts w:ascii="Times New Roman" w:hAnsi="Times New Roman"/>
          <w:sz w:val="24"/>
          <w:szCs w:val="24"/>
          <w:lang w:val="en-GB"/>
        </w:rPr>
        <w:t>of fosfomycin</w:t>
      </w:r>
      <w:r w:rsidR="007D6926" w:rsidRPr="002C7B68">
        <w:rPr>
          <w:rFonts w:ascii="Times New Roman" w:hAnsi="Times New Roman"/>
          <w:sz w:val="24"/>
          <w:szCs w:val="24"/>
          <w:lang w:val="en-GB"/>
        </w:rPr>
        <w:t xml:space="preserve"> </w:t>
      </w:r>
      <w:r w:rsidR="00CD4C27" w:rsidRPr="002C7B68">
        <w:rPr>
          <w:rFonts w:ascii="Times New Roman" w:hAnsi="Times New Roman"/>
          <w:sz w:val="24"/>
          <w:szCs w:val="24"/>
          <w:lang w:val="en-GB"/>
        </w:rPr>
        <w:fldChar w:fldCharType="begin" w:fldLock="1"/>
      </w:r>
      <w:r w:rsidR="007B72C6" w:rsidRPr="002C7B68">
        <w:rPr>
          <w:rFonts w:ascii="Times New Roman" w:hAnsi="Times New Roman"/>
          <w:sz w:val="24"/>
          <w:szCs w:val="24"/>
          <w:lang w:val="en-GB"/>
        </w:rPr>
        <w:instrText>ADDIN CSL_CITATION { "citationItems" : [ { "id" : "ITEM-1", "itemData" : { "DOI" : "10.1128/AAC.00752-15", "ISSN" : "10986596", "PMID" : "26124169", "abstract" : "The aim of this study was to improve the understanding of the pharmacokinetic-pharmacodynamic relationships of fosfomycin against extended-spectrum beta-lactamase (ESBL)-producing Escherichia coli strains that have different fosfomycin MICs. Our methods included the use of a hollow fiber infection model with three clinical ESBL-producing E. coli strains. Human fosfomycin pharmacokinetic profiles were simulated over 4 days. Preliminary studies conducted to determine the dose ranges, including the dose ranges that suppressed the development of drug-resistant mutants, were conducted with regimens from 12 g/day to 36 g/day. The combination of fosfomycin at 4 g every 8 h (q8h) and meropenem at 1 g/q8h was selected for further assessment. The total bacterial population and the resistant subpopulations were determined. No efficacy was observed against the Ec42444 strain (fosfomycin MIC, 64 mg/liter) at doses of 12, 24, or 36 g/day. All dosages induced at least initial bacterial killing against Ec46 (fosfomycin MIC, 1 mg/liter). High-level drug-resistant mutants appeared in this strain in response to 12, 15, and 18 g/day. In the study arms that included 24 g/day, once or in a divided dose, a complete extinction of the bacterial inoculum was observed. The combination of meropenem with fosfomycin was synergistic for bacterial killing and also suppressed all fosfomycin-resistant clones of Ec2974 (fosfomycin MIC, 1 mg/liter). We conclude that fosfomycin susceptibility breakpoints (\u226464 mg/liter according to CLSI [for E. coli urinary tract infections only]) should be revised for the treatment of serious systemic infections. Fosfomycin can be used to treat infections caused by organisms that demonstrate lower MICs and lower bacterial densities, although relatively high daily dosages (i.e., 24 g/day) are required to prevent the emergence of bacterial resistance. The ratio of the area under the concentration-time curve for the free, unbound fraction of fosfomycin versus the MIC (fAUC/MIC) appears to be the dynamically linked index of suppression of bacterial resistance. Fosfomycin with meropenem can act synergistically against E. coli strains in preventing the emergence of fosfomycin resistance.", "author" : [ { "dropping-particle" : "", "family" : "Docobo-P\u00e9rez", "given" : "F.", "non-dropping-particle" : "", "parse-names" : false, "suffix" : "" }, { "dropping-particle" : "", "family" : "Drusano", "given" : "G. L.", "non-dropping-particle" : "", "parse-names" : false, "suffix" : "" }, { "dropping-particle" : "", "family" : "Johnson", "given" : "A.", "non-dropping-particle" : "", "parse-names" : false, "suffix" : "" }, { "dropping-particle" : "", "family" : "Goodwin", "given" : "J.", "non-dropping-particle" : "", "parse-names" : false, "suffix" : "" }, { "dropping-particle" : "", "family" : "Whalley", "given" : "S.", "non-dropping-particle" : "", "parse-names" : false, "suffix" : "" }, { "dropping-particle" : "", "family" : "Ramos-Mart\u00edn", "given" : "V.", "non-dropping-particle" : "", "parse-names" : false, "suffix" : "" }, { "dropping-particle" : "", "family" : "Ballestero-Tellez", "given" : "M.", "non-dropping-particle" : "", "parse-names" : false, "suffix" : "" }, { "dropping-particle" : "", "family" : "Rodriguez-Martinez", "given" : "J. M.", "non-dropping-particle" : "", "parse-names" : false, "suffix" : "" }, { "dropping-particle" : "", "family" : "Conejo", "given" : "M. C.", "non-dropping-particle" : "", "parse-names" : false, "suffix" : "" }, { "dropping-particle" : "", "family" : "Guilder", "given" : "M.", "non-dropping-particle" : "Van", "parse-names" : false, "suffix" : "" }, { "dropping-particle" : "", "family" : "Rodr\u00edguez-Ba\u00f1o", "given" : "J.", "non-dropping-particle" : "", "parse-names" : false, "suffix" : "" }, { "dropping-particle" : "", "family" : "Pascual", "given" : "A.", "non-dropping-particle" : "", "parse-names" : false, "suffix" : "" }, { "dropping-particle" : "", "family" : "Hope", "given" : "W. W.", "non-dropping-particle" : "", "parse-names" : false, "suffix" : "" } ], "container-title" : "Antimicrobial Agents and Chemotherapy", "id" : "ITEM-1", "issue" : "9", "issued" : { "date-parts" : [ [ "2015", "9" ] ] }, "page" : "5602-5610", "title" : "Pharmacodynamics of fosfomycin: Insights into clinical use for antimicrobial resistance", "type" : "article-journal", "volume" : "59" }, "uris" : [ "http://www.mendeley.com/documents/?uuid=b5bdd729-09ba-40fa-91af-ebe0c999dd2e" ] }, { "id" : "ITEM-2", "itemData" : { "DOI" : "10.1128/AAC.04955-14", "ISSN" : "1098-6596", "PMID" : "26100706", "abstract" : "Fosfomycin, a phosphonic class antibiotic with a broad spectrum of antibacterial activity, has been used outside the United States since the early 1970s for the treatment of a variety of infections. In the United States, an oral (tromethamine salt) formulation is used for uncomplicated urinary tract infections. Recently, there has been interest in the use of an intravenous solution (ZTI-01) for the treatment of a broad range of infections associated with multidrug-resistant bacteria. In this era of multidrug-resistant bacteria with few treatment options, it is critical to understand the pharmacokinetic-pharmacodynamic (PK-PD) determinants for fosfomycin efficacy. Since such data are limited, a one-compartment in vitro infection model was used to determine the PK-PD index associated with efficacy and the magnitude of this measure necessary for various levels of effect. One challenge isolate (Escherichia coli ATCC 25922, for which the fosfomycin agar MIC is 0.5 mg/liter and the broth microdilution MIC is 1 mg/liter) was evaluated in the dose fractionation studies, and two additional clinical E. coli isolates were evaluated in the dose-ranging studies. Mutation frequency studies indicated the presence of an inherently fosfomycin resistant E. coli subpopulation (agar MIC = 32 to 64 mg/liter) within the standard starting inoculum of a susceptibility test. Due to the presence of this resistant subpopulation, we identified the percentage of the dosing interval that drug concentrations were above the inherent resistance inhibitory concentration found at baseline to be the PK-PD index associated with efficacy (r(2) = 0.777). The magnitudes of this PK-PD index associated with net bacterial stasis and 1- and 2-log10 CFU/ml reductions from baseline at 24 h were 11.9, 20.9, and 32.8, respectively. These data provide useful information for modernizing and optimizing ZTI-01 dosing regimens for further study.", "author" : [ { "dropping-particle" : "", "family" : "VanScoy", "given" : "Brian D", "non-dropping-particle" : "", "parse-names" : false, "suffix" : "" }, { "dropping-particle" : "", "family" : "McCauley", "given" : "Jennifer", "non-dropping-particle" : "", "parse-names" : false, "suffix" : "" }, { "dropping-particle" : "", "family" : "Ellis-Grosse", "given" : "Evelyn J", "non-dropping-particle" : "", "parse-names" : false, "suffix" : "" }, { "dropping-particle" : "", "family" : "Okusanya", "given" : "Olanrewaju O", "non-dropping-particle" : "", "parse-names" : false, "suffix" : "" }, { "dropping-particle" : "", "family" : "Bhavnani", "given" : "Sujata M", "non-dropping-particle" : "", "parse-names" : false, "suffix" : "" }, { "dropping-particle" : "", "family" : "Forrest", "given" : "Alan", "non-dropping-particle" : "", "parse-names" : false, "suffix" : "" }, { "dropping-particle" : "", "family" : "Ambrose", "given" : "Paul G", "non-dropping-particle" : "", "parse-names" : false, "suffix" : "" } ], "container-title" : "Antimicrobial agents and chemotherapy", "id" : "ITEM-2", "issue" : "12", "issued" : { "date-parts" : [ [ "2015", "12" ] ] }, "page" : "7170-7", "title" : "Exploration of the Pharmacokinetic-Pharmacodynamic Relationships for Fosfomycin Efficacy Using an In Vitro Infection Model.", "type" : "article-journal", "volume" : "59" }, "uris" : [ "http://www.mendeley.com/documents/?uuid=9ccfc96e-7357-4615-ac86-c013192486f6" ] } ], "mendeley" : { "formattedCitation" : "[5,11]", "plainTextFormattedCitation" : "[5,11]", "previouslyFormattedCitation" : "[5,11]" }, "properties" : {  }, "schema" : "https://github.com/citation-style-language/schema/raw/master/csl-citation.json" }</w:instrText>
      </w:r>
      <w:r w:rsidR="00CD4C27" w:rsidRPr="002C7B68">
        <w:rPr>
          <w:rFonts w:ascii="Times New Roman" w:hAnsi="Times New Roman"/>
          <w:sz w:val="24"/>
          <w:szCs w:val="24"/>
          <w:lang w:val="en-GB"/>
        </w:rPr>
        <w:fldChar w:fldCharType="separate"/>
      </w:r>
      <w:r w:rsidR="002122DC" w:rsidRPr="002C7B68">
        <w:rPr>
          <w:rFonts w:ascii="Times New Roman" w:hAnsi="Times New Roman"/>
          <w:noProof/>
          <w:sz w:val="24"/>
          <w:szCs w:val="24"/>
          <w:lang w:val="en-GB"/>
        </w:rPr>
        <w:t>[5,11]</w:t>
      </w:r>
      <w:r w:rsidR="00CD4C27" w:rsidRPr="002C7B68">
        <w:rPr>
          <w:rFonts w:ascii="Times New Roman" w:hAnsi="Times New Roman"/>
          <w:sz w:val="24"/>
          <w:szCs w:val="24"/>
          <w:lang w:val="en-GB"/>
        </w:rPr>
        <w:fldChar w:fldCharType="end"/>
      </w:r>
      <w:r w:rsidR="00071AA9" w:rsidRPr="002C7B68">
        <w:rPr>
          <w:rFonts w:ascii="Times New Roman" w:hAnsi="Times New Roman"/>
          <w:sz w:val="24"/>
          <w:szCs w:val="24"/>
          <w:lang w:val="en-GB"/>
        </w:rPr>
        <w:t>.</w:t>
      </w:r>
      <w:r w:rsidR="00CD4C27" w:rsidRPr="002C7B68">
        <w:rPr>
          <w:rFonts w:ascii="Times New Roman" w:hAnsi="Times New Roman"/>
          <w:sz w:val="24"/>
          <w:szCs w:val="24"/>
          <w:lang w:val="en-GB"/>
        </w:rPr>
        <w:t xml:space="preserve"> </w:t>
      </w:r>
      <w:r w:rsidR="006509AE" w:rsidRPr="002C7B68">
        <w:rPr>
          <w:rFonts w:ascii="Times New Roman" w:hAnsi="Times New Roman"/>
          <w:sz w:val="24"/>
          <w:szCs w:val="24"/>
          <w:lang w:val="en-GB"/>
        </w:rPr>
        <w:t>For example</w:t>
      </w:r>
      <w:r w:rsidR="009977DC" w:rsidRPr="002C7B68">
        <w:rPr>
          <w:rFonts w:ascii="Times New Roman" w:hAnsi="Times New Roman"/>
          <w:sz w:val="24"/>
          <w:szCs w:val="24"/>
          <w:lang w:val="en-GB"/>
        </w:rPr>
        <w:t xml:space="preserve">, </w:t>
      </w:r>
      <w:r w:rsidR="003754C8" w:rsidRPr="002C7B68">
        <w:rPr>
          <w:rFonts w:ascii="Times New Roman" w:hAnsi="Times New Roman"/>
          <w:sz w:val="24"/>
          <w:szCs w:val="24"/>
          <w:lang w:val="en-GB"/>
        </w:rPr>
        <w:t>Lepak AJ</w:t>
      </w:r>
      <w:r w:rsidR="001C739C" w:rsidRPr="002C7B68">
        <w:rPr>
          <w:rFonts w:ascii="Times New Roman" w:hAnsi="Times New Roman"/>
          <w:sz w:val="24"/>
          <w:szCs w:val="24"/>
          <w:lang w:val="en-GB"/>
        </w:rPr>
        <w:t xml:space="preserve"> </w:t>
      </w:r>
      <w:r w:rsidR="001C739C" w:rsidRPr="002C7B68">
        <w:rPr>
          <w:rFonts w:ascii="Times New Roman" w:hAnsi="Times New Roman"/>
          <w:i/>
          <w:sz w:val="24"/>
          <w:szCs w:val="24"/>
          <w:lang w:val="en-GB"/>
        </w:rPr>
        <w:t>et al.</w:t>
      </w:r>
      <w:r w:rsidR="001C739C" w:rsidRPr="002C7B68">
        <w:rPr>
          <w:rFonts w:ascii="Times New Roman" w:hAnsi="Times New Roman"/>
          <w:sz w:val="24"/>
          <w:szCs w:val="24"/>
          <w:lang w:val="en-GB"/>
        </w:rPr>
        <w:t xml:space="preserve"> have </w:t>
      </w:r>
      <w:r w:rsidR="009977DC" w:rsidRPr="002C7B68">
        <w:rPr>
          <w:rFonts w:ascii="Times New Roman" w:hAnsi="Times New Roman"/>
          <w:sz w:val="24"/>
          <w:szCs w:val="24"/>
          <w:lang w:val="en-GB"/>
        </w:rPr>
        <w:t xml:space="preserve">recently </w:t>
      </w:r>
      <w:r w:rsidR="00403DC2" w:rsidRPr="002C7B68">
        <w:rPr>
          <w:rFonts w:ascii="Times New Roman" w:hAnsi="Times New Roman"/>
          <w:sz w:val="24"/>
          <w:szCs w:val="24"/>
          <w:lang w:val="en-GB"/>
        </w:rPr>
        <w:t xml:space="preserve">evaluated the activity fosfomycin was evaluated in the neutropenic murine thigh infection model against </w:t>
      </w:r>
      <w:r w:rsidR="00403DC2" w:rsidRPr="002C7B68">
        <w:rPr>
          <w:rFonts w:ascii="Times New Roman" w:hAnsi="Times New Roman"/>
          <w:i/>
          <w:sz w:val="24"/>
          <w:szCs w:val="24"/>
          <w:lang w:val="en-GB"/>
        </w:rPr>
        <w:t>Escherichia coli</w:t>
      </w:r>
      <w:r w:rsidR="00403DC2" w:rsidRPr="002C7B68">
        <w:rPr>
          <w:rFonts w:ascii="Times New Roman" w:hAnsi="Times New Roman"/>
          <w:sz w:val="24"/>
          <w:szCs w:val="24"/>
          <w:lang w:val="en-GB"/>
        </w:rPr>
        <w:t xml:space="preserve">, </w:t>
      </w:r>
      <w:r w:rsidR="00403DC2" w:rsidRPr="002C7B68">
        <w:rPr>
          <w:rFonts w:ascii="Times New Roman" w:hAnsi="Times New Roman"/>
          <w:i/>
          <w:sz w:val="24"/>
          <w:szCs w:val="24"/>
          <w:lang w:val="en-GB"/>
        </w:rPr>
        <w:t>Klebsiella pneumoniae</w:t>
      </w:r>
      <w:r w:rsidR="00403DC2" w:rsidRPr="002C7B68">
        <w:rPr>
          <w:rFonts w:ascii="Times New Roman" w:hAnsi="Times New Roman"/>
          <w:sz w:val="24"/>
          <w:szCs w:val="24"/>
          <w:lang w:val="en-GB"/>
        </w:rPr>
        <w:t xml:space="preserve">, and </w:t>
      </w:r>
      <w:r w:rsidR="00403DC2" w:rsidRPr="002C7B68">
        <w:rPr>
          <w:rFonts w:ascii="Times New Roman" w:hAnsi="Times New Roman"/>
          <w:i/>
          <w:sz w:val="24"/>
          <w:szCs w:val="24"/>
          <w:lang w:val="en-GB"/>
        </w:rPr>
        <w:t>Pseudomonas aeruginosa</w:t>
      </w:r>
      <w:r w:rsidR="00403DC2" w:rsidRPr="002C7B68">
        <w:rPr>
          <w:rFonts w:ascii="Times New Roman" w:hAnsi="Times New Roman"/>
          <w:sz w:val="24"/>
          <w:szCs w:val="24"/>
          <w:lang w:val="en-GB"/>
        </w:rPr>
        <w:t xml:space="preserve"> strains, including a subset with ESBL and carbapenem resistance phenotype. The study showed</w:t>
      </w:r>
      <w:r w:rsidR="001C739C" w:rsidRPr="002C7B68">
        <w:rPr>
          <w:rFonts w:ascii="Times New Roman" w:hAnsi="Times New Roman"/>
          <w:sz w:val="24"/>
          <w:szCs w:val="24"/>
          <w:lang w:val="en-GB"/>
        </w:rPr>
        <w:t xml:space="preserve"> </w:t>
      </w:r>
      <w:r w:rsidR="00EC4E5E" w:rsidRPr="002C7B68">
        <w:rPr>
          <w:rFonts w:ascii="Times New Roman" w:hAnsi="Times New Roman"/>
          <w:sz w:val="24"/>
          <w:szCs w:val="24"/>
          <w:lang w:val="en-GB"/>
        </w:rPr>
        <w:t xml:space="preserve">that </w:t>
      </w:r>
      <w:r w:rsidR="00304179" w:rsidRPr="002C7B68">
        <w:rPr>
          <w:rFonts w:ascii="Times New Roman" w:hAnsi="Times New Roman"/>
          <w:i/>
          <w:sz w:val="24"/>
          <w:szCs w:val="24"/>
          <w:lang w:val="en-GB"/>
        </w:rPr>
        <w:t>f</w:t>
      </w:r>
      <w:r w:rsidR="009977DC" w:rsidRPr="002C7B68">
        <w:rPr>
          <w:rFonts w:ascii="Times New Roman" w:hAnsi="Times New Roman"/>
          <w:sz w:val="24"/>
          <w:szCs w:val="24"/>
          <w:lang w:val="en-GB"/>
        </w:rPr>
        <w:t>AUC</w:t>
      </w:r>
      <w:r w:rsidR="00304179" w:rsidRPr="002C7B68">
        <w:rPr>
          <w:rFonts w:ascii="Times New Roman" w:hAnsi="Times New Roman"/>
          <w:sz w:val="24"/>
          <w:szCs w:val="24"/>
          <w:lang w:val="en-GB"/>
        </w:rPr>
        <w:t>/</w:t>
      </w:r>
      <w:r w:rsidR="00EC4E5E" w:rsidRPr="002C7B68">
        <w:rPr>
          <w:rFonts w:ascii="Times New Roman" w:hAnsi="Times New Roman"/>
          <w:sz w:val="24"/>
          <w:szCs w:val="24"/>
          <w:lang w:val="en-GB"/>
        </w:rPr>
        <w:t xml:space="preserve">MIC is the relevant pharmacodynamic index </w:t>
      </w:r>
      <w:r w:rsidR="00403DC2" w:rsidRPr="002C7B68">
        <w:rPr>
          <w:rFonts w:ascii="Times New Roman" w:hAnsi="Times New Roman"/>
          <w:sz w:val="24"/>
          <w:szCs w:val="24"/>
          <w:lang w:val="en-GB"/>
        </w:rPr>
        <w:t>against these</w:t>
      </w:r>
      <w:r w:rsidR="005708B4" w:rsidRPr="002C7B68">
        <w:rPr>
          <w:rFonts w:ascii="Times New Roman" w:hAnsi="Times New Roman"/>
          <w:sz w:val="24"/>
          <w:szCs w:val="24"/>
          <w:lang w:val="en-GB"/>
        </w:rPr>
        <w:t xml:space="preserve"> </w:t>
      </w:r>
      <w:r w:rsidR="007D6926" w:rsidRPr="002C7B68">
        <w:rPr>
          <w:rFonts w:ascii="Times New Roman" w:hAnsi="Times New Roman"/>
          <w:sz w:val="24"/>
          <w:szCs w:val="24"/>
          <w:lang w:val="en-GB"/>
        </w:rPr>
        <w:t>multidrug-resistant gram-negative bacteria</w:t>
      </w:r>
      <w:r w:rsidR="009027DE" w:rsidRPr="002C7B68">
        <w:rPr>
          <w:rFonts w:ascii="Times New Roman" w:hAnsi="Times New Roman"/>
          <w:sz w:val="24"/>
          <w:szCs w:val="24"/>
          <w:lang w:val="en-GB"/>
        </w:rPr>
        <w:t xml:space="preserve"> </w:t>
      </w:r>
      <w:r w:rsidR="009977DC" w:rsidRPr="002C7B68">
        <w:rPr>
          <w:rFonts w:ascii="Times New Roman" w:hAnsi="Times New Roman"/>
          <w:sz w:val="24"/>
          <w:szCs w:val="24"/>
          <w:lang w:val="en-GB"/>
        </w:rPr>
        <w:fldChar w:fldCharType="begin" w:fldLock="1"/>
      </w:r>
      <w:r w:rsidR="007B72C6" w:rsidRPr="002C7B68">
        <w:rPr>
          <w:rFonts w:ascii="Times New Roman" w:hAnsi="Times New Roman"/>
          <w:sz w:val="24"/>
          <w:szCs w:val="24"/>
          <w:lang w:val="en-GB"/>
        </w:rPr>
        <w:instrText>ADDIN CSL_CITATION { "citationItems" : [ { "id" : "ITEM-1", "itemData" : { "DOI" : "10.1128/AAC.00476-17", "ISSN" : "0066-4804", "abstract" : "Fosfomycin is a broad-spectrum agent with activity against gram-positive and gram-negative bacteria, including drug-resistant strains, such as extended spectrum beta-lactamase (ESBL)-producing and carbapenem-resistant (CR) gram-negative rods. In the present study, the pharmacokinetic/pharmacodynamic (PK/PD) activity of ZTI-01 (fosfomycin for injection) was evaluated in the neutropenic murine thigh infection model against 5 E. coli (EC), 3 K. pneumoniae (KPN), and 2 P. aeruginosa (PSA) strains, including a subset with ESBL and CR phenotype. The pharmacokinetics of ZTI-01 were examined in mice after subcutaneous administration of 3.125, 12.5, 50, 200, 400 and 800 mg/kg. The half-life ranged from 0.51 to 1.1 h, area under the concentration-time curve (AUC 0-\u221e ) ranged from 1.4 to 87 mg*h/L, and maximum concentrations ranged from 0.6 to 42.4 mg/L. Dose fractionation demonstrated AUC/MIC ratio to be the PK/PD index most closely linked to efficacy (R 2 = 0.70). Net stasis and cidal activity was observed against all strains. Net stasis was observed at 24 h AUC/MIC values of 24, 21, and 15 for EC, KPN and PSA, respectively. For the Enterobacteriaceae group stasis was noted at mean 24 h AUC/MIC targets of 23 and 1 log kill at 83. Survival in mice infected with EC 145 was maximal at 24 h AUC/MIC exposures of 9-43, which is comparable to the stasis exposures identified in the PK/PD studies. These results should prove useful for the design of clinical dosing regimens for ZTI-01 in the treatment of serious infections due to Enterobacteriaceae and Pseudomonas .", "author" : [ { "dropping-particle" : "", "family" : "Lepak", "given" : "Alexander J.", "non-dropping-particle" : "", "parse-names" : false, "suffix" : "" }, { "dropping-particle" : "", "family" : "Zhao", "given" : "Miao", "non-dropping-particle" : "", "parse-names" : false, "suffix" : "" }, { "dropping-particle" : "", "family" : "VanScoy", "given" : "Brian", "non-dropping-particle" : "", "parse-names" : false, "suffix" : "" }, { "dropping-particle" : "", "family" : "Taylor", "given" : "Daniel S.", "non-dropping-particle" : "", "parse-names" : false, "suffix" : "" }, { "dropping-particle" : "", "family" : "Ellis-Grosse", "given" : "Evelyn", "non-dropping-particle" : "", "parse-names" : false, "suffix" : "" }, { "dropping-particle" : "", "family" : "Ambrose", "given" : "Paul G.", "non-dropping-particle" : "", "parse-names" : false, "suffix" : "" }, { "dropping-particle" : "", "family" : "Andes", "given" : "David R.", "non-dropping-particle" : "", "parse-names" : false, "suffix" : "" } ], "container-title" : "Antimicrobial Agents and Chemotherapy", "id" : "ITEM-1", "issued" : { "date-parts" : [ [ "2017", "4", "10" ] ] }, "page" : "AAC.00476-17", "title" : "In vivo Pharmacokinetics and Pharmacodynamics of ZTI-01 (Fosfomycin for Injection) in the Neutropenic Murine Thigh Infection Model against E. coli , K. pneumoniae , and P. aeruginosa", "type" : "article-journal" }, "uris" : [ "http://www.mendeley.com/documents/?uuid=60f05778-87a3-4dc6-b3ef-92e264a1070d" ] } ], "mendeley" : { "formattedCitation" : "[12]", "plainTextFormattedCitation" : "[12]", "previouslyFormattedCitation" : "[12]" }, "properties" : {  }, "schema" : "https://github.com/citation-style-language/schema/raw/master/csl-citation.json" }</w:instrText>
      </w:r>
      <w:r w:rsidR="009977DC" w:rsidRPr="002C7B68">
        <w:rPr>
          <w:rFonts w:ascii="Times New Roman" w:hAnsi="Times New Roman"/>
          <w:sz w:val="24"/>
          <w:szCs w:val="24"/>
          <w:lang w:val="en-GB"/>
        </w:rPr>
        <w:fldChar w:fldCharType="separate"/>
      </w:r>
      <w:r w:rsidR="002122DC" w:rsidRPr="002C7B68">
        <w:rPr>
          <w:rFonts w:ascii="Times New Roman" w:hAnsi="Times New Roman"/>
          <w:noProof/>
          <w:sz w:val="24"/>
          <w:szCs w:val="24"/>
          <w:lang w:val="en-GB"/>
        </w:rPr>
        <w:t>[12]</w:t>
      </w:r>
      <w:r w:rsidR="009977DC" w:rsidRPr="002C7B68">
        <w:rPr>
          <w:rFonts w:ascii="Times New Roman" w:hAnsi="Times New Roman"/>
          <w:sz w:val="24"/>
          <w:szCs w:val="24"/>
          <w:lang w:val="en-GB"/>
        </w:rPr>
        <w:fldChar w:fldCharType="end"/>
      </w:r>
      <w:r w:rsidR="00071AA9" w:rsidRPr="002C7B68">
        <w:rPr>
          <w:rFonts w:ascii="Times New Roman" w:hAnsi="Times New Roman"/>
          <w:sz w:val="24"/>
          <w:szCs w:val="24"/>
          <w:lang w:val="en-GB"/>
        </w:rPr>
        <w:t>.</w:t>
      </w:r>
      <w:r w:rsidR="003754C8" w:rsidRPr="002C7B68">
        <w:rPr>
          <w:rFonts w:ascii="Times New Roman" w:hAnsi="Times New Roman"/>
          <w:sz w:val="24"/>
          <w:szCs w:val="24"/>
          <w:lang w:val="en-GB"/>
        </w:rPr>
        <w:t xml:space="preserve"> </w:t>
      </w:r>
      <w:r w:rsidR="00701B40" w:rsidRPr="002C7B68">
        <w:rPr>
          <w:rFonts w:ascii="Times New Roman" w:hAnsi="Times New Roman"/>
          <w:sz w:val="24"/>
          <w:szCs w:val="24"/>
          <w:lang w:val="en-GB"/>
        </w:rPr>
        <w:t>O</w:t>
      </w:r>
      <w:r w:rsidR="008A3EA3" w:rsidRPr="002C7B68">
        <w:rPr>
          <w:rFonts w:ascii="Times New Roman" w:hAnsi="Times New Roman"/>
          <w:sz w:val="24"/>
          <w:szCs w:val="24"/>
          <w:lang w:val="en-GB"/>
        </w:rPr>
        <w:t>ptimized dosing</w:t>
      </w:r>
      <w:r w:rsidR="007D6926" w:rsidRPr="002C7B68">
        <w:rPr>
          <w:rFonts w:ascii="Times New Roman" w:hAnsi="Times New Roman"/>
          <w:sz w:val="24"/>
          <w:szCs w:val="24"/>
          <w:lang w:val="en-GB"/>
        </w:rPr>
        <w:t xml:space="preserve"> of </w:t>
      </w:r>
      <w:r w:rsidR="00983EFA" w:rsidRPr="002C7B68">
        <w:rPr>
          <w:rFonts w:ascii="Times New Roman" w:hAnsi="Times New Roman"/>
          <w:sz w:val="24"/>
          <w:szCs w:val="24"/>
          <w:lang w:val="en-GB"/>
        </w:rPr>
        <w:t xml:space="preserve">fosfomycin </w:t>
      </w:r>
      <w:r w:rsidR="007D6926" w:rsidRPr="002C7B68">
        <w:rPr>
          <w:rFonts w:ascii="Times New Roman" w:hAnsi="Times New Roman"/>
          <w:sz w:val="24"/>
          <w:szCs w:val="24"/>
          <w:lang w:val="en-GB"/>
        </w:rPr>
        <w:t xml:space="preserve">has not </w:t>
      </w:r>
      <w:r w:rsidR="00701B40" w:rsidRPr="002C7B68">
        <w:rPr>
          <w:rFonts w:ascii="Times New Roman" w:hAnsi="Times New Roman"/>
          <w:sz w:val="24"/>
          <w:szCs w:val="24"/>
          <w:lang w:val="en-GB"/>
        </w:rPr>
        <w:t xml:space="preserve">yet </w:t>
      </w:r>
      <w:r w:rsidR="007D6926" w:rsidRPr="002C7B68">
        <w:rPr>
          <w:rFonts w:ascii="Times New Roman" w:hAnsi="Times New Roman"/>
          <w:sz w:val="24"/>
          <w:szCs w:val="24"/>
          <w:lang w:val="en-GB"/>
        </w:rPr>
        <w:t>been explored using these</w:t>
      </w:r>
      <w:r w:rsidR="00983EFA" w:rsidRPr="002C7B68">
        <w:rPr>
          <w:rFonts w:ascii="Times New Roman" w:hAnsi="Times New Roman"/>
          <w:sz w:val="24"/>
          <w:szCs w:val="24"/>
          <w:lang w:val="en-GB"/>
        </w:rPr>
        <w:t xml:space="preserve"> </w:t>
      </w:r>
      <w:r w:rsidR="00983EFA" w:rsidRPr="002C7B68">
        <w:rPr>
          <w:rFonts w:ascii="Times New Roman" w:hAnsi="Times New Roman"/>
          <w:i/>
          <w:sz w:val="24"/>
          <w:szCs w:val="24"/>
          <w:lang w:val="en-GB"/>
        </w:rPr>
        <w:t>in vivo</w:t>
      </w:r>
      <w:r w:rsidR="00983EFA" w:rsidRPr="002C7B68">
        <w:rPr>
          <w:rFonts w:ascii="Times New Roman" w:hAnsi="Times New Roman"/>
          <w:sz w:val="24"/>
          <w:szCs w:val="24"/>
          <w:lang w:val="en-GB"/>
        </w:rPr>
        <w:t xml:space="preserve"> pharmacodynamic targets.</w:t>
      </w:r>
      <w:r w:rsidR="006509AE" w:rsidRPr="002C7B68">
        <w:rPr>
          <w:rFonts w:ascii="Times New Roman" w:hAnsi="Times New Roman"/>
          <w:sz w:val="24"/>
          <w:szCs w:val="24"/>
          <w:lang w:val="en-GB"/>
        </w:rPr>
        <w:t xml:space="preserve"> </w:t>
      </w:r>
    </w:p>
    <w:p w14:paraId="12A3911C" w14:textId="763E245B" w:rsidR="001C739C" w:rsidRPr="002C7B68" w:rsidRDefault="002A1DFF" w:rsidP="007F587E">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Thus, the</w:t>
      </w:r>
      <w:r w:rsidR="001C739C" w:rsidRPr="002C7B68">
        <w:rPr>
          <w:rFonts w:ascii="Times New Roman" w:hAnsi="Times New Roman"/>
          <w:sz w:val="24"/>
          <w:szCs w:val="24"/>
          <w:lang w:val="en-GB"/>
        </w:rPr>
        <w:t xml:space="preserve"> aim of the present study </w:t>
      </w:r>
      <w:r w:rsidR="00EC4E5E" w:rsidRPr="002C7B68">
        <w:rPr>
          <w:rFonts w:ascii="Times New Roman" w:hAnsi="Times New Roman"/>
          <w:sz w:val="24"/>
          <w:szCs w:val="24"/>
          <w:lang w:val="en-GB"/>
        </w:rPr>
        <w:t xml:space="preserve">was </w:t>
      </w:r>
      <w:r w:rsidR="001C739C" w:rsidRPr="002C7B68">
        <w:rPr>
          <w:rFonts w:ascii="Times New Roman" w:hAnsi="Times New Roman"/>
          <w:sz w:val="24"/>
          <w:szCs w:val="24"/>
          <w:lang w:val="en-GB"/>
        </w:rPr>
        <w:t xml:space="preserve">to </w:t>
      </w:r>
      <w:r w:rsidR="008A3EA3" w:rsidRPr="002C7B68">
        <w:rPr>
          <w:rFonts w:ascii="Times New Roman" w:hAnsi="Times New Roman"/>
          <w:sz w:val="24"/>
          <w:szCs w:val="24"/>
          <w:lang w:val="en-GB"/>
        </w:rPr>
        <w:t xml:space="preserve">better </w:t>
      </w:r>
      <w:r w:rsidR="001C739C" w:rsidRPr="002C7B68">
        <w:rPr>
          <w:rFonts w:ascii="Times New Roman" w:hAnsi="Times New Roman"/>
          <w:sz w:val="24"/>
          <w:szCs w:val="24"/>
          <w:lang w:val="en-GB"/>
        </w:rPr>
        <w:t>understand the variability of fosfomycin pharmacokinetic</w:t>
      </w:r>
      <w:r w:rsidR="006509AE" w:rsidRPr="002C7B68">
        <w:rPr>
          <w:rFonts w:ascii="Times New Roman" w:hAnsi="Times New Roman"/>
          <w:sz w:val="24"/>
          <w:szCs w:val="24"/>
          <w:lang w:val="en-GB"/>
        </w:rPr>
        <w:t>s</w:t>
      </w:r>
      <w:r w:rsidR="001C739C" w:rsidRPr="002C7B68">
        <w:rPr>
          <w:rFonts w:ascii="Times New Roman" w:hAnsi="Times New Roman"/>
          <w:sz w:val="24"/>
          <w:szCs w:val="24"/>
          <w:lang w:val="en-GB"/>
        </w:rPr>
        <w:t xml:space="preserve"> in patients </w:t>
      </w:r>
      <w:r w:rsidR="00C67206" w:rsidRPr="002C7B68">
        <w:rPr>
          <w:rFonts w:ascii="Times New Roman" w:hAnsi="Times New Roman"/>
          <w:sz w:val="24"/>
          <w:szCs w:val="24"/>
          <w:lang w:val="en-GB"/>
        </w:rPr>
        <w:t xml:space="preserve">with bacteraemic urinary tract infection (B-UTI) </w:t>
      </w:r>
      <w:r w:rsidR="001C739C" w:rsidRPr="002C7B68">
        <w:rPr>
          <w:rFonts w:ascii="Times New Roman" w:hAnsi="Times New Roman"/>
          <w:sz w:val="24"/>
          <w:szCs w:val="24"/>
          <w:lang w:val="en-GB"/>
        </w:rPr>
        <w:t xml:space="preserve">and to </w:t>
      </w:r>
      <w:r w:rsidR="006509AE" w:rsidRPr="002C7B68">
        <w:rPr>
          <w:rFonts w:ascii="Times New Roman" w:hAnsi="Times New Roman"/>
          <w:sz w:val="24"/>
          <w:szCs w:val="24"/>
          <w:lang w:val="en-GB"/>
        </w:rPr>
        <w:t>identify optimal</w:t>
      </w:r>
      <w:r w:rsidR="001C739C" w:rsidRPr="002C7B68">
        <w:rPr>
          <w:rFonts w:ascii="Times New Roman" w:hAnsi="Times New Roman"/>
          <w:sz w:val="24"/>
          <w:szCs w:val="24"/>
          <w:lang w:val="en-GB"/>
        </w:rPr>
        <w:t xml:space="preserve"> regimens </w:t>
      </w:r>
      <w:r w:rsidR="006509AE" w:rsidRPr="002C7B68">
        <w:rPr>
          <w:rFonts w:ascii="Times New Roman" w:hAnsi="Times New Roman"/>
          <w:sz w:val="24"/>
          <w:szCs w:val="24"/>
          <w:lang w:val="en-GB"/>
        </w:rPr>
        <w:t xml:space="preserve">that are </w:t>
      </w:r>
      <w:r w:rsidR="001C739C" w:rsidRPr="002C7B68">
        <w:rPr>
          <w:rFonts w:ascii="Times New Roman" w:hAnsi="Times New Roman"/>
          <w:sz w:val="24"/>
          <w:szCs w:val="24"/>
          <w:lang w:val="en-GB"/>
        </w:rPr>
        <w:t>based on the recent</w:t>
      </w:r>
      <w:r w:rsidR="008A3EA3" w:rsidRPr="002C7B68">
        <w:rPr>
          <w:rFonts w:ascii="Times New Roman" w:hAnsi="Times New Roman"/>
          <w:sz w:val="24"/>
          <w:szCs w:val="24"/>
          <w:lang w:val="en-GB"/>
        </w:rPr>
        <w:t>ly described</w:t>
      </w:r>
      <w:r w:rsidR="001C739C" w:rsidRPr="002C7B68">
        <w:rPr>
          <w:rFonts w:ascii="Times New Roman" w:hAnsi="Times New Roman"/>
          <w:sz w:val="24"/>
          <w:szCs w:val="24"/>
          <w:lang w:val="en-GB"/>
        </w:rPr>
        <w:t xml:space="preserve"> </w:t>
      </w:r>
      <w:r w:rsidR="001C739C" w:rsidRPr="002C7B68">
        <w:rPr>
          <w:rFonts w:ascii="Times New Roman" w:hAnsi="Times New Roman"/>
          <w:sz w:val="24"/>
          <w:szCs w:val="24"/>
          <w:lang w:val="en-GB"/>
        </w:rPr>
        <w:lastRenderedPageBreak/>
        <w:t>pharmacodynamic targets</w:t>
      </w:r>
      <w:r w:rsidR="00701B40" w:rsidRPr="002C7B68">
        <w:rPr>
          <w:rFonts w:ascii="Times New Roman" w:hAnsi="Times New Roman"/>
          <w:sz w:val="24"/>
          <w:szCs w:val="24"/>
          <w:lang w:val="en-GB"/>
        </w:rPr>
        <w:t xml:space="preserve"> for orders of logarithmic killing and resistance suppression</w:t>
      </w:r>
      <w:r w:rsidR="008A3EA3" w:rsidRPr="002C7B68">
        <w:rPr>
          <w:rFonts w:ascii="Times New Roman" w:hAnsi="Times New Roman"/>
          <w:sz w:val="24"/>
          <w:szCs w:val="24"/>
          <w:lang w:val="en-GB"/>
        </w:rPr>
        <w:t>.</w:t>
      </w:r>
      <w:r w:rsidR="00983EFA" w:rsidRPr="002C7B68">
        <w:rPr>
          <w:rFonts w:ascii="Times New Roman" w:hAnsi="Times New Roman"/>
          <w:sz w:val="24"/>
          <w:szCs w:val="24"/>
          <w:lang w:val="en-GB"/>
        </w:rPr>
        <w:t xml:space="preserve"> </w:t>
      </w:r>
      <w:r w:rsidR="008A3EA3" w:rsidRPr="002C7B68">
        <w:rPr>
          <w:rFonts w:ascii="Times New Roman" w:hAnsi="Times New Roman"/>
          <w:sz w:val="24"/>
          <w:szCs w:val="24"/>
          <w:lang w:val="en-GB"/>
        </w:rPr>
        <w:t>Such as approach also provides an opportunity to</w:t>
      </w:r>
      <w:r w:rsidR="007D6926" w:rsidRPr="002C7B68">
        <w:rPr>
          <w:rFonts w:ascii="Times New Roman" w:hAnsi="Times New Roman"/>
          <w:sz w:val="24"/>
          <w:szCs w:val="24"/>
          <w:lang w:val="en-GB"/>
        </w:rPr>
        <w:t xml:space="preserve"> </w:t>
      </w:r>
      <w:r w:rsidR="008A3EA3" w:rsidRPr="002C7B68">
        <w:rPr>
          <w:rFonts w:ascii="Times New Roman" w:hAnsi="Times New Roman"/>
          <w:sz w:val="24"/>
          <w:szCs w:val="24"/>
          <w:lang w:val="en-GB"/>
        </w:rPr>
        <w:t>reflect on the adequacy of</w:t>
      </w:r>
      <w:r w:rsidR="007D6926" w:rsidRPr="002C7B68">
        <w:rPr>
          <w:rFonts w:ascii="Times New Roman" w:hAnsi="Times New Roman"/>
          <w:sz w:val="24"/>
          <w:szCs w:val="24"/>
          <w:lang w:val="en-GB"/>
        </w:rPr>
        <w:t xml:space="preserve"> current</w:t>
      </w:r>
      <w:r w:rsidR="008A3EA3" w:rsidRPr="002C7B68">
        <w:rPr>
          <w:rFonts w:ascii="Times New Roman" w:hAnsi="Times New Roman"/>
          <w:sz w:val="24"/>
          <w:szCs w:val="24"/>
          <w:lang w:val="en-GB"/>
        </w:rPr>
        <w:t>ly recommended</w:t>
      </w:r>
      <w:r w:rsidR="007D6926" w:rsidRPr="002C7B68">
        <w:rPr>
          <w:rFonts w:ascii="Times New Roman" w:hAnsi="Times New Roman"/>
          <w:sz w:val="24"/>
          <w:szCs w:val="24"/>
          <w:lang w:val="en-GB"/>
        </w:rPr>
        <w:t xml:space="preserve"> </w:t>
      </w:r>
      <w:r w:rsidR="008A3EA3" w:rsidRPr="002C7B68">
        <w:rPr>
          <w:rFonts w:ascii="Times New Roman" w:hAnsi="Times New Roman"/>
          <w:i/>
          <w:sz w:val="24"/>
          <w:szCs w:val="24"/>
          <w:lang w:val="en-GB"/>
        </w:rPr>
        <w:t>in vitro</w:t>
      </w:r>
      <w:r w:rsidR="008A3EA3" w:rsidRPr="002C7B68">
        <w:rPr>
          <w:rFonts w:ascii="Times New Roman" w:hAnsi="Times New Roman"/>
          <w:sz w:val="24"/>
          <w:szCs w:val="24"/>
          <w:lang w:val="en-GB"/>
        </w:rPr>
        <w:t xml:space="preserve"> </w:t>
      </w:r>
      <w:r w:rsidR="007D6926" w:rsidRPr="002C7B68">
        <w:rPr>
          <w:rFonts w:ascii="Times New Roman" w:hAnsi="Times New Roman"/>
          <w:sz w:val="24"/>
          <w:szCs w:val="24"/>
          <w:lang w:val="en-GB"/>
        </w:rPr>
        <w:t xml:space="preserve">susceptibility breakpoints </w:t>
      </w:r>
      <w:r w:rsidR="00EF0D9A" w:rsidRPr="002C7B68">
        <w:rPr>
          <w:rFonts w:ascii="Times New Roman" w:hAnsi="Times New Roman"/>
          <w:sz w:val="24"/>
          <w:szCs w:val="24"/>
          <w:lang w:val="en-GB"/>
        </w:rPr>
        <w:t>established by</w:t>
      </w:r>
      <w:r w:rsidR="007D6926" w:rsidRPr="002C7B68">
        <w:rPr>
          <w:rFonts w:ascii="Times New Roman" w:hAnsi="Times New Roman"/>
          <w:sz w:val="24"/>
          <w:szCs w:val="24"/>
          <w:lang w:val="en-GB"/>
        </w:rPr>
        <w:t xml:space="preserve"> CLSI and EUCAST </w:t>
      </w:r>
      <w:r w:rsidR="009977DC" w:rsidRPr="002C7B68">
        <w:rPr>
          <w:rFonts w:ascii="Times New Roman" w:hAnsi="Times New Roman"/>
          <w:sz w:val="24"/>
          <w:szCs w:val="24"/>
          <w:lang w:val="en-GB"/>
        </w:rPr>
        <w:t>committees</w:t>
      </w:r>
      <w:r w:rsidR="00EF0D9A" w:rsidRPr="002C7B68">
        <w:rPr>
          <w:rFonts w:ascii="Times New Roman" w:hAnsi="Times New Roman"/>
          <w:sz w:val="24"/>
          <w:szCs w:val="24"/>
          <w:lang w:val="en-GB"/>
        </w:rPr>
        <w:t xml:space="preserve"> for </w:t>
      </w:r>
      <w:r w:rsidR="00EF0D9A" w:rsidRPr="002C7B68">
        <w:rPr>
          <w:rFonts w:ascii="Times New Roman" w:hAnsi="Times New Roman"/>
          <w:i/>
          <w:sz w:val="24"/>
          <w:szCs w:val="24"/>
          <w:lang w:val="en-GB"/>
        </w:rPr>
        <w:t>E</w:t>
      </w:r>
      <w:r w:rsidR="00403DC2" w:rsidRPr="002C7B68">
        <w:rPr>
          <w:rFonts w:ascii="Times New Roman" w:hAnsi="Times New Roman"/>
          <w:i/>
          <w:sz w:val="24"/>
          <w:szCs w:val="24"/>
          <w:lang w:val="en-GB"/>
        </w:rPr>
        <w:t>.</w:t>
      </w:r>
      <w:r w:rsidR="00EF0D9A" w:rsidRPr="002C7B68">
        <w:rPr>
          <w:rFonts w:ascii="Times New Roman" w:hAnsi="Times New Roman"/>
          <w:i/>
          <w:sz w:val="24"/>
          <w:szCs w:val="24"/>
          <w:lang w:val="en-GB"/>
        </w:rPr>
        <w:t xml:space="preserve"> coli</w:t>
      </w:r>
      <w:r w:rsidR="003C6F8B" w:rsidRPr="002C7B68">
        <w:rPr>
          <w:rFonts w:ascii="Times New Roman" w:hAnsi="Times New Roman"/>
          <w:sz w:val="24"/>
          <w:szCs w:val="24"/>
          <w:lang w:val="en-GB"/>
        </w:rPr>
        <w:t xml:space="preserve"> clinical isolates</w:t>
      </w:r>
      <w:r w:rsidR="001C739C" w:rsidRPr="002C7B68">
        <w:rPr>
          <w:rFonts w:ascii="Times New Roman" w:hAnsi="Times New Roman"/>
          <w:sz w:val="24"/>
          <w:szCs w:val="24"/>
          <w:lang w:val="en-GB"/>
        </w:rPr>
        <w:t xml:space="preserve">. </w:t>
      </w:r>
    </w:p>
    <w:p w14:paraId="5ACE04BE" w14:textId="77777777" w:rsidR="00A861DB" w:rsidRPr="002C7B68" w:rsidRDefault="00A861DB" w:rsidP="008F68CC">
      <w:pPr>
        <w:autoSpaceDE w:val="0"/>
        <w:autoSpaceDN w:val="0"/>
        <w:adjustRightInd w:val="0"/>
        <w:spacing w:after="0" w:line="480" w:lineRule="auto"/>
        <w:rPr>
          <w:rFonts w:ascii="Times New Roman" w:hAnsi="Times New Roman"/>
          <w:sz w:val="24"/>
          <w:szCs w:val="24"/>
          <w:lang w:val="en-GB"/>
        </w:rPr>
      </w:pPr>
    </w:p>
    <w:p w14:paraId="06EE8E67" w14:textId="77777777" w:rsidR="00D7284D" w:rsidRPr="002C7B68" w:rsidRDefault="00325503" w:rsidP="00BD6DCD">
      <w:pPr>
        <w:spacing w:line="480" w:lineRule="auto"/>
        <w:rPr>
          <w:rFonts w:ascii="Times New Roman" w:hAnsi="Times New Roman"/>
          <w:b/>
          <w:sz w:val="24"/>
          <w:szCs w:val="24"/>
          <w:lang w:val="en-GB"/>
        </w:rPr>
      </w:pPr>
      <w:r w:rsidRPr="002C7B68">
        <w:rPr>
          <w:rFonts w:ascii="Times New Roman" w:hAnsi="Times New Roman"/>
          <w:b/>
          <w:sz w:val="24"/>
          <w:szCs w:val="24"/>
          <w:lang w:val="en-GB"/>
        </w:rPr>
        <w:t>MATERIAL AND METHODS</w:t>
      </w:r>
    </w:p>
    <w:p w14:paraId="08D9ADBC" w14:textId="03FC0D14" w:rsidR="00BD6DCD" w:rsidRPr="002C7B68" w:rsidRDefault="00BD6DCD" w:rsidP="003A385A">
      <w:pPr>
        <w:spacing w:line="480" w:lineRule="auto"/>
        <w:rPr>
          <w:rFonts w:ascii="Times New Roman" w:hAnsi="Times New Roman"/>
          <w:b/>
          <w:sz w:val="24"/>
          <w:szCs w:val="24"/>
          <w:lang w:val="en-GB"/>
        </w:rPr>
      </w:pPr>
      <w:r w:rsidRPr="002C7B68">
        <w:rPr>
          <w:rFonts w:ascii="Times New Roman" w:hAnsi="Times New Roman"/>
          <w:b/>
          <w:sz w:val="24"/>
          <w:szCs w:val="24"/>
          <w:lang w:val="en-GB"/>
        </w:rPr>
        <w:t xml:space="preserve">Study design and </w:t>
      </w:r>
      <w:r w:rsidR="00C75838" w:rsidRPr="002C7B68">
        <w:rPr>
          <w:rFonts w:ascii="Times New Roman" w:hAnsi="Times New Roman"/>
          <w:b/>
          <w:sz w:val="24"/>
          <w:szCs w:val="24"/>
          <w:lang w:val="en-GB"/>
        </w:rPr>
        <w:t>patient’s</w:t>
      </w:r>
      <w:r w:rsidRPr="002C7B68">
        <w:rPr>
          <w:rFonts w:ascii="Times New Roman" w:hAnsi="Times New Roman"/>
          <w:b/>
          <w:sz w:val="24"/>
          <w:szCs w:val="24"/>
          <w:lang w:val="en-GB"/>
        </w:rPr>
        <w:t xml:space="preserve"> population</w:t>
      </w:r>
    </w:p>
    <w:p w14:paraId="21EAAE23" w14:textId="5CE31639" w:rsidR="00B07C7F" w:rsidRPr="002C7B68" w:rsidRDefault="00BD6DCD" w:rsidP="003A385A">
      <w:pPr>
        <w:autoSpaceDE w:val="0"/>
        <w:autoSpaceDN w:val="0"/>
        <w:adjustRightInd w:val="0"/>
        <w:spacing w:after="0" w:line="480" w:lineRule="auto"/>
        <w:jc w:val="both"/>
        <w:rPr>
          <w:rFonts w:ascii="Times New Roman" w:hAnsi="Times New Roman"/>
          <w:sz w:val="24"/>
          <w:szCs w:val="24"/>
          <w:lang w:val="en-GB"/>
        </w:rPr>
      </w:pPr>
      <w:r w:rsidRPr="002C7B68">
        <w:rPr>
          <w:rFonts w:ascii="Times New Roman" w:hAnsi="Times New Roman"/>
          <w:sz w:val="24"/>
          <w:szCs w:val="24"/>
          <w:lang w:val="en-GB"/>
        </w:rPr>
        <w:t xml:space="preserve">Patients with </w:t>
      </w:r>
      <w:r w:rsidR="00C67206" w:rsidRPr="002C7B68">
        <w:rPr>
          <w:rFonts w:ascii="Times New Roman" w:hAnsi="Times New Roman"/>
          <w:sz w:val="24"/>
          <w:szCs w:val="24"/>
          <w:lang w:val="en-GB"/>
        </w:rPr>
        <w:t>B-UTI</w:t>
      </w:r>
      <w:r w:rsidRPr="002C7B68">
        <w:rPr>
          <w:rFonts w:ascii="Times New Roman" w:hAnsi="Times New Roman"/>
          <w:sz w:val="24"/>
          <w:szCs w:val="24"/>
          <w:lang w:val="en-GB"/>
        </w:rPr>
        <w:t xml:space="preserve"> due to multidrug-resistant </w:t>
      </w:r>
      <w:r w:rsidRPr="002C7B68">
        <w:rPr>
          <w:rFonts w:ascii="Times New Roman" w:hAnsi="Times New Roman"/>
          <w:i/>
          <w:sz w:val="24"/>
          <w:szCs w:val="24"/>
          <w:lang w:val="en-GB"/>
        </w:rPr>
        <w:t>E</w:t>
      </w:r>
      <w:r w:rsidR="003A385A" w:rsidRPr="002C7B68">
        <w:rPr>
          <w:rFonts w:ascii="Times New Roman" w:hAnsi="Times New Roman"/>
          <w:i/>
          <w:sz w:val="24"/>
          <w:szCs w:val="24"/>
          <w:lang w:val="en-GB"/>
        </w:rPr>
        <w:t>.</w:t>
      </w:r>
      <w:r w:rsidRPr="002C7B68">
        <w:rPr>
          <w:rFonts w:ascii="Times New Roman" w:hAnsi="Times New Roman"/>
          <w:i/>
          <w:sz w:val="24"/>
          <w:szCs w:val="24"/>
          <w:lang w:val="en-GB"/>
        </w:rPr>
        <w:t xml:space="preserve"> coli</w:t>
      </w:r>
      <w:r w:rsidRPr="002C7B68">
        <w:rPr>
          <w:rFonts w:ascii="Times New Roman" w:hAnsi="Times New Roman"/>
          <w:sz w:val="24"/>
          <w:szCs w:val="24"/>
          <w:lang w:val="en-GB"/>
        </w:rPr>
        <w:t xml:space="preserve"> were </w:t>
      </w:r>
      <w:r w:rsidR="003A385A" w:rsidRPr="002C7B68">
        <w:rPr>
          <w:rFonts w:ascii="Times New Roman" w:hAnsi="Times New Roman"/>
          <w:sz w:val="24"/>
          <w:szCs w:val="24"/>
          <w:lang w:val="en-GB"/>
        </w:rPr>
        <w:t>eligible</w:t>
      </w:r>
      <w:r w:rsidRPr="002C7B68">
        <w:rPr>
          <w:rFonts w:ascii="Times New Roman" w:hAnsi="Times New Roman"/>
          <w:sz w:val="24"/>
          <w:szCs w:val="24"/>
          <w:lang w:val="en-GB"/>
        </w:rPr>
        <w:t xml:space="preserve"> for </w:t>
      </w:r>
      <w:r w:rsidR="00342E1B" w:rsidRPr="002C7B68">
        <w:rPr>
          <w:rFonts w:ascii="Times New Roman" w:hAnsi="Times New Roman"/>
          <w:sz w:val="24"/>
          <w:szCs w:val="24"/>
          <w:lang w:val="en-GB"/>
        </w:rPr>
        <w:t>the</w:t>
      </w:r>
      <w:r w:rsidRPr="002C7B68">
        <w:rPr>
          <w:rFonts w:ascii="Times New Roman" w:hAnsi="Times New Roman"/>
          <w:sz w:val="24"/>
          <w:szCs w:val="24"/>
          <w:lang w:val="en-GB"/>
        </w:rPr>
        <w:t xml:space="preserve"> FOREST clinical trial (NCT02142751)</w:t>
      </w:r>
      <w:r w:rsidR="00773669">
        <w:rPr>
          <w:rFonts w:ascii="Times New Roman" w:hAnsi="Times New Roman"/>
          <w:sz w:val="24"/>
          <w:szCs w:val="24"/>
          <w:lang w:val="en-GB"/>
        </w:rPr>
        <w:t xml:space="preserve"> </w:t>
      </w:r>
      <w:r w:rsidR="00773669">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"DOI" : "10.1111/j.1469-0691.2011.03570.x", "ISSN" : "1198743X", "author" : [ { "dropping-particle" : "", "family" : "Magiorakos", "given" : "A.-P.", "non-dropping-particle" : "", "parse-names" : false, "suffix" : "" }, { "dropping-particle" : "", "family" : "Srinivasan", "given" : "A.", "non-dropping-particle" : "", "parse-names" : false, "suffix" : "" }, { "dropping-particle" : "", "family" : "Carey", "given" : "R.B.", "non-dropping-particle" : "", "parse-names" : false, "suffix" : "" }, { "dropping-particle" : "", "family" : "Carmeli", "given" : "Y.", "non-dropping-particle" : "", "parse-names" : false, "suffix" : "" }, { "dropping-particle" : "", "family" : "Falagas", "given" : "M.E.", "non-dropping-particle" : "", "parse-names" : false, "suffix" : "" }, { "dropping-particle" : "", "family" : "Giske", "given" : "C.G.", "non-dropping-particle" : "", "parse-names" : false, "suffix" : "" }, { "dropping-particle" : "", "family" : "Harbarth", "given" : "S.", "non-dropping-particle" : "", "parse-names" : false, "suffix" : "" }, { "dropping-particle" : "", "family" : "Hindler", "given" : "J.F.", "non-dropping-particle" : "", "parse-names" : false, "suffix" : "" }, { "dropping-particle" : "", "family" : "Kahlmeter", "given" : "G.", "non-dropping-particle" : "", "parse-names" : false, "suffix" : "" }, { "dropping-particle" : "", "family" : "Olsson-Liljequist", "given" : "B.", "non-dropping-particle" : "", "parse-names" : false, "suffix" : "" }, { "dropping-particle" : "", "family" : "Paterson", "given" : "D.L.", "non-dropping-particle" : "", "parse-names" : false, "suffix" : "" }, { "dropping-particle" : "", "family" : "Rice", "given" : "L.B.", "non-dropping-particle" : "", "parse-names" : false, "suffix" : "" }, { "dropping-particle" : "", "family" : "Stelling", "given" : "J.", "non-dropping-particle" : "", "parse-names" : false, "suffix" : "" }, { "dropping-particle" : "", "family" : "Struelens", "given" : "M.J.", "non-dropping-particle" : "", "parse-names" : false, "suffix" : "" }, { "dropping-particle" : "", "family" : "Vatopoulos", "given" : "A.", "non-dropping-particle" : "", "parse-names" : false, "suffix" : "" }, { "dropping-particle" : "", "family" : "Weber", "given" : "J.T.", "non-dropping-particle" : "", "parse-names" : false, "suffix" : "" }, { "dropping-particle" : "", "family" : "Monnet", "given" : "D.L.", "non-dropping-particle" : "", "parse-names" : false, "suffix" : "" } ], "container-title" : "Clinical Microbiology and Infection", "id" : "ITEM-1", "issue" : "3", "issued" : { "date-parts" : [ [ "2012", "3" ] ] }, "page" : "268-281", "title" : "Multidrug-resistant, extensively drug-resistant and pandrug-resistant bacteria: an international expert proposal for interim standard definitions for acquired resistance", "type" : "article-journal", "volume" : "18" }, "uris" : [ "http://www.mendeley.com/documents/?uuid=04664e84-2bab-4c27-89db-fdae2bafcf78" ] } ], "mendeley" : { "formattedCitation" : "[13]", "plainTextFormattedCitation" : "[13]", "previouslyFormattedCitation" : "[13]" }, "properties" : {  }, "schema" : "https://github.com/citation-style-language/schema/raw/master/csl-citation.json" }</w:instrText>
      </w:r>
      <w:r w:rsidR="00773669">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[13]</w:t>
      </w:r>
      <w:r w:rsidR="00773669">
        <w:rPr>
          <w:rFonts w:ascii="Times New Roman" w:hAnsi="Times New Roman"/>
          <w:sz w:val="24"/>
          <w:szCs w:val="24"/>
          <w:lang w:val="en-GB"/>
        </w:rPr>
        <w:fldChar w:fldCharType="end"/>
      </w:r>
      <w:r w:rsidR="00A6692B" w:rsidRPr="002C7B68">
        <w:rPr>
          <w:rFonts w:ascii="Times New Roman" w:hAnsi="Times New Roman"/>
          <w:sz w:val="24"/>
          <w:szCs w:val="24"/>
          <w:lang w:val="en-GB"/>
        </w:rPr>
        <w:t xml:space="preserve">; 16 consecutive patients hospitalised at University Hospital Virgen Macarena (Sevilla) </w:t>
      </w:r>
      <w:r w:rsidR="00701B40" w:rsidRPr="002C7B68">
        <w:rPr>
          <w:rFonts w:ascii="Times New Roman" w:hAnsi="Times New Roman"/>
          <w:sz w:val="24"/>
          <w:szCs w:val="24"/>
          <w:lang w:val="en-GB"/>
        </w:rPr>
        <w:t xml:space="preserve">participated </w:t>
      </w:r>
      <w:r w:rsidR="00A6692B" w:rsidRPr="002C7B68">
        <w:rPr>
          <w:rFonts w:ascii="Times New Roman" w:hAnsi="Times New Roman"/>
          <w:sz w:val="24"/>
          <w:szCs w:val="24"/>
          <w:lang w:val="en-GB"/>
        </w:rPr>
        <w:t xml:space="preserve">in the trial between July 2013 and October 2016 </w:t>
      </w:r>
      <w:r w:rsidR="008C6EC2" w:rsidRPr="002C7B68">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"DOI" : "10.1136/bmjopen-2014-007363", "ISSN" : "2044-6055", "PMID" : "25829373", "abstract" : "INTRODUCTION Finding therapeutic alternatives to carbapenems in infections caused by extended-spectrum \u03b2-lactamase-producing Escherichia coli (ESBL-EC) is imperative. Although fosfomycin was discovered more than 40 years ago, it was not investigated in accordance with current standards and so is not used in clinical practice except in desperate situations. It is one of the so-called neglected antibiotics of high potential interest for the future. METHODS AND ANALYSIS The main objective of this project is to demonstrate the clinical non-inferiority of intravenous fosfomycin with regard to meropenem for treating bacteraemic urinary tract infections (UTI) caused by ESBL-EC. This is a 'real practice' multicentre, open-label, phase III randomised controlled trial, designed to compare the clinical and microbiological efficacy, and safety of intravenous fosfomycin (4 g/6 h) and meropenem (1 g/8 h) as targeted therapy for this infection; a change to oral therapy is permitted after 5 days in both arms, in accordance with predetermined options. The study design follows the latest recommendations for designing trials investigating new options for multidrug-resistant bacteria. Secondary objectives include the study of fosfomycin concentrations in plasma and the impact of both drugs on intestinal colonisation by multidrug-resistant Gram-negative bacilli. ETHICS AND DISSEMINATION Ethical approval was obtained from the Andalusian Coordinating Institutional Review Board (IRB) for Biomedical Research (Referral Ethics Committee), which obtained approval from the local ethics committees at all participating sites in Spain (22 sites). Data will be presented at international conferences and published in peer-reviewed journals. DISCUSSION This project is proposed as an initial step in the investigation of an orphan antimicrobial of low cost with high potential as a therapeutic alternative in common infections such as UTI in selected patients. These results may have a major impact on the use of antibiotics and the development of new projects with this drug, whether as monotherapy or combination therapy. TRIAL REGISTRATION NUMBER NCT02142751. EudraCT no: 2013-002922-21. Protocol V.1.1 dated 14 March 2014.", "author" : [ { "dropping-particle" : "", "family" : "Rosso-Fern\u00e1ndez", "given" : "Clara", "non-dropping-particle" : "", "parse-names" : false, "suffix" : "" }, { "dropping-particle" : "", "family" : "Sojo-Dorado", "given" : "Jes\u00fas", "non-dropping-particle" : "", "parse-names" : false, "suffix" : "" }, { "dropping-particle" : "", "family" : "Barriga", "given" : "Angel", "non-dropping-particle" : "", "parse-names" : false, "suffix" : "" }, { "dropping-particle" : "", "family" : "Lav\u00edn-Alconero", "given" : "Luc\u00eda", "non-dropping-particle" : "", "parse-names" : false, "suffix" : "" }, { "dropping-particle" : "", "family" : "Palacios", "given" : "Zaira", "non-dropping-particle" : "", "parse-names" : false, "suffix" : "" }, { "dropping-particle" : "", "family" : "L\u00f3pez-Hern\u00e1ndez", "given" : "Inmaculada", "non-dropping-particle" : "", "parse-names" : false, "suffix" : "" }, { "dropping-particle" : "", "family" : "Merino", "given" : "Vicente", "non-dropping-particle" : "", "parse-names" : false, "suffix" : "" }, { "dropping-particle" : "", "family" : "Camean", "given" : "Manuel", "non-dropping-particle" : "", "parse-names" : false, "suffix" : "" }, { "dropping-particle" : "", "family" : "Pascual", "given" : "Alvaro", "non-dropping-particle" : "", "parse-names" : false, "suffix" : "" }, { "dropping-particle" : "", "family" : "Rodr\u00edguez-Ba\u00f1o", "given" : "Jes\u00fas", "non-dropping-particle" : "", "parse-names" : false, "suffix" : "" }, { "dropping-particle" : "", "family" : "FOREST Study Group", "given" : "", "non-dropping-particle" : "", "parse-names" : false, "suffix" : "" } ], "container-title" : "BMJ open", "id" : "ITEM-1", "issue" : "3", "issued" : { "date-parts" : [ [ "2015", "3" ] ] }, "page" : "e007363", "title" : "Fosfomycin versus meropenem in bacteraemic urinary tract infections caused by extended-spectrum \u03b2-lactamase-producing Escherichia coli (FOREST): study protocol for an investigator-driven randomised controlled trial.", "type" : "article-journal", "volume" : "5" }, "uris" : [ "http://www.mendeley.com/documents/?uuid=6f908690-5682-4b60-a701-9a4674915487" ] } ], "mendeley" : { "formattedCitation" : "[14]", "plainTextFormattedCitation" : "[14]", "previouslyFormattedCitation" : "[14]" }, "properties" : {  }, "schema" : "https://github.com/citation-style-language/schema/raw/master/csl-citation.json" }</w:instrText>
      </w:r>
      <w:r w:rsidR="008C6EC2" w:rsidRPr="002C7B68">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[14]</w:t>
      </w:r>
      <w:r w:rsidR="008C6EC2" w:rsidRPr="002C7B68">
        <w:rPr>
          <w:rFonts w:ascii="Times New Roman" w:hAnsi="Times New Roman"/>
          <w:sz w:val="24"/>
          <w:szCs w:val="24"/>
          <w:lang w:val="en-GB"/>
        </w:rPr>
        <w:fldChar w:fldCharType="end"/>
      </w:r>
      <w:r w:rsidRPr="002C7B68">
        <w:rPr>
          <w:rFonts w:ascii="Times New Roman" w:hAnsi="Times New Roman"/>
          <w:sz w:val="24"/>
          <w:szCs w:val="24"/>
          <w:lang w:val="en-GB"/>
        </w:rPr>
        <w:t xml:space="preserve">. </w:t>
      </w:r>
      <w:r w:rsidR="00B07C7F" w:rsidRPr="002C7B68">
        <w:rPr>
          <w:rFonts w:ascii="Times New Roman" w:hAnsi="Times New Roman"/>
          <w:sz w:val="24"/>
          <w:szCs w:val="24"/>
          <w:lang w:val="en-GB"/>
        </w:rPr>
        <w:t xml:space="preserve">The study was approved by the Regional Ethics Committee. Signed informed consent was obtained from all patients. Demographic data (including age, sex, height, and weight of the patient), </w:t>
      </w:r>
      <w:r w:rsidR="006509AE" w:rsidRPr="002C7B68">
        <w:rPr>
          <w:rFonts w:ascii="Times New Roman" w:hAnsi="Times New Roman"/>
          <w:sz w:val="24"/>
          <w:szCs w:val="24"/>
          <w:lang w:val="en-GB"/>
        </w:rPr>
        <w:t xml:space="preserve">site </w:t>
      </w:r>
      <w:r w:rsidR="00B07C7F" w:rsidRPr="002C7B68">
        <w:rPr>
          <w:rFonts w:ascii="Times New Roman" w:hAnsi="Times New Roman"/>
          <w:sz w:val="24"/>
          <w:szCs w:val="24"/>
          <w:lang w:val="en-GB"/>
        </w:rPr>
        <w:t>of infection</w:t>
      </w:r>
      <w:r w:rsidR="00426956" w:rsidRPr="002C7B68">
        <w:rPr>
          <w:rFonts w:ascii="Times New Roman" w:hAnsi="Times New Roman"/>
          <w:sz w:val="24"/>
          <w:szCs w:val="24"/>
          <w:lang w:val="en-GB"/>
        </w:rPr>
        <w:t>,</w:t>
      </w:r>
      <w:r w:rsidR="00B07C7F" w:rsidRPr="002C7B68">
        <w:rPr>
          <w:rFonts w:ascii="Times New Roman" w:hAnsi="Times New Roman"/>
          <w:sz w:val="24"/>
          <w:szCs w:val="24"/>
          <w:lang w:val="en-GB"/>
        </w:rPr>
        <w:t xml:space="preserve"> </w:t>
      </w:r>
      <w:r w:rsidR="006509AE" w:rsidRPr="002C7B68">
        <w:rPr>
          <w:rFonts w:ascii="Times New Roman" w:hAnsi="Times New Roman"/>
          <w:sz w:val="24"/>
          <w:szCs w:val="24"/>
          <w:lang w:val="en-GB"/>
        </w:rPr>
        <w:t xml:space="preserve">baseline </w:t>
      </w:r>
      <w:r w:rsidR="00426956" w:rsidRPr="002C7B68">
        <w:rPr>
          <w:rFonts w:ascii="Times New Roman" w:hAnsi="Times New Roman"/>
          <w:sz w:val="24"/>
          <w:szCs w:val="24"/>
          <w:lang w:val="en-GB"/>
        </w:rPr>
        <w:t xml:space="preserve">renal function, </w:t>
      </w:r>
      <w:r w:rsidR="006509AE" w:rsidRPr="002C7B68">
        <w:rPr>
          <w:rFonts w:ascii="Times New Roman" w:hAnsi="Times New Roman"/>
          <w:sz w:val="24"/>
          <w:szCs w:val="24"/>
          <w:lang w:val="en-GB"/>
        </w:rPr>
        <w:t xml:space="preserve">previous </w:t>
      </w:r>
      <w:r w:rsidR="00426956" w:rsidRPr="002C7B68">
        <w:rPr>
          <w:rFonts w:ascii="Times New Roman" w:hAnsi="Times New Roman"/>
          <w:sz w:val="24"/>
          <w:szCs w:val="24"/>
          <w:lang w:val="en-GB"/>
        </w:rPr>
        <w:t xml:space="preserve">treatments </w:t>
      </w:r>
      <w:r w:rsidR="00E938B3" w:rsidRPr="002C7B68">
        <w:rPr>
          <w:rFonts w:ascii="Times New Roman" w:hAnsi="Times New Roman"/>
          <w:sz w:val="24"/>
          <w:szCs w:val="24"/>
          <w:lang w:val="en-GB"/>
        </w:rPr>
        <w:t xml:space="preserve">and </w:t>
      </w:r>
      <w:r w:rsidR="00866EB3" w:rsidRPr="002C7B68">
        <w:rPr>
          <w:rFonts w:ascii="Times New Roman" w:hAnsi="Times New Roman"/>
          <w:sz w:val="24"/>
          <w:szCs w:val="24"/>
          <w:lang w:val="en-GB"/>
        </w:rPr>
        <w:t xml:space="preserve">the </w:t>
      </w:r>
      <w:r w:rsidR="004B6C95" w:rsidRPr="002C7B68">
        <w:rPr>
          <w:rFonts w:ascii="Times New Roman" w:hAnsi="Times New Roman"/>
          <w:sz w:val="24"/>
          <w:szCs w:val="24"/>
          <w:lang w:val="en-GB"/>
        </w:rPr>
        <w:t xml:space="preserve">fosfomycin </w:t>
      </w:r>
      <w:r w:rsidR="00E938B3" w:rsidRPr="002C7B68">
        <w:rPr>
          <w:rFonts w:ascii="Times New Roman" w:hAnsi="Times New Roman"/>
          <w:sz w:val="24"/>
          <w:szCs w:val="24"/>
          <w:lang w:val="en-GB"/>
        </w:rPr>
        <w:t xml:space="preserve">minimal inhibitory concentration (MIC) </w:t>
      </w:r>
      <w:r w:rsidR="006509AE" w:rsidRPr="002C7B68">
        <w:rPr>
          <w:rFonts w:ascii="Times New Roman" w:hAnsi="Times New Roman"/>
          <w:sz w:val="24"/>
          <w:szCs w:val="24"/>
          <w:lang w:val="en-GB"/>
        </w:rPr>
        <w:t xml:space="preserve">of </w:t>
      </w:r>
      <w:r w:rsidR="00426956" w:rsidRPr="002C7B68">
        <w:rPr>
          <w:rFonts w:ascii="Times New Roman" w:hAnsi="Times New Roman"/>
          <w:sz w:val="24"/>
          <w:szCs w:val="24"/>
          <w:lang w:val="en-GB"/>
        </w:rPr>
        <w:t>isolate</w:t>
      </w:r>
      <w:r w:rsidR="00E938B3" w:rsidRPr="002C7B68">
        <w:rPr>
          <w:rFonts w:ascii="Times New Roman" w:hAnsi="Times New Roman"/>
          <w:sz w:val="24"/>
          <w:szCs w:val="24"/>
          <w:lang w:val="en-GB"/>
        </w:rPr>
        <w:t>s</w:t>
      </w:r>
      <w:r w:rsidR="006509AE" w:rsidRPr="002C7B68">
        <w:rPr>
          <w:rFonts w:ascii="Times New Roman" w:hAnsi="Times New Roman"/>
          <w:sz w:val="24"/>
          <w:szCs w:val="24"/>
          <w:lang w:val="en-GB"/>
        </w:rPr>
        <w:t xml:space="preserve"> </w:t>
      </w:r>
      <w:r w:rsidR="00701B40" w:rsidRPr="002C7B68">
        <w:rPr>
          <w:rFonts w:ascii="Times New Roman" w:hAnsi="Times New Roman"/>
          <w:sz w:val="24"/>
          <w:szCs w:val="24"/>
          <w:lang w:val="en-GB"/>
        </w:rPr>
        <w:t xml:space="preserve">were </w:t>
      </w:r>
      <w:r w:rsidR="006509AE" w:rsidRPr="002C7B68">
        <w:rPr>
          <w:rFonts w:ascii="Times New Roman" w:hAnsi="Times New Roman"/>
          <w:sz w:val="24"/>
          <w:szCs w:val="24"/>
          <w:lang w:val="en-GB"/>
        </w:rPr>
        <w:t>recorded</w:t>
      </w:r>
      <w:r w:rsidR="00426956" w:rsidRPr="002C7B68">
        <w:rPr>
          <w:rFonts w:ascii="Times New Roman" w:hAnsi="Times New Roman"/>
          <w:sz w:val="24"/>
          <w:szCs w:val="24"/>
          <w:lang w:val="en-GB"/>
        </w:rPr>
        <w:t>.</w:t>
      </w:r>
      <w:r w:rsidR="00685FE6" w:rsidRPr="002C7B68">
        <w:rPr>
          <w:rFonts w:ascii="Times New Roman" w:hAnsi="Times New Roman"/>
          <w:sz w:val="24"/>
          <w:szCs w:val="24"/>
          <w:lang w:val="en-GB"/>
        </w:rPr>
        <w:t xml:space="preserve"> </w:t>
      </w:r>
      <w:r w:rsidR="003A385A" w:rsidRPr="002C7B68">
        <w:rPr>
          <w:rFonts w:ascii="Times New Roman" w:hAnsi="Times New Roman"/>
          <w:sz w:val="24"/>
          <w:szCs w:val="24"/>
          <w:lang w:val="en-GB"/>
        </w:rPr>
        <w:t xml:space="preserve">Serum creatinine concentrations were collected </w:t>
      </w:r>
      <w:r w:rsidR="00866EB3" w:rsidRPr="002C7B68">
        <w:rPr>
          <w:rFonts w:ascii="Times New Roman" w:hAnsi="Times New Roman"/>
          <w:sz w:val="24"/>
          <w:szCs w:val="24"/>
          <w:lang w:val="en-GB"/>
        </w:rPr>
        <w:t xml:space="preserve">as a component of standard-of-care </w:t>
      </w:r>
      <w:r w:rsidR="00342E1B" w:rsidRPr="002C7B68">
        <w:rPr>
          <w:rFonts w:ascii="Times New Roman" w:hAnsi="Times New Roman"/>
          <w:sz w:val="24"/>
          <w:szCs w:val="24"/>
          <w:lang w:val="en-GB"/>
        </w:rPr>
        <w:t>and</w:t>
      </w:r>
      <w:r w:rsidR="003A385A" w:rsidRPr="002C7B68">
        <w:rPr>
          <w:rFonts w:ascii="Times New Roman" w:hAnsi="Times New Roman"/>
          <w:sz w:val="24"/>
          <w:szCs w:val="24"/>
          <w:lang w:val="en-GB"/>
        </w:rPr>
        <w:t xml:space="preserve"> creatinine clearance </w:t>
      </w:r>
      <w:r w:rsidR="00866EB3" w:rsidRPr="002C7B68">
        <w:rPr>
          <w:rFonts w:ascii="Times New Roman" w:hAnsi="Times New Roman"/>
          <w:sz w:val="24"/>
          <w:szCs w:val="24"/>
          <w:lang w:val="en-GB"/>
        </w:rPr>
        <w:t xml:space="preserve">was </w:t>
      </w:r>
      <w:r w:rsidR="003A385A" w:rsidRPr="002C7B68">
        <w:rPr>
          <w:rFonts w:ascii="Times New Roman" w:hAnsi="Times New Roman"/>
          <w:sz w:val="24"/>
          <w:szCs w:val="24"/>
          <w:lang w:val="en-GB"/>
        </w:rPr>
        <w:t xml:space="preserve">calculated daily using the Cockcroft-Gault equation </w:t>
      </w:r>
      <w:r w:rsidR="003A385A" w:rsidRPr="002C7B68">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"ISSN" : "1660-8151", "PMID" : "1244564", "abstract" : "A formula has been developed to predict creatinine clearance (Ccr) from serum creatinine (Scr) in adult males: (see article)(15% less in females). Derivation included the relationship found between age and 24-hour creatinine excretion/kg in 249 patients aged 18-92. Values for Ccr were predicted by this formula and four other methods and the results compared with the means of two 24-hour Ccr's measured in 236 patients. The above formula gave a correlation coefficient between predicted and mean measured Ccr's of 0.83; on average, the difference predicted and mean measured values was no greater than that between paired clearances. Factors for age and body weight must be included for reasonable prediction.", "author" : [ { "dropping-particle" : "", "family" : "Cockcroft", "given" : "D W", "non-dropping-particle" : "", "parse-names" : false, "suffix" : "" }, { "dropping-particle" : "", "family" : "Gault", "given" : "M H", "non-dropping-particle" : "", "parse-names" : false, "suffix" : "" } ], "container-title" : "Nephron", "id" : "ITEM-1", "issue" : "1", "issued" : { "date-parts" : [ [ "1976" ] ] }, "page" : "31-41", "title" : "Prediction of creatinine clearance from serum creatinine.", "type" : "article-journal", "volume" : "16" }, "uris" : [ "http://www.mendeley.com/documents/?uuid=c7c5f2ce-4239-42de-8e21-f678587b60e6" ] } ], "mendeley" : { "formattedCitation" : "[15]", "plainTextFormattedCitation" : "[15]", "previouslyFormattedCitation" : "[15]" }, "properties" : {  }, "schema" : "https://github.com/citation-style-language/schema/raw/master/csl-citation.json" }</w:instrText>
      </w:r>
      <w:r w:rsidR="003A385A" w:rsidRPr="002C7B68">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[15]</w:t>
      </w:r>
      <w:r w:rsidR="003A385A" w:rsidRPr="002C7B68">
        <w:rPr>
          <w:rFonts w:ascii="Times New Roman" w:hAnsi="Times New Roman"/>
          <w:sz w:val="24"/>
          <w:szCs w:val="24"/>
          <w:lang w:val="en-GB"/>
        </w:rPr>
        <w:fldChar w:fldCharType="end"/>
      </w:r>
      <w:r w:rsidR="00071AA9" w:rsidRPr="002C7B68">
        <w:rPr>
          <w:rFonts w:ascii="Times New Roman" w:hAnsi="Times New Roman"/>
          <w:sz w:val="24"/>
          <w:szCs w:val="24"/>
          <w:lang w:val="en-GB"/>
        </w:rPr>
        <w:t>.</w:t>
      </w:r>
      <w:r w:rsidR="003A385A" w:rsidRPr="002C7B68">
        <w:rPr>
          <w:rFonts w:ascii="Times New Roman" w:hAnsi="Times New Roman"/>
          <w:sz w:val="24"/>
          <w:szCs w:val="24"/>
          <w:lang w:val="en-GB"/>
        </w:rPr>
        <w:t xml:space="preserve"> </w:t>
      </w:r>
      <w:r w:rsidR="00685FE6" w:rsidRPr="002C7B68">
        <w:rPr>
          <w:rFonts w:ascii="Times New Roman" w:hAnsi="Times New Roman"/>
          <w:sz w:val="24"/>
          <w:szCs w:val="24"/>
          <w:lang w:val="en-GB"/>
        </w:rPr>
        <w:t xml:space="preserve">The dose of fosfomycin was </w:t>
      </w:r>
      <w:r w:rsidR="008B62BE" w:rsidRPr="002C7B68">
        <w:rPr>
          <w:rFonts w:ascii="Times New Roman" w:hAnsi="Times New Roman"/>
          <w:sz w:val="24"/>
          <w:szCs w:val="24"/>
          <w:lang w:val="en-GB"/>
        </w:rPr>
        <w:t>administer</w:t>
      </w:r>
      <w:r w:rsidR="00685FE6" w:rsidRPr="002C7B68">
        <w:rPr>
          <w:rFonts w:ascii="Times New Roman" w:hAnsi="Times New Roman"/>
          <w:sz w:val="24"/>
          <w:szCs w:val="24"/>
          <w:lang w:val="en-GB"/>
        </w:rPr>
        <w:t xml:space="preserve">ed </w:t>
      </w:r>
      <w:r w:rsidR="00690CA7" w:rsidRPr="002C7B68">
        <w:rPr>
          <w:rFonts w:ascii="Times New Roman" w:hAnsi="Times New Roman"/>
          <w:sz w:val="24"/>
          <w:szCs w:val="24"/>
          <w:lang w:val="en-GB"/>
        </w:rPr>
        <w:t xml:space="preserve">4g/Q6h (1-hour infusion) </w:t>
      </w:r>
      <w:r w:rsidR="00685FE6" w:rsidRPr="002C7B68">
        <w:rPr>
          <w:rFonts w:ascii="Times New Roman" w:hAnsi="Times New Roman"/>
          <w:sz w:val="24"/>
          <w:szCs w:val="24"/>
          <w:lang w:val="en-GB"/>
        </w:rPr>
        <w:t xml:space="preserve">according to </w:t>
      </w:r>
      <w:r w:rsidR="00690CA7" w:rsidRPr="002C7B68">
        <w:rPr>
          <w:rFonts w:ascii="Times New Roman" w:hAnsi="Times New Roman"/>
          <w:sz w:val="24"/>
          <w:szCs w:val="24"/>
          <w:lang w:val="en-GB"/>
        </w:rPr>
        <w:t xml:space="preserve">the </w:t>
      </w:r>
      <w:r w:rsidR="00685FE6" w:rsidRPr="002C7B68">
        <w:rPr>
          <w:rFonts w:ascii="Times New Roman" w:hAnsi="Times New Roman"/>
          <w:sz w:val="24"/>
          <w:szCs w:val="24"/>
          <w:lang w:val="en-GB"/>
        </w:rPr>
        <w:t>clinical trial protocol</w:t>
      </w:r>
      <w:r w:rsidR="006E5CA8" w:rsidRPr="002C7B68">
        <w:rPr>
          <w:rFonts w:ascii="Times New Roman" w:hAnsi="Times New Roman"/>
          <w:sz w:val="24"/>
          <w:szCs w:val="24"/>
          <w:lang w:val="en-GB"/>
        </w:rPr>
        <w:t xml:space="preserve">. </w:t>
      </w:r>
      <w:r w:rsidR="001A291A" w:rsidRPr="002C7B68">
        <w:rPr>
          <w:rFonts w:ascii="Times New Roman" w:hAnsi="Times New Roman"/>
          <w:sz w:val="24"/>
          <w:szCs w:val="24"/>
          <w:lang w:val="en-GB"/>
        </w:rPr>
        <w:t xml:space="preserve">Patients with renal impairment </w:t>
      </w:r>
      <w:r w:rsidR="00D11B47" w:rsidRPr="002C7B68">
        <w:rPr>
          <w:rFonts w:ascii="Times New Roman" w:hAnsi="Times New Roman"/>
          <w:sz w:val="24"/>
          <w:szCs w:val="24"/>
          <w:lang w:val="en-GB"/>
        </w:rPr>
        <w:t xml:space="preserve">(creatinine clearance of 20-40 ml/min) </w:t>
      </w:r>
      <w:r w:rsidR="001A291A" w:rsidRPr="002C7B68">
        <w:rPr>
          <w:rFonts w:ascii="Times New Roman" w:hAnsi="Times New Roman"/>
          <w:sz w:val="24"/>
          <w:szCs w:val="24"/>
          <w:lang w:val="en-GB"/>
        </w:rPr>
        <w:t>received 4g/Q12h (1-hour infusion)</w:t>
      </w:r>
      <w:r w:rsidR="000E25D3" w:rsidRPr="002C7B68">
        <w:rPr>
          <w:rFonts w:ascii="Times New Roman" w:hAnsi="Times New Roman"/>
          <w:sz w:val="24"/>
          <w:szCs w:val="24"/>
          <w:lang w:val="en-GB"/>
        </w:rPr>
        <w:t xml:space="preserve"> </w:t>
      </w:r>
      <w:r w:rsidR="000E25D3" w:rsidRPr="002C7B68">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"DOI" : "10.1136/bmjopen-2014-007363", "ISSN" : "2044-6055", "PMID" : "25829373", "abstract" : "INTRODUCTION Finding therapeutic alternatives to carbapenems in infections caused by extended-spectrum \u03b2-lactamase-producing Escherichia coli (ESBL-EC) is imperative. Although fosfomycin was discovered more than 40 years ago, it was not investigated in accordance with current standards and so is not used in clinical practice except in desperate situations. It is one of the so-called neglected antibiotics of high potential interest for the future. METHODS AND ANALYSIS The main objective of this project is to demonstrate the clinical non-inferiority of intravenous fosfomycin with regard to meropenem for treating bacteraemic urinary tract infections (UTI) caused by ESBL-EC. This is a 'real practice' multicentre, open-label, phase III randomised controlled trial, designed to compare the clinical and microbiological efficacy, and safety of intravenous fosfomycin (4 g/6 h) and meropenem (1 g/8 h) as targeted therapy for this infection; a change to oral therapy is permitted after 5 days in both arms, in accordance with predetermined options. The study design follows the latest recommendations for designing trials investigating new options for multidrug-resistant bacteria. Secondary objectives include the study of fosfomycin concentrations in plasma and the impact of both drugs on intestinal colonisation by multidrug-resistant Gram-negative bacilli. ETHICS AND DISSEMINATION Ethical approval was obtained from the Andalusian Coordinating Institutional Review Board (IRB) for Biomedical Research (Referral Ethics Committee), which obtained approval from the local ethics committees at all participating sites in Spain (22 sites). Data will be presented at international conferences and published in peer-reviewed journals. DISCUSSION This project is proposed as an initial step in the investigation of an orphan antimicrobial of low cost with high potential as a therapeutic alternative in common infections such as UTI in selected patients. These results may have a major impact on the use of antibiotics and the development of new projects with this drug, whether as monotherapy or combination therapy. TRIAL REGISTRATION NUMBER NCT02142751. EudraCT no: 2013-002922-21. Protocol V.1.1 dated 14 March 2014.", "author" : [ { "dropping-particle" : "", "family" : "Rosso-Fern\u00e1ndez", "given" : "Clara", "non-dropping-particle" : "", "parse-names" : false, "suffix" : "" }, { "dropping-particle" : "", "family" : "Sojo-Dorado", "given" : "Jes\u00fas", "non-dropping-particle" : "", "parse-names" : false, "suffix" : "" }, { "dropping-particle" : "", "family" : "Barriga", "given" : "Angel", "non-dropping-particle" : "", "parse-names" : false, "suffix" : "" }, { "dropping-particle" : "", "family" : "Lav\u00edn-Alconero", "given" : "Luc\u00eda", "non-dropping-particle" : "", "parse-names" : false, "suffix" : "" }, { "dropping-particle" : "", "family" : "Palacios", "given" : "Zaira", "non-dropping-particle" : "", "parse-names" : false, "suffix" : "" }, { "dropping-particle" : "", "family" : "L\u00f3pez-Hern\u00e1ndez", "given" : "Inmaculada", "non-dropping-particle" : "", "parse-names" : false, "suffix" : "" }, { "dropping-particle" : "", "family" : "Merino", "given" : "Vicente", "non-dropping-particle" : "", "parse-names" : false, "suffix" : "" }, { "dropping-particle" : "", "family" : "Camean", "given" : "Manuel", "non-dropping-particle" : "", "parse-names" : false, "suffix" : "" }, { "dropping-particle" : "", "family" : "Pascual", "given" : "Alvaro", "non-dropping-particle" : "", "parse-names" : false, "suffix" : "" }, { "dropping-particle" : "", "family" : "Rodr\u00edguez-Ba\u00f1o", "given" : "Jes\u00fas", "non-dropping-particle" : "", "parse-names" : false, "suffix" : "" }, { "dropping-particle" : "", "family" : "FOREST Study Group", "given" : "", "non-dropping-particle" : "", "parse-names" : false, "suffix" : "" } ], "container-title" : "BMJ open", "id" : "ITEM-1", "issue" : "3", "issued" : { "date-parts" : [ [ "2015", "3" ] ] }, "page" : "e007363", "title" : "Fosfomycin versus meropenem in bacteraemic urinary tract infections caused by extended-spectrum \u03b2-lactamase-producing Escherichia coli (FOREST): study protocol for an investigator-driven randomised controlled trial.", "type" : "article-journal", "volume" : "5" }, "uris" : [ "http://www.mendeley.com/documents/?uuid=6f908690-5682-4b60-a701-9a4674915487" ] } ], "mendeley" : { "formattedCitation" : "[14]", "plainTextFormattedCitation" : "[14]", "previouslyFormattedCitation" : "[14]" }, "properties" : {  }, "schema" : "https://github.com/citation-style-language/schema/raw/master/csl-citation.json" }</w:instrText>
      </w:r>
      <w:r w:rsidR="000E25D3" w:rsidRPr="002C7B68">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[14]</w:t>
      </w:r>
      <w:r w:rsidR="000E25D3" w:rsidRPr="002C7B68">
        <w:rPr>
          <w:rFonts w:ascii="Times New Roman" w:hAnsi="Times New Roman"/>
          <w:sz w:val="24"/>
          <w:szCs w:val="24"/>
          <w:lang w:val="en-GB"/>
        </w:rPr>
        <w:fldChar w:fldCharType="end"/>
      </w:r>
      <w:r w:rsidR="00690CA7" w:rsidRPr="002C7B68">
        <w:rPr>
          <w:rFonts w:ascii="Times New Roman" w:hAnsi="Times New Roman"/>
          <w:sz w:val="24"/>
          <w:szCs w:val="24"/>
          <w:lang w:val="en-GB"/>
        </w:rPr>
        <w:t>.</w:t>
      </w:r>
      <w:r w:rsidR="00685FE6" w:rsidRPr="002C7B68">
        <w:rPr>
          <w:rFonts w:ascii="Times New Roman" w:hAnsi="Times New Roman"/>
          <w:sz w:val="24"/>
          <w:szCs w:val="24"/>
          <w:lang w:val="en-GB"/>
        </w:rPr>
        <w:t xml:space="preserve"> </w:t>
      </w:r>
    </w:p>
    <w:p w14:paraId="432727F7" w14:textId="77777777" w:rsidR="00DA58AC" w:rsidRPr="002C7B68" w:rsidRDefault="00DA58AC" w:rsidP="00B07C7F">
      <w:pPr>
        <w:autoSpaceDE w:val="0"/>
        <w:autoSpaceDN w:val="0"/>
        <w:adjustRightInd w:val="0"/>
        <w:spacing w:after="0" w:line="480" w:lineRule="auto"/>
        <w:jc w:val="both"/>
        <w:rPr>
          <w:rFonts w:ascii="Times New Roman" w:hAnsi="Times New Roman"/>
          <w:sz w:val="24"/>
          <w:szCs w:val="24"/>
          <w:lang w:val="en-GB"/>
        </w:rPr>
      </w:pPr>
    </w:p>
    <w:p w14:paraId="503511DC" w14:textId="77777777" w:rsidR="00C34BCB" w:rsidRPr="002C7B68" w:rsidRDefault="00C34BCB" w:rsidP="00B07C7F">
      <w:pPr>
        <w:autoSpaceDE w:val="0"/>
        <w:autoSpaceDN w:val="0"/>
        <w:adjustRightInd w:val="0"/>
        <w:spacing w:after="0" w:line="480" w:lineRule="auto"/>
        <w:jc w:val="both"/>
        <w:rPr>
          <w:rFonts w:ascii="Times New Roman" w:hAnsi="Times New Roman"/>
          <w:b/>
          <w:sz w:val="24"/>
          <w:szCs w:val="24"/>
          <w:lang w:val="en-GB"/>
        </w:rPr>
      </w:pPr>
      <w:r w:rsidRPr="002C7B68">
        <w:rPr>
          <w:rFonts w:ascii="Times New Roman" w:hAnsi="Times New Roman"/>
          <w:b/>
          <w:sz w:val="24"/>
          <w:szCs w:val="24"/>
          <w:lang w:val="en-GB"/>
        </w:rPr>
        <w:t xml:space="preserve">Pharmacokinetics. </w:t>
      </w:r>
    </w:p>
    <w:p w14:paraId="12786519" w14:textId="113BAB72" w:rsidR="004940D7" w:rsidRPr="002C7B68" w:rsidRDefault="002449BB" w:rsidP="004B6C95">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Blood sample</w:t>
      </w:r>
      <w:r w:rsidR="00C12BD5" w:rsidRPr="002C7B68">
        <w:rPr>
          <w:rFonts w:ascii="Times New Roman" w:hAnsi="Times New Roman"/>
          <w:sz w:val="24"/>
          <w:szCs w:val="24"/>
          <w:lang w:val="en-GB"/>
        </w:rPr>
        <w:t>s</w:t>
      </w:r>
      <w:r w:rsidRPr="002C7B68">
        <w:rPr>
          <w:rFonts w:ascii="Times New Roman" w:hAnsi="Times New Roman"/>
          <w:sz w:val="24"/>
          <w:szCs w:val="24"/>
          <w:lang w:val="en-GB"/>
        </w:rPr>
        <w:t xml:space="preserve"> were collected 48 hours </w:t>
      </w:r>
      <w:r w:rsidR="004B4DBB" w:rsidRPr="002C7B68">
        <w:rPr>
          <w:rFonts w:ascii="Times New Roman" w:hAnsi="Times New Roman"/>
          <w:sz w:val="24"/>
          <w:szCs w:val="24"/>
          <w:lang w:val="en-GB"/>
        </w:rPr>
        <w:t xml:space="preserve">after the </w:t>
      </w:r>
      <w:r w:rsidRPr="002C7B68">
        <w:rPr>
          <w:rFonts w:ascii="Times New Roman" w:hAnsi="Times New Roman"/>
          <w:sz w:val="24"/>
          <w:szCs w:val="24"/>
          <w:lang w:val="en-GB"/>
        </w:rPr>
        <w:t>first administration</w:t>
      </w:r>
      <w:r w:rsidR="00B837EA" w:rsidRPr="002C7B68">
        <w:rPr>
          <w:rFonts w:ascii="Times New Roman" w:hAnsi="Times New Roman"/>
          <w:sz w:val="24"/>
          <w:szCs w:val="24"/>
          <w:lang w:val="en-GB"/>
        </w:rPr>
        <w:t xml:space="preserve"> of drug</w:t>
      </w:r>
      <w:r w:rsidR="004B4DBB" w:rsidRPr="002C7B68">
        <w:rPr>
          <w:rFonts w:ascii="Times New Roman" w:hAnsi="Times New Roman"/>
          <w:sz w:val="24"/>
          <w:szCs w:val="24"/>
          <w:lang w:val="en-GB"/>
        </w:rPr>
        <w:t>,</w:t>
      </w:r>
      <w:r w:rsidR="00717F77" w:rsidRPr="002C7B68">
        <w:rPr>
          <w:rFonts w:ascii="Times New Roman" w:hAnsi="Times New Roman"/>
          <w:sz w:val="24"/>
          <w:szCs w:val="24"/>
          <w:lang w:val="en-GB"/>
        </w:rPr>
        <w:t xml:space="preserve"> at 1, 3, 5 and 6 hours </w:t>
      </w:r>
      <w:bookmarkStart w:id="3" w:name="_Hlk502313912"/>
      <w:r w:rsidR="009E49DE" w:rsidRPr="002C7B68">
        <w:rPr>
          <w:rFonts w:ascii="Times New Roman" w:hAnsi="Times New Roman"/>
          <w:sz w:val="24"/>
          <w:szCs w:val="24"/>
          <w:lang w:val="en-GB"/>
        </w:rPr>
        <w:t xml:space="preserve">after the start of fosfomycin administration </w:t>
      </w:r>
      <w:bookmarkEnd w:id="3"/>
      <w:r w:rsidR="004940D7" w:rsidRPr="002C7B68">
        <w:rPr>
          <w:rFonts w:ascii="Times New Roman" w:hAnsi="Times New Roman"/>
          <w:sz w:val="24"/>
          <w:szCs w:val="24"/>
          <w:lang w:val="en-GB"/>
        </w:rPr>
        <w:t xml:space="preserve">for </w:t>
      </w:r>
      <w:r w:rsidR="00717F77" w:rsidRPr="002C7B68">
        <w:rPr>
          <w:rFonts w:ascii="Times New Roman" w:hAnsi="Times New Roman"/>
          <w:sz w:val="24"/>
          <w:szCs w:val="24"/>
          <w:lang w:val="en-GB"/>
        </w:rPr>
        <w:t xml:space="preserve">patients with </w:t>
      </w:r>
      <w:r w:rsidR="004940D7" w:rsidRPr="002C7B68">
        <w:rPr>
          <w:rFonts w:ascii="Times New Roman" w:hAnsi="Times New Roman"/>
          <w:sz w:val="24"/>
          <w:szCs w:val="24"/>
          <w:lang w:val="en-GB"/>
        </w:rPr>
        <w:t xml:space="preserve">a </w:t>
      </w:r>
      <w:bookmarkStart w:id="4" w:name="_Hlk496528590"/>
      <w:r w:rsidR="00717F77" w:rsidRPr="002C7B68">
        <w:rPr>
          <w:rFonts w:ascii="Times New Roman" w:hAnsi="Times New Roman"/>
          <w:sz w:val="24"/>
          <w:szCs w:val="24"/>
          <w:lang w:val="en-GB"/>
        </w:rPr>
        <w:t>CrCl</w:t>
      </w:r>
      <w:r w:rsidR="00C34BCB" w:rsidRPr="002C7B68">
        <w:rPr>
          <w:rFonts w:ascii="Times New Roman" w:hAnsi="Times New Roman"/>
          <w:sz w:val="24"/>
          <w:szCs w:val="24"/>
          <w:lang w:val="en-GB"/>
        </w:rPr>
        <w:t xml:space="preserve"> </w:t>
      </w:r>
      <w:r w:rsidR="00717F77" w:rsidRPr="002C7B68">
        <w:rPr>
          <w:rFonts w:ascii="Times New Roman" w:hAnsi="Times New Roman"/>
          <w:sz w:val="24"/>
          <w:szCs w:val="24"/>
          <w:lang w:val="en-GB"/>
        </w:rPr>
        <w:t xml:space="preserve">&gt;40 </w:t>
      </w:r>
      <w:r w:rsidR="008B2A36" w:rsidRPr="002C7B68">
        <w:rPr>
          <w:rFonts w:ascii="Times New Roman" w:hAnsi="Times New Roman"/>
          <w:sz w:val="24"/>
          <w:szCs w:val="24"/>
          <w:lang w:val="en-GB"/>
        </w:rPr>
        <w:t>mL/min</w:t>
      </w:r>
      <w:bookmarkEnd w:id="4"/>
      <w:r w:rsidR="004940D7" w:rsidRPr="002C7B68">
        <w:rPr>
          <w:rFonts w:ascii="Times New Roman" w:hAnsi="Times New Roman"/>
          <w:sz w:val="24"/>
          <w:szCs w:val="24"/>
          <w:lang w:val="en-GB"/>
        </w:rPr>
        <w:t>,</w:t>
      </w:r>
      <w:r w:rsidR="008B2A36" w:rsidRPr="002C7B68">
        <w:rPr>
          <w:rFonts w:ascii="Times New Roman" w:hAnsi="Times New Roman"/>
          <w:sz w:val="24"/>
          <w:szCs w:val="24"/>
          <w:lang w:val="en-GB"/>
        </w:rPr>
        <w:t xml:space="preserve"> and </w:t>
      </w:r>
      <w:r w:rsidR="00362619" w:rsidRPr="002C7B68">
        <w:rPr>
          <w:rFonts w:ascii="Times New Roman" w:hAnsi="Times New Roman"/>
          <w:sz w:val="24"/>
          <w:szCs w:val="24"/>
          <w:lang w:val="en-GB"/>
        </w:rPr>
        <w:t>1</w:t>
      </w:r>
      <w:r w:rsidR="00D01077" w:rsidRPr="002C7B68">
        <w:rPr>
          <w:rFonts w:ascii="Times New Roman" w:hAnsi="Times New Roman"/>
          <w:sz w:val="24"/>
          <w:szCs w:val="24"/>
          <w:lang w:val="en-GB"/>
        </w:rPr>
        <w:t>, 6,</w:t>
      </w:r>
      <w:r w:rsidR="00C34BCB" w:rsidRPr="002C7B68">
        <w:rPr>
          <w:rFonts w:ascii="Times New Roman" w:hAnsi="Times New Roman"/>
          <w:sz w:val="24"/>
          <w:szCs w:val="24"/>
          <w:lang w:val="en-GB"/>
        </w:rPr>
        <w:t xml:space="preserve"> </w:t>
      </w:r>
      <w:r w:rsidR="00D01077" w:rsidRPr="002C7B68">
        <w:rPr>
          <w:rFonts w:ascii="Times New Roman" w:hAnsi="Times New Roman"/>
          <w:sz w:val="24"/>
          <w:szCs w:val="24"/>
          <w:lang w:val="en-GB"/>
        </w:rPr>
        <w:t xml:space="preserve">8 and 12 hours in patients with </w:t>
      </w:r>
      <w:r w:rsidR="004940D7" w:rsidRPr="002C7B68">
        <w:rPr>
          <w:rFonts w:ascii="Times New Roman" w:hAnsi="Times New Roman"/>
          <w:sz w:val="24"/>
          <w:szCs w:val="24"/>
          <w:lang w:val="en-GB"/>
        </w:rPr>
        <w:t xml:space="preserve">a </w:t>
      </w:r>
      <w:r w:rsidR="00D01077" w:rsidRPr="002C7B68">
        <w:rPr>
          <w:rFonts w:ascii="Times New Roman" w:hAnsi="Times New Roman"/>
          <w:sz w:val="24"/>
          <w:szCs w:val="24"/>
          <w:lang w:val="en-GB"/>
        </w:rPr>
        <w:t>CrCl</w:t>
      </w:r>
      <w:r w:rsidR="00C823EC" w:rsidRPr="002C7B68">
        <w:rPr>
          <w:rFonts w:ascii="Times New Roman" w:hAnsi="Times New Roman"/>
          <w:sz w:val="24"/>
          <w:szCs w:val="24"/>
          <w:lang w:val="en-GB"/>
        </w:rPr>
        <w:t xml:space="preserve"> 20-40 mL/min.</w:t>
      </w:r>
      <w:r w:rsidR="00A6692B" w:rsidRPr="002C7B68">
        <w:rPr>
          <w:rFonts w:ascii="Times New Roman" w:hAnsi="Times New Roman"/>
          <w:sz w:val="24"/>
          <w:szCs w:val="24"/>
          <w:lang w:val="en-GB"/>
        </w:rPr>
        <w:t xml:space="preserve"> </w:t>
      </w:r>
    </w:p>
    <w:p w14:paraId="57354F98" w14:textId="17410E47" w:rsidR="00287BB1" w:rsidRPr="002C7B68" w:rsidRDefault="004B6C95" w:rsidP="00563284">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lastRenderedPageBreak/>
        <w:t>Plasma</w:t>
      </w:r>
      <w:r w:rsidR="004940D7" w:rsidRPr="002C7B68">
        <w:rPr>
          <w:rFonts w:ascii="Times New Roman" w:hAnsi="Times New Roman"/>
          <w:sz w:val="24"/>
          <w:szCs w:val="24"/>
          <w:lang w:val="en-GB"/>
        </w:rPr>
        <w:t xml:space="preserve"> f</w:t>
      </w:r>
      <w:r w:rsidR="00C34BCB" w:rsidRPr="002C7B68">
        <w:rPr>
          <w:rFonts w:ascii="Times New Roman" w:hAnsi="Times New Roman"/>
          <w:sz w:val="24"/>
          <w:szCs w:val="24"/>
          <w:lang w:val="en-GB"/>
        </w:rPr>
        <w:t>osfomycin</w:t>
      </w:r>
      <w:r w:rsidR="008D04B4" w:rsidRPr="002C7B68">
        <w:rPr>
          <w:rFonts w:ascii="Times New Roman" w:hAnsi="Times New Roman"/>
          <w:sz w:val="24"/>
          <w:szCs w:val="24"/>
          <w:lang w:val="en-GB"/>
        </w:rPr>
        <w:t xml:space="preserve"> concentration</w:t>
      </w:r>
      <w:r w:rsidR="00941B49" w:rsidRPr="002C7B68">
        <w:rPr>
          <w:rFonts w:ascii="Times New Roman" w:hAnsi="Times New Roman"/>
          <w:sz w:val="24"/>
          <w:szCs w:val="24"/>
          <w:lang w:val="en-GB"/>
        </w:rPr>
        <w:t>s</w:t>
      </w:r>
      <w:r w:rsidR="008D04B4" w:rsidRPr="002C7B68">
        <w:rPr>
          <w:rFonts w:ascii="Times New Roman" w:hAnsi="Times New Roman"/>
          <w:sz w:val="24"/>
          <w:szCs w:val="24"/>
          <w:lang w:val="en-GB"/>
        </w:rPr>
        <w:t xml:space="preserve"> were </w:t>
      </w:r>
      <w:r w:rsidR="004940D7" w:rsidRPr="002C7B68">
        <w:rPr>
          <w:rFonts w:ascii="Times New Roman" w:hAnsi="Times New Roman"/>
          <w:sz w:val="24"/>
          <w:szCs w:val="24"/>
          <w:lang w:val="en-GB"/>
        </w:rPr>
        <w:t xml:space="preserve">measured using </w:t>
      </w:r>
      <w:r w:rsidR="00972A09" w:rsidRPr="002C7B68">
        <w:rPr>
          <w:rFonts w:ascii="Times New Roman" w:hAnsi="Times New Roman"/>
          <w:sz w:val="24"/>
          <w:szCs w:val="24"/>
          <w:lang w:val="en-GB"/>
        </w:rPr>
        <w:t xml:space="preserve">tandem </w:t>
      </w:r>
      <w:r w:rsidR="00C40044" w:rsidRPr="002C7B68">
        <w:rPr>
          <w:rFonts w:ascii="Times New Roman" w:hAnsi="Times New Roman"/>
          <w:sz w:val="24"/>
          <w:szCs w:val="24"/>
          <w:lang w:val="en-GB"/>
        </w:rPr>
        <w:t xml:space="preserve">mass </w:t>
      </w:r>
      <w:r w:rsidR="004940D7" w:rsidRPr="002C7B68">
        <w:rPr>
          <w:rFonts w:ascii="Times New Roman" w:hAnsi="Times New Roman"/>
          <w:sz w:val="24"/>
          <w:szCs w:val="24"/>
          <w:lang w:val="en-GB"/>
        </w:rPr>
        <w:t xml:space="preserve">spectroscopy </w:t>
      </w:r>
      <w:r w:rsidR="00C40044" w:rsidRPr="002C7B68">
        <w:rPr>
          <w:rFonts w:ascii="Times New Roman" w:hAnsi="Times New Roman"/>
          <w:sz w:val="24"/>
          <w:szCs w:val="24"/>
          <w:lang w:val="en-GB"/>
        </w:rPr>
        <w:t>(LC-MS/MS)</w:t>
      </w:r>
      <w:r w:rsidR="00C34BCB" w:rsidRPr="002C7B68">
        <w:rPr>
          <w:rFonts w:ascii="Times New Roman" w:hAnsi="Times New Roman"/>
          <w:sz w:val="24"/>
          <w:szCs w:val="24"/>
          <w:lang w:val="en-GB"/>
        </w:rPr>
        <w:t xml:space="preserve">, following </w:t>
      </w:r>
      <w:r w:rsidR="00972A09" w:rsidRPr="002C7B68">
        <w:rPr>
          <w:rFonts w:ascii="Times New Roman" w:hAnsi="Times New Roman"/>
          <w:sz w:val="24"/>
          <w:szCs w:val="24"/>
          <w:lang w:val="en-GB"/>
        </w:rPr>
        <w:t xml:space="preserve">a </w:t>
      </w:r>
      <w:r w:rsidR="00C34BCB" w:rsidRPr="002C7B68">
        <w:rPr>
          <w:rFonts w:ascii="Times New Roman" w:hAnsi="Times New Roman"/>
          <w:sz w:val="24"/>
          <w:szCs w:val="24"/>
          <w:lang w:val="en-GB"/>
        </w:rPr>
        <w:t>method</w:t>
      </w:r>
      <w:r w:rsidR="00941B49" w:rsidRPr="002C7B68">
        <w:rPr>
          <w:rFonts w:ascii="Times New Roman" w:hAnsi="Times New Roman"/>
          <w:sz w:val="24"/>
          <w:szCs w:val="24"/>
          <w:lang w:val="en-GB"/>
        </w:rPr>
        <w:t xml:space="preserve"> previously described by Li</w:t>
      </w:r>
      <w:r w:rsidR="00472DF9" w:rsidRPr="002C7B68">
        <w:rPr>
          <w:rFonts w:ascii="Times New Roman" w:hAnsi="Times New Roman"/>
          <w:sz w:val="24"/>
          <w:szCs w:val="24"/>
          <w:lang w:val="en-GB"/>
        </w:rPr>
        <w:t xml:space="preserve"> L</w:t>
      </w:r>
      <w:r w:rsidR="00941B49" w:rsidRPr="002C7B68">
        <w:rPr>
          <w:rFonts w:ascii="Times New Roman" w:hAnsi="Times New Roman"/>
          <w:sz w:val="24"/>
          <w:szCs w:val="24"/>
          <w:lang w:val="en-GB"/>
        </w:rPr>
        <w:t xml:space="preserve"> </w:t>
      </w:r>
      <w:r w:rsidR="00941B49" w:rsidRPr="002C7B68">
        <w:rPr>
          <w:rFonts w:ascii="Times New Roman" w:hAnsi="Times New Roman"/>
          <w:i/>
          <w:sz w:val="24"/>
          <w:szCs w:val="24"/>
          <w:lang w:val="en-GB"/>
        </w:rPr>
        <w:t>et al</w:t>
      </w:r>
      <w:r w:rsidR="00EF4469" w:rsidRPr="002C7B68">
        <w:rPr>
          <w:rFonts w:ascii="Times New Roman" w:hAnsi="Times New Roman"/>
          <w:sz w:val="24"/>
          <w:szCs w:val="24"/>
          <w:lang w:val="en-GB"/>
        </w:rPr>
        <w:t xml:space="preserve"> </w:t>
      </w:r>
      <w:r w:rsidR="00472DF9" w:rsidRPr="002C7B68">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"DOI" : "10.1016/j.jchromb.2007.05.037", "ISSN" : "1570-0232", "PMID" : "17574936", "abstract" : "A rapid and selective liquid chromatographic/tandem mass spectrometric method for determination of fosfomycin was developed and validated. Following protein-precipitation, the analyte and internal standard (fudosteine) were separated from human plasma using an isocratic mobile phase on an Ultimate XB-CN column. An API 4000 tandem mass spectrometer equipped with Turbo IonSpray ionization source was used as detector and was operated in the negative ion mode. Multiple reaction monitoring using the precursor to product ion combinations of m/z 137--&gt;79 and m/z 178--&gt;91 was performed to quantify fosfomycin and fudosteine, respectively. The method was linear in the concentration range of 0.10-12.0 microg/mL using 50 microL of plasma. The lower limit of quantification was 0.10 microg/mL. The intra- and inter-day relative standard deviation over the entire concentration range was less than 10.6%. Accuracy determined at three concentrations (0.25, 1.00 and 8.00 microg/mL for fosfomycin) ranged from -1.0% to -4.2% in terms of relative error. Each plasma sample was chromatographed within 5.0 min. The method was successfully used in a bioequivalence study of fosfomycin in human plasma after an oral administration of capsules containing 1.0 g fosfomycin (approximately 1.3g calcium fosfomycin).", "author" : [ { "dropping-particle" : "", "family" : "Li", "given" : "Li", "non-dropping-particle" : "", "parse-names" : false, "suffix" : "" }, { "dropping-particle" : "", "family" : "Chen", "given" : "Xiaoyan", "non-dropping-particle" : "", "parse-names" : false, "suffix" : "" }, { "dropping-particle" : "", "family" : "Dai", "given" : "Xiaojian", "non-dropping-particle" : "", "parse-names" : false, "suffix" : "" }, { "dropping-particle" : "", "family" : "Chen", "given" : "Hui", "non-dropping-particle" : "", "parse-names" : false, "suffix" : "" }, { "dropping-particle" : "", "family" : "Zhong", "given" : "Dafang", "non-dropping-particle" : "", "parse-names" : false, "suffix" : "" } ], "container-title" : "Journal of chromatography. B, Analytical technologies in the biomedical and life sciences", "id" : "ITEM-1", "issue" : "1-2", "issued" : { "date-parts" : [ [ "2007", "9", "1" ] ] }, "page" : "171-7", "title" : "Rapid and selective liquid chromatographic/tandem mass spectrometric method for the determination of fosfomycin in human plasma.", "type" : "article-journal", "volume" : "856" }, "uris" : [ "http://www.mendeley.com/documents/?uuid=cd711dbb-c63c-42ee-b262-6d8e8d27f559" ] } ], "mendeley" : { "formattedCitation" : "[16]", "plainTextFormattedCitation" : "[16]", "previouslyFormattedCitation" : "[16]" }, "properties" : {  }, "schema" : "https://github.com/citation-style-language/schema/raw/master/csl-citation.json" }</w:instrText>
      </w:r>
      <w:r w:rsidR="00472DF9" w:rsidRPr="002C7B68">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[16]</w:t>
      </w:r>
      <w:r w:rsidR="00472DF9" w:rsidRPr="002C7B68">
        <w:rPr>
          <w:rFonts w:ascii="Times New Roman" w:hAnsi="Times New Roman"/>
          <w:sz w:val="24"/>
          <w:szCs w:val="24"/>
          <w:lang w:val="en-GB"/>
        </w:rPr>
        <w:fldChar w:fldCharType="end"/>
      </w:r>
      <w:r w:rsidR="00071AA9" w:rsidRPr="002C7B68">
        <w:rPr>
          <w:rFonts w:ascii="Times New Roman" w:hAnsi="Times New Roman"/>
          <w:sz w:val="24"/>
          <w:szCs w:val="24"/>
          <w:lang w:val="en-GB"/>
        </w:rPr>
        <w:t>.</w:t>
      </w:r>
      <w:r w:rsidR="004940D7" w:rsidRPr="002C7B68">
        <w:rPr>
          <w:rFonts w:ascii="Times New Roman" w:hAnsi="Times New Roman"/>
          <w:sz w:val="24"/>
          <w:szCs w:val="24"/>
          <w:lang w:val="en-GB"/>
        </w:rPr>
        <w:t xml:space="preserve"> </w:t>
      </w:r>
      <w:r w:rsidR="00287BB1" w:rsidRPr="002C7B68">
        <w:rPr>
          <w:rFonts w:ascii="Times New Roman" w:hAnsi="Times New Roman"/>
          <w:sz w:val="24"/>
          <w:szCs w:val="24"/>
          <w:lang w:val="en-GB"/>
        </w:rPr>
        <w:t xml:space="preserve">The assay inter-day coefficients of variation (CV) for fosfomycin in </w:t>
      </w:r>
      <w:r w:rsidRPr="002C7B68">
        <w:rPr>
          <w:rFonts w:ascii="Times New Roman" w:hAnsi="Times New Roman"/>
          <w:sz w:val="24"/>
          <w:szCs w:val="24"/>
          <w:lang w:val="en-GB"/>
        </w:rPr>
        <w:t>serum</w:t>
      </w:r>
      <w:r w:rsidR="004940D7" w:rsidRPr="002C7B68">
        <w:rPr>
          <w:rFonts w:ascii="Times New Roman" w:hAnsi="Times New Roman"/>
          <w:sz w:val="24"/>
          <w:szCs w:val="24"/>
          <w:lang w:val="en-GB"/>
        </w:rPr>
        <w:t xml:space="preserve"> </w:t>
      </w:r>
      <w:r w:rsidR="00287BB1" w:rsidRPr="002C7B68">
        <w:rPr>
          <w:rFonts w:ascii="Times New Roman" w:hAnsi="Times New Roman"/>
          <w:sz w:val="24"/>
          <w:szCs w:val="24"/>
          <w:lang w:val="en-GB"/>
        </w:rPr>
        <w:t xml:space="preserve">were ≤10%, with an accuracy range of 91.5 to 109.9%. The </w:t>
      </w:r>
      <w:r w:rsidR="004940D7" w:rsidRPr="002C7B68">
        <w:rPr>
          <w:rFonts w:ascii="Times New Roman" w:hAnsi="Times New Roman"/>
          <w:sz w:val="24"/>
          <w:szCs w:val="24"/>
          <w:lang w:val="en-GB"/>
        </w:rPr>
        <w:t xml:space="preserve">lower limit </w:t>
      </w:r>
      <w:r w:rsidR="00287BB1" w:rsidRPr="002C7B68">
        <w:rPr>
          <w:rFonts w:ascii="Times New Roman" w:hAnsi="Times New Roman"/>
          <w:sz w:val="24"/>
          <w:szCs w:val="24"/>
          <w:lang w:val="en-GB"/>
        </w:rPr>
        <w:t xml:space="preserve">of </w:t>
      </w:r>
      <w:r w:rsidR="004940D7" w:rsidRPr="002C7B68">
        <w:rPr>
          <w:rFonts w:ascii="Times New Roman" w:hAnsi="Times New Roman"/>
          <w:sz w:val="24"/>
          <w:szCs w:val="24"/>
          <w:lang w:val="en-GB"/>
        </w:rPr>
        <w:t xml:space="preserve">quantification </w:t>
      </w:r>
      <w:r w:rsidR="00287BB1" w:rsidRPr="002C7B68">
        <w:rPr>
          <w:rFonts w:ascii="Times New Roman" w:hAnsi="Times New Roman"/>
          <w:sz w:val="24"/>
          <w:szCs w:val="24"/>
          <w:lang w:val="en-GB"/>
        </w:rPr>
        <w:t xml:space="preserve">(LLOQ) assay for plasma was 1 mg/L, with precision at CV&lt;15%, and accuracy range of 88.5 to 112.8%. The </w:t>
      </w:r>
      <w:r w:rsidR="004940D7" w:rsidRPr="002C7B68">
        <w:rPr>
          <w:rFonts w:ascii="Times New Roman" w:hAnsi="Times New Roman"/>
          <w:sz w:val="24"/>
          <w:szCs w:val="24"/>
          <w:lang w:val="en-GB"/>
        </w:rPr>
        <w:t>assay was linear over its working range</w:t>
      </w:r>
      <w:r w:rsidR="00550C8E" w:rsidRPr="002C7B68">
        <w:rPr>
          <w:rFonts w:ascii="Times New Roman" w:hAnsi="Times New Roman"/>
          <w:sz w:val="24"/>
          <w:szCs w:val="24"/>
          <w:lang w:val="en-GB"/>
        </w:rPr>
        <w:t xml:space="preserve"> (1-1000 mg/L)</w:t>
      </w:r>
      <w:r w:rsidR="00287BB1" w:rsidRPr="002C7B68">
        <w:rPr>
          <w:rFonts w:ascii="Times New Roman" w:hAnsi="Times New Roman"/>
          <w:sz w:val="24"/>
          <w:szCs w:val="24"/>
          <w:lang w:val="en-GB"/>
        </w:rPr>
        <w:t>.</w:t>
      </w:r>
    </w:p>
    <w:p w14:paraId="333B5DA6" w14:textId="77777777" w:rsidR="00361420" w:rsidRPr="002C7B68" w:rsidRDefault="00361420" w:rsidP="00287BB1">
      <w:pPr>
        <w:autoSpaceDE w:val="0"/>
        <w:autoSpaceDN w:val="0"/>
        <w:adjustRightInd w:val="0"/>
        <w:spacing w:after="0" w:line="480" w:lineRule="auto"/>
        <w:jc w:val="both"/>
        <w:rPr>
          <w:rFonts w:ascii="Times New Roman" w:hAnsi="Times New Roman"/>
          <w:sz w:val="24"/>
          <w:szCs w:val="24"/>
          <w:lang w:val="en-GB"/>
        </w:rPr>
      </w:pPr>
    </w:p>
    <w:p w14:paraId="07848492" w14:textId="77777777" w:rsidR="00D4017F" w:rsidRPr="002C7B68" w:rsidRDefault="00D4017F" w:rsidP="00C34BCB">
      <w:pPr>
        <w:autoSpaceDE w:val="0"/>
        <w:autoSpaceDN w:val="0"/>
        <w:adjustRightInd w:val="0"/>
        <w:spacing w:after="0" w:line="480" w:lineRule="auto"/>
        <w:jc w:val="both"/>
        <w:rPr>
          <w:rFonts w:ascii="Times New Roman" w:hAnsi="Times New Roman"/>
          <w:b/>
          <w:sz w:val="24"/>
          <w:szCs w:val="24"/>
          <w:lang w:val="en-GB"/>
        </w:rPr>
      </w:pPr>
      <w:r w:rsidRPr="002C7B68">
        <w:rPr>
          <w:rFonts w:ascii="Times New Roman" w:hAnsi="Times New Roman"/>
          <w:b/>
          <w:sz w:val="24"/>
          <w:szCs w:val="24"/>
          <w:lang w:val="en-GB"/>
        </w:rPr>
        <w:t>Mathematical Model</w:t>
      </w:r>
    </w:p>
    <w:p w14:paraId="59579C27" w14:textId="6A766E6C" w:rsidR="00B837EA" w:rsidRPr="002C7B68" w:rsidRDefault="00D4017F" w:rsidP="001A25DA">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 xml:space="preserve">The nonparametric adaptive grid (NPAG) algorithm, </w:t>
      </w:r>
      <w:r w:rsidR="004940D7" w:rsidRPr="002C7B68">
        <w:rPr>
          <w:rFonts w:ascii="Times New Roman" w:hAnsi="Times New Roman"/>
          <w:sz w:val="24"/>
          <w:szCs w:val="24"/>
          <w:lang w:val="en-GB"/>
        </w:rPr>
        <w:t xml:space="preserve">embedded </w:t>
      </w:r>
      <w:r w:rsidRPr="002C7B68">
        <w:rPr>
          <w:rFonts w:ascii="Times New Roman" w:hAnsi="Times New Roman"/>
          <w:sz w:val="24"/>
          <w:szCs w:val="24"/>
          <w:lang w:val="en-GB"/>
        </w:rPr>
        <w:t>within the Pmetrics software package</w:t>
      </w:r>
      <w:r w:rsidR="00071AA9" w:rsidRPr="002C7B68">
        <w:rPr>
          <w:rFonts w:ascii="Times New Roman" w:hAnsi="Times New Roman"/>
          <w:sz w:val="24"/>
          <w:szCs w:val="24"/>
          <w:lang w:val="en-GB"/>
        </w:rPr>
        <w:t xml:space="preserve"> </w:t>
      </w:r>
      <w:r w:rsidRPr="002C7B68">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"DOI" : "10.1097/FTD.0b013e31825c4ba6", "ISSN" : "0163-4356", "PMID" : "22722776", "abstract" : "INTRODUCTION: Nonparametric population modeling algorithms have a theoretical superiority over parametric methods to detect pharmacokinetic and pharmacodynamic subgroups and outliers within a study population.\\n\\nMETHODS: The authors created \"Pmetrics,\" a new Windows and Unix R software package that updates the older MM-USCPACK software for nonparametric and parametric population modeling and simulation of pharmacokinetic and pharmacodynamic systems. The parametric iterative 2-stage Bayesian and the nonparametric adaptive grid (NPAG) approaches in Pmetrics were used to fit a simulated population with bimodal elimination (Kel) and unimodal volume of distribution (Vd), plus an extreme outlier, for a 1-compartment model of an intravenous drug.\\n\\nRESULTS: The true means (SD) for Kel and Vd in the population sample were 0.19 (0.17) and 102 (22.3), respectively. Those found by NPAG were 0.19 (0.16) and 104 (22.6). The iterative 2-stage Bayesian estimated them to be 0.18 (0.16) and 104 (24.4). However, given the bimodality of Kel, no subject had a value near the mean for the population. Only NPAG was able to accurately detect the bimodal distribution for Kel and to find the outlier in both the population model and in the Bayesian posterior parameter estimates.\\n\\nCONCLUSIONS: Built on over 3 decades of work, Pmetrics adopts a robust, reliable, and mature nonparametric approach to population modeling, which was better than the parametric method at discovering true pharmacokinetic subgroups and an outlier.", "author" : [ { "dropping-particle" : "", "family" : "Neely", "given" : "Michael N.", "non-dropping-particle" : "", "parse-names" : false, "suffix" : "" }, { "dropping-particle" : "", "family" : "Guilder", "given" : "Michael G.", "non-dropping-particle" : "van", "parse-names" : false, "suffix" : "" }, { "dropping-particle" : "", "family" : "Yamada", "given" : "Walter M.", "non-dropping-particle" : "", "parse-names" : false, "suffix" : "" }, { "dropping-particle" : "", "family" : "Schumitzky", "given" : "Alan", "non-dropping-particle" : "", "parse-names" : false, "suffix" : "" }, { "dropping-particle" : "", "family" : "Jelliffe", "given" : "Roger W.", "non-dropping-particle" : "", "parse-names" : false, "suffix" : "" } ], "container-title" : "Therapeutic Drug Monitoring", "id" : "ITEM-1", "issue" : "4", "issued" : { "date-parts" : [ [ "2012" ] ] }, "page" : "467-476", "title" : "Accurate Detection of Outliers and Subpopulations With Pmetrics, a Nonparametric and Parametric Pharmacometric Modeling and Simulation Package for R", "type" : "article", "volume" : "34" }, "uris" : [ "http://www.mendeley.com/documents/?uuid=d4b1b9b0-f60e-4b8d-a20c-4671fe313226" ] } ], "mendeley" : { "formattedCitation" : "[17]", "plainTextFormattedCitation" : "[17]", "previouslyFormattedCitation" : "[17]" }, "properties" : {  }, "schema" : "https://github.com/citation-style-language/schema/raw/master/csl-citation.json" }</w:instrText>
      </w:r>
      <w:r w:rsidRPr="002C7B68">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[17]</w:t>
      </w:r>
      <w:r w:rsidRPr="002C7B68">
        <w:rPr>
          <w:rFonts w:ascii="Times New Roman" w:hAnsi="Times New Roman"/>
          <w:sz w:val="24"/>
          <w:szCs w:val="24"/>
          <w:lang w:val="en-GB"/>
        </w:rPr>
        <w:fldChar w:fldCharType="end"/>
      </w:r>
      <w:r w:rsidR="00071AA9" w:rsidRPr="002C7B68">
        <w:rPr>
          <w:rFonts w:ascii="Times New Roman" w:hAnsi="Times New Roman"/>
          <w:sz w:val="24"/>
          <w:szCs w:val="24"/>
          <w:lang w:val="en-GB"/>
        </w:rPr>
        <w:t>,</w:t>
      </w:r>
      <w:r w:rsidRPr="002C7B68">
        <w:rPr>
          <w:rFonts w:ascii="Times New Roman" w:hAnsi="Times New Roman"/>
          <w:sz w:val="24"/>
          <w:szCs w:val="24"/>
          <w:lang w:val="en-GB"/>
        </w:rPr>
        <w:t xml:space="preserve"> was used to build </w:t>
      </w:r>
      <w:r w:rsidR="00972A09" w:rsidRPr="002C7B68">
        <w:rPr>
          <w:rFonts w:ascii="Times New Roman" w:hAnsi="Times New Roman"/>
          <w:sz w:val="24"/>
          <w:szCs w:val="24"/>
          <w:lang w:val="en-GB"/>
        </w:rPr>
        <w:t>a</w:t>
      </w:r>
      <w:r w:rsidRPr="002C7B68">
        <w:rPr>
          <w:rFonts w:ascii="Times New Roman" w:hAnsi="Times New Roman"/>
          <w:sz w:val="24"/>
          <w:szCs w:val="24"/>
          <w:lang w:val="en-GB"/>
        </w:rPr>
        <w:t xml:space="preserve"> population pharmacokinetic model.</w:t>
      </w:r>
      <w:r w:rsidR="00D859FC" w:rsidRPr="002C7B68">
        <w:rPr>
          <w:rFonts w:ascii="Times New Roman" w:hAnsi="Times New Roman"/>
          <w:sz w:val="24"/>
          <w:szCs w:val="24"/>
          <w:lang w:val="en-GB"/>
        </w:rPr>
        <w:t xml:space="preserve"> </w:t>
      </w:r>
      <w:bookmarkStart w:id="5" w:name="_Hlk503348115"/>
      <w:r w:rsidR="00D859FC" w:rsidRPr="002C7B68">
        <w:rPr>
          <w:rFonts w:ascii="Times New Roman" w:hAnsi="Times New Roman"/>
          <w:sz w:val="24"/>
          <w:szCs w:val="24"/>
          <w:lang w:val="en-GB"/>
        </w:rPr>
        <w:t xml:space="preserve">For the population pharmacokinetic analysis, </w:t>
      </w:r>
      <w:r w:rsidR="00EB2AA0" w:rsidRPr="002C7B68">
        <w:rPr>
          <w:rFonts w:ascii="Times New Roman" w:hAnsi="Times New Roman"/>
          <w:sz w:val="24"/>
          <w:szCs w:val="24"/>
          <w:lang w:val="en-GB"/>
        </w:rPr>
        <w:t xml:space="preserve">the one- and </w:t>
      </w:r>
      <w:r w:rsidR="00D859FC" w:rsidRPr="002C7B68">
        <w:rPr>
          <w:rFonts w:ascii="Times New Roman" w:hAnsi="Times New Roman"/>
          <w:sz w:val="24"/>
          <w:szCs w:val="24"/>
          <w:lang w:val="en-GB"/>
        </w:rPr>
        <w:t xml:space="preserve">two-compartment linear models were fitted </w:t>
      </w:r>
      <w:r w:rsidR="00972A09" w:rsidRPr="002C7B68">
        <w:rPr>
          <w:rFonts w:ascii="Times New Roman" w:hAnsi="Times New Roman"/>
          <w:sz w:val="24"/>
          <w:szCs w:val="24"/>
          <w:lang w:val="en-GB"/>
        </w:rPr>
        <w:t xml:space="preserve">to the </w:t>
      </w:r>
      <w:r w:rsidR="00D859FC" w:rsidRPr="002C7B68">
        <w:rPr>
          <w:rFonts w:ascii="Times New Roman" w:hAnsi="Times New Roman"/>
          <w:sz w:val="24"/>
          <w:szCs w:val="24"/>
          <w:lang w:val="en-GB"/>
        </w:rPr>
        <w:t>plasma fosfomycin concentration data.</w:t>
      </w:r>
      <w:r w:rsidR="00B837EA" w:rsidRPr="002C7B68">
        <w:rPr>
          <w:rFonts w:ascii="Times New Roman" w:hAnsi="Times New Roman"/>
          <w:sz w:val="24"/>
          <w:szCs w:val="24"/>
          <w:lang w:val="en-GB"/>
        </w:rPr>
        <w:t xml:space="preserve"> </w:t>
      </w:r>
      <w:r w:rsidR="001A25DA" w:rsidRPr="002C7B68">
        <w:rPr>
          <w:rFonts w:ascii="Times New Roman" w:hAnsi="Times New Roman"/>
          <w:sz w:val="24"/>
          <w:szCs w:val="24"/>
          <w:lang w:val="en-GB"/>
        </w:rPr>
        <w:t xml:space="preserve">Covariate model building was performed using sequential assessment of biologically plausible clinical parameters. Forward inclusion was based upon the aforementioned model selection criteria and significant correlation with one of the pharmacokinetic parameters. </w:t>
      </w:r>
      <w:r w:rsidRPr="002C7B68">
        <w:rPr>
          <w:rFonts w:ascii="Times New Roman" w:hAnsi="Times New Roman"/>
          <w:sz w:val="24"/>
          <w:szCs w:val="24"/>
          <w:lang w:val="en-GB"/>
        </w:rPr>
        <w:t>Creatinine clearance</w:t>
      </w:r>
      <w:r w:rsidR="0024271A" w:rsidRPr="002C7B68">
        <w:rPr>
          <w:rFonts w:ascii="Times New Roman" w:hAnsi="Times New Roman"/>
          <w:sz w:val="24"/>
          <w:szCs w:val="24"/>
          <w:lang w:val="en-GB"/>
        </w:rPr>
        <w:t>, weight</w:t>
      </w:r>
      <w:r w:rsidR="00FA76CD">
        <w:rPr>
          <w:rFonts w:ascii="Times New Roman" w:hAnsi="Times New Roman"/>
          <w:sz w:val="24"/>
          <w:szCs w:val="24"/>
          <w:lang w:val="en-GB"/>
        </w:rPr>
        <w:t>, age</w:t>
      </w:r>
      <w:r w:rsidR="00F25062">
        <w:rPr>
          <w:rFonts w:ascii="Times New Roman" w:hAnsi="Times New Roman"/>
          <w:sz w:val="24"/>
          <w:szCs w:val="24"/>
          <w:lang w:val="en-GB"/>
        </w:rPr>
        <w:t>, sex</w:t>
      </w:r>
      <w:r w:rsidRPr="002C7B68">
        <w:rPr>
          <w:rFonts w:ascii="Times New Roman" w:hAnsi="Times New Roman"/>
          <w:sz w:val="24"/>
          <w:szCs w:val="24"/>
          <w:lang w:val="en-GB"/>
        </w:rPr>
        <w:t xml:space="preserve"> and body mass </w:t>
      </w:r>
      <w:r w:rsidR="00972A09" w:rsidRPr="002C7B68">
        <w:rPr>
          <w:rFonts w:ascii="Times New Roman" w:hAnsi="Times New Roman"/>
          <w:sz w:val="24"/>
          <w:szCs w:val="24"/>
          <w:lang w:val="en-GB"/>
        </w:rPr>
        <w:t xml:space="preserve">index </w:t>
      </w:r>
      <w:r w:rsidR="00360138" w:rsidRPr="002C7B68">
        <w:rPr>
          <w:rFonts w:ascii="Times New Roman" w:hAnsi="Times New Roman"/>
          <w:sz w:val="24"/>
          <w:szCs w:val="24"/>
          <w:lang w:val="en-GB"/>
        </w:rPr>
        <w:t xml:space="preserve">(BMI) </w:t>
      </w:r>
      <w:r w:rsidRPr="002C7B68">
        <w:rPr>
          <w:rFonts w:ascii="Times New Roman" w:hAnsi="Times New Roman"/>
          <w:sz w:val="24"/>
          <w:szCs w:val="24"/>
          <w:lang w:val="en-GB"/>
        </w:rPr>
        <w:t xml:space="preserve">were explored as covariates for </w:t>
      </w:r>
      <w:r w:rsidR="00C75838" w:rsidRPr="002C7B68">
        <w:rPr>
          <w:rFonts w:ascii="Times New Roman" w:hAnsi="Times New Roman"/>
          <w:sz w:val="24"/>
          <w:szCs w:val="24"/>
          <w:lang w:val="en-GB"/>
        </w:rPr>
        <w:t>each</w:t>
      </w:r>
      <w:r w:rsidRPr="002C7B68">
        <w:rPr>
          <w:rFonts w:ascii="Times New Roman" w:hAnsi="Times New Roman"/>
          <w:sz w:val="24"/>
          <w:szCs w:val="24"/>
          <w:lang w:val="en-GB"/>
        </w:rPr>
        <w:t xml:space="preserve"> structural model.</w:t>
      </w:r>
      <w:bookmarkEnd w:id="5"/>
      <w:r w:rsidRPr="002C7B68">
        <w:rPr>
          <w:rFonts w:ascii="Times New Roman" w:hAnsi="Times New Roman"/>
          <w:sz w:val="24"/>
          <w:szCs w:val="24"/>
          <w:lang w:val="en-GB"/>
        </w:rPr>
        <w:t xml:space="preserve"> </w:t>
      </w:r>
    </w:p>
    <w:p w14:paraId="735D2269" w14:textId="6136ED5B" w:rsidR="00B837EA" w:rsidRPr="002C7B68" w:rsidRDefault="00972A09">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 xml:space="preserve">The data were weighted by the inverse of the estimated assay variance. </w:t>
      </w:r>
      <w:r w:rsidR="005A785E" w:rsidRPr="002C7B68">
        <w:rPr>
          <w:rFonts w:ascii="Times New Roman" w:hAnsi="Times New Roman"/>
          <w:sz w:val="24"/>
          <w:szCs w:val="24"/>
          <w:lang w:val="en-GB"/>
        </w:rPr>
        <w:t xml:space="preserve">This </w:t>
      </w:r>
      <w:r w:rsidR="008510D4" w:rsidRPr="002C7B68">
        <w:rPr>
          <w:rFonts w:ascii="Times New Roman" w:hAnsi="Times New Roman"/>
          <w:sz w:val="24"/>
          <w:szCs w:val="24"/>
          <w:lang w:val="en-GB"/>
        </w:rPr>
        <w:t xml:space="preserve">was determined from the </w:t>
      </w:r>
      <w:r w:rsidR="009C07B5">
        <w:rPr>
          <w:rFonts w:ascii="Times New Roman" w:hAnsi="Times New Roman"/>
          <w:sz w:val="24"/>
          <w:szCs w:val="24"/>
          <w:lang w:val="en-GB"/>
        </w:rPr>
        <w:t>quality control</w:t>
      </w:r>
      <w:r w:rsidR="009C07B5" w:rsidRPr="002C7B68">
        <w:rPr>
          <w:rFonts w:ascii="Times New Roman" w:hAnsi="Times New Roman"/>
          <w:sz w:val="24"/>
          <w:szCs w:val="24"/>
          <w:lang w:val="en-GB"/>
        </w:rPr>
        <w:t xml:space="preserve"> </w:t>
      </w:r>
      <w:r w:rsidR="00785EFD" w:rsidRPr="002C7B68">
        <w:rPr>
          <w:rFonts w:ascii="Times New Roman" w:hAnsi="Times New Roman"/>
          <w:sz w:val="24"/>
          <w:szCs w:val="24"/>
          <w:lang w:val="en-GB"/>
        </w:rPr>
        <w:t xml:space="preserve">samples </w:t>
      </w:r>
      <w:r w:rsidR="005F2337" w:rsidRPr="002C7B68">
        <w:rPr>
          <w:rFonts w:ascii="Times New Roman" w:hAnsi="Times New Roman"/>
          <w:sz w:val="24"/>
          <w:szCs w:val="24"/>
          <w:lang w:val="en-GB"/>
        </w:rPr>
        <w:t xml:space="preserve">used to </w:t>
      </w:r>
      <w:r w:rsidR="00EA4CEF" w:rsidRPr="002C7B68">
        <w:rPr>
          <w:rFonts w:ascii="Times New Roman" w:hAnsi="Times New Roman"/>
          <w:sz w:val="24"/>
          <w:szCs w:val="24"/>
          <w:lang w:val="en-GB"/>
        </w:rPr>
        <w:t>estimate the</w:t>
      </w:r>
      <w:r w:rsidR="00D4017F" w:rsidRPr="002C7B68">
        <w:rPr>
          <w:rFonts w:ascii="Times New Roman" w:hAnsi="Times New Roman"/>
          <w:sz w:val="24"/>
          <w:szCs w:val="24"/>
          <w:lang w:val="en-GB"/>
        </w:rPr>
        <w:t xml:space="preserve"> inter-day assay </w:t>
      </w:r>
      <w:r w:rsidR="00F91E34" w:rsidRPr="002C7B68">
        <w:rPr>
          <w:rFonts w:ascii="Times New Roman" w:hAnsi="Times New Roman"/>
          <w:sz w:val="24"/>
          <w:szCs w:val="24"/>
          <w:lang w:val="en-GB"/>
        </w:rPr>
        <w:t xml:space="preserve">variance and given by </w:t>
      </w:r>
      <w:r w:rsidR="00D4017F" w:rsidRPr="002C7B68">
        <w:rPr>
          <w:rFonts w:ascii="Times New Roman" w:hAnsi="Times New Roman"/>
          <w:sz w:val="24"/>
          <w:szCs w:val="24"/>
          <w:lang w:val="en-GB"/>
        </w:rPr>
        <w:t>SD</w:t>
      </w:r>
      <w:r w:rsidR="00550C8E" w:rsidRPr="002C7B68">
        <w:rPr>
          <w:rFonts w:ascii="Times New Roman" w:hAnsi="Times New Roman"/>
          <w:sz w:val="24"/>
          <w:szCs w:val="24"/>
          <w:lang w:val="en-GB"/>
        </w:rPr>
        <w:t xml:space="preserve"> (mg/L)</w:t>
      </w:r>
      <w:r w:rsidR="00D4017F" w:rsidRPr="002C7B68">
        <w:rPr>
          <w:rFonts w:ascii="Times New Roman" w:hAnsi="Times New Roman"/>
          <w:sz w:val="24"/>
          <w:szCs w:val="24"/>
          <w:lang w:val="en-GB"/>
        </w:rPr>
        <w:t xml:space="preserve"> = gamma ×</w:t>
      </w:r>
      <w:r w:rsidR="00E575EB" w:rsidRPr="002C7B68">
        <w:rPr>
          <w:rFonts w:ascii="Times New Roman" w:hAnsi="Times New Roman"/>
          <w:sz w:val="24"/>
          <w:szCs w:val="24"/>
          <w:lang w:val="en-GB"/>
        </w:rPr>
        <w:t xml:space="preserve"> </w:t>
      </w:r>
      <w:r w:rsidR="00D4017F" w:rsidRPr="002C7B68">
        <w:rPr>
          <w:rFonts w:ascii="Times New Roman" w:hAnsi="Times New Roman"/>
          <w:sz w:val="24"/>
          <w:szCs w:val="24"/>
          <w:lang w:val="en-GB"/>
        </w:rPr>
        <w:t xml:space="preserve">(0.059 + 0.0118 × C), where C is </w:t>
      </w:r>
      <w:r w:rsidR="0033086A" w:rsidRPr="002C7B68">
        <w:rPr>
          <w:rFonts w:ascii="Times New Roman" w:hAnsi="Times New Roman"/>
          <w:sz w:val="24"/>
          <w:szCs w:val="24"/>
          <w:lang w:val="en-GB"/>
        </w:rPr>
        <w:t>the fosfomycin</w:t>
      </w:r>
      <w:r w:rsidR="00D4017F" w:rsidRPr="002C7B68">
        <w:rPr>
          <w:rFonts w:ascii="Times New Roman" w:hAnsi="Times New Roman"/>
          <w:sz w:val="24"/>
          <w:szCs w:val="24"/>
          <w:lang w:val="en-GB"/>
        </w:rPr>
        <w:t xml:space="preserve"> concentration</w:t>
      </w:r>
      <w:r w:rsidR="00B84CCB" w:rsidRPr="002C7B68">
        <w:rPr>
          <w:rFonts w:ascii="Times New Roman" w:hAnsi="Times New Roman"/>
          <w:sz w:val="24"/>
          <w:szCs w:val="24"/>
          <w:lang w:val="en-GB"/>
        </w:rPr>
        <w:t>. G</w:t>
      </w:r>
      <w:r w:rsidR="00D4017F" w:rsidRPr="002C7B68">
        <w:rPr>
          <w:rFonts w:ascii="Times New Roman" w:hAnsi="Times New Roman"/>
          <w:sz w:val="24"/>
          <w:szCs w:val="24"/>
          <w:lang w:val="en-GB"/>
        </w:rPr>
        <w:t xml:space="preserve">amma represents </w:t>
      </w:r>
      <w:r w:rsidR="0018651C" w:rsidRPr="002C7B68">
        <w:rPr>
          <w:rFonts w:ascii="Times New Roman" w:hAnsi="Times New Roman"/>
          <w:sz w:val="24"/>
          <w:szCs w:val="24"/>
          <w:lang w:val="en-GB"/>
        </w:rPr>
        <w:t>an estimate of process noise</w:t>
      </w:r>
      <w:r w:rsidR="00D4017F" w:rsidRPr="002C7B68">
        <w:rPr>
          <w:rFonts w:ascii="Times New Roman" w:hAnsi="Times New Roman"/>
          <w:sz w:val="24"/>
          <w:szCs w:val="24"/>
          <w:lang w:val="en-GB"/>
        </w:rPr>
        <w:t xml:space="preserve"> </w:t>
      </w:r>
      <w:r w:rsidR="00710A16" w:rsidRPr="002C7B68">
        <w:rPr>
          <w:rFonts w:ascii="Times New Roman" w:hAnsi="Times New Roman"/>
          <w:sz w:val="24"/>
          <w:szCs w:val="24"/>
          <w:lang w:val="en-GB"/>
        </w:rPr>
        <w:t xml:space="preserve">and is expressed as multiples of </w:t>
      </w:r>
      <w:r w:rsidR="00D4017F" w:rsidRPr="002C7B68">
        <w:rPr>
          <w:rFonts w:ascii="Times New Roman" w:hAnsi="Times New Roman"/>
          <w:sz w:val="24"/>
          <w:szCs w:val="24"/>
          <w:lang w:val="en-GB"/>
        </w:rPr>
        <w:t xml:space="preserve">the assay </w:t>
      </w:r>
      <w:r w:rsidR="00453C48" w:rsidRPr="002C7B68">
        <w:rPr>
          <w:rFonts w:ascii="Times New Roman" w:hAnsi="Times New Roman"/>
          <w:sz w:val="24"/>
          <w:szCs w:val="24"/>
          <w:lang w:val="en-GB"/>
        </w:rPr>
        <w:t xml:space="preserve">variance </w:t>
      </w:r>
      <w:r w:rsidR="00D4017F" w:rsidRPr="002C7B68">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"DOI" : "10.1097/FTD.0b013e31825c4ba6", "ISSN" : "0163-4356", "PMID" : "22722776", "abstract" : "INTRODUCTION: Nonparametric population modeling algorithms have a theoretical superiority over parametric methods to detect pharmacokinetic and pharmacodynamic subgroups and outliers within a study population.\\n\\nMETHODS: The authors created \"Pmetrics,\" a new Windows and Unix R software package that updates the older MM-USCPACK software for nonparametric and parametric population modeling and simulation of pharmacokinetic and pharmacodynamic systems. The parametric iterative 2-stage Bayesian and the nonparametric adaptive grid (NPAG) approaches in Pmetrics were used to fit a simulated population with bimodal elimination (Kel) and unimodal volume of distribution (Vd), plus an extreme outlier, for a 1-compartment model of an intravenous drug.\\n\\nRESULTS: The true means (SD) for Kel and Vd in the population sample were 0.19 (0.17) and 102 (22.3), respectively. Those found by NPAG were 0.19 (0.16) and 104 (22.6). The iterative 2-stage Bayesian estimated them to be 0.18 (0.16) and 104 (24.4). However, given the bimodality of Kel, no subject had a value near the mean for the population. Only NPAG was able to accurately detect the bimodal distribution for Kel and to find the outlier in both the population model and in the Bayesian posterior parameter estimates.\\n\\nCONCLUSIONS: Built on over 3 decades of work, Pmetrics adopts a robust, reliable, and mature nonparametric approach to population modeling, which was better than the parametric method at discovering true pharmacokinetic subgroups and an outlier.", "author" : [ { "dropping-particle" : "", "family" : "Neely", "given" : "Michael N.", "non-dropping-particle" : "", "parse-names" : false, "suffix" : "" }, { "dropping-particle" : "", "family" : "Guilder", "given" : "Michael G.", "non-dropping-particle" : "van", "parse-names" : false, "suffix" : "" }, { "dropping-particle" : "", "family" : "Yamada", "given" : "Walter M.", "non-dropping-particle" : "", "parse-names" : false, "suffix" : "" }, { "dropping-particle" : "", "family" : "Schumitzky", "given" : "Alan", "non-dropping-particle" : "", "parse-names" : false, "suffix" : "" }, { "dropping-particle" : "", "family" : "Jelliffe", "given" : "Roger W.", "non-dropping-particle" : "", "parse-names" : false, "suffix" : "" } ], "container-title" : "Therapeutic Drug Monitoring", "id" : "ITEM-1", "issue" : "4", "issued" : { "date-parts" : [ [ "2012" ] ] }, "page" : "467-476", "title" : "Accurate Detection of Outliers and Subpopulations With Pmetrics, a Nonparametric and Parametric Pharmacometric Modeling and Simulation Package for R", "type" : "article", "volume" : "34" }, "uris" : [ "http://www.mendeley.com/documents/?uuid=d4b1b9b0-f60e-4b8d-a20c-4671fe313226" ] } ], "mendeley" : { "formattedCitation" : "[17]", "plainTextFormattedCitation" : "[17]", "previouslyFormattedCitation" : "[17]" }, "properties" : {  }, "schema" : "https://github.com/citation-style-language/schema/raw/master/csl-citation.json" }</w:instrText>
      </w:r>
      <w:r w:rsidR="00D4017F" w:rsidRPr="002C7B68">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[17]</w:t>
      </w:r>
      <w:r w:rsidR="00D4017F" w:rsidRPr="002C7B68">
        <w:rPr>
          <w:rFonts w:ascii="Times New Roman" w:hAnsi="Times New Roman"/>
          <w:sz w:val="24"/>
          <w:szCs w:val="24"/>
          <w:lang w:val="en-GB"/>
        </w:rPr>
        <w:fldChar w:fldCharType="end"/>
      </w:r>
      <w:r w:rsidR="00071AA9" w:rsidRPr="002C7B68">
        <w:rPr>
          <w:rFonts w:ascii="Times New Roman" w:hAnsi="Times New Roman"/>
          <w:sz w:val="24"/>
          <w:szCs w:val="24"/>
          <w:lang w:val="en-GB"/>
        </w:rPr>
        <w:t>.</w:t>
      </w:r>
      <w:r w:rsidR="004B6C95" w:rsidRPr="002C7B68">
        <w:rPr>
          <w:rFonts w:ascii="Times New Roman" w:hAnsi="Times New Roman"/>
          <w:sz w:val="24"/>
          <w:szCs w:val="24"/>
          <w:lang w:val="en-GB"/>
        </w:rPr>
        <w:t xml:space="preserve"> </w:t>
      </w:r>
    </w:p>
    <w:p w14:paraId="5286B1D9" w14:textId="56FDF8D3" w:rsidR="00D4017F" w:rsidRPr="002C7B68" w:rsidRDefault="004B6C95">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The fit of each model to the data was assessed using a combination of the following: (i) the log-likelihood value, (ii) the Akaike information criterion (AIC), (iii) the coefficients of determination (r</w:t>
      </w:r>
      <w:r w:rsidRPr="002C7B68">
        <w:rPr>
          <w:rFonts w:ascii="Times New Roman" w:hAnsi="Times New Roman"/>
          <w:sz w:val="24"/>
          <w:szCs w:val="24"/>
          <w:vertAlign w:val="superscript"/>
          <w:lang w:val="en-GB"/>
        </w:rPr>
        <w:t>2</w:t>
      </w:r>
      <w:r w:rsidRPr="002C7B68">
        <w:rPr>
          <w:rFonts w:ascii="Times New Roman" w:hAnsi="Times New Roman"/>
          <w:sz w:val="24"/>
          <w:szCs w:val="24"/>
          <w:lang w:val="en-GB"/>
        </w:rPr>
        <w:t xml:space="preserve">) from the linear regression of the observed-predicted </w:t>
      </w:r>
      <w:r w:rsidRPr="002C7B68">
        <w:rPr>
          <w:rFonts w:ascii="Times New Roman" w:hAnsi="Times New Roman"/>
          <w:sz w:val="24"/>
          <w:szCs w:val="24"/>
          <w:lang w:val="en-GB"/>
        </w:rPr>
        <w:lastRenderedPageBreak/>
        <w:t xml:space="preserve">plots before and after the Bayesian step, (iv) minimization of bias and imprecisions of the observed-predicted plots, (v) the </w:t>
      </w:r>
      <w:r w:rsidR="00FA40E8" w:rsidRPr="002C7B68">
        <w:rPr>
          <w:rFonts w:ascii="Times New Roman" w:hAnsi="Times New Roman"/>
          <w:sz w:val="24"/>
          <w:szCs w:val="24"/>
          <w:lang w:val="en-GB"/>
        </w:rPr>
        <w:t>normalized prediction distribution errors (</w:t>
      </w:r>
      <w:r w:rsidRPr="002C7B68">
        <w:rPr>
          <w:rFonts w:ascii="Times New Roman" w:hAnsi="Times New Roman"/>
          <w:sz w:val="24"/>
          <w:szCs w:val="24"/>
          <w:lang w:val="en-GB"/>
        </w:rPr>
        <w:t>NPDE</w:t>
      </w:r>
      <w:r w:rsidR="00FA40E8" w:rsidRPr="002C7B68">
        <w:rPr>
          <w:rFonts w:ascii="Times New Roman" w:hAnsi="Times New Roman"/>
          <w:sz w:val="24"/>
          <w:szCs w:val="24"/>
          <w:lang w:val="en-GB"/>
        </w:rPr>
        <w:t>)</w:t>
      </w:r>
      <w:r w:rsidRPr="002C7B68">
        <w:rPr>
          <w:rFonts w:ascii="Times New Roman" w:hAnsi="Times New Roman"/>
          <w:sz w:val="24"/>
          <w:szCs w:val="24"/>
          <w:lang w:val="en-GB"/>
        </w:rPr>
        <w:t>, (vi) the distribution of the weighted residual errors</w:t>
      </w:r>
      <w:r w:rsidR="005D053D" w:rsidRPr="002C7B68">
        <w:rPr>
          <w:rFonts w:ascii="Times New Roman" w:hAnsi="Times New Roman"/>
          <w:sz w:val="24"/>
          <w:szCs w:val="24"/>
          <w:lang w:val="en-GB"/>
        </w:rPr>
        <w:t>, and (vii) the visual predictive check (VPC) plot.</w:t>
      </w:r>
    </w:p>
    <w:p w14:paraId="1461A72E" w14:textId="77777777" w:rsidR="00D859FC" w:rsidRPr="002C7B68" w:rsidRDefault="00D859FC" w:rsidP="008D04B4">
      <w:pPr>
        <w:autoSpaceDE w:val="0"/>
        <w:autoSpaceDN w:val="0"/>
        <w:adjustRightInd w:val="0"/>
        <w:spacing w:after="0" w:line="480" w:lineRule="auto"/>
        <w:jc w:val="both"/>
        <w:rPr>
          <w:rFonts w:ascii="Times New Roman" w:hAnsi="Times New Roman"/>
          <w:b/>
          <w:sz w:val="24"/>
          <w:szCs w:val="24"/>
          <w:lang w:val="en-GB"/>
        </w:rPr>
      </w:pPr>
    </w:p>
    <w:p w14:paraId="015755EC" w14:textId="77777777" w:rsidR="00651AAF" w:rsidRPr="002C7B68" w:rsidRDefault="00651AAF" w:rsidP="00651AAF">
      <w:pPr>
        <w:autoSpaceDE w:val="0"/>
        <w:autoSpaceDN w:val="0"/>
        <w:adjustRightInd w:val="0"/>
        <w:spacing w:after="0" w:line="480" w:lineRule="auto"/>
        <w:jc w:val="both"/>
        <w:rPr>
          <w:rFonts w:ascii="Times New Roman" w:hAnsi="Times New Roman"/>
          <w:b/>
          <w:sz w:val="24"/>
          <w:szCs w:val="24"/>
          <w:lang w:val="en-GB"/>
        </w:rPr>
      </w:pPr>
      <w:r w:rsidRPr="002C7B68">
        <w:rPr>
          <w:rFonts w:ascii="Times New Roman" w:hAnsi="Times New Roman"/>
          <w:b/>
          <w:sz w:val="24"/>
          <w:szCs w:val="24"/>
          <w:lang w:val="en-GB"/>
        </w:rPr>
        <w:t>Simulations and probability of target attainment</w:t>
      </w:r>
    </w:p>
    <w:p w14:paraId="0E87F9C8" w14:textId="3F86A823" w:rsidR="00B14FD1" w:rsidRPr="002C7B68" w:rsidRDefault="00651AAF" w:rsidP="005D053D">
      <w:pPr>
        <w:shd w:val="clear" w:color="auto" w:fill="FFFFFF"/>
        <w:spacing w:after="0" w:line="480" w:lineRule="auto"/>
        <w:jc w:val="both"/>
        <w:textAlignment w:val="baseline"/>
        <w:rPr>
          <w:rFonts w:ascii="Times New Roman" w:hAnsi="Times New Roman"/>
          <w:b/>
          <w:sz w:val="24"/>
          <w:szCs w:val="24"/>
          <w:lang w:val="en-GB"/>
        </w:rPr>
      </w:pPr>
      <w:r w:rsidRPr="002C7B68">
        <w:rPr>
          <w:rFonts w:ascii="Times New Roman" w:hAnsi="Times New Roman"/>
          <w:sz w:val="24"/>
          <w:szCs w:val="24"/>
          <w:lang w:val="en-GB"/>
        </w:rPr>
        <w:t xml:space="preserve">Monte Carlo simulations were conducted </w:t>
      </w:r>
      <w:r w:rsidR="00E12DD2" w:rsidRPr="002C7B68">
        <w:rPr>
          <w:rFonts w:ascii="Times New Roman" w:hAnsi="Times New Roman"/>
          <w:sz w:val="24"/>
          <w:szCs w:val="24"/>
          <w:lang w:val="en-GB"/>
        </w:rPr>
        <w:t xml:space="preserve">using </w:t>
      </w:r>
      <w:r w:rsidRPr="002C7B68">
        <w:rPr>
          <w:rFonts w:ascii="Times New Roman" w:hAnsi="Times New Roman"/>
          <w:sz w:val="24"/>
          <w:szCs w:val="24"/>
          <w:lang w:val="en-GB"/>
        </w:rPr>
        <w:t xml:space="preserve">2000-patients, using the </w:t>
      </w:r>
      <w:r w:rsidR="00B837EA" w:rsidRPr="002C7B68">
        <w:rPr>
          <w:rFonts w:ascii="Times New Roman" w:hAnsi="Times New Roman"/>
          <w:sz w:val="24"/>
          <w:szCs w:val="24"/>
          <w:lang w:val="en-GB"/>
        </w:rPr>
        <w:t xml:space="preserve">Monte Carlo </w:t>
      </w:r>
      <w:r w:rsidRPr="002C7B68">
        <w:rPr>
          <w:rFonts w:ascii="Times New Roman" w:hAnsi="Times New Roman"/>
          <w:sz w:val="24"/>
          <w:szCs w:val="24"/>
          <w:lang w:val="en-GB"/>
        </w:rPr>
        <w:t>simulator within Pmetrics</w:t>
      </w:r>
      <w:r w:rsidR="00B754CF" w:rsidRPr="002C7B68">
        <w:rPr>
          <w:rFonts w:ascii="Times New Roman" w:hAnsi="Times New Roman"/>
          <w:sz w:val="24"/>
          <w:szCs w:val="24"/>
          <w:lang w:val="en-GB"/>
        </w:rPr>
        <w:t>.</w:t>
      </w:r>
      <w:r w:rsidR="00D344A0" w:rsidRPr="002C7B68">
        <w:rPr>
          <w:lang w:val="en-GB"/>
        </w:rPr>
        <w:t xml:space="preserve"> </w:t>
      </w:r>
      <w:r w:rsidR="00D344A0" w:rsidRPr="002C7B68">
        <w:rPr>
          <w:rFonts w:ascii="Times New Roman" w:hAnsi="Times New Roman"/>
          <w:sz w:val="24"/>
          <w:szCs w:val="24"/>
          <w:lang w:val="en-GB"/>
        </w:rPr>
        <w:t xml:space="preserve">For simulations, a semi-parametric sampling method available in Pmetrics </w:t>
      </w:r>
      <w:r w:rsidR="007B72C6" w:rsidRPr="002C7B68">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"DOI" : "10.1128/AAC.01520-08", "ISSN" : "0066-4804", "author" : [ { "dropping-particle" : "", "family" : "Goutelle", "given" : "S.", "non-dropping-particle" : "", "parse-names" : false, "suffix" : "" }, { "dropping-particle" : "", "family" : "Bourguignon", "given" : "L.", "non-dropping-particle" : "", "parse-names" : false, "suffix" : "" }, { "dropping-particle" : "", "family" : "Maire", "given" : "P. H.", "non-dropping-particle" : "", "parse-names" : false, "suffix" : "" }, { "dropping-particle" : "", "family" : "Guilder", "given" : "M.", "non-dropping-particle" : "Van", "parse-names" : false, "suffix" : "" }, { "dropping-particle" : "", "family" : "Conte", "given" : "J. E.", "non-dropping-particle" : "", "parse-names" : false, "suffix" : "" }, { "dropping-particle" : "", "family" : "Jelliffe", "given" : "R. W.", "non-dropping-particle" : "", "parse-names" : false, "suffix" : "" } ], "container-title" : "Antimicrobial Agents and Chemotherapy", "id" : "ITEM-1", "issue" : "7", "issued" : { "date-parts" : [ [ "2009", "7", "1" ] ] }, "page" : "2974-2981", "title" : "Population Modeling and Monte Carlo Simulation Study of the Pharmacokinetics and Antituberculosis Pharmacodynamics of Rifampin in Lungs", "type" : "article-journal", "volume" : "53" }, "uris" : [ "http://www.mendeley.com/documents/?uuid=bac2d9e8-4316-46a5-ba8e-1ca235d86438" ] }, { "id" : "ITEM-2", "itemData" : { "DOI" : "10.1097/FTD.0b013e31825c4ba6", "ISSN" : "0163-4356", "PMID" : "22722776", "abstract" : "INTRODUCTION: Nonparametric population modeling algorithms have a theoretical superiority over parametric methods to detect pharmacokinetic and pharmacodynamic subgroups and outliers within a study population.\\n\\nMETHODS: The authors created \"Pmetrics,\" a new Windows and Unix R software package that updates the older MM-USCPACK software for nonparametric and parametric population modeling and simulation of pharmacokinetic and pharmacodynamic systems. The parametric iterative 2-stage Bayesian and the nonparametric adaptive grid (NPAG) approaches in Pmetrics were used to fit a simulated population with bimodal elimination (Kel) and unimodal volume of distribution (Vd), plus an extreme outlier, for a 1-compartment model of an intravenous drug.\\n\\nRESULTS: The true means (SD) for Kel and Vd in the population sample were 0.19 (0.17) and 102 (22.3), respectively. Those found by NPAG were 0.19 (0.16) and 104 (22.6). The iterative 2-stage Bayesian estimated them to be 0.18 (0.16) and 104 (24.4). However, given the bimodality of Kel, no subject had a value near the mean for the population. Only NPAG was able to accurately detect the bimodal distribution for Kel and to find the outlier in both the population model and in the Bayesian posterior parameter estimates.\\n\\nCONCLUSIONS: Built on over 3 decades of work, Pmetrics adopts a robust, reliable, and mature nonparametric approach to population modeling, which was better than the parametric method at discovering true pharmacokinetic subgroups and an outlier.", "author" : [ { "dropping-particle" : "", "family" : "Neely", "given" : "Michael N.", "non-dropping-particle" : "", "parse-names" : false, "suffix" : "" }, { "dropping-particle" : "", "family" : "Guilder", "given" : "Michael G.", "non-dropping-particle" : "van", "parse-names" : false, "suffix" : "" }, { "dropping-particle" : "", "family" : "Yamada", "given" : "Walter M.", "non-dropping-particle" : "", "parse-names" : false, "suffix" : "" }, { "dropping-particle" : "", "family" : "Schumitzky", "given" : "Alan", "non-dropping-particle" : "", "parse-names" : false, "suffix" : "" }, { "dropping-particle" : "", "family" : "Jelliffe", "given" : "Roger W.", "non-dropping-particle" : "", "parse-names" : false, "suffix" : "" } ], "container-title" : "Therapeutic Drug Monitoring", "id" : "ITEM-2", "issue" : "4", "issued" : { "date-parts" : [ [ "2012" ] ] }, "page" : "467-476", "title" : "Accurate Detection of Outliers and Subpopulations With Pmetrics, a Nonparametric and Parametric Pharmacometric Modeling and Simulation Package for R", "type" : "article", "volume" : "34" }, "uris" : [ "http://www.mendeley.com/documents/?uuid=d4b1b9b0-f60e-4b8d-a20c-4671fe313226" ] } ], "mendeley" : { "formattedCitation" : "[17,18]", "plainTextFormattedCitation" : "[17,18]", "previouslyFormattedCitation" : "[17,18]" }, "properties" : {  }, "schema" : "https://github.com/citation-style-language/schema/raw/master/csl-citation.json" }</w:instrText>
      </w:r>
      <w:r w:rsidR="007B72C6" w:rsidRPr="002C7B68">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[17,18]</w:t>
      </w:r>
      <w:r w:rsidR="007B72C6" w:rsidRPr="002C7B68">
        <w:rPr>
          <w:rFonts w:ascii="Times New Roman" w:hAnsi="Times New Roman"/>
          <w:sz w:val="24"/>
          <w:szCs w:val="24"/>
          <w:lang w:val="en-GB"/>
        </w:rPr>
        <w:fldChar w:fldCharType="end"/>
      </w:r>
      <w:r w:rsidR="00DE4E39" w:rsidRPr="002C7B68">
        <w:rPr>
          <w:rFonts w:ascii="Times New Roman" w:hAnsi="Times New Roman"/>
          <w:sz w:val="24"/>
          <w:szCs w:val="24"/>
          <w:lang w:val="en-GB"/>
        </w:rPr>
        <w:t xml:space="preserve"> was used</w:t>
      </w:r>
      <w:r w:rsidR="00D344A0" w:rsidRPr="002C7B68">
        <w:rPr>
          <w:rFonts w:ascii="Times New Roman" w:hAnsi="Times New Roman"/>
          <w:sz w:val="24"/>
          <w:szCs w:val="24"/>
          <w:lang w:val="en-GB"/>
        </w:rPr>
        <w:t>. The final model consisted of 11 support points, and each point was a set of model parameter values and the probability of these values to predict observed fosfomycin concentrations in the population. Each support point then served as the mean for a multivariate normal distribution, weighted by the probability of the point, with covariance equal to the covariance matrix of the full model divided by the number of points (</w:t>
      </w:r>
      <w:r w:rsidR="00D344A0" w:rsidRPr="002C7B68">
        <w:rPr>
          <w:rFonts w:ascii="Times New Roman" w:hAnsi="Times New Roman"/>
          <w:i/>
          <w:sz w:val="24"/>
          <w:szCs w:val="24"/>
          <w:lang w:val="en-GB"/>
        </w:rPr>
        <w:t>i.e.</w:t>
      </w:r>
      <w:r w:rsidR="00D344A0" w:rsidRPr="002C7B68">
        <w:rPr>
          <w:rFonts w:ascii="Times New Roman" w:hAnsi="Times New Roman"/>
          <w:sz w:val="24"/>
          <w:szCs w:val="24"/>
          <w:lang w:val="en-GB"/>
        </w:rPr>
        <w:t xml:space="preserve"> 11). The semi-parametric sampling from this weighted, multivariate, multimodal normal distribution </w:t>
      </w:r>
      <w:r w:rsidR="00DE4E39" w:rsidRPr="002C7B68">
        <w:rPr>
          <w:rFonts w:ascii="Times New Roman" w:hAnsi="Times New Roman"/>
          <w:sz w:val="24"/>
          <w:szCs w:val="24"/>
          <w:lang w:val="en-GB"/>
        </w:rPr>
        <w:t xml:space="preserve">was used to </w:t>
      </w:r>
      <w:r w:rsidR="00D344A0" w:rsidRPr="002C7B68">
        <w:rPr>
          <w:rFonts w:ascii="Times New Roman" w:hAnsi="Times New Roman"/>
          <w:sz w:val="24"/>
          <w:szCs w:val="24"/>
          <w:lang w:val="en-GB"/>
        </w:rPr>
        <w:t>generate a novel population of 2000 parameter sets.</w:t>
      </w:r>
      <w:r w:rsidRPr="002C7B68">
        <w:rPr>
          <w:rFonts w:ascii="Times New Roman" w:hAnsi="Times New Roman"/>
          <w:sz w:val="24"/>
          <w:szCs w:val="24"/>
          <w:lang w:val="en-GB"/>
        </w:rPr>
        <w:t xml:space="preserve"> </w:t>
      </w:r>
      <w:r w:rsidR="00E71CDC" w:rsidRPr="002C7B68">
        <w:rPr>
          <w:rFonts w:ascii="Times New Roman" w:hAnsi="Times New Roman"/>
          <w:sz w:val="24"/>
          <w:szCs w:val="24"/>
          <w:lang w:val="en-GB"/>
        </w:rPr>
        <w:t>For the VPC, fosfomycin regimens of 4g Q6h (dosage used in the FOREST clinical trial</w:t>
      </w:r>
      <w:r w:rsidR="00BE6B62" w:rsidRPr="002C7B68">
        <w:rPr>
          <w:rFonts w:ascii="Times New Roman" w:hAnsi="Times New Roman"/>
          <w:sz w:val="24"/>
          <w:szCs w:val="24"/>
          <w:lang w:val="en-GB"/>
        </w:rPr>
        <w:t xml:space="preserve"> for patients with CrCl &gt;40 mL/min</w:t>
      </w:r>
      <w:r w:rsidR="00E71CDC" w:rsidRPr="002C7B68">
        <w:rPr>
          <w:rFonts w:ascii="Times New Roman" w:hAnsi="Times New Roman"/>
          <w:sz w:val="24"/>
          <w:szCs w:val="24"/>
          <w:lang w:val="en-GB"/>
        </w:rPr>
        <w:t>) and 4g Q12h for patients with renal impairment (CrCl 20-40 mL/min) were simulated. For the probability of pharmacodynamic target attainment (PTA)</w:t>
      </w:r>
      <w:r w:rsidR="00F070E3" w:rsidRPr="002C7B68">
        <w:rPr>
          <w:rFonts w:ascii="Times New Roman" w:hAnsi="Times New Roman"/>
          <w:sz w:val="24"/>
          <w:szCs w:val="24"/>
          <w:lang w:val="en-GB"/>
        </w:rPr>
        <w:t xml:space="preserve"> analysis</w:t>
      </w:r>
      <w:r w:rsidR="00E71CDC" w:rsidRPr="002C7B68">
        <w:rPr>
          <w:rFonts w:ascii="Times New Roman" w:hAnsi="Times New Roman"/>
          <w:sz w:val="24"/>
          <w:szCs w:val="24"/>
          <w:lang w:val="en-GB"/>
        </w:rPr>
        <w:t>, f</w:t>
      </w:r>
      <w:r w:rsidRPr="002C7B68">
        <w:rPr>
          <w:rFonts w:ascii="Times New Roman" w:hAnsi="Times New Roman"/>
          <w:sz w:val="24"/>
          <w:szCs w:val="24"/>
          <w:lang w:val="en-GB"/>
        </w:rPr>
        <w:t xml:space="preserve">osfomycin regimens of </w:t>
      </w:r>
      <w:r w:rsidR="00A71048" w:rsidRPr="002C7B68">
        <w:rPr>
          <w:rFonts w:ascii="Times New Roman" w:hAnsi="Times New Roman"/>
          <w:sz w:val="24"/>
          <w:szCs w:val="24"/>
          <w:lang w:val="en-GB"/>
        </w:rPr>
        <w:t>4g Q6h</w:t>
      </w:r>
      <w:r w:rsidR="00F070E3" w:rsidRPr="002C7B68">
        <w:rPr>
          <w:rFonts w:ascii="Times New Roman" w:hAnsi="Times New Roman"/>
          <w:sz w:val="24"/>
          <w:szCs w:val="24"/>
          <w:lang w:val="en-GB"/>
        </w:rPr>
        <w:t xml:space="preserve"> </w:t>
      </w:r>
      <w:r w:rsidR="00574FBE" w:rsidRPr="002C7B68">
        <w:rPr>
          <w:rFonts w:ascii="Times New Roman" w:hAnsi="Times New Roman"/>
          <w:sz w:val="24"/>
          <w:szCs w:val="24"/>
          <w:lang w:val="en-GB"/>
        </w:rPr>
        <w:t xml:space="preserve">and 8g Q8h (mutant prevention dosage observed in </w:t>
      </w:r>
      <w:r w:rsidR="00B837EA" w:rsidRPr="002C7B68">
        <w:rPr>
          <w:rFonts w:ascii="Times New Roman" w:hAnsi="Times New Roman"/>
          <w:sz w:val="24"/>
          <w:szCs w:val="24"/>
          <w:lang w:val="en-GB"/>
        </w:rPr>
        <w:t xml:space="preserve">a </w:t>
      </w:r>
      <w:r w:rsidR="00574FBE" w:rsidRPr="002C7B68">
        <w:rPr>
          <w:rFonts w:ascii="Times New Roman" w:hAnsi="Times New Roman"/>
          <w:sz w:val="24"/>
          <w:szCs w:val="24"/>
          <w:lang w:val="en-GB"/>
        </w:rPr>
        <w:t>hollow-fiber infection model</w:t>
      </w:r>
      <w:r w:rsidR="00E32657" w:rsidRPr="002C7B68">
        <w:rPr>
          <w:rFonts w:ascii="Times New Roman" w:hAnsi="Times New Roman"/>
          <w:sz w:val="24"/>
          <w:szCs w:val="24"/>
          <w:lang w:val="en-GB"/>
        </w:rPr>
        <w:t xml:space="preserve"> and </w:t>
      </w:r>
      <w:r w:rsidR="000E0B88" w:rsidRPr="002C7B68">
        <w:rPr>
          <w:rFonts w:ascii="Times New Roman" w:hAnsi="Times New Roman"/>
          <w:sz w:val="24"/>
          <w:szCs w:val="24"/>
          <w:lang w:val="en-GB"/>
        </w:rPr>
        <w:t xml:space="preserve">also the </w:t>
      </w:r>
      <w:r w:rsidR="00E32657" w:rsidRPr="002C7B68">
        <w:rPr>
          <w:rFonts w:ascii="Times New Roman" w:hAnsi="Times New Roman"/>
          <w:sz w:val="24"/>
          <w:szCs w:val="24"/>
          <w:lang w:val="en-GB"/>
        </w:rPr>
        <w:t>maximum dosage approved by the Spanish Agency of Medicines and Medical Devices</w:t>
      </w:r>
      <w:r w:rsidR="006E0E39" w:rsidRPr="002C7B68">
        <w:rPr>
          <w:rFonts w:ascii="Times New Roman" w:hAnsi="Times New Roman"/>
          <w:sz w:val="24"/>
          <w:szCs w:val="24"/>
          <w:lang w:val="en-GB"/>
        </w:rPr>
        <w:t xml:space="preserve"> for parenteral fosfomycin</w:t>
      </w:r>
      <w:r w:rsidR="00574FBE" w:rsidRPr="002C7B68">
        <w:rPr>
          <w:rFonts w:ascii="Times New Roman" w:hAnsi="Times New Roman"/>
          <w:sz w:val="24"/>
          <w:szCs w:val="24"/>
          <w:lang w:val="en-GB"/>
        </w:rPr>
        <w:t>)</w:t>
      </w:r>
      <w:r w:rsidR="00BC3C5F" w:rsidRPr="002C7B68">
        <w:rPr>
          <w:rFonts w:ascii="Times New Roman" w:hAnsi="Times New Roman"/>
          <w:sz w:val="24"/>
          <w:szCs w:val="24"/>
          <w:lang w:val="en-GB"/>
        </w:rPr>
        <w:t xml:space="preserve"> were analysed</w:t>
      </w:r>
      <w:r w:rsidR="00574FBE" w:rsidRPr="002C7B68">
        <w:rPr>
          <w:rFonts w:ascii="Times New Roman" w:hAnsi="Times New Roman"/>
          <w:sz w:val="24"/>
          <w:szCs w:val="24"/>
          <w:lang w:val="en-GB"/>
        </w:rPr>
        <w:t xml:space="preserve"> </w:t>
      </w:r>
      <w:r w:rsidR="00574FBE" w:rsidRPr="002C7B68">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"DOI" : "10.1136/bmjopen-2014-007363", "ISSN" : "2044-6055", "PMID" : "25829373", "abstract" : "INTRODUCTION Finding therapeutic alternatives to carbapenems in infections caused by extended-spectrum \u03b2-lactamase-producing Escherichia coli (ESBL-EC) is imperative. Although fosfomycin was discovered more than 40 years ago, it was not investigated in accordance with current standards and so is not used in clinical practice except in desperate situations. It is one of the so-called neglected antibiotics of high potential interest for the future. METHODS AND ANALYSIS The main objective of this project is to demonstrate the clinical non-inferiority of intravenous fosfomycin with regard to meropenem for treating bacteraemic urinary tract infections (UTI) caused by ESBL-EC. This is a 'real practice' multicentre, open-label, phase III randomised controlled trial, designed to compare the clinical and microbiological efficacy, and safety of intravenous fosfomycin (4 g/6 h) and meropenem (1 g/8 h) as targeted therapy for this infection; a change to oral therapy is permitted after 5 days in both arms, in accordance with predetermined options. The study design follows the latest recommendations for designing trials investigating new options for multidrug-resistant bacteria. Secondary objectives include the study of fosfomycin concentrations in plasma and the impact of both drugs on intestinal colonisation by multidrug-resistant Gram-negative bacilli. ETHICS AND DISSEMINATION Ethical approval was obtained from the Andalusian Coordinating Institutional Review Board (IRB) for Biomedical Research (Referral Ethics Committee), which obtained approval from the local ethics committees at all participating sites in Spain (22 sites). Data will be presented at international conferences and published in peer-reviewed journals. DISCUSSION This project is proposed as an initial step in the investigation of an orphan antimicrobial of low cost with high potential as a therapeutic alternative in common infections such as UTI in selected patients. These results may have a major impact on the use of antibiotics and the development of new projects with this drug, whether as monotherapy or combination therapy. TRIAL REGISTRATION NUMBER NCT02142751. EudraCT no: 2013-002922-21. Protocol V.1.1 dated 14 March 2014.", "author" : [ { "dropping-particle" : "", "family" : "Rosso-Fern\u00e1ndez", "given" : "Clara", "non-dropping-particle" : "", "parse-names" : false, "suffix" : "" }, { "dropping-particle" : "", "family" : "Sojo-Dorado", "given" : "Jes\u00fas", "non-dropping-particle" : "", "parse-names" : false, "suffix" : "" }, { "dropping-particle" : "", "family" : "Barriga", "given" : "Angel", "non-dropping-particle" : "", "parse-names" : false, "suffix" : "" }, { "dropping-particle" : "", "family" : "Lav\u00edn-Alconero", "given" : "Luc\u00eda", "non-dropping-particle" : "", "parse-names" : false, "suffix" : "" }, { "dropping-particle" : "", "family" : "Palacios", "given" : "Zaira", "non-dropping-particle" : "", "parse-names" : false, "suffix" : "" }, { "dropping-particle" : "", "family" : "L\u00f3pez-Hern\u00e1ndez", "given" : "Inmaculada", "non-dropping-particle" : "", "parse-names" : false, "suffix" : "" }, { "dropping-particle" : "", "family" : "Merino", "given" : "Vicente", "non-dropping-particle" : "", "parse-names" : false, "suffix" : "" }, { "dropping-particle" : "", "family" : "Camean", "given" : "Manuel", "non-dropping-particle" : "", "parse-names" : false, "suffix" : "" }, { "dropping-particle" : "", "family" : "Pascual", "given" : "Alvaro", "non-dropping-particle" : "", "parse-names" : false, "suffix" : "" }, { "dropping-particle" : "", "family" : "Rodr\u00edguez-Ba\u00f1o", "given" : "Jes\u00fas", "non-dropping-particle" : "", "parse-names" : false, "suffix" : "" }, { "dropping-particle" : "", "family" : "FOREST Study Group", "given" : "", "non-dropping-particle" : "", "parse-names" : false, "suffix" : "" } ], "container-title" : "BMJ open", "id" : "ITEM-1", "issue" : "3", "issued" : { "date-parts" : [ [ "2015", "3" ] ] }, "page" : "e007363", "title" : "Fosfomycin versus meropenem in bacteraemic urinary tract infections caused by extended-spectrum \u03b2-lactamase-producing Escherichia coli (FOREST): study protocol for an investigator-driven randomised controlled trial.", "type" : "article-journal", "volume" : "5" }, "uris" : [ "http://www.mendeley.com/documents/?uuid=6f908690-5682-4b60-a701-9a4674915487" ] }, { "id" : "ITEM-2", "itemData" : { "DOI" : "10.1128/AAC.00752-15", "ISSN" : "10986596", "PMID" : "26124169", "abstract" : "The aim of this study was to improve the understanding of the pharmacokinetic-pharmacodynamic relationships of fosfomycin against extended-spectrum beta-lactamase (ESBL)-producing Escherichia coli strains that have different fosfomycin MICs. Our methods included the use of a hollow fiber infection model with three clinical ESBL-producing E. coli strains. Human fosfomycin pharmacokinetic profiles were simulated over 4 days. Preliminary studies conducted to determine the dose ranges, including the dose ranges that suppressed the development of drug-resistant mutants, were conducted with regimens from 12 g/day to 36 g/day. The combination of fosfomycin at 4 g every 8 h (q8h) and meropenem at 1 g/q8h was selected for further assessment. The total bacterial population and the resistant subpopulations were determined. No efficacy was observed against the Ec42444 strain (fosfomycin MIC, 64 mg/liter) at doses of 12, 24, or 36 g/day. All dosages induced at least initial bacterial killing against Ec46 (fosfomycin MIC, 1 mg/liter). High-level drug-resistant mutants appeared in this strain in response to 12, 15, and 18 g/day. In the study arms that included 24 g/day, once or in a divided dose, a complete extinction of the bacterial inoculum was observed. The combination of meropenem with fosfomycin was synergistic for bacterial killing and also suppressed all fosfomycin-resistant clones of Ec2974 (fosfomycin MIC, 1 mg/liter). We conclude that fosfomycin susceptibility breakpoints (\u226464 mg/liter according to CLSI [for E. coli urinary tract infections only]) should be revised for the treatment of serious systemic infections. Fosfomycin can be used to treat infections caused by organisms that demonstrate lower MICs and lower bacterial densities, although relatively high daily dosages (i.e., 24 g/day) are required to prevent the emergence of bacterial resistance. The ratio of the area under the concentration-time curve for the free, unbound fraction of fosfomycin versus the MIC (fAUC/MIC) appears to be the dynamically linked index of suppression of bacterial resistance. Fosfomycin with meropenem can act synergistically against E. coli strains in preventing the emergence of fosfomycin resistance.", "author" : [ { "dropping-particle" : "", "family" : "Docobo-P\u00e9rez", "given" : "F.", "non-dropping-particle" : "", "parse-names" : false, "suffix" : "" }, { "dropping-particle" : "", "family" : "Drusano", "given" : "G. L.", "non-dropping-particle" : "", "parse-names" : false, "suffix" : "" }, { "dropping-particle" : "", "family" : "Johnson", "given" : "A.", "non-dropping-particle" : "", "parse-names" : false, "suffix" : "" }, { "dropping-particle" : "", "family" : "Goodwin", "given" : "J.", "non-dropping-particle" : "", "parse-names" : false, "suffix" : "" }, { "dropping-particle" : "", "family" : "Whalley", "given" : "S.", "non-dropping-particle" : "", "parse-names" : false, "suffix" : "" }, { "dropping-particle" : "", "family" : "Ramos-Mart\u00edn", "given" : "V.", "non-dropping-particle" : "", "parse-names" : false, "suffix" : "" }, { "dropping-particle" : "", "family" : "Ballestero-Tellez", "given" : "M.", "non-dropping-particle" : "", "parse-names" : false, "suffix" : "" }, { "dropping-particle" : "", "family" : "Rodriguez-Martinez", "given" : "J. M.", "non-dropping-particle" : "", "parse-names" : false, "suffix" : "" }, { "dropping-particle" : "", "family" : "Conejo", "given" : "M. C.", "non-dropping-particle" : "", "parse-names" : false, "suffix" : "" }, { "dropping-particle" : "", "family" : "Guilder", "given" : "M.", "non-dropping-particle" : "Van", "parse-names" : false, "suffix" : "" }, { "dropping-particle" : "", "family" : "Rodr\u00edguez-Ba\u00f1o", "given" : "J.", "non-dropping-particle" : "", "parse-names" : false, "suffix" : "" }, { "dropping-particle" : "", "family" : "Pascual", "given" : "A.", "non-dropping-particle" : "", "parse-names" : false, "suffix" : "" }, { "dropping-particle" : "", "family" : "Hope", "given" : "W. W.", "non-dropping-particle" : "", "parse-names" : false, "suffix" : "" } ], "container-title" : "Antimicrobial Agents and Chemotherapy", "id" : "ITEM-2", "issue" : "9", "issued" : { "date-parts" : [ [ "2015", "9" ] ] }, "page" : "5602-5610", "title" : "Pharmacodynamics of fosfomycin: Insights into clinical use for antimicrobial resistance", "type" : "article-journal", "volume" : "59" }, "uris" : [ "http://www.mendeley.com/documents/?uuid=b5bdd729-09ba-40fa-91af-ebe0c999dd2e" ] }, { "id" : "ITEM-3", "itemData" : { "URL" : "http://www.aemps.gob.es/cima/especialidad.do?metodo=verFichaWordPdf&amp;codigo=54165&amp;formato=pdf&amp;formulario=FICHAS&amp;file=ficha.pdf", "container-title" : "Agencia Espa\u00f1ola del Medicamneto y Productos Sanitarios (AEMPS).", "id" : "ITEM-3", "issued" : { "date-parts" : [ [ "0" ] ] }, "title" : "Ficha t\u00e9cnica Fosfomicina intravenosa 4g polvo para soluci\u00f3n inyectable.", "type" : "webpage" }, "uris" : [ "http://www.mendeley.com/documents/?uuid=ee27fea0-dbe2-4a79-92eb-022021d3f92f" ] } ], "mendeley" : { "formattedCitation" : "[5,14,19]", "plainTextFormattedCitation" : "[5,14,19]", "previouslyFormattedCitation" : "[5,14,19]" }, "properties" : {  }, "schema" : "https://github.com/citation-style-language/schema/raw/master/csl-citation.json" }</w:instrText>
      </w:r>
      <w:r w:rsidR="00574FBE" w:rsidRPr="002C7B68">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[5,14,19]</w:t>
      </w:r>
      <w:r w:rsidR="00574FBE" w:rsidRPr="002C7B68">
        <w:rPr>
          <w:rFonts w:ascii="Times New Roman" w:hAnsi="Times New Roman"/>
          <w:sz w:val="24"/>
          <w:szCs w:val="24"/>
          <w:lang w:val="en-GB"/>
        </w:rPr>
        <w:fldChar w:fldCharType="end"/>
      </w:r>
      <w:r w:rsidR="003D0C2C" w:rsidRPr="002C7B68">
        <w:rPr>
          <w:rFonts w:ascii="Times New Roman" w:hAnsi="Times New Roman"/>
          <w:sz w:val="24"/>
          <w:szCs w:val="24"/>
          <w:lang w:val="en-GB"/>
        </w:rPr>
        <w:t>.</w:t>
      </w:r>
      <w:r w:rsidR="00574FBE" w:rsidRPr="002C7B68">
        <w:rPr>
          <w:rFonts w:ascii="Times New Roman" w:hAnsi="Times New Roman"/>
          <w:sz w:val="24"/>
          <w:szCs w:val="24"/>
          <w:lang w:val="en-GB"/>
        </w:rPr>
        <w:t xml:space="preserve"> </w:t>
      </w:r>
      <w:r w:rsidR="003D0C2C" w:rsidRPr="002C7B68">
        <w:rPr>
          <w:rFonts w:ascii="Times New Roman" w:hAnsi="Times New Roman"/>
          <w:sz w:val="24"/>
          <w:szCs w:val="24"/>
          <w:lang w:val="en-GB"/>
        </w:rPr>
        <w:t xml:space="preserve">The </w:t>
      </w:r>
      <w:r w:rsidRPr="002C7B68">
        <w:rPr>
          <w:rFonts w:ascii="Times New Roman" w:hAnsi="Times New Roman"/>
          <w:sz w:val="24"/>
          <w:szCs w:val="24"/>
          <w:lang w:val="en-GB"/>
        </w:rPr>
        <w:t xml:space="preserve">PTA was assessed over a range of MICs between 0.125 and 1024 mg/L in doubling dilutions. The pharmacodynamic </w:t>
      </w:r>
      <w:r w:rsidR="004C0B59" w:rsidRPr="002C7B68">
        <w:rPr>
          <w:rFonts w:ascii="Times New Roman" w:hAnsi="Times New Roman"/>
          <w:sz w:val="24"/>
          <w:szCs w:val="24"/>
          <w:lang w:val="en-GB"/>
        </w:rPr>
        <w:t>ind</w:t>
      </w:r>
      <w:r w:rsidR="008B364E" w:rsidRPr="002C7B68">
        <w:rPr>
          <w:rFonts w:ascii="Times New Roman" w:hAnsi="Times New Roman"/>
          <w:sz w:val="24"/>
          <w:szCs w:val="24"/>
          <w:lang w:val="en-GB"/>
        </w:rPr>
        <w:t>i</w:t>
      </w:r>
      <w:r w:rsidR="004C0B59" w:rsidRPr="002C7B68">
        <w:rPr>
          <w:rFonts w:ascii="Times New Roman" w:hAnsi="Times New Roman"/>
          <w:sz w:val="24"/>
          <w:szCs w:val="24"/>
          <w:lang w:val="en-GB"/>
        </w:rPr>
        <w:t xml:space="preserve">ces </w:t>
      </w:r>
      <w:r w:rsidRPr="002C7B68">
        <w:rPr>
          <w:rFonts w:ascii="Times New Roman" w:hAnsi="Times New Roman"/>
          <w:sz w:val="24"/>
          <w:szCs w:val="24"/>
          <w:lang w:val="en-GB"/>
        </w:rPr>
        <w:t xml:space="preserve">targeted </w:t>
      </w:r>
      <w:r w:rsidR="00D11B47" w:rsidRPr="002C7B68">
        <w:rPr>
          <w:rFonts w:ascii="Times New Roman" w:hAnsi="Times New Roman"/>
          <w:sz w:val="24"/>
          <w:szCs w:val="24"/>
          <w:lang w:val="en-GB"/>
        </w:rPr>
        <w:t xml:space="preserve">for efficacy </w:t>
      </w:r>
      <w:r w:rsidR="001F4946" w:rsidRPr="002C7B68">
        <w:rPr>
          <w:rFonts w:ascii="Times New Roman" w:hAnsi="Times New Roman"/>
          <w:sz w:val="24"/>
          <w:szCs w:val="24"/>
          <w:lang w:val="en-GB"/>
        </w:rPr>
        <w:t xml:space="preserve">were </w:t>
      </w:r>
      <w:r w:rsidRPr="002C7B68">
        <w:rPr>
          <w:rFonts w:ascii="Times New Roman" w:hAnsi="Times New Roman"/>
          <w:sz w:val="24"/>
          <w:szCs w:val="24"/>
          <w:lang w:val="en-GB"/>
        </w:rPr>
        <w:t xml:space="preserve">obtained from Lepak AJ </w:t>
      </w:r>
      <w:r w:rsidRPr="002C7B68">
        <w:rPr>
          <w:rFonts w:ascii="Times New Roman" w:hAnsi="Times New Roman"/>
          <w:i/>
          <w:sz w:val="24"/>
          <w:szCs w:val="24"/>
          <w:lang w:val="en-GB"/>
        </w:rPr>
        <w:t>et al.</w:t>
      </w:r>
      <w:r w:rsidRPr="002C7B68">
        <w:rPr>
          <w:rFonts w:ascii="Times New Roman" w:hAnsi="Times New Roman"/>
          <w:sz w:val="24"/>
          <w:szCs w:val="24"/>
          <w:lang w:val="en-GB"/>
        </w:rPr>
        <w:t xml:space="preserve"> for </w:t>
      </w:r>
      <w:r w:rsidR="00D10CFB" w:rsidRPr="002C7B68">
        <w:rPr>
          <w:rFonts w:ascii="Times New Roman" w:hAnsi="Times New Roman"/>
          <w:i/>
          <w:sz w:val="24"/>
          <w:szCs w:val="24"/>
          <w:lang w:val="en-GB"/>
        </w:rPr>
        <w:t>E. coli</w:t>
      </w:r>
      <w:r w:rsidR="00E56F01" w:rsidRPr="002C7B68">
        <w:rPr>
          <w:rFonts w:ascii="Times New Roman" w:hAnsi="Times New Roman"/>
          <w:sz w:val="24"/>
          <w:szCs w:val="24"/>
          <w:lang w:val="en-GB"/>
        </w:rPr>
        <w:t xml:space="preserve"> (</w:t>
      </w:r>
      <w:r w:rsidR="00E56F01" w:rsidRPr="002C7B68">
        <w:rPr>
          <w:rFonts w:ascii="Times New Roman" w:hAnsi="Times New Roman"/>
          <w:i/>
          <w:sz w:val="24"/>
          <w:szCs w:val="24"/>
          <w:lang w:val="en-GB"/>
        </w:rPr>
        <w:t>i.e.</w:t>
      </w:r>
      <w:r w:rsidR="00E56F01" w:rsidRPr="002C7B68">
        <w:rPr>
          <w:rFonts w:ascii="Times New Roman" w:hAnsi="Times New Roman"/>
          <w:sz w:val="24"/>
          <w:szCs w:val="24"/>
          <w:lang w:val="en-GB"/>
        </w:rPr>
        <w:t xml:space="preserve"> </w:t>
      </w:r>
      <w:r w:rsidR="00304179" w:rsidRPr="002C7B68">
        <w:rPr>
          <w:rFonts w:ascii="Times New Roman" w:hAnsi="Times New Roman"/>
          <w:i/>
          <w:sz w:val="24"/>
          <w:szCs w:val="24"/>
          <w:lang w:val="en-GB"/>
        </w:rPr>
        <w:t>f</w:t>
      </w:r>
      <w:r w:rsidR="00E56F01" w:rsidRPr="002C7B68">
        <w:rPr>
          <w:rFonts w:ascii="Times New Roman" w:hAnsi="Times New Roman"/>
          <w:sz w:val="24"/>
          <w:szCs w:val="24"/>
          <w:lang w:val="en-GB"/>
        </w:rPr>
        <w:t>AUC</w:t>
      </w:r>
      <w:r w:rsidR="00E56F01" w:rsidRPr="002C7B68">
        <w:rPr>
          <w:rFonts w:ascii="Times New Roman" w:hAnsi="Times New Roman"/>
          <w:sz w:val="24"/>
          <w:szCs w:val="24"/>
          <w:vertAlign w:val="subscript"/>
          <w:lang w:val="en-GB"/>
        </w:rPr>
        <w:t>0-24</w:t>
      </w:r>
      <w:r w:rsidR="00E56F01" w:rsidRPr="002C7B68">
        <w:rPr>
          <w:rFonts w:ascii="Times New Roman" w:hAnsi="Times New Roman"/>
          <w:sz w:val="24"/>
          <w:szCs w:val="24"/>
          <w:lang w:val="en-GB"/>
        </w:rPr>
        <w:t xml:space="preserve">/MIC of </w:t>
      </w:r>
      <w:r w:rsidR="00D10CFB" w:rsidRPr="002C7B68">
        <w:rPr>
          <w:rFonts w:ascii="Times New Roman" w:hAnsi="Times New Roman"/>
          <w:sz w:val="24"/>
          <w:szCs w:val="24"/>
          <w:lang w:val="en-GB"/>
        </w:rPr>
        <w:t>19.3</w:t>
      </w:r>
      <w:r w:rsidR="00E56F01" w:rsidRPr="002C7B68">
        <w:rPr>
          <w:rFonts w:ascii="Times New Roman" w:hAnsi="Times New Roman"/>
          <w:sz w:val="24"/>
          <w:szCs w:val="24"/>
          <w:lang w:val="en-GB"/>
        </w:rPr>
        <w:t xml:space="preserve"> for static effect and </w:t>
      </w:r>
      <w:r w:rsidR="00304179" w:rsidRPr="002C7B68">
        <w:rPr>
          <w:rFonts w:ascii="Times New Roman" w:hAnsi="Times New Roman"/>
          <w:i/>
          <w:sz w:val="24"/>
          <w:szCs w:val="24"/>
          <w:lang w:val="en-GB"/>
        </w:rPr>
        <w:t>f</w:t>
      </w:r>
      <w:r w:rsidR="00E56F01" w:rsidRPr="002C7B68">
        <w:rPr>
          <w:rFonts w:ascii="Times New Roman" w:hAnsi="Times New Roman"/>
          <w:sz w:val="24"/>
          <w:szCs w:val="24"/>
          <w:lang w:val="en-GB"/>
        </w:rPr>
        <w:t>AUC</w:t>
      </w:r>
      <w:r w:rsidR="00E56F01" w:rsidRPr="002C7B68">
        <w:rPr>
          <w:rFonts w:ascii="Times New Roman" w:hAnsi="Times New Roman"/>
          <w:sz w:val="24"/>
          <w:szCs w:val="24"/>
          <w:vertAlign w:val="subscript"/>
          <w:lang w:val="en-GB"/>
        </w:rPr>
        <w:t>0-24</w:t>
      </w:r>
      <w:r w:rsidR="00E56F01" w:rsidRPr="002C7B68">
        <w:rPr>
          <w:rFonts w:ascii="Times New Roman" w:hAnsi="Times New Roman"/>
          <w:sz w:val="24"/>
          <w:szCs w:val="24"/>
          <w:lang w:val="en-GB"/>
        </w:rPr>
        <w:t>/MIC of 8</w:t>
      </w:r>
      <w:r w:rsidR="00D10CFB" w:rsidRPr="002C7B68">
        <w:rPr>
          <w:rFonts w:ascii="Times New Roman" w:hAnsi="Times New Roman"/>
          <w:sz w:val="24"/>
          <w:szCs w:val="24"/>
          <w:lang w:val="en-GB"/>
        </w:rPr>
        <w:t>7.5</w:t>
      </w:r>
      <w:r w:rsidR="00E56F01" w:rsidRPr="002C7B68">
        <w:rPr>
          <w:rFonts w:ascii="Times New Roman" w:hAnsi="Times New Roman"/>
          <w:sz w:val="24"/>
          <w:szCs w:val="24"/>
          <w:lang w:val="en-GB"/>
        </w:rPr>
        <w:t xml:space="preserve"> for </w:t>
      </w:r>
      <w:r w:rsidR="00D10CFB" w:rsidRPr="002C7B68">
        <w:rPr>
          <w:rFonts w:ascii="Times New Roman" w:hAnsi="Times New Roman"/>
          <w:sz w:val="24"/>
          <w:szCs w:val="24"/>
          <w:lang w:val="en-GB"/>
        </w:rPr>
        <w:t xml:space="preserve">decreasing </w:t>
      </w:r>
      <w:r w:rsidR="00E56F01" w:rsidRPr="002C7B68">
        <w:rPr>
          <w:rFonts w:ascii="Times New Roman" w:hAnsi="Times New Roman"/>
          <w:sz w:val="24"/>
          <w:szCs w:val="24"/>
          <w:lang w:val="en-GB"/>
        </w:rPr>
        <w:lastRenderedPageBreak/>
        <w:t xml:space="preserve">1-log </w:t>
      </w:r>
      <w:r w:rsidR="00D10CFB" w:rsidRPr="002C7B68">
        <w:rPr>
          <w:rFonts w:ascii="Times New Roman" w:hAnsi="Times New Roman"/>
          <w:sz w:val="24"/>
          <w:szCs w:val="24"/>
          <w:lang w:val="en-GB"/>
        </w:rPr>
        <w:t>the bacterial burden</w:t>
      </w:r>
      <w:r w:rsidR="00E56F01" w:rsidRPr="002C7B68">
        <w:rPr>
          <w:rFonts w:ascii="Times New Roman" w:hAnsi="Times New Roman"/>
          <w:sz w:val="24"/>
          <w:szCs w:val="24"/>
          <w:lang w:val="en-GB"/>
        </w:rPr>
        <w:t>)</w:t>
      </w:r>
      <w:r w:rsidR="0094239B" w:rsidRPr="002C7B68">
        <w:rPr>
          <w:rFonts w:ascii="Times New Roman" w:hAnsi="Times New Roman"/>
          <w:sz w:val="24"/>
          <w:szCs w:val="24"/>
          <w:lang w:val="en-GB"/>
        </w:rPr>
        <w:t xml:space="preserve"> </w:t>
      </w:r>
      <w:r w:rsidR="0094239B" w:rsidRPr="002C7B68">
        <w:rPr>
          <w:rFonts w:ascii="Times New Roman" w:hAnsi="Times New Roman"/>
          <w:sz w:val="24"/>
          <w:szCs w:val="24"/>
          <w:lang w:val="en-GB"/>
        </w:rPr>
        <w:fldChar w:fldCharType="begin" w:fldLock="1"/>
      </w:r>
      <w:r w:rsidR="007B72C6" w:rsidRPr="002C7B68">
        <w:rPr>
          <w:rFonts w:ascii="Times New Roman" w:hAnsi="Times New Roman"/>
          <w:sz w:val="24"/>
          <w:szCs w:val="24"/>
          <w:lang w:val="en-GB"/>
        </w:rPr>
        <w:instrText>ADDIN CSL_CITATION { "citationItems" : [ { "id" : "ITEM-1", "itemData" : { "DOI" : "10.1128/AAC.00476-17", "ISSN" : "0066-4804", "abstract" : "Fosfomycin is a broad-spectrum agent with activity against gram-positive and gram-negative bacteria, including drug-resistant strains, such as extended spectrum beta-lactamase (ESBL)-producing and carbapenem-resistant (CR) gram-negative rods. In the present study, the pharmacokinetic/pharmacodynamic (PK/PD) activity of ZTI-01 (fosfomycin for injection) was evaluated in the neutropenic murine thigh infection model against 5 E. coli (EC), 3 K. pneumoniae (KPN), and 2 P. aeruginosa (PSA) strains, including a subset with ESBL and CR phenotype. The pharmacokinetics of ZTI-01 were examined in mice after subcutaneous administration of 3.125, 12.5, 50, 200, 400 and 800 mg/kg. The half-life ranged from 0.51 to 1.1 h, area under the concentration-time curve (AUC 0-\u221e ) ranged from 1.4 to 87 mg*h/L, and maximum concentrations ranged from 0.6 to 42.4 mg/L. Dose fractionation demonstrated AUC/MIC ratio to be the PK/PD index most closely linked to efficacy (R 2 = 0.70). Net stasis and cidal activity was observed against all strains. Net stasis was observed at 24 h AUC/MIC values of 24, 21, and 15 for EC, KPN and PSA, respectively. For the Enterobacteriaceae group stasis was noted at mean 24 h AUC/MIC targets of 23 and 1 log kill at 83. Survival in mice infected with EC 145 was maximal at 24 h AUC/MIC exposures of 9-43, which is comparable to the stasis exposures identified in the PK/PD studies. These results should prove useful for the design of clinical dosing regimens for ZTI-01 in the treatment of serious infections due to Enterobacteriaceae and Pseudomonas .", "author" : [ { "dropping-particle" : "", "family" : "Lepak", "given" : "Alexander J.", "non-dropping-particle" : "", "parse-names" : false, "suffix" : "" }, { "dropping-particle" : "", "family" : "Zhao", "given" : "Miao", "non-dropping-particle" : "", "parse-names" : false, "suffix" : "" }, { "dropping-particle" : "", "family" : "VanScoy", "given" : "Brian", "non-dropping-particle" : "", "parse-names" : false, "suffix" : "" }, { "dropping-particle" : "", "family" : "Taylor", "given" : "Daniel S.", "non-dropping-particle" : "", "parse-names" : false, "suffix" : "" }, { "dropping-particle" : "", "family" : "Ellis-Grosse", "given" : "Evelyn", "non-dropping-particle" : "", "parse-names" : false, "suffix" : "" }, { "dropping-particle" : "", "family" : "Ambrose", "given" : "Paul G.", "non-dropping-particle" : "", "parse-names" : false, "suffix" : "" }, { "dropping-particle" : "", "family" : "Andes", "given" : "David R.", "non-dropping-particle" : "", "parse-names" : false, "suffix" : "" } ], "container-title" : "Antimicrobial Agents and Chemotherapy", "id" : "ITEM-1", "issued" : { "date-parts" : [ [ "2017", "4", "10" ] ] }, "page" : "AAC.00476-17", "title" : "In vivo Pharmacokinetics and Pharmacodynamics of ZTI-01 (Fosfomycin for Injection) in the Neutropenic Murine Thigh Infection Model against E. coli , K. pneumoniae , and P. aeruginosa", "type" : "article-journal" }, "uris" : [ "http://www.mendeley.com/documents/?uuid=60f05778-87a3-4dc6-b3ef-92e264a1070d" ] } ], "mendeley" : { "formattedCitation" : "[12]", "plainTextFormattedCitation" : "[12]", "previouslyFormattedCitation" : "[12]" }, "properties" : {  }, "schema" : "https://github.com/citation-style-language/schema/raw/master/csl-citation.json" }</w:instrText>
      </w:r>
      <w:r w:rsidR="0094239B" w:rsidRPr="002C7B68">
        <w:rPr>
          <w:rFonts w:ascii="Times New Roman" w:hAnsi="Times New Roman"/>
          <w:sz w:val="24"/>
          <w:szCs w:val="24"/>
          <w:lang w:val="en-GB"/>
        </w:rPr>
        <w:fldChar w:fldCharType="separate"/>
      </w:r>
      <w:r w:rsidR="002122DC" w:rsidRPr="002C7B68">
        <w:rPr>
          <w:rFonts w:ascii="Times New Roman" w:hAnsi="Times New Roman"/>
          <w:noProof/>
          <w:sz w:val="24"/>
          <w:szCs w:val="24"/>
          <w:lang w:val="en-GB"/>
        </w:rPr>
        <w:t>[12]</w:t>
      </w:r>
      <w:r w:rsidR="0094239B" w:rsidRPr="002C7B68">
        <w:rPr>
          <w:rFonts w:ascii="Times New Roman" w:hAnsi="Times New Roman"/>
          <w:sz w:val="24"/>
          <w:szCs w:val="24"/>
          <w:lang w:val="en-GB"/>
        </w:rPr>
        <w:fldChar w:fldCharType="end"/>
      </w:r>
      <w:r w:rsidR="003D66F5" w:rsidRPr="002C7B68">
        <w:rPr>
          <w:rFonts w:ascii="Times New Roman" w:hAnsi="Times New Roman"/>
          <w:sz w:val="24"/>
          <w:szCs w:val="24"/>
          <w:lang w:val="en-GB"/>
        </w:rPr>
        <w:t>.</w:t>
      </w:r>
      <w:r w:rsidRPr="002C7B68">
        <w:rPr>
          <w:rFonts w:ascii="Times New Roman" w:hAnsi="Times New Roman"/>
          <w:sz w:val="24"/>
          <w:szCs w:val="24"/>
          <w:lang w:val="en-GB"/>
        </w:rPr>
        <w:t xml:space="preserve"> </w:t>
      </w:r>
      <w:r w:rsidR="00D11B47" w:rsidRPr="002C7B68">
        <w:rPr>
          <w:rFonts w:ascii="Times New Roman" w:hAnsi="Times New Roman"/>
          <w:sz w:val="24"/>
          <w:szCs w:val="24"/>
          <w:lang w:val="en-GB"/>
        </w:rPr>
        <w:t xml:space="preserve">The pharmacodynamic indices targeted for resistance suppression </w:t>
      </w:r>
      <w:r w:rsidR="00ED28F5" w:rsidRPr="002C7B68">
        <w:rPr>
          <w:rFonts w:ascii="Times New Roman" w:hAnsi="Times New Roman"/>
          <w:sz w:val="24"/>
          <w:szCs w:val="24"/>
          <w:lang w:val="en-GB"/>
        </w:rPr>
        <w:t>(</w:t>
      </w:r>
      <w:r w:rsidR="00ED28F5" w:rsidRPr="002C7B68">
        <w:rPr>
          <w:rFonts w:ascii="Times New Roman" w:hAnsi="Times New Roman"/>
          <w:i/>
          <w:sz w:val="24"/>
          <w:szCs w:val="24"/>
          <w:lang w:val="en-GB"/>
        </w:rPr>
        <w:t>i.e.</w:t>
      </w:r>
      <w:r w:rsidR="00ED28F5" w:rsidRPr="002C7B68">
        <w:rPr>
          <w:rFonts w:ascii="Times New Roman" w:hAnsi="Times New Roman"/>
          <w:sz w:val="24"/>
          <w:szCs w:val="24"/>
          <w:lang w:val="en-GB"/>
        </w:rPr>
        <w:t xml:space="preserve"> </w:t>
      </w:r>
      <w:r w:rsidR="00ED28F5" w:rsidRPr="002C7B68">
        <w:rPr>
          <w:rFonts w:ascii="Times New Roman" w:hAnsi="Times New Roman"/>
          <w:i/>
          <w:sz w:val="24"/>
          <w:szCs w:val="24"/>
          <w:lang w:val="en-GB"/>
        </w:rPr>
        <w:t>f</w:t>
      </w:r>
      <w:r w:rsidR="00ED28F5" w:rsidRPr="002C7B68">
        <w:rPr>
          <w:rFonts w:ascii="Times New Roman" w:hAnsi="Times New Roman"/>
          <w:sz w:val="24"/>
          <w:szCs w:val="24"/>
          <w:lang w:val="en-GB"/>
        </w:rPr>
        <w:t>AUC</w:t>
      </w:r>
      <w:r w:rsidR="00ED28F5" w:rsidRPr="002C7B68">
        <w:rPr>
          <w:rFonts w:ascii="Times New Roman" w:hAnsi="Times New Roman"/>
          <w:sz w:val="24"/>
          <w:szCs w:val="24"/>
          <w:vertAlign w:val="subscript"/>
          <w:lang w:val="en-GB"/>
        </w:rPr>
        <w:t>0-24</w:t>
      </w:r>
      <w:r w:rsidR="00ED28F5" w:rsidRPr="002C7B68">
        <w:rPr>
          <w:rFonts w:ascii="Times New Roman" w:hAnsi="Times New Roman"/>
          <w:sz w:val="24"/>
          <w:szCs w:val="24"/>
          <w:lang w:val="en-GB"/>
        </w:rPr>
        <w:t>/MIC of 3136)</w:t>
      </w:r>
      <w:r w:rsidR="00C748E3" w:rsidRPr="002C7B68">
        <w:rPr>
          <w:rFonts w:ascii="Times New Roman" w:hAnsi="Times New Roman"/>
          <w:sz w:val="24"/>
          <w:szCs w:val="24"/>
          <w:lang w:val="en-GB"/>
        </w:rPr>
        <w:t xml:space="preserve"> </w:t>
      </w:r>
      <w:r w:rsidR="00D11B47" w:rsidRPr="002C7B68">
        <w:rPr>
          <w:rFonts w:ascii="Times New Roman" w:hAnsi="Times New Roman"/>
          <w:sz w:val="24"/>
          <w:szCs w:val="24"/>
          <w:lang w:val="en-GB"/>
        </w:rPr>
        <w:t xml:space="preserve">were obtained from our previous work. </w:t>
      </w:r>
      <w:r w:rsidR="004F7160" w:rsidRPr="002C7B68">
        <w:rPr>
          <w:rFonts w:ascii="Times New Roman" w:hAnsi="Times New Roman"/>
          <w:sz w:val="24"/>
          <w:szCs w:val="24"/>
          <w:lang w:val="en-GB"/>
        </w:rPr>
        <w:t xml:space="preserve">Protein binding </w:t>
      </w:r>
      <w:r w:rsidR="00014323" w:rsidRPr="002C7B68">
        <w:rPr>
          <w:rFonts w:ascii="Times New Roman" w:hAnsi="Times New Roman"/>
          <w:sz w:val="24"/>
          <w:szCs w:val="24"/>
          <w:lang w:val="en-GB"/>
        </w:rPr>
        <w:t>is</w:t>
      </w:r>
      <w:r w:rsidR="004F7160" w:rsidRPr="002C7B68">
        <w:rPr>
          <w:rFonts w:ascii="Times New Roman" w:hAnsi="Times New Roman"/>
          <w:sz w:val="24"/>
          <w:szCs w:val="24"/>
          <w:lang w:val="en-GB"/>
        </w:rPr>
        <w:t xml:space="preserve"> negligible for fosfomycin </w:t>
      </w:r>
      <w:r w:rsidR="00014323" w:rsidRPr="002C7B68">
        <w:rPr>
          <w:rFonts w:ascii="Times New Roman" w:hAnsi="Times New Roman"/>
          <w:sz w:val="24"/>
          <w:szCs w:val="24"/>
          <w:lang w:val="en-GB"/>
        </w:rPr>
        <w:t xml:space="preserve">and was ignored in these calculations </w:t>
      </w:r>
      <w:r w:rsidR="0094239B" w:rsidRPr="002C7B68">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"DOI" : "10.1128/CMR.00092-12", "ISSN" : "0893-8512", "author" : [ { "dropping-particle" : "", "family" : "Gonzalez", "given" : "D.", "non-dropping-particle" : "", "parse-names" : false, "suffix" : "" }, { "dropping-particle" : "", "family" : "Schmidt", "given" : "S.", "non-dropping-particle" : "", "parse-names" : false, "suffix" : "" }, { "dropping-particle" : "", "family" : "Derendorf", "given" : "H.", "non-dropping-particle" : "", "parse-names" : false, "suffix" : "" } ], "container-title" : "Clinical Microbiology Reviews", "id" : "ITEM-1", "issue" : "2", "issued" : { "date-parts" : [ [ "2013", "4", "1" ] ] }, "page" : "274-288", "title" : "Importance of Relating Efficacy Measures to Unbound Drug Concentrations for Anti-Infective Agents", "type" : "article-journal", "volume" : "26" }, "uris" : [ "http://www.mendeley.com/documents/?uuid=e6539181-41b8-4b43-aae0-20c566aa7bf2" ] } ], "mendeley" : { "formattedCitation" : "[20]", "plainTextFormattedCitation" : "[20]", "previouslyFormattedCitation" : "[20]" }, "properties" : {  }, "schema" : "https://github.com/citation-style-language/schema/raw/master/csl-citation.json" }</w:instrText>
      </w:r>
      <w:r w:rsidR="0094239B" w:rsidRPr="002C7B68">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[20]</w:t>
      </w:r>
      <w:r w:rsidR="0094239B" w:rsidRPr="002C7B68">
        <w:rPr>
          <w:rFonts w:ascii="Times New Roman" w:hAnsi="Times New Roman"/>
          <w:sz w:val="24"/>
          <w:szCs w:val="24"/>
          <w:lang w:val="en-GB"/>
        </w:rPr>
        <w:fldChar w:fldCharType="end"/>
      </w:r>
      <w:r w:rsidR="00E32657" w:rsidRPr="002C7B68">
        <w:rPr>
          <w:rFonts w:ascii="Times New Roman" w:hAnsi="Times New Roman"/>
          <w:sz w:val="24"/>
          <w:szCs w:val="24"/>
          <w:lang w:val="en-GB"/>
        </w:rPr>
        <w:t>.</w:t>
      </w:r>
      <w:r w:rsidRPr="002C7B68">
        <w:rPr>
          <w:rFonts w:ascii="Times New Roman" w:hAnsi="Times New Roman"/>
          <w:sz w:val="24"/>
          <w:szCs w:val="24"/>
          <w:lang w:val="en-GB"/>
        </w:rPr>
        <w:t xml:space="preserve"> </w:t>
      </w:r>
    </w:p>
    <w:p w14:paraId="1186263B" w14:textId="52A59377" w:rsidR="0060259D" w:rsidRPr="002C7B68" w:rsidRDefault="0060259D">
      <w:pPr>
        <w:spacing w:after="0" w:line="240" w:lineRule="auto"/>
        <w:rPr>
          <w:rFonts w:ascii="Times New Roman" w:hAnsi="Times New Roman"/>
          <w:b/>
          <w:sz w:val="24"/>
          <w:szCs w:val="24"/>
          <w:lang w:val="en-GB"/>
        </w:rPr>
      </w:pPr>
      <w:r w:rsidRPr="002C7B68">
        <w:rPr>
          <w:rFonts w:ascii="Times New Roman" w:hAnsi="Times New Roman"/>
          <w:b/>
          <w:sz w:val="24"/>
          <w:szCs w:val="24"/>
          <w:lang w:val="en-GB"/>
        </w:rPr>
        <w:br w:type="page"/>
      </w:r>
    </w:p>
    <w:p w14:paraId="627569BB" w14:textId="77777777" w:rsidR="00B81189" w:rsidRPr="002C7B68" w:rsidRDefault="00651AAF" w:rsidP="008D04B4">
      <w:pPr>
        <w:autoSpaceDE w:val="0"/>
        <w:autoSpaceDN w:val="0"/>
        <w:adjustRightInd w:val="0"/>
        <w:spacing w:after="0" w:line="480" w:lineRule="auto"/>
        <w:jc w:val="both"/>
        <w:rPr>
          <w:rFonts w:ascii="Times New Roman" w:hAnsi="Times New Roman"/>
          <w:b/>
          <w:sz w:val="24"/>
          <w:szCs w:val="24"/>
          <w:lang w:val="en-GB"/>
        </w:rPr>
      </w:pPr>
      <w:r w:rsidRPr="002C7B68">
        <w:rPr>
          <w:rFonts w:ascii="Times New Roman" w:hAnsi="Times New Roman"/>
          <w:b/>
          <w:sz w:val="24"/>
          <w:szCs w:val="24"/>
          <w:lang w:val="en-GB"/>
        </w:rPr>
        <w:lastRenderedPageBreak/>
        <w:t>RESULTS</w:t>
      </w:r>
    </w:p>
    <w:p w14:paraId="4D660748" w14:textId="77777777" w:rsidR="00B81189" w:rsidRPr="002C7B68" w:rsidRDefault="00B81189" w:rsidP="008D04B4">
      <w:pPr>
        <w:autoSpaceDE w:val="0"/>
        <w:autoSpaceDN w:val="0"/>
        <w:adjustRightInd w:val="0"/>
        <w:spacing w:after="0" w:line="480" w:lineRule="auto"/>
        <w:jc w:val="both"/>
        <w:rPr>
          <w:rFonts w:ascii="Times New Roman" w:hAnsi="Times New Roman"/>
          <w:b/>
          <w:sz w:val="24"/>
          <w:szCs w:val="24"/>
          <w:lang w:val="en-GB"/>
        </w:rPr>
      </w:pPr>
      <w:r w:rsidRPr="002C7B68">
        <w:rPr>
          <w:rFonts w:ascii="Times New Roman" w:hAnsi="Times New Roman"/>
          <w:b/>
          <w:sz w:val="24"/>
          <w:szCs w:val="24"/>
          <w:lang w:val="en-GB"/>
        </w:rPr>
        <w:t>Patients</w:t>
      </w:r>
    </w:p>
    <w:p w14:paraId="5E323D4E" w14:textId="1996668F" w:rsidR="00B81189" w:rsidRPr="002C7B68" w:rsidRDefault="00372CB6" w:rsidP="00FE5859">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 xml:space="preserve">The demographic and clinical characteristics of the patients are shown in Table 1. All patients received a dose of </w:t>
      </w:r>
      <w:r w:rsidR="0053456C" w:rsidRPr="002C7B68">
        <w:rPr>
          <w:rFonts w:ascii="Times New Roman" w:hAnsi="Times New Roman"/>
          <w:sz w:val="24"/>
          <w:szCs w:val="24"/>
          <w:lang w:val="en-GB"/>
        </w:rPr>
        <w:t>4</w:t>
      </w:r>
      <w:r w:rsidRPr="002C7B68">
        <w:rPr>
          <w:rFonts w:ascii="Times New Roman" w:hAnsi="Times New Roman"/>
          <w:sz w:val="24"/>
          <w:szCs w:val="24"/>
          <w:lang w:val="en-GB"/>
        </w:rPr>
        <w:t xml:space="preserve"> g of fosfomycin every 6 hours</w:t>
      </w:r>
      <w:r w:rsidR="0053456C" w:rsidRPr="002C7B68">
        <w:rPr>
          <w:rFonts w:ascii="Times New Roman" w:hAnsi="Times New Roman"/>
          <w:sz w:val="24"/>
          <w:szCs w:val="24"/>
          <w:lang w:val="en-GB"/>
        </w:rPr>
        <w:t xml:space="preserve"> (1-hour infusion)</w:t>
      </w:r>
      <w:r w:rsidRPr="002C7B68">
        <w:rPr>
          <w:rFonts w:ascii="Times New Roman" w:hAnsi="Times New Roman"/>
          <w:sz w:val="24"/>
          <w:szCs w:val="24"/>
          <w:lang w:val="en-GB"/>
        </w:rPr>
        <w:t>, except for</w:t>
      </w:r>
      <w:r w:rsidR="002D56D2" w:rsidRPr="002C7B68">
        <w:rPr>
          <w:rFonts w:ascii="Times New Roman" w:hAnsi="Times New Roman"/>
          <w:sz w:val="24"/>
          <w:szCs w:val="24"/>
          <w:lang w:val="en-GB"/>
        </w:rPr>
        <w:t xml:space="preserve"> 4</w:t>
      </w:r>
      <w:r w:rsidRPr="002C7B68">
        <w:rPr>
          <w:rFonts w:ascii="Times New Roman" w:hAnsi="Times New Roman"/>
          <w:sz w:val="24"/>
          <w:szCs w:val="24"/>
          <w:lang w:val="en-GB"/>
        </w:rPr>
        <w:t xml:space="preserve"> patients </w:t>
      </w:r>
      <w:r w:rsidR="00D03296" w:rsidRPr="002C7B68">
        <w:rPr>
          <w:rFonts w:ascii="Times New Roman" w:hAnsi="Times New Roman"/>
          <w:sz w:val="24"/>
          <w:szCs w:val="24"/>
          <w:lang w:val="en-GB"/>
        </w:rPr>
        <w:t xml:space="preserve">with creatinine clearance of 20-40 ml/min, </w:t>
      </w:r>
      <w:r w:rsidR="0053456C" w:rsidRPr="002C7B68">
        <w:rPr>
          <w:rFonts w:ascii="Times New Roman" w:hAnsi="Times New Roman"/>
          <w:sz w:val="24"/>
          <w:szCs w:val="24"/>
          <w:lang w:val="en-GB"/>
        </w:rPr>
        <w:t>who received 4</w:t>
      </w:r>
      <w:r w:rsidR="00D03296" w:rsidRPr="002C7B68">
        <w:rPr>
          <w:rFonts w:ascii="Times New Roman" w:hAnsi="Times New Roman"/>
          <w:sz w:val="24"/>
          <w:szCs w:val="24"/>
          <w:lang w:val="en-GB"/>
        </w:rPr>
        <w:t xml:space="preserve"> </w:t>
      </w:r>
      <w:r w:rsidR="0053456C" w:rsidRPr="002C7B68">
        <w:rPr>
          <w:rFonts w:ascii="Times New Roman" w:hAnsi="Times New Roman"/>
          <w:sz w:val="24"/>
          <w:szCs w:val="24"/>
          <w:lang w:val="en-GB"/>
        </w:rPr>
        <w:t>g every 12 hours.</w:t>
      </w:r>
    </w:p>
    <w:p w14:paraId="4866C59B" w14:textId="0B280258" w:rsidR="0053456C" w:rsidRPr="002C7B68" w:rsidRDefault="00CB0E10" w:rsidP="00372CB6">
      <w:pPr>
        <w:autoSpaceDE w:val="0"/>
        <w:autoSpaceDN w:val="0"/>
        <w:adjustRightInd w:val="0"/>
        <w:spacing w:after="0" w:line="480" w:lineRule="auto"/>
        <w:jc w:val="both"/>
        <w:rPr>
          <w:rFonts w:ascii="Times New Roman" w:hAnsi="Times New Roman"/>
          <w:sz w:val="24"/>
          <w:szCs w:val="24"/>
          <w:lang w:val="en-GB"/>
        </w:rPr>
      </w:pPr>
      <w:r w:rsidRPr="002C7B68">
        <w:rPr>
          <w:rFonts w:ascii="Times New Roman" w:hAnsi="Times New Roman"/>
          <w:sz w:val="24"/>
          <w:szCs w:val="24"/>
          <w:lang w:val="en-GB"/>
        </w:rPr>
        <w:t xml:space="preserve">A total of 64 plasma samples were collected over </w:t>
      </w:r>
      <w:r w:rsidR="00C022A5" w:rsidRPr="002C7B68">
        <w:rPr>
          <w:rFonts w:ascii="Times New Roman" w:hAnsi="Times New Roman"/>
          <w:sz w:val="24"/>
          <w:szCs w:val="24"/>
          <w:lang w:val="en-GB"/>
        </w:rPr>
        <w:t>a single</w:t>
      </w:r>
      <w:r w:rsidRPr="002C7B68">
        <w:rPr>
          <w:rFonts w:ascii="Times New Roman" w:hAnsi="Times New Roman"/>
          <w:sz w:val="24"/>
          <w:szCs w:val="24"/>
          <w:lang w:val="en-GB"/>
        </w:rPr>
        <w:t xml:space="preserve"> dosing interval at steady </w:t>
      </w:r>
      <w:r w:rsidR="00C022A5" w:rsidRPr="002C7B68">
        <w:rPr>
          <w:rFonts w:ascii="Times New Roman" w:hAnsi="Times New Roman"/>
          <w:sz w:val="24"/>
          <w:szCs w:val="24"/>
          <w:lang w:val="en-GB"/>
        </w:rPr>
        <w:t>state</w:t>
      </w:r>
      <w:r w:rsidRPr="002C7B68">
        <w:rPr>
          <w:rFonts w:ascii="Times New Roman" w:hAnsi="Times New Roman"/>
          <w:sz w:val="24"/>
          <w:szCs w:val="24"/>
          <w:lang w:val="en-GB"/>
        </w:rPr>
        <w:t xml:space="preserve"> </w:t>
      </w:r>
      <w:r w:rsidR="00D45DB3" w:rsidRPr="002C7B68">
        <w:rPr>
          <w:rFonts w:ascii="Times New Roman" w:hAnsi="Times New Roman"/>
          <w:sz w:val="24"/>
          <w:szCs w:val="24"/>
          <w:lang w:val="en-GB"/>
        </w:rPr>
        <w:t>(day</w:t>
      </w:r>
      <w:r w:rsidR="00B1407E" w:rsidRPr="002C7B68">
        <w:rPr>
          <w:rFonts w:ascii="Times New Roman" w:hAnsi="Times New Roman"/>
          <w:sz w:val="24"/>
          <w:szCs w:val="24"/>
          <w:lang w:val="en-GB"/>
        </w:rPr>
        <w:t xml:space="preserve"> 2 </w:t>
      </w:r>
      <w:r w:rsidR="00D03122" w:rsidRPr="002C7B68">
        <w:rPr>
          <w:rFonts w:ascii="Times New Roman" w:hAnsi="Times New Roman"/>
          <w:sz w:val="24"/>
          <w:szCs w:val="24"/>
          <w:lang w:val="en-GB"/>
        </w:rPr>
        <w:t>or</w:t>
      </w:r>
      <w:r w:rsidR="00B1407E" w:rsidRPr="002C7B68">
        <w:rPr>
          <w:rFonts w:ascii="Times New Roman" w:hAnsi="Times New Roman"/>
          <w:sz w:val="24"/>
          <w:szCs w:val="24"/>
          <w:lang w:val="en-GB"/>
        </w:rPr>
        <w:t xml:space="preserve"> 3 after starting fosfomycin treatment) </w:t>
      </w:r>
      <w:r w:rsidRPr="002C7B68">
        <w:rPr>
          <w:rFonts w:ascii="Times New Roman" w:hAnsi="Times New Roman"/>
          <w:sz w:val="24"/>
          <w:szCs w:val="24"/>
          <w:lang w:val="en-GB"/>
        </w:rPr>
        <w:t>from 16 enrolled patients. None of the determinations were below de limit of quantification.</w:t>
      </w:r>
    </w:p>
    <w:p w14:paraId="60B95472" w14:textId="77777777" w:rsidR="00CB0E10" w:rsidRPr="002C7B68" w:rsidRDefault="00CB0E10" w:rsidP="00372CB6">
      <w:pPr>
        <w:autoSpaceDE w:val="0"/>
        <w:autoSpaceDN w:val="0"/>
        <w:adjustRightInd w:val="0"/>
        <w:spacing w:after="0" w:line="480" w:lineRule="auto"/>
        <w:jc w:val="both"/>
        <w:rPr>
          <w:rFonts w:ascii="Times New Roman" w:hAnsi="Times New Roman"/>
          <w:sz w:val="24"/>
          <w:szCs w:val="24"/>
          <w:lang w:val="en-GB"/>
        </w:rPr>
      </w:pPr>
    </w:p>
    <w:p w14:paraId="29B7B735" w14:textId="2DF54B1F" w:rsidR="003A385A" w:rsidRPr="002C7B68" w:rsidRDefault="00596514" w:rsidP="00372CB6">
      <w:pPr>
        <w:autoSpaceDE w:val="0"/>
        <w:autoSpaceDN w:val="0"/>
        <w:adjustRightInd w:val="0"/>
        <w:spacing w:after="0" w:line="480" w:lineRule="auto"/>
        <w:jc w:val="both"/>
        <w:rPr>
          <w:rFonts w:ascii="Times New Roman" w:hAnsi="Times New Roman"/>
          <w:b/>
          <w:sz w:val="24"/>
          <w:szCs w:val="24"/>
          <w:lang w:val="en-GB"/>
        </w:rPr>
      </w:pPr>
      <w:r w:rsidRPr="002C7B68">
        <w:rPr>
          <w:rFonts w:ascii="Times New Roman" w:hAnsi="Times New Roman"/>
          <w:b/>
          <w:sz w:val="24"/>
          <w:szCs w:val="24"/>
          <w:lang w:val="en-GB"/>
        </w:rPr>
        <w:t>P</w:t>
      </w:r>
      <w:r w:rsidR="00325503" w:rsidRPr="002C7B68">
        <w:rPr>
          <w:rFonts w:ascii="Times New Roman" w:hAnsi="Times New Roman"/>
          <w:b/>
          <w:sz w:val="24"/>
          <w:szCs w:val="24"/>
          <w:lang w:val="en-GB"/>
        </w:rPr>
        <w:t>harmacokinetic</w:t>
      </w:r>
      <w:r w:rsidRPr="002C7B68">
        <w:rPr>
          <w:rFonts w:ascii="Times New Roman" w:hAnsi="Times New Roman"/>
          <w:b/>
          <w:sz w:val="24"/>
          <w:szCs w:val="24"/>
          <w:lang w:val="en-GB"/>
        </w:rPr>
        <w:t xml:space="preserve">s and mathematical </w:t>
      </w:r>
      <w:r w:rsidR="00325503" w:rsidRPr="002C7B68">
        <w:rPr>
          <w:rFonts w:ascii="Times New Roman" w:hAnsi="Times New Roman"/>
          <w:b/>
          <w:sz w:val="24"/>
          <w:szCs w:val="24"/>
          <w:lang w:val="en-GB"/>
        </w:rPr>
        <w:t>model</w:t>
      </w:r>
    </w:p>
    <w:p w14:paraId="07FC3550" w14:textId="2EB1CFBE" w:rsidR="003A385A" w:rsidRPr="002C7B68" w:rsidRDefault="00932167" w:rsidP="007C32E4">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The mean (SD) maximum fosfomycin plasma concentration (Cmax) for patients at steady state was 422.6 mg/</w:t>
      </w:r>
      <w:r w:rsidR="00B84C2C">
        <w:rPr>
          <w:rFonts w:ascii="Times New Roman" w:hAnsi="Times New Roman"/>
          <w:sz w:val="24"/>
          <w:szCs w:val="24"/>
          <w:lang w:val="en-GB"/>
        </w:rPr>
        <w:t>L</w:t>
      </w:r>
      <w:r w:rsidRPr="002C7B68">
        <w:rPr>
          <w:rFonts w:ascii="Times New Roman" w:hAnsi="Times New Roman"/>
          <w:sz w:val="24"/>
          <w:szCs w:val="24"/>
          <w:lang w:val="en-GB"/>
        </w:rPr>
        <w:t xml:space="preserve"> (186.8 mg/</w:t>
      </w:r>
      <w:r w:rsidR="00B84C2C">
        <w:rPr>
          <w:rFonts w:ascii="Times New Roman" w:hAnsi="Times New Roman"/>
          <w:sz w:val="24"/>
          <w:szCs w:val="24"/>
          <w:lang w:val="en-GB"/>
        </w:rPr>
        <w:t>L</w:t>
      </w:r>
      <w:r w:rsidRPr="002C7B68">
        <w:rPr>
          <w:rFonts w:ascii="Times New Roman" w:hAnsi="Times New Roman"/>
          <w:sz w:val="24"/>
          <w:szCs w:val="24"/>
          <w:lang w:val="en-GB"/>
        </w:rPr>
        <w:t>).</w:t>
      </w:r>
      <w:r w:rsidR="00783334" w:rsidRPr="002C7B68">
        <w:rPr>
          <w:rFonts w:ascii="Times New Roman" w:hAnsi="Times New Roman"/>
          <w:sz w:val="24"/>
          <w:szCs w:val="24"/>
          <w:lang w:val="en-GB"/>
        </w:rPr>
        <w:t xml:space="preserve"> </w:t>
      </w:r>
      <w:r w:rsidRPr="002C7B68">
        <w:rPr>
          <w:rFonts w:ascii="Times New Roman" w:hAnsi="Times New Roman"/>
          <w:sz w:val="24"/>
          <w:szCs w:val="24"/>
          <w:lang w:val="en-GB"/>
        </w:rPr>
        <w:t>The comparison between the variability observed in Cmax concentrations between the current study and other</w:t>
      </w:r>
      <w:r w:rsidR="00C51D7E" w:rsidRPr="002C7B68">
        <w:rPr>
          <w:rFonts w:ascii="Times New Roman" w:hAnsi="Times New Roman"/>
          <w:sz w:val="24"/>
          <w:szCs w:val="24"/>
          <w:lang w:val="en-GB"/>
        </w:rPr>
        <w:t xml:space="preserve"> </w:t>
      </w:r>
      <w:r w:rsidR="00D03296" w:rsidRPr="002C7B68">
        <w:rPr>
          <w:rFonts w:ascii="Times New Roman" w:hAnsi="Times New Roman"/>
          <w:sz w:val="24"/>
          <w:szCs w:val="24"/>
          <w:lang w:val="en-GB"/>
        </w:rPr>
        <w:t xml:space="preserve">previous </w:t>
      </w:r>
      <w:r w:rsidR="00C51D7E" w:rsidRPr="002C7B68">
        <w:rPr>
          <w:rFonts w:ascii="Times New Roman" w:hAnsi="Times New Roman"/>
          <w:sz w:val="24"/>
          <w:szCs w:val="24"/>
          <w:lang w:val="en-GB"/>
        </w:rPr>
        <w:t>fosfomycin pharmacokinetic</w:t>
      </w:r>
      <w:r w:rsidRPr="002C7B68">
        <w:rPr>
          <w:rFonts w:ascii="Times New Roman" w:hAnsi="Times New Roman"/>
          <w:sz w:val="24"/>
          <w:szCs w:val="24"/>
          <w:lang w:val="en-GB"/>
        </w:rPr>
        <w:t xml:space="preserve"> studies is shown in </w:t>
      </w:r>
      <w:r w:rsidR="00BB44EE" w:rsidRPr="002C7B68">
        <w:rPr>
          <w:rFonts w:ascii="Times New Roman" w:hAnsi="Times New Roman"/>
          <w:sz w:val="24"/>
          <w:szCs w:val="24"/>
          <w:lang w:val="en-GB"/>
        </w:rPr>
        <w:t xml:space="preserve">Figure </w:t>
      </w:r>
      <w:r w:rsidR="005A36BD" w:rsidRPr="002C7B68">
        <w:rPr>
          <w:rFonts w:ascii="Times New Roman" w:hAnsi="Times New Roman"/>
          <w:sz w:val="24"/>
          <w:szCs w:val="24"/>
          <w:lang w:val="en-GB"/>
        </w:rPr>
        <w:t>1</w:t>
      </w:r>
      <w:r w:rsidRPr="002C7B68">
        <w:rPr>
          <w:rFonts w:ascii="Times New Roman" w:hAnsi="Times New Roman"/>
          <w:sz w:val="24"/>
          <w:szCs w:val="24"/>
          <w:lang w:val="en-GB"/>
        </w:rPr>
        <w:t>.</w:t>
      </w:r>
      <w:r w:rsidR="006256CA" w:rsidRPr="002C7B68">
        <w:rPr>
          <w:rFonts w:ascii="Times New Roman" w:hAnsi="Times New Roman"/>
          <w:sz w:val="24"/>
          <w:szCs w:val="24"/>
          <w:lang w:val="en-GB"/>
        </w:rPr>
        <w:t xml:space="preserve"> </w:t>
      </w:r>
      <w:r w:rsidR="001361D0" w:rsidRPr="002C7B68">
        <w:rPr>
          <w:rFonts w:ascii="Times New Roman" w:hAnsi="Times New Roman"/>
          <w:sz w:val="24"/>
          <w:szCs w:val="24"/>
          <w:lang w:val="en-GB"/>
        </w:rPr>
        <w:t xml:space="preserve">The mean </w:t>
      </w:r>
      <w:r w:rsidR="00A1470B" w:rsidRPr="002C7B68">
        <w:rPr>
          <w:rFonts w:ascii="Times New Roman" w:hAnsi="Times New Roman"/>
          <w:sz w:val="24"/>
          <w:szCs w:val="24"/>
          <w:lang w:val="en-GB"/>
        </w:rPr>
        <w:t xml:space="preserve">(SD) </w:t>
      </w:r>
      <w:r w:rsidR="002E798F" w:rsidRPr="002C7B68">
        <w:rPr>
          <w:rFonts w:ascii="Times New Roman" w:hAnsi="Times New Roman"/>
          <w:sz w:val="24"/>
          <w:szCs w:val="24"/>
          <w:lang w:val="en-GB"/>
        </w:rPr>
        <w:t xml:space="preserve">area under the curve </w:t>
      </w:r>
      <w:r w:rsidR="00577EB0" w:rsidRPr="002C7B68">
        <w:rPr>
          <w:rFonts w:ascii="Times New Roman" w:hAnsi="Times New Roman"/>
          <w:sz w:val="24"/>
          <w:szCs w:val="24"/>
          <w:lang w:val="en-GB"/>
        </w:rPr>
        <w:t>(</w:t>
      </w:r>
      <w:r w:rsidR="00304179" w:rsidRPr="002C7B68">
        <w:rPr>
          <w:rFonts w:ascii="Times New Roman" w:hAnsi="Times New Roman"/>
          <w:i/>
          <w:sz w:val="24"/>
          <w:szCs w:val="24"/>
          <w:lang w:val="en-GB"/>
        </w:rPr>
        <w:t>f</w:t>
      </w:r>
      <w:r w:rsidR="00577EB0" w:rsidRPr="002C7B68">
        <w:rPr>
          <w:rFonts w:ascii="Times New Roman" w:hAnsi="Times New Roman"/>
          <w:sz w:val="24"/>
          <w:szCs w:val="24"/>
          <w:lang w:val="en-GB"/>
        </w:rPr>
        <w:t xml:space="preserve">AUC) </w:t>
      </w:r>
      <w:r w:rsidR="002E798F" w:rsidRPr="002C7B68">
        <w:rPr>
          <w:rFonts w:ascii="Times New Roman" w:hAnsi="Times New Roman"/>
          <w:sz w:val="24"/>
          <w:szCs w:val="24"/>
          <w:lang w:val="en-GB"/>
        </w:rPr>
        <w:t>for the first 24h, estimated from using the posterior estimates</w:t>
      </w:r>
      <w:r w:rsidR="007A3F8D" w:rsidRPr="002C7B68">
        <w:rPr>
          <w:rFonts w:ascii="Times New Roman" w:hAnsi="Times New Roman"/>
          <w:sz w:val="24"/>
          <w:szCs w:val="24"/>
          <w:lang w:val="en-GB"/>
        </w:rPr>
        <w:t xml:space="preserve"> from each patient</w:t>
      </w:r>
      <w:r w:rsidR="002E798F" w:rsidRPr="002C7B68">
        <w:rPr>
          <w:rFonts w:ascii="Times New Roman" w:hAnsi="Times New Roman"/>
          <w:sz w:val="24"/>
          <w:szCs w:val="24"/>
          <w:lang w:val="en-GB"/>
        </w:rPr>
        <w:t xml:space="preserve">, was </w:t>
      </w:r>
      <w:r w:rsidR="006256CA" w:rsidRPr="002C7B68">
        <w:rPr>
          <w:rFonts w:ascii="Times New Roman" w:hAnsi="Times New Roman"/>
          <w:sz w:val="24"/>
          <w:szCs w:val="24"/>
          <w:lang w:val="en-GB"/>
        </w:rPr>
        <w:t xml:space="preserve">5215.08 </w:t>
      </w:r>
      <w:r w:rsidR="003D0133" w:rsidRPr="002C7B68">
        <w:rPr>
          <w:rFonts w:ascii="Times New Roman" w:hAnsi="Times New Roman"/>
          <w:sz w:val="24"/>
          <w:szCs w:val="24"/>
          <w:lang w:val="en-GB"/>
        </w:rPr>
        <w:t>mg/L*</w:t>
      </w:r>
      <w:r w:rsidR="006256CA" w:rsidRPr="002C7B68">
        <w:rPr>
          <w:rFonts w:ascii="Times New Roman" w:hAnsi="Times New Roman"/>
          <w:sz w:val="24"/>
          <w:szCs w:val="24"/>
          <w:lang w:val="en-GB"/>
        </w:rPr>
        <w:t>h</w:t>
      </w:r>
      <w:r w:rsidR="00A1470B" w:rsidRPr="002C7B68">
        <w:rPr>
          <w:rFonts w:ascii="Times New Roman" w:hAnsi="Times New Roman"/>
          <w:sz w:val="24"/>
          <w:szCs w:val="24"/>
          <w:lang w:val="en-GB"/>
        </w:rPr>
        <w:t xml:space="preserve"> (1972.27 mg/L*h</w:t>
      </w:r>
      <w:bookmarkStart w:id="6" w:name="_Hlk503268478"/>
      <w:r w:rsidR="00A1470B" w:rsidRPr="002C7B68">
        <w:rPr>
          <w:rFonts w:ascii="Times New Roman" w:hAnsi="Times New Roman"/>
          <w:sz w:val="24"/>
          <w:szCs w:val="24"/>
          <w:lang w:val="en-GB"/>
        </w:rPr>
        <w:t>)</w:t>
      </w:r>
      <w:r w:rsidR="002E798F" w:rsidRPr="002C7B68">
        <w:rPr>
          <w:rFonts w:ascii="Times New Roman" w:hAnsi="Times New Roman"/>
          <w:sz w:val="24"/>
          <w:szCs w:val="24"/>
          <w:lang w:val="en-GB"/>
        </w:rPr>
        <w:t>.</w:t>
      </w:r>
      <w:r w:rsidR="00D03296" w:rsidRPr="002C7B68">
        <w:rPr>
          <w:rFonts w:ascii="Times New Roman" w:hAnsi="Times New Roman"/>
          <w:sz w:val="24"/>
          <w:szCs w:val="24"/>
          <w:lang w:val="en-GB"/>
        </w:rPr>
        <w:t xml:space="preserve"> </w:t>
      </w:r>
      <w:bookmarkStart w:id="7" w:name="_Hlk503273400"/>
      <w:r w:rsidR="0052037A" w:rsidRPr="0052037A">
        <w:rPr>
          <w:rFonts w:ascii="Times New Roman" w:hAnsi="Times New Roman"/>
          <w:sz w:val="24"/>
          <w:szCs w:val="24"/>
          <w:lang w:val="en-GB"/>
        </w:rPr>
        <w:t xml:space="preserve">The fosfomycin concentration-time data were best described by a two-compartment linear model, which was associated with a significant reduction in the log-likelihood value compared with the one-compartment model (LLD=132, p&lt;0.05). A linear model using </w:t>
      </w:r>
      <w:r w:rsidR="0052037A" w:rsidRPr="005A6A06">
        <w:rPr>
          <w:rFonts w:ascii="Times New Roman" w:hAnsi="Times New Roman"/>
          <w:sz w:val="24"/>
          <w:szCs w:val="24"/>
          <w:lang w:val="en-GB"/>
        </w:rPr>
        <w:t xml:space="preserve">creatinine clearance </w:t>
      </w:r>
      <w:r w:rsidR="0052037A" w:rsidRPr="0052037A">
        <w:rPr>
          <w:rFonts w:ascii="Times New Roman" w:hAnsi="Times New Roman"/>
          <w:sz w:val="24"/>
          <w:szCs w:val="24"/>
          <w:lang w:val="en-GB"/>
        </w:rPr>
        <w:t>best described CL. Inclusion of this covariate with an intercept reduced the log-likelihood value by 13 points (p&lt;0.001)</w:t>
      </w:r>
      <w:bookmarkEnd w:id="6"/>
      <w:r w:rsidR="00C65C9A" w:rsidRPr="002C7B68">
        <w:rPr>
          <w:rFonts w:ascii="Times New Roman" w:hAnsi="Times New Roman"/>
          <w:sz w:val="24"/>
          <w:szCs w:val="24"/>
          <w:lang w:val="en-GB"/>
        </w:rPr>
        <w:t>.</w:t>
      </w:r>
      <w:r w:rsidR="00F25062">
        <w:rPr>
          <w:rFonts w:ascii="Times New Roman" w:hAnsi="Times New Roman"/>
          <w:sz w:val="24"/>
          <w:szCs w:val="24"/>
          <w:lang w:val="en-GB"/>
        </w:rPr>
        <w:t xml:space="preserve"> </w:t>
      </w:r>
      <w:r w:rsidR="00F25062" w:rsidRPr="002C7B68">
        <w:rPr>
          <w:rFonts w:ascii="Times New Roman" w:hAnsi="Times New Roman"/>
          <w:sz w:val="24"/>
          <w:szCs w:val="24"/>
          <w:lang w:val="en-GB"/>
        </w:rPr>
        <w:t>The incorporation of weight</w:t>
      </w:r>
      <w:r w:rsidR="00F25062">
        <w:rPr>
          <w:rFonts w:ascii="Times New Roman" w:hAnsi="Times New Roman"/>
          <w:sz w:val="24"/>
          <w:szCs w:val="24"/>
          <w:lang w:val="en-GB"/>
        </w:rPr>
        <w:t xml:space="preserve">, age, sex </w:t>
      </w:r>
      <w:r w:rsidR="00F25062" w:rsidRPr="002C7B68">
        <w:rPr>
          <w:rFonts w:ascii="Times New Roman" w:hAnsi="Times New Roman"/>
          <w:sz w:val="24"/>
          <w:szCs w:val="24"/>
          <w:lang w:val="en-GB"/>
        </w:rPr>
        <w:t>or BMI did not improve the model fit.</w:t>
      </w:r>
      <w:r w:rsidR="00F25062">
        <w:rPr>
          <w:rFonts w:ascii="Times New Roman" w:hAnsi="Times New Roman"/>
          <w:sz w:val="24"/>
          <w:szCs w:val="24"/>
          <w:lang w:val="en-GB"/>
        </w:rPr>
        <w:t xml:space="preserve"> </w:t>
      </w:r>
      <w:bookmarkEnd w:id="7"/>
      <w:r w:rsidR="003A385A" w:rsidRPr="002C7B68">
        <w:rPr>
          <w:rFonts w:ascii="Times New Roman" w:hAnsi="Times New Roman"/>
          <w:sz w:val="24"/>
          <w:szCs w:val="24"/>
          <w:lang w:val="en-GB"/>
        </w:rPr>
        <w:t xml:space="preserve">The </w:t>
      </w:r>
      <w:r w:rsidR="00D4032D" w:rsidRPr="002C7B68">
        <w:rPr>
          <w:rFonts w:ascii="Times New Roman" w:hAnsi="Times New Roman"/>
          <w:sz w:val="24"/>
          <w:szCs w:val="24"/>
          <w:lang w:val="en-GB"/>
        </w:rPr>
        <w:t xml:space="preserve">following </w:t>
      </w:r>
      <w:r w:rsidR="003A385A" w:rsidRPr="002C7B68">
        <w:rPr>
          <w:rFonts w:ascii="Times New Roman" w:hAnsi="Times New Roman"/>
          <w:sz w:val="24"/>
          <w:szCs w:val="24"/>
          <w:lang w:val="en-GB"/>
        </w:rPr>
        <w:t xml:space="preserve">final structural model </w:t>
      </w:r>
      <w:r w:rsidR="00D4032D" w:rsidRPr="002C7B68">
        <w:rPr>
          <w:rFonts w:ascii="Times New Roman" w:hAnsi="Times New Roman"/>
          <w:sz w:val="24"/>
          <w:szCs w:val="24"/>
          <w:lang w:val="en-GB"/>
        </w:rPr>
        <w:t xml:space="preserve">was </w:t>
      </w:r>
      <w:r w:rsidR="00410719" w:rsidRPr="002C7B68">
        <w:rPr>
          <w:rFonts w:ascii="Times New Roman" w:hAnsi="Times New Roman"/>
          <w:sz w:val="24"/>
          <w:szCs w:val="24"/>
          <w:lang w:val="en-GB"/>
        </w:rPr>
        <w:t>fitted to</w:t>
      </w:r>
      <w:r w:rsidR="00D4032D" w:rsidRPr="002C7B68">
        <w:rPr>
          <w:rFonts w:ascii="Times New Roman" w:hAnsi="Times New Roman"/>
          <w:sz w:val="24"/>
          <w:szCs w:val="24"/>
          <w:lang w:val="en-GB"/>
        </w:rPr>
        <w:t xml:space="preserve"> the data</w:t>
      </w:r>
      <w:r w:rsidR="003A385A" w:rsidRPr="002C7B68">
        <w:rPr>
          <w:rFonts w:ascii="Times New Roman" w:hAnsi="Times New Roman"/>
          <w:sz w:val="24"/>
          <w:szCs w:val="24"/>
          <w:lang w:val="en-GB"/>
        </w:rPr>
        <w:t>:</w:t>
      </w:r>
    </w:p>
    <w:p w14:paraId="7195F55B" w14:textId="17C4F43F" w:rsidR="003A385A" w:rsidRPr="002C7B68" w:rsidRDefault="003A385A" w:rsidP="003A385A">
      <w:pPr>
        <w:autoSpaceDE w:val="0"/>
        <w:autoSpaceDN w:val="0"/>
        <w:adjustRightInd w:val="0"/>
        <w:spacing w:after="0" w:line="480" w:lineRule="auto"/>
        <w:jc w:val="both"/>
        <w:rPr>
          <w:rFonts w:ascii="Times New Roman" w:hAnsi="Times New Roman"/>
          <w:sz w:val="24"/>
          <w:szCs w:val="24"/>
          <w:lang w:val="en-GB"/>
        </w:rPr>
      </w:pPr>
      <w:r w:rsidRPr="002C7B68">
        <w:rPr>
          <w:rFonts w:ascii="Times New Roman" w:hAnsi="Times New Roman"/>
          <w:sz w:val="24"/>
          <w:szCs w:val="24"/>
          <w:lang w:val="en-GB"/>
        </w:rPr>
        <w:t>Equation 1:</w:t>
      </w:r>
    </w:p>
    <w:p w14:paraId="20F2A636" w14:textId="264308C1" w:rsidR="003A385A" w:rsidRPr="002C7B68" w:rsidRDefault="003A385A" w:rsidP="003A385A">
      <w:pPr>
        <w:autoSpaceDE w:val="0"/>
        <w:autoSpaceDN w:val="0"/>
        <w:adjustRightInd w:val="0"/>
        <w:spacing w:after="0" w:line="480" w:lineRule="auto"/>
        <w:jc w:val="both"/>
        <w:rPr>
          <w:rFonts w:ascii="Times New Roman" w:hAnsi="Times New Roman"/>
          <w:sz w:val="24"/>
          <w:szCs w:val="24"/>
          <w:lang w:val="en-GB"/>
        </w:rPr>
      </w:pPr>
      <w:r w:rsidRPr="002C7B68">
        <w:rPr>
          <w:rFonts w:ascii="Times New Roman" w:hAnsi="Times New Roman"/>
          <w:sz w:val="24"/>
          <w:szCs w:val="24"/>
          <w:lang w:val="en-GB"/>
        </w:rPr>
        <w:t xml:space="preserve"> </w:t>
      </w:r>
      <m:oMath>
        <m:r>
          <w:rPr>
            <w:rFonts w:ascii="Cambria Math" w:hAnsi="Cambria Math"/>
            <w:sz w:val="24"/>
            <w:szCs w:val="24"/>
            <w:lang w:val="en-GB"/>
          </w:rPr>
          <m:t>d</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1</m:t>
            </m:r>
          </m:sub>
        </m:sSub>
        <m:r>
          <w:rPr>
            <w:rFonts w:ascii="Cambria Math" w:hAnsi="Cambria Math"/>
            <w:sz w:val="24"/>
            <w:szCs w:val="24"/>
            <w:lang w:val="en-GB"/>
          </w:rPr>
          <m:t>/dt=R</m:t>
        </m:r>
        <m:d>
          <m:dPr>
            <m:ctrlPr>
              <w:rPr>
                <w:rFonts w:ascii="Cambria Math" w:hAnsi="Cambria Math"/>
                <w:i/>
                <w:sz w:val="24"/>
                <w:szCs w:val="24"/>
                <w:lang w:val="en-GB"/>
              </w:rPr>
            </m:ctrlPr>
          </m:dPr>
          <m:e>
            <m:r>
              <w:rPr>
                <w:rFonts w:ascii="Cambria Math" w:hAnsi="Cambria Math"/>
                <w:sz w:val="24"/>
                <w:szCs w:val="24"/>
                <w:lang w:val="en-GB"/>
              </w:rPr>
              <m:t>1</m:t>
            </m:r>
          </m:e>
        </m:d>
        <m:r>
          <w:rPr>
            <w:rFonts w:ascii="Cambria Math" w:hAnsi="Cambria Math"/>
            <w:sz w:val="24"/>
            <w:szCs w:val="24"/>
            <w:lang w:val="en-GB"/>
          </w:rPr>
          <m:t>-</m:t>
        </m:r>
        <m:d>
          <m:dPr>
            <m:ctrlPr>
              <w:rPr>
                <w:rFonts w:ascii="Cambria Math" w:hAnsi="Cambria Math"/>
                <w:i/>
                <w:sz w:val="24"/>
                <w:szCs w:val="24"/>
                <w:lang w:val="en-GB"/>
              </w:rPr>
            </m:ctrlPr>
          </m:dPr>
          <m:e>
            <m:f>
              <m:fPr>
                <m:ctrlPr>
                  <w:rPr>
                    <w:rFonts w:ascii="Cambria Math" w:hAnsi="Cambria Math"/>
                    <w:i/>
                    <w:sz w:val="24"/>
                    <w:szCs w:val="24"/>
                    <w:lang w:val="en-GB"/>
                  </w:rPr>
                </m:ctrlPr>
              </m:fPr>
              <m:num>
                <m:r>
                  <w:rPr>
                    <w:rFonts w:ascii="Cambria Math" w:hAnsi="Cambria Math"/>
                    <w:sz w:val="24"/>
                    <w:szCs w:val="24"/>
                    <w:lang w:val="en-GB"/>
                  </w:rPr>
                  <m:t>intercept+slope ×CrCl</m:t>
                </m:r>
              </m:num>
              <m:den>
                <m:sSub>
                  <m:sSubPr>
                    <m:ctrlPr>
                      <w:rPr>
                        <w:rFonts w:ascii="Cambria Math" w:hAnsi="Cambria Math"/>
                        <w:i/>
                        <w:sz w:val="24"/>
                        <w:szCs w:val="24"/>
                        <w:lang w:val="en-GB"/>
                      </w:rPr>
                    </m:ctrlPr>
                  </m:sSubPr>
                  <m:e>
                    <m:r>
                      <w:rPr>
                        <w:rFonts w:ascii="Cambria Math" w:hAnsi="Cambria Math"/>
                        <w:sz w:val="24"/>
                        <w:szCs w:val="24"/>
                        <w:lang w:val="en-GB"/>
                      </w:rPr>
                      <m:t>V</m:t>
                    </m:r>
                  </m:e>
                  <m:sub>
                    <m:r>
                      <w:rPr>
                        <w:rFonts w:ascii="Cambria Math" w:hAnsi="Cambria Math"/>
                        <w:sz w:val="24"/>
                        <w:szCs w:val="24"/>
                        <w:lang w:val="en-GB"/>
                      </w:rPr>
                      <m:t>c</m:t>
                    </m:r>
                  </m:sub>
                </m:sSub>
              </m:den>
            </m:f>
          </m:e>
        </m:d>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k</m:t>
            </m:r>
          </m:e>
          <m:sub>
            <m:r>
              <w:rPr>
                <w:rFonts w:ascii="Cambria Math" w:hAnsi="Cambria Math"/>
                <w:sz w:val="24"/>
                <w:szCs w:val="24"/>
                <w:lang w:val="en-GB"/>
              </w:rPr>
              <m:t>cp</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k</m:t>
            </m:r>
          </m:e>
          <m:sub>
            <m:r>
              <w:rPr>
                <w:rFonts w:ascii="Cambria Math" w:hAnsi="Cambria Math"/>
                <w:sz w:val="24"/>
                <w:szCs w:val="24"/>
                <w:lang w:val="en-GB"/>
              </w:rPr>
              <m:t>pc</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2</m:t>
            </m:r>
          </m:sub>
        </m:sSub>
      </m:oMath>
    </w:p>
    <w:p w14:paraId="17DF2CBA" w14:textId="77777777" w:rsidR="003A385A" w:rsidRPr="002C7B68" w:rsidRDefault="003A385A" w:rsidP="003A385A">
      <w:pPr>
        <w:rPr>
          <w:rFonts w:ascii="Times New Roman" w:hAnsi="Times New Roman"/>
          <w:sz w:val="24"/>
          <w:szCs w:val="24"/>
          <w:lang w:val="en-GB"/>
        </w:rPr>
      </w:pPr>
      <w:r w:rsidRPr="002C7B68">
        <w:rPr>
          <w:rFonts w:ascii="Times New Roman" w:hAnsi="Times New Roman"/>
          <w:sz w:val="24"/>
          <w:szCs w:val="24"/>
          <w:lang w:val="en-GB"/>
        </w:rPr>
        <w:t>Equation 2:</w:t>
      </w:r>
    </w:p>
    <w:p w14:paraId="67C39D81" w14:textId="74B38B08" w:rsidR="003A385A" w:rsidRPr="002C7B68" w:rsidRDefault="003A385A" w:rsidP="003A385A">
      <w:pPr>
        <w:rPr>
          <w:rFonts w:ascii="Times New Roman" w:hAnsi="Times New Roman"/>
          <w:sz w:val="24"/>
          <w:szCs w:val="24"/>
          <w:lang w:val="en-GB"/>
        </w:rPr>
      </w:pPr>
      <w:r w:rsidRPr="002C7B68">
        <w:rPr>
          <w:rFonts w:ascii="Times New Roman" w:hAnsi="Times New Roman"/>
          <w:sz w:val="24"/>
          <w:szCs w:val="24"/>
          <w:lang w:val="en-GB"/>
        </w:rPr>
        <w:lastRenderedPageBreak/>
        <w:t xml:space="preserve"> </w:t>
      </w:r>
      <m:oMath>
        <m:r>
          <w:rPr>
            <w:rFonts w:ascii="Cambria Math" w:hAnsi="Cambria Math"/>
            <w:sz w:val="24"/>
            <w:szCs w:val="24"/>
            <w:lang w:val="en-GB"/>
          </w:rPr>
          <m:t>d</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2</m:t>
            </m:r>
          </m:sub>
        </m:sSub>
        <m:r>
          <w:rPr>
            <w:rFonts w:ascii="Cambria Math" w:hAnsi="Cambria Math"/>
            <w:sz w:val="24"/>
            <w:szCs w:val="24"/>
            <w:lang w:val="en-GB"/>
          </w:rPr>
          <m:t>/dt=</m:t>
        </m:r>
        <m:sSub>
          <m:sSubPr>
            <m:ctrlPr>
              <w:rPr>
                <w:rFonts w:ascii="Cambria Math" w:hAnsi="Cambria Math"/>
                <w:i/>
                <w:sz w:val="24"/>
                <w:szCs w:val="24"/>
                <w:lang w:val="en-GB"/>
              </w:rPr>
            </m:ctrlPr>
          </m:sSubPr>
          <m:e>
            <m:r>
              <w:rPr>
                <w:rFonts w:ascii="Cambria Math" w:hAnsi="Cambria Math"/>
                <w:sz w:val="24"/>
                <w:szCs w:val="24"/>
                <w:lang w:val="en-GB"/>
              </w:rPr>
              <m:t>k</m:t>
            </m:r>
          </m:e>
          <m:sub>
            <m:r>
              <w:rPr>
                <w:rFonts w:ascii="Cambria Math" w:hAnsi="Cambria Math"/>
                <w:sz w:val="24"/>
                <w:szCs w:val="24"/>
                <w:lang w:val="en-GB"/>
              </w:rPr>
              <m:t>cp</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1</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k</m:t>
            </m:r>
          </m:e>
          <m:sub>
            <m:r>
              <w:rPr>
                <w:rFonts w:ascii="Cambria Math" w:hAnsi="Cambria Math"/>
                <w:sz w:val="24"/>
                <w:szCs w:val="24"/>
                <w:lang w:val="en-GB"/>
              </w:rPr>
              <m:t>pc</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X</m:t>
            </m:r>
          </m:e>
          <m:sub>
            <m:r>
              <w:rPr>
                <w:rFonts w:ascii="Cambria Math" w:hAnsi="Cambria Math"/>
                <w:sz w:val="24"/>
                <w:szCs w:val="24"/>
                <w:lang w:val="en-GB"/>
              </w:rPr>
              <m:t>2</m:t>
            </m:r>
          </m:sub>
        </m:sSub>
      </m:oMath>
      <w:r w:rsidRPr="002C7B68">
        <w:rPr>
          <w:rFonts w:ascii="Times New Roman" w:hAnsi="Times New Roman"/>
          <w:sz w:val="24"/>
          <w:szCs w:val="24"/>
          <w:lang w:val="en-GB"/>
        </w:rPr>
        <w:tab/>
      </w:r>
      <w:r w:rsidRPr="002C7B68">
        <w:rPr>
          <w:rFonts w:ascii="Times New Roman" w:hAnsi="Times New Roman"/>
          <w:sz w:val="24"/>
          <w:szCs w:val="24"/>
          <w:lang w:val="en-GB"/>
        </w:rPr>
        <w:fldChar w:fldCharType="begin"/>
      </w:r>
      <w:r w:rsidRPr="002C7B68">
        <w:rPr>
          <w:rFonts w:ascii="Times New Roman" w:hAnsi="Times New Roman"/>
          <w:sz w:val="24"/>
          <w:szCs w:val="24"/>
          <w:lang w:val="en-GB"/>
        </w:rPr>
        <w:instrText xml:space="preserve"> QUOTE </w:instrText>
      </w:r>
      <m:oMath>
        <m:f>
          <m:fPr>
            <m:ctrlPr>
              <w:rPr>
                <w:rFonts w:ascii="Cambria Math" w:hAnsi="Cambria Math"/>
                <w:i/>
                <w:sz w:val="24"/>
                <w:szCs w:val="24"/>
                <w:lang w:val="en-GB"/>
              </w:rPr>
            </m:ctrlPr>
          </m:fPr>
          <m:num>
            <m:r>
              <m:rPr>
                <m:sty m:val="p"/>
              </m:rPr>
              <w:rPr>
                <w:rFonts w:ascii="Cambria Math" w:hAnsi="Cambria Math"/>
                <w:sz w:val="24"/>
                <w:szCs w:val="24"/>
                <w:lang w:val="en-GB"/>
              </w:rPr>
              <m:t>dC</m:t>
            </m:r>
          </m:num>
          <m:den>
            <m:r>
              <m:rPr>
                <m:sty m:val="p"/>
              </m:rPr>
              <w:rPr>
                <w:rFonts w:ascii="Cambria Math" w:hAnsi="Cambria Math"/>
                <w:sz w:val="24"/>
                <w:szCs w:val="24"/>
                <w:lang w:val="en-GB"/>
              </w:rPr>
              <m:t>dt</m:t>
            </m:r>
          </m:den>
        </m:f>
        <m:r>
          <m:rPr>
            <m:sty m:val="p"/>
          </m:rPr>
          <w:rPr>
            <w:rFonts w:ascii="Cambria Math" w:hAnsi="Cambria Math"/>
            <w:sz w:val="24"/>
            <w:szCs w:val="24"/>
            <w:lang w:val="en-GB"/>
          </w:rPr>
          <m:t>=kcp×X1-kpc*×X2</m:t>
        </m:r>
      </m:oMath>
      <w:r w:rsidRPr="002C7B68">
        <w:rPr>
          <w:rFonts w:ascii="Times New Roman" w:hAnsi="Times New Roman"/>
          <w:sz w:val="24"/>
          <w:szCs w:val="24"/>
          <w:lang w:val="en-GB"/>
        </w:rPr>
        <w:instrText xml:space="preserve"> </w:instrText>
      </w:r>
      <w:r w:rsidRPr="002C7B68">
        <w:rPr>
          <w:rFonts w:ascii="Times New Roman" w:hAnsi="Times New Roman"/>
          <w:sz w:val="24"/>
          <w:szCs w:val="24"/>
          <w:lang w:val="en-GB"/>
        </w:rPr>
        <w:fldChar w:fldCharType="end"/>
      </w:r>
    </w:p>
    <w:p w14:paraId="567E5812" w14:textId="0076E313" w:rsidR="007538DC" w:rsidRPr="002C7B68" w:rsidRDefault="003A385A" w:rsidP="000C0390">
      <w:pPr>
        <w:autoSpaceDE w:val="0"/>
        <w:autoSpaceDN w:val="0"/>
        <w:adjustRightInd w:val="0"/>
        <w:spacing w:after="0" w:line="480" w:lineRule="auto"/>
        <w:jc w:val="both"/>
        <w:rPr>
          <w:rFonts w:ascii="Times New Roman" w:hAnsi="Times New Roman"/>
          <w:sz w:val="24"/>
          <w:szCs w:val="24"/>
          <w:lang w:val="en-GB"/>
        </w:rPr>
      </w:pPr>
      <w:r w:rsidRPr="002C7B68">
        <w:rPr>
          <w:rFonts w:ascii="Times New Roman" w:hAnsi="Times New Roman"/>
          <w:sz w:val="24"/>
          <w:szCs w:val="24"/>
          <w:lang w:val="en-GB"/>
        </w:rPr>
        <w:t>Where X</w:t>
      </w:r>
      <w:r w:rsidRPr="002C7B68">
        <w:rPr>
          <w:rFonts w:ascii="Times New Roman" w:hAnsi="Times New Roman"/>
          <w:sz w:val="24"/>
          <w:szCs w:val="24"/>
          <w:vertAlign w:val="subscript"/>
          <w:lang w:val="en-GB"/>
        </w:rPr>
        <w:t>1</w:t>
      </w:r>
      <w:r w:rsidRPr="002C7B68">
        <w:rPr>
          <w:rFonts w:ascii="Times New Roman" w:hAnsi="Times New Roman"/>
          <w:sz w:val="24"/>
          <w:szCs w:val="24"/>
          <w:lang w:val="en-GB"/>
        </w:rPr>
        <w:t xml:space="preserve"> and X</w:t>
      </w:r>
      <w:r w:rsidRPr="002C7B68">
        <w:rPr>
          <w:rFonts w:ascii="Times New Roman" w:hAnsi="Times New Roman"/>
          <w:sz w:val="24"/>
          <w:szCs w:val="24"/>
          <w:vertAlign w:val="subscript"/>
          <w:lang w:val="en-GB"/>
        </w:rPr>
        <w:t>2</w:t>
      </w:r>
      <w:r w:rsidRPr="002C7B68">
        <w:rPr>
          <w:rFonts w:ascii="Times New Roman" w:hAnsi="Times New Roman"/>
          <w:sz w:val="24"/>
          <w:szCs w:val="24"/>
          <w:lang w:val="en-GB"/>
        </w:rPr>
        <w:t xml:space="preserve"> are the amounts of fosfomycin (in milligrams) in the central compartment and peripheral compartment respectively. </w:t>
      </w:r>
      <w:r w:rsidR="009F2D93" w:rsidRPr="002C7B68">
        <w:rPr>
          <w:rFonts w:ascii="Times New Roman" w:hAnsi="Times New Roman"/>
          <w:sz w:val="24"/>
          <w:szCs w:val="24"/>
          <w:lang w:val="en-GB"/>
        </w:rPr>
        <w:t xml:space="preserve">R(1) is the </w:t>
      </w:r>
      <w:r w:rsidR="000821ED" w:rsidRPr="002C7B68">
        <w:rPr>
          <w:rFonts w:ascii="Times New Roman" w:hAnsi="Times New Roman"/>
          <w:sz w:val="24"/>
          <w:szCs w:val="24"/>
          <w:lang w:val="en-GB"/>
        </w:rPr>
        <w:t xml:space="preserve">infusion rate of fosfomycin into central compartment. </w:t>
      </w:r>
      <w:r w:rsidR="003840C5" w:rsidRPr="002C7B68">
        <w:rPr>
          <w:rFonts w:ascii="Times New Roman" w:hAnsi="Times New Roman"/>
          <w:sz w:val="24"/>
          <w:szCs w:val="24"/>
          <w:lang w:val="en-GB"/>
        </w:rPr>
        <w:t xml:space="preserve">The renal </w:t>
      </w:r>
      <w:r w:rsidR="006B611D" w:rsidRPr="002C7B68">
        <w:rPr>
          <w:rFonts w:ascii="Times New Roman" w:hAnsi="Times New Roman"/>
          <w:sz w:val="24"/>
          <w:szCs w:val="24"/>
          <w:lang w:val="en-GB"/>
        </w:rPr>
        <w:t>clearance</w:t>
      </w:r>
      <w:r w:rsidR="003840C5" w:rsidRPr="002C7B68">
        <w:rPr>
          <w:rFonts w:ascii="Times New Roman" w:hAnsi="Times New Roman"/>
          <w:sz w:val="24"/>
          <w:szCs w:val="24"/>
          <w:lang w:val="en-GB"/>
        </w:rPr>
        <w:t xml:space="preserve"> of fosfomycin </w:t>
      </w:r>
      <w:r w:rsidR="006B611D" w:rsidRPr="002C7B68">
        <w:rPr>
          <w:rFonts w:ascii="Times New Roman" w:hAnsi="Times New Roman"/>
          <w:sz w:val="24"/>
          <w:szCs w:val="24"/>
          <w:lang w:val="en-GB"/>
        </w:rPr>
        <w:t>is</w:t>
      </w:r>
      <w:r w:rsidR="003840C5" w:rsidRPr="002C7B68">
        <w:rPr>
          <w:rFonts w:ascii="Times New Roman" w:hAnsi="Times New Roman"/>
          <w:sz w:val="24"/>
          <w:szCs w:val="24"/>
          <w:lang w:val="en-GB"/>
        </w:rPr>
        <w:t xml:space="preserve"> </w:t>
      </w:r>
      <w:r w:rsidR="009705AB" w:rsidRPr="002C7B68">
        <w:rPr>
          <w:rFonts w:ascii="Times New Roman" w:hAnsi="Times New Roman"/>
          <w:sz w:val="24"/>
          <w:szCs w:val="24"/>
          <w:lang w:val="en-GB"/>
        </w:rPr>
        <w:t xml:space="preserve">linearly </w:t>
      </w:r>
      <w:r w:rsidR="006B611D" w:rsidRPr="002C7B68">
        <w:rPr>
          <w:rFonts w:ascii="Times New Roman" w:hAnsi="Times New Roman"/>
          <w:sz w:val="24"/>
          <w:szCs w:val="24"/>
          <w:lang w:val="en-GB"/>
        </w:rPr>
        <w:t>represent</w:t>
      </w:r>
      <w:r w:rsidR="00911461" w:rsidRPr="002C7B68">
        <w:rPr>
          <w:rFonts w:ascii="Times New Roman" w:hAnsi="Times New Roman"/>
          <w:sz w:val="24"/>
          <w:szCs w:val="24"/>
          <w:lang w:val="en-GB"/>
        </w:rPr>
        <w:t>ed</w:t>
      </w:r>
      <w:r w:rsidR="006B611D" w:rsidRPr="002C7B68">
        <w:rPr>
          <w:rFonts w:ascii="Times New Roman" w:hAnsi="Times New Roman"/>
          <w:sz w:val="24"/>
          <w:szCs w:val="24"/>
          <w:lang w:val="en-GB"/>
        </w:rPr>
        <w:t xml:space="preserve"> with i</w:t>
      </w:r>
      <w:r w:rsidR="001B7FA7" w:rsidRPr="002C7B68">
        <w:rPr>
          <w:rFonts w:ascii="Times New Roman" w:hAnsi="Times New Roman"/>
          <w:sz w:val="24"/>
          <w:szCs w:val="24"/>
          <w:lang w:val="en-GB"/>
        </w:rPr>
        <w:t>ntercept and</w:t>
      </w:r>
      <w:r w:rsidR="006B611D" w:rsidRPr="002C7B68">
        <w:rPr>
          <w:rFonts w:ascii="Times New Roman" w:hAnsi="Times New Roman"/>
          <w:sz w:val="24"/>
          <w:szCs w:val="24"/>
          <w:lang w:val="en-GB"/>
        </w:rPr>
        <w:t xml:space="preserve"> slope as parameters and creatinine clearance (C</w:t>
      </w:r>
      <w:r w:rsidR="004A38F7" w:rsidRPr="002C7B68">
        <w:rPr>
          <w:rFonts w:ascii="Times New Roman" w:hAnsi="Times New Roman"/>
          <w:sz w:val="24"/>
          <w:szCs w:val="24"/>
          <w:lang w:val="en-GB"/>
        </w:rPr>
        <w:t>r</w:t>
      </w:r>
      <w:r w:rsidR="006B611D" w:rsidRPr="002C7B68">
        <w:rPr>
          <w:rFonts w:ascii="Times New Roman" w:hAnsi="Times New Roman"/>
          <w:sz w:val="24"/>
          <w:szCs w:val="24"/>
          <w:lang w:val="en-GB"/>
        </w:rPr>
        <w:t>C</w:t>
      </w:r>
      <w:r w:rsidR="004A38F7" w:rsidRPr="002C7B68">
        <w:rPr>
          <w:rFonts w:ascii="Times New Roman" w:hAnsi="Times New Roman"/>
          <w:sz w:val="24"/>
          <w:szCs w:val="24"/>
          <w:lang w:val="en-GB"/>
        </w:rPr>
        <w:t>l</w:t>
      </w:r>
      <w:r w:rsidR="006B611D" w:rsidRPr="002C7B68">
        <w:rPr>
          <w:rFonts w:ascii="Times New Roman" w:hAnsi="Times New Roman"/>
          <w:sz w:val="24"/>
          <w:szCs w:val="24"/>
          <w:lang w:val="en-GB"/>
        </w:rPr>
        <w:t xml:space="preserve">) as covariate. </w:t>
      </w:r>
      <w:r w:rsidRPr="002C7B68">
        <w:rPr>
          <w:rFonts w:ascii="Times New Roman" w:hAnsi="Times New Roman"/>
          <w:sz w:val="24"/>
          <w:szCs w:val="24"/>
          <w:lang w:val="en-GB"/>
        </w:rPr>
        <w:t>K</w:t>
      </w:r>
      <w:r w:rsidRPr="002C7B68">
        <w:rPr>
          <w:rFonts w:ascii="Times New Roman" w:hAnsi="Times New Roman"/>
          <w:sz w:val="24"/>
          <w:szCs w:val="24"/>
          <w:vertAlign w:val="subscript"/>
          <w:lang w:val="en-GB"/>
        </w:rPr>
        <w:t>cp</w:t>
      </w:r>
      <w:r w:rsidRPr="002C7B68">
        <w:rPr>
          <w:rFonts w:ascii="Times New Roman" w:hAnsi="Times New Roman"/>
          <w:sz w:val="24"/>
          <w:szCs w:val="24"/>
          <w:lang w:val="en-GB"/>
        </w:rPr>
        <w:t xml:space="preserve"> and K</w:t>
      </w:r>
      <w:r w:rsidRPr="002C7B68">
        <w:rPr>
          <w:rFonts w:ascii="Times New Roman" w:hAnsi="Times New Roman"/>
          <w:sz w:val="24"/>
          <w:szCs w:val="24"/>
          <w:vertAlign w:val="subscript"/>
          <w:lang w:val="en-GB"/>
        </w:rPr>
        <w:t>pc</w:t>
      </w:r>
      <w:r w:rsidRPr="002C7B68">
        <w:rPr>
          <w:rFonts w:ascii="Times New Roman" w:hAnsi="Times New Roman"/>
          <w:sz w:val="24"/>
          <w:szCs w:val="24"/>
          <w:lang w:val="en-GB"/>
        </w:rPr>
        <w:t xml:space="preserve"> are the first-order intercompartmental rate constants.</w:t>
      </w:r>
      <w:r w:rsidR="000C0390" w:rsidRPr="002C7B68">
        <w:rPr>
          <w:rFonts w:ascii="Times New Roman" w:hAnsi="Times New Roman"/>
          <w:sz w:val="24"/>
          <w:szCs w:val="24"/>
          <w:lang w:val="en-GB"/>
        </w:rPr>
        <w:t xml:space="preserve"> </w:t>
      </w:r>
    </w:p>
    <w:p w14:paraId="1D5D8ED9" w14:textId="3BABDB5E" w:rsidR="00A539FA" w:rsidRPr="002C7B68" w:rsidRDefault="00A539FA" w:rsidP="000C0390">
      <w:pPr>
        <w:autoSpaceDE w:val="0"/>
        <w:autoSpaceDN w:val="0"/>
        <w:adjustRightInd w:val="0"/>
        <w:spacing w:after="0" w:line="480" w:lineRule="auto"/>
        <w:jc w:val="both"/>
        <w:rPr>
          <w:rFonts w:ascii="Times New Roman" w:hAnsi="Times New Roman"/>
          <w:sz w:val="24"/>
          <w:szCs w:val="24"/>
          <w:lang w:val="en-GB"/>
        </w:rPr>
      </w:pPr>
      <w:r w:rsidRPr="002C7B68">
        <w:rPr>
          <w:rFonts w:ascii="Times New Roman" w:hAnsi="Times New Roman"/>
          <w:color w:val="333333"/>
          <w:sz w:val="24"/>
          <w:szCs w:val="24"/>
          <w:lang w:val="en-GB"/>
        </w:rPr>
        <w:t>Final population pharmacokinetic parameter estimates are shown in table 2</w:t>
      </w:r>
    </w:p>
    <w:p w14:paraId="48058E32" w14:textId="4CC842E0" w:rsidR="003A385A" w:rsidRPr="002C7B68" w:rsidRDefault="0071194B" w:rsidP="000304CB">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 xml:space="preserve">For the final model, the population and individual observed-versus-predicted plots of the final model are shown in Figure 2. Normalized distribution prediction error (NPDE) results (Q-Q plot and histogram) are summarized graphically in </w:t>
      </w:r>
      <w:r w:rsidR="00EE275D" w:rsidRPr="002C7B68">
        <w:rPr>
          <w:rFonts w:ascii="Times New Roman" w:hAnsi="Times New Roman"/>
          <w:sz w:val="24"/>
          <w:szCs w:val="24"/>
          <w:lang w:val="en-GB"/>
        </w:rPr>
        <w:t>F</w:t>
      </w:r>
      <w:r w:rsidRPr="002C7B68">
        <w:rPr>
          <w:rFonts w:ascii="Times New Roman" w:hAnsi="Times New Roman"/>
          <w:sz w:val="24"/>
          <w:szCs w:val="24"/>
          <w:lang w:val="en-GB"/>
        </w:rPr>
        <w:t xml:space="preserve">igure </w:t>
      </w:r>
      <w:r w:rsidR="00053203" w:rsidRPr="002C7B68">
        <w:rPr>
          <w:rFonts w:ascii="Times New Roman" w:hAnsi="Times New Roman"/>
          <w:sz w:val="24"/>
          <w:szCs w:val="24"/>
          <w:lang w:val="en-GB"/>
        </w:rPr>
        <w:t>S1</w:t>
      </w:r>
      <w:r w:rsidRPr="002C7B68">
        <w:rPr>
          <w:rFonts w:ascii="Times New Roman" w:hAnsi="Times New Roman"/>
          <w:sz w:val="24"/>
          <w:szCs w:val="24"/>
          <w:lang w:val="en-GB"/>
        </w:rPr>
        <w:t>. The weighted residual error distributions are shown in Fig</w:t>
      </w:r>
      <w:r w:rsidR="00EE275D" w:rsidRPr="002C7B68">
        <w:rPr>
          <w:rFonts w:ascii="Times New Roman" w:hAnsi="Times New Roman"/>
          <w:sz w:val="24"/>
          <w:szCs w:val="24"/>
          <w:lang w:val="en-GB"/>
        </w:rPr>
        <w:t>ure</w:t>
      </w:r>
      <w:r w:rsidRPr="002C7B68">
        <w:rPr>
          <w:rFonts w:ascii="Times New Roman" w:hAnsi="Times New Roman"/>
          <w:sz w:val="24"/>
          <w:szCs w:val="24"/>
          <w:lang w:val="en-GB"/>
        </w:rPr>
        <w:t xml:space="preserve"> </w:t>
      </w:r>
      <w:r w:rsidR="00053203" w:rsidRPr="002C7B68">
        <w:rPr>
          <w:rFonts w:ascii="Times New Roman" w:hAnsi="Times New Roman"/>
          <w:sz w:val="24"/>
          <w:szCs w:val="24"/>
          <w:lang w:val="en-GB"/>
        </w:rPr>
        <w:t>S2</w:t>
      </w:r>
      <w:r w:rsidRPr="002C7B68">
        <w:rPr>
          <w:rFonts w:ascii="Times New Roman" w:hAnsi="Times New Roman"/>
          <w:sz w:val="24"/>
          <w:szCs w:val="24"/>
          <w:lang w:val="en-GB"/>
        </w:rPr>
        <w:t xml:space="preserve">. </w:t>
      </w:r>
      <w:r w:rsidR="00EE275D" w:rsidRPr="002C7B68">
        <w:rPr>
          <w:rFonts w:ascii="Times New Roman" w:hAnsi="Times New Roman"/>
          <w:sz w:val="24"/>
          <w:szCs w:val="24"/>
          <w:lang w:val="en-GB"/>
        </w:rPr>
        <w:t>Both NPDEs (P=0.599 in the Shapiro-Wilk normality test)</w:t>
      </w:r>
      <w:r w:rsidR="00E575EB" w:rsidRPr="002C7B68">
        <w:rPr>
          <w:rFonts w:ascii="Times New Roman" w:hAnsi="Times New Roman"/>
          <w:sz w:val="24"/>
          <w:szCs w:val="24"/>
          <w:lang w:val="en-GB"/>
        </w:rPr>
        <w:t xml:space="preserve">, </w:t>
      </w:r>
      <w:r w:rsidRPr="002C7B68">
        <w:rPr>
          <w:rFonts w:ascii="Times New Roman" w:hAnsi="Times New Roman"/>
          <w:sz w:val="24"/>
          <w:szCs w:val="24"/>
          <w:lang w:val="en-GB"/>
        </w:rPr>
        <w:t>the weighted residual error distributions</w:t>
      </w:r>
      <w:r w:rsidR="005D053D" w:rsidRPr="002C7B68">
        <w:rPr>
          <w:rFonts w:ascii="Times New Roman" w:hAnsi="Times New Roman"/>
          <w:sz w:val="24"/>
          <w:szCs w:val="24"/>
          <w:lang w:val="en-GB"/>
        </w:rPr>
        <w:t>, and VPC plot</w:t>
      </w:r>
      <w:r w:rsidR="00040360" w:rsidRPr="002C7B68">
        <w:rPr>
          <w:rFonts w:ascii="Times New Roman" w:hAnsi="Times New Roman"/>
          <w:sz w:val="24"/>
          <w:szCs w:val="24"/>
          <w:lang w:val="en-GB"/>
        </w:rPr>
        <w:t>s (</w:t>
      </w:r>
      <w:r w:rsidR="005D053D" w:rsidRPr="002C7B68">
        <w:rPr>
          <w:rFonts w:ascii="Times New Roman" w:hAnsi="Times New Roman"/>
          <w:sz w:val="24"/>
          <w:szCs w:val="24"/>
          <w:lang w:val="en-GB"/>
        </w:rPr>
        <w:t xml:space="preserve">Figure </w:t>
      </w:r>
      <w:r w:rsidR="00053203" w:rsidRPr="002C7B68">
        <w:rPr>
          <w:rFonts w:ascii="Times New Roman" w:hAnsi="Times New Roman"/>
          <w:sz w:val="24"/>
          <w:szCs w:val="24"/>
          <w:lang w:val="en-GB"/>
        </w:rPr>
        <w:t>3</w:t>
      </w:r>
      <w:r w:rsidR="00040360" w:rsidRPr="002C7B68">
        <w:rPr>
          <w:rFonts w:ascii="Times New Roman" w:hAnsi="Times New Roman"/>
          <w:sz w:val="24"/>
          <w:szCs w:val="24"/>
          <w:lang w:val="en-GB"/>
        </w:rPr>
        <w:t>)</w:t>
      </w:r>
      <w:r w:rsidR="005D053D" w:rsidRPr="002C7B68">
        <w:rPr>
          <w:rFonts w:ascii="Times New Roman" w:hAnsi="Times New Roman"/>
          <w:sz w:val="24"/>
          <w:szCs w:val="24"/>
          <w:lang w:val="en-GB"/>
        </w:rPr>
        <w:t xml:space="preserve"> </w:t>
      </w:r>
      <w:r w:rsidRPr="002C7B68">
        <w:rPr>
          <w:rFonts w:ascii="Times New Roman" w:hAnsi="Times New Roman"/>
          <w:sz w:val="24"/>
          <w:szCs w:val="24"/>
          <w:lang w:val="en-GB"/>
        </w:rPr>
        <w:t>suggest that the fit of the model to the data was acceptable.</w:t>
      </w:r>
      <w:r w:rsidR="00DA05D1" w:rsidRPr="002C7B68">
        <w:rPr>
          <w:lang w:val="en-GB"/>
        </w:rPr>
        <w:t xml:space="preserve"> </w:t>
      </w:r>
      <w:r w:rsidR="00DA05D1" w:rsidRPr="002C7B68">
        <w:rPr>
          <w:rFonts w:ascii="Times New Roman" w:hAnsi="Times New Roman"/>
          <w:sz w:val="24"/>
          <w:szCs w:val="24"/>
          <w:lang w:val="en-GB"/>
        </w:rPr>
        <w:t>The 11 calculated support points and the covariance matrix in the lower triangular form are shown in Tables S2 and S3, respectively.</w:t>
      </w:r>
    </w:p>
    <w:p w14:paraId="4BF35B6D" w14:textId="77777777" w:rsidR="00EE275D" w:rsidRPr="002C7B68" w:rsidRDefault="00EE275D" w:rsidP="00372CB6">
      <w:pPr>
        <w:autoSpaceDE w:val="0"/>
        <w:autoSpaceDN w:val="0"/>
        <w:adjustRightInd w:val="0"/>
        <w:spacing w:after="0" w:line="480" w:lineRule="auto"/>
        <w:jc w:val="both"/>
        <w:rPr>
          <w:rFonts w:ascii="Times New Roman" w:hAnsi="Times New Roman"/>
          <w:b/>
          <w:sz w:val="24"/>
          <w:szCs w:val="24"/>
          <w:lang w:val="en-GB"/>
        </w:rPr>
      </w:pPr>
    </w:p>
    <w:p w14:paraId="182CDDF9" w14:textId="60DAFB9B" w:rsidR="00A06CAB" w:rsidRPr="002C7B68" w:rsidRDefault="00410719" w:rsidP="00372CB6">
      <w:pPr>
        <w:autoSpaceDE w:val="0"/>
        <w:autoSpaceDN w:val="0"/>
        <w:adjustRightInd w:val="0"/>
        <w:spacing w:after="0" w:line="480" w:lineRule="auto"/>
        <w:jc w:val="both"/>
        <w:rPr>
          <w:rFonts w:ascii="Times New Roman" w:hAnsi="Times New Roman"/>
          <w:b/>
          <w:sz w:val="24"/>
          <w:szCs w:val="24"/>
          <w:lang w:val="en-GB"/>
        </w:rPr>
      </w:pPr>
      <w:r w:rsidRPr="002C7B68">
        <w:rPr>
          <w:rFonts w:ascii="Times New Roman" w:hAnsi="Times New Roman"/>
          <w:b/>
          <w:sz w:val="24"/>
          <w:szCs w:val="24"/>
          <w:lang w:val="en-GB"/>
        </w:rPr>
        <w:t xml:space="preserve">Monte Carlo </w:t>
      </w:r>
      <w:r w:rsidR="00325503" w:rsidRPr="002C7B68">
        <w:rPr>
          <w:rFonts w:ascii="Times New Roman" w:hAnsi="Times New Roman"/>
          <w:b/>
          <w:sz w:val="24"/>
          <w:szCs w:val="24"/>
          <w:lang w:val="en-GB"/>
        </w:rPr>
        <w:t>simulations and probability of target attainment</w:t>
      </w:r>
    </w:p>
    <w:p w14:paraId="1D9719FA" w14:textId="6F29ACCE" w:rsidR="007273E3" w:rsidRPr="002C7B68" w:rsidRDefault="00E56F01" w:rsidP="0026454F">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 xml:space="preserve">The PTA results for 4 g Q6h and 8 g Q8h as 60-min infusions are displayed in </w:t>
      </w:r>
      <w:r w:rsidR="00D10CFB" w:rsidRPr="002C7B68">
        <w:rPr>
          <w:rFonts w:ascii="Times New Roman" w:hAnsi="Times New Roman"/>
          <w:sz w:val="24"/>
          <w:szCs w:val="24"/>
          <w:lang w:val="en-GB"/>
        </w:rPr>
        <w:t>F</w:t>
      </w:r>
      <w:r w:rsidRPr="002C7B68">
        <w:rPr>
          <w:rFonts w:ascii="Times New Roman" w:hAnsi="Times New Roman"/>
          <w:sz w:val="24"/>
          <w:szCs w:val="24"/>
          <w:lang w:val="en-GB"/>
        </w:rPr>
        <w:t xml:space="preserve">igure </w:t>
      </w:r>
      <w:r w:rsidR="00907A34" w:rsidRPr="002C7B68">
        <w:rPr>
          <w:rFonts w:ascii="Times New Roman" w:hAnsi="Times New Roman"/>
          <w:sz w:val="24"/>
          <w:szCs w:val="24"/>
          <w:lang w:val="en-GB"/>
        </w:rPr>
        <w:t>4</w:t>
      </w:r>
      <w:r w:rsidRPr="002C7B68">
        <w:rPr>
          <w:rFonts w:ascii="Times New Roman" w:hAnsi="Times New Roman"/>
          <w:sz w:val="24"/>
          <w:szCs w:val="24"/>
          <w:lang w:val="en-GB"/>
        </w:rPr>
        <w:t xml:space="preserve">. </w:t>
      </w:r>
      <w:bookmarkStart w:id="8" w:name="_Hlk502316389"/>
      <w:r w:rsidR="00B809C8" w:rsidRPr="002C7B68">
        <w:rPr>
          <w:rFonts w:ascii="Times New Roman" w:hAnsi="Times New Roman"/>
          <w:sz w:val="24"/>
          <w:szCs w:val="24"/>
          <w:lang w:val="en-GB"/>
        </w:rPr>
        <w:t>Monte Carlo simulations and PTA analysis show</w:t>
      </w:r>
      <w:r w:rsidR="0076033A" w:rsidRPr="002C7B68">
        <w:rPr>
          <w:rFonts w:ascii="Times New Roman" w:hAnsi="Times New Roman"/>
          <w:sz w:val="24"/>
          <w:szCs w:val="24"/>
          <w:lang w:val="en-GB"/>
        </w:rPr>
        <w:t>ed mild</w:t>
      </w:r>
      <w:r w:rsidR="00B809C8" w:rsidRPr="002C7B68">
        <w:rPr>
          <w:rFonts w:ascii="Times New Roman" w:hAnsi="Times New Roman"/>
          <w:sz w:val="24"/>
          <w:szCs w:val="24"/>
          <w:lang w:val="en-GB"/>
        </w:rPr>
        <w:t xml:space="preserve"> improvement </w:t>
      </w:r>
      <w:bookmarkEnd w:id="8"/>
      <w:r w:rsidR="00B809C8" w:rsidRPr="002C7B68">
        <w:rPr>
          <w:rFonts w:ascii="Times New Roman" w:hAnsi="Times New Roman"/>
          <w:sz w:val="24"/>
          <w:szCs w:val="24"/>
          <w:lang w:val="en-GB"/>
        </w:rPr>
        <w:t xml:space="preserve">by increasing fosfomycin dosing (4g/Q6h vs 8g/Q8h). </w:t>
      </w:r>
      <w:r w:rsidR="00340EBC" w:rsidRPr="002C7B68">
        <w:rPr>
          <w:rFonts w:ascii="Times New Roman" w:hAnsi="Times New Roman"/>
          <w:sz w:val="24"/>
          <w:szCs w:val="24"/>
          <w:lang w:val="en-GB"/>
        </w:rPr>
        <w:t xml:space="preserve">PTA </w:t>
      </w:r>
      <w:r w:rsidR="000D642B" w:rsidRPr="002C7B68">
        <w:rPr>
          <w:rFonts w:ascii="Times New Roman" w:hAnsi="Times New Roman"/>
          <w:sz w:val="24"/>
          <w:szCs w:val="24"/>
          <w:lang w:val="en-GB"/>
        </w:rPr>
        <w:t>of 93.9% (4g/Q6h) and 98.2% (8g/Q8h) were</w:t>
      </w:r>
      <w:r w:rsidR="00340EBC" w:rsidRPr="002C7B68">
        <w:rPr>
          <w:rFonts w:ascii="Times New Roman" w:hAnsi="Times New Roman"/>
          <w:sz w:val="24"/>
          <w:szCs w:val="24"/>
          <w:lang w:val="en-GB"/>
        </w:rPr>
        <w:t xml:space="preserve"> achieved for both dosages using a pharmacodynamic target for bacteriostatic effect (</w:t>
      </w:r>
      <w:r w:rsidR="00340EBC" w:rsidRPr="002C7B68">
        <w:rPr>
          <w:rFonts w:ascii="Times New Roman" w:hAnsi="Times New Roman"/>
          <w:i/>
          <w:sz w:val="24"/>
          <w:szCs w:val="24"/>
          <w:lang w:val="en-GB"/>
        </w:rPr>
        <w:t>i.e.</w:t>
      </w:r>
      <w:r w:rsidR="00340EBC" w:rsidRPr="002C7B68">
        <w:rPr>
          <w:rFonts w:ascii="Times New Roman" w:hAnsi="Times New Roman"/>
          <w:sz w:val="24"/>
          <w:szCs w:val="24"/>
          <w:lang w:val="en-GB"/>
        </w:rPr>
        <w:t xml:space="preserve"> </w:t>
      </w:r>
      <w:r w:rsidR="00304179" w:rsidRPr="002C7B68">
        <w:rPr>
          <w:rFonts w:ascii="Times New Roman" w:hAnsi="Times New Roman"/>
          <w:i/>
          <w:sz w:val="24"/>
          <w:szCs w:val="24"/>
          <w:lang w:val="en-GB"/>
        </w:rPr>
        <w:t>f</w:t>
      </w:r>
      <w:r w:rsidR="00340EBC" w:rsidRPr="002C7B68">
        <w:rPr>
          <w:rFonts w:ascii="Times New Roman" w:hAnsi="Times New Roman"/>
          <w:sz w:val="24"/>
          <w:szCs w:val="24"/>
          <w:lang w:val="en-GB"/>
        </w:rPr>
        <w:t>AUC</w:t>
      </w:r>
      <w:r w:rsidR="00340EBC" w:rsidRPr="002C7B68">
        <w:rPr>
          <w:rFonts w:ascii="Times New Roman" w:hAnsi="Times New Roman"/>
          <w:sz w:val="24"/>
          <w:szCs w:val="24"/>
          <w:vertAlign w:val="subscript"/>
          <w:lang w:val="en-GB"/>
        </w:rPr>
        <w:t>0-24</w:t>
      </w:r>
      <w:r w:rsidR="00340EBC" w:rsidRPr="002C7B68">
        <w:rPr>
          <w:rFonts w:ascii="Times New Roman" w:hAnsi="Times New Roman"/>
          <w:sz w:val="24"/>
          <w:szCs w:val="24"/>
          <w:lang w:val="en-GB"/>
        </w:rPr>
        <w:t xml:space="preserve">/MIC of 19.3) for MIC </w:t>
      </w:r>
      <w:r w:rsidR="00FF7C8F" w:rsidRPr="002C7B68">
        <w:rPr>
          <w:rFonts w:ascii="Times New Roman" w:hAnsi="Times New Roman"/>
          <w:sz w:val="24"/>
          <w:szCs w:val="24"/>
          <w:lang w:val="en-GB"/>
        </w:rPr>
        <w:t>=</w:t>
      </w:r>
      <w:r w:rsidR="00340EBC" w:rsidRPr="002C7B68">
        <w:rPr>
          <w:rFonts w:ascii="Times New Roman" w:hAnsi="Times New Roman"/>
          <w:sz w:val="24"/>
          <w:szCs w:val="24"/>
          <w:lang w:val="en-GB"/>
        </w:rPr>
        <w:t>128 mg/L</w:t>
      </w:r>
      <w:r w:rsidRPr="002C7B68">
        <w:rPr>
          <w:rFonts w:ascii="Times New Roman" w:hAnsi="Times New Roman"/>
          <w:sz w:val="24"/>
          <w:szCs w:val="24"/>
          <w:lang w:val="en-GB"/>
        </w:rPr>
        <w:t>.</w:t>
      </w:r>
      <w:r w:rsidR="00340EBC" w:rsidRPr="002C7B68">
        <w:rPr>
          <w:rFonts w:ascii="Times New Roman" w:hAnsi="Times New Roman"/>
          <w:sz w:val="24"/>
          <w:szCs w:val="24"/>
          <w:lang w:val="en-GB"/>
        </w:rPr>
        <w:t xml:space="preserve"> </w:t>
      </w:r>
      <w:r w:rsidR="00912DF9" w:rsidRPr="002C7B68">
        <w:rPr>
          <w:rFonts w:ascii="Times New Roman" w:hAnsi="Times New Roman"/>
          <w:sz w:val="24"/>
          <w:szCs w:val="24"/>
          <w:lang w:val="en-GB"/>
        </w:rPr>
        <w:t>Alternatively, u</w:t>
      </w:r>
      <w:r w:rsidR="00340EBC" w:rsidRPr="002C7B68">
        <w:rPr>
          <w:rFonts w:ascii="Times New Roman" w:hAnsi="Times New Roman"/>
          <w:sz w:val="24"/>
          <w:szCs w:val="24"/>
          <w:lang w:val="en-GB"/>
        </w:rPr>
        <w:t xml:space="preserve">sing a pharmacodynamic target for 1-log decrease </w:t>
      </w:r>
      <w:bookmarkStart w:id="9" w:name="OLE_LINK1"/>
      <w:r w:rsidR="00340EBC" w:rsidRPr="002C7B68">
        <w:rPr>
          <w:rFonts w:ascii="Times New Roman" w:hAnsi="Times New Roman"/>
          <w:sz w:val="24"/>
          <w:szCs w:val="24"/>
          <w:lang w:val="en-GB"/>
        </w:rPr>
        <w:t>(</w:t>
      </w:r>
      <w:r w:rsidR="00340EBC" w:rsidRPr="002C7B68">
        <w:rPr>
          <w:rFonts w:ascii="Times New Roman" w:hAnsi="Times New Roman"/>
          <w:i/>
          <w:sz w:val="24"/>
          <w:szCs w:val="24"/>
          <w:lang w:val="en-GB"/>
        </w:rPr>
        <w:t>i.e.</w:t>
      </w:r>
      <w:r w:rsidR="00340EBC" w:rsidRPr="002C7B68">
        <w:rPr>
          <w:rFonts w:ascii="Times New Roman" w:hAnsi="Times New Roman"/>
          <w:sz w:val="24"/>
          <w:szCs w:val="24"/>
          <w:lang w:val="en-GB"/>
        </w:rPr>
        <w:t xml:space="preserve"> </w:t>
      </w:r>
      <w:r w:rsidR="00304179" w:rsidRPr="002C7B68">
        <w:rPr>
          <w:rFonts w:ascii="Times New Roman" w:hAnsi="Times New Roman"/>
          <w:i/>
          <w:sz w:val="24"/>
          <w:szCs w:val="24"/>
          <w:lang w:val="en-GB"/>
        </w:rPr>
        <w:t>f</w:t>
      </w:r>
      <w:r w:rsidR="00340EBC" w:rsidRPr="002C7B68">
        <w:rPr>
          <w:rFonts w:ascii="Times New Roman" w:hAnsi="Times New Roman"/>
          <w:sz w:val="24"/>
          <w:szCs w:val="24"/>
          <w:lang w:val="en-GB"/>
        </w:rPr>
        <w:t>AUC</w:t>
      </w:r>
      <w:r w:rsidR="00340EBC" w:rsidRPr="002C7B68">
        <w:rPr>
          <w:rFonts w:ascii="Times New Roman" w:hAnsi="Times New Roman"/>
          <w:sz w:val="24"/>
          <w:szCs w:val="24"/>
          <w:vertAlign w:val="subscript"/>
          <w:lang w:val="en-GB"/>
        </w:rPr>
        <w:t>0-24</w:t>
      </w:r>
      <w:r w:rsidR="00340EBC" w:rsidRPr="002C7B68">
        <w:rPr>
          <w:rFonts w:ascii="Times New Roman" w:hAnsi="Times New Roman"/>
          <w:sz w:val="24"/>
          <w:szCs w:val="24"/>
          <w:lang w:val="en-GB"/>
        </w:rPr>
        <w:t>/MIC of 87.5)</w:t>
      </w:r>
      <w:bookmarkEnd w:id="9"/>
      <w:r w:rsidR="00CC4A0B" w:rsidRPr="002C7B68">
        <w:rPr>
          <w:rFonts w:ascii="Times New Roman" w:hAnsi="Times New Roman"/>
          <w:sz w:val="24"/>
          <w:szCs w:val="24"/>
          <w:lang w:val="en-GB"/>
        </w:rPr>
        <w:t>,</w:t>
      </w:r>
      <w:r w:rsidR="00340EBC" w:rsidRPr="002C7B68">
        <w:rPr>
          <w:rFonts w:ascii="Times New Roman" w:hAnsi="Times New Roman"/>
          <w:sz w:val="24"/>
          <w:szCs w:val="24"/>
          <w:lang w:val="en-GB"/>
        </w:rPr>
        <w:t xml:space="preserve"> PTA </w:t>
      </w:r>
      <w:r w:rsidR="00CC4A0B" w:rsidRPr="002C7B68">
        <w:rPr>
          <w:rFonts w:ascii="Times New Roman" w:hAnsi="Times New Roman"/>
          <w:sz w:val="24"/>
          <w:szCs w:val="24"/>
          <w:lang w:val="en-GB"/>
        </w:rPr>
        <w:t xml:space="preserve">of 89.3% (4g/Q6h) and 96.1% (8g/Q8h) </w:t>
      </w:r>
      <w:r w:rsidR="00340EBC" w:rsidRPr="002C7B68">
        <w:rPr>
          <w:rFonts w:ascii="Times New Roman" w:hAnsi="Times New Roman"/>
          <w:sz w:val="24"/>
          <w:szCs w:val="24"/>
          <w:lang w:val="en-GB"/>
        </w:rPr>
        <w:t>w</w:t>
      </w:r>
      <w:r w:rsidR="00CC4A0B" w:rsidRPr="002C7B68">
        <w:rPr>
          <w:rFonts w:ascii="Times New Roman" w:hAnsi="Times New Roman"/>
          <w:sz w:val="24"/>
          <w:szCs w:val="24"/>
          <w:lang w:val="en-GB"/>
        </w:rPr>
        <w:t>ere</w:t>
      </w:r>
      <w:r w:rsidR="00340EBC" w:rsidRPr="002C7B68">
        <w:rPr>
          <w:rFonts w:ascii="Times New Roman" w:hAnsi="Times New Roman"/>
          <w:sz w:val="24"/>
          <w:szCs w:val="24"/>
          <w:lang w:val="en-GB"/>
        </w:rPr>
        <w:t xml:space="preserve"> observed for MIC </w:t>
      </w:r>
      <w:r w:rsidR="0076033A" w:rsidRPr="002C7B68">
        <w:rPr>
          <w:rFonts w:ascii="Times New Roman" w:hAnsi="Times New Roman"/>
          <w:sz w:val="24"/>
          <w:szCs w:val="24"/>
          <w:lang w:val="en-GB"/>
        </w:rPr>
        <w:t>=</w:t>
      </w:r>
      <w:r w:rsidR="00340EBC" w:rsidRPr="002C7B68">
        <w:rPr>
          <w:rFonts w:ascii="Times New Roman" w:hAnsi="Times New Roman"/>
          <w:sz w:val="24"/>
          <w:szCs w:val="24"/>
          <w:lang w:val="en-GB"/>
        </w:rPr>
        <w:t>32 mg/L for both dosages.</w:t>
      </w:r>
      <w:r w:rsidR="007273E3" w:rsidRPr="002C7B68">
        <w:rPr>
          <w:rFonts w:ascii="Times New Roman" w:hAnsi="Times New Roman"/>
          <w:sz w:val="24"/>
          <w:szCs w:val="24"/>
          <w:lang w:val="en-GB"/>
        </w:rPr>
        <w:t xml:space="preserve"> Setting </w:t>
      </w:r>
      <w:r w:rsidR="007273E3" w:rsidRPr="002C7B68">
        <w:rPr>
          <w:rFonts w:ascii="Times New Roman" w:hAnsi="Times New Roman"/>
          <w:sz w:val="24"/>
          <w:szCs w:val="24"/>
          <w:lang w:val="en-GB"/>
        </w:rPr>
        <w:lastRenderedPageBreak/>
        <w:t xml:space="preserve">a </w:t>
      </w:r>
      <w:r w:rsidR="0026454F" w:rsidRPr="002C7B68">
        <w:rPr>
          <w:rFonts w:ascii="Times New Roman" w:hAnsi="Times New Roman"/>
          <w:sz w:val="24"/>
          <w:szCs w:val="24"/>
          <w:lang w:val="en-GB"/>
        </w:rPr>
        <w:t xml:space="preserve">target </w:t>
      </w:r>
      <w:r w:rsidR="007273E3" w:rsidRPr="002C7B68">
        <w:rPr>
          <w:rFonts w:ascii="Times New Roman" w:hAnsi="Times New Roman"/>
          <w:sz w:val="24"/>
          <w:szCs w:val="24"/>
          <w:lang w:val="en-GB"/>
        </w:rPr>
        <w:t>for resistance suppression (</w:t>
      </w:r>
      <w:r w:rsidR="007273E3" w:rsidRPr="002C7B68">
        <w:rPr>
          <w:rFonts w:ascii="Times New Roman" w:hAnsi="Times New Roman"/>
          <w:i/>
          <w:sz w:val="24"/>
          <w:szCs w:val="24"/>
          <w:lang w:val="en-GB"/>
        </w:rPr>
        <w:t>i.e.</w:t>
      </w:r>
      <w:r w:rsidR="007273E3" w:rsidRPr="002C7B68">
        <w:rPr>
          <w:rFonts w:ascii="Times New Roman" w:hAnsi="Times New Roman"/>
          <w:sz w:val="24"/>
          <w:szCs w:val="24"/>
          <w:lang w:val="en-GB"/>
        </w:rPr>
        <w:t xml:space="preserve"> </w:t>
      </w:r>
      <w:r w:rsidR="00304179" w:rsidRPr="002C7B68">
        <w:rPr>
          <w:rFonts w:ascii="Times New Roman" w:hAnsi="Times New Roman"/>
          <w:i/>
          <w:sz w:val="24"/>
          <w:szCs w:val="24"/>
          <w:lang w:val="en-GB"/>
        </w:rPr>
        <w:t>f</w:t>
      </w:r>
      <w:r w:rsidR="007273E3" w:rsidRPr="002C7B68">
        <w:rPr>
          <w:rFonts w:ascii="Times New Roman" w:hAnsi="Times New Roman"/>
          <w:sz w:val="24"/>
          <w:szCs w:val="24"/>
          <w:lang w:val="en-GB"/>
        </w:rPr>
        <w:t>AUC</w:t>
      </w:r>
      <w:r w:rsidR="007273E3" w:rsidRPr="002C7B68">
        <w:rPr>
          <w:rFonts w:ascii="Times New Roman" w:hAnsi="Times New Roman"/>
          <w:sz w:val="24"/>
          <w:szCs w:val="24"/>
          <w:vertAlign w:val="subscript"/>
          <w:lang w:val="en-GB"/>
        </w:rPr>
        <w:t>0-24</w:t>
      </w:r>
      <w:r w:rsidR="007273E3" w:rsidRPr="002C7B68">
        <w:rPr>
          <w:rFonts w:ascii="Times New Roman" w:hAnsi="Times New Roman"/>
          <w:sz w:val="24"/>
          <w:szCs w:val="24"/>
          <w:lang w:val="en-GB"/>
        </w:rPr>
        <w:t xml:space="preserve">/MIC of </w:t>
      </w:r>
      <w:r w:rsidR="0026454F" w:rsidRPr="002C7B68">
        <w:rPr>
          <w:rFonts w:ascii="Times New Roman" w:hAnsi="Times New Roman"/>
          <w:sz w:val="24"/>
          <w:szCs w:val="24"/>
          <w:lang w:val="en-GB"/>
        </w:rPr>
        <w:t xml:space="preserve">3136) an optimal PTA </w:t>
      </w:r>
      <w:r w:rsidR="007273E3" w:rsidRPr="002C7B68">
        <w:rPr>
          <w:rFonts w:ascii="Times New Roman" w:hAnsi="Times New Roman"/>
          <w:sz w:val="24"/>
          <w:szCs w:val="24"/>
          <w:lang w:val="en-GB"/>
        </w:rPr>
        <w:t>was reached for MIC of 1 mg/L</w:t>
      </w:r>
      <w:r w:rsidR="00CC4A0B" w:rsidRPr="002C7B68">
        <w:rPr>
          <w:rFonts w:ascii="Times New Roman" w:hAnsi="Times New Roman"/>
          <w:sz w:val="24"/>
          <w:szCs w:val="24"/>
          <w:lang w:val="en-GB"/>
        </w:rPr>
        <w:t>, 83.2% (</w:t>
      </w:r>
      <w:r w:rsidR="00BA2283" w:rsidRPr="002C7B68">
        <w:rPr>
          <w:rFonts w:ascii="Times New Roman" w:hAnsi="Times New Roman"/>
          <w:sz w:val="24"/>
          <w:szCs w:val="24"/>
          <w:lang w:val="en-GB"/>
        </w:rPr>
        <w:t>4g/Q6h</w:t>
      </w:r>
      <w:r w:rsidR="00CC4A0B" w:rsidRPr="002C7B68">
        <w:rPr>
          <w:rFonts w:ascii="Times New Roman" w:hAnsi="Times New Roman"/>
          <w:sz w:val="24"/>
          <w:szCs w:val="24"/>
          <w:lang w:val="en-GB"/>
        </w:rPr>
        <w:t xml:space="preserve">) and </w:t>
      </w:r>
      <w:r w:rsidR="00BA2283" w:rsidRPr="002C7B68">
        <w:rPr>
          <w:rFonts w:ascii="Times New Roman" w:hAnsi="Times New Roman"/>
          <w:sz w:val="24"/>
          <w:szCs w:val="24"/>
          <w:lang w:val="en-GB"/>
        </w:rPr>
        <w:t>93.4% (8g/Q8h)</w:t>
      </w:r>
      <w:r w:rsidR="007273E3" w:rsidRPr="002C7B68">
        <w:rPr>
          <w:rFonts w:ascii="Times New Roman" w:hAnsi="Times New Roman"/>
          <w:sz w:val="24"/>
          <w:szCs w:val="24"/>
          <w:lang w:val="en-GB"/>
        </w:rPr>
        <w:t>.</w:t>
      </w:r>
    </w:p>
    <w:p w14:paraId="3CFFB1C3" w14:textId="68CB3C6F" w:rsidR="00907D3E" w:rsidRPr="002C7B68" w:rsidRDefault="00907D3E" w:rsidP="0026454F">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Following EUCAST (32 mg/L) and CLSI (64 mg/L) susceptibility breakpoints</w:t>
      </w:r>
      <w:r w:rsidR="002F2406" w:rsidRPr="002C7B68">
        <w:rPr>
          <w:rFonts w:ascii="Times New Roman" w:hAnsi="Times New Roman"/>
          <w:sz w:val="24"/>
          <w:szCs w:val="24"/>
          <w:lang w:val="en-GB"/>
        </w:rPr>
        <w:t>,</w:t>
      </w:r>
      <w:r w:rsidRPr="002C7B68">
        <w:rPr>
          <w:rFonts w:ascii="Times New Roman" w:hAnsi="Times New Roman"/>
          <w:sz w:val="24"/>
          <w:szCs w:val="24"/>
          <w:lang w:val="en-GB"/>
        </w:rPr>
        <w:t xml:space="preserve"> </w:t>
      </w:r>
      <w:r w:rsidR="00D03296" w:rsidRPr="002C7B68">
        <w:rPr>
          <w:rFonts w:ascii="Times New Roman" w:hAnsi="Times New Roman"/>
          <w:sz w:val="24"/>
          <w:szCs w:val="24"/>
          <w:lang w:val="en-GB"/>
        </w:rPr>
        <w:t>the PTA were</w:t>
      </w:r>
      <w:r w:rsidRPr="002C7B68">
        <w:rPr>
          <w:rFonts w:ascii="Times New Roman" w:hAnsi="Times New Roman"/>
          <w:sz w:val="24"/>
          <w:szCs w:val="24"/>
          <w:lang w:val="en-GB"/>
        </w:rPr>
        <w:t xml:space="preserve"> 89-96% and 33-54%, respectively, for decreasing 1-log bacterial burden. </w:t>
      </w:r>
      <w:bookmarkStart w:id="10" w:name="_Hlk502317130"/>
      <w:r w:rsidRPr="002C7B68">
        <w:rPr>
          <w:rFonts w:ascii="Times New Roman" w:hAnsi="Times New Roman"/>
          <w:sz w:val="24"/>
          <w:szCs w:val="24"/>
          <w:lang w:val="en-GB"/>
        </w:rPr>
        <w:t xml:space="preserve">However, </w:t>
      </w:r>
      <w:r w:rsidR="00D03296" w:rsidRPr="002C7B68">
        <w:rPr>
          <w:rFonts w:ascii="Times New Roman" w:hAnsi="Times New Roman"/>
          <w:sz w:val="24"/>
          <w:szCs w:val="24"/>
          <w:lang w:val="en-GB"/>
        </w:rPr>
        <w:t xml:space="preserve">a PTA of </w:t>
      </w:r>
      <w:r w:rsidRPr="002C7B68">
        <w:rPr>
          <w:rFonts w:ascii="Times New Roman" w:hAnsi="Times New Roman"/>
          <w:sz w:val="24"/>
          <w:szCs w:val="24"/>
          <w:lang w:val="en-GB"/>
        </w:rPr>
        <w:t>0% was observed for bacterial resistance suppression</w:t>
      </w:r>
      <w:r w:rsidR="002D14F8" w:rsidRPr="002C7B68">
        <w:rPr>
          <w:rFonts w:ascii="Times New Roman" w:hAnsi="Times New Roman"/>
          <w:sz w:val="24"/>
          <w:szCs w:val="24"/>
          <w:lang w:val="en-GB"/>
        </w:rPr>
        <w:t xml:space="preserve"> for any of the simulated doses (4g/Q6h or 8g/Q8h)</w:t>
      </w:r>
      <w:r w:rsidRPr="002C7B68">
        <w:rPr>
          <w:rFonts w:ascii="Times New Roman" w:hAnsi="Times New Roman"/>
          <w:sz w:val="24"/>
          <w:szCs w:val="24"/>
          <w:lang w:val="en-GB"/>
        </w:rPr>
        <w:t>, irrespective</w:t>
      </w:r>
      <w:r w:rsidR="00B837EA" w:rsidRPr="002C7B68">
        <w:rPr>
          <w:rFonts w:ascii="Times New Roman" w:hAnsi="Times New Roman"/>
          <w:sz w:val="24"/>
          <w:szCs w:val="24"/>
          <w:lang w:val="en-GB"/>
        </w:rPr>
        <w:t xml:space="preserve"> of</w:t>
      </w:r>
      <w:r w:rsidRPr="002C7B68">
        <w:rPr>
          <w:rFonts w:ascii="Times New Roman" w:hAnsi="Times New Roman"/>
          <w:sz w:val="24"/>
          <w:szCs w:val="24"/>
          <w:lang w:val="en-GB"/>
        </w:rPr>
        <w:t xml:space="preserve"> the susceptibility breakpoints </w:t>
      </w:r>
      <w:r w:rsidR="00B837EA" w:rsidRPr="002C7B68">
        <w:rPr>
          <w:rFonts w:ascii="Times New Roman" w:hAnsi="Times New Roman"/>
          <w:sz w:val="24"/>
          <w:szCs w:val="24"/>
          <w:lang w:val="en-GB"/>
        </w:rPr>
        <w:t xml:space="preserve">that were </w:t>
      </w:r>
      <w:r w:rsidRPr="002C7B68">
        <w:rPr>
          <w:rFonts w:ascii="Times New Roman" w:hAnsi="Times New Roman"/>
          <w:sz w:val="24"/>
          <w:szCs w:val="24"/>
          <w:lang w:val="en-GB"/>
        </w:rPr>
        <w:t>used.</w:t>
      </w:r>
      <w:bookmarkEnd w:id="10"/>
    </w:p>
    <w:p w14:paraId="65B4A40E" w14:textId="327D621B" w:rsidR="00410719" w:rsidRPr="002C7B68" w:rsidRDefault="00410719">
      <w:pPr>
        <w:spacing w:after="0" w:line="240" w:lineRule="auto"/>
        <w:rPr>
          <w:rFonts w:ascii="Times New Roman" w:hAnsi="Times New Roman"/>
          <w:sz w:val="24"/>
          <w:szCs w:val="24"/>
          <w:lang w:val="en-GB"/>
        </w:rPr>
      </w:pPr>
      <w:r w:rsidRPr="002C7B68">
        <w:rPr>
          <w:rFonts w:ascii="Times New Roman" w:hAnsi="Times New Roman"/>
          <w:sz w:val="24"/>
          <w:szCs w:val="24"/>
          <w:lang w:val="en-GB"/>
        </w:rPr>
        <w:br w:type="page"/>
      </w:r>
    </w:p>
    <w:p w14:paraId="5E069E3A" w14:textId="77777777" w:rsidR="0053456C" w:rsidRPr="002C7B68" w:rsidRDefault="001D765E" w:rsidP="00372CB6">
      <w:pPr>
        <w:autoSpaceDE w:val="0"/>
        <w:autoSpaceDN w:val="0"/>
        <w:adjustRightInd w:val="0"/>
        <w:spacing w:after="0" w:line="480" w:lineRule="auto"/>
        <w:jc w:val="both"/>
        <w:rPr>
          <w:rFonts w:ascii="Times New Roman" w:hAnsi="Times New Roman"/>
          <w:b/>
          <w:sz w:val="24"/>
          <w:szCs w:val="24"/>
          <w:lang w:val="en-GB"/>
        </w:rPr>
      </w:pPr>
      <w:r w:rsidRPr="002C7B68">
        <w:rPr>
          <w:rFonts w:ascii="Times New Roman" w:hAnsi="Times New Roman"/>
          <w:b/>
          <w:sz w:val="24"/>
          <w:szCs w:val="24"/>
          <w:lang w:val="en-GB"/>
        </w:rPr>
        <w:lastRenderedPageBreak/>
        <w:t>DISCUSSION</w:t>
      </w:r>
    </w:p>
    <w:p w14:paraId="1D48B824" w14:textId="53663833" w:rsidR="005A158C" w:rsidRPr="00520DB0" w:rsidRDefault="00D95395" w:rsidP="007C32E4">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 xml:space="preserve">The global threat of multidrug resistant bacteria together with the </w:t>
      </w:r>
      <w:r w:rsidR="005A158C" w:rsidRPr="002C7B68">
        <w:rPr>
          <w:rFonts w:ascii="Times New Roman" w:hAnsi="Times New Roman"/>
          <w:sz w:val="24"/>
          <w:szCs w:val="24"/>
          <w:lang w:val="en-GB"/>
        </w:rPr>
        <w:t xml:space="preserve">paucity </w:t>
      </w:r>
      <w:r w:rsidRPr="002C7B68">
        <w:rPr>
          <w:rFonts w:ascii="Times New Roman" w:hAnsi="Times New Roman"/>
          <w:sz w:val="24"/>
          <w:szCs w:val="24"/>
          <w:lang w:val="en-GB"/>
        </w:rPr>
        <w:t xml:space="preserve">of new active antimicrobials has </w:t>
      </w:r>
      <w:r w:rsidR="005A158C" w:rsidRPr="002C7B68">
        <w:rPr>
          <w:rFonts w:ascii="Times New Roman" w:hAnsi="Times New Roman"/>
          <w:sz w:val="24"/>
          <w:szCs w:val="24"/>
          <w:lang w:val="en-GB"/>
        </w:rPr>
        <w:t>generated renewed interest in old drugs such as</w:t>
      </w:r>
      <w:r w:rsidR="003C631D" w:rsidRPr="002C7B68">
        <w:rPr>
          <w:rFonts w:ascii="Times New Roman" w:hAnsi="Times New Roman"/>
          <w:sz w:val="24"/>
          <w:szCs w:val="24"/>
          <w:lang w:val="en-GB"/>
        </w:rPr>
        <w:t xml:space="preserve"> fosfomycin.</w:t>
      </w:r>
      <w:r w:rsidR="008E1E61" w:rsidRPr="002C7B68">
        <w:rPr>
          <w:rFonts w:ascii="Times New Roman" w:hAnsi="Times New Roman"/>
          <w:sz w:val="24"/>
          <w:szCs w:val="24"/>
          <w:lang w:val="en-GB"/>
        </w:rPr>
        <w:t xml:space="preserve"> </w:t>
      </w:r>
      <w:r w:rsidR="005A158C" w:rsidRPr="002C7B68">
        <w:rPr>
          <w:rFonts w:ascii="Times New Roman" w:hAnsi="Times New Roman"/>
          <w:sz w:val="24"/>
          <w:szCs w:val="24"/>
          <w:lang w:val="en-GB"/>
        </w:rPr>
        <w:t>T</w:t>
      </w:r>
      <w:r w:rsidRPr="002C7B68">
        <w:rPr>
          <w:rFonts w:ascii="Times New Roman" w:hAnsi="Times New Roman"/>
          <w:sz w:val="24"/>
          <w:szCs w:val="24"/>
          <w:lang w:val="en-GB"/>
        </w:rPr>
        <w:t>he World Health Organization</w:t>
      </w:r>
      <w:r w:rsidR="001F456C" w:rsidRPr="002C7B68">
        <w:rPr>
          <w:rFonts w:ascii="Times New Roman" w:hAnsi="Times New Roman"/>
          <w:sz w:val="24"/>
          <w:szCs w:val="24"/>
          <w:lang w:val="en-GB"/>
        </w:rPr>
        <w:t xml:space="preserve"> </w:t>
      </w:r>
      <w:r w:rsidR="005A158C" w:rsidRPr="002C7B68">
        <w:rPr>
          <w:rFonts w:ascii="Times New Roman" w:hAnsi="Times New Roman"/>
          <w:sz w:val="24"/>
          <w:szCs w:val="24"/>
          <w:lang w:val="en-GB"/>
        </w:rPr>
        <w:t xml:space="preserve">has </w:t>
      </w:r>
      <w:r w:rsidR="001F456C" w:rsidRPr="002C7B68">
        <w:rPr>
          <w:rFonts w:ascii="Times New Roman" w:hAnsi="Times New Roman"/>
          <w:sz w:val="24"/>
          <w:szCs w:val="24"/>
          <w:lang w:val="en-GB"/>
        </w:rPr>
        <w:t>included</w:t>
      </w:r>
      <w:r w:rsidR="002A2B0C" w:rsidRPr="002C7B68">
        <w:rPr>
          <w:rFonts w:ascii="Times New Roman" w:hAnsi="Times New Roman"/>
          <w:sz w:val="24"/>
          <w:szCs w:val="24"/>
          <w:lang w:val="en-GB"/>
        </w:rPr>
        <w:t xml:space="preserve"> fosfomycin</w:t>
      </w:r>
      <w:r w:rsidR="001F456C" w:rsidRPr="002C7B68">
        <w:rPr>
          <w:rFonts w:ascii="Times New Roman" w:hAnsi="Times New Roman"/>
          <w:sz w:val="24"/>
          <w:szCs w:val="24"/>
          <w:lang w:val="en-GB"/>
        </w:rPr>
        <w:t xml:space="preserve"> in “</w:t>
      </w:r>
      <w:r w:rsidR="00D4032D" w:rsidRPr="002C7B68">
        <w:rPr>
          <w:rFonts w:ascii="Times New Roman" w:hAnsi="Times New Roman"/>
          <w:sz w:val="24"/>
          <w:szCs w:val="24"/>
          <w:lang w:val="en-GB"/>
        </w:rPr>
        <w:t xml:space="preserve">Group 3 - </w:t>
      </w:r>
      <w:r w:rsidR="001F456C" w:rsidRPr="002C7B68">
        <w:rPr>
          <w:rFonts w:ascii="Times New Roman" w:hAnsi="Times New Roman"/>
          <w:sz w:val="24"/>
          <w:szCs w:val="24"/>
          <w:lang w:val="en-GB"/>
        </w:rPr>
        <w:t>Reserve Group Antibiotics”</w:t>
      </w:r>
      <w:r w:rsidR="002F68F9" w:rsidRPr="002C7B68">
        <w:rPr>
          <w:rFonts w:ascii="Times New Roman" w:hAnsi="Times New Roman"/>
          <w:sz w:val="24"/>
          <w:szCs w:val="24"/>
          <w:lang w:val="en-GB"/>
        </w:rPr>
        <w:t xml:space="preserve"> </w:t>
      </w:r>
      <w:r w:rsidR="002F68F9" w:rsidRPr="00520DB0">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"URL" : "http://www.who.int/medicines/publications/essentialmedicines/20th_EML2017.pdf?ua=1", "author" : [ { "dropping-particle" : "", "family" : "World_Health_Organization", "given" : "", "non-dropping-particle" : "", "parse-names" : false, "suffix" : "" } ], "id" : "ITEM-1", "issued" : { "date-parts" : [ [ "0" ] ] }, "title" : "WHO model list of essential medicines", "type" : "webpage" }, "uris" : [ "http://www.mendeley.com/documents/?uuid=757b573a-acfe-4344-a55d-3986fd611d23" ] } ], "mendeley" : { "formattedCitation" : "[21]", "plainTextFormattedCitation" : "[21]", "previouslyFormattedCitation" : "[21]" }, "properties" : {  }, "schema" : "https://github.com/citation-style-language/schema/raw/master/csl-citation.json" }</w:instrText>
      </w:r>
      <w:r w:rsidR="002F68F9" w:rsidRPr="00520DB0">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[21]</w:t>
      </w:r>
      <w:r w:rsidR="002F68F9" w:rsidRPr="00520DB0">
        <w:rPr>
          <w:rFonts w:ascii="Times New Roman" w:hAnsi="Times New Roman"/>
          <w:sz w:val="24"/>
          <w:szCs w:val="24"/>
          <w:lang w:val="en-GB"/>
        </w:rPr>
        <w:fldChar w:fldCharType="end"/>
      </w:r>
      <w:r w:rsidR="001F456C" w:rsidRPr="00520DB0">
        <w:rPr>
          <w:rFonts w:ascii="Times New Roman" w:hAnsi="Times New Roman"/>
          <w:sz w:val="24"/>
          <w:szCs w:val="24"/>
          <w:lang w:val="en-GB"/>
        </w:rPr>
        <w:t>.</w:t>
      </w:r>
      <w:r w:rsidR="00071AA9" w:rsidRPr="00520DB0">
        <w:rPr>
          <w:rFonts w:ascii="Times New Roman" w:hAnsi="Times New Roman"/>
          <w:sz w:val="24"/>
          <w:szCs w:val="24"/>
          <w:lang w:val="en-GB"/>
        </w:rPr>
        <w:t xml:space="preserve"> </w:t>
      </w:r>
      <w:r w:rsidR="00D4032D" w:rsidRPr="00520DB0">
        <w:rPr>
          <w:rFonts w:ascii="Times New Roman" w:hAnsi="Times New Roman"/>
          <w:sz w:val="24"/>
          <w:szCs w:val="24"/>
          <w:lang w:val="en-GB"/>
        </w:rPr>
        <w:t xml:space="preserve">This group includes antibiotics that should be </w:t>
      </w:r>
      <w:r w:rsidR="005A158C" w:rsidRPr="00520DB0">
        <w:rPr>
          <w:rFonts w:ascii="Times New Roman" w:hAnsi="Times New Roman"/>
          <w:sz w:val="24"/>
          <w:szCs w:val="24"/>
          <w:lang w:val="en-GB"/>
        </w:rPr>
        <w:t xml:space="preserve">reserved </w:t>
      </w:r>
      <w:r w:rsidR="00D4032D" w:rsidRPr="00520DB0">
        <w:rPr>
          <w:rFonts w:ascii="Times New Roman" w:hAnsi="Times New Roman"/>
          <w:sz w:val="24"/>
          <w:szCs w:val="24"/>
          <w:lang w:val="en-GB"/>
        </w:rPr>
        <w:t xml:space="preserve">as </w:t>
      </w:r>
      <w:r w:rsidR="005A158C" w:rsidRPr="00520DB0">
        <w:rPr>
          <w:rFonts w:ascii="Times New Roman" w:hAnsi="Times New Roman"/>
          <w:sz w:val="24"/>
          <w:szCs w:val="24"/>
          <w:lang w:val="en-GB"/>
        </w:rPr>
        <w:t xml:space="preserve">options of </w:t>
      </w:r>
      <w:r w:rsidR="00D4032D" w:rsidRPr="00520DB0">
        <w:rPr>
          <w:rFonts w:ascii="Times New Roman" w:hAnsi="Times New Roman"/>
          <w:sz w:val="24"/>
          <w:szCs w:val="24"/>
          <w:lang w:val="en-GB"/>
        </w:rPr>
        <w:t>“last resort”</w:t>
      </w:r>
      <w:r w:rsidR="00B837EA" w:rsidRPr="00520DB0">
        <w:rPr>
          <w:rFonts w:ascii="Times New Roman" w:hAnsi="Times New Roman"/>
          <w:sz w:val="24"/>
          <w:szCs w:val="24"/>
          <w:lang w:val="en-GB"/>
        </w:rPr>
        <w:t>.  Such agents</w:t>
      </w:r>
      <w:r w:rsidR="00D4032D" w:rsidRPr="00520DB0">
        <w:rPr>
          <w:rFonts w:ascii="Times New Roman" w:hAnsi="Times New Roman"/>
          <w:sz w:val="24"/>
          <w:szCs w:val="24"/>
          <w:lang w:val="en-GB"/>
        </w:rPr>
        <w:t xml:space="preserve"> should be </w:t>
      </w:r>
      <w:r w:rsidR="00B837EA" w:rsidRPr="00520DB0">
        <w:rPr>
          <w:rFonts w:ascii="Times New Roman" w:hAnsi="Times New Roman"/>
          <w:sz w:val="24"/>
          <w:szCs w:val="24"/>
          <w:lang w:val="en-GB"/>
        </w:rPr>
        <w:t xml:space="preserve">widely </w:t>
      </w:r>
      <w:r w:rsidR="00D4032D" w:rsidRPr="00520DB0">
        <w:rPr>
          <w:rFonts w:ascii="Times New Roman" w:hAnsi="Times New Roman"/>
          <w:sz w:val="24"/>
          <w:szCs w:val="24"/>
          <w:lang w:val="en-GB"/>
        </w:rPr>
        <w:t xml:space="preserve">accessible, but </w:t>
      </w:r>
      <w:r w:rsidR="00B837EA" w:rsidRPr="00520DB0">
        <w:rPr>
          <w:rFonts w:ascii="Times New Roman" w:hAnsi="Times New Roman"/>
          <w:sz w:val="24"/>
          <w:szCs w:val="24"/>
          <w:lang w:val="en-GB"/>
        </w:rPr>
        <w:t xml:space="preserve">their </w:t>
      </w:r>
      <w:r w:rsidR="00D4032D" w:rsidRPr="00520DB0">
        <w:rPr>
          <w:rFonts w:ascii="Times New Roman" w:hAnsi="Times New Roman"/>
          <w:sz w:val="24"/>
          <w:szCs w:val="24"/>
          <w:lang w:val="en-GB"/>
        </w:rPr>
        <w:t>use should be tailored to highly specific patients and settings, when all alternatives have failed (e.g., serious, life-threatening infections due to multi-drug resistant bacteria).</w:t>
      </w:r>
      <w:r w:rsidRPr="00520DB0">
        <w:rPr>
          <w:rFonts w:ascii="Times New Roman" w:hAnsi="Times New Roman"/>
          <w:sz w:val="24"/>
          <w:szCs w:val="24"/>
          <w:lang w:val="en-GB"/>
        </w:rPr>
        <w:t xml:space="preserve"> </w:t>
      </w:r>
      <w:r w:rsidR="002A2B0C" w:rsidRPr="00520DB0">
        <w:rPr>
          <w:rFonts w:ascii="Times New Roman" w:hAnsi="Times New Roman"/>
          <w:sz w:val="24"/>
          <w:szCs w:val="24"/>
          <w:lang w:val="en-GB"/>
        </w:rPr>
        <w:t>However, due to lack of clinical interest in fosfomycin in the past</w:t>
      </w:r>
      <w:r w:rsidR="00410719" w:rsidRPr="00520DB0">
        <w:rPr>
          <w:rFonts w:ascii="Times New Roman" w:hAnsi="Times New Roman"/>
          <w:sz w:val="24"/>
          <w:szCs w:val="24"/>
          <w:lang w:val="en-GB"/>
        </w:rPr>
        <w:t xml:space="preserve"> decades</w:t>
      </w:r>
      <w:r w:rsidR="002A2B0C" w:rsidRPr="00520DB0">
        <w:rPr>
          <w:rFonts w:ascii="Times New Roman" w:hAnsi="Times New Roman"/>
          <w:sz w:val="24"/>
          <w:szCs w:val="24"/>
          <w:lang w:val="en-GB"/>
        </w:rPr>
        <w:t xml:space="preserve">, many questions regarding the pharmacokinetic and pharmacodynamic of this drug, </w:t>
      </w:r>
      <w:r w:rsidR="00D034FC" w:rsidRPr="00520DB0">
        <w:rPr>
          <w:rFonts w:ascii="Times New Roman" w:hAnsi="Times New Roman"/>
          <w:sz w:val="24"/>
          <w:szCs w:val="24"/>
          <w:lang w:val="en-GB"/>
        </w:rPr>
        <w:t xml:space="preserve">and therefore appropriate dosing, </w:t>
      </w:r>
      <w:r w:rsidR="002A2B0C" w:rsidRPr="00520DB0">
        <w:rPr>
          <w:rFonts w:ascii="Times New Roman" w:hAnsi="Times New Roman"/>
          <w:sz w:val="24"/>
          <w:szCs w:val="24"/>
          <w:lang w:val="en-GB"/>
        </w:rPr>
        <w:t xml:space="preserve">remain </w:t>
      </w:r>
      <w:r w:rsidR="00402434" w:rsidRPr="00520DB0">
        <w:rPr>
          <w:rFonts w:ascii="Times New Roman" w:hAnsi="Times New Roman"/>
          <w:sz w:val="24"/>
          <w:szCs w:val="24"/>
          <w:lang w:val="en-GB"/>
        </w:rPr>
        <w:t>unanswered</w:t>
      </w:r>
      <w:r w:rsidR="002A2B0C" w:rsidRPr="00520DB0">
        <w:rPr>
          <w:rFonts w:ascii="Times New Roman" w:hAnsi="Times New Roman"/>
          <w:sz w:val="24"/>
          <w:szCs w:val="24"/>
          <w:lang w:val="en-GB"/>
        </w:rPr>
        <w:t>.</w:t>
      </w:r>
      <w:r w:rsidR="008E1E61" w:rsidRPr="00520DB0">
        <w:rPr>
          <w:rFonts w:ascii="Times New Roman" w:hAnsi="Times New Roman"/>
          <w:sz w:val="24"/>
          <w:szCs w:val="24"/>
          <w:lang w:val="en-GB"/>
        </w:rPr>
        <w:t xml:space="preserve"> </w:t>
      </w:r>
    </w:p>
    <w:p w14:paraId="3EF0FB8D" w14:textId="77447960" w:rsidR="00D428E1" w:rsidRPr="002C7B68" w:rsidRDefault="002A2B0C" w:rsidP="005D5239">
      <w:pPr>
        <w:autoSpaceDE w:val="0"/>
        <w:autoSpaceDN w:val="0"/>
        <w:adjustRightInd w:val="0"/>
        <w:spacing w:after="0" w:line="480" w:lineRule="auto"/>
        <w:ind w:firstLine="708"/>
        <w:jc w:val="both"/>
        <w:rPr>
          <w:rFonts w:ascii="Times New Roman" w:hAnsi="Times New Roman"/>
          <w:sz w:val="24"/>
          <w:szCs w:val="24"/>
          <w:lang w:val="en-GB"/>
        </w:rPr>
      </w:pPr>
      <w:r w:rsidRPr="00520DB0">
        <w:rPr>
          <w:rFonts w:ascii="Times New Roman" w:hAnsi="Times New Roman"/>
          <w:sz w:val="24"/>
          <w:szCs w:val="24"/>
          <w:lang w:val="en-GB"/>
        </w:rPr>
        <w:t>One of the main finding</w:t>
      </w:r>
      <w:r w:rsidR="005A158C" w:rsidRPr="00520DB0">
        <w:rPr>
          <w:rFonts w:ascii="Times New Roman" w:hAnsi="Times New Roman"/>
          <w:sz w:val="24"/>
          <w:szCs w:val="24"/>
          <w:lang w:val="en-GB"/>
        </w:rPr>
        <w:t>s</w:t>
      </w:r>
      <w:r w:rsidRPr="00520DB0">
        <w:rPr>
          <w:rFonts w:ascii="Times New Roman" w:hAnsi="Times New Roman"/>
          <w:sz w:val="24"/>
          <w:szCs w:val="24"/>
          <w:lang w:val="en-GB"/>
        </w:rPr>
        <w:t xml:space="preserve"> of the present work is the high variability</w:t>
      </w:r>
      <w:r w:rsidR="005D5239" w:rsidRPr="00520DB0">
        <w:rPr>
          <w:rFonts w:ascii="Times New Roman" w:hAnsi="Times New Roman"/>
          <w:sz w:val="24"/>
          <w:szCs w:val="24"/>
          <w:lang w:val="en-GB"/>
        </w:rPr>
        <w:t xml:space="preserve"> </w:t>
      </w:r>
      <w:r w:rsidR="00771BED" w:rsidRPr="00520DB0">
        <w:rPr>
          <w:rFonts w:ascii="Times New Roman" w:hAnsi="Times New Roman"/>
          <w:sz w:val="24"/>
          <w:szCs w:val="24"/>
          <w:lang w:val="en-GB"/>
        </w:rPr>
        <w:t xml:space="preserve">observed </w:t>
      </w:r>
      <w:r w:rsidR="005A158C" w:rsidRPr="00520DB0">
        <w:rPr>
          <w:rFonts w:ascii="Times New Roman" w:hAnsi="Times New Roman"/>
          <w:sz w:val="24"/>
          <w:szCs w:val="24"/>
          <w:lang w:val="en-GB"/>
        </w:rPr>
        <w:t>in</w:t>
      </w:r>
      <w:r w:rsidR="003D5B7C" w:rsidRPr="00520DB0">
        <w:rPr>
          <w:rFonts w:ascii="Times New Roman" w:hAnsi="Times New Roman"/>
          <w:sz w:val="24"/>
          <w:szCs w:val="24"/>
          <w:lang w:val="en-GB"/>
        </w:rPr>
        <w:t xml:space="preserve"> </w:t>
      </w:r>
      <w:r w:rsidR="00D03296" w:rsidRPr="00520DB0">
        <w:rPr>
          <w:rFonts w:ascii="Times New Roman" w:hAnsi="Times New Roman"/>
          <w:sz w:val="24"/>
          <w:szCs w:val="24"/>
          <w:lang w:val="en-GB"/>
        </w:rPr>
        <w:t xml:space="preserve">fosfomycin concentration achieved in patients with B-UTI, who were mostly </w:t>
      </w:r>
      <w:r w:rsidR="00B837EA" w:rsidRPr="00520DB0">
        <w:rPr>
          <w:rFonts w:ascii="Times New Roman" w:hAnsi="Times New Roman"/>
          <w:sz w:val="24"/>
          <w:szCs w:val="24"/>
          <w:lang w:val="en-GB"/>
        </w:rPr>
        <w:t xml:space="preserve">not </w:t>
      </w:r>
      <w:r w:rsidR="003D5B7C" w:rsidRPr="00520DB0">
        <w:rPr>
          <w:rFonts w:ascii="Times New Roman" w:hAnsi="Times New Roman"/>
          <w:sz w:val="24"/>
          <w:szCs w:val="24"/>
          <w:lang w:val="en-GB"/>
        </w:rPr>
        <w:t>critically ill</w:t>
      </w:r>
      <w:r w:rsidR="0058080D" w:rsidRPr="00520DB0">
        <w:rPr>
          <w:rFonts w:ascii="Times New Roman" w:hAnsi="Times New Roman"/>
          <w:sz w:val="24"/>
          <w:szCs w:val="24"/>
          <w:lang w:val="en-GB"/>
        </w:rPr>
        <w:t xml:space="preserve">, compared to </w:t>
      </w:r>
      <w:r w:rsidR="0032718C" w:rsidRPr="00520DB0">
        <w:rPr>
          <w:rFonts w:ascii="Times New Roman" w:hAnsi="Times New Roman"/>
          <w:sz w:val="24"/>
          <w:szCs w:val="24"/>
          <w:lang w:val="en-GB"/>
        </w:rPr>
        <w:t xml:space="preserve">other previous </w:t>
      </w:r>
      <w:r w:rsidR="001144C1" w:rsidRPr="00520DB0">
        <w:rPr>
          <w:rFonts w:ascii="Times New Roman" w:hAnsi="Times New Roman"/>
          <w:sz w:val="24"/>
          <w:szCs w:val="24"/>
          <w:lang w:val="en-GB"/>
        </w:rPr>
        <w:t xml:space="preserve">data </w:t>
      </w:r>
      <w:r w:rsidR="0032718C" w:rsidRPr="00520DB0">
        <w:rPr>
          <w:rFonts w:ascii="Times New Roman" w:hAnsi="Times New Roman"/>
          <w:sz w:val="24"/>
          <w:szCs w:val="24"/>
          <w:lang w:val="en-GB"/>
        </w:rPr>
        <w:t>from healthy subjects</w:t>
      </w:r>
      <w:r w:rsidR="0058080D" w:rsidRPr="00520DB0">
        <w:rPr>
          <w:rFonts w:ascii="Times New Roman" w:hAnsi="Times New Roman"/>
          <w:sz w:val="24"/>
          <w:szCs w:val="24"/>
          <w:lang w:val="en-GB"/>
        </w:rPr>
        <w:t xml:space="preserve"> and also from</w:t>
      </w:r>
      <w:r w:rsidR="00F240E8" w:rsidRPr="00520DB0">
        <w:rPr>
          <w:rFonts w:ascii="Times New Roman" w:hAnsi="Times New Roman"/>
          <w:sz w:val="24"/>
          <w:szCs w:val="24"/>
          <w:lang w:val="en-GB"/>
        </w:rPr>
        <w:t xml:space="preserve"> </w:t>
      </w:r>
      <w:r w:rsidR="0032718C" w:rsidRPr="00520DB0">
        <w:rPr>
          <w:rFonts w:ascii="Times New Roman" w:hAnsi="Times New Roman"/>
          <w:sz w:val="24"/>
          <w:szCs w:val="24"/>
          <w:lang w:val="en-GB"/>
        </w:rPr>
        <w:t xml:space="preserve">non-critically ill patients, </w:t>
      </w:r>
      <w:r w:rsidR="001144C1" w:rsidRPr="00520DB0">
        <w:rPr>
          <w:rFonts w:ascii="Times New Roman" w:hAnsi="Times New Roman"/>
          <w:sz w:val="24"/>
          <w:szCs w:val="24"/>
          <w:lang w:val="en-GB"/>
        </w:rPr>
        <w:t>using higher dosages (8g Q8h)</w:t>
      </w:r>
      <w:r w:rsidR="008077D3" w:rsidRPr="00520DB0">
        <w:rPr>
          <w:rFonts w:ascii="Times New Roman" w:hAnsi="Times New Roman"/>
          <w:sz w:val="24"/>
          <w:szCs w:val="24"/>
          <w:lang w:val="en-GB"/>
        </w:rPr>
        <w:t xml:space="preserve"> </w:t>
      </w:r>
      <w:r w:rsidR="0032718C" w:rsidRPr="00520DB0">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"DOI" : "10.1128/AAC.49.11.4448-4454.2005", "ISSN" : "0066-4804", "abstract" : "The present study was performed to evaluate the ability of fosfomycin, a broad-spectrum antibiotic, to penetrate into abscess fluid. Twelve patients scheduled for surgical or computer tomography-guided abscess drainage received a single intravenous dose of 8 g of fosfomycin. The fosfomycin concentrations in plasma over time and in pus upon drainage were determined. A pharmacokinetic model was developed to estimate the concentration-time profile of fosfomycin in pus. Individual fosfomycin concentrations in abscess fluid at drainage varied substantially, ranging from below the limit of detection up to 168 mg/liter. The fosfomycin concentrations in pus of the study population correlated neither with plasma levels nor with the individual ratios of abscess surface area to volume. This finding was attributed to highly variable abscess permeability. The average concentration in pus was calculated to be 182 \u00b1 64 mg/liter at steady state, exceeding the MIC(50/90)s of several bacterial species which are commonly involved in abscess formation, such as streptococci, staphylococci, and Escherichia coli. Hereby, the exceptionally long mean half-life of fosfomycin of 32 \u00b1 39 h in abscess fluid may favor its antimicrobial effect because fosfomycin exerts time-dependent killing. After an initial loading dose of 10 to 12 g, fosfomycin should be administered at doses of 8 g three times per day to reach sufficient concentrations in abscess fluid and plasma. Applying this dosing regimen, fosfomycin levels in abscess fluid are expected to be effective after multiple doses in most patients. ", "author" : [ { "dropping-particle" : "", "family" : "Sauermann", "given" : "Robert", "non-dropping-particle" : "", "parse-names" : false, "suffix" : "" }, { "dropping-particle" : "", "family" : "Karch", "given" : "Rudolf", "non-dropping-particle" : "", "parse-names" : false, "suffix" : "" }, { "dropping-particle" : "", "family" : "Langenberger", "given" : "Herbert", "non-dropping-particle" : "", "parse-names" : false, "suffix" : "" }, { "dropping-particle" : "", "family" : "Kettenbach", "given" : "Joachim", "non-dropping-particle" : "", "parse-names" : false, "suffix" : "" }, { "dropping-particle" : "", "family" : "Mayer-Helm", "given" : "Bernhard", "non-dropping-particle" : "", "parse-names" : false, "suffix" : "" }, { "dropping-particle" : "", "family" : "Petsch", "given" : "Martina", "non-dropping-particle" : "", "parse-names" : false, "suffix" : "" }, { "dropping-particle" : "", "family" : "Wagner", "given" : "Claudia", "non-dropping-particle" : "", "parse-names" : false, "suffix" : "" }, { "dropping-particle" : "", "family" : "Sautner", "given" : "Thomas", "non-dropping-particle" : "", "parse-names" : false, "suffix" : "" }, { "dropping-particle" : "", "family" : "Gattringer", "given" : "Rainer", "non-dropping-particle" : "", "parse-names" : false, "suffix" : "" }, { "dropping-particle" : "", "family" : "Karanikas", "given" : "Georgios", "non-dropping-particle" : "", "parse-names" : false, "suffix" : "" }, { "dropping-particle" : "", "family" : "Joukhadar", "given" : "Christian", "non-dropping-particle" : "", "parse-names" : false, "suffix" : "" } ], "container-title" : "Antimicrobial Agents and Chemotherapy", "id" : "ITEM-1", "issue" : "11", "issued" : { "date-parts" : [ [ "2005", "11" ] ] }, "page" : "4448-4454", "publisher" : "American Society for Microbiology", "title" : "Antibiotic Abscess Penetration: Fosfomycin Levels Measured in Pus and Simulated Concentration-Time Profiles", "type" : "article-journal", "volume" : "49" }, "uris" : [ "http://www.mendeley.com/documents/?uuid=9a2cb230-dabc-4a44-8654-d5c1e647b85e" ] }, { "id" : "ITEM-2", "itemData" : { "ISSN" : "0305-7453", "abstract" : "Objective: The present study was performed to test the ability of fosfomycin to penetrate into the CSF of neurointensive care patients with ventriculostomy-associated ventriculitis.Patients and methods: Six patients requiring neurointensive care monitoring, including extraventricular drainage due to secondary obstructive hydrocephalus, were enrolled into the study. All patients received 8 g of fosfomycin intravenously three times a day over a period of at least 5 days. Concentrations of fosfomycin in the CSF and plasma were measured after single-dose administration and at steady state.Results: Mean values of the fosfomycin area under the time\u2013concentration curves for the dosing interval of     8 h (AUC8) were 929 \u00b1 280 and 225 \u00b1 131 mg\u00b7h/L for plasma and CSF after single-dose administration, respectively (P &amp;lt; 0.03). The ratios of the AUC8 for CSF to the AUC8 for plasma were 0.23 \u00b1 0.07 after a single dose and 0.27 \u00b1 0.08 following multiple doses (P &amp;gt; 0.05, not significant). Additional in vitro experiments have shown that fosfomycin exerts non-concentration-dependent microbial growth inhibition. At steady state, the time above MIC (t &amp;gt; MIC) values were 98%, 92% and 61% for pathogens with MIC values of 8, 16 and 32 mg/L, respectively.Conclusion: The present pharmacokinetic study indicates that 8 g of fosfomycin three times per day should provide sufficient antimicrobial concentrations in the CSF for the overall treatment period. Thus, the                   co-administration of fosfomycin could be useful for the treatment of ventriculitis caused by susceptible pathogens.", "author" : [ { "dropping-particle" : "", "family" : "Pfausler", "given" : "Bettina", "non-dropping-particle" : "", "parse-names" : false, "suffix" : "" }, { "dropping-particle" : "", "family" : "Spiss", "given" : "Heinrich", "non-dropping-particle" : "", "parse-names" : false, "suffix" : "" }, { "dropping-particle" : "", "family" : "Dittrich", "given" : "Peter", "non-dropping-particle" : "", "parse-names" : false, "suffix" : "" }, { "dropping-particle" : "", "family" : "Zeitlinger", "given" : "Markus", "non-dropping-particle" : "", "parse-names" : false, "suffix" : "" }, { "dropping-particle" : "", "family" : "Schmutzhard", "given" : "Erich", "non-dropping-particle" : "", "parse-names" : false, "suffix" : "" }, { "dropping-particle" : "", "family" : "Joukhadar", "given" : "Christian", "non-dropping-particle" : "", "parse-names" : false, "suffix" : "" } ], "container-title" : "Journal of Antimicrobial Chemotherapy", "id" : "ITEM-2", "issue" : "5", "issued" : { "date-parts" : [ [ "2004", "5" ] ] }, "page" : "848-852", "title" : "Concentrations of fosfomycin in the cerebrospinal fluid of neurointensive care patients with ventriculostomy-associated ventriculitis", "type" : "article-journal", "volume" : "53" }, "uris" : [ "http://www.mendeley.com/documents/?uuid=fd30b25a-fc2f-4e22-ab9b-ef44eddcf221" ] }, { "id" : "ITEM-3", "itemData" : { "DOI" : "10.1128/AAC.00775-17", "ISSN" : "1098-6596", "PMID" : "28630194", "abstract" : "The pharmacokinetics, safety, and tolerability of intravenous (IV) fosfomycin disodium (ZTI-01) and oral fosfomycin tromethamine were evaluated after a single dose in 28 healthy adult subjects. Subjects received a single 1 hour IV infusion of 1 g and 8 g fosfomycin disodium and a single dose of 3 g oral fosfomycin tromethamine in a phase I, randomized, open-label, three-period crossover study. Serial blood and urine samples were collected before and up to 48 hours after dosing. The mean pharmacokinetic parameters \u00b1 standard deviations of fosfomycin in plasma after 1 g and 8 g IV were: Cmax= 44.3 \u00b1 7.6 and 370 \u00b1 61.9 \u03bcg/mL, Tmax= 1.1 \u00b1 0.05 and 1.08 \u00b1 0.01 h, Vd= 29.7 \u00b1 5.7 and 31.5 \u00b1 10.4 liters, CL= 8.7 \u00b1 1.7 and 7.8 \u00b1 1.4 liters/h, CLR= 6.6 \u00b1 1.9 and 6.3 \u00b1 1.6 liters/h, AUC0-\u221e= 120 \u00b1 28.5 and 1060 \u00b1 192 \u03bcg\u22c5h/mL, and t1/2= 2.4 \u00b1 0.4 and 2.8 \u00b1 0.6 h, respectively. After oral administration the parameters were: Cmax= 26.8 \u00b1 6.4 \u03bcg/mL, Tmax= 2.25 \u00b1 0.4 h, Vd/F= 204 \u00b1 70.7 liters, CL/F= 17 \u00b1 4.7 liters/h, CLR= 6.5 \u00b1 1.8 liters/h, AUC0-\u221e= 191 \u00b1 57.6 \u03bcg\u22c5h/mL, and t1/2= 9.04 \u00b1 4.5 h, respectively. The percent relative bioavailability of orally administered fosfomycin was 52.8% in relation to the 1 g IV dose. Approximately 74% and 80% of the 1 g and 8 g IV doses were excreted unchanged in the urine by 48 hours, compared to 37% after oral administration, with the majority of this excretion occurring by 12 hours regardless of dosage form. No new safety concerns were identified during this study. The results of this study support further investigation of IV fosfomycin in the target patient population, including patients with complicated urinary tract infections and pyelonephritis.", "author" : [ { "dropping-particle" : "", "family" : "Wenzler", "given" : "E", "non-dropping-particle" : "", "parse-names" : false, "suffix" : "" }, { "dropping-particle" : "", "family" : "Ellis-Grosse", "given" : "E J", "non-dropping-particle" : "", "parse-names" : false, "suffix" : "" }, { "dropping-particle" : "", "family" : "Rodvold", "given" : "K A", "non-dropping-particle" : "", "parse-names" : false, "suffix" : "" } ], "container-title" : "Antimicrobial agents and chemotherapy", "id" : "ITEM-3", "issued" : { "date-parts" : [ [ "2017", "6", "19" ] ] }, "title" : "Pharmacokinetics, Safety, and Tolerability of Single Dose Intravenous (ZTI-01) and Oral Fosfomycin in Healthy Volunteers.", "type" : "article-journal" }, "uris" : [ "http://www.mendeley.com/documents/?uuid=0d1ac7ac-7d72-4cdc-9271-8f380f3e7fce" ] } ], "mendeley" : { "formattedCitation" : "[9,22,23]", "plainTextFormattedCitation" : "[9,22,23]", "previouslyFormattedCitation" : "[9,22,23]" }, "properties" : {  }, "schema" : "https://github.com/citation-style-language/schema/raw/master/csl-citation.json" }</w:instrText>
      </w:r>
      <w:r w:rsidR="0032718C" w:rsidRPr="00520DB0">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[9,22,23]</w:t>
      </w:r>
      <w:r w:rsidR="0032718C" w:rsidRPr="00520DB0">
        <w:rPr>
          <w:rFonts w:ascii="Times New Roman" w:hAnsi="Times New Roman"/>
          <w:sz w:val="24"/>
          <w:szCs w:val="24"/>
          <w:lang w:val="en-GB"/>
        </w:rPr>
        <w:fldChar w:fldCharType="end"/>
      </w:r>
      <w:r w:rsidR="001144C1" w:rsidRPr="00520DB0">
        <w:rPr>
          <w:rFonts w:ascii="Times New Roman" w:hAnsi="Times New Roman"/>
          <w:sz w:val="24"/>
          <w:szCs w:val="24"/>
          <w:lang w:val="en-GB"/>
        </w:rPr>
        <w:t>.</w:t>
      </w:r>
      <w:r w:rsidR="00B05221" w:rsidRPr="00520DB0">
        <w:rPr>
          <w:rFonts w:ascii="Times New Roman" w:hAnsi="Times New Roman"/>
          <w:sz w:val="24"/>
          <w:szCs w:val="24"/>
          <w:lang w:val="en-GB"/>
        </w:rPr>
        <w:t xml:space="preserve"> For example</w:t>
      </w:r>
      <w:r w:rsidR="00D4225D" w:rsidRPr="00520DB0">
        <w:rPr>
          <w:rFonts w:ascii="Times New Roman" w:hAnsi="Times New Roman"/>
          <w:sz w:val="24"/>
          <w:szCs w:val="24"/>
          <w:lang w:val="en-GB"/>
        </w:rPr>
        <w:t xml:space="preserve">, a </w:t>
      </w:r>
      <w:r w:rsidR="00ED1558" w:rsidRPr="00520DB0">
        <w:rPr>
          <w:rFonts w:ascii="Times New Roman" w:hAnsi="Times New Roman"/>
          <w:sz w:val="24"/>
          <w:szCs w:val="24"/>
          <w:lang w:val="en-GB"/>
        </w:rPr>
        <w:t xml:space="preserve">mean </w:t>
      </w:r>
      <w:r w:rsidR="00D4225D" w:rsidRPr="00520DB0">
        <w:rPr>
          <w:rFonts w:ascii="Times New Roman" w:hAnsi="Times New Roman"/>
          <w:sz w:val="24"/>
          <w:szCs w:val="24"/>
          <w:lang w:val="en-GB"/>
        </w:rPr>
        <w:t>Cmax of 422.6</w:t>
      </w:r>
      <w:r w:rsidR="00ED1558" w:rsidRPr="00520DB0">
        <w:rPr>
          <w:rFonts w:ascii="Times New Roman" w:hAnsi="Times New Roman"/>
          <w:sz w:val="24"/>
          <w:szCs w:val="24"/>
          <w:lang w:val="en-GB"/>
        </w:rPr>
        <w:t xml:space="preserve"> </w:t>
      </w:r>
      <w:r w:rsidR="00D4225D" w:rsidRPr="00520DB0">
        <w:rPr>
          <w:rFonts w:ascii="Times New Roman" w:hAnsi="Times New Roman"/>
          <w:sz w:val="24"/>
          <w:szCs w:val="24"/>
          <w:lang w:val="en-GB"/>
        </w:rPr>
        <w:t>mg/L (mean CrCl = 70.4 mL/min) was observed in our study, similar to th</w:t>
      </w:r>
      <w:r w:rsidR="00ED1558" w:rsidRPr="00520DB0">
        <w:rPr>
          <w:rFonts w:ascii="Times New Roman" w:hAnsi="Times New Roman"/>
          <w:sz w:val="24"/>
          <w:szCs w:val="24"/>
          <w:lang w:val="en-GB"/>
        </w:rPr>
        <w:t xml:space="preserve">ose in Sauerman </w:t>
      </w:r>
      <w:r w:rsidR="00ED1558" w:rsidRPr="00520DB0">
        <w:rPr>
          <w:rFonts w:ascii="Times New Roman" w:hAnsi="Times New Roman"/>
          <w:i/>
          <w:sz w:val="24"/>
          <w:szCs w:val="24"/>
          <w:lang w:val="en-GB"/>
        </w:rPr>
        <w:t>et al.</w:t>
      </w:r>
      <w:r w:rsidR="00ED1558" w:rsidRPr="00520DB0">
        <w:rPr>
          <w:rFonts w:ascii="Times New Roman" w:hAnsi="Times New Roman"/>
          <w:sz w:val="24"/>
          <w:szCs w:val="24"/>
          <w:lang w:val="en-GB"/>
        </w:rPr>
        <w:t xml:space="preserve"> (mean Cmax of 446 mg/L, mean CrCl = 70.4 mL/min) or Wenzler </w:t>
      </w:r>
      <w:r w:rsidR="00ED1558" w:rsidRPr="002C7B68">
        <w:rPr>
          <w:rFonts w:ascii="Times New Roman" w:hAnsi="Times New Roman"/>
          <w:i/>
          <w:sz w:val="24"/>
          <w:szCs w:val="24"/>
          <w:lang w:val="en-GB"/>
        </w:rPr>
        <w:t>et al.</w:t>
      </w:r>
      <w:r w:rsidR="00ED1558" w:rsidRPr="00520DB0">
        <w:rPr>
          <w:rFonts w:ascii="Times New Roman" w:hAnsi="Times New Roman"/>
          <w:sz w:val="24"/>
          <w:szCs w:val="24"/>
          <w:lang w:val="en-GB"/>
        </w:rPr>
        <w:t xml:space="preserve"> (mean Cmax of 370 mg/L, mean CrCl = 139.6 mL/min).</w:t>
      </w:r>
      <w:r w:rsidR="00F240E8" w:rsidRPr="00520DB0">
        <w:rPr>
          <w:rFonts w:ascii="Times New Roman" w:hAnsi="Times New Roman"/>
          <w:sz w:val="24"/>
          <w:szCs w:val="24"/>
          <w:lang w:val="en-GB"/>
        </w:rPr>
        <w:t xml:space="preserve"> </w:t>
      </w:r>
      <w:r w:rsidR="0049477A" w:rsidRPr="00520DB0">
        <w:rPr>
          <w:rFonts w:ascii="Times New Roman" w:hAnsi="Times New Roman"/>
          <w:sz w:val="24"/>
          <w:szCs w:val="24"/>
          <w:lang w:val="en-GB"/>
        </w:rPr>
        <w:t>Also, t</w:t>
      </w:r>
      <w:r w:rsidR="005D5239" w:rsidRPr="00520DB0">
        <w:rPr>
          <w:rFonts w:ascii="Times New Roman" w:hAnsi="Times New Roman"/>
          <w:sz w:val="24"/>
          <w:szCs w:val="24"/>
          <w:lang w:val="en-GB"/>
        </w:rPr>
        <w:t>he</w:t>
      </w:r>
      <w:r w:rsidR="000964C4" w:rsidRPr="00520DB0">
        <w:rPr>
          <w:rFonts w:ascii="Times New Roman" w:hAnsi="Times New Roman"/>
          <w:sz w:val="24"/>
          <w:szCs w:val="24"/>
          <w:lang w:val="en-GB"/>
        </w:rPr>
        <w:t xml:space="preserve"> </w:t>
      </w:r>
      <w:r w:rsidR="005D5239" w:rsidRPr="00520DB0">
        <w:rPr>
          <w:rFonts w:ascii="Times New Roman" w:hAnsi="Times New Roman"/>
          <w:sz w:val="24"/>
          <w:szCs w:val="24"/>
          <w:lang w:val="en-GB"/>
        </w:rPr>
        <w:t>median trough fosfomycin plasma concentration (Cmin) observed in our patients</w:t>
      </w:r>
      <w:r w:rsidR="000964C4" w:rsidRPr="00520DB0">
        <w:rPr>
          <w:rFonts w:ascii="Times New Roman" w:hAnsi="Times New Roman"/>
          <w:sz w:val="24"/>
          <w:szCs w:val="24"/>
          <w:lang w:val="en-GB"/>
        </w:rPr>
        <w:t xml:space="preserve"> </w:t>
      </w:r>
      <w:r w:rsidR="005D5239" w:rsidRPr="00520DB0">
        <w:rPr>
          <w:rFonts w:ascii="Times New Roman" w:hAnsi="Times New Roman"/>
          <w:sz w:val="24"/>
          <w:szCs w:val="24"/>
          <w:lang w:val="en-GB"/>
        </w:rPr>
        <w:t>(</w:t>
      </w:r>
      <w:r w:rsidR="0080006B" w:rsidRPr="00520DB0">
        <w:rPr>
          <w:rFonts w:ascii="Times New Roman" w:hAnsi="Times New Roman"/>
          <w:sz w:val="24"/>
          <w:szCs w:val="24"/>
          <w:lang w:val="en-GB"/>
        </w:rPr>
        <w:t xml:space="preserve">178.7 mg/L </w:t>
      </w:r>
      <w:r w:rsidR="005D5239" w:rsidRPr="00520DB0">
        <w:rPr>
          <w:rFonts w:ascii="Times New Roman" w:hAnsi="Times New Roman"/>
          <w:sz w:val="24"/>
          <w:szCs w:val="24"/>
          <w:lang w:val="en-GB"/>
        </w:rPr>
        <w:t>[</w:t>
      </w:r>
      <w:r w:rsidR="0080006B" w:rsidRPr="00520DB0">
        <w:rPr>
          <w:rFonts w:ascii="Times New Roman" w:hAnsi="Times New Roman"/>
          <w:sz w:val="24"/>
          <w:szCs w:val="24"/>
          <w:lang w:val="en-GB"/>
        </w:rPr>
        <w:t>range 106.11 to 246.93 mg/L</w:t>
      </w:r>
      <w:r w:rsidR="005D5239" w:rsidRPr="00520DB0">
        <w:rPr>
          <w:rFonts w:ascii="Times New Roman" w:hAnsi="Times New Roman"/>
          <w:sz w:val="24"/>
          <w:szCs w:val="24"/>
          <w:lang w:val="en-GB"/>
        </w:rPr>
        <w:t>]</w:t>
      </w:r>
      <w:r w:rsidR="0080006B" w:rsidRPr="00520DB0">
        <w:rPr>
          <w:rFonts w:ascii="Times New Roman" w:hAnsi="Times New Roman"/>
          <w:sz w:val="24"/>
          <w:szCs w:val="24"/>
          <w:lang w:val="en-GB"/>
        </w:rPr>
        <w:t>)</w:t>
      </w:r>
      <w:r w:rsidR="005D5239" w:rsidRPr="00520DB0">
        <w:rPr>
          <w:rFonts w:ascii="Times New Roman" w:hAnsi="Times New Roman"/>
          <w:sz w:val="24"/>
          <w:szCs w:val="24"/>
          <w:lang w:val="en-GB"/>
        </w:rPr>
        <w:t xml:space="preserve"> </w:t>
      </w:r>
      <w:r w:rsidR="00D03296" w:rsidRPr="00520DB0">
        <w:rPr>
          <w:rFonts w:ascii="Times New Roman" w:hAnsi="Times New Roman"/>
          <w:sz w:val="24"/>
          <w:szCs w:val="24"/>
          <w:lang w:val="en-GB"/>
        </w:rPr>
        <w:t>is</w:t>
      </w:r>
      <w:r w:rsidR="000964C4" w:rsidRPr="00520DB0">
        <w:rPr>
          <w:rFonts w:ascii="Times New Roman" w:hAnsi="Times New Roman"/>
          <w:sz w:val="24"/>
          <w:szCs w:val="24"/>
          <w:lang w:val="en-GB"/>
        </w:rPr>
        <w:t xml:space="preserve"> </w:t>
      </w:r>
      <w:r w:rsidR="007D3407" w:rsidRPr="00520DB0">
        <w:rPr>
          <w:rFonts w:ascii="Times New Roman" w:hAnsi="Times New Roman"/>
          <w:sz w:val="24"/>
          <w:szCs w:val="24"/>
          <w:lang w:val="en-GB"/>
        </w:rPr>
        <w:t>closer</w:t>
      </w:r>
      <w:r w:rsidR="000964C4" w:rsidRPr="00520DB0">
        <w:rPr>
          <w:rFonts w:ascii="Times New Roman" w:hAnsi="Times New Roman"/>
          <w:sz w:val="24"/>
          <w:szCs w:val="24"/>
          <w:lang w:val="en-GB"/>
        </w:rPr>
        <w:t xml:space="preserve"> to th</w:t>
      </w:r>
      <w:r w:rsidR="00D03296" w:rsidRPr="00520DB0">
        <w:rPr>
          <w:rFonts w:ascii="Times New Roman" w:hAnsi="Times New Roman"/>
          <w:sz w:val="24"/>
          <w:szCs w:val="24"/>
          <w:lang w:val="en-GB"/>
        </w:rPr>
        <w:t>at</w:t>
      </w:r>
      <w:r w:rsidR="0080006B" w:rsidRPr="00520DB0">
        <w:rPr>
          <w:rFonts w:ascii="Times New Roman" w:hAnsi="Times New Roman"/>
          <w:sz w:val="24"/>
          <w:szCs w:val="24"/>
          <w:lang w:val="en-GB"/>
        </w:rPr>
        <w:t xml:space="preserve"> </w:t>
      </w:r>
      <w:r w:rsidR="000964C4" w:rsidRPr="00520DB0">
        <w:rPr>
          <w:rFonts w:ascii="Times New Roman" w:hAnsi="Times New Roman"/>
          <w:sz w:val="24"/>
          <w:szCs w:val="24"/>
          <w:lang w:val="en-GB"/>
        </w:rPr>
        <w:t xml:space="preserve">observed by </w:t>
      </w:r>
      <w:r w:rsidR="00D428E1" w:rsidRPr="00520DB0">
        <w:rPr>
          <w:rFonts w:ascii="Times New Roman" w:hAnsi="Times New Roman"/>
          <w:sz w:val="24"/>
          <w:szCs w:val="24"/>
          <w:lang w:val="en-GB"/>
        </w:rPr>
        <w:t xml:space="preserve">Parker </w:t>
      </w:r>
      <w:r w:rsidR="00D428E1" w:rsidRPr="00520DB0">
        <w:rPr>
          <w:rFonts w:ascii="Times New Roman" w:hAnsi="Times New Roman"/>
          <w:i/>
          <w:sz w:val="24"/>
          <w:szCs w:val="24"/>
          <w:lang w:val="en-GB"/>
        </w:rPr>
        <w:t>et al.</w:t>
      </w:r>
      <w:r w:rsidR="00D428E1" w:rsidRPr="00520DB0">
        <w:rPr>
          <w:rFonts w:ascii="Times New Roman" w:hAnsi="Times New Roman"/>
          <w:sz w:val="24"/>
          <w:szCs w:val="24"/>
          <w:lang w:val="en-GB"/>
        </w:rPr>
        <w:t xml:space="preserve"> in critically ill patients</w:t>
      </w:r>
      <w:r w:rsidR="00071AA9" w:rsidRPr="00520DB0">
        <w:rPr>
          <w:rFonts w:ascii="Times New Roman" w:hAnsi="Times New Roman"/>
          <w:sz w:val="24"/>
          <w:szCs w:val="24"/>
          <w:lang w:val="en-GB"/>
        </w:rPr>
        <w:t xml:space="preserve"> </w:t>
      </w:r>
      <w:r w:rsidR="00071AA9" w:rsidRPr="00520DB0">
        <w:rPr>
          <w:rFonts w:ascii="Times New Roman" w:hAnsi="Times New Roman"/>
          <w:sz w:val="24"/>
          <w:szCs w:val="24"/>
          <w:lang w:val="en-GB"/>
        </w:rPr>
        <w:fldChar w:fldCharType="begin" w:fldLock="1"/>
      </w:r>
      <w:r w:rsidR="007B72C6" w:rsidRPr="00520DB0">
        <w:rPr>
          <w:rFonts w:ascii="Times New Roman" w:hAnsi="Times New Roman"/>
          <w:sz w:val="24"/>
          <w:szCs w:val="24"/>
          <w:lang w:val="en-GB"/>
        </w:rPr>
        <w:instrText>ADDIN CSL_CITATION { "citationItems" : [ { "id" : "ITEM-1", "itemData" : { "DOI" : "10.1128/AAC.01321-15", "ISSN" : "0066-4804", "abstract" : "This study describes the population pharmacokinetics of fosfomycin in critically ill patients. In this observational study, serial blood samples were taken over several dosing intervals of intravenous fosfomycin treatment. Blood samples were analyzed using a validated liquid chromatography-tandem mass spectrometry technique. A population pharmacokinetic analysis was performed using nonlinear mixed-effects modeling. Five hundred fifteen blood samples were collected over one to six dosing intervals from 12 patients. The mean (standard deviation) age was 62 (17) years, 67% of patients were male, and creatinine clearance (CL CR ) ranged from 30 to 300 ml/min. A two-compartment model with between-subject variability on clearance and volume of distribution of the central compartment ( V c ) described the data adequately. Calculated CL CR was supported as a covariate on fosfomycin clearance. The mean parameter estimates for clearance on the first day were 2.06 liters/h, V c of 27.2 liters, intercompartmental clearance of 19.8 liters/h, and volume of the peripheral compartment of 22.3 liters. We found significant pharmacokinetic variability for fosfomycin in this heterogeneous patient sample, which may be explained somewhat by the observed variations in renal function.", "author" : [ { "dropping-particle" : "", "family" : "Parker", "given" : "Suzanne L.", "non-dropping-particle" : "", "parse-names" : false, "suffix" : "" }, { "dropping-particle" : "", "family" : "Frantzeskaki", "given" : "Frantzeska", "non-dropping-particle" : "", "parse-names" : false, "suffix" : "" }, { "dropping-particle" : "", "family" : "Wallis", "given" : "Steven C.", "non-dropping-particle" : "", "parse-names" : false, "suffix" : "" }, { "dropping-particle" : "", "family" : "Diakaki", "given" : "Chryssa", "non-dropping-particle" : "", "parse-names" : false, "suffix" : "" }, { "dropping-particle" : "", "family" : "Giamarellou", "given" : "Helen", "non-dropping-particle" : "", "parse-names" : false, "suffix" : "" }, { "dropping-particle" : "", "family" : "Koulenti", "given" : "Despoina", "non-dropping-particle" : "", "parse-names" : false, "suffix" : "" }, { "dropping-particle" : "", "family" : "Karaiskos", "given" : "Ilias", "non-dropping-particle" : "", "parse-names" : false, "suffix" : "" }, { "dropping-particle" : "", "family" : "Lipman", "given" : "Jeffrey", "non-dropping-particle" : "", "parse-names" : false, "suffix" : "" }, { "dropping-particle" : "", "family" : "Dimopoulos", "given" : "George", "non-dropping-particle" : "", "parse-names" : false, "suffix" : "" }, { "dropping-particle" : "", "family" : "Roberts", "given" : "Jason A.", "non-dropping-particle" : "", "parse-names" : false, "suffix" : "" } ], "container-title" : "Antimicrobial Agents and Chemotherapy", "id" : "ITEM-1", "issue" : "10", "issued" : { "date-parts" : [ [ "2015", "10" ] ] }, "page" : "6471-6476", "title" : "Population Pharmacokinetics of Fosfomycin in Critically Ill Patients", "type" : "article-journal", "volume" : "59" }, "uris" : [ "http://www.mendeley.com/documents/?uuid=bc4cb844-5dec-4f5d-9809-ec1baf7e213b" ] } ], "mendeley" : { "formattedCitation" : "[10]", "plainTextFormattedCitation" : "[10]", "previouslyFormattedCitation" : "[10]" }, "properties" : {  }, "schema" : "https://github.com/citation-style-language/schema/raw/master/csl-citation.json" }</w:instrText>
      </w:r>
      <w:r w:rsidR="00071AA9" w:rsidRPr="00520DB0">
        <w:rPr>
          <w:rFonts w:ascii="Times New Roman" w:hAnsi="Times New Roman"/>
          <w:sz w:val="24"/>
          <w:szCs w:val="24"/>
          <w:lang w:val="en-GB"/>
        </w:rPr>
        <w:fldChar w:fldCharType="separate"/>
      </w:r>
      <w:r w:rsidR="00071AA9" w:rsidRPr="00520DB0">
        <w:rPr>
          <w:rFonts w:ascii="Times New Roman" w:hAnsi="Times New Roman"/>
          <w:noProof/>
          <w:sz w:val="24"/>
          <w:szCs w:val="24"/>
          <w:lang w:val="en-GB"/>
        </w:rPr>
        <w:t>[10]</w:t>
      </w:r>
      <w:r w:rsidR="00071AA9" w:rsidRPr="00520DB0">
        <w:rPr>
          <w:rFonts w:ascii="Times New Roman" w:hAnsi="Times New Roman"/>
          <w:sz w:val="24"/>
          <w:szCs w:val="24"/>
          <w:lang w:val="en-GB"/>
        </w:rPr>
        <w:fldChar w:fldCharType="end"/>
      </w:r>
      <w:r w:rsidR="00761A06" w:rsidRPr="00520DB0">
        <w:rPr>
          <w:rFonts w:ascii="Times New Roman" w:hAnsi="Times New Roman"/>
          <w:sz w:val="24"/>
          <w:szCs w:val="24"/>
          <w:lang w:val="en-GB"/>
        </w:rPr>
        <w:t xml:space="preserve">, </w:t>
      </w:r>
      <w:r w:rsidR="00D03296" w:rsidRPr="00520DB0">
        <w:rPr>
          <w:rFonts w:ascii="Times New Roman" w:hAnsi="Times New Roman"/>
          <w:sz w:val="24"/>
          <w:szCs w:val="24"/>
          <w:lang w:val="en-GB"/>
        </w:rPr>
        <w:t xml:space="preserve">which was </w:t>
      </w:r>
      <w:r w:rsidR="00761A06" w:rsidRPr="00520DB0">
        <w:rPr>
          <w:rFonts w:ascii="Times New Roman" w:hAnsi="Times New Roman"/>
          <w:sz w:val="24"/>
          <w:szCs w:val="24"/>
          <w:lang w:val="en-GB"/>
        </w:rPr>
        <w:t>250 mg/L (range, 76 to 684 mg/</w:t>
      </w:r>
      <w:r w:rsidR="007D3407" w:rsidRPr="00520DB0">
        <w:rPr>
          <w:rFonts w:ascii="Times New Roman" w:hAnsi="Times New Roman"/>
          <w:sz w:val="24"/>
          <w:szCs w:val="24"/>
          <w:lang w:val="en-GB"/>
        </w:rPr>
        <w:t>L</w:t>
      </w:r>
      <w:r w:rsidR="00761A06" w:rsidRPr="00520DB0">
        <w:rPr>
          <w:rFonts w:ascii="Times New Roman" w:hAnsi="Times New Roman"/>
          <w:sz w:val="24"/>
          <w:szCs w:val="24"/>
          <w:lang w:val="en-GB"/>
        </w:rPr>
        <w:t>)</w:t>
      </w:r>
      <w:r w:rsidR="00D03296" w:rsidRPr="00520DB0">
        <w:rPr>
          <w:rFonts w:ascii="Times New Roman" w:hAnsi="Times New Roman"/>
          <w:sz w:val="24"/>
          <w:szCs w:val="24"/>
          <w:lang w:val="en-GB"/>
        </w:rPr>
        <w:t xml:space="preserve"> at steady state</w:t>
      </w:r>
      <w:r w:rsidR="00761A06" w:rsidRPr="00520DB0">
        <w:rPr>
          <w:rFonts w:ascii="Times New Roman" w:hAnsi="Times New Roman"/>
          <w:sz w:val="24"/>
          <w:szCs w:val="24"/>
          <w:lang w:val="en-GB"/>
        </w:rPr>
        <w:t>.</w:t>
      </w:r>
      <w:r w:rsidR="005D5239" w:rsidRPr="00520DB0">
        <w:rPr>
          <w:rFonts w:ascii="Times New Roman" w:hAnsi="Times New Roman"/>
          <w:sz w:val="24"/>
          <w:szCs w:val="24"/>
          <w:lang w:val="en-GB"/>
        </w:rPr>
        <w:t xml:space="preserve"> </w:t>
      </w:r>
      <w:r w:rsidR="00761A06" w:rsidRPr="00520DB0">
        <w:rPr>
          <w:rFonts w:ascii="Times New Roman" w:hAnsi="Times New Roman"/>
          <w:sz w:val="24"/>
          <w:szCs w:val="24"/>
          <w:lang w:val="en-GB"/>
        </w:rPr>
        <w:t>This could be explained</w:t>
      </w:r>
      <w:r w:rsidR="007D3407" w:rsidRPr="00520DB0">
        <w:rPr>
          <w:rFonts w:ascii="Times New Roman" w:hAnsi="Times New Roman"/>
          <w:sz w:val="24"/>
          <w:szCs w:val="24"/>
          <w:lang w:val="en-GB"/>
        </w:rPr>
        <w:t>,</w:t>
      </w:r>
      <w:r w:rsidR="00761A06" w:rsidRPr="00520DB0">
        <w:rPr>
          <w:rFonts w:ascii="Times New Roman" w:hAnsi="Times New Roman"/>
          <w:sz w:val="24"/>
          <w:szCs w:val="24"/>
          <w:lang w:val="en-GB"/>
        </w:rPr>
        <w:t xml:space="preserve"> </w:t>
      </w:r>
      <w:r w:rsidR="00B837EA" w:rsidRPr="00520DB0">
        <w:rPr>
          <w:rFonts w:ascii="Times New Roman" w:hAnsi="Times New Roman"/>
          <w:sz w:val="24"/>
          <w:szCs w:val="24"/>
          <w:lang w:val="en-GB"/>
        </w:rPr>
        <w:t xml:space="preserve">in part, </w:t>
      </w:r>
      <w:r w:rsidR="00761A06" w:rsidRPr="00520DB0">
        <w:rPr>
          <w:rFonts w:ascii="Times New Roman" w:hAnsi="Times New Roman"/>
          <w:sz w:val="24"/>
          <w:szCs w:val="24"/>
          <w:lang w:val="en-GB"/>
        </w:rPr>
        <w:t xml:space="preserve">by the </w:t>
      </w:r>
      <w:r w:rsidR="006533CB" w:rsidRPr="00520DB0">
        <w:rPr>
          <w:rFonts w:ascii="Times New Roman" w:hAnsi="Times New Roman"/>
          <w:sz w:val="24"/>
          <w:szCs w:val="24"/>
          <w:lang w:val="en-GB"/>
        </w:rPr>
        <w:t xml:space="preserve">renal impairment </w:t>
      </w:r>
      <w:r w:rsidR="00761A06" w:rsidRPr="00520DB0">
        <w:rPr>
          <w:rFonts w:ascii="Times New Roman" w:hAnsi="Times New Roman"/>
          <w:sz w:val="24"/>
          <w:szCs w:val="24"/>
          <w:lang w:val="en-GB"/>
        </w:rPr>
        <w:t>observed in our population</w:t>
      </w:r>
      <w:r w:rsidR="00B837EA" w:rsidRPr="00520DB0">
        <w:rPr>
          <w:rFonts w:ascii="Times New Roman" w:hAnsi="Times New Roman"/>
          <w:sz w:val="24"/>
          <w:szCs w:val="24"/>
          <w:lang w:val="en-GB"/>
        </w:rPr>
        <w:t xml:space="preserve"> that </w:t>
      </w:r>
      <w:r w:rsidR="006533CB" w:rsidRPr="00520DB0">
        <w:rPr>
          <w:rFonts w:ascii="Times New Roman" w:hAnsi="Times New Roman"/>
          <w:sz w:val="24"/>
          <w:szCs w:val="24"/>
          <w:lang w:val="en-GB"/>
        </w:rPr>
        <w:t>affect</w:t>
      </w:r>
      <w:r w:rsidR="00B837EA" w:rsidRPr="00520DB0">
        <w:rPr>
          <w:rFonts w:ascii="Times New Roman" w:hAnsi="Times New Roman"/>
          <w:sz w:val="24"/>
          <w:szCs w:val="24"/>
          <w:lang w:val="en-GB"/>
        </w:rPr>
        <w:t>s</w:t>
      </w:r>
      <w:r w:rsidR="006533CB" w:rsidRPr="00520DB0">
        <w:rPr>
          <w:rFonts w:ascii="Times New Roman" w:hAnsi="Times New Roman"/>
          <w:sz w:val="24"/>
          <w:szCs w:val="24"/>
          <w:lang w:val="en-GB"/>
        </w:rPr>
        <w:t xml:space="preserve"> fosfomycin pharmacokinetics</w:t>
      </w:r>
      <w:r w:rsidR="009705AB" w:rsidRPr="00520DB0">
        <w:rPr>
          <w:rFonts w:ascii="Times New Roman" w:hAnsi="Times New Roman"/>
          <w:sz w:val="24"/>
          <w:szCs w:val="24"/>
          <w:lang w:val="en-GB"/>
        </w:rPr>
        <w:t xml:space="preserve"> (</w:t>
      </w:r>
      <w:r w:rsidR="005D5239" w:rsidRPr="00520DB0">
        <w:rPr>
          <w:rFonts w:ascii="Times New Roman" w:hAnsi="Times New Roman"/>
          <w:i/>
          <w:sz w:val="24"/>
          <w:szCs w:val="24"/>
          <w:lang w:val="en-GB"/>
        </w:rPr>
        <w:t>i.e.</w:t>
      </w:r>
      <w:r w:rsidR="009705AB" w:rsidRPr="00520DB0">
        <w:rPr>
          <w:rFonts w:ascii="Times New Roman" w:hAnsi="Times New Roman"/>
          <w:sz w:val="24"/>
          <w:szCs w:val="24"/>
          <w:lang w:val="en-GB"/>
        </w:rPr>
        <w:t xml:space="preserve"> </w:t>
      </w:r>
      <w:r w:rsidR="00445669" w:rsidRPr="00520DB0">
        <w:rPr>
          <w:rFonts w:ascii="Times New Roman" w:hAnsi="Times New Roman"/>
          <w:sz w:val="24"/>
          <w:szCs w:val="24"/>
          <w:lang w:val="en-GB"/>
        </w:rPr>
        <w:t xml:space="preserve">CrCl </w:t>
      </w:r>
      <w:r w:rsidR="009705AB" w:rsidRPr="00520DB0">
        <w:rPr>
          <w:rFonts w:ascii="Times New Roman" w:hAnsi="Times New Roman"/>
          <w:sz w:val="24"/>
          <w:szCs w:val="24"/>
          <w:lang w:val="en-GB"/>
        </w:rPr>
        <w:t xml:space="preserve">median of </w:t>
      </w:r>
      <w:r w:rsidR="009705AB" w:rsidRPr="00520DB0">
        <w:rPr>
          <w:rFonts w:ascii="Times New Roman" w:hAnsi="Times New Roman"/>
          <w:bCs/>
          <w:sz w:val="24"/>
          <w:szCs w:val="24"/>
          <w:lang w:val="en-GB"/>
        </w:rPr>
        <w:t>70.5</w:t>
      </w:r>
      <w:r w:rsidR="001F0432" w:rsidRPr="00520DB0">
        <w:rPr>
          <w:rFonts w:ascii="Times New Roman" w:hAnsi="Times New Roman"/>
          <w:bCs/>
          <w:sz w:val="24"/>
          <w:szCs w:val="24"/>
          <w:lang w:val="en-GB"/>
        </w:rPr>
        <w:t>,</w:t>
      </w:r>
      <w:r w:rsidR="009705AB" w:rsidRPr="00520DB0">
        <w:rPr>
          <w:rFonts w:ascii="Times New Roman" w:hAnsi="Times New Roman"/>
          <w:bCs/>
          <w:sz w:val="24"/>
          <w:szCs w:val="24"/>
          <w:lang w:val="en-GB"/>
        </w:rPr>
        <w:t xml:space="preserve"> </w:t>
      </w:r>
      <w:r w:rsidR="00B837EA" w:rsidRPr="00520DB0">
        <w:rPr>
          <w:rFonts w:ascii="Times New Roman" w:hAnsi="Times New Roman"/>
          <w:bCs/>
          <w:sz w:val="24"/>
          <w:szCs w:val="24"/>
          <w:lang w:val="en-GB"/>
        </w:rPr>
        <w:t xml:space="preserve">which is </w:t>
      </w:r>
      <w:r w:rsidR="008C45B5" w:rsidRPr="00520DB0">
        <w:rPr>
          <w:rFonts w:ascii="Times New Roman" w:hAnsi="Times New Roman"/>
          <w:bCs/>
          <w:sz w:val="24"/>
          <w:szCs w:val="24"/>
          <w:lang w:val="en-GB"/>
        </w:rPr>
        <w:t xml:space="preserve">slightly higher than </w:t>
      </w:r>
      <w:r w:rsidR="009705AB" w:rsidRPr="00520DB0">
        <w:rPr>
          <w:rFonts w:ascii="Times New Roman" w:hAnsi="Times New Roman"/>
          <w:sz w:val="24"/>
          <w:szCs w:val="24"/>
          <w:lang w:val="en-GB"/>
        </w:rPr>
        <w:t xml:space="preserve">59 </w:t>
      </w:r>
      <w:r w:rsidR="009705AB" w:rsidRPr="00520DB0">
        <w:rPr>
          <w:rFonts w:ascii="Times New Roman" w:hAnsi="Times New Roman"/>
          <w:bCs/>
          <w:sz w:val="24"/>
          <w:szCs w:val="24"/>
          <w:lang w:val="en-GB"/>
        </w:rPr>
        <w:t xml:space="preserve">mL/min observed in Parker </w:t>
      </w:r>
      <w:r w:rsidR="009705AB" w:rsidRPr="00520DB0">
        <w:rPr>
          <w:rFonts w:ascii="Times New Roman" w:hAnsi="Times New Roman"/>
          <w:bCs/>
          <w:i/>
          <w:sz w:val="24"/>
          <w:szCs w:val="24"/>
          <w:lang w:val="en-GB"/>
        </w:rPr>
        <w:t>et al</w:t>
      </w:r>
      <w:r w:rsidR="009705AB" w:rsidRPr="00520DB0">
        <w:rPr>
          <w:rFonts w:ascii="Times New Roman" w:hAnsi="Times New Roman"/>
          <w:bCs/>
          <w:sz w:val="24"/>
          <w:szCs w:val="24"/>
          <w:lang w:val="en-GB"/>
        </w:rPr>
        <w:t>.)</w:t>
      </w:r>
      <w:r w:rsidR="00071AA9" w:rsidRPr="00520DB0">
        <w:rPr>
          <w:rFonts w:ascii="Times New Roman" w:hAnsi="Times New Roman"/>
          <w:sz w:val="24"/>
          <w:szCs w:val="24"/>
          <w:lang w:val="en-GB"/>
        </w:rPr>
        <w:t>.</w:t>
      </w:r>
      <w:r w:rsidR="00E0414E" w:rsidRPr="00520DB0">
        <w:rPr>
          <w:rFonts w:ascii="Times New Roman" w:hAnsi="Times New Roman"/>
          <w:sz w:val="24"/>
          <w:szCs w:val="24"/>
          <w:lang w:val="en-GB"/>
        </w:rPr>
        <w:t xml:space="preserve"> Th</w:t>
      </w:r>
      <w:r w:rsidR="006533CB" w:rsidRPr="00520DB0">
        <w:rPr>
          <w:rFonts w:ascii="Times New Roman" w:hAnsi="Times New Roman"/>
          <w:sz w:val="24"/>
          <w:szCs w:val="24"/>
          <w:lang w:val="en-GB"/>
        </w:rPr>
        <w:t xml:space="preserve">us, variations in </w:t>
      </w:r>
      <w:r w:rsidR="00F11680" w:rsidRPr="00520DB0">
        <w:rPr>
          <w:rFonts w:ascii="Times New Roman" w:hAnsi="Times New Roman"/>
          <w:sz w:val="24"/>
          <w:szCs w:val="24"/>
          <w:lang w:val="en-GB"/>
        </w:rPr>
        <w:t xml:space="preserve">the creatinine clearance </w:t>
      </w:r>
      <w:r w:rsidR="006533CB" w:rsidRPr="00520DB0">
        <w:rPr>
          <w:rFonts w:ascii="Times New Roman" w:hAnsi="Times New Roman"/>
          <w:sz w:val="24"/>
          <w:szCs w:val="24"/>
          <w:lang w:val="en-GB"/>
        </w:rPr>
        <w:t xml:space="preserve">could partially explain the differences </w:t>
      </w:r>
      <w:r w:rsidR="00F11680" w:rsidRPr="00520DB0">
        <w:rPr>
          <w:rFonts w:ascii="Times New Roman" w:hAnsi="Times New Roman"/>
          <w:sz w:val="24"/>
          <w:szCs w:val="24"/>
          <w:lang w:val="en-GB"/>
        </w:rPr>
        <w:t xml:space="preserve">observed </w:t>
      </w:r>
      <w:r w:rsidR="006533CB" w:rsidRPr="00520DB0">
        <w:rPr>
          <w:rFonts w:ascii="Times New Roman" w:hAnsi="Times New Roman"/>
          <w:sz w:val="24"/>
          <w:szCs w:val="24"/>
          <w:lang w:val="en-GB"/>
        </w:rPr>
        <w:t xml:space="preserve">with respect to </w:t>
      </w:r>
      <w:r w:rsidR="00F11680" w:rsidRPr="00520DB0">
        <w:rPr>
          <w:rFonts w:ascii="Times New Roman" w:hAnsi="Times New Roman"/>
          <w:sz w:val="24"/>
          <w:szCs w:val="24"/>
          <w:lang w:val="en-GB"/>
        </w:rPr>
        <w:t>healthy subjects</w:t>
      </w:r>
      <w:r w:rsidR="00F87360" w:rsidRPr="00520DB0">
        <w:rPr>
          <w:rFonts w:ascii="Times New Roman" w:hAnsi="Times New Roman"/>
          <w:sz w:val="24"/>
          <w:szCs w:val="24"/>
          <w:lang w:val="en-GB"/>
        </w:rPr>
        <w:t xml:space="preserve"> </w:t>
      </w:r>
      <w:r w:rsidR="00F87360" w:rsidRPr="00520DB0">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"DOI" : "10.1128/AAC.00775-17", "ISSN" : "1098-6596", "PMID" : "28630194", "abstract" : "The pharmacokinetics, safety, and tolerability of intravenous (IV) fosfomycin disodium (ZTI-01) and oral fosfomycin tromethamine were evaluated after a single dose in 28 healthy adult subjects. Subjects received a single 1 hour IV infusion of 1 g and 8 g fosfomycin disodium and a single dose of 3 g oral fosfomycin tromethamine in a phase I, randomized, open-label, three-period crossover study. Serial blood and urine samples were collected before and up to 48 hours after dosing. The mean pharmacokinetic parameters \u00b1 standard deviations of fosfomycin in plasma after 1 g and 8 g IV were: Cmax= 44.3 \u00b1 7.6 and 370 \u00b1 61.9 \u03bcg/mL, Tmax= 1.1 \u00b1 0.05 and 1.08 \u00b1 0.01 h, Vd= 29.7 \u00b1 5.7 and 31.5 \u00b1 10.4 liters, CL= 8.7 \u00b1 1.7 and 7.8 \u00b1 1.4 liters/h, CLR= 6.6 \u00b1 1.9 and 6.3 \u00b1 1.6 liters/h, AUC0-\u221e= 120 \u00b1 28.5 and 1060 \u00b1 192 \u03bcg\u22c5h/mL, and t1/2= 2.4 \u00b1 0.4 and 2.8 \u00b1 0.6 h, respectively. After oral administration the parameters were: Cmax= 26.8 \u00b1 6.4 \u03bcg/mL, Tmax= 2.25 \u00b1 0.4 h, Vd/F= 204 \u00b1 70.7 liters, CL/F= 17 \u00b1 4.7 liters/h, CLR= 6.5 \u00b1 1.8 liters/h, AUC0-\u221e= 191 \u00b1 57.6 \u03bcg\u22c5h/mL, and t1/2= 9.04 \u00b1 4.5 h, respectively. The percent relative bioavailability of orally administered fosfomycin was 52.8% in relation to the 1 g IV dose. Approximately 74% and 80% of the 1 g and 8 g IV doses were excreted unchanged in the urine by 48 hours, compared to 37% after oral administration, with the majority of this excretion occurring by 12 hours regardless of dosage form. No new safety concerns were identified during this study. The results of this study support further investigation of IV fosfomycin in the target patient population, including patients with complicated urinary tract infections and pyelonephritis.", "author" : [ { "dropping-particle" : "", "family" : "Wenzler", "given" : "E", "non-dropping-particle" : "", "parse-names" : false, "suffix" : "" }, { "dropping-particle" : "", "family" : "Ellis-Grosse", "given" : "E J", "non-dropping-particle" : "", "parse-names" : false, "suffix" : "" }, { "dropping-particle" : "", "family" : "Rodvold", "given" : "K A", "non-dropping-particle" : "", "parse-names" : false, "suffix" : "" } ], "container-title" : "Antimicrobial agents and chemotherapy", "id" : "ITEM-1", "issued" : { "date-parts" : [ [ "2017", "6", "19" ] ] }, "title" : "Pharmacokinetics, Safety, and Tolerability of Single Dose Intravenous (ZTI-01) and Oral Fosfomycin in Healthy Volunteers.", "type" : "article-journal" }, "uris" : [ "http://www.mendeley.com/documents/?uuid=0d1ac7ac-7d72-4cdc-9271-8f380f3e7fce" ] } ], "mendeley" : { "formattedCitation" : "[23]", "plainTextFormattedCitation" : "[23]", "previouslyFormattedCitation" : "[23]" }, "properties" : {  }, "schema" : "https://github.com/citation-style-language/schema/raw/master/csl-citation.json" }</w:instrText>
      </w:r>
      <w:r w:rsidR="00F87360" w:rsidRPr="00520DB0">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[23]</w:t>
      </w:r>
      <w:r w:rsidR="00F87360" w:rsidRPr="00520DB0">
        <w:rPr>
          <w:rFonts w:ascii="Times New Roman" w:hAnsi="Times New Roman"/>
          <w:sz w:val="24"/>
          <w:szCs w:val="24"/>
          <w:lang w:val="en-GB"/>
        </w:rPr>
        <w:fldChar w:fldCharType="end"/>
      </w:r>
      <w:r w:rsidR="00F87360" w:rsidRPr="002C7B68">
        <w:rPr>
          <w:rFonts w:ascii="Times New Roman" w:hAnsi="Times New Roman"/>
          <w:sz w:val="24"/>
          <w:szCs w:val="24"/>
          <w:lang w:val="en-GB"/>
        </w:rPr>
        <w:t>.</w:t>
      </w:r>
      <w:bookmarkStart w:id="11" w:name="_Hlk502318027"/>
      <w:r w:rsidR="00A53475" w:rsidRPr="002C7B68">
        <w:rPr>
          <w:rFonts w:ascii="Times New Roman" w:hAnsi="Times New Roman"/>
          <w:sz w:val="24"/>
          <w:szCs w:val="24"/>
          <w:lang w:val="en-GB"/>
        </w:rPr>
        <w:t xml:space="preserve"> </w:t>
      </w:r>
      <w:r w:rsidR="0061417F" w:rsidRPr="002C7B68">
        <w:rPr>
          <w:rFonts w:ascii="Times New Roman" w:hAnsi="Times New Roman"/>
          <w:sz w:val="24"/>
          <w:szCs w:val="24"/>
          <w:lang w:val="en-GB"/>
        </w:rPr>
        <w:t xml:space="preserve">Based on these </w:t>
      </w:r>
      <w:r w:rsidR="0061417F" w:rsidRPr="002C7B68">
        <w:rPr>
          <w:rFonts w:ascii="Times New Roman" w:hAnsi="Times New Roman"/>
          <w:sz w:val="24"/>
          <w:szCs w:val="24"/>
          <w:lang w:val="en-GB"/>
        </w:rPr>
        <w:lastRenderedPageBreak/>
        <w:t>observations, patients treated with fosfomycin would benefit of a dose individualisation based on creatinine clearance to avoid under or overdosing and thus reducing chance of therapeutic failure or toxicity.</w:t>
      </w:r>
      <w:bookmarkEnd w:id="11"/>
    </w:p>
    <w:p w14:paraId="3DEF19F4" w14:textId="29F619E4" w:rsidR="00D4032D" w:rsidRPr="00520DB0" w:rsidRDefault="00F726C8" w:rsidP="007C32E4">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R</w:t>
      </w:r>
      <w:r w:rsidR="00D428E1" w:rsidRPr="002C7B68">
        <w:rPr>
          <w:rFonts w:ascii="Times New Roman" w:hAnsi="Times New Roman"/>
          <w:sz w:val="24"/>
          <w:szCs w:val="24"/>
          <w:lang w:val="en-GB"/>
        </w:rPr>
        <w:t>ecent stud</w:t>
      </w:r>
      <w:r w:rsidRPr="002C7B68">
        <w:rPr>
          <w:rFonts w:ascii="Times New Roman" w:hAnsi="Times New Roman"/>
          <w:sz w:val="24"/>
          <w:szCs w:val="24"/>
          <w:lang w:val="en-GB"/>
        </w:rPr>
        <w:t>ies</w:t>
      </w:r>
      <w:r w:rsidR="008E1E61" w:rsidRPr="002C7B68">
        <w:rPr>
          <w:rFonts w:ascii="Times New Roman" w:hAnsi="Times New Roman"/>
          <w:sz w:val="24"/>
          <w:szCs w:val="24"/>
          <w:lang w:val="en-GB"/>
        </w:rPr>
        <w:t xml:space="preserve"> </w:t>
      </w:r>
      <w:r w:rsidR="00D428E1" w:rsidRPr="002C7B68">
        <w:rPr>
          <w:rFonts w:ascii="Times New Roman" w:hAnsi="Times New Roman"/>
          <w:sz w:val="24"/>
          <w:szCs w:val="24"/>
          <w:lang w:val="en-GB"/>
        </w:rPr>
        <w:t xml:space="preserve">performed by Lepak </w:t>
      </w:r>
      <w:r w:rsidR="00D428E1" w:rsidRPr="002C7B68">
        <w:rPr>
          <w:rFonts w:ascii="Times New Roman" w:hAnsi="Times New Roman"/>
          <w:i/>
          <w:sz w:val="24"/>
          <w:szCs w:val="24"/>
          <w:lang w:val="en-GB"/>
        </w:rPr>
        <w:t>et al.</w:t>
      </w:r>
      <w:r w:rsidR="00BA2283" w:rsidRPr="00520DB0">
        <w:rPr>
          <w:rFonts w:ascii="Times New Roman" w:hAnsi="Times New Roman"/>
          <w:i/>
          <w:sz w:val="24"/>
          <w:szCs w:val="24"/>
          <w:lang w:val="en-GB"/>
        </w:rPr>
        <w:fldChar w:fldCharType="begin" w:fldLock="1"/>
      </w:r>
      <w:r w:rsidR="007B72C6" w:rsidRPr="00520DB0">
        <w:rPr>
          <w:rFonts w:ascii="Times New Roman" w:hAnsi="Times New Roman"/>
          <w:i/>
          <w:sz w:val="24"/>
          <w:szCs w:val="24"/>
          <w:lang w:val="en-GB"/>
        </w:rPr>
        <w:instrText>ADDIN CSL_CITATION { "citationItems" : [ { "id" : "ITEM-1", "itemData" : { "DOI" : "10.1128/AAC.00476-17", "ISSN" : "0066-4804", "abstract" : "Fosfomycin is a broad-spectrum agent with activity against gram-positive and gram-negative bacteria, including drug-resistant strains, such as extended spectrum beta-lactamase (ESBL)-producing and carbapenem-resistant (CR) gram-negative rods. In the present study, the pharmacokinetic/pharmacodynamic (PK/PD) activity of ZTI-01 (fosfomycin for injection) was evaluated in the neutropenic murine thigh infection model against 5 E. coli (EC), 3 K. pneumoniae (KPN), and 2 P. aeruginosa (PSA) strains, including a subset with ESBL and CR phenotype. The pharmacokinetics of ZTI-01 were examined in mice after subcutaneous administration of 3.125, 12.5, 50, 200, 400 and 800 mg/kg. The half-life ranged from 0.51 to 1.1 h, area under the concentration-time curve (AUC 0-\u221e ) ranged from 1.4 to 87 mg*h/L, and maximum concentrations ranged from 0.6 to 42.4 mg/L. Dose fractionation demonstrated AUC/MIC ratio to be the PK/PD index most closely linked to efficacy (R 2 = 0.70). Net stasis and cidal activity was observed against all strains. Net stasis was observed at 24 h AUC/MIC values of 24, 21, and 15 for EC, KPN and PSA, respectively. For the Enterobacteriaceae group stasis was noted at mean 24 h AUC/MIC targets of 23 and 1 log kill at 83. Survival in mice infected with EC 145 was maximal at 24 h AUC/MIC exposures of 9-43, which is comparable to the stasis exposures identified in the PK/PD studies. These results should prove useful for the design of clinical dosing regimens for ZTI-01 in the treatment of serious infections due to Enterobacteriaceae and Pseudomonas .", "author" : [ { "dropping-particle" : "", "family" : "Lepak", "given" : "Alexander J.", "non-dropping-particle" : "", "parse-names" : false, "suffix" : "" }, { "dropping-particle" : "", "family" : "Zhao", "given" : "Miao", "non-dropping-particle" : "", "parse-names" : false, "suffix" : "" }, { "dropping-particle" : "", "family" : "VanScoy", "given" : "Brian", "non-dropping-particle" : "", "parse-names" : false, "suffix" : "" }, { "dropping-particle" : "", "family" : "Taylor", "given" : "Daniel S.", "non-dropping-particle" : "", "parse-names" : false, "suffix" : "" }, { "dropping-particle" : "", "family" : "Ellis-Grosse", "given" : "Evelyn", "non-dropping-particle" : "", "parse-names" : false, "suffix" : "" }, { "dropping-particle" : "", "family" : "Ambrose", "given" : "Paul G.", "non-dropping-particle" : "", "parse-names" : false, "suffix" : "" }, { "dropping-particle" : "", "family" : "Andes", "given" : "David R.", "non-dropping-particle" : "", "parse-names" : false, "suffix" : "" } ], "container-title" : "Antimicrobial Agents and Chemotherapy", "id" : "ITEM-1", "issued" : { "date-parts" : [ [ "2017", "4", "10" ] ] }, "page" : "AAC.00476-17", "title" : "In vivo Pharmacokinetics and Pharmacodynamics of ZTI-01 (Fosfomycin for Injection) in the Neutropenic Murine Thigh Infection Model against E. coli , K. pneumoniae , and P. aeruginosa", "type" : "article-journal" }, "uris" : [ "http://www.mendeley.com/documents/?uuid=60f05778-87a3-4dc6-b3ef-92e264a1070d" ] } ], "mendeley" : { "formattedCitation" : "[12]", "plainTextFormattedCitation" : "[12]", "previouslyFormattedCitation" : "[12]" }, "properties" : {  }, "schema" : "https://github.com/citation-style-language/schema/raw/master/csl-citation.json" }</w:instrText>
      </w:r>
      <w:r w:rsidR="00BA2283" w:rsidRPr="00520DB0">
        <w:rPr>
          <w:rFonts w:ascii="Times New Roman" w:hAnsi="Times New Roman"/>
          <w:i/>
          <w:sz w:val="24"/>
          <w:szCs w:val="24"/>
          <w:lang w:val="en-GB"/>
        </w:rPr>
        <w:fldChar w:fldCharType="separate"/>
      </w:r>
      <w:r w:rsidR="00BA2283" w:rsidRPr="00520DB0">
        <w:rPr>
          <w:rFonts w:ascii="Times New Roman" w:hAnsi="Times New Roman"/>
          <w:noProof/>
          <w:sz w:val="24"/>
          <w:szCs w:val="24"/>
          <w:lang w:val="en-GB"/>
        </w:rPr>
        <w:t>[12]</w:t>
      </w:r>
      <w:r w:rsidR="00BA2283" w:rsidRPr="00520DB0">
        <w:rPr>
          <w:rFonts w:ascii="Times New Roman" w:hAnsi="Times New Roman"/>
          <w:i/>
          <w:sz w:val="24"/>
          <w:szCs w:val="24"/>
          <w:lang w:val="en-GB"/>
        </w:rPr>
        <w:fldChar w:fldCharType="end"/>
      </w:r>
      <w:r w:rsidR="005A158C" w:rsidRPr="00520DB0">
        <w:rPr>
          <w:rFonts w:ascii="Times New Roman" w:hAnsi="Times New Roman"/>
          <w:sz w:val="24"/>
          <w:szCs w:val="24"/>
          <w:lang w:val="en-GB"/>
        </w:rPr>
        <w:t xml:space="preserve"> </w:t>
      </w:r>
      <w:r w:rsidR="008B464A" w:rsidRPr="00520DB0">
        <w:rPr>
          <w:rFonts w:ascii="Times New Roman" w:hAnsi="Times New Roman"/>
          <w:sz w:val="24"/>
          <w:szCs w:val="24"/>
          <w:lang w:val="en-GB"/>
        </w:rPr>
        <w:t xml:space="preserve">and </w:t>
      </w:r>
      <w:r w:rsidR="00161AE0" w:rsidRPr="00520DB0">
        <w:rPr>
          <w:rFonts w:ascii="Times New Roman" w:hAnsi="Times New Roman"/>
          <w:sz w:val="24"/>
          <w:szCs w:val="24"/>
          <w:lang w:val="en-GB"/>
        </w:rPr>
        <w:t>Docobo-Pérez</w:t>
      </w:r>
      <w:r w:rsidR="00B837EA" w:rsidRPr="00520DB0">
        <w:rPr>
          <w:rFonts w:ascii="Times New Roman" w:hAnsi="Times New Roman"/>
          <w:sz w:val="24"/>
          <w:szCs w:val="24"/>
          <w:lang w:val="en-GB"/>
        </w:rPr>
        <w:t xml:space="preserve"> </w:t>
      </w:r>
      <w:r w:rsidR="00B837EA" w:rsidRPr="00520DB0">
        <w:rPr>
          <w:rFonts w:ascii="Times New Roman" w:hAnsi="Times New Roman"/>
          <w:i/>
          <w:sz w:val="24"/>
          <w:szCs w:val="24"/>
          <w:lang w:val="en-GB"/>
        </w:rPr>
        <w:t>et al</w:t>
      </w:r>
      <w:r w:rsidR="00161AE0" w:rsidRPr="00520DB0">
        <w:rPr>
          <w:rFonts w:ascii="Times New Roman" w:hAnsi="Times New Roman"/>
          <w:i/>
          <w:sz w:val="24"/>
          <w:szCs w:val="24"/>
          <w:lang w:val="en-GB"/>
        </w:rPr>
        <w:t>.</w:t>
      </w:r>
      <w:r w:rsidR="00B837EA" w:rsidRPr="00520DB0">
        <w:rPr>
          <w:rFonts w:ascii="Times New Roman" w:hAnsi="Times New Roman"/>
          <w:sz w:val="24"/>
          <w:szCs w:val="24"/>
          <w:lang w:val="en-GB"/>
        </w:rPr>
        <w:t xml:space="preserve"> </w:t>
      </w:r>
      <w:r w:rsidRPr="00520DB0">
        <w:rPr>
          <w:rFonts w:ascii="Times New Roman" w:hAnsi="Times New Roman"/>
          <w:sz w:val="24"/>
          <w:szCs w:val="24"/>
          <w:lang w:val="en-GB"/>
        </w:rPr>
        <w:t xml:space="preserve"> </w:t>
      </w:r>
      <w:r w:rsidR="00757263" w:rsidRPr="00520DB0">
        <w:rPr>
          <w:rFonts w:ascii="Times New Roman" w:hAnsi="Times New Roman"/>
          <w:sz w:val="24"/>
          <w:szCs w:val="24"/>
          <w:lang w:val="en-GB"/>
        </w:rPr>
        <w:fldChar w:fldCharType="begin" w:fldLock="1"/>
      </w:r>
      <w:r w:rsidR="007B72C6" w:rsidRPr="00520DB0">
        <w:rPr>
          <w:rFonts w:ascii="Times New Roman" w:hAnsi="Times New Roman"/>
          <w:sz w:val="24"/>
          <w:szCs w:val="24"/>
          <w:lang w:val="en-GB"/>
        </w:rPr>
        <w:instrText>ADDIN CSL_CITATION { "citationItems" : [ { "id" : "ITEM-1", "itemData" : { "DOI" : "10.1128/AAC.00752-15", "ISSN" : "10986596", "PMID" : "26124169", "abstract" : "The aim of this study was to improve the understanding of the pharmacokinetic-pharmacodynamic relationships of fosfomycin against extended-spectrum beta-lactamase (ESBL)-producing Escherichia coli strains that have different fosfomycin MICs. Our methods included the use of a hollow fiber infection model with three clinical ESBL-producing E. coli strains. Human fosfomycin pharmacokinetic profiles were simulated over 4 days. Preliminary studies conducted to determine the dose ranges, including the dose ranges that suppressed the development of drug-resistant mutants, were conducted with regimens from 12 g/day to 36 g/day. The combination of fosfomycin at 4 g every 8 h (q8h) and meropenem at 1 g/q8h was selected for further assessment. The total bacterial population and the resistant subpopulations were determined. No efficacy was observed against the Ec42444 strain (fosfomycin MIC, 64 mg/liter) at doses of 12, 24, or 36 g/day. All dosages induced at least initial bacterial killing against Ec46 (fosfomycin MIC, 1 mg/liter). High-level drug-resistant mutants appeared in this strain in response to 12, 15, and 18 g/day. In the study arms that included 24 g/day, once or in a divided dose, a complete extinction of the bacterial inoculum was observed. The combination of meropenem with fosfomycin was synergistic for bacterial killing and also suppressed all fosfomycin-resistant clones of Ec2974 (fosfomycin MIC, 1 mg/liter). We conclude that fosfomycin susceptibility breakpoints (\u226464 mg/liter according to CLSI [for E. coli urinary tract infections only]) should be revised for the treatment of serious systemic infections. Fosfomycin can be used to treat infections caused by organisms that demonstrate lower MICs and lower bacterial densities, although relatively high daily dosages (i.e., 24 g/day) are required to prevent the emergence of bacterial resistance. The ratio of the area under the concentration-time curve for the free, unbound fraction of fosfomycin versus the MIC (fAUC/MIC) appears to be the dynamically linked index of suppression of bacterial resistance. Fosfomycin with meropenem can act synergistically against E. coli strains in preventing the emergence of fosfomycin resistance.", "author" : [ { "dropping-particle" : "", "family" : "Docobo-P\u00e9rez", "given" : "F.", "non-dropping-particle" : "", "parse-names" : false, "suffix" : "" }, { "dropping-particle" : "", "family" : "Drusano", "given" : "G. L.", "non-dropping-particle" : "", "parse-names" : false, "suffix" : "" }, { "dropping-particle" : "", "family" : "Johnson", "given" : "A.", "non-dropping-particle" : "", "parse-names" : false, "suffix" : "" }, { "dropping-particle" : "", "family" : "Goodwin", "given" : "J.", "non-dropping-particle" : "", "parse-names" : false, "suffix" : "" }, { "dropping-particle" : "", "family" : "Whalley", "given" : "S.", "non-dropping-particle" : "", "parse-names" : false, "suffix" : "" }, { "dropping-particle" : "", "family" : "Ramos-Mart\u00edn", "given" : "V.", "non-dropping-particle" : "", "parse-names" : false, "suffix" : "" }, { "dropping-particle" : "", "family" : "Ballestero-Tellez", "given" : "M.", "non-dropping-particle" : "", "parse-names" : false, "suffix" : "" }, { "dropping-particle" : "", "family" : "Rodriguez-Martinez", "given" : "J. M.", "non-dropping-particle" : "", "parse-names" : false, "suffix" : "" }, { "dropping-particle" : "", "family" : "Conejo", "given" : "M. C.", "non-dropping-particle" : "", "parse-names" : false, "suffix" : "" }, { "dropping-particle" : "", "family" : "Guilder", "given" : "M.", "non-dropping-particle" : "Van", "parse-names" : false, "suffix" : "" }, { "dropping-particle" : "", "family" : "Rodr\u00edguez-Ba\u00f1o", "given" : "J.", "non-dropping-particle" : "", "parse-names" : false, "suffix" : "" }, { "dropping-particle" : "", "family" : "Pascual", "given" : "A.", "non-dropping-particle" : "", "parse-names" : false, "suffix" : "" }, { "dropping-particle" : "", "family" : "Hope", "given" : "W. W.", "non-dropping-particle" : "", "parse-names" : false, "suffix" : "" } ], "container-title" : "Antimicrobial Agents and Chemotherapy", "id" : "ITEM-1", "issue" : "9", "issued" : { "date-parts" : [ [ "2015", "9" ] ] }, "page" : "5602-5610", "title" : "Pharmacodynamics of fosfomycin: Insights into clinical use for antimicrobial resistance", "type" : "article-journal", "volume" : "59" }, "uris" : [ "http://www.mendeley.com/documents/?uuid=b5bdd729-09ba-40fa-91af-ebe0c999dd2e" ] } ], "mendeley" : { "formattedCitation" : "[5]", "plainTextFormattedCitation" : "[5]", "previouslyFormattedCitation" : "[5]" }, "properties" : {  }, "schema" : "https://github.com/citation-style-language/schema/raw/master/csl-citation.json" }</w:instrText>
      </w:r>
      <w:r w:rsidR="00757263" w:rsidRPr="00520DB0">
        <w:rPr>
          <w:rFonts w:ascii="Times New Roman" w:hAnsi="Times New Roman"/>
          <w:sz w:val="24"/>
          <w:szCs w:val="24"/>
          <w:lang w:val="en-GB"/>
        </w:rPr>
        <w:fldChar w:fldCharType="separate"/>
      </w:r>
      <w:r w:rsidR="00757263" w:rsidRPr="00520DB0">
        <w:rPr>
          <w:rFonts w:ascii="Times New Roman" w:hAnsi="Times New Roman"/>
          <w:noProof/>
          <w:sz w:val="24"/>
          <w:szCs w:val="24"/>
          <w:lang w:val="en-GB"/>
        </w:rPr>
        <w:t>[5]</w:t>
      </w:r>
      <w:r w:rsidR="00757263" w:rsidRPr="00520DB0">
        <w:rPr>
          <w:rFonts w:ascii="Times New Roman" w:hAnsi="Times New Roman"/>
          <w:sz w:val="24"/>
          <w:szCs w:val="24"/>
          <w:lang w:val="en-GB"/>
        </w:rPr>
        <w:fldChar w:fldCharType="end"/>
      </w:r>
      <w:r w:rsidRPr="00520DB0">
        <w:rPr>
          <w:rFonts w:ascii="Times New Roman" w:hAnsi="Times New Roman"/>
          <w:sz w:val="24"/>
          <w:szCs w:val="24"/>
          <w:lang w:val="en-GB"/>
        </w:rPr>
        <w:t xml:space="preserve"> </w:t>
      </w:r>
      <w:r w:rsidR="005A158C" w:rsidRPr="00520DB0">
        <w:rPr>
          <w:rFonts w:ascii="Times New Roman" w:hAnsi="Times New Roman"/>
          <w:sz w:val="24"/>
          <w:szCs w:val="24"/>
          <w:lang w:val="en-GB"/>
        </w:rPr>
        <w:t>provided the</w:t>
      </w:r>
      <w:r w:rsidR="00D428E1" w:rsidRPr="00520DB0">
        <w:rPr>
          <w:rFonts w:ascii="Times New Roman" w:hAnsi="Times New Roman"/>
          <w:sz w:val="24"/>
          <w:szCs w:val="24"/>
          <w:lang w:val="en-GB"/>
        </w:rPr>
        <w:t xml:space="preserve"> pharmacodynamic targets for fosfomycin </w:t>
      </w:r>
      <w:r w:rsidR="005A158C" w:rsidRPr="00520DB0">
        <w:rPr>
          <w:rFonts w:ascii="Times New Roman" w:hAnsi="Times New Roman"/>
          <w:sz w:val="24"/>
          <w:szCs w:val="24"/>
          <w:lang w:val="en-GB"/>
        </w:rPr>
        <w:t xml:space="preserve">and enabled </w:t>
      </w:r>
      <w:r w:rsidR="00D428E1" w:rsidRPr="00520DB0">
        <w:rPr>
          <w:rFonts w:ascii="Times New Roman" w:hAnsi="Times New Roman"/>
          <w:sz w:val="24"/>
          <w:szCs w:val="24"/>
          <w:lang w:val="en-GB"/>
        </w:rPr>
        <w:t xml:space="preserve">Monte Carlo simulation and </w:t>
      </w:r>
      <w:r w:rsidRPr="00520DB0">
        <w:rPr>
          <w:rFonts w:ascii="Times New Roman" w:hAnsi="Times New Roman"/>
          <w:sz w:val="24"/>
          <w:szCs w:val="24"/>
          <w:lang w:val="en-GB"/>
        </w:rPr>
        <w:t>PTA</w:t>
      </w:r>
      <w:r w:rsidR="00B837EA" w:rsidRPr="00520DB0">
        <w:rPr>
          <w:rFonts w:ascii="Times New Roman" w:hAnsi="Times New Roman"/>
          <w:sz w:val="24"/>
          <w:szCs w:val="24"/>
          <w:lang w:val="en-GB"/>
        </w:rPr>
        <w:t xml:space="preserve"> calculation</w:t>
      </w:r>
      <w:r w:rsidR="00D428E1" w:rsidRPr="00520DB0">
        <w:rPr>
          <w:rFonts w:ascii="Times New Roman" w:hAnsi="Times New Roman"/>
          <w:sz w:val="24"/>
          <w:szCs w:val="24"/>
          <w:lang w:val="en-GB"/>
        </w:rPr>
        <w:t>.</w:t>
      </w:r>
      <w:r w:rsidR="00662C30" w:rsidRPr="00520DB0">
        <w:rPr>
          <w:rFonts w:ascii="Times New Roman" w:hAnsi="Times New Roman"/>
          <w:sz w:val="24"/>
          <w:szCs w:val="24"/>
          <w:lang w:val="en-GB"/>
        </w:rPr>
        <w:t xml:space="preserve"> </w:t>
      </w:r>
      <w:r w:rsidR="005A158C" w:rsidRPr="00520DB0">
        <w:rPr>
          <w:rFonts w:ascii="Times New Roman" w:hAnsi="Times New Roman"/>
          <w:sz w:val="24"/>
          <w:szCs w:val="24"/>
          <w:lang w:val="en-GB"/>
        </w:rPr>
        <w:t>These analyses raise</w:t>
      </w:r>
      <w:r w:rsidRPr="00520DB0">
        <w:rPr>
          <w:rFonts w:ascii="Times New Roman" w:hAnsi="Times New Roman"/>
          <w:sz w:val="24"/>
          <w:szCs w:val="24"/>
          <w:lang w:val="en-GB"/>
        </w:rPr>
        <w:t>d</w:t>
      </w:r>
      <w:r w:rsidR="005A158C" w:rsidRPr="00520DB0">
        <w:rPr>
          <w:rFonts w:ascii="Times New Roman" w:hAnsi="Times New Roman"/>
          <w:sz w:val="24"/>
          <w:szCs w:val="24"/>
          <w:lang w:val="en-GB"/>
        </w:rPr>
        <w:t xml:space="preserve"> several points that deserve </w:t>
      </w:r>
      <w:r w:rsidR="00CD5F01" w:rsidRPr="00520DB0">
        <w:rPr>
          <w:rFonts w:ascii="Times New Roman" w:hAnsi="Times New Roman"/>
          <w:sz w:val="24"/>
          <w:szCs w:val="24"/>
          <w:lang w:val="en-GB"/>
        </w:rPr>
        <w:t>emphasis</w:t>
      </w:r>
      <w:r w:rsidR="00662C30" w:rsidRPr="00520DB0">
        <w:rPr>
          <w:rFonts w:ascii="Times New Roman" w:hAnsi="Times New Roman"/>
          <w:sz w:val="24"/>
          <w:szCs w:val="24"/>
          <w:lang w:val="en-GB"/>
        </w:rPr>
        <w:t>. First, an increase in the fosfomycin dosage, from 4g/Q6h (</w:t>
      </w:r>
      <w:r w:rsidR="003C301C" w:rsidRPr="00520DB0">
        <w:rPr>
          <w:rFonts w:ascii="Times New Roman" w:hAnsi="Times New Roman"/>
          <w:sz w:val="24"/>
          <w:szCs w:val="24"/>
          <w:lang w:val="en-GB"/>
        </w:rPr>
        <w:t>16g/day</w:t>
      </w:r>
      <w:r w:rsidR="00662C30" w:rsidRPr="00520DB0">
        <w:rPr>
          <w:rFonts w:ascii="Times New Roman" w:hAnsi="Times New Roman"/>
          <w:sz w:val="24"/>
          <w:szCs w:val="24"/>
          <w:lang w:val="en-GB"/>
        </w:rPr>
        <w:t>)</w:t>
      </w:r>
      <w:r w:rsidR="003C301C" w:rsidRPr="00520DB0">
        <w:rPr>
          <w:rFonts w:ascii="Times New Roman" w:hAnsi="Times New Roman"/>
          <w:sz w:val="24"/>
          <w:szCs w:val="24"/>
          <w:lang w:val="en-GB"/>
        </w:rPr>
        <w:t xml:space="preserve"> to 8g/Q8h (24g/day, </w:t>
      </w:r>
      <w:r w:rsidR="00B837EA" w:rsidRPr="00520DB0">
        <w:rPr>
          <w:rFonts w:ascii="Times New Roman" w:hAnsi="Times New Roman"/>
          <w:sz w:val="24"/>
          <w:szCs w:val="24"/>
          <w:lang w:val="en-GB"/>
        </w:rPr>
        <w:t xml:space="preserve">which is </w:t>
      </w:r>
      <w:r w:rsidR="003C301C" w:rsidRPr="00520DB0">
        <w:rPr>
          <w:rFonts w:ascii="Times New Roman" w:hAnsi="Times New Roman"/>
          <w:sz w:val="24"/>
          <w:szCs w:val="24"/>
          <w:lang w:val="en-GB"/>
        </w:rPr>
        <w:t xml:space="preserve">the maximum dosage approved by </w:t>
      </w:r>
      <w:r w:rsidR="00E264E2" w:rsidRPr="00520DB0">
        <w:rPr>
          <w:rFonts w:ascii="Times New Roman" w:hAnsi="Times New Roman"/>
          <w:sz w:val="24"/>
          <w:szCs w:val="24"/>
          <w:lang w:val="en-GB"/>
        </w:rPr>
        <w:t>the Spanish Agency of Medicines and Medical Devices</w:t>
      </w:r>
      <w:r w:rsidR="003C301C" w:rsidRPr="00520DB0">
        <w:rPr>
          <w:rFonts w:ascii="Times New Roman" w:hAnsi="Times New Roman"/>
          <w:sz w:val="24"/>
          <w:szCs w:val="24"/>
          <w:lang w:val="en-GB"/>
        </w:rPr>
        <w:t>)</w:t>
      </w:r>
      <w:r w:rsidR="008C1277" w:rsidRPr="00520DB0">
        <w:rPr>
          <w:rFonts w:ascii="Times New Roman" w:hAnsi="Times New Roman"/>
          <w:sz w:val="24"/>
          <w:szCs w:val="24"/>
          <w:lang w:val="en-GB"/>
        </w:rPr>
        <w:t xml:space="preserve"> </w:t>
      </w:r>
      <w:r w:rsidR="00D034FC" w:rsidRPr="00520DB0">
        <w:rPr>
          <w:rFonts w:ascii="Times New Roman" w:hAnsi="Times New Roman"/>
          <w:sz w:val="24"/>
          <w:szCs w:val="24"/>
          <w:lang w:val="en-GB"/>
        </w:rPr>
        <w:t xml:space="preserve">only </w:t>
      </w:r>
      <w:r w:rsidR="008C1277" w:rsidRPr="00520DB0">
        <w:rPr>
          <w:rFonts w:ascii="Times New Roman" w:hAnsi="Times New Roman"/>
          <w:sz w:val="24"/>
          <w:szCs w:val="24"/>
          <w:lang w:val="en-GB"/>
        </w:rPr>
        <w:t>slightly improve</w:t>
      </w:r>
      <w:r w:rsidR="005A158C" w:rsidRPr="00520DB0">
        <w:rPr>
          <w:rFonts w:ascii="Times New Roman" w:hAnsi="Times New Roman"/>
          <w:sz w:val="24"/>
          <w:szCs w:val="24"/>
          <w:lang w:val="en-GB"/>
        </w:rPr>
        <w:t>s</w:t>
      </w:r>
      <w:r w:rsidR="008C1277" w:rsidRPr="00520DB0">
        <w:rPr>
          <w:rFonts w:ascii="Times New Roman" w:hAnsi="Times New Roman"/>
          <w:sz w:val="24"/>
          <w:szCs w:val="24"/>
          <w:lang w:val="en-GB"/>
        </w:rPr>
        <w:t xml:space="preserve"> the </w:t>
      </w:r>
      <w:r w:rsidR="00D034FC" w:rsidRPr="00520DB0">
        <w:rPr>
          <w:rFonts w:ascii="Times New Roman" w:hAnsi="Times New Roman"/>
          <w:sz w:val="24"/>
          <w:szCs w:val="24"/>
          <w:lang w:val="en-GB"/>
        </w:rPr>
        <w:t>PTA</w:t>
      </w:r>
      <w:r w:rsidR="008B464A" w:rsidRPr="00520DB0">
        <w:rPr>
          <w:rFonts w:ascii="Times New Roman" w:hAnsi="Times New Roman"/>
          <w:sz w:val="24"/>
          <w:szCs w:val="24"/>
          <w:lang w:val="en-GB"/>
        </w:rPr>
        <w:t>s</w:t>
      </w:r>
      <w:r w:rsidR="00D034FC" w:rsidRPr="00520DB0">
        <w:rPr>
          <w:rFonts w:ascii="Times New Roman" w:hAnsi="Times New Roman"/>
          <w:sz w:val="24"/>
          <w:szCs w:val="24"/>
          <w:lang w:val="en-GB"/>
        </w:rPr>
        <w:t xml:space="preserve"> </w:t>
      </w:r>
      <w:r w:rsidR="00D057AB" w:rsidRPr="00520DB0">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"URL" : "http://www.aemps.gob.es/cima/especialidad.do?metodo=verFichaWordPdf&amp;codigo=54165&amp;formato=pdf&amp;formulario=FICHAS&amp;file=ficha.pdf", "container-title" : "Agencia Espa\u00f1ola del Medicamneto y Productos Sanitarios (AEMPS).", "id" : "ITEM-1", "issued" : { "date-parts" : [ [ "0" ] ] }, "title" : "Ficha t\u00e9cnica Fosfomicina intravenosa 4g polvo para soluci\u00f3n inyectable.", "type" : "webpage" }, "uris" : [ "http://www.mendeley.com/documents/?uuid=ee27fea0-dbe2-4a79-92eb-022021d3f92f" ] } ], "mendeley" : { "formattedCitation" : "[19]", "plainTextFormattedCitation" : "[19]", "previouslyFormattedCitation" : "[19]" }, "properties" : {  }, "schema" : "https://github.com/citation-style-language/schema/raw/master/csl-citation.json" }</w:instrText>
      </w:r>
      <w:r w:rsidR="00D057AB" w:rsidRPr="00520DB0">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[19]</w:t>
      </w:r>
      <w:r w:rsidR="00D057AB" w:rsidRPr="00520DB0">
        <w:rPr>
          <w:rFonts w:ascii="Times New Roman" w:hAnsi="Times New Roman"/>
          <w:sz w:val="24"/>
          <w:szCs w:val="24"/>
          <w:lang w:val="en-GB"/>
        </w:rPr>
        <w:fldChar w:fldCharType="end"/>
      </w:r>
      <w:r w:rsidR="00662C30" w:rsidRPr="00520DB0">
        <w:rPr>
          <w:rFonts w:ascii="Times New Roman" w:hAnsi="Times New Roman"/>
          <w:sz w:val="24"/>
          <w:szCs w:val="24"/>
          <w:lang w:val="en-GB"/>
        </w:rPr>
        <w:t>. This is of key importance</w:t>
      </w:r>
      <w:r w:rsidR="0007782A" w:rsidRPr="00520DB0">
        <w:rPr>
          <w:rFonts w:ascii="Times New Roman" w:hAnsi="Times New Roman"/>
          <w:sz w:val="24"/>
          <w:szCs w:val="24"/>
          <w:lang w:val="en-GB"/>
        </w:rPr>
        <w:t>, because a reduction of 8g of fosfomycin per day means a reduction 2.56 g of sodium (</w:t>
      </w:r>
      <w:r w:rsidR="00662C30" w:rsidRPr="00520DB0">
        <w:rPr>
          <w:rFonts w:ascii="Times New Roman" w:hAnsi="Times New Roman"/>
          <w:sz w:val="24"/>
          <w:szCs w:val="24"/>
          <w:lang w:val="en-GB"/>
        </w:rPr>
        <w:t>every gram contains 0.32 g of sodium</w:t>
      </w:r>
      <w:r w:rsidR="0007782A" w:rsidRPr="00520DB0">
        <w:rPr>
          <w:rFonts w:ascii="Times New Roman" w:hAnsi="Times New Roman"/>
          <w:sz w:val="24"/>
          <w:szCs w:val="24"/>
          <w:lang w:val="en-GB"/>
        </w:rPr>
        <w:t>)</w:t>
      </w:r>
      <w:r w:rsidR="00662C30" w:rsidRPr="00520DB0">
        <w:rPr>
          <w:rFonts w:ascii="Times New Roman" w:hAnsi="Times New Roman"/>
          <w:sz w:val="24"/>
          <w:szCs w:val="24"/>
          <w:lang w:val="en-GB"/>
        </w:rPr>
        <w:t xml:space="preserve"> </w:t>
      </w:r>
      <w:r w:rsidR="00D057AB" w:rsidRPr="00520DB0">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"URL" : "http://www.aemps.gob.es/cima/especialidad.do?metodo=verFichaWordPdf&amp;codigo=54165&amp;formato=pdf&amp;formulario=FICHAS&amp;file=ficha.pdf", "container-title" : "Agencia Espa\u00f1ola del Medicamneto y Productos Sanitarios (AEMPS).", "id" : "ITEM-1", "issued" : { "date-parts" : [ [ "0" ] ] }, "title" : "Ficha t\u00e9cnica Fosfomicina intravenosa 4g polvo para soluci\u00f3n inyectable.", "type" : "webpage" }, "uris" : [ "http://www.mendeley.com/documents/?uuid=ee27fea0-dbe2-4a79-92eb-022021d3f92f" ] } ], "mendeley" : { "formattedCitation" : "[19]", "plainTextFormattedCitation" : "[19]", "previouslyFormattedCitation" : "[19]" }, "properties" : {  }, "schema" : "https://github.com/citation-style-language/schema/raw/master/csl-citation.json" }</w:instrText>
      </w:r>
      <w:r w:rsidR="00D057AB" w:rsidRPr="00520DB0">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[19]</w:t>
      </w:r>
      <w:r w:rsidR="00D057AB" w:rsidRPr="00520DB0">
        <w:rPr>
          <w:rFonts w:ascii="Times New Roman" w:hAnsi="Times New Roman"/>
          <w:sz w:val="24"/>
          <w:szCs w:val="24"/>
          <w:lang w:val="en-GB"/>
        </w:rPr>
        <w:fldChar w:fldCharType="end"/>
      </w:r>
      <w:r w:rsidR="0007782A" w:rsidRPr="00520DB0">
        <w:rPr>
          <w:rFonts w:ascii="Times New Roman" w:hAnsi="Times New Roman"/>
          <w:sz w:val="24"/>
          <w:szCs w:val="24"/>
          <w:lang w:val="en-GB"/>
        </w:rPr>
        <w:t xml:space="preserve">, reducing the risk adverse events including </w:t>
      </w:r>
      <w:r w:rsidR="002A7295" w:rsidRPr="00520DB0">
        <w:rPr>
          <w:rFonts w:ascii="Times New Roman" w:hAnsi="Times New Roman"/>
          <w:sz w:val="24"/>
          <w:szCs w:val="24"/>
          <w:lang w:val="en-GB"/>
        </w:rPr>
        <w:t>hypocalcemia, bradycardia or even</w:t>
      </w:r>
      <w:r w:rsidR="002A7295" w:rsidRPr="00520DB0">
        <w:rPr>
          <w:rFonts w:ascii="Times New Roman" w:hAnsi="Times New Roman"/>
          <w:noProof/>
          <w:sz w:val="24"/>
          <w:szCs w:val="24"/>
          <w:lang w:val="en-GB"/>
        </w:rPr>
        <w:t xml:space="preserve"> </w:t>
      </w:r>
      <w:r w:rsidR="0007782A" w:rsidRPr="00520DB0">
        <w:rPr>
          <w:rFonts w:ascii="Times New Roman" w:hAnsi="Times New Roman"/>
          <w:sz w:val="24"/>
          <w:szCs w:val="24"/>
          <w:lang w:val="en-GB"/>
        </w:rPr>
        <w:t xml:space="preserve">heart failure </w:t>
      </w:r>
      <w:r w:rsidR="00BE7956" w:rsidRPr="00520DB0">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"DOI" : "10.1016/j.ijantimicag.2010.09.002", "ISSN" : "1872-7913", "PMID" : "21074377", "author" : [ { "dropping-particle" : "", "family" : "Florent", "given" : "Am\u00e9lie", "non-dropping-particle" : "", "parse-names" : false, "suffix" : "" }, { "dropping-particle" : "", "family" : "Chichmanian", "given" : "Rose-Marie", "non-dropping-particle" : "", "parse-names" : false, "suffix" : "" }, { "dropping-particle" : "", "family" : "Cua", "given" : "Eric", "non-dropping-particle" : "", "parse-names" : false, "suffix" : "" }, { "dropping-particle" : "", "family" : "Pulcini", "given" : "C\u00e9line", "non-dropping-particle" : "", "parse-names" : false, "suffix" : "" } ], "container-title" : "International journal of antimicrobial agents", "id" : "ITEM-1", "issue" : "1", "issued" : { "date-parts" : [ [ "2011", "1" ] ] }, "page" : "82-3", "title" : "Adverse events associated with intravenous fosfomycin.", "type" : "article-journal", "volume" : "37" }, "uris" : [ "http://www.mendeley.com/documents/?uuid=399834c3-fafc-479e-a6ad-8fd34a5a589b" ] }, { "id" : "ITEM-2", "itemData" : { "DOI" : "10.1128/AAC.00775-17", "ISSN" : "1098-6596", "PMID" : "28630194", "abstract" : "The pharmacokinetics, safety, and tolerability of intravenous (IV) fosfomycin disodium (ZTI-01) and oral fosfomycin tromethamine were evaluated after a single dose in 28 healthy adult subjects. Subjects received a single 1 hour IV infusion of 1 g and 8 g fosfomycin disodium and a single dose of 3 g oral fosfomycin tromethamine in a phase I, randomized, open-label, three-period crossover study. Serial blood and urine samples were collected before and up to 48 hours after dosing. The mean pharmacokinetic parameters \u00b1 standard deviations of fosfomycin in plasma after 1 g and 8 g IV were: Cmax= 44.3 \u00b1 7.6 and 370 \u00b1 61.9 \u03bcg/mL, Tmax= 1.1 \u00b1 0.05 and 1.08 \u00b1 0.01 h, Vd= 29.7 \u00b1 5.7 and 31.5 \u00b1 10.4 liters, CL= 8.7 \u00b1 1.7 and 7.8 \u00b1 1.4 liters/h, CLR= 6.6 \u00b1 1.9 and 6.3 \u00b1 1.6 liters/h, AUC0-\u221e= 120 \u00b1 28.5 and 1060 \u00b1 192 \u03bcg\u22c5h/mL, and t1/2= 2.4 \u00b1 0.4 and 2.8 \u00b1 0.6 h, respectively. After oral administration the parameters were: Cmax= 26.8 \u00b1 6.4 \u03bcg/mL, Tmax= 2.25 \u00b1 0.4 h, Vd/F= 204 \u00b1 70.7 liters, CL/F= 17 \u00b1 4.7 liters/h, CLR= 6.5 \u00b1 1.8 liters/h, AUC0-\u221e= 191 \u00b1 57.6 \u03bcg\u22c5h/mL, and t1/2= 9.04 \u00b1 4.5 h, respectively. The percent relative bioavailability of orally administered fosfomycin was 52.8% in relation to the 1 g IV dose. Approximately 74% and 80% of the 1 g and 8 g IV doses were excreted unchanged in the urine by 48 hours, compared to 37% after oral administration, with the majority of this excretion occurring by 12 hours regardless of dosage form. No new safety concerns were identified during this study. The results of this study support further investigation of IV fosfomycin in the target patient population, including patients with complicated urinary tract infections and pyelonephritis.", "author" : [ { "dropping-particle" : "", "family" : "Wenzler", "given" : "E", "non-dropping-particle" : "", "parse-names" : false, "suffix" : "" }, { "dropping-particle" : "", "family" : "Ellis-Grosse", "given" : "E J", "non-dropping-particle" : "", "parse-names" : false, "suffix" : "" }, { "dropping-particle" : "", "family" : "Rodvold", "given" : "K A", "non-dropping-particle" : "", "parse-names" : false, "suffix" : "" } ], "container-title" : "Antimicrobial agents and chemotherapy", "id" : "ITEM-2", "issued" : { "date-parts" : [ [ "2017", "6", "19" ] ] }, "title" : "Pharmacokinetics, Safety, and Tolerability of Single Dose Intravenous (ZTI-01) and Oral Fosfomycin in Healthy Volunteers.", "type" : "article-journal" }, "uris" : [ "http://www.mendeley.com/documents/?uuid=0d1ac7ac-7d72-4cdc-9271-8f380f3e7fce" ] } ], "mendeley" : { "formattedCitation" : "[23,24]", "plainTextFormattedCitation" : "[23,24]", "previouslyFormattedCitation" : "[23,24]" }, "properties" : {  }, "schema" : "https://github.com/citation-style-language/schema/raw/master/csl-citation.json" }</w:instrText>
      </w:r>
      <w:r w:rsidR="00BE7956" w:rsidRPr="00520DB0">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[23,24]</w:t>
      </w:r>
      <w:r w:rsidR="00BE7956" w:rsidRPr="00520DB0">
        <w:rPr>
          <w:rFonts w:ascii="Times New Roman" w:hAnsi="Times New Roman"/>
          <w:sz w:val="24"/>
          <w:szCs w:val="24"/>
          <w:lang w:val="en-GB"/>
        </w:rPr>
        <w:fldChar w:fldCharType="end"/>
      </w:r>
      <w:r w:rsidR="00D034FC" w:rsidRPr="00520DB0">
        <w:rPr>
          <w:rFonts w:ascii="Times New Roman" w:hAnsi="Times New Roman"/>
          <w:sz w:val="24"/>
          <w:szCs w:val="24"/>
          <w:lang w:val="en-GB"/>
        </w:rPr>
        <w:t xml:space="preserve">, which may be particularly relevant for </w:t>
      </w:r>
      <w:r w:rsidR="00B92C1A" w:rsidRPr="00520DB0">
        <w:rPr>
          <w:rFonts w:ascii="Times New Roman" w:hAnsi="Times New Roman"/>
          <w:sz w:val="24"/>
          <w:szCs w:val="24"/>
          <w:lang w:val="en-GB"/>
        </w:rPr>
        <w:t xml:space="preserve">hospitalised </w:t>
      </w:r>
      <w:r w:rsidR="00D034FC" w:rsidRPr="00520DB0">
        <w:rPr>
          <w:rFonts w:ascii="Times New Roman" w:hAnsi="Times New Roman"/>
          <w:sz w:val="24"/>
          <w:szCs w:val="24"/>
          <w:lang w:val="en-GB"/>
        </w:rPr>
        <w:t>patients</w:t>
      </w:r>
      <w:r w:rsidR="00AE4AC2" w:rsidRPr="00520DB0">
        <w:rPr>
          <w:rFonts w:ascii="Times New Roman" w:hAnsi="Times New Roman"/>
          <w:sz w:val="24"/>
          <w:szCs w:val="24"/>
          <w:lang w:val="en-GB"/>
        </w:rPr>
        <w:t>.</w:t>
      </w:r>
    </w:p>
    <w:p w14:paraId="3C18E4A3" w14:textId="34D109A1" w:rsidR="00937742" w:rsidRPr="00520DB0" w:rsidRDefault="00B92C1A" w:rsidP="00B92C1A">
      <w:pPr>
        <w:autoSpaceDE w:val="0"/>
        <w:autoSpaceDN w:val="0"/>
        <w:adjustRightInd w:val="0"/>
        <w:spacing w:after="0" w:line="480" w:lineRule="auto"/>
        <w:ind w:firstLine="708"/>
        <w:jc w:val="both"/>
        <w:rPr>
          <w:rFonts w:ascii="Times New Roman" w:hAnsi="Times New Roman"/>
          <w:sz w:val="24"/>
          <w:szCs w:val="24"/>
          <w:lang w:val="en-GB"/>
        </w:rPr>
      </w:pPr>
      <w:r w:rsidRPr="00520DB0">
        <w:rPr>
          <w:rFonts w:ascii="Times New Roman" w:hAnsi="Times New Roman"/>
          <w:sz w:val="24"/>
          <w:szCs w:val="24"/>
          <w:lang w:val="en-GB"/>
        </w:rPr>
        <w:t xml:space="preserve">An </w:t>
      </w:r>
      <w:r w:rsidR="00CB4772" w:rsidRPr="00520DB0">
        <w:rPr>
          <w:rFonts w:ascii="Times New Roman" w:hAnsi="Times New Roman"/>
          <w:sz w:val="24"/>
          <w:szCs w:val="24"/>
          <w:lang w:val="en-GB"/>
        </w:rPr>
        <w:t xml:space="preserve">appraisal </w:t>
      </w:r>
      <w:r w:rsidR="008C1277" w:rsidRPr="00520DB0">
        <w:rPr>
          <w:rFonts w:ascii="Times New Roman" w:hAnsi="Times New Roman"/>
          <w:sz w:val="24"/>
          <w:szCs w:val="24"/>
          <w:lang w:val="en-GB"/>
        </w:rPr>
        <w:t>of the current susceptibility breakpoint</w:t>
      </w:r>
      <w:r w:rsidR="00CB4772" w:rsidRPr="00520DB0">
        <w:rPr>
          <w:rFonts w:ascii="Times New Roman" w:hAnsi="Times New Roman"/>
          <w:sz w:val="24"/>
          <w:szCs w:val="24"/>
          <w:lang w:val="en-GB"/>
        </w:rPr>
        <w:t>s</w:t>
      </w:r>
      <w:r w:rsidR="008C1277" w:rsidRPr="00520DB0">
        <w:rPr>
          <w:rFonts w:ascii="Times New Roman" w:hAnsi="Times New Roman"/>
          <w:sz w:val="24"/>
          <w:szCs w:val="24"/>
          <w:lang w:val="en-GB"/>
        </w:rPr>
        <w:t xml:space="preserve"> for fosfomycin </w:t>
      </w:r>
      <w:r w:rsidR="00CB4772" w:rsidRPr="00520DB0">
        <w:rPr>
          <w:rFonts w:ascii="Times New Roman" w:hAnsi="Times New Roman"/>
          <w:sz w:val="24"/>
          <w:szCs w:val="24"/>
          <w:lang w:val="en-GB"/>
        </w:rPr>
        <w:t xml:space="preserve">set by EUCAST or CLSI using the pharmacodynamic </w:t>
      </w:r>
      <w:r w:rsidRPr="00520DB0">
        <w:rPr>
          <w:rFonts w:ascii="Times New Roman" w:hAnsi="Times New Roman"/>
          <w:sz w:val="24"/>
          <w:szCs w:val="24"/>
          <w:lang w:val="en-GB"/>
        </w:rPr>
        <w:t xml:space="preserve">analyses </w:t>
      </w:r>
      <w:r w:rsidR="00757263" w:rsidRPr="00520DB0">
        <w:rPr>
          <w:rFonts w:ascii="Times New Roman" w:hAnsi="Times New Roman"/>
          <w:sz w:val="24"/>
          <w:szCs w:val="24"/>
          <w:lang w:val="en-GB"/>
        </w:rPr>
        <w:t xml:space="preserve">show </w:t>
      </w:r>
      <w:r w:rsidR="008C45B5" w:rsidRPr="00520DB0">
        <w:rPr>
          <w:rFonts w:ascii="Times New Roman" w:hAnsi="Times New Roman"/>
          <w:sz w:val="24"/>
          <w:szCs w:val="24"/>
          <w:lang w:val="en-GB"/>
        </w:rPr>
        <w:t xml:space="preserve">that efficacy </w:t>
      </w:r>
      <w:r w:rsidR="007F135E">
        <w:rPr>
          <w:rFonts w:ascii="Times New Roman" w:hAnsi="Times New Roman"/>
          <w:sz w:val="24"/>
          <w:szCs w:val="24"/>
          <w:lang w:val="en-GB"/>
        </w:rPr>
        <w:t>would be</w:t>
      </w:r>
      <w:r w:rsidR="007F135E" w:rsidRPr="00520DB0">
        <w:rPr>
          <w:rFonts w:ascii="Times New Roman" w:hAnsi="Times New Roman"/>
          <w:sz w:val="24"/>
          <w:szCs w:val="24"/>
          <w:lang w:val="en-GB"/>
        </w:rPr>
        <w:t xml:space="preserve"> </w:t>
      </w:r>
      <w:r w:rsidR="00CB4772" w:rsidRPr="00520DB0">
        <w:rPr>
          <w:rFonts w:ascii="Times New Roman" w:hAnsi="Times New Roman"/>
          <w:sz w:val="24"/>
          <w:szCs w:val="24"/>
          <w:lang w:val="en-GB"/>
        </w:rPr>
        <w:t xml:space="preserve">better </w:t>
      </w:r>
      <w:r w:rsidR="008C45B5" w:rsidRPr="00520DB0">
        <w:rPr>
          <w:rFonts w:ascii="Times New Roman" w:hAnsi="Times New Roman"/>
          <w:sz w:val="24"/>
          <w:szCs w:val="24"/>
          <w:lang w:val="en-GB"/>
        </w:rPr>
        <w:t>related with</w:t>
      </w:r>
      <w:r w:rsidR="00CB4772" w:rsidRPr="00520DB0">
        <w:rPr>
          <w:rFonts w:ascii="Times New Roman" w:hAnsi="Times New Roman"/>
          <w:sz w:val="24"/>
          <w:szCs w:val="24"/>
          <w:lang w:val="en-GB"/>
        </w:rPr>
        <w:t xml:space="preserve"> those of EUCAST (</w:t>
      </w:r>
      <w:r w:rsidR="00CB4772" w:rsidRPr="00520DB0">
        <w:rPr>
          <w:rFonts w:ascii="Times New Roman" w:hAnsi="Times New Roman"/>
          <w:i/>
          <w:sz w:val="24"/>
          <w:szCs w:val="24"/>
          <w:lang w:val="en-GB"/>
        </w:rPr>
        <w:t>i.e.</w:t>
      </w:r>
      <w:r w:rsidR="00CB4772" w:rsidRPr="00520DB0">
        <w:rPr>
          <w:rFonts w:ascii="Times New Roman" w:hAnsi="Times New Roman"/>
          <w:sz w:val="24"/>
          <w:szCs w:val="24"/>
          <w:lang w:val="en-GB"/>
        </w:rPr>
        <w:t xml:space="preserve"> susceptible ≤32 mg/L, resistant &gt;32mg/L)</w:t>
      </w:r>
      <w:r w:rsidR="00027912" w:rsidRPr="00520DB0">
        <w:rPr>
          <w:rFonts w:ascii="Times New Roman" w:hAnsi="Times New Roman"/>
          <w:sz w:val="24"/>
          <w:szCs w:val="24"/>
          <w:lang w:val="en-GB"/>
        </w:rPr>
        <w:t xml:space="preserve">, rather than </w:t>
      </w:r>
      <w:r w:rsidR="00CD4428" w:rsidRPr="00520DB0">
        <w:rPr>
          <w:rFonts w:ascii="Times New Roman" w:hAnsi="Times New Roman"/>
          <w:sz w:val="24"/>
          <w:szCs w:val="24"/>
          <w:lang w:val="en-GB"/>
        </w:rPr>
        <w:t>those of CLSI (</w:t>
      </w:r>
      <w:r w:rsidR="00CD4428" w:rsidRPr="00520DB0">
        <w:rPr>
          <w:rFonts w:ascii="Times New Roman" w:hAnsi="Times New Roman"/>
          <w:i/>
          <w:sz w:val="24"/>
          <w:szCs w:val="24"/>
          <w:lang w:val="en-GB"/>
        </w:rPr>
        <w:t>i.e.</w:t>
      </w:r>
      <w:r w:rsidR="00CD4428" w:rsidRPr="00520DB0">
        <w:rPr>
          <w:rFonts w:ascii="Times New Roman" w:hAnsi="Times New Roman"/>
          <w:sz w:val="24"/>
          <w:szCs w:val="24"/>
          <w:lang w:val="en-GB"/>
        </w:rPr>
        <w:t xml:space="preserve"> susceptible ≤64 mg/L, resistant ≥256mg/L) </w:t>
      </w:r>
      <w:r w:rsidR="00CD4428" w:rsidRPr="00520DB0">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"id" : "ITEM-1", "issued" : { "date-parts" : [ [ "2017" ] ] }, "title" : "EUCAST, Breakpoint Tables for Interpretation of MICs and Zone Diameters, Version 7.0.", "type" : "legislation" }, "uris" : [ "http://www.mendeley.com/documents/?uuid=4acb2f49-9f5d-4aef-892f-ef6966008792" ] }, { "id" : "ITEM-2", "itemData" : { "author" : [ { "dropping-particle" : "", "family" : "Clinical and Laboratory Standards Institute", "given" : "", "non-dropping-particle" : "", "parse-names" : false, "suffix" : "" } ], "id" : "ITEM-2", "issued" : { "date-parts" : [ [ "2017" ] ] }, "title" : "Performance Standards for Antimicrobial Disk Susceptibility Tests, 12th Edition, M02-A12.", "type" : "article-journal" }, "uris" : [ "http://www.mendeley.com/documents/?uuid=d5777ccb-da3b-4c65-9a7c-1618dd53dc58" ] } ], "mendeley" : { "formattedCitation" : "[25,26]", "plainTextFormattedCitation" : "[25,26]", "previouslyFormattedCitation" : "[25,26]" }, "properties" : {  }, "schema" : "https://github.com/citation-style-language/schema/raw/master/csl-citation.json" }</w:instrText>
      </w:r>
      <w:r w:rsidR="00CD4428" w:rsidRPr="00520DB0">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[25,26]</w:t>
      </w:r>
      <w:r w:rsidR="00CD4428" w:rsidRPr="00520DB0">
        <w:rPr>
          <w:rFonts w:ascii="Times New Roman" w:hAnsi="Times New Roman"/>
          <w:sz w:val="24"/>
          <w:szCs w:val="24"/>
          <w:lang w:val="en-GB"/>
        </w:rPr>
        <w:fldChar w:fldCharType="end"/>
      </w:r>
      <w:r w:rsidR="00CD4428" w:rsidRPr="00520DB0">
        <w:rPr>
          <w:rFonts w:ascii="Times New Roman" w:hAnsi="Times New Roman"/>
          <w:sz w:val="24"/>
          <w:szCs w:val="24"/>
          <w:lang w:val="en-GB"/>
        </w:rPr>
        <w:t>.</w:t>
      </w:r>
      <w:r w:rsidRPr="00520DB0">
        <w:rPr>
          <w:rFonts w:ascii="Times New Roman" w:hAnsi="Times New Roman"/>
          <w:sz w:val="24"/>
          <w:szCs w:val="24"/>
          <w:lang w:val="en-GB"/>
        </w:rPr>
        <w:t xml:space="preserve"> </w:t>
      </w:r>
      <w:r w:rsidR="00937742" w:rsidRPr="00520DB0">
        <w:rPr>
          <w:rFonts w:ascii="Times New Roman" w:hAnsi="Times New Roman"/>
          <w:sz w:val="24"/>
          <w:szCs w:val="24"/>
          <w:lang w:val="en-GB"/>
        </w:rPr>
        <w:t xml:space="preserve">However, </w:t>
      </w:r>
      <w:r w:rsidRPr="00520DB0">
        <w:rPr>
          <w:rFonts w:ascii="Times New Roman" w:hAnsi="Times New Roman"/>
          <w:sz w:val="24"/>
          <w:szCs w:val="24"/>
          <w:lang w:val="en-GB"/>
        </w:rPr>
        <w:t xml:space="preserve">from </w:t>
      </w:r>
      <w:r w:rsidR="00937742" w:rsidRPr="00520DB0">
        <w:rPr>
          <w:rFonts w:ascii="Times New Roman" w:hAnsi="Times New Roman"/>
          <w:sz w:val="24"/>
          <w:szCs w:val="24"/>
          <w:lang w:val="en-GB"/>
        </w:rPr>
        <w:t>the perspective of bacterial resistance suppression</w:t>
      </w:r>
      <w:r w:rsidR="00564BFC" w:rsidRPr="00520DB0">
        <w:rPr>
          <w:rFonts w:ascii="Times New Roman" w:hAnsi="Times New Roman"/>
          <w:sz w:val="24"/>
          <w:szCs w:val="24"/>
          <w:lang w:val="en-GB"/>
        </w:rPr>
        <w:t>,</w:t>
      </w:r>
      <w:r w:rsidR="00937742" w:rsidRPr="00520DB0">
        <w:rPr>
          <w:rFonts w:ascii="Times New Roman" w:hAnsi="Times New Roman"/>
          <w:sz w:val="24"/>
          <w:szCs w:val="24"/>
          <w:lang w:val="en-GB"/>
        </w:rPr>
        <w:t xml:space="preserve"> </w:t>
      </w:r>
      <w:r w:rsidRPr="00520DB0">
        <w:rPr>
          <w:rFonts w:ascii="Times New Roman" w:hAnsi="Times New Roman"/>
          <w:sz w:val="24"/>
          <w:szCs w:val="24"/>
          <w:lang w:val="en-GB"/>
        </w:rPr>
        <w:t>all breakpoints are likely too high</w:t>
      </w:r>
      <w:r w:rsidR="00937742" w:rsidRPr="00520DB0">
        <w:rPr>
          <w:rFonts w:ascii="Times New Roman" w:hAnsi="Times New Roman"/>
          <w:sz w:val="24"/>
          <w:szCs w:val="24"/>
          <w:lang w:val="en-GB"/>
        </w:rPr>
        <w:t xml:space="preserve">. </w:t>
      </w:r>
      <w:r w:rsidR="001D2903" w:rsidRPr="00520DB0">
        <w:rPr>
          <w:rFonts w:ascii="Times New Roman" w:hAnsi="Times New Roman"/>
          <w:sz w:val="24"/>
          <w:szCs w:val="24"/>
          <w:lang w:val="en-GB"/>
        </w:rPr>
        <w:t xml:space="preserve">It is </w:t>
      </w:r>
      <w:r w:rsidR="008B464A" w:rsidRPr="00520DB0">
        <w:rPr>
          <w:rFonts w:ascii="Times New Roman" w:hAnsi="Times New Roman"/>
          <w:sz w:val="24"/>
          <w:szCs w:val="24"/>
          <w:lang w:val="en-GB"/>
        </w:rPr>
        <w:t xml:space="preserve">also </w:t>
      </w:r>
      <w:r w:rsidR="001D2903" w:rsidRPr="00520DB0">
        <w:rPr>
          <w:rFonts w:ascii="Times New Roman" w:hAnsi="Times New Roman"/>
          <w:sz w:val="24"/>
          <w:szCs w:val="24"/>
          <w:lang w:val="en-GB"/>
        </w:rPr>
        <w:t>important to note that</w:t>
      </w:r>
      <w:r w:rsidR="00937742" w:rsidRPr="00520DB0">
        <w:rPr>
          <w:rFonts w:ascii="Times New Roman" w:hAnsi="Times New Roman"/>
          <w:sz w:val="24"/>
          <w:szCs w:val="24"/>
          <w:lang w:val="en-GB"/>
        </w:rPr>
        <w:t xml:space="preserve"> </w:t>
      </w:r>
      <w:r w:rsidRPr="00520DB0">
        <w:rPr>
          <w:rFonts w:ascii="Times New Roman" w:hAnsi="Times New Roman"/>
          <w:sz w:val="24"/>
          <w:szCs w:val="24"/>
          <w:lang w:val="en-GB"/>
        </w:rPr>
        <w:t xml:space="preserve">a number of </w:t>
      </w:r>
      <w:r w:rsidR="00937742" w:rsidRPr="00520DB0">
        <w:rPr>
          <w:rFonts w:ascii="Times New Roman" w:hAnsi="Times New Roman"/>
          <w:sz w:val="24"/>
          <w:szCs w:val="24"/>
          <w:lang w:val="en-GB"/>
        </w:rPr>
        <w:t xml:space="preserve">factors </w:t>
      </w:r>
      <w:r w:rsidRPr="00520DB0">
        <w:rPr>
          <w:rFonts w:ascii="Times New Roman" w:hAnsi="Times New Roman"/>
          <w:sz w:val="24"/>
          <w:szCs w:val="24"/>
          <w:lang w:val="en-GB"/>
        </w:rPr>
        <w:t xml:space="preserve">may </w:t>
      </w:r>
      <w:r w:rsidR="00937742" w:rsidRPr="00520DB0">
        <w:rPr>
          <w:rFonts w:ascii="Times New Roman" w:hAnsi="Times New Roman"/>
          <w:sz w:val="24"/>
          <w:szCs w:val="24"/>
          <w:lang w:val="en-GB"/>
        </w:rPr>
        <w:t xml:space="preserve">contribute to the appearance </w:t>
      </w:r>
      <w:r w:rsidR="00564BFC" w:rsidRPr="00520DB0">
        <w:rPr>
          <w:rFonts w:ascii="Times New Roman" w:hAnsi="Times New Roman"/>
          <w:sz w:val="24"/>
          <w:szCs w:val="24"/>
          <w:lang w:val="en-GB"/>
        </w:rPr>
        <w:t xml:space="preserve">or selection </w:t>
      </w:r>
      <w:r w:rsidR="00937742" w:rsidRPr="00520DB0">
        <w:rPr>
          <w:rFonts w:ascii="Times New Roman" w:hAnsi="Times New Roman"/>
          <w:sz w:val="24"/>
          <w:szCs w:val="24"/>
          <w:lang w:val="en-GB"/>
        </w:rPr>
        <w:t xml:space="preserve">of </w:t>
      </w:r>
      <w:r w:rsidR="00233BFA" w:rsidRPr="00520DB0">
        <w:rPr>
          <w:rFonts w:ascii="Times New Roman" w:hAnsi="Times New Roman"/>
          <w:sz w:val="24"/>
          <w:szCs w:val="24"/>
          <w:lang w:val="en-GB"/>
        </w:rPr>
        <w:t>fosfomycin-</w:t>
      </w:r>
      <w:r w:rsidR="00937742" w:rsidRPr="00520DB0">
        <w:rPr>
          <w:rFonts w:ascii="Times New Roman" w:hAnsi="Times New Roman"/>
          <w:sz w:val="24"/>
          <w:szCs w:val="24"/>
          <w:lang w:val="en-GB"/>
        </w:rPr>
        <w:t>resistan</w:t>
      </w:r>
      <w:r w:rsidR="00233BFA" w:rsidRPr="00520DB0">
        <w:rPr>
          <w:rFonts w:ascii="Times New Roman" w:hAnsi="Times New Roman"/>
          <w:sz w:val="24"/>
          <w:szCs w:val="24"/>
          <w:lang w:val="en-GB"/>
        </w:rPr>
        <w:t xml:space="preserve">t subpopulations, </w:t>
      </w:r>
      <w:r w:rsidRPr="00520DB0">
        <w:rPr>
          <w:rFonts w:ascii="Times New Roman" w:hAnsi="Times New Roman"/>
          <w:sz w:val="24"/>
          <w:szCs w:val="24"/>
          <w:lang w:val="en-GB"/>
        </w:rPr>
        <w:t xml:space="preserve">such as </w:t>
      </w:r>
      <w:r w:rsidR="00233BFA" w:rsidRPr="00520DB0">
        <w:rPr>
          <w:rFonts w:ascii="Times New Roman" w:hAnsi="Times New Roman"/>
          <w:sz w:val="24"/>
          <w:szCs w:val="24"/>
          <w:lang w:val="en-GB"/>
        </w:rPr>
        <w:t>the mutational status of the bacterial strain (</w:t>
      </w:r>
      <w:r w:rsidR="00233BFA" w:rsidRPr="00520DB0">
        <w:rPr>
          <w:rFonts w:ascii="Times New Roman" w:hAnsi="Times New Roman"/>
          <w:i/>
          <w:sz w:val="24"/>
          <w:szCs w:val="24"/>
          <w:lang w:val="en-GB"/>
        </w:rPr>
        <w:t>i.e.</w:t>
      </w:r>
      <w:r w:rsidR="00233BFA" w:rsidRPr="00520DB0">
        <w:rPr>
          <w:rFonts w:ascii="Times New Roman" w:hAnsi="Times New Roman"/>
          <w:sz w:val="24"/>
          <w:szCs w:val="24"/>
          <w:lang w:val="en-GB"/>
        </w:rPr>
        <w:t xml:space="preserve"> hy</w:t>
      </w:r>
      <w:r w:rsidR="0058160B" w:rsidRPr="00520DB0">
        <w:rPr>
          <w:rFonts w:ascii="Times New Roman" w:hAnsi="Times New Roman"/>
          <w:sz w:val="24"/>
          <w:szCs w:val="24"/>
          <w:lang w:val="en-GB"/>
        </w:rPr>
        <w:t>p</w:t>
      </w:r>
      <w:r w:rsidR="00233BFA" w:rsidRPr="00520DB0">
        <w:rPr>
          <w:rFonts w:ascii="Times New Roman" w:hAnsi="Times New Roman"/>
          <w:sz w:val="24"/>
          <w:szCs w:val="24"/>
          <w:lang w:val="en-GB"/>
        </w:rPr>
        <w:t>ermuta</w:t>
      </w:r>
      <w:r w:rsidR="004E175A" w:rsidRPr="00520DB0">
        <w:rPr>
          <w:rFonts w:ascii="Times New Roman" w:hAnsi="Times New Roman"/>
          <w:sz w:val="24"/>
          <w:szCs w:val="24"/>
          <w:lang w:val="en-GB"/>
        </w:rPr>
        <w:t>tor</w:t>
      </w:r>
      <w:r w:rsidR="00F76B49" w:rsidRPr="00520DB0">
        <w:rPr>
          <w:rFonts w:ascii="Times New Roman" w:hAnsi="Times New Roman"/>
          <w:sz w:val="24"/>
          <w:szCs w:val="24"/>
          <w:lang w:val="en-GB"/>
        </w:rPr>
        <w:t xml:space="preserve"> phenotype</w:t>
      </w:r>
      <w:r w:rsidR="00233BFA" w:rsidRPr="00520DB0">
        <w:rPr>
          <w:rFonts w:ascii="Times New Roman" w:hAnsi="Times New Roman"/>
          <w:sz w:val="24"/>
          <w:szCs w:val="24"/>
          <w:lang w:val="en-GB"/>
        </w:rPr>
        <w:t>), the</w:t>
      </w:r>
      <w:r w:rsidR="004E175A" w:rsidRPr="00520DB0">
        <w:rPr>
          <w:rFonts w:ascii="Times New Roman" w:hAnsi="Times New Roman"/>
          <w:sz w:val="24"/>
          <w:szCs w:val="24"/>
          <w:lang w:val="en-GB"/>
        </w:rPr>
        <w:t xml:space="preserve"> presence of high </w:t>
      </w:r>
      <w:r w:rsidR="00233BFA" w:rsidRPr="00520DB0">
        <w:rPr>
          <w:rFonts w:ascii="Times New Roman" w:hAnsi="Times New Roman"/>
          <w:sz w:val="24"/>
          <w:szCs w:val="24"/>
          <w:lang w:val="en-GB"/>
        </w:rPr>
        <w:t>bacterial burden</w:t>
      </w:r>
      <w:r w:rsidR="009C016D" w:rsidRPr="00520DB0">
        <w:rPr>
          <w:rFonts w:ascii="Times New Roman" w:hAnsi="Times New Roman"/>
          <w:sz w:val="24"/>
          <w:szCs w:val="24"/>
          <w:lang w:val="en-GB"/>
        </w:rPr>
        <w:t xml:space="preserve">, </w:t>
      </w:r>
      <w:r w:rsidR="004E175A" w:rsidRPr="00520DB0">
        <w:rPr>
          <w:rFonts w:ascii="Times New Roman" w:hAnsi="Times New Roman"/>
          <w:sz w:val="24"/>
          <w:szCs w:val="24"/>
          <w:lang w:val="en-GB"/>
        </w:rPr>
        <w:t xml:space="preserve">or </w:t>
      </w:r>
      <w:r w:rsidR="009C016D" w:rsidRPr="00520DB0">
        <w:rPr>
          <w:rFonts w:ascii="Times New Roman" w:hAnsi="Times New Roman"/>
          <w:sz w:val="24"/>
          <w:szCs w:val="24"/>
          <w:lang w:val="en-GB"/>
        </w:rPr>
        <w:t xml:space="preserve">the </w:t>
      </w:r>
      <w:r w:rsidR="004E175A" w:rsidRPr="00520DB0">
        <w:rPr>
          <w:rFonts w:ascii="Times New Roman" w:hAnsi="Times New Roman"/>
          <w:sz w:val="24"/>
          <w:szCs w:val="24"/>
          <w:lang w:val="en-GB"/>
        </w:rPr>
        <w:t xml:space="preserve">existence </w:t>
      </w:r>
      <w:r w:rsidR="00564BFC" w:rsidRPr="00520DB0">
        <w:rPr>
          <w:rFonts w:ascii="Times New Roman" w:hAnsi="Times New Roman"/>
          <w:sz w:val="24"/>
          <w:szCs w:val="24"/>
          <w:lang w:val="en-GB"/>
        </w:rPr>
        <w:t xml:space="preserve">of low-resistant mutations that </w:t>
      </w:r>
      <w:r w:rsidRPr="00520DB0">
        <w:rPr>
          <w:rFonts w:ascii="Times New Roman" w:hAnsi="Times New Roman"/>
          <w:sz w:val="24"/>
          <w:szCs w:val="24"/>
          <w:lang w:val="en-GB"/>
        </w:rPr>
        <w:t xml:space="preserve">may </w:t>
      </w:r>
      <w:r w:rsidR="008B464A" w:rsidRPr="00520DB0">
        <w:rPr>
          <w:rFonts w:ascii="Times New Roman" w:hAnsi="Times New Roman"/>
          <w:sz w:val="24"/>
          <w:szCs w:val="24"/>
          <w:lang w:val="en-GB"/>
        </w:rPr>
        <w:t xml:space="preserve">facilitate the selection </w:t>
      </w:r>
      <w:r w:rsidR="00564BFC" w:rsidRPr="00520DB0">
        <w:rPr>
          <w:rFonts w:ascii="Times New Roman" w:hAnsi="Times New Roman"/>
          <w:sz w:val="24"/>
          <w:szCs w:val="24"/>
          <w:lang w:val="en-GB"/>
        </w:rPr>
        <w:t>o</w:t>
      </w:r>
      <w:r w:rsidR="008B464A" w:rsidRPr="00520DB0">
        <w:rPr>
          <w:rFonts w:ascii="Times New Roman" w:hAnsi="Times New Roman"/>
          <w:sz w:val="24"/>
          <w:szCs w:val="24"/>
          <w:lang w:val="en-GB"/>
        </w:rPr>
        <w:t>f</w:t>
      </w:r>
      <w:r w:rsidR="00564BFC" w:rsidRPr="00520DB0">
        <w:rPr>
          <w:rFonts w:ascii="Times New Roman" w:hAnsi="Times New Roman"/>
          <w:sz w:val="24"/>
          <w:szCs w:val="24"/>
          <w:lang w:val="en-GB"/>
        </w:rPr>
        <w:t xml:space="preserve"> highly resistant mutants</w:t>
      </w:r>
      <w:r w:rsidR="004E175A" w:rsidRPr="00520DB0">
        <w:rPr>
          <w:rFonts w:ascii="Times New Roman" w:hAnsi="Times New Roman"/>
          <w:sz w:val="24"/>
          <w:szCs w:val="24"/>
          <w:lang w:val="en-GB"/>
        </w:rPr>
        <w:t xml:space="preserve"> </w:t>
      </w:r>
      <w:r w:rsidR="0081334E" w:rsidRPr="00520DB0">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"DOI" : "10.1093/jac/dkl315", "ISSN" : "0305-7453", "PMID" : "16891630", "abstract" : "OBJECTIVES Fosfomycin is a possible oral treatment for lower urinary tract infections caused by Escherichia coli with CTX-M extended-spectrum beta-lactamases but is vulnerable to mutational resistance. Hypermutability among natural E. coli populations might facilitate the emergence of resistance to fosfomycin. We therefore examined the prevalence of mutators amongst urinary isolates of E. coli producing CTX-M beta-lactamases. METHODS Urinary E. coli isolates with CTX-M beta-lactamases (n = 220) were screened for resistance to both rifampicin and fosfomycin, as well as a mutator phenotype, by rifampicin and fosfomycin disc assays. Mutation frequencies for 10 isolates, identified as mutators by the initial disc screen, were determined in triplicate on agar with rifampicin or fosfomycin at 4x MIC and with fosfomycin or nitrofurantoin at 256 mg/L. RESULTS The disc screen identified 10 likely mutators and quantitative tests indicated that 9 of these had mutation frequencies of 8.0 x 10(-6)-1.5 x 10(-4) for fosfomycin and 0.1-2.3 x 10(-6) for rifampicin. These mutators were diverse in terms of PFGE type and 4 of the 10 were confirmed as strong mutators with rifampicin and fosfomycin. Only the strongest mutator isolate and hypermutable MutS(-) control strain consistently gave single-step mutants resistant to 256 mg/L fosfomycin. No nitrofurantoin-resistant mutants were selected from any isolate, although they could be selected from the hypermutable MutS(-) control strain. CONCLUSIONS Mutator phenotypes were found among E. coli expressing CTX-M beta-lactamases and were independent of strain type. These had an increased propensity to fosfomycin resistance.", "author" : [ { "dropping-particle" : "", "family" : "Ellington", "given" : "Matthew J", "non-dropping-particle" : "", "parse-names" : false, "suffix" : "" }, { "dropping-particle" : "", "family" : "Livermore", "given" : "David M", "non-dropping-particle" : "", "parse-names" : false, "suffix" : "" }, { "dropping-particle" : "", "family" : "Pitt", "given" : "Tyrone L", "non-dropping-particle" : "", "parse-names" : false, "suffix" : "" }, { "dropping-particle" : "", "family" : "Hall", "given" : "Lucinda M C", "non-dropping-particle" : "", "parse-names" : false, "suffix" : "" }, { "dropping-particle" : "", "family" : "Woodford", "given" : "Neil", "non-dropping-particle" : "", "parse-names" : false, "suffix" : "" } ], "container-title" : "The Journal of antimicrobial chemotherapy", "id" : "ITEM-1", "issue" : "4", "issued" : { "date-parts" : [ [ "2006", "10" ] ] }, "page" : "848-52", "title" : "Mutators among CTX-M beta-lactamase-producing Escherichia coli and risk for the emergence of fosfomycin resistance.", "type" : "article-journal", "volume" : "58" }, "uris" : [ "http://www.mendeley.com/documents/?uuid=3a294ebd-19b7-4434-a911-acbb268af330" ] }, { "id" : "ITEM-2", "itemData" : { "DOI" : "10.1016/j.cmi.2016.12.022", "ISSN" : "1469-0691", "PMID" : "28062317", "abstract" : "OBJECTIVES Fosfomycin is re-evaluated as a treatment of multidrug-resistant Enterobacteriaceae infections. However, MIC differences have been described among the different susceptibility testing. The aim was to study the role of the different inoculum size used in agar dilution with respect to broth microdilution, according to CLSI, in the fosfomycin MIC discrepancies. METHODS Fosfomycin MICs were determined using agar dilution (reference) and broth microdilution in 220 Escherichia coli (n=81) and Klebsiella pneumoniae (n=139) clinical isolates. Fosfomycin mutant frequencies were determined in 21 E. coli (MIC=1mg/L) and 21 K. pneumoniae (MIC=16mg/L). The emergence of resistant subpopulations of five E. coli strains (MIC=1mg/L) was monitored over the time by microdilution assay using 0, 4 and 8 mg/L of fosfomycin, and eight different inocula (5\u00d710(5)-3.91\u00d710(3) CFU/well, 1 : 2 dilutions). RESULTS For E. coli, 86.4% of categorical agreement (CA), 9.1% very major errors (VME), 3.3% major errors (ME) and 9.9% minor errors (mE) were found. For K. pneumoniae, CA was 51.1%, VME 15.7%, ME 28.4% and mE 25.2%. Essential agreement (\u00b11-log2) was observed in 55.45%. By microdilution, 35.9% of the MICs showed discrepancies of \u22652 dilutions. Initial inoculum used was 5.63 times higher in the microdilution method, in range with CLSI methodology for both techniques. Fosfomycin mutant frequencies were 6.05\u00d710(-5) (4\u00d7MIC) to 5.59\u00d710(-7) (256\u00d7MIC) for E. coli, and 1.49\u00d710(-4) (4\u00d7MIC) to 1.58\u00d710(-5) (16\u00d7MIC) for K. pneumoniae. Resistant subpopulations arose mainly after 8 h of incubation with inocula &gt;3.13\u00d710(4) CFU/well. CONCLUSIONS The higher inoculum used in the microdilution method enriched the initial inoculum with resistant subpopulations and could partially explain the fosfomycin MIC discrepancies with respect to the agar dilution method.", "author" : [ { "dropping-particle" : "", "family" : "Ballestero-T\u00e9llez", "given" : "M", "non-dropping-particle" : "", "parse-names" : false, "suffix" : "" }, { "dropping-particle" : "", "family" : "Docobo-P\u00e9rez", "given" : "F", "non-dropping-particle" : "", "parse-names" : false, "suffix" : "" }, { "dropping-particle" : "", "family" : "Rodr\u00edguez-Mart\u00ednez", "given" : "J M", "non-dropping-particle" : "", "parse-names" : false, "suffix" : "" }, { "dropping-particle" : "", "family" : "Conejo", "given" : "M C", "non-dropping-particle" : "", "parse-names" : false, "suffix" : "" }, { "dropping-particle" : "", "family" : "Ramos-Guelfo", "given" : "M S", "non-dropping-particle" : "", "parse-names" : false, "suffix" : "" }, { "dropping-particle" : "", "family" : "Bl\u00e1zquez", "given" : "J", "non-dropping-particle" : "", "parse-names" : false, "suffix" : "" }, { "dropping-particle" : "", "family" : "Rodr\u00edguez-Ba\u00f1o", "given" : "J", "non-dropping-particle" : "", "parse-names" : false, "suffix" : "" }, { "dropping-particle" : "", "family" : "Pascual", "given" : "A", "non-dropping-particle" : "", "parse-names" : false, "suffix" : "" } ], "container-title" : "Clinical microbiology and infection : the official publication of the European Society of Clinical Microbiology and Infectious Diseases", "id" : "ITEM-2", "issue" : "5", "issued" : { "date-parts" : [ [ "2017", "5" ] ] }, "page" : "325-331", "title" : "Role of inoculum and mutant frequency on fosfomycin MIC discrepancies by agar dilution and broth microdilution methods in Enterobacteriaceae.", "type" : "article-journal", "volume" : "23" }, "uris" : [ "http://www.mendeley.com/documents/?uuid=567e7f7f-f73b-4c1f-b502-5164b6deffde" ] }, { "id" : "ITEM-3", "itemData" : { "DOI" : "10.1093/jac/dkw573", "ISSN" : "0305-7453", "PMID" : "28093485", "author" : [ { "dropping-particle" : "", "family" : "Ballestero-T\u00e9llez", "given" : "M.", "non-dropping-particle" : "", "parse-names" : false, "suffix" : "" }, { "dropping-particle" : "", "family" : "Docobo-P\u00e9rez", "given" : "F.", "non-dropping-particle" : "", "parse-names" : false, "suffix" : "" }, { "dropping-particle" : "", "family" : "Portillo-Calder\u00f3n", "given" : "I.", "non-dropping-particle" : "", "parse-names" : false, "suffix" : "" }, { "dropping-particle" : "", "family" : "Rodr\u00edguez-Mart\u00ednez", "given" : "J. M.", "non-dropping-particle" : "", "parse-names" : false, "suffix" : "" }, { "dropping-particle" : "", "family" : "Racero", "given" : "L.", "non-dropping-particle" : "", "parse-names" : false, "suffix" : "" }, { "dropping-particle" : "", "family" : "Ramos-Guelfo", "given" : "M. S.", "non-dropping-particle" : "", "parse-names" : false, "suffix" : "" }, { "dropping-particle" : "", "family" : "Bl\u00e1zquez", "given" : "J.", "non-dropping-particle" : "", "parse-names" : false, "suffix" : "" }, { "dropping-particle" : "", "family" : "Rodr\u00edguez-Ba\u00f1o", "given" : "J.", "non-dropping-particle" : "", "parse-names" : false, "suffix" : "" }, { "dropping-particle" : "", "family" : "Pascual", "given" : "A.", "non-dropping-particle" : "", "parse-names" : false, "suffix" : "" } ], "container-title" : "Journal of Antimicrobial Chemotherapy", "id" : "ITEM-3", "issue" : "5", "issued" : { "date-parts" : [ [ "2017" ] ] }, "page" : "1303-1309", "title" : "Molecular insights into fosfomycin resistance in Escherichia coli", "type" : "article-journal", "volume" : "72" }, "uris" : [ "http://www.mendeley.com/documents/?uuid=6e814b80-ba59-40e8-b4b6-9b522dc7bb8f" ] } ], "mendeley" : { "formattedCitation" : "[27\u201329]", "plainTextFormattedCitation" : "[27\u201329]", "previouslyFormattedCitation" : "[27\u201329]" }, "properties" : {  }, "schema" : "https://github.com/citation-style-language/schema/raw/master/csl-citation.json" }</w:instrText>
      </w:r>
      <w:r w:rsidR="0081334E" w:rsidRPr="00520DB0">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[27–29]</w:t>
      </w:r>
      <w:r w:rsidR="0081334E" w:rsidRPr="00520DB0">
        <w:rPr>
          <w:rFonts w:ascii="Times New Roman" w:hAnsi="Times New Roman"/>
          <w:sz w:val="24"/>
          <w:szCs w:val="24"/>
          <w:lang w:val="en-GB"/>
        </w:rPr>
        <w:fldChar w:fldCharType="end"/>
      </w:r>
      <w:r w:rsidR="004E175A" w:rsidRPr="00520DB0">
        <w:rPr>
          <w:rFonts w:ascii="Times New Roman" w:hAnsi="Times New Roman"/>
          <w:sz w:val="24"/>
          <w:szCs w:val="24"/>
          <w:lang w:val="en-GB"/>
        </w:rPr>
        <w:t>.</w:t>
      </w:r>
    </w:p>
    <w:p w14:paraId="236D356E" w14:textId="462B25F2" w:rsidR="00D034FC" w:rsidRPr="002C7B68" w:rsidRDefault="00B92C1A" w:rsidP="001B7FA7">
      <w:pPr>
        <w:autoSpaceDE w:val="0"/>
        <w:autoSpaceDN w:val="0"/>
        <w:adjustRightInd w:val="0"/>
        <w:spacing w:after="0" w:line="480" w:lineRule="auto"/>
        <w:ind w:firstLine="708"/>
        <w:jc w:val="both"/>
        <w:rPr>
          <w:rFonts w:ascii="Times New Roman" w:hAnsi="Times New Roman"/>
          <w:sz w:val="24"/>
          <w:szCs w:val="24"/>
          <w:lang w:val="en-GB"/>
        </w:rPr>
      </w:pPr>
      <w:r w:rsidRPr="00520DB0">
        <w:rPr>
          <w:rFonts w:ascii="Times New Roman" w:hAnsi="Times New Roman"/>
          <w:sz w:val="24"/>
          <w:szCs w:val="24"/>
          <w:lang w:val="en-GB"/>
        </w:rPr>
        <w:t>T</w:t>
      </w:r>
      <w:r w:rsidR="00CF64E7" w:rsidRPr="00520DB0">
        <w:rPr>
          <w:rFonts w:ascii="Times New Roman" w:hAnsi="Times New Roman"/>
          <w:sz w:val="24"/>
          <w:szCs w:val="24"/>
          <w:lang w:val="en-GB"/>
        </w:rPr>
        <w:t>here are several</w:t>
      </w:r>
      <w:r w:rsidR="00207EFC" w:rsidRPr="00520DB0">
        <w:rPr>
          <w:rFonts w:ascii="Times New Roman" w:hAnsi="Times New Roman"/>
          <w:sz w:val="24"/>
          <w:szCs w:val="24"/>
          <w:lang w:val="en-GB"/>
        </w:rPr>
        <w:t xml:space="preserve"> limitations of the present study. </w:t>
      </w:r>
      <w:r w:rsidR="00B93152" w:rsidRPr="00520DB0">
        <w:rPr>
          <w:rFonts w:ascii="Times New Roman" w:hAnsi="Times New Roman"/>
          <w:sz w:val="24"/>
          <w:szCs w:val="24"/>
          <w:lang w:val="en-GB"/>
        </w:rPr>
        <w:t>The sample size was not sufficient to measure the impact of different drug exposures on clinical outcomes.</w:t>
      </w:r>
      <w:r w:rsidR="00793ADE">
        <w:rPr>
          <w:rFonts w:ascii="Times New Roman" w:hAnsi="Times New Roman"/>
          <w:sz w:val="24"/>
          <w:szCs w:val="24"/>
          <w:lang w:val="en-GB"/>
        </w:rPr>
        <w:t xml:space="preserve"> The </w:t>
      </w:r>
      <w:r w:rsidR="00793ADE">
        <w:rPr>
          <w:rFonts w:ascii="Times New Roman" w:hAnsi="Times New Roman"/>
          <w:sz w:val="24"/>
          <w:szCs w:val="24"/>
          <w:lang w:val="en-GB"/>
        </w:rPr>
        <w:lastRenderedPageBreak/>
        <w:t xml:space="preserve">dose of 8g/Q8h have been generated from the mathematical model assuming a linear pharmacokinetic of fosfomycin. </w:t>
      </w:r>
      <w:r w:rsidR="00B93152" w:rsidRPr="00520DB0">
        <w:rPr>
          <w:rFonts w:ascii="Times New Roman" w:hAnsi="Times New Roman"/>
          <w:sz w:val="24"/>
          <w:szCs w:val="24"/>
          <w:lang w:val="en-GB"/>
        </w:rPr>
        <w:t xml:space="preserve"> </w:t>
      </w:r>
      <w:r w:rsidR="00804A5C">
        <w:rPr>
          <w:rFonts w:ascii="Times New Roman" w:hAnsi="Times New Roman"/>
          <w:sz w:val="24"/>
          <w:szCs w:val="24"/>
          <w:lang w:val="en-GB"/>
        </w:rPr>
        <w:t>Also, t</w:t>
      </w:r>
      <w:r w:rsidR="00804A5C" w:rsidRPr="00804A5C">
        <w:rPr>
          <w:rFonts w:ascii="Times New Roman" w:hAnsi="Times New Roman"/>
          <w:sz w:val="24"/>
          <w:szCs w:val="24"/>
          <w:lang w:val="en-GB"/>
        </w:rPr>
        <w:t xml:space="preserve">he visual predictive check showed some underprediction in the group 4g/Q12h. Given the low renal function in this subset of patients (n=4) and the relatively small cohort of 16 patients, this may also affect the ability of the model to identify other relevant covariates. </w:t>
      </w:r>
      <w:r w:rsidR="00B93152" w:rsidRPr="002C7B68">
        <w:rPr>
          <w:rFonts w:ascii="Times New Roman" w:hAnsi="Times New Roman"/>
          <w:sz w:val="24"/>
          <w:szCs w:val="24"/>
          <w:lang w:val="en-GB"/>
        </w:rPr>
        <w:t>Moreover, t</w:t>
      </w:r>
      <w:r w:rsidR="00B93DE3" w:rsidRPr="002C7B68">
        <w:rPr>
          <w:rFonts w:ascii="Times New Roman" w:hAnsi="Times New Roman"/>
          <w:sz w:val="24"/>
          <w:szCs w:val="24"/>
          <w:lang w:val="en-GB"/>
        </w:rPr>
        <w:t xml:space="preserve">he pharmacodynamic targets </w:t>
      </w:r>
      <w:r w:rsidR="001B7472" w:rsidRPr="002C7B68">
        <w:rPr>
          <w:rFonts w:ascii="Times New Roman" w:hAnsi="Times New Roman"/>
          <w:sz w:val="24"/>
          <w:szCs w:val="24"/>
          <w:lang w:val="en-GB"/>
        </w:rPr>
        <w:t xml:space="preserve">for efficacy </w:t>
      </w:r>
      <w:r w:rsidR="00B93DE3" w:rsidRPr="002C7B68">
        <w:rPr>
          <w:rFonts w:ascii="Times New Roman" w:hAnsi="Times New Roman"/>
          <w:sz w:val="24"/>
          <w:szCs w:val="24"/>
          <w:lang w:val="en-GB"/>
        </w:rPr>
        <w:t xml:space="preserve">purposed by Lepak </w:t>
      </w:r>
      <w:r w:rsidR="00B93DE3" w:rsidRPr="002C7B68">
        <w:rPr>
          <w:rFonts w:ascii="Times New Roman" w:hAnsi="Times New Roman"/>
          <w:i/>
          <w:sz w:val="24"/>
          <w:szCs w:val="24"/>
          <w:lang w:val="en-GB"/>
        </w:rPr>
        <w:t>et al.</w:t>
      </w:r>
      <w:r w:rsidR="00B93DE3" w:rsidRPr="002C7B68">
        <w:rPr>
          <w:rFonts w:ascii="Times New Roman" w:hAnsi="Times New Roman"/>
          <w:sz w:val="24"/>
          <w:szCs w:val="24"/>
          <w:lang w:val="en-GB"/>
        </w:rPr>
        <w:t xml:space="preserve"> in the neutropenic murine thigh infection model</w:t>
      </w:r>
      <w:r w:rsidR="00E10D8C" w:rsidRPr="002C7B68">
        <w:rPr>
          <w:rFonts w:ascii="Times New Roman" w:hAnsi="Times New Roman"/>
          <w:sz w:val="24"/>
          <w:szCs w:val="24"/>
          <w:lang w:val="en-GB"/>
        </w:rPr>
        <w:t xml:space="preserve"> </w:t>
      </w:r>
      <w:r w:rsidR="00C50C36" w:rsidRPr="002C7B68">
        <w:rPr>
          <w:rFonts w:ascii="Times New Roman" w:hAnsi="Times New Roman"/>
          <w:sz w:val="24"/>
          <w:szCs w:val="24"/>
          <w:lang w:val="en-GB"/>
        </w:rPr>
        <w:t>and our suggested target for resistance-prevention observed in</w:t>
      </w:r>
      <w:r w:rsidR="00E10D8C" w:rsidRPr="002C7B68">
        <w:rPr>
          <w:rFonts w:ascii="Times New Roman" w:hAnsi="Times New Roman"/>
          <w:sz w:val="24"/>
          <w:szCs w:val="24"/>
          <w:lang w:val="en-GB"/>
        </w:rPr>
        <w:t xml:space="preserve"> </w:t>
      </w:r>
      <w:r w:rsidR="00C50C36" w:rsidRPr="002C7B68">
        <w:rPr>
          <w:rFonts w:ascii="Times New Roman" w:hAnsi="Times New Roman"/>
          <w:sz w:val="24"/>
          <w:szCs w:val="24"/>
          <w:lang w:val="en-GB"/>
        </w:rPr>
        <w:t xml:space="preserve">the </w:t>
      </w:r>
      <w:r w:rsidR="00E10D8C" w:rsidRPr="002C7B68">
        <w:rPr>
          <w:rFonts w:ascii="Times New Roman" w:hAnsi="Times New Roman"/>
          <w:sz w:val="24"/>
          <w:szCs w:val="24"/>
          <w:lang w:val="en-GB"/>
        </w:rPr>
        <w:t>hollow-fiber infection model</w:t>
      </w:r>
      <w:r w:rsidR="00B93DE3" w:rsidRPr="002C7B68">
        <w:rPr>
          <w:rFonts w:ascii="Times New Roman" w:hAnsi="Times New Roman"/>
          <w:sz w:val="24"/>
          <w:szCs w:val="24"/>
          <w:lang w:val="en-GB"/>
        </w:rPr>
        <w:t xml:space="preserve"> </w:t>
      </w:r>
      <w:r w:rsidRPr="002C7B68">
        <w:rPr>
          <w:rFonts w:ascii="Times New Roman" w:hAnsi="Times New Roman"/>
          <w:sz w:val="24"/>
          <w:szCs w:val="24"/>
          <w:lang w:val="en-GB"/>
        </w:rPr>
        <w:t xml:space="preserve">may </w:t>
      </w:r>
      <w:r w:rsidR="00B93DE3" w:rsidRPr="002C7B68">
        <w:rPr>
          <w:rFonts w:ascii="Times New Roman" w:hAnsi="Times New Roman"/>
          <w:sz w:val="24"/>
          <w:szCs w:val="24"/>
          <w:lang w:val="en-GB"/>
        </w:rPr>
        <w:t xml:space="preserve">underestimate the efficacy </w:t>
      </w:r>
      <w:r w:rsidRPr="002C7B68">
        <w:rPr>
          <w:rFonts w:ascii="Times New Roman" w:hAnsi="Times New Roman"/>
          <w:sz w:val="24"/>
          <w:szCs w:val="24"/>
          <w:lang w:val="en-GB"/>
        </w:rPr>
        <w:t>of fosfomycin for</w:t>
      </w:r>
      <w:r w:rsidR="00B93DE3" w:rsidRPr="002C7B68">
        <w:rPr>
          <w:rFonts w:ascii="Times New Roman" w:hAnsi="Times New Roman"/>
          <w:sz w:val="24"/>
          <w:szCs w:val="24"/>
          <w:lang w:val="en-GB"/>
        </w:rPr>
        <w:t xml:space="preserve"> immunocompetent patients</w:t>
      </w:r>
      <w:r w:rsidR="001548FA" w:rsidRPr="002C7B68">
        <w:rPr>
          <w:rFonts w:ascii="Times New Roman" w:hAnsi="Times New Roman"/>
          <w:sz w:val="24"/>
          <w:szCs w:val="24"/>
          <w:lang w:val="en-GB"/>
        </w:rPr>
        <w:t xml:space="preserve"> and have not been so far validated by other studies</w:t>
      </w:r>
      <w:r w:rsidR="00CD3746" w:rsidRPr="002C7B68">
        <w:rPr>
          <w:rFonts w:ascii="Times New Roman" w:hAnsi="Times New Roman"/>
          <w:sz w:val="24"/>
          <w:szCs w:val="24"/>
          <w:lang w:val="en-GB"/>
        </w:rPr>
        <w:t xml:space="preserve">. </w:t>
      </w:r>
      <w:r w:rsidRPr="002C7B68">
        <w:rPr>
          <w:rFonts w:ascii="Times New Roman" w:hAnsi="Times New Roman"/>
          <w:sz w:val="24"/>
          <w:szCs w:val="24"/>
          <w:lang w:val="en-GB"/>
        </w:rPr>
        <w:t>T</w:t>
      </w:r>
      <w:r w:rsidR="00CD3746" w:rsidRPr="002C7B68">
        <w:rPr>
          <w:rFonts w:ascii="Times New Roman" w:hAnsi="Times New Roman"/>
          <w:sz w:val="24"/>
          <w:szCs w:val="24"/>
          <w:lang w:val="en-GB"/>
        </w:rPr>
        <w:t>h</w:t>
      </w:r>
      <w:r w:rsidR="00F726C8" w:rsidRPr="002C7B68">
        <w:rPr>
          <w:rFonts w:ascii="Times New Roman" w:hAnsi="Times New Roman"/>
          <w:sz w:val="24"/>
          <w:szCs w:val="24"/>
          <w:lang w:val="en-GB"/>
        </w:rPr>
        <w:t>e</w:t>
      </w:r>
      <w:r w:rsidR="00CD3746" w:rsidRPr="002C7B68">
        <w:rPr>
          <w:rFonts w:ascii="Times New Roman" w:hAnsi="Times New Roman"/>
          <w:sz w:val="24"/>
          <w:szCs w:val="24"/>
          <w:lang w:val="en-GB"/>
        </w:rPr>
        <w:t xml:space="preserve"> </w:t>
      </w:r>
      <w:r w:rsidR="00C50C36" w:rsidRPr="002C7B68">
        <w:rPr>
          <w:rFonts w:ascii="Times New Roman" w:hAnsi="Times New Roman"/>
          <w:sz w:val="24"/>
          <w:szCs w:val="24"/>
          <w:lang w:val="en-GB"/>
        </w:rPr>
        <w:t>neutropenic murine thigh infection model</w:t>
      </w:r>
      <w:r w:rsidR="00CD3746" w:rsidRPr="002C7B68">
        <w:rPr>
          <w:rFonts w:ascii="Times New Roman" w:hAnsi="Times New Roman"/>
          <w:sz w:val="24"/>
          <w:szCs w:val="24"/>
          <w:lang w:val="en-GB"/>
        </w:rPr>
        <w:t xml:space="preserve"> evaluate</w:t>
      </w:r>
      <w:r w:rsidR="00F726C8" w:rsidRPr="002C7B68">
        <w:rPr>
          <w:rFonts w:ascii="Times New Roman" w:hAnsi="Times New Roman"/>
          <w:sz w:val="24"/>
          <w:szCs w:val="24"/>
          <w:lang w:val="en-GB"/>
        </w:rPr>
        <w:t>d</w:t>
      </w:r>
      <w:r w:rsidR="00CD3746" w:rsidRPr="002C7B68">
        <w:rPr>
          <w:rFonts w:ascii="Times New Roman" w:hAnsi="Times New Roman"/>
          <w:sz w:val="24"/>
          <w:szCs w:val="24"/>
          <w:lang w:val="en-GB"/>
        </w:rPr>
        <w:t xml:space="preserve"> the </w:t>
      </w:r>
      <w:r w:rsidR="00F726C8" w:rsidRPr="002C7B68">
        <w:rPr>
          <w:rFonts w:ascii="Times New Roman" w:hAnsi="Times New Roman"/>
          <w:sz w:val="24"/>
          <w:szCs w:val="24"/>
          <w:lang w:val="en-GB"/>
        </w:rPr>
        <w:t xml:space="preserve">microbiological </w:t>
      </w:r>
      <w:r w:rsidR="00CD3746" w:rsidRPr="002C7B68">
        <w:rPr>
          <w:rFonts w:ascii="Times New Roman" w:hAnsi="Times New Roman"/>
          <w:sz w:val="24"/>
          <w:szCs w:val="24"/>
          <w:lang w:val="en-GB"/>
        </w:rPr>
        <w:t xml:space="preserve">efficacy </w:t>
      </w:r>
      <w:r w:rsidR="00F726C8" w:rsidRPr="002C7B68">
        <w:rPr>
          <w:rFonts w:ascii="Times New Roman" w:hAnsi="Times New Roman"/>
          <w:sz w:val="24"/>
          <w:szCs w:val="24"/>
          <w:lang w:val="en-GB"/>
        </w:rPr>
        <w:t xml:space="preserve">only during </w:t>
      </w:r>
      <w:r w:rsidR="00CD3746" w:rsidRPr="002C7B68">
        <w:rPr>
          <w:rFonts w:ascii="Times New Roman" w:hAnsi="Times New Roman"/>
          <w:sz w:val="24"/>
          <w:szCs w:val="24"/>
          <w:lang w:val="en-GB"/>
        </w:rPr>
        <w:t xml:space="preserve">the first 24 hours </w:t>
      </w:r>
      <w:r w:rsidR="00294A35" w:rsidRPr="002C7B68">
        <w:rPr>
          <w:rFonts w:ascii="Times New Roman" w:hAnsi="Times New Roman"/>
          <w:sz w:val="24"/>
          <w:szCs w:val="24"/>
          <w:lang w:val="en-GB"/>
        </w:rPr>
        <w:fldChar w:fldCharType="begin" w:fldLock="1"/>
      </w:r>
      <w:r w:rsidR="007B72C6" w:rsidRPr="002C7B68">
        <w:rPr>
          <w:rFonts w:ascii="Times New Roman" w:hAnsi="Times New Roman"/>
          <w:sz w:val="24"/>
          <w:szCs w:val="24"/>
          <w:lang w:val="en-GB"/>
        </w:rPr>
        <w:instrText>ADDIN CSL_CITATION { "citationItems" : [ { "id" : "ITEM-1", "itemData" : { "DOI" : "10.1128/AAC.00476-17", "ISSN" : "0066-4804", "abstract" : "Fosfomycin is a broad-spectrum agent with activity against gram-positive and gram-negative bacteria, including drug-resistant strains, such as extended spectrum beta-lactamase (ESBL)-producing and carbapenem-resistant (CR) gram-negative rods. In the present study, the pharmacokinetic/pharmacodynamic (PK/PD) activity of ZTI-01 (fosfomycin for injection) was evaluated in the neutropenic murine thigh infection model against 5 E. coli (EC), 3 K. pneumoniae (KPN), and 2 P. aeruginosa (PSA) strains, including a subset with ESBL and CR phenotype. The pharmacokinetics of ZTI-01 were examined in mice after subcutaneous administration of 3.125, 12.5, 50, 200, 400 and 800 mg/kg. The half-life ranged from 0.51 to 1.1 h, area under the concentration-time curve (AUC 0-\u221e ) ranged from 1.4 to 87 mg*h/L, and maximum concentrations ranged from 0.6 to 42.4 mg/L. Dose fractionation demonstrated AUC/MIC ratio to be the PK/PD index most closely linked to efficacy (R 2 = 0.70). Net stasis and cidal activity was observed against all strains. Net stasis was observed at 24 h AUC/MIC values of 24, 21, and 15 for EC, KPN and PSA, respectively. For the Enterobacteriaceae group stasis was noted at mean 24 h AUC/MIC targets of 23 and 1 log kill at 83. Survival in mice infected with EC 145 was maximal at 24 h AUC/MIC exposures of 9-43, which is comparable to the stasis exposures identified in the PK/PD studies. These results should prove useful for the design of clinical dosing regimens for ZTI-01 in the treatment of serious infections due to Enterobacteriaceae and Pseudomonas .", "author" : [ { "dropping-particle" : "", "family" : "Lepak", "given" : "Alexander J.", "non-dropping-particle" : "", "parse-names" : false, "suffix" : "" }, { "dropping-particle" : "", "family" : "Zhao", "given" : "Miao", "non-dropping-particle" : "", "parse-names" : false, "suffix" : "" }, { "dropping-particle" : "", "family" : "VanScoy", "given" : "Brian", "non-dropping-particle" : "", "parse-names" : false, "suffix" : "" }, { "dropping-particle" : "", "family" : "Taylor", "given" : "Daniel S.", "non-dropping-particle" : "", "parse-names" : false, "suffix" : "" }, { "dropping-particle" : "", "family" : "Ellis-Grosse", "given" : "Evelyn", "non-dropping-particle" : "", "parse-names" : false, "suffix" : "" }, { "dropping-particle" : "", "family" : "Ambrose", "given" : "Paul G.", "non-dropping-particle" : "", "parse-names" : false, "suffix" : "" }, { "dropping-particle" : "", "family" : "Andes", "given" : "David R.", "non-dropping-particle" : "", "parse-names" : false, "suffix" : "" } ], "container-title" : "Antimicrobial Agents and Chemotherapy", "id" : "ITEM-1", "issued" : { "date-parts" : [ [ "2017", "4", "10" ] ] }, "page" : "AAC.00476-17", "title" : "In vivo Pharmacokinetics and Pharmacodynamics of ZTI-01 (Fosfomycin for Injection) in the Neutropenic Murine Thigh Infection Model against E. coli , K. pneumoniae , and P. aeruginosa", "type" : "article-journal" }, "uris" : [ "http://www.mendeley.com/documents/?uuid=60f05778-87a3-4dc6-b3ef-92e264a1070d" ] } ], "mendeley" : { "formattedCitation" : "[12]", "plainTextFormattedCitation" : "[12]", "previouslyFormattedCitation" : "[12]" }, "properties" : {  }, "schema" : "https://github.com/citation-style-language/schema/raw/master/csl-citation.json" }</w:instrText>
      </w:r>
      <w:r w:rsidR="00294A35" w:rsidRPr="002C7B68">
        <w:rPr>
          <w:rFonts w:ascii="Times New Roman" w:hAnsi="Times New Roman"/>
          <w:sz w:val="24"/>
          <w:szCs w:val="24"/>
          <w:lang w:val="en-GB"/>
        </w:rPr>
        <w:fldChar w:fldCharType="separate"/>
      </w:r>
      <w:r w:rsidR="00294A35" w:rsidRPr="002C7B68">
        <w:rPr>
          <w:rFonts w:ascii="Times New Roman" w:hAnsi="Times New Roman"/>
          <w:noProof/>
          <w:sz w:val="24"/>
          <w:szCs w:val="24"/>
          <w:lang w:val="en-GB"/>
        </w:rPr>
        <w:t>[12]</w:t>
      </w:r>
      <w:r w:rsidR="00294A35" w:rsidRPr="002C7B68">
        <w:rPr>
          <w:rFonts w:ascii="Times New Roman" w:hAnsi="Times New Roman"/>
          <w:sz w:val="24"/>
          <w:szCs w:val="24"/>
          <w:lang w:val="en-GB"/>
        </w:rPr>
        <w:fldChar w:fldCharType="end"/>
      </w:r>
      <w:r w:rsidR="00CD3746" w:rsidRPr="002C7B68">
        <w:rPr>
          <w:rFonts w:ascii="Times New Roman" w:hAnsi="Times New Roman"/>
          <w:sz w:val="24"/>
          <w:szCs w:val="24"/>
          <w:lang w:val="en-GB"/>
        </w:rPr>
        <w:t xml:space="preserve">. However, different studies </w:t>
      </w:r>
      <w:r w:rsidR="00F726C8" w:rsidRPr="002C7B68">
        <w:rPr>
          <w:rFonts w:ascii="Times New Roman" w:hAnsi="Times New Roman"/>
          <w:sz w:val="24"/>
          <w:szCs w:val="24"/>
          <w:lang w:val="en-GB"/>
        </w:rPr>
        <w:t xml:space="preserve">using hollow-fiber infection models </w:t>
      </w:r>
      <w:r w:rsidR="00CD3746" w:rsidRPr="002C7B68">
        <w:rPr>
          <w:rFonts w:ascii="Times New Roman" w:hAnsi="Times New Roman"/>
          <w:sz w:val="24"/>
          <w:szCs w:val="24"/>
          <w:lang w:val="en-GB"/>
        </w:rPr>
        <w:t xml:space="preserve">have shown </w:t>
      </w:r>
      <w:r w:rsidR="00F726C8" w:rsidRPr="002C7B68">
        <w:rPr>
          <w:rFonts w:ascii="Times New Roman" w:hAnsi="Times New Roman"/>
          <w:sz w:val="24"/>
          <w:szCs w:val="24"/>
          <w:lang w:val="en-GB"/>
        </w:rPr>
        <w:t xml:space="preserve">microbiological </w:t>
      </w:r>
      <w:r w:rsidR="00CD3746" w:rsidRPr="002C7B68">
        <w:rPr>
          <w:rFonts w:ascii="Times New Roman" w:hAnsi="Times New Roman"/>
          <w:sz w:val="24"/>
          <w:szCs w:val="24"/>
          <w:lang w:val="en-GB"/>
        </w:rPr>
        <w:t>failures</w:t>
      </w:r>
      <w:r w:rsidR="00F726C8" w:rsidRPr="002C7B68">
        <w:rPr>
          <w:rFonts w:ascii="Times New Roman" w:hAnsi="Times New Roman"/>
          <w:sz w:val="24"/>
          <w:szCs w:val="24"/>
          <w:lang w:val="en-GB"/>
        </w:rPr>
        <w:t xml:space="preserve"> occurring later</w:t>
      </w:r>
      <w:r w:rsidR="00CD3746" w:rsidRPr="002C7B68">
        <w:rPr>
          <w:rFonts w:ascii="Times New Roman" w:hAnsi="Times New Roman"/>
          <w:sz w:val="24"/>
          <w:szCs w:val="24"/>
          <w:lang w:val="en-GB"/>
        </w:rPr>
        <w:t xml:space="preserve"> due to the selection of subpopulations with reduced susceptibility or appearance of resistant mutants </w:t>
      </w:r>
      <w:r w:rsidR="00294A35" w:rsidRPr="002C7B68">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"DOI" : "10.1128/AAC.00752-15", "ISSN" : "10986596", "PMID" : "26124169", "abstract" : "The aim of this study was to improve the understanding of the pharmacokinetic-pharmacodynamic relationships of fosfomycin against extended-spectrum beta-lactamase (ESBL)-producing Escherichia coli strains that have different fosfomycin MICs. Our methods included the use of a hollow fiber infection model with three clinical ESBL-producing E. coli strains. Human fosfomycin pharmacokinetic profiles were simulated over 4 days. Preliminary studies conducted to determine the dose ranges, including the dose ranges that suppressed the development of drug-resistant mutants, were conducted with regimens from 12 g/day to 36 g/day. The combination of fosfomycin at 4 g every 8 h (q8h) and meropenem at 1 g/q8h was selected for further assessment. The total bacterial population and the resistant subpopulations were determined. No efficacy was observed against the Ec42444 strain (fosfomycin MIC, 64 mg/liter) at doses of 12, 24, or 36 g/day. All dosages induced at least initial bacterial killing against Ec46 (fosfomycin MIC, 1 mg/liter). High-level drug-resistant mutants appeared in this strain in response to 12, 15, and 18 g/day. In the study arms that included 24 g/day, once or in a divided dose, a complete extinction of the bacterial inoculum was observed. The combination of meropenem with fosfomycin was synergistic for bacterial killing and also suppressed all fosfomycin-resistant clones of Ec2974 (fosfomycin MIC, 1 mg/liter). We conclude that fosfomycin susceptibility breakpoints (\u226464 mg/liter according to CLSI [for E. coli urinary tract infections only]) should be revised for the treatment of serious systemic infections. Fosfomycin can be used to treat infections caused by organisms that demonstrate lower MICs and lower bacterial densities, although relatively high daily dosages (i.e., 24 g/day) are required to prevent the emergence of bacterial resistance. The ratio of the area under the concentration-time curve for the free, unbound fraction of fosfomycin versus the MIC (fAUC/MIC) appears to be the dynamically linked index of suppression of bacterial resistance. Fosfomycin with meropenem can act synergistically against E. coli strains in preventing the emergence of fosfomycin resistance.", "author" : [ { "dropping-particle" : "", "family" : "Docobo-P\u00e9rez", "given" : "F.", "non-dropping-particle" : "", "parse-names" : false, "suffix" : "" }, { "dropping-particle" : "", "family" : "Drusano", "given" : "G. L.", "non-dropping-particle" : "", "parse-names" : false, "suffix" : "" }, { "dropping-particle" : "", "family" : "Johnson", "given" : "A.", "non-dropping-particle" : "", "parse-names" : false, "suffix" : "" }, { "dropping-particle" : "", "family" : "Goodwin", "given" : "J.", "non-dropping-particle" : "", "parse-names" : false, "suffix" : "" }, { "dropping-particle" : "", "family" : "Whalley", "given" : "S.", "non-dropping-particle" : "", "parse-names" : false, "suffix" : "" }, { "dropping-particle" : "", "family" : "Ramos-Mart\u00edn", "given" : "V.", "non-dropping-particle" : "", "parse-names" : false, "suffix" : "" }, { "dropping-particle" : "", "family" : "Ballestero-Tellez", "given" : "M.", "non-dropping-particle" : "", "parse-names" : false, "suffix" : "" }, { "dropping-particle" : "", "family" : "Rodriguez-Martinez", "given" : "J. M.", "non-dropping-particle" : "", "parse-names" : false, "suffix" : "" }, { "dropping-particle" : "", "family" : "Conejo", "given" : "M. C.", "non-dropping-particle" : "", "parse-names" : false, "suffix" : "" }, { "dropping-particle" : "", "family" : "Guilder", "given" : "M.", "non-dropping-particle" : "Van", "parse-names" : false, "suffix" : "" }, { "dropping-particle" : "", "family" : "Rodr\u00edguez-Ba\u00f1o", "given" : "J.", "non-dropping-particle" : "", "parse-names" : false, "suffix" : "" }, { "dropping-particle" : "", "family" : "Pascual", "given" : "A.", "non-dropping-particle" : "", "parse-names" : false, "suffix" : "" }, { "dropping-particle" : "", "family" : "Hope", "given" : "W. W.", "non-dropping-particle" : "", "parse-names" : false, "suffix" : "" } ], "container-title" : "Antimicrobial Agents and Chemotherapy", "id" : "ITEM-1", "issue" : "9", "issued" : { "date-parts" : [ [ "2015", "9" ] ] }, "page" : "5602-5610", "title" : "Pharmacodynamics of fosfomycin: Insights into clinical use for antimicrobial resistance", "type" : "article-journal", "volume" : "59" }, "uris" : [ "http://www.mendeley.com/documents/?uuid=b5bdd729-09ba-40fa-91af-ebe0c999dd2e" ] }, { "id" : "ITEM-2", "itemData" : { "DOI" : "10.1128/AAC.00355-16", "ISSN" : "1098-6596", "PMID" : "27270274", "abstract" : "Understanding the relationship between antibiotic exposure and amplification of bacterial subpopulations with reduced drug susceptibility over time is important for evaluating the adequacy of dosing regimens. We utilized a hollow-fiber infection model to identify the fosfomycin intravenous dosing regimens that prevented the amplification of Escherichia coli bacterial subpopulations with reduced fosfomycin susceptibility. The challenge isolate was E. coli ATCC 25922 (agar MIC with glucose-6-phosphate, 1 mg/liter; agar MIC without glucose-6-phosphate, 32 mg/liter). The fosfomycin dosing regimens studied were 1 to 12 g every 8 h for 10 days to approximate that planned for clinical use. The studies included a no-treatment control regimen. Two bacterial subpopulations were identified, one with reduced susceptibility with agar MIC values ranging from 32 to 128 mg/liter and the other resistant with agar MIC values of 256 to &gt;1,024 mg/liter on plates containing 5\u00d7 and 256\u00d7 the baseline MIC value, respectively. An inverted-U-shaped function best described the relationship between the amplification of the two bacterial subpopulations and drug exposure. The lowest fosfomycin dosing regimen that did not amplify a bacterial subpopulation with reduced susceptibility was 4 g administered every 8 h. Nearly immediate amplification of bacterial subpopulations with reduced susceptibility was observed with fosfomycin dosing regimens consisting of 1 to 2 g every 8 h. These data will be useful to support the selection of fosfomycin dosing regimens that minimize the potential for on-therapy amplification of bacterial subpopulations with reduced susceptibility.", "author" : [ { "dropping-particle" : "", "family" : "VanScoy", "given" : "Brian", "non-dropping-particle" : "", "parse-names" : false, "suffix" : "" }, { "dropping-particle" : "", "family" : "McCauley", "given" : "Jennifer", "non-dropping-particle" : "", "parse-names" : false, "suffix" : "" }, { "dropping-particle" : "", "family" : "Bhavnani", "given" : "Sujata M", "non-dropping-particle" : "", "parse-names" : false, "suffix" : "" }, { "dropping-particle" : "", "family" : "Ellis-Grosse", "given" : "Evelyn J", "non-dropping-particle" : "", "parse-names" : false, "suffix" : "" }, { "dropping-particle" : "", "family" : "Ambrose", "given" : "Paul G", "non-dropping-particle" : "", "parse-names" : false, "suffix" : "" } ], "container-title" : "Antimicrobial agents and chemotherapy", "id" : "ITEM-2", "issue" : "9", "issued" : { "date-parts" : [ [ "2016", "9" ] ] }, "page" : "5141-5", "title" : "Relationship between Fosfomycin Exposure and Amplification of Escherichia coli Subpopulations with Reduced Susceptibility in a Hollow-Fiber Infection Model.", "type" : "article-journal", "volume" : "60" }, "uris" : [ "http://www.mendeley.com/documents/?uuid=1fe23100-dff9-4fe1-a987-dd4089888993" ] } ], "mendeley" : { "formattedCitation" : "[5,30]", "plainTextFormattedCitation" : "[5,30]", "previouslyFormattedCitation" : "[5,30]" }, "properties" : {  }, "schema" : "https://github.com/citation-style-language/schema/raw/master/csl-citation.json" }</w:instrText>
      </w:r>
      <w:r w:rsidR="00294A35" w:rsidRPr="002C7B68">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[5,30]</w:t>
      </w:r>
      <w:r w:rsidR="00294A35" w:rsidRPr="002C7B68">
        <w:rPr>
          <w:rFonts w:ascii="Times New Roman" w:hAnsi="Times New Roman"/>
          <w:sz w:val="24"/>
          <w:szCs w:val="24"/>
          <w:lang w:val="en-GB"/>
        </w:rPr>
        <w:fldChar w:fldCharType="end"/>
      </w:r>
      <w:r w:rsidR="00CD3746" w:rsidRPr="002C7B68">
        <w:rPr>
          <w:rFonts w:ascii="Times New Roman" w:hAnsi="Times New Roman"/>
          <w:sz w:val="24"/>
          <w:szCs w:val="24"/>
          <w:lang w:val="en-GB"/>
        </w:rPr>
        <w:t xml:space="preserve">. This suggest that the pharmacodynamic targets that drives the efficacy of fosfomycin </w:t>
      </w:r>
      <w:r w:rsidR="00F726C8" w:rsidRPr="002C7B68">
        <w:rPr>
          <w:rFonts w:ascii="Times New Roman" w:hAnsi="Times New Roman"/>
          <w:sz w:val="24"/>
          <w:szCs w:val="24"/>
          <w:lang w:val="en-GB"/>
        </w:rPr>
        <w:t xml:space="preserve">in complex infections </w:t>
      </w:r>
      <w:r w:rsidRPr="002C7B68">
        <w:rPr>
          <w:rFonts w:ascii="Times New Roman" w:hAnsi="Times New Roman"/>
          <w:sz w:val="24"/>
          <w:szCs w:val="24"/>
          <w:lang w:val="en-GB"/>
        </w:rPr>
        <w:t xml:space="preserve">may </w:t>
      </w:r>
      <w:r w:rsidR="00F726C8" w:rsidRPr="002C7B68">
        <w:rPr>
          <w:rFonts w:ascii="Times New Roman" w:hAnsi="Times New Roman"/>
          <w:sz w:val="24"/>
          <w:szCs w:val="24"/>
          <w:lang w:val="en-GB"/>
        </w:rPr>
        <w:t xml:space="preserve">need to consider </w:t>
      </w:r>
      <w:r w:rsidR="00CD3746" w:rsidRPr="002C7B68">
        <w:rPr>
          <w:rFonts w:ascii="Times New Roman" w:hAnsi="Times New Roman"/>
          <w:sz w:val="24"/>
          <w:szCs w:val="24"/>
          <w:lang w:val="en-GB"/>
        </w:rPr>
        <w:t>suppressi</w:t>
      </w:r>
      <w:r w:rsidR="00F726C8" w:rsidRPr="002C7B68">
        <w:rPr>
          <w:rFonts w:ascii="Times New Roman" w:hAnsi="Times New Roman"/>
          <w:sz w:val="24"/>
          <w:szCs w:val="24"/>
          <w:lang w:val="en-GB"/>
        </w:rPr>
        <w:t xml:space="preserve">on </w:t>
      </w:r>
      <w:r w:rsidR="00CD3746" w:rsidRPr="002C7B68">
        <w:rPr>
          <w:rFonts w:ascii="Times New Roman" w:hAnsi="Times New Roman"/>
          <w:sz w:val="24"/>
          <w:szCs w:val="24"/>
          <w:lang w:val="en-GB"/>
        </w:rPr>
        <w:t>resistant mutants</w:t>
      </w:r>
      <w:r w:rsidRPr="002C7B68">
        <w:rPr>
          <w:rFonts w:ascii="Times New Roman" w:hAnsi="Times New Roman"/>
          <w:sz w:val="24"/>
          <w:szCs w:val="24"/>
          <w:lang w:val="en-GB"/>
        </w:rPr>
        <w:t xml:space="preserve">, which is often not considered in the setting of breakpoints </w:t>
      </w:r>
      <w:r w:rsidR="00B10BC6" w:rsidRPr="002C7B68">
        <w:rPr>
          <w:rFonts w:ascii="Times New Roman" w:hAnsi="Times New Roman"/>
          <w:sz w:val="24"/>
          <w:szCs w:val="24"/>
          <w:lang w:val="en-GB"/>
        </w:rPr>
        <w:fldChar w:fldCharType="begin" w:fldLock="1"/>
      </w:r>
      <w:r w:rsidR="007B72C6" w:rsidRPr="002C7B68">
        <w:rPr>
          <w:rFonts w:ascii="Times New Roman" w:hAnsi="Times New Roman"/>
          <w:sz w:val="24"/>
          <w:szCs w:val="24"/>
          <w:lang w:val="en-GB"/>
        </w:rPr>
        <w:instrText>ADDIN CSL_CITATION { "citationItems" : [ { "id" : "ITEM-1", "itemData" : { "DOI" : "10.1128/AAC.00752-15", "ISSN" : "10986596", "PMID" : "26124169", "abstract" : "The aim of this study was to improve the understanding of the pharmacokinetic-pharmacodynamic relationships of fosfomycin against extended-spectrum beta-lactamase (ESBL)-producing Escherichia coli strains that have different fosfomycin MICs. Our methods included the use of a hollow fiber infection model with three clinical ESBL-producing E. coli strains. Human fosfomycin pharmacokinetic profiles were simulated over 4 days. Preliminary studies conducted to determine the dose ranges, including the dose ranges that suppressed the development of drug-resistant mutants, were conducted with regimens from 12 g/day to 36 g/day. The combination of fosfomycin at 4 g every 8 h (q8h) and meropenem at 1 g/q8h was selected for further assessment. The total bacterial population and the resistant subpopulations were determined. No efficacy was observed against the Ec42444 strain (fosfomycin MIC, 64 mg/liter) at doses of 12, 24, or 36 g/day. All dosages induced at least initial bacterial killing against Ec46 (fosfomycin MIC, 1 mg/liter). High-level drug-resistant mutants appeared in this strain in response to 12, 15, and 18 g/day. In the study arms that included 24 g/day, once or in a divided dose, a complete extinction of the bacterial inoculum was observed. The combination of meropenem with fosfomycin was synergistic for bacterial killing and also suppressed all fosfomycin-resistant clones of Ec2974 (fosfomycin MIC, 1 mg/liter). We conclude that fosfomycin susceptibility breakpoints (\u226464 mg/liter according to CLSI [for E. coli urinary tract infections only]) should be revised for the treatment of serious systemic infections. Fosfomycin can be used to treat infections caused by organisms that demonstrate lower MICs and lower bacterial densities, although relatively high daily dosages (i.e., 24 g/day) are required to prevent the emergence of bacterial resistance. The ratio of the area under the concentration-time curve for the free, unbound fraction of fosfomycin versus the MIC (fAUC/MIC) appears to be the dynamically linked index of suppression of bacterial resistance. Fosfomycin with meropenem can act synergistically against E. coli strains in preventing the emergence of fosfomycin resistance.", "author" : [ { "dropping-particle" : "", "family" : "Docobo-P\u00e9rez", "given" : "F.", "non-dropping-particle" : "", "parse-names" : false, "suffix" : "" }, { "dropping-particle" : "", "family" : "Drusano", "given" : "G. L.", "non-dropping-particle" : "", "parse-names" : false, "suffix" : "" }, { "dropping-particle" : "", "family" : "Johnson", "given" : "A.", "non-dropping-particle" : "", "parse-names" : false, "suffix" : "" }, { "dropping-particle" : "", "family" : "Goodwin", "given" : "J.", "non-dropping-particle" : "", "parse-names" : false, "suffix" : "" }, { "dropping-particle" : "", "family" : "Whalley", "given" : "S.", "non-dropping-particle" : "", "parse-names" : false, "suffix" : "" }, { "dropping-particle" : "", "family" : "Ramos-Mart\u00edn", "given" : "V.", "non-dropping-particle" : "", "parse-names" : false, "suffix" : "" }, { "dropping-particle" : "", "family" : "Ballestero-Tellez", "given" : "M.", "non-dropping-particle" : "", "parse-names" : false, "suffix" : "" }, { "dropping-particle" : "", "family" : "Rodriguez-Martinez", "given" : "J. M.", "non-dropping-particle" : "", "parse-names" : false, "suffix" : "" }, { "dropping-particle" : "", "family" : "Conejo", "given" : "M. C.", "non-dropping-particle" : "", "parse-names" : false, "suffix" : "" }, { "dropping-particle" : "", "family" : "Guilder", "given" : "M.", "non-dropping-particle" : "Van", "parse-names" : false, "suffix" : "" }, { "dropping-particle" : "", "family" : "Rodr\u00edguez-Ba\u00f1o", "given" : "J.", "non-dropping-particle" : "", "parse-names" : false, "suffix" : "" }, { "dropping-particle" : "", "family" : "Pascual", "given" : "A.", "non-dropping-particle" : "", "parse-names" : false, "suffix" : "" }, { "dropping-particle" : "", "family" : "Hope", "given" : "W. W.", "non-dropping-particle" : "", "parse-names" : false, "suffix" : "" } ], "container-title" : "Antimicrobial Agents and Chemotherapy", "id" : "ITEM-1", "issue" : "9", "issued" : { "date-parts" : [ [ "2015", "9" ] ] }, "page" : "5602-5610", "title" : "Pharmacodynamics of fosfomycin: Insights into clinical use for antimicrobial resistance", "type" : "article-journal", "volume" : "59" }, "uris" : [ "http://www.mendeley.com/documents/?uuid=b5bdd729-09ba-40fa-91af-ebe0c999dd2e" ] } ], "mendeley" : { "formattedCitation" : "[5]", "plainTextFormattedCitation" : "[5]", "previouslyFormattedCitation" : "[5]" }, "properties" : {  }, "schema" : "https://github.com/citation-style-language/schema/raw/master/csl-citation.json" }</w:instrText>
      </w:r>
      <w:r w:rsidR="00B10BC6" w:rsidRPr="002C7B68">
        <w:rPr>
          <w:rFonts w:ascii="Times New Roman" w:hAnsi="Times New Roman"/>
          <w:sz w:val="24"/>
          <w:szCs w:val="24"/>
          <w:lang w:val="en-GB"/>
        </w:rPr>
        <w:fldChar w:fldCharType="separate"/>
      </w:r>
      <w:r w:rsidR="00B10BC6" w:rsidRPr="002C7B68">
        <w:rPr>
          <w:rFonts w:ascii="Times New Roman" w:hAnsi="Times New Roman"/>
          <w:noProof/>
          <w:sz w:val="24"/>
          <w:szCs w:val="24"/>
          <w:lang w:val="en-GB"/>
        </w:rPr>
        <w:t>[5]</w:t>
      </w:r>
      <w:r w:rsidR="00B10BC6" w:rsidRPr="002C7B68">
        <w:rPr>
          <w:rFonts w:ascii="Times New Roman" w:hAnsi="Times New Roman"/>
          <w:sz w:val="24"/>
          <w:szCs w:val="24"/>
          <w:lang w:val="en-GB"/>
        </w:rPr>
        <w:fldChar w:fldCharType="end"/>
      </w:r>
      <w:r w:rsidR="00B10BC6" w:rsidRPr="002C7B68">
        <w:rPr>
          <w:rFonts w:ascii="Times New Roman" w:hAnsi="Times New Roman"/>
          <w:sz w:val="24"/>
          <w:szCs w:val="24"/>
          <w:lang w:val="en-GB"/>
        </w:rPr>
        <w:t>.</w:t>
      </w:r>
      <w:r w:rsidR="00F726C8" w:rsidRPr="002C7B68">
        <w:rPr>
          <w:rFonts w:ascii="Times New Roman" w:hAnsi="Times New Roman"/>
          <w:sz w:val="24"/>
          <w:szCs w:val="24"/>
          <w:lang w:val="en-GB"/>
        </w:rPr>
        <w:t xml:space="preserve"> </w:t>
      </w:r>
      <w:r w:rsidR="00CD3746" w:rsidRPr="002C7B68">
        <w:rPr>
          <w:rFonts w:ascii="Times New Roman" w:hAnsi="Times New Roman"/>
          <w:sz w:val="24"/>
          <w:szCs w:val="24"/>
          <w:lang w:val="en-GB"/>
        </w:rPr>
        <w:t xml:space="preserve">Finally, the existing controversy about how to perform and interpret the fosfomycin susceptibility tests could hinder the use of the MIC as </w:t>
      </w:r>
      <w:r w:rsidRPr="002C7B68">
        <w:rPr>
          <w:rFonts w:ascii="Times New Roman" w:hAnsi="Times New Roman"/>
          <w:sz w:val="24"/>
          <w:szCs w:val="24"/>
          <w:lang w:val="en-GB"/>
        </w:rPr>
        <w:t>a reliable measure of potency</w:t>
      </w:r>
      <w:r w:rsidR="00294A35" w:rsidRPr="002C7B68">
        <w:rPr>
          <w:rFonts w:ascii="Times New Roman" w:hAnsi="Times New Roman"/>
          <w:sz w:val="24"/>
          <w:szCs w:val="24"/>
          <w:lang w:val="en-GB"/>
        </w:rPr>
        <w:t xml:space="preserve"> </w:t>
      </w:r>
      <w:r w:rsidR="00294A35" w:rsidRPr="002C7B68">
        <w:rPr>
          <w:rFonts w:ascii="Times New Roman" w:hAnsi="Times New Roman"/>
          <w:sz w:val="24"/>
          <w:szCs w:val="24"/>
          <w:lang w:val="en-GB"/>
        </w:rPr>
        <w:fldChar w:fldCharType="begin" w:fldLock="1"/>
      </w:r>
      <w:r w:rsidR="00773669">
        <w:rPr>
          <w:rFonts w:ascii="Times New Roman" w:hAnsi="Times New Roman"/>
          <w:sz w:val="24"/>
          <w:szCs w:val="24"/>
          <w:lang w:val="en-GB"/>
        </w:rPr>
        <w:instrText>ADDIN CSL_CITATION { "citationItems" : [ { "id" : "ITEM-1", "itemData" : { "DOI" : "10.1093/jac/dkw573", "ISSN" : "0305-7453", "PMID" : "28093485", "author" : [ { "dropping-particle" : "", "family" : "Ballestero-T\u00e9llez", "given" : "M.", "non-dropping-particle" : "", "parse-names" : false, "suffix" : "" }, { "dropping-particle" : "", "family" : "Docobo-P\u00e9rez", "given" : "F.", "non-dropping-particle" : "", "parse-names" : false, "suffix" : "" }, { "dropping-particle" : "", "family" : "Portillo-Calder\u00f3n", "given" : "I.", "non-dropping-particle" : "", "parse-names" : false, "suffix" : "" }, { "dropping-particle" : "", "family" : "Rodr\u00edguez-Mart\u00ednez", "given" : "J. M.", "non-dropping-particle" : "", "parse-names" : false, "suffix" : "" }, { "dropping-particle" : "", "family" : "Racero", "given" : "L.", "non-dropping-particle" : "", "parse-names" : false, "suffix" : "" }, { "dropping-particle" : "", "family" : "Ramos-Guelfo", "given" : "M. S.", "non-dropping-particle" : "", "parse-names" : false, "suffix" : "" }, { "dropping-particle" : "", "family" : "Bl\u00e1zquez", "given" : "J.", "non-dropping-particle" : "", "parse-names" : false, "suffix" : "" }, { "dropping-particle" : "", "family" : "Rodr\u00edguez-Ba\u00f1o", "given" : "J.", "non-dropping-particle" : "", "parse-names" : false, "suffix" : "" }, { "dropping-particle" : "", "family" : "Pascual", "given" : "A.", "non-dropping-particle" : "", "parse-names" : false, "suffix" : "" } ], "container-title" : "Journal of Antimicrobial Chemotherapy", "id" : "ITEM-1", "issue" : "5", "issued" : { "date-parts" : [ [ "2017" ] ] }, "page" : "1303-1309", "title" : "Molecular insights into fosfomycin resistance in Escherichia coli", "type" : "article-journal", "volume" : "72" }, "uris" : [ "http://www.mendeley.com/documents/?uuid=6e814b80-ba59-40e8-b4b6-9b522dc7bb8f" ] }, { "id" : "ITEM-2", "itemData" : { "DOI" : "10.1016/j.cmi.2016.12.022", "ISSN" : "1469-0691", "PMID" : "28062317", "abstract" : "OBJECTIVES Fosfomycin is re-evaluated as a treatment of multidrug-resistant Enterobacteriaceae infections. However, MIC differences have been described among the different susceptibility testing. The aim was to study the role of the different inoculum size used in agar dilution with respect to broth microdilution, according to CLSI, in the fosfomycin MIC discrepancies. METHODS Fosfomycin MICs were determined using agar dilution (reference) and broth microdilution in 220 Escherichia coli (n=81) and Klebsiella pneumoniae (n=139) clinical isolates. Fosfomycin mutant frequencies were determined in 21 E. coli (MIC=1mg/L) and 21 K. pneumoniae (MIC=16mg/L). The emergence of resistant subpopulations of five E. coli strains (MIC=1mg/L) was monitored over the time by microdilution assay using 0, 4 and 8 mg/L of fosfomycin, and eight different inocula (5\u00d710(5)-3.91\u00d710(3) CFU/well, 1 : 2 dilutions). RESULTS For E. coli, 86.4% of categorical agreement (CA), 9.1% very major errors (VME), 3.3% major errors (ME) and 9.9% minor errors (mE) were found. For K. pneumoniae, CA was 51.1%, VME 15.7%, ME 28.4% and mE 25.2%. Essential agreement (\u00b11-log2) was observed in 55.45%. By microdilution, 35.9% of the MICs showed discrepancies of \u22652 dilutions. Initial inoculum used was 5.63 times higher in the microdilution method, in range with CLSI methodology for both techniques. Fosfomycin mutant frequencies were 6.05\u00d710(-5) (4\u00d7MIC) to 5.59\u00d710(-7) (256\u00d7MIC) for E. coli, and 1.49\u00d710(-4) (4\u00d7MIC) to 1.58\u00d710(-5) (16\u00d7MIC) for K. pneumoniae. Resistant subpopulations arose mainly after 8 h of incubation with inocula &gt;3.13\u00d710(4) CFU/well. CONCLUSIONS The higher inoculum used in the microdilution method enriched the initial inoculum with resistant subpopulations and could partially explain the fosfomycin MIC discrepancies with respect to the agar dilution method.", "author" : [ { "dropping-particle" : "", "family" : "Ballestero-T\u00e9llez", "given" : "M", "non-dropping-particle" : "", "parse-names" : false, "suffix" : "" }, { "dropping-particle" : "", "family" : "Docobo-P\u00e9rez", "given" : "F", "non-dropping-particle" : "", "parse-names" : false, "suffix" : "" }, { "dropping-particle" : "", "family" : "Rodr\u00edguez-Mart\u00ednez", "given" : "J M", "non-dropping-particle" : "", "parse-names" : false, "suffix" : "" }, { "dropping-particle" : "", "family" : "Conejo", "given" : "M C", "non-dropping-particle" : "", "parse-names" : false, "suffix" : "" }, { "dropping-particle" : "", "family" : "Ramos-Guelfo", "given" : "M S", "non-dropping-particle" : "", "parse-names" : false, "suffix" : "" }, { "dropping-particle" : "", "family" : "Bl\u00e1zquez", "given" : "J", "non-dropping-particle" : "", "parse-names" : false, "suffix" : "" }, { "dropping-particle" : "", "family" : "Rodr\u00edguez-Ba\u00f1o", "given" : "J", "non-dropping-particle" : "", "parse-names" : false, "suffix" : "" }, { "dropping-particle" : "", "family" : "Pascual", "given" : "A", "non-dropping-particle" : "", "parse-names" : false, "suffix" : "" } ], "container-title" : "Clinical microbiology and infection : the official publication of the European Society of Clinical Microbiology and Infectious Diseases", "id" : "ITEM-2", "issue" : "5", "issued" : { "date-parts" : [ [ "2017", "5" ] ] }, "page" : "325-331", "title" : "Role of inoculum and mutant frequency on fosfomycin MIC discrepancies by agar dilution and broth microdilution methods in Enterobacteriaceae.", "type" : "article-journal", "volume" : "23" }, "uris" : [ "http://www.mendeley.com/documents/?uuid=567e7f7f-f73b-4c1f-b502-5164b6deffde" ] } ], "mendeley" : { "formattedCitation" : "[28,29]", "plainTextFormattedCitation" : "[28,29]", "previouslyFormattedCitation" : "[28,29]" }, "properties" : {  }, "schema" : "https://github.com/citation-style-language/schema/raw/master/csl-citation.json" }</w:instrText>
      </w:r>
      <w:r w:rsidR="00294A35" w:rsidRPr="002C7B68">
        <w:rPr>
          <w:rFonts w:ascii="Times New Roman" w:hAnsi="Times New Roman"/>
          <w:sz w:val="24"/>
          <w:szCs w:val="24"/>
          <w:lang w:val="en-GB"/>
        </w:rPr>
        <w:fldChar w:fldCharType="separate"/>
      </w:r>
      <w:r w:rsidR="00773669" w:rsidRPr="00773669">
        <w:rPr>
          <w:rFonts w:ascii="Times New Roman" w:hAnsi="Times New Roman"/>
          <w:noProof/>
          <w:sz w:val="24"/>
          <w:szCs w:val="24"/>
          <w:lang w:val="en-GB"/>
        </w:rPr>
        <w:t>[28,29]</w:t>
      </w:r>
      <w:r w:rsidR="00294A35" w:rsidRPr="002C7B68">
        <w:rPr>
          <w:rFonts w:ascii="Times New Roman" w:hAnsi="Times New Roman"/>
          <w:sz w:val="24"/>
          <w:szCs w:val="24"/>
          <w:lang w:val="en-GB"/>
        </w:rPr>
        <w:fldChar w:fldCharType="end"/>
      </w:r>
      <w:r w:rsidR="00CD3746" w:rsidRPr="002C7B68">
        <w:rPr>
          <w:rFonts w:ascii="Times New Roman" w:hAnsi="Times New Roman"/>
          <w:sz w:val="24"/>
          <w:szCs w:val="24"/>
          <w:lang w:val="en-GB"/>
        </w:rPr>
        <w:t>.</w:t>
      </w:r>
    </w:p>
    <w:p w14:paraId="4A5F5640" w14:textId="184B6159" w:rsidR="00294A35" w:rsidRPr="002C7B68" w:rsidRDefault="00B92C1A" w:rsidP="000304CB">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 xml:space="preserve">In </w:t>
      </w:r>
      <w:r w:rsidR="0076347B" w:rsidRPr="002C7B68">
        <w:rPr>
          <w:rFonts w:ascii="Times New Roman" w:hAnsi="Times New Roman"/>
          <w:sz w:val="24"/>
          <w:szCs w:val="24"/>
          <w:lang w:val="en-GB"/>
        </w:rPr>
        <w:t xml:space="preserve">conclusion, fosfomycin concentrations are highly variable </w:t>
      </w:r>
      <w:r w:rsidRPr="002C7B68">
        <w:rPr>
          <w:rFonts w:ascii="Times New Roman" w:hAnsi="Times New Roman"/>
          <w:sz w:val="24"/>
          <w:szCs w:val="24"/>
          <w:lang w:val="en-GB"/>
        </w:rPr>
        <w:t>and depended to some extent on the degree of</w:t>
      </w:r>
      <w:r w:rsidR="0076347B" w:rsidRPr="002C7B68">
        <w:rPr>
          <w:rFonts w:ascii="Times New Roman" w:hAnsi="Times New Roman"/>
          <w:sz w:val="24"/>
          <w:szCs w:val="24"/>
          <w:lang w:val="en-GB"/>
        </w:rPr>
        <w:t xml:space="preserve"> renal dysfunction even </w:t>
      </w:r>
      <w:r w:rsidRPr="002C7B68">
        <w:rPr>
          <w:rFonts w:ascii="Times New Roman" w:hAnsi="Times New Roman"/>
          <w:sz w:val="24"/>
          <w:szCs w:val="24"/>
          <w:lang w:val="en-GB"/>
        </w:rPr>
        <w:t xml:space="preserve">for </w:t>
      </w:r>
      <w:r w:rsidR="0076347B" w:rsidRPr="002C7B68">
        <w:rPr>
          <w:rFonts w:ascii="Times New Roman" w:hAnsi="Times New Roman"/>
          <w:sz w:val="24"/>
          <w:szCs w:val="24"/>
          <w:lang w:val="en-GB"/>
        </w:rPr>
        <w:t xml:space="preserve">non-critically-ill patients. </w:t>
      </w:r>
      <w:r w:rsidRPr="002C7B68">
        <w:rPr>
          <w:rFonts w:ascii="Times New Roman" w:hAnsi="Times New Roman"/>
          <w:sz w:val="24"/>
          <w:szCs w:val="24"/>
          <w:lang w:val="en-GB"/>
        </w:rPr>
        <w:t>A regimen of</w:t>
      </w:r>
      <w:r w:rsidR="00294A35" w:rsidRPr="002C7B68">
        <w:rPr>
          <w:rFonts w:ascii="Times New Roman" w:hAnsi="Times New Roman"/>
          <w:sz w:val="24"/>
          <w:szCs w:val="24"/>
          <w:lang w:val="en-GB"/>
        </w:rPr>
        <w:t xml:space="preserve"> 4g Q6h </w:t>
      </w:r>
      <w:r w:rsidRPr="002C7B68">
        <w:rPr>
          <w:rFonts w:ascii="Times New Roman" w:hAnsi="Times New Roman"/>
          <w:sz w:val="24"/>
          <w:szCs w:val="24"/>
          <w:lang w:val="en-GB"/>
        </w:rPr>
        <w:t>or 8g Q8h appears</w:t>
      </w:r>
      <w:r w:rsidR="00294A35" w:rsidRPr="002C7B68">
        <w:rPr>
          <w:rFonts w:ascii="Times New Roman" w:hAnsi="Times New Roman"/>
          <w:sz w:val="24"/>
          <w:szCs w:val="24"/>
          <w:lang w:val="en-GB"/>
        </w:rPr>
        <w:t xml:space="preserve"> effective for the treatment of non-critically ill patients with bacteremic urinary infection caused by multidrug-resistant </w:t>
      </w:r>
      <w:r w:rsidR="00294A35" w:rsidRPr="002C7B68">
        <w:rPr>
          <w:rFonts w:ascii="Times New Roman" w:hAnsi="Times New Roman"/>
          <w:i/>
          <w:sz w:val="24"/>
          <w:szCs w:val="24"/>
          <w:lang w:val="en-GB"/>
        </w:rPr>
        <w:t>E. coli.</w:t>
      </w:r>
      <w:r w:rsidR="00294A35" w:rsidRPr="002C7B68">
        <w:rPr>
          <w:rFonts w:ascii="Times New Roman" w:hAnsi="Times New Roman"/>
          <w:sz w:val="24"/>
          <w:szCs w:val="24"/>
          <w:lang w:val="en-GB"/>
        </w:rPr>
        <w:t xml:space="preserve"> </w:t>
      </w:r>
      <w:r w:rsidR="00A37894" w:rsidRPr="002C7B68">
        <w:rPr>
          <w:rFonts w:ascii="Times New Roman" w:hAnsi="Times New Roman"/>
          <w:sz w:val="24"/>
          <w:szCs w:val="24"/>
          <w:lang w:val="en-GB"/>
        </w:rPr>
        <w:t xml:space="preserve">However, </w:t>
      </w:r>
      <w:r w:rsidRPr="002C7B68">
        <w:rPr>
          <w:rFonts w:ascii="Times New Roman" w:hAnsi="Times New Roman"/>
          <w:sz w:val="24"/>
          <w:szCs w:val="24"/>
          <w:lang w:val="en-GB"/>
        </w:rPr>
        <w:t>these regimens may still not be suitable (as monotherapy)</w:t>
      </w:r>
      <w:r w:rsidR="00824A2F" w:rsidRPr="002C7B68">
        <w:rPr>
          <w:rFonts w:ascii="Times New Roman" w:hAnsi="Times New Roman"/>
          <w:sz w:val="24"/>
          <w:szCs w:val="24"/>
          <w:lang w:val="en-GB"/>
        </w:rPr>
        <w:t xml:space="preserve"> </w:t>
      </w:r>
      <w:r w:rsidRPr="002C7B68">
        <w:rPr>
          <w:rFonts w:ascii="Times New Roman" w:hAnsi="Times New Roman"/>
          <w:sz w:val="24"/>
          <w:szCs w:val="24"/>
          <w:lang w:val="en-GB"/>
        </w:rPr>
        <w:t xml:space="preserve">for </w:t>
      </w:r>
      <w:r w:rsidR="00824A2F" w:rsidRPr="002C7B68">
        <w:rPr>
          <w:rFonts w:ascii="Times New Roman" w:hAnsi="Times New Roman"/>
          <w:sz w:val="24"/>
          <w:szCs w:val="24"/>
          <w:lang w:val="en-GB"/>
        </w:rPr>
        <w:t xml:space="preserve">critically-ill patients </w:t>
      </w:r>
      <w:r w:rsidRPr="002C7B68">
        <w:rPr>
          <w:rFonts w:ascii="Times New Roman" w:hAnsi="Times New Roman"/>
          <w:sz w:val="24"/>
          <w:szCs w:val="24"/>
          <w:lang w:val="en-GB"/>
        </w:rPr>
        <w:t>with a high bacterial burden where the emergence of drug resistance is likely to occur</w:t>
      </w:r>
      <w:r w:rsidR="00BE6AFC" w:rsidRPr="002C7B68">
        <w:rPr>
          <w:rFonts w:ascii="Times New Roman" w:hAnsi="Times New Roman"/>
          <w:sz w:val="24"/>
          <w:szCs w:val="24"/>
          <w:lang w:val="en-GB"/>
        </w:rPr>
        <w:t xml:space="preserve">. </w:t>
      </w:r>
      <w:r w:rsidR="0008551F" w:rsidRPr="002C7B68">
        <w:rPr>
          <w:rFonts w:ascii="Times New Roman" w:hAnsi="Times New Roman"/>
          <w:sz w:val="24"/>
          <w:szCs w:val="24"/>
          <w:lang w:val="en-GB"/>
        </w:rPr>
        <w:t>H</w:t>
      </w:r>
      <w:r w:rsidR="00294A35" w:rsidRPr="002C7B68">
        <w:rPr>
          <w:rFonts w:ascii="Times New Roman" w:hAnsi="Times New Roman"/>
          <w:sz w:val="24"/>
          <w:szCs w:val="24"/>
          <w:lang w:val="en-GB"/>
        </w:rPr>
        <w:t xml:space="preserve">igher dosages </w:t>
      </w:r>
      <w:r w:rsidRPr="002C7B68">
        <w:rPr>
          <w:rFonts w:ascii="Times New Roman" w:hAnsi="Times New Roman"/>
          <w:sz w:val="24"/>
          <w:szCs w:val="24"/>
          <w:lang w:val="en-GB"/>
        </w:rPr>
        <w:t xml:space="preserve">may </w:t>
      </w:r>
      <w:r w:rsidR="00406DAE" w:rsidRPr="002C7B68">
        <w:rPr>
          <w:rFonts w:ascii="Times New Roman" w:hAnsi="Times New Roman"/>
          <w:sz w:val="24"/>
          <w:szCs w:val="24"/>
          <w:lang w:val="en-GB"/>
        </w:rPr>
        <w:t xml:space="preserve">increase </w:t>
      </w:r>
      <w:r w:rsidR="00294A35" w:rsidRPr="002C7B68">
        <w:rPr>
          <w:rFonts w:ascii="Times New Roman" w:hAnsi="Times New Roman"/>
          <w:sz w:val="24"/>
          <w:szCs w:val="24"/>
          <w:lang w:val="en-GB"/>
        </w:rPr>
        <w:t xml:space="preserve">the </w:t>
      </w:r>
      <w:r w:rsidRPr="002C7B68">
        <w:rPr>
          <w:rFonts w:ascii="Times New Roman" w:hAnsi="Times New Roman"/>
          <w:sz w:val="24"/>
          <w:szCs w:val="24"/>
          <w:lang w:val="en-GB"/>
        </w:rPr>
        <w:t xml:space="preserve">probability of </w:t>
      </w:r>
      <w:r w:rsidR="00294A35" w:rsidRPr="002C7B68">
        <w:rPr>
          <w:rFonts w:ascii="Times New Roman" w:hAnsi="Times New Roman"/>
          <w:sz w:val="24"/>
          <w:szCs w:val="24"/>
          <w:lang w:val="en-GB"/>
        </w:rPr>
        <w:t xml:space="preserve">toxicity, but </w:t>
      </w:r>
      <w:r w:rsidR="00D034FC" w:rsidRPr="002C7B68">
        <w:rPr>
          <w:rFonts w:ascii="Times New Roman" w:hAnsi="Times New Roman"/>
          <w:sz w:val="24"/>
          <w:szCs w:val="24"/>
          <w:lang w:val="en-GB"/>
        </w:rPr>
        <w:t xml:space="preserve">would not be expected </w:t>
      </w:r>
      <w:r w:rsidR="00D034FC" w:rsidRPr="002C7B68">
        <w:rPr>
          <w:rFonts w:ascii="Times New Roman" w:hAnsi="Times New Roman"/>
          <w:sz w:val="24"/>
          <w:szCs w:val="24"/>
          <w:lang w:val="en-GB"/>
        </w:rPr>
        <w:lastRenderedPageBreak/>
        <w:t xml:space="preserve">to significantly increase </w:t>
      </w:r>
      <w:r w:rsidR="00294A35" w:rsidRPr="002C7B68">
        <w:rPr>
          <w:rFonts w:ascii="Times New Roman" w:hAnsi="Times New Roman"/>
          <w:sz w:val="24"/>
          <w:szCs w:val="24"/>
          <w:lang w:val="en-GB"/>
        </w:rPr>
        <w:t xml:space="preserve">efficacy. Our </w:t>
      </w:r>
      <w:r w:rsidRPr="002C7B68">
        <w:rPr>
          <w:rFonts w:ascii="Times New Roman" w:hAnsi="Times New Roman"/>
          <w:sz w:val="24"/>
          <w:szCs w:val="24"/>
          <w:lang w:val="en-GB"/>
        </w:rPr>
        <w:t xml:space="preserve">study </w:t>
      </w:r>
      <w:r w:rsidR="00294A35" w:rsidRPr="002C7B68">
        <w:rPr>
          <w:rFonts w:ascii="Times New Roman" w:hAnsi="Times New Roman"/>
          <w:sz w:val="24"/>
          <w:szCs w:val="24"/>
          <w:lang w:val="en-GB"/>
        </w:rPr>
        <w:t>suggest</w:t>
      </w:r>
      <w:r w:rsidRPr="002C7B68">
        <w:rPr>
          <w:rFonts w:ascii="Times New Roman" w:hAnsi="Times New Roman"/>
          <w:sz w:val="24"/>
          <w:szCs w:val="24"/>
          <w:lang w:val="en-GB"/>
        </w:rPr>
        <w:t>s</w:t>
      </w:r>
      <w:r w:rsidR="00294A35" w:rsidRPr="002C7B68">
        <w:rPr>
          <w:rFonts w:ascii="Times New Roman" w:hAnsi="Times New Roman"/>
          <w:sz w:val="24"/>
          <w:szCs w:val="24"/>
          <w:lang w:val="en-GB"/>
        </w:rPr>
        <w:t xml:space="preserve"> that </w:t>
      </w:r>
      <w:r w:rsidRPr="002C7B68">
        <w:rPr>
          <w:rFonts w:ascii="Times New Roman" w:hAnsi="Times New Roman"/>
          <w:sz w:val="24"/>
          <w:szCs w:val="24"/>
          <w:lang w:val="en-GB"/>
        </w:rPr>
        <w:t>revision of both EUCAST and CLSI breakpoints may be required</w:t>
      </w:r>
      <w:r w:rsidR="008E687A" w:rsidRPr="002C7B68">
        <w:rPr>
          <w:rFonts w:ascii="Times New Roman" w:hAnsi="Times New Roman"/>
          <w:sz w:val="24"/>
          <w:szCs w:val="24"/>
          <w:lang w:val="en-GB"/>
        </w:rPr>
        <w:t xml:space="preserve"> for some clinical contexts and patient subgroups</w:t>
      </w:r>
      <w:r w:rsidR="00824A2F" w:rsidRPr="002C7B68">
        <w:rPr>
          <w:rFonts w:ascii="Times New Roman" w:hAnsi="Times New Roman"/>
          <w:sz w:val="24"/>
          <w:szCs w:val="24"/>
          <w:lang w:val="en-GB"/>
        </w:rPr>
        <w:t>.</w:t>
      </w:r>
      <w:r w:rsidR="002F35EB" w:rsidRPr="002C7B68">
        <w:rPr>
          <w:rFonts w:ascii="Times New Roman" w:hAnsi="Times New Roman"/>
          <w:sz w:val="24"/>
          <w:szCs w:val="24"/>
          <w:lang w:val="en-GB"/>
        </w:rPr>
        <w:t xml:space="preserve"> </w:t>
      </w:r>
      <w:r w:rsidR="00294A35" w:rsidRPr="002C7B68">
        <w:rPr>
          <w:rFonts w:ascii="Times New Roman" w:hAnsi="Times New Roman"/>
          <w:sz w:val="24"/>
          <w:szCs w:val="24"/>
          <w:lang w:val="en-GB"/>
        </w:rPr>
        <w:t xml:space="preserve">Finally, all these results must be </w:t>
      </w:r>
      <w:r w:rsidR="008E687A" w:rsidRPr="002C7B68">
        <w:rPr>
          <w:rFonts w:ascii="Times New Roman" w:hAnsi="Times New Roman"/>
          <w:sz w:val="24"/>
          <w:szCs w:val="24"/>
          <w:lang w:val="en-GB"/>
        </w:rPr>
        <w:t xml:space="preserve">prospectively </w:t>
      </w:r>
      <w:r w:rsidR="00294A35" w:rsidRPr="002C7B68">
        <w:rPr>
          <w:rFonts w:ascii="Times New Roman" w:hAnsi="Times New Roman"/>
          <w:sz w:val="24"/>
          <w:szCs w:val="24"/>
          <w:lang w:val="en-GB"/>
        </w:rPr>
        <w:t xml:space="preserve">validated with </w:t>
      </w:r>
      <w:r w:rsidR="008E687A" w:rsidRPr="002C7B68">
        <w:rPr>
          <w:rFonts w:ascii="Times New Roman" w:hAnsi="Times New Roman"/>
          <w:sz w:val="24"/>
          <w:szCs w:val="24"/>
          <w:lang w:val="en-GB"/>
        </w:rPr>
        <w:t>further pharmacokinetic and clinical outcome data</w:t>
      </w:r>
      <w:r w:rsidR="00294A35" w:rsidRPr="002C7B68">
        <w:rPr>
          <w:rFonts w:ascii="Times New Roman" w:hAnsi="Times New Roman"/>
          <w:sz w:val="24"/>
          <w:szCs w:val="24"/>
          <w:lang w:val="en-GB"/>
        </w:rPr>
        <w:t>.</w:t>
      </w:r>
    </w:p>
    <w:p w14:paraId="20E8D0F2" w14:textId="77777777" w:rsidR="00396563" w:rsidRPr="002C7B68" w:rsidRDefault="00396563" w:rsidP="00294A35">
      <w:pPr>
        <w:autoSpaceDE w:val="0"/>
        <w:autoSpaceDN w:val="0"/>
        <w:adjustRightInd w:val="0"/>
        <w:spacing w:after="0" w:line="480" w:lineRule="auto"/>
        <w:jc w:val="both"/>
        <w:rPr>
          <w:rFonts w:ascii="Times New Roman" w:hAnsi="Times New Roman"/>
          <w:sz w:val="24"/>
          <w:szCs w:val="24"/>
          <w:lang w:val="en-GB"/>
        </w:rPr>
      </w:pPr>
    </w:p>
    <w:p w14:paraId="39F6A447" w14:textId="77777777" w:rsidR="00897729" w:rsidRPr="002C7B68" w:rsidRDefault="00897729" w:rsidP="00897729">
      <w:pPr>
        <w:autoSpaceDE w:val="0"/>
        <w:autoSpaceDN w:val="0"/>
        <w:adjustRightInd w:val="0"/>
        <w:spacing w:after="0" w:line="480" w:lineRule="auto"/>
        <w:jc w:val="both"/>
        <w:rPr>
          <w:rFonts w:ascii="Times New Roman" w:hAnsi="Times New Roman"/>
          <w:b/>
          <w:sz w:val="24"/>
          <w:szCs w:val="24"/>
          <w:lang w:val="en-GB"/>
        </w:rPr>
      </w:pPr>
      <w:r w:rsidRPr="002C7B68">
        <w:rPr>
          <w:rFonts w:ascii="Times New Roman" w:hAnsi="Times New Roman"/>
          <w:b/>
          <w:sz w:val="24"/>
          <w:szCs w:val="24"/>
          <w:lang w:val="en-GB"/>
        </w:rPr>
        <w:t>Acknowledgements</w:t>
      </w:r>
    </w:p>
    <w:p w14:paraId="4608FB14" w14:textId="77777777" w:rsidR="00F8143F" w:rsidRPr="002C7B68" w:rsidRDefault="00897729" w:rsidP="00F8143F">
      <w:pPr>
        <w:autoSpaceDE w:val="0"/>
        <w:autoSpaceDN w:val="0"/>
        <w:adjustRightInd w:val="0"/>
        <w:spacing w:after="0" w:line="480" w:lineRule="auto"/>
        <w:jc w:val="both"/>
        <w:rPr>
          <w:rFonts w:ascii="Times New Roman" w:hAnsi="Times New Roman"/>
          <w:sz w:val="24"/>
          <w:szCs w:val="24"/>
          <w:lang w:val="en-GB"/>
        </w:rPr>
      </w:pPr>
      <w:r w:rsidRPr="002C7B68">
        <w:rPr>
          <w:rFonts w:ascii="Times New Roman" w:hAnsi="Times New Roman"/>
          <w:sz w:val="24"/>
          <w:szCs w:val="24"/>
          <w:lang w:val="en-GB"/>
        </w:rPr>
        <w:t>This work was supported by the Ministerio de Economía y Competitividad, Instituto de Salud C</w:t>
      </w:r>
      <w:r w:rsidR="00F8143F" w:rsidRPr="002C7B68">
        <w:rPr>
          <w:rFonts w:ascii="Times New Roman" w:hAnsi="Times New Roman"/>
          <w:sz w:val="24"/>
          <w:szCs w:val="24"/>
          <w:lang w:val="en-GB"/>
        </w:rPr>
        <w:t>arlos III (PI13/</w:t>
      </w:r>
      <w:r w:rsidRPr="002C7B68">
        <w:rPr>
          <w:rFonts w:ascii="Times New Roman" w:hAnsi="Times New Roman"/>
          <w:sz w:val="24"/>
          <w:szCs w:val="24"/>
          <w:lang w:val="en-GB"/>
        </w:rPr>
        <w:t>01282</w:t>
      </w:r>
      <w:r w:rsidR="00240A96" w:rsidRPr="002C7B68">
        <w:rPr>
          <w:rFonts w:ascii="Times New Roman" w:hAnsi="Times New Roman"/>
          <w:sz w:val="24"/>
          <w:szCs w:val="24"/>
          <w:lang w:val="en-GB"/>
        </w:rPr>
        <w:t xml:space="preserve"> and PI16/01824</w:t>
      </w:r>
      <w:r w:rsidRPr="002C7B68">
        <w:rPr>
          <w:rFonts w:ascii="Times New Roman" w:hAnsi="Times New Roman"/>
          <w:sz w:val="24"/>
          <w:szCs w:val="24"/>
          <w:lang w:val="en-GB"/>
        </w:rPr>
        <w:t xml:space="preserve">), Spain. It was </w:t>
      </w:r>
      <w:r w:rsidR="00F8143F" w:rsidRPr="002C7B68">
        <w:rPr>
          <w:rFonts w:ascii="Times New Roman" w:hAnsi="Times New Roman"/>
          <w:sz w:val="24"/>
          <w:szCs w:val="24"/>
          <w:lang w:val="en-GB"/>
        </w:rPr>
        <w:t>also</w:t>
      </w:r>
      <w:r w:rsidRPr="002C7B68">
        <w:rPr>
          <w:rFonts w:ascii="Times New Roman" w:hAnsi="Times New Roman"/>
          <w:sz w:val="24"/>
          <w:szCs w:val="24"/>
          <w:lang w:val="en-GB"/>
        </w:rPr>
        <w:t xml:space="preserve"> supported </w:t>
      </w:r>
      <w:r w:rsidR="00F8143F" w:rsidRPr="002C7B68">
        <w:rPr>
          <w:rFonts w:ascii="Times New Roman" w:hAnsi="Times New Roman"/>
          <w:sz w:val="24"/>
          <w:szCs w:val="24"/>
          <w:lang w:val="en-GB"/>
        </w:rPr>
        <w:t>by Plan Nacional de I+D+i 2013‐2016 and Instituto de Salud Carlos III, Subdirección General de Redes y Centros de Investigación Cooperativa, Ministerio de Economía, Industria y Competitividad, Spanish Network for Research in Infectious Diseases (REIPI RD16/0015/0010; RD16/0016/0001)‐co‐financed by European Development Regional Fund “A way to achieve Europe”, Operative program Intelligent Growth 2014‐2020.</w:t>
      </w:r>
    </w:p>
    <w:p w14:paraId="61950C73" w14:textId="5F0E61D1" w:rsidR="00897729" w:rsidRPr="002C7B68" w:rsidRDefault="00897729" w:rsidP="00897729">
      <w:pPr>
        <w:autoSpaceDE w:val="0"/>
        <w:autoSpaceDN w:val="0"/>
        <w:adjustRightInd w:val="0"/>
        <w:spacing w:after="0" w:line="480" w:lineRule="auto"/>
        <w:jc w:val="both"/>
        <w:rPr>
          <w:rFonts w:ascii="Times New Roman" w:hAnsi="Times New Roman"/>
          <w:sz w:val="24"/>
          <w:szCs w:val="24"/>
          <w:lang w:val="en-GB"/>
        </w:rPr>
      </w:pPr>
      <w:r w:rsidRPr="002C7B68">
        <w:rPr>
          <w:rFonts w:ascii="Times New Roman" w:hAnsi="Times New Roman"/>
          <w:sz w:val="24"/>
          <w:szCs w:val="24"/>
          <w:lang w:val="en-GB"/>
        </w:rPr>
        <w:t>Fernando Docobo-Pérez is supported by a VPPI-US fellowship from the University of Sevilla.</w:t>
      </w:r>
      <w:r w:rsidR="007C2129" w:rsidRPr="002C7B68">
        <w:rPr>
          <w:lang w:val="en-GB"/>
        </w:rPr>
        <w:t xml:space="preserve"> </w:t>
      </w:r>
      <w:r w:rsidR="007C2129" w:rsidRPr="002C7B68">
        <w:rPr>
          <w:rFonts w:ascii="Times New Roman" w:hAnsi="Times New Roman"/>
          <w:sz w:val="24"/>
          <w:szCs w:val="24"/>
          <w:lang w:val="en-GB"/>
        </w:rPr>
        <w:t>W</w:t>
      </w:r>
      <w:r w:rsidR="004B373F" w:rsidRPr="002C7B68">
        <w:rPr>
          <w:rFonts w:ascii="Times New Roman" w:hAnsi="Times New Roman"/>
          <w:sz w:val="24"/>
          <w:szCs w:val="24"/>
          <w:lang w:val="en-GB"/>
        </w:rPr>
        <w:t xml:space="preserve">illiam W. Hope </w:t>
      </w:r>
      <w:r w:rsidR="007C2129" w:rsidRPr="002C7B68">
        <w:rPr>
          <w:rFonts w:ascii="Times New Roman" w:hAnsi="Times New Roman"/>
          <w:sz w:val="24"/>
          <w:szCs w:val="24"/>
          <w:lang w:val="en-GB"/>
        </w:rPr>
        <w:t>was supported by a National Institute of Health Research Clinician Scientist Award (CS/08/08).</w:t>
      </w:r>
    </w:p>
    <w:p w14:paraId="6DAC0A3D" w14:textId="77777777" w:rsidR="00396563" w:rsidRPr="002C7B68" w:rsidRDefault="00396563" w:rsidP="00897729">
      <w:pPr>
        <w:autoSpaceDE w:val="0"/>
        <w:autoSpaceDN w:val="0"/>
        <w:adjustRightInd w:val="0"/>
        <w:spacing w:after="0" w:line="480" w:lineRule="auto"/>
        <w:jc w:val="both"/>
        <w:rPr>
          <w:rFonts w:ascii="Times New Roman" w:hAnsi="Times New Roman"/>
          <w:b/>
          <w:sz w:val="24"/>
          <w:szCs w:val="24"/>
          <w:lang w:val="en-GB"/>
        </w:rPr>
      </w:pPr>
    </w:p>
    <w:p w14:paraId="09ECD6BC" w14:textId="77777777" w:rsidR="00897729" w:rsidRPr="002C7B68" w:rsidRDefault="00897729" w:rsidP="00897729">
      <w:pPr>
        <w:autoSpaceDE w:val="0"/>
        <w:autoSpaceDN w:val="0"/>
        <w:adjustRightInd w:val="0"/>
        <w:spacing w:after="0" w:line="480" w:lineRule="auto"/>
        <w:jc w:val="both"/>
        <w:rPr>
          <w:rFonts w:ascii="Times New Roman" w:hAnsi="Times New Roman"/>
          <w:b/>
          <w:sz w:val="24"/>
          <w:szCs w:val="24"/>
          <w:lang w:val="en-GB"/>
        </w:rPr>
      </w:pPr>
      <w:r w:rsidRPr="002C7B68">
        <w:rPr>
          <w:rFonts w:ascii="Times New Roman" w:hAnsi="Times New Roman"/>
          <w:b/>
          <w:sz w:val="24"/>
          <w:szCs w:val="24"/>
          <w:lang w:val="en-GB"/>
        </w:rPr>
        <w:t>Transparency declaration</w:t>
      </w:r>
    </w:p>
    <w:p w14:paraId="6ACD7292" w14:textId="5513C1DB" w:rsidR="00897729" w:rsidRPr="002C7B68" w:rsidRDefault="00897729" w:rsidP="00F85AC8">
      <w:pPr>
        <w:autoSpaceDE w:val="0"/>
        <w:autoSpaceDN w:val="0"/>
        <w:adjustRightInd w:val="0"/>
        <w:spacing w:after="0" w:line="480" w:lineRule="auto"/>
        <w:ind w:firstLine="708"/>
        <w:jc w:val="both"/>
        <w:rPr>
          <w:rFonts w:ascii="Times New Roman" w:hAnsi="Times New Roman"/>
          <w:sz w:val="24"/>
          <w:szCs w:val="24"/>
          <w:lang w:val="en-GB"/>
        </w:rPr>
      </w:pPr>
      <w:r w:rsidRPr="002C7B68">
        <w:rPr>
          <w:rFonts w:ascii="Times New Roman" w:hAnsi="Times New Roman"/>
          <w:sz w:val="24"/>
          <w:szCs w:val="24"/>
          <w:lang w:val="en-GB"/>
        </w:rPr>
        <w:t xml:space="preserve">JRB </w:t>
      </w:r>
      <w:r w:rsidR="00D034FC" w:rsidRPr="002C7B68">
        <w:rPr>
          <w:rFonts w:ascii="Times New Roman" w:hAnsi="Times New Roman"/>
          <w:sz w:val="24"/>
          <w:szCs w:val="24"/>
          <w:lang w:val="en-GB"/>
        </w:rPr>
        <w:t xml:space="preserve">has been scientific advisor for research projects </w:t>
      </w:r>
      <w:r w:rsidRPr="002C7B68">
        <w:rPr>
          <w:rFonts w:ascii="Times New Roman" w:hAnsi="Times New Roman"/>
          <w:sz w:val="24"/>
          <w:szCs w:val="24"/>
          <w:lang w:val="en-GB"/>
        </w:rPr>
        <w:t xml:space="preserve">for AstraZeneca and </w:t>
      </w:r>
      <w:r w:rsidR="00D034FC" w:rsidRPr="002C7B68">
        <w:rPr>
          <w:rFonts w:ascii="Times New Roman" w:hAnsi="Times New Roman"/>
          <w:sz w:val="24"/>
          <w:szCs w:val="24"/>
          <w:lang w:val="en-GB"/>
        </w:rPr>
        <w:t>InfectoPharm</w:t>
      </w:r>
      <w:r w:rsidRPr="002C7B68">
        <w:rPr>
          <w:rFonts w:ascii="Times New Roman" w:hAnsi="Times New Roman"/>
          <w:sz w:val="24"/>
          <w:szCs w:val="24"/>
          <w:lang w:val="en-GB"/>
        </w:rPr>
        <w:t>, and was speaker for Merck</w:t>
      </w:r>
      <w:r w:rsidR="00D034FC" w:rsidRPr="002C7B68">
        <w:rPr>
          <w:rFonts w:ascii="Times New Roman" w:hAnsi="Times New Roman"/>
          <w:sz w:val="24"/>
          <w:szCs w:val="24"/>
          <w:lang w:val="en-GB"/>
        </w:rPr>
        <w:t xml:space="preserve"> at accredited educational activities</w:t>
      </w:r>
      <w:r w:rsidRPr="002C7B68">
        <w:rPr>
          <w:rFonts w:ascii="Times New Roman" w:hAnsi="Times New Roman"/>
          <w:sz w:val="24"/>
          <w:szCs w:val="24"/>
          <w:lang w:val="en-GB"/>
        </w:rPr>
        <w:t>.</w:t>
      </w:r>
      <w:r w:rsidR="00D034FC" w:rsidRPr="002C7B68">
        <w:rPr>
          <w:rFonts w:ascii="Times New Roman" w:hAnsi="Times New Roman"/>
          <w:sz w:val="24"/>
          <w:szCs w:val="24"/>
          <w:lang w:val="en-GB"/>
        </w:rPr>
        <w:t xml:space="preserve"> </w:t>
      </w:r>
      <w:r w:rsidR="00396563" w:rsidRPr="002C7B68">
        <w:rPr>
          <w:rFonts w:ascii="Times New Roman" w:hAnsi="Times New Roman"/>
          <w:sz w:val="24"/>
          <w:szCs w:val="24"/>
          <w:lang w:val="en-GB"/>
        </w:rPr>
        <w:t>JRB and AP</w:t>
      </w:r>
      <w:r w:rsidRPr="002C7B68">
        <w:rPr>
          <w:rFonts w:ascii="Times New Roman" w:hAnsi="Times New Roman"/>
          <w:sz w:val="24"/>
          <w:szCs w:val="24"/>
          <w:lang w:val="en-GB"/>
        </w:rPr>
        <w:t xml:space="preserve"> received funding for research from COMBACTE-NET</w:t>
      </w:r>
      <w:r w:rsidR="00D034FC" w:rsidRPr="002C7B68">
        <w:rPr>
          <w:rFonts w:ascii="Times New Roman" w:hAnsi="Times New Roman"/>
          <w:sz w:val="24"/>
          <w:szCs w:val="24"/>
          <w:lang w:val="en-GB"/>
        </w:rPr>
        <w:t xml:space="preserve"> (grant agreement 115523)</w:t>
      </w:r>
      <w:r w:rsidRPr="002C7B68">
        <w:rPr>
          <w:rFonts w:ascii="Times New Roman" w:hAnsi="Times New Roman"/>
          <w:sz w:val="24"/>
          <w:szCs w:val="24"/>
          <w:lang w:val="en-GB"/>
        </w:rPr>
        <w:t>, COMBACTE-CARE</w:t>
      </w:r>
      <w:r w:rsidR="00D034FC" w:rsidRPr="002C7B68">
        <w:rPr>
          <w:rFonts w:ascii="Times New Roman" w:hAnsi="Times New Roman"/>
          <w:sz w:val="24"/>
          <w:szCs w:val="24"/>
          <w:lang w:val="en-GB"/>
        </w:rPr>
        <w:t xml:space="preserve"> (gran agreement 115620)</w:t>
      </w:r>
      <w:r w:rsidRPr="002C7B68">
        <w:rPr>
          <w:rFonts w:ascii="Times New Roman" w:hAnsi="Times New Roman"/>
          <w:sz w:val="24"/>
          <w:szCs w:val="24"/>
          <w:lang w:val="en-GB"/>
        </w:rPr>
        <w:t xml:space="preserve">, and COMBACTE-MAGNET </w:t>
      </w:r>
      <w:r w:rsidR="00D034FC" w:rsidRPr="002C7B68">
        <w:rPr>
          <w:rFonts w:ascii="Times New Roman" w:hAnsi="Times New Roman"/>
          <w:sz w:val="24"/>
          <w:szCs w:val="24"/>
          <w:lang w:val="en-GB"/>
        </w:rPr>
        <w:t>(gran</w:t>
      </w:r>
      <w:r w:rsidR="00F85AC8" w:rsidRPr="002C7B68">
        <w:rPr>
          <w:rFonts w:ascii="Times New Roman" w:hAnsi="Times New Roman"/>
          <w:sz w:val="24"/>
          <w:szCs w:val="24"/>
          <w:lang w:val="en-GB"/>
        </w:rPr>
        <w:t>t</w:t>
      </w:r>
      <w:r w:rsidR="00D034FC" w:rsidRPr="002C7B68">
        <w:rPr>
          <w:rFonts w:ascii="Times New Roman" w:hAnsi="Times New Roman"/>
          <w:sz w:val="24"/>
          <w:szCs w:val="24"/>
          <w:lang w:val="en-GB"/>
        </w:rPr>
        <w:t xml:space="preserve"> agreement 115737) </w:t>
      </w:r>
      <w:r w:rsidRPr="002C7B68">
        <w:rPr>
          <w:rFonts w:ascii="Times New Roman" w:hAnsi="Times New Roman"/>
          <w:sz w:val="24"/>
          <w:szCs w:val="24"/>
          <w:lang w:val="en-GB"/>
        </w:rPr>
        <w:t>projects</w:t>
      </w:r>
      <w:r w:rsidR="007761A3" w:rsidRPr="002C7B68">
        <w:rPr>
          <w:rFonts w:ascii="Times New Roman" w:hAnsi="Times New Roman"/>
          <w:sz w:val="24"/>
          <w:szCs w:val="24"/>
          <w:lang w:val="en-GB"/>
        </w:rPr>
        <w:t xml:space="preserve"> under the </w:t>
      </w:r>
      <w:r w:rsidRPr="002C7B68">
        <w:rPr>
          <w:rFonts w:ascii="Times New Roman" w:hAnsi="Times New Roman"/>
          <w:sz w:val="24"/>
          <w:szCs w:val="24"/>
          <w:lang w:val="en-GB"/>
        </w:rPr>
        <w:t>Innovative Medicines Initiative (IMI), the European Union and EFPIA companies</w:t>
      </w:r>
      <w:r w:rsidR="00D034FC" w:rsidRPr="002C7B68">
        <w:rPr>
          <w:rFonts w:ascii="Times New Roman" w:hAnsi="Times New Roman"/>
          <w:sz w:val="24"/>
          <w:szCs w:val="24"/>
          <w:lang w:val="en-GB"/>
        </w:rPr>
        <w:t xml:space="preserve"> in kind</w:t>
      </w:r>
      <w:r w:rsidRPr="002C7B68">
        <w:rPr>
          <w:rFonts w:ascii="Times New Roman" w:hAnsi="Times New Roman"/>
          <w:sz w:val="24"/>
          <w:szCs w:val="24"/>
          <w:lang w:val="en-GB"/>
        </w:rPr>
        <w:t>.</w:t>
      </w:r>
      <w:r w:rsidR="00D034FC" w:rsidRPr="002C7B68">
        <w:rPr>
          <w:rFonts w:ascii="Times New Roman" w:hAnsi="Times New Roman"/>
          <w:sz w:val="24"/>
          <w:szCs w:val="24"/>
          <w:lang w:val="en-GB"/>
        </w:rPr>
        <w:t xml:space="preserve"> </w:t>
      </w:r>
      <w:r w:rsidR="00F85AC8" w:rsidRPr="002C7B68">
        <w:rPr>
          <w:rFonts w:ascii="Times New Roman" w:hAnsi="Times New Roman"/>
          <w:sz w:val="24"/>
          <w:szCs w:val="24"/>
          <w:lang w:val="en-GB"/>
        </w:rPr>
        <w:t xml:space="preserve">WWH has received research funding from Pfizer, Gilead, Astellas, AiCuris, Amplyx, Spero Therapeutics, and F2G and acted </w:t>
      </w:r>
      <w:r w:rsidR="00F85AC8" w:rsidRPr="002C7B68">
        <w:rPr>
          <w:rFonts w:ascii="Times New Roman" w:hAnsi="Times New Roman"/>
          <w:sz w:val="24"/>
          <w:szCs w:val="24"/>
          <w:lang w:val="en-GB"/>
        </w:rPr>
        <w:lastRenderedPageBreak/>
        <w:t xml:space="preserve">as a consultant and/or given talks for Pfizer, Basilea, Astellas, F2G, Nordic Pharma, Medicines Company, Amplyx, Mayne Pharma, Spero Therapeutics, Auspherix, Cardeas, and Pulmocide. </w:t>
      </w:r>
      <w:r w:rsidRPr="002C7B68">
        <w:rPr>
          <w:rFonts w:ascii="Times New Roman" w:hAnsi="Times New Roman"/>
          <w:sz w:val="24"/>
          <w:szCs w:val="24"/>
          <w:lang w:val="en-GB"/>
        </w:rPr>
        <w:t xml:space="preserve">All other authors </w:t>
      </w:r>
      <w:r w:rsidR="00CD05BC" w:rsidRPr="002C7B68">
        <w:rPr>
          <w:rFonts w:ascii="Times New Roman" w:hAnsi="Times New Roman"/>
          <w:sz w:val="24"/>
          <w:szCs w:val="24"/>
          <w:lang w:val="en-GB"/>
        </w:rPr>
        <w:t>have</w:t>
      </w:r>
      <w:r w:rsidRPr="002C7B68">
        <w:rPr>
          <w:rFonts w:ascii="Times New Roman" w:hAnsi="Times New Roman"/>
          <w:sz w:val="24"/>
          <w:szCs w:val="24"/>
          <w:lang w:val="en-GB"/>
        </w:rPr>
        <w:t xml:space="preserve"> no</w:t>
      </w:r>
      <w:r w:rsidR="00396563" w:rsidRPr="002C7B68">
        <w:rPr>
          <w:rFonts w:ascii="Times New Roman" w:hAnsi="Times New Roman"/>
          <w:sz w:val="24"/>
          <w:szCs w:val="24"/>
          <w:lang w:val="en-GB"/>
        </w:rPr>
        <w:t xml:space="preserve"> conflicts</w:t>
      </w:r>
      <w:r w:rsidRPr="002C7B68">
        <w:rPr>
          <w:rFonts w:ascii="Times New Roman" w:hAnsi="Times New Roman"/>
          <w:sz w:val="24"/>
          <w:szCs w:val="24"/>
          <w:lang w:val="en-GB"/>
        </w:rPr>
        <w:t xml:space="preserve"> to declare.</w:t>
      </w:r>
    </w:p>
    <w:p w14:paraId="5BE69244" w14:textId="79B355B7" w:rsidR="00CF64E7" w:rsidRPr="002C7B68" w:rsidRDefault="00F85AC8" w:rsidP="00F85AC8">
      <w:pPr>
        <w:spacing w:after="0" w:line="480" w:lineRule="auto"/>
        <w:rPr>
          <w:rFonts w:ascii="Times New Roman" w:hAnsi="Times New Roman"/>
          <w:sz w:val="24"/>
          <w:szCs w:val="24"/>
          <w:lang w:val="en-GB"/>
        </w:rPr>
      </w:pPr>
      <w:r w:rsidRPr="002C7B68">
        <w:rPr>
          <w:rFonts w:ascii="Times New Roman" w:hAnsi="Times New Roman"/>
          <w:sz w:val="24"/>
          <w:szCs w:val="24"/>
          <w:lang w:val="en-GB"/>
        </w:rPr>
        <w:t xml:space="preserve">Presented in part: ASM Microbe 2016, Boston, Massachusetts. </w:t>
      </w:r>
      <w:r w:rsidR="00CF64E7" w:rsidRPr="002C7B68">
        <w:rPr>
          <w:rFonts w:ascii="Times New Roman" w:hAnsi="Times New Roman"/>
          <w:sz w:val="24"/>
          <w:szCs w:val="24"/>
          <w:lang w:val="en-GB"/>
        </w:rPr>
        <w:br w:type="page"/>
      </w:r>
    </w:p>
    <w:p w14:paraId="37863044" w14:textId="77777777" w:rsidR="00224E97" w:rsidRPr="002C7B68" w:rsidRDefault="00224E97" w:rsidP="00224E97">
      <w:pPr>
        <w:widowControl w:val="0"/>
        <w:autoSpaceDE w:val="0"/>
        <w:autoSpaceDN w:val="0"/>
        <w:adjustRightInd w:val="0"/>
        <w:spacing w:after="0" w:line="480" w:lineRule="auto"/>
        <w:rPr>
          <w:rFonts w:ascii="Times New Roman" w:hAnsi="Times New Roman"/>
          <w:b/>
          <w:sz w:val="24"/>
          <w:szCs w:val="24"/>
          <w:lang w:val="en-GB"/>
        </w:rPr>
      </w:pPr>
      <w:r w:rsidRPr="002C7B68">
        <w:rPr>
          <w:rFonts w:ascii="Times New Roman" w:hAnsi="Times New Roman"/>
          <w:b/>
          <w:sz w:val="24"/>
          <w:szCs w:val="24"/>
          <w:lang w:val="en-GB"/>
        </w:rPr>
        <w:lastRenderedPageBreak/>
        <w:t>REFERENCES</w:t>
      </w:r>
    </w:p>
    <w:p w14:paraId="4963BD06" w14:textId="77777777" w:rsidR="002953F4" w:rsidRPr="002C7B68" w:rsidRDefault="00224E97" w:rsidP="002953F4">
      <w:pPr>
        <w:widowControl w:val="0"/>
        <w:autoSpaceDE w:val="0"/>
        <w:autoSpaceDN w:val="0"/>
        <w:adjustRightInd w:val="0"/>
        <w:spacing w:after="0" w:line="480" w:lineRule="auto"/>
        <w:rPr>
          <w:rFonts w:ascii="Times New Roman" w:hAnsi="Times New Roman"/>
          <w:sz w:val="24"/>
          <w:szCs w:val="24"/>
          <w:lang w:val="en-GB"/>
        </w:rPr>
      </w:pPr>
      <w:r w:rsidRPr="002C7B68">
        <w:rPr>
          <w:rFonts w:ascii="Times New Roman" w:hAnsi="Times New Roman"/>
          <w:sz w:val="24"/>
          <w:szCs w:val="24"/>
          <w:lang w:val="en-GB"/>
        </w:rPr>
        <w:fldChar w:fldCharType="begin" w:fldLock="1"/>
      </w:r>
      <w:r w:rsidRPr="002C7B68">
        <w:rPr>
          <w:rFonts w:ascii="Times New Roman" w:hAnsi="Times New Roman"/>
          <w:sz w:val="24"/>
          <w:szCs w:val="24"/>
          <w:lang w:val="en-GB"/>
        </w:rPr>
        <w:instrText xml:space="preserve">ADDIN Mendeley Bibliography CSL_BIBLIOGRAPHY </w:instrText>
      </w:r>
    </w:p>
    <w:p w14:paraId="12575A7C"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[1]</w:instrText>
      </w:r>
      <w:r w:rsidRPr="002C7B68">
        <w:rPr>
          <w:rFonts w:ascii="Times New Roman" w:hAnsi="Times New Roman"/>
          <w:sz w:val="24"/>
          <w:szCs w:val="24"/>
          <w:lang w:val="en-GB"/>
        </w:rPr>
        <w:tab/>
        <w:instrText>Castañeda-García A, Blázquez J R-RA. Molecular Mechanisms and Clinical Impact of Acquired and Intrinsic Fosfomycin Resistance. Antibiotics 2013;16:217–36.</w:instrText>
      </w:r>
    </w:p>
    <w:p w14:paraId="3C370F94"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[2]</w:instrText>
      </w:r>
      <w:r w:rsidRPr="002C7B68">
        <w:rPr>
          <w:rFonts w:ascii="Times New Roman" w:hAnsi="Times New Roman"/>
          <w:sz w:val="24"/>
          <w:szCs w:val="24"/>
          <w:lang w:val="en-GB"/>
        </w:rPr>
        <w:tab/>
        <w:instrText>Kaase M, Szabados F, Anders A, Gatermann SG. Fosfomycin Susceptibility in Carbapenem-Resistant Enterobacteriaceae from Germany. J Clin Microbiol 2014;52:1893–7. doi:10.1128/JCM.03484-13.</w:instrText>
      </w:r>
    </w:p>
    <w:p w14:paraId="275D7403"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[3]</w:instrText>
      </w:r>
      <w:r w:rsidRPr="002C7B68">
        <w:rPr>
          <w:rFonts w:ascii="Times New Roman" w:hAnsi="Times New Roman"/>
          <w:sz w:val="24"/>
          <w:szCs w:val="24"/>
          <w:lang w:val="en-GB"/>
        </w:rPr>
        <w:tab/>
        <w:instrText>Falagas ME, Maraki S, Karageorgopoulos DE, Kastoris AC, Mavromanolakis E, Samonis G. Antimicrobial susceptibility of multidrug-resistant (MDR) and extensively drug-resistant (XDR) Enterobacteriaceae isolates to fosfomycin. Int J Antimicrob Agents 2010;35:240–3. doi:10.1016/j.ijantimicag.2009.10.019.</w:instrText>
      </w:r>
    </w:p>
    <w:p w14:paraId="4738695C"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[4]</w:instrText>
      </w:r>
      <w:r w:rsidRPr="002C7B68">
        <w:rPr>
          <w:rFonts w:ascii="Times New Roman" w:hAnsi="Times New Roman"/>
          <w:sz w:val="24"/>
          <w:szCs w:val="24"/>
          <w:lang w:val="en-GB"/>
        </w:rPr>
        <w:tab/>
        <w:instrText>Li YY, Zheng B, Li YY, Zhu S, Xue F, Liu J. Antimicrobial Susceptibility and Molecular Mechanisms of Fosfomycin Resistance in Clinical Escherichia coli Isolates in Mainland China. PLoS One 2015;10:e0135269. doi:10.1371/journal.pone.0135269.</w:instrText>
      </w:r>
    </w:p>
    <w:p w14:paraId="5A2ED932"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[5]</w:instrText>
      </w:r>
      <w:r w:rsidRPr="002C7B68">
        <w:rPr>
          <w:rFonts w:ascii="Times New Roman" w:hAnsi="Times New Roman"/>
          <w:sz w:val="24"/>
          <w:szCs w:val="24"/>
          <w:lang w:val="en-GB"/>
        </w:rPr>
        <w:tab/>
        <w:instrText>Docobo-Pérez F, Drusano GL, Johnson A, Goodwin J, Whalley S, Ramos-Martín V, et al. Pharmacodynamics of fosfomycin: Insights into clinical use for antimicrobial resistance. Antimicrob Agents Chemother 2015;59:5602–10. doi:10.1128/AAC.00752-15.</w:instrText>
      </w:r>
    </w:p>
    <w:p w14:paraId="524F26C9"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[6]</w:instrText>
      </w:r>
      <w:r w:rsidRPr="002C7B68">
        <w:rPr>
          <w:rFonts w:ascii="Times New Roman" w:hAnsi="Times New Roman"/>
          <w:sz w:val="24"/>
          <w:szCs w:val="24"/>
          <w:lang w:val="en-GB"/>
        </w:rPr>
        <w:tab/>
        <w:instrText>Gupta K, Hooton TM, Naber KG, Wullt B, Colgan R, Miller LG, et al. International Clinical Practice Guidelines for the Treatment of Acute Uncomplicated Cystitis and Pyelonephritis in Women: A 2010 Update by the Infectious Diseases Society of America and the European Society for Microbiology and Infectious Diseases. Clin Infect Dis 2011;52:e103–20. doi:10.1093/cid/ciq257.</w:instrText>
      </w:r>
    </w:p>
    <w:p w14:paraId="418FBBC5"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[7]</w:instrText>
      </w:r>
      <w:r w:rsidRPr="002C7B68">
        <w:rPr>
          <w:rFonts w:ascii="Times New Roman" w:hAnsi="Times New Roman"/>
          <w:sz w:val="24"/>
          <w:szCs w:val="24"/>
          <w:lang w:val="en-GB"/>
        </w:rPr>
        <w:tab/>
        <w:instrText>Michalopoulos AS, Livaditis IG, Gougoutas V. The revival of fosfomycin. Int J Infect Dis 2011;15:e732-9. doi:10.1016/j.ijid.2011.07.007.</w:instrText>
      </w:r>
    </w:p>
    <w:p w14:paraId="42234ABC"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[8]</w:instrText>
      </w:r>
      <w:r w:rsidRPr="002C7B68">
        <w:rPr>
          <w:rFonts w:ascii="Times New Roman" w:hAnsi="Times New Roman"/>
          <w:sz w:val="24"/>
          <w:szCs w:val="24"/>
          <w:lang w:val="en-GB"/>
        </w:rPr>
        <w:tab/>
        <w:instrText>Frossard M, Joukhadar C, Erovic BM, Dittrich P, Mrass PE, Van Houte M, et al. Distribution and antimicrobial activity of fosfomycin in the interstitial fluid of human soft tissues. Antimicrob Agents Chemother 2000;44:2728–32.</w:instrText>
      </w:r>
    </w:p>
    <w:p w14:paraId="5EF6E3CA"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[9]</w:instrText>
      </w:r>
      <w:r w:rsidRPr="002C7B68">
        <w:rPr>
          <w:rFonts w:ascii="Times New Roman" w:hAnsi="Times New Roman"/>
          <w:sz w:val="24"/>
          <w:szCs w:val="24"/>
          <w:lang w:val="en-GB"/>
        </w:rPr>
        <w:tab/>
        <w:instrText>Pfausler B, Spiss H, Dittrich P, Zeitlinger M, Schmutzhard E, Joukhadar C. Concentrations of fosfomycin in the cerebrospinal fluid of neurointensive care patients with ventriculostomy-associated ventriculitis. J Antimicrob Chemother 2004;53:848–52.</w:instrText>
      </w:r>
    </w:p>
    <w:p w14:paraId="408D9FE3"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[10]</w:instrText>
      </w:r>
      <w:r w:rsidRPr="002C7B68">
        <w:rPr>
          <w:rFonts w:ascii="Times New Roman" w:hAnsi="Times New Roman"/>
          <w:sz w:val="24"/>
          <w:szCs w:val="24"/>
          <w:lang w:val="en-GB"/>
        </w:rPr>
        <w:tab/>
        <w:instrText>Parker SL, Frantzeskaki F, Wallis SC, Diakaki C, Giamarellou H, Koulenti D, et al. Population Pharmacokinetics of Fosfomycin in Critically Ill Patients. Antimicrob Agents Chemother 2015;59:6471–6. doi:10.1128/AAC.01321-15.</w:instrText>
      </w:r>
    </w:p>
    <w:p w14:paraId="143BA9B3"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[11]</w:instrText>
      </w:r>
      <w:r w:rsidRPr="002C7B68">
        <w:rPr>
          <w:rFonts w:ascii="Times New Roman" w:hAnsi="Times New Roman"/>
          <w:sz w:val="24"/>
          <w:szCs w:val="24"/>
          <w:lang w:val="en-GB"/>
        </w:rPr>
        <w:tab/>
        <w:instrText>VanScoy BD, McCauley J, Ellis-Grosse EJ, Okusanya OO, Bhavnani SM, Forrest A, et al. Exploration of the Pharmacokinetic-Pharmacodynamic Relationships for Fosfomycin Efficacy Using an In Vitro Infection Model. Antimicrob Agents Chemother 2015;59:7170–7. doi:10.1128/AAC.04955-14.</w:instrText>
      </w:r>
    </w:p>
    <w:p w14:paraId="4FE9F086"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[12]</w:instrText>
      </w:r>
      <w:r w:rsidRPr="002C7B68">
        <w:rPr>
          <w:rFonts w:ascii="Times New Roman" w:hAnsi="Times New Roman"/>
          <w:sz w:val="24"/>
          <w:szCs w:val="24"/>
          <w:lang w:val="en-GB"/>
        </w:rPr>
        <w:tab/>
        <w:instrText>Lepak AJ, Zhao M, VanScoy B, Taylor DS, Ellis-Grosse E, Ambrose PG, et al. In vivo Pharmacokinetics and Pharmacodynamics of ZTI-01 (Fosfomycin for Injection) in the Neutropenic Murine Thigh Infection Model against E. coli , K. pneumoniae , and P. aeruginosa. Antimicrob Agents Chemother 2017:AAC.00476-17. doi:10.1128/AAC.00476-17.</w:instrText>
      </w:r>
    </w:p>
    <w:p w14:paraId="5CBD1CDE"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[13]</w:instrText>
      </w:r>
      <w:r w:rsidRPr="002C7B68">
        <w:rPr>
          <w:rFonts w:ascii="Times New Roman" w:hAnsi="Times New Roman"/>
          <w:sz w:val="24"/>
          <w:szCs w:val="24"/>
          <w:lang w:val="en-GB"/>
        </w:rPr>
        <w:tab/>
        <w:instrText>Rosso-Fernández C, Sojo-Dorado J, Barriga A, Lavín-Alconero L, Palacios Z, López-Hernández I, et al. Fosfomycin versus meropenem in bacteraemic urinary tract infections caused by extended-spectrum β-lactamase-producing Escherichia coli (FOREST): study protocol for an investigator-driven randomised controlled trial. BMJ Open 2015;5:e007363. doi:10.1136/bmjopen-2014-007363.</w:instrText>
      </w:r>
    </w:p>
    <w:p w14:paraId="5E0968D5"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[14]</w:instrText>
      </w:r>
      <w:r w:rsidRPr="002C7B68">
        <w:rPr>
          <w:rFonts w:ascii="Times New Roman" w:hAnsi="Times New Roman"/>
          <w:sz w:val="24"/>
          <w:szCs w:val="24"/>
          <w:lang w:val="en-GB"/>
        </w:rPr>
        <w:tab/>
        <w:instrText>Cockcroft DW, Gault MH. Prediction of creatinine clearance from serum creatinine. Nephron 1976;16:31–41.</w:instrText>
      </w:r>
    </w:p>
    <w:p w14:paraId="2A079AB5"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[15]</w:instrText>
      </w:r>
      <w:r w:rsidRPr="002C7B68">
        <w:rPr>
          <w:rFonts w:ascii="Times New Roman" w:hAnsi="Times New Roman"/>
          <w:sz w:val="24"/>
          <w:szCs w:val="24"/>
          <w:lang w:val="en-GB"/>
        </w:rPr>
        <w:tab/>
        <w:instrText>Li L, Chen X, Dai X, Chen H, Zhong D. Rapid and selective liquid chromatographic/tandem mass spectrometric method for the determination of fosfomycin in human plasma. J Chromatogr B Analyt Technol Biomed Life Sci 2007;856:171–7. doi:10.1016/j.jchromb.2007.05.037.</w:instrText>
      </w:r>
    </w:p>
    <w:p w14:paraId="00C6D7BE"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[16]</w:instrText>
      </w:r>
      <w:r w:rsidRPr="002C7B68">
        <w:rPr>
          <w:rFonts w:ascii="Times New Roman" w:hAnsi="Times New Roman"/>
          <w:sz w:val="24"/>
          <w:szCs w:val="24"/>
          <w:lang w:val="en-GB"/>
        </w:rPr>
        <w:tab/>
        <w:instrText>Neely MN, van Guilder MG, Yamada WM, Schumitzky A, Jelliffe RW. Accurate Detection of Outliers and Subpopulations With Pmetrics, a Nonparametric and Parametric Pharmacometric Modeling and Simulation Package for R. Ther Drug Monit 2012;34:467–76. doi:10.1097/FTD.0b013e31825c4ba6.</w:instrText>
      </w:r>
    </w:p>
    <w:p w14:paraId="674F3A29"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[17]</w:instrText>
      </w:r>
      <w:r w:rsidRPr="002C7B68">
        <w:rPr>
          <w:rFonts w:ascii="Times New Roman" w:hAnsi="Times New Roman"/>
          <w:sz w:val="24"/>
          <w:szCs w:val="24"/>
          <w:lang w:val="en-GB"/>
        </w:rPr>
        <w:tab/>
        <w:instrText>Ficha técnica Fosfomicina intravenosa 4g polvo para solución inyectable. Agencia Española Del Medicamneto Y Prod Sanit (AEMPS) n.d. http://www.aemps.gob.es/cima/especialidad.do?metodo=verFichaWordPdf&amp;codigo=54165&amp;formato=pdf&amp;formulario=FICHAS&amp;file=ficha.pdf.</w:instrText>
      </w:r>
    </w:p>
    <w:p w14:paraId="65772231"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[18]</w:instrText>
      </w:r>
      <w:r w:rsidRPr="002C7B68">
        <w:rPr>
          <w:rFonts w:ascii="Times New Roman" w:hAnsi="Times New Roman"/>
          <w:sz w:val="24"/>
          <w:szCs w:val="24"/>
          <w:lang w:val="en-GB"/>
        </w:rPr>
        <w:tab/>
        <w:instrText>Gonzalez D, Schmidt S, Derendorf H. Importance of Relating Efficacy Measures to Unbound Drug Concentrations for Anti-Infective Agents. Clin Microbiol Rev 2013;26:274–88. doi:10.1128/CMR.00092-12.</w:instrText>
      </w:r>
    </w:p>
    <w:p w14:paraId="26679B4D"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[19]</w:instrText>
      </w:r>
      <w:r w:rsidRPr="002C7B68">
        <w:rPr>
          <w:rFonts w:ascii="Times New Roman" w:hAnsi="Times New Roman"/>
          <w:sz w:val="24"/>
          <w:szCs w:val="24"/>
          <w:lang w:val="en-GB"/>
        </w:rPr>
        <w:tab/>
        <w:instrText>Mouton JW, Brown DFJ, Apfalter P, Cantón R, Giske CG, Ivanova M, et al. The role of pharmacokinetics/pharmacodynamics in setting clinical MIC breakpoints: the EUCAST approach. Clin Microbiol Infect 2012;18:E37–45. doi:10.1111/j.1469-0691.2011.03752.x.</w:instrText>
      </w:r>
    </w:p>
    <w:p w14:paraId="6FBDA938"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[20]</w:instrText>
      </w:r>
      <w:r w:rsidRPr="002C7B68">
        <w:rPr>
          <w:rFonts w:ascii="Times New Roman" w:hAnsi="Times New Roman"/>
          <w:sz w:val="24"/>
          <w:szCs w:val="24"/>
          <w:lang w:val="en-GB"/>
        </w:rPr>
        <w:tab/>
        <w:instrText>World_Health_Organization. WHO model list of essential medicines n.d. http://www.who.int/medicines/publications/essentialmedicines/20th_EML2017.pdf?ua=1.</w:instrText>
      </w:r>
    </w:p>
    <w:p w14:paraId="5A11B7C9"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[21]</w:instrText>
      </w:r>
      <w:r w:rsidRPr="002C7B68">
        <w:rPr>
          <w:rFonts w:ascii="Times New Roman" w:hAnsi="Times New Roman"/>
          <w:sz w:val="24"/>
          <w:szCs w:val="24"/>
          <w:lang w:val="en-GB"/>
        </w:rPr>
        <w:tab/>
        <w:instrText>Sauermann R, Karch R, Langenberger H, Kettenbach J, Mayer-Helm B, Petsch M, et al. Antibiotic Abscess Penetration: Fosfomycin Levels Measured in Pus and Simulated Concentration-Time Profiles. Antimicrob Agents Chemother 2005;49:4448–54. doi:10.1128/AAC.49.11.4448-4454.2005.</w:instrText>
      </w:r>
    </w:p>
    <w:p w14:paraId="74C49054"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[22]</w:instrText>
      </w:r>
      <w:r w:rsidRPr="002C7B68">
        <w:rPr>
          <w:rFonts w:ascii="Times New Roman" w:hAnsi="Times New Roman"/>
          <w:sz w:val="24"/>
          <w:szCs w:val="24"/>
          <w:lang w:val="en-GB"/>
        </w:rPr>
        <w:tab/>
        <w:instrText>Wenzler E, Ellis-Grosse EJ, Rodvold KA. Pharmacokinetics, Safety, and Tolerability of Single Dose Intravenous (ZTI-01) and Oral Fosfomycin in Healthy Volunteers. Antimicrob Agents Chemother 2017. doi:10.1128/AAC.00775-17.</w:instrText>
      </w:r>
    </w:p>
    <w:p w14:paraId="33E1DF73"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[23]</w:instrText>
      </w:r>
      <w:r w:rsidRPr="002C7B68">
        <w:rPr>
          <w:rFonts w:ascii="Times New Roman" w:hAnsi="Times New Roman"/>
          <w:sz w:val="24"/>
          <w:szCs w:val="24"/>
          <w:lang w:val="en-GB"/>
        </w:rPr>
        <w:tab/>
        <w:instrText>Florent A, Chichmanian R-M, Cua E, Pulcini C. Adverse events associated with intravenous fosfomycin. Int J Antimicrob Agents 2011;37:82–3. doi:10.1016/j.ijantimicag.2010.09.002.</w:instrText>
      </w:r>
    </w:p>
    <w:p w14:paraId="7B461F35"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[24]</w:instrText>
      </w:r>
      <w:r w:rsidRPr="002C7B68">
        <w:rPr>
          <w:rFonts w:ascii="Times New Roman" w:hAnsi="Times New Roman"/>
          <w:sz w:val="24"/>
          <w:szCs w:val="24"/>
          <w:lang w:val="en-GB"/>
        </w:rPr>
        <w:tab/>
        <w:instrText>EUCAST, Breakpoint Tables for Interpretation of MICs and Zone Diameters, Version 7.0. 2017.</w:instrText>
      </w:r>
    </w:p>
    <w:p w14:paraId="4C282BB0"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[25]</w:instrText>
      </w:r>
      <w:r w:rsidRPr="002C7B68">
        <w:rPr>
          <w:rFonts w:ascii="Times New Roman" w:hAnsi="Times New Roman"/>
          <w:sz w:val="24"/>
          <w:szCs w:val="24"/>
          <w:lang w:val="en-GB"/>
        </w:rPr>
        <w:tab/>
        <w:instrText>Clinical and Laboratory Standards Institute. Performance Standards for Antimicrobial Disk Susceptibility Tests, 12th Edition, M02-A12. 2017.</w:instrText>
      </w:r>
    </w:p>
    <w:p w14:paraId="3C20ED75"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[26]</w:instrText>
      </w:r>
      <w:r w:rsidRPr="002C7B68">
        <w:rPr>
          <w:rFonts w:ascii="Times New Roman" w:hAnsi="Times New Roman"/>
          <w:sz w:val="24"/>
          <w:szCs w:val="24"/>
          <w:lang w:val="en-GB"/>
        </w:rPr>
        <w:tab/>
        <w:instrText>VanScoy B, McCauley J, Bhavnani SM, Ellis-Grosse EJ, Ambrose PG. Relationship between Fosfomycin Exposure and Amplification of Escherichia coli Subpopulations with Reduced Susceptibility in a Hollow-Fiber Infection Model. Antimicrob Agents Chemother 2016;60:5141–5. doi:10.1128/AAC.00355-16.</w:instrText>
      </w:r>
    </w:p>
    <w:p w14:paraId="56427845" w14:textId="77777777" w:rsidR="002953F4" w:rsidRPr="002C7B68" w:rsidRDefault="002953F4" w:rsidP="002953F4">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instrText>[27]</w:instrText>
      </w:r>
      <w:r w:rsidRPr="002C7B68">
        <w:rPr>
          <w:rFonts w:ascii="Times New Roman" w:hAnsi="Times New Roman"/>
          <w:sz w:val="24"/>
          <w:szCs w:val="24"/>
          <w:lang w:val="en-GB"/>
        </w:rPr>
        <w:tab/>
        <w:instrText>Ballestero-Téllez M, Docobo-Pérez F, Portillo-Calderón I, Rodríguez-Martínez JM, Racero L, Ramos-Guelfo MS, et al. Molecular insights into fosfomycin resistance in Escherichia coli. J Antimicrob Chemother 2017;72:1303–9. doi:10.1093/jac/dkw573.</w:instrText>
      </w:r>
    </w:p>
    <w:p w14:paraId="4F0CD5F1" w14:textId="77777777" w:rsidR="002953F4" w:rsidRPr="002C7B68" w:rsidRDefault="002953F4" w:rsidP="002953F4">
      <w:pPr>
        <w:widowControl w:val="0"/>
        <w:autoSpaceDE w:val="0"/>
        <w:autoSpaceDN w:val="0"/>
        <w:adjustRightInd w:val="0"/>
        <w:spacing w:after="0" w:line="480" w:lineRule="auto"/>
        <w:ind w:left="640" w:hanging="640"/>
        <w:rPr>
          <w:lang w:val="en-GB"/>
        </w:rPr>
      </w:pPr>
      <w:r w:rsidRPr="002C7B68">
        <w:rPr>
          <w:rFonts w:ascii="Times New Roman" w:hAnsi="Times New Roman"/>
          <w:sz w:val="24"/>
          <w:szCs w:val="24"/>
          <w:lang w:val="en-GB"/>
        </w:rPr>
        <w:instrText>[28]</w:instrText>
      </w:r>
      <w:r w:rsidRPr="002C7B68">
        <w:rPr>
          <w:rFonts w:ascii="Times New Roman" w:hAnsi="Times New Roman"/>
          <w:sz w:val="24"/>
          <w:szCs w:val="24"/>
          <w:lang w:val="en-GB"/>
        </w:rPr>
        <w:tab/>
        <w:instrText>Ballestero-Téllez M, Docobo-Pérez F, Rodríguez-Martínez JM, Conejo MC, Ramos-Guelfo MS, Blázquez J, et al. Role of inoculum and mutant frequency on fosfomycin MIC discrepancies by agar dilution and broth microdilution methods in Enterobacteriaceae. Clin Microbiol Infect 2017;23:325–31. doi:10.1016/j.cmi.2016.12.022.</w:instrText>
      </w:r>
    </w:p>
    <w:p w14:paraId="205EA4E5" w14:textId="31041452" w:rsidR="00773669" w:rsidRPr="002C7B68" w:rsidRDefault="00224E97"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sz w:val="24"/>
          <w:szCs w:val="24"/>
          <w:lang w:val="en-GB"/>
        </w:rPr>
        <w:fldChar w:fldCharType="separate"/>
      </w:r>
      <w:r w:rsidR="00773669" w:rsidRPr="00773669">
        <w:rPr>
          <w:rFonts w:ascii="Times New Roman" w:hAnsi="Times New Roman"/>
          <w:noProof/>
          <w:sz w:val="24"/>
          <w:szCs w:val="24"/>
        </w:rPr>
        <w:t>[1]</w:t>
      </w:r>
      <w:r w:rsidR="00773669" w:rsidRPr="00773669">
        <w:rPr>
          <w:rFonts w:ascii="Times New Roman" w:hAnsi="Times New Roman"/>
          <w:noProof/>
          <w:sz w:val="24"/>
          <w:szCs w:val="24"/>
        </w:rPr>
        <w:tab/>
        <w:t xml:space="preserve">Castañeda-García A, Blázquez J R-RA. </w:t>
      </w:r>
      <w:r w:rsidR="00773669" w:rsidRPr="002C7B68">
        <w:rPr>
          <w:rFonts w:ascii="Times New Roman" w:hAnsi="Times New Roman"/>
          <w:noProof/>
          <w:sz w:val="24"/>
          <w:szCs w:val="24"/>
          <w:lang w:val="en-US"/>
        </w:rPr>
        <w:t>Molecular Mechanisms and Clinical Impact of Acquired and Intrinsic Fosfomycin Resistance. Antibiotics 2013;16:217–36.</w:t>
      </w:r>
    </w:p>
    <w:p w14:paraId="69E89AFD"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[2]</w:t>
      </w:r>
      <w:r w:rsidRPr="002C7B68">
        <w:rPr>
          <w:rFonts w:ascii="Times New Roman" w:hAnsi="Times New Roman"/>
          <w:noProof/>
          <w:sz w:val="24"/>
          <w:szCs w:val="24"/>
          <w:lang w:val="en-US"/>
        </w:rPr>
        <w:tab/>
        <w:t>Kaase M, Szabados F, Anders A, Gatermann SG. Fosfomycin Susceptibility in Carbapenem-Resistant Enterobacteriaceae from Germany. J Clin Microbiol 2014;52:1893–7. doi:10.1128/JCM.03484-13.</w:t>
      </w:r>
    </w:p>
    <w:p w14:paraId="1B8EC5C9"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[3]</w:t>
      </w:r>
      <w:r w:rsidRPr="002C7B68">
        <w:rPr>
          <w:rFonts w:ascii="Times New Roman" w:hAnsi="Times New Roman"/>
          <w:noProof/>
          <w:sz w:val="24"/>
          <w:szCs w:val="24"/>
          <w:lang w:val="en-US"/>
        </w:rPr>
        <w:tab/>
        <w:t>Falagas ME, Maraki S, Karageorgopoulos DE, Kastoris AC, Mavromanolakis E, Samonis G. Antimicrobial susceptibility of multidrug-resistant (MDR) and extensively drug-resistant (XDR) Enterobacteriaceae isolates to fosfomycin. Int J Antimicrob Agents 2010;35:240–3. doi:10.1016/j.ijantimicag.2009.10.019.</w:t>
      </w:r>
    </w:p>
    <w:p w14:paraId="4F467CBF"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[4]</w:t>
      </w:r>
      <w:r w:rsidRPr="002C7B68">
        <w:rPr>
          <w:rFonts w:ascii="Times New Roman" w:hAnsi="Times New Roman"/>
          <w:noProof/>
          <w:sz w:val="24"/>
          <w:szCs w:val="24"/>
          <w:lang w:val="en-US"/>
        </w:rPr>
        <w:tab/>
        <w:t>Li YY, Zheng B, Li YY, Zhu S, Xue F, Liu J. Antimicrobial Susceptibility and Molecular Mechanisms of Fosfomycin Resistance in Clinical Escherichia coli Isolates in Mainland China. PLoS One 2015;10:e0135269. doi:10.1371/journal.pone.0135269.</w:t>
      </w:r>
    </w:p>
    <w:p w14:paraId="5E2C8539"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[5]</w:t>
      </w:r>
      <w:r w:rsidRPr="002C7B68">
        <w:rPr>
          <w:rFonts w:ascii="Times New Roman" w:hAnsi="Times New Roman"/>
          <w:noProof/>
          <w:sz w:val="24"/>
          <w:szCs w:val="24"/>
          <w:lang w:val="en-US"/>
        </w:rPr>
        <w:tab/>
        <w:t>Docobo-Pérez F, Drusano GL, Johnson A, Goodwin J, Whalley S, Ramos-Martín V, et al. Pharmacodynamics of fosfomycin: Insights into clinical use for antimicrobial resistance. Antimicrob Agents Chemother 2015;59:5602–10. doi:10.1128/AAC.00752-15.</w:t>
      </w:r>
    </w:p>
    <w:p w14:paraId="6CFFD3BD"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[6]</w:t>
      </w:r>
      <w:r w:rsidRPr="002C7B68">
        <w:rPr>
          <w:rFonts w:ascii="Times New Roman" w:hAnsi="Times New Roman"/>
          <w:noProof/>
          <w:sz w:val="24"/>
          <w:szCs w:val="24"/>
          <w:lang w:val="en-US"/>
        </w:rPr>
        <w:tab/>
        <w:t>Gupta K, Hooton TM, Naber KG, Wullt B, Colgan R, Miller LG, et al. International Clinical Practice Guidelines for the Treatment of Acute Uncomplicated Cystitis and Pyelonephritis in Women: A 2010 Update by the Infectious Diseases Society of America and the European Society for Microbiology and Infectious Diseases. Clin Infect Dis 2011;52:e103–20. doi:10.1093/cid/ciq257.</w:t>
      </w:r>
    </w:p>
    <w:p w14:paraId="2D6AF96A"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[7]</w:t>
      </w:r>
      <w:r w:rsidRPr="002C7B68">
        <w:rPr>
          <w:rFonts w:ascii="Times New Roman" w:hAnsi="Times New Roman"/>
          <w:noProof/>
          <w:sz w:val="24"/>
          <w:szCs w:val="24"/>
          <w:lang w:val="en-US"/>
        </w:rPr>
        <w:tab/>
        <w:t xml:space="preserve">Michalopoulos AS, Livaditis IG, Gougoutas V. The revival of fosfomycin. Int J </w:t>
      </w:r>
      <w:r w:rsidRPr="002C7B68">
        <w:rPr>
          <w:rFonts w:ascii="Times New Roman" w:hAnsi="Times New Roman"/>
          <w:noProof/>
          <w:sz w:val="24"/>
          <w:szCs w:val="24"/>
          <w:lang w:val="en-US"/>
        </w:rPr>
        <w:lastRenderedPageBreak/>
        <w:t>Infect Dis 2011;15:e732-9. doi:10.1016/j.ijid.2011.07.007.</w:t>
      </w:r>
    </w:p>
    <w:p w14:paraId="7BEF25CE"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[8]</w:t>
      </w:r>
      <w:r w:rsidRPr="002C7B68">
        <w:rPr>
          <w:rFonts w:ascii="Times New Roman" w:hAnsi="Times New Roman"/>
          <w:noProof/>
          <w:sz w:val="24"/>
          <w:szCs w:val="24"/>
          <w:lang w:val="en-US"/>
        </w:rPr>
        <w:tab/>
        <w:t>Frossard M, Joukhadar C, Erovic BM, Dittrich P, Mrass PE, Van Houte M, et al. Distribution and antimicrobial activity of fosfomycin in the interstitial fluid of human soft tissues. Antimicrob Agents Chemother 2000;44:2728–32.</w:t>
      </w:r>
    </w:p>
    <w:p w14:paraId="208A48EC"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[9]</w:t>
      </w:r>
      <w:r w:rsidRPr="002C7B68">
        <w:rPr>
          <w:rFonts w:ascii="Times New Roman" w:hAnsi="Times New Roman"/>
          <w:noProof/>
          <w:sz w:val="24"/>
          <w:szCs w:val="24"/>
          <w:lang w:val="en-US"/>
        </w:rPr>
        <w:tab/>
        <w:t>Pfausler B, Spiss H, Dittrich P, Zeitlinger M, Schmutzhard E, Joukhadar C. Concentrations of fosfomycin in the cerebrospinal fluid of neurointensive care patients with ventriculostomy-associated ventriculitis. J Antimicrob Chemother 2004;53:848–52.</w:t>
      </w:r>
    </w:p>
    <w:p w14:paraId="741C4D96"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[10]</w:t>
      </w:r>
      <w:r w:rsidRPr="002C7B68">
        <w:rPr>
          <w:rFonts w:ascii="Times New Roman" w:hAnsi="Times New Roman"/>
          <w:noProof/>
          <w:sz w:val="24"/>
          <w:szCs w:val="24"/>
          <w:lang w:val="en-US"/>
        </w:rPr>
        <w:tab/>
        <w:t>Parker SL, Frantzeskaki F, Wallis SC, Diakaki C, Giamarellou H, Koulenti D, et al. Population Pharmacokinetics of Fosfomycin in Critically Ill Patients. Antimicrob Agents Chemother 2015;59:6471–6. doi:10.1128/AAC.01321-15.</w:t>
      </w:r>
    </w:p>
    <w:p w14:paraId="7CD97B1C"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[11]</w:t>
      </w:r>
      <w:r w:rsidRPr="002C7B68">
        <w:rPr>
          <w:rFonts w:ascii="Times New Roman" w:hAnsi="Times New Roman"/>
          <w:noProof/>
          <w:sz w:val="24"/>
          <w:szCs w:val="24"/>
          <w:lang w:val="en-US"/>
        </w:rPr>
        <w:tab/>
        <w:t>VanScoy BD, McCauley J, Ellis-Grosse EJ, Okusanya OO, Bhavnani SM, Forrest A, et al. Exploration of the Pharmacokinetic-Pharmacodynamic Relationships for Fosfomycin Efficacy Using an In Vitro Infection Model. Antimicrob Agents Chemother 2015;59:7170–7. doi:10.1128/AAC.04955-14.</w:t>
      </w:r>
    </w:p>
    <w:p w14:paraId="3E54D8AF"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[12]</w:t>
      </w:r>
      <w:r w:rsidRPr="002C7B68">
        <w:rPr>
          <w:rFonts w:ascii="Times New Roman" w:hAnsi="Times New Roman"/>
          <w:noProof/>
          <w:sz w:val="24"/>
          <w:szCs w:val="24"/>
          <w:lang w:val="en-US"/>
        </w:rPr>
        <w:tab/>
        <w:t>Lepak AJ, Zhao M, VanScoy B, Taylor DS, Ellis-Grosse E, Ambrose PG, et al. In vivo Pharmacokinetics and Pharmacodynamics of ZTI-01 (Fosfomycin for Injection) in the Neutropenic Murine Thigh Infection Model against E. coli , K. pneumoniae , and P. aeruginosa. Antimicrob Agents Chemother 2017:AAC.00476-17. doi:10.1128/AAC.00476-17.</w:t>
      </w:r>
    </w:p>
    <w:p w14:paraId="5809809F" w14:textId="77777777" w:rsidR="00773669" w:rsidRPr="00773669"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rPr>
      </w:pPr>
      <w:r w:rsidRPr="002C7B68">
        <w:rPr>
          <w:rFonts w:ascii="Times New Roman" w:hAnsi="Times New Roman"/>
          <w:noProof/>
          <w:sz w:val="24"/>
          <w:szCs w:val="24"/>
          <w:lang w:val="en-US"/>
        </w:rPr>
        <w:t>[13]</w:t>
      </w:r>
      <w:r w:rsidRPr="002C7B68">
        <w:rPr>
          <w:rFonts w:ascii="Times New Roman" w:hAnsi="Times New Roman"/>
          <w:noProof/>
          <w:sz w:val="24"/>
          <w:szCs w:val="24"/>
          <w:lang w:val="en-US"/>
        </w:rPr>
        <w:tab/>
        <w:t xml:space="preserve">Magiorakos A-P, Srinivasan A, Carey RB, Carmeli Y, Falagas ME, Giske CG, et al. Multidrug-resistant, extensively drug-resistant and pandrug-resistant bacteria: an international expert proposal for interim standard definitions for acquired resistance. </w:t>
      </w:r>
      <w:r w:rsidRPr="00773669">
        <w:rPr>
          <w:rFonts w:ascii="Times New Roman" w:hAnsi="Times New Roman"/>
          <w:noProof/>
          <w:sz w:val="24"/>
          <w:szCs w:val="24"/>
        </w:rPr>
        <w:t>Clin Microbiol Infect 2012;18:268–81. doi:10.1111/j.1469-0691.2011.03570.x.</w:t>
      </w:r>
    </w:p>
    <w:p w14:paraId="7F9845CD"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773669">
        <w:rPr>
          <w:rFonts w:ascii="Times New Roman" w:hAnsi="Times New Roman"/>
          <w:noProof/>
          <w:sz w:val="24"/>
          <w:szCs w:val="24"/>
        </w:rPr>
        <w:lastRenderedPageBreak/>
        <w:t>[14]</w:t>
      </w:r>
      <w:r w:rsidRPr="00773669">
        <w:rPr>
          <w:rFonts w:ascii="Times New Roman" w:hAnsi="Times New Roman"/>
          <w:noProof/>
          <w:sz w:val="24"/>
          <w:szCs w:val="24"/>
        </w:rPr>
        <w:tab/>
        <w:t xml:space="preserve">Rosso-Fernández C, Sojo-Dorado J, Barriga A, Lavín-Alconero L, Palacios Z, López-Hernández I, et al. </w:t>
      </w:r>
      <w:r w:rsidRPr="002C7B68">
        <w:rPr>
          <w:rFonts w:ascii="Times New Roman" w:hAnsi="Times New Roman"/>
          <w:noProof/>
          <w:sz w:val="24"/>
          <w:szCs w:val="24"/>
          <w:lang w:val="en-US"/>
        </w:rPr>
        <w:t xml:space="preserve">Fosfomycin versus meropenem in bacteraemic urinary tract infections caused by extended-spectrum </w:t>
      </w:r>
      <w:r w:rsidRPr="00773669">
        <w:rPr>
          <w:rFonts w:ascii="Times New Roman" w:hAnsi="Times New Roman"/>
          <w:noProof/>
          <w:sz w:val="24"/>
          <w:szCs w:val="24"/>
        </w:rPr>
        <w:t>β</w:t>
      </w:r>
      <w:r w:rsidRPr="002C7B68">
        <w:rPr>
          <w:rFonts w:ascii="Times New Roman" w:hAnsi="Times New Roman"/>
          <w:noProof/>
          <w:sz w:val="24"/>
          <w:szCs w:val="24"/>
          <w:lang w:val="en-US"/>
        </w:rPr>
        <w:t>-lactamase-producing Escherichia coli (FOREST): study protocol for an investigator-driven randomised controlled trial. BMJ Open 2015;5:e007363. doi:10.1136/bmjopen-2014-007363.</w:t>
      </w:r>
    </w:p>
    <w:p w14:paraId="0FBAB4D9"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[15]</w:t>
      </w:r>
      <w:r w:rsidRPr="002C7B68">
        <w:rPr>
          <w:rFonts w:ascii="Times New Roman" w:hAnsi="Times New Roman"/>
          <w:noProof/>
          <w:sz w:val="24"/>
          <w:szCs w:val="24"/>
          <w:lang w:val="en-US"/>
        </w:rPr>
        <w:tab/>
        <w:t>Cockcroft DW, Gault MH. Prediction of creatinine clearance from serum creatinine. Nephron 1976;16:31–41.</w:t>
      </w:r>
    </w:p>
    <w:p w14:paraId="08B8A78D"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[16]</w:t>
      </w:r>
      <w:r w:rsidRPr="002C7B68">
        <w:rPr>
          <w:rFonts w:ascii="Times New Roman" w:hAnsi="Times New Roman"/>
          <w:noProof/>
          <w:sz w:val="24"/>
          <w:szCs w:val="24"/>
          <w:lang w:val="en-US"/>
        </w:rPr>
        <w:tab/>
        <w:t>Li L, Chen X, Dai X, Chen H, Zhong D. Rapid and selective liquid chromatographic/tandem mass spectrometric method for the determination of fosfomycin in human plasma. J Chromatogr B Analyt Technol Biomed Life Sci 2007;856:171–7. doi:10.1016/j.jchromb.2007.05.037.</w:t>
      </w:r>
    </w:p>
    <w:p w14:paraId="2F0080F9"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[17]</w:t>
      </w:r>
      <w:r w:rsidRPr="002C7B68">
        <w:rPr>
          <w:rFonts w:ascii="Times New Roman" w:hAnsi="Times New Roman"/>
          <w:noProof/>
          <w:sz w:val="24"/>
          <w:szCs w:val="24"/>
          <w:lang w:val="en-US"/>
        </w:rPr>
        <w:tab/>
        <w:t>Neely MN, van Guilder MG, Yamada WM, Schumitzky A, Jelliffe RW. Accurate Detection of Outliers and Subpopulations With Pmetrics, a Nonparametric and Parametric Pharmacometric Modeling and Simulation Package for R. Ther Drug Monit 2012;34:467–76. doi:10.1097/FTD.0b013e31825c4ba6.</w:t>
      </w:r>
    </w:p>
    <w:p w14:paraId="4160A580" w14:textId="77777777" w:rsidR="00773669" w:rsidRPr="00773669"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rPr>
      </w:pPr>
      <w:r w:rsidRPr="002C7B68">
        <w:rPr>
          <w:rFonts w:ascii="Times New Roman" w:hAnsi="Times New Roman"/>
          <w:noProof/>
          <w:sz w:val="24"/>
          <w:szCs w:val="24"/>
          <w:lang w:val="en-US"/>
        </w:rPr>
        <w:t>[18]</w:t>
      </w:r>
      <w:r w:rsidRPr="002C7B68">
        <w:rPr>
          <w:rFonts w:ascii="Times New Roman" w:hAnsi="Times New Roman"/>
          <w:noProof/>
          <w:sz w:val="24"/>
          <w:szCs w:val="24"/>
          <w:lang w:val="en-US"/>
        </w:rPr>
        <w:tab/>
        <w:t xml:space="preserve">Goutelle S, Bourguignon L, Maire PH, Van Guilder M, Conte JE, Jelliffe RW. Population Modeling and Monte Carlo Simulation Study of the Pharmacokinetics and Antituberculosis Pharmacodynamics of Rifampin in Lungs. </w:t>
      </w:r>
      <w:r w:rsidRPr="00773669">
        <w:rPr>
          <w:rFonts w:ascii="Times New Roman" w:hAnsi="Times New Roman"/>
          <w:noProof/>
          <w:sz w:val="24"/>
          <w:szCs w:val="24"/>
        </w:rPr>
        <w:t>Antimicrob Agents Chemother 2009;53:2974–81. doi:10.1128/AAC.01520-08.</w:t>
      </w:r>
    </w:p>
    <w:p w14:paraId="33B9FF8F" w14:textId="5A99EE3B" w:rsidR="00773669" w:rsidRPr="00773669"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rPr>
      </w:pPr>
      <w:r w:rsidRPr="00773669">
        <w:rPr>
          <w:rFonts w:ascii="Times New Roman" w:hAnsi="Times New Roman"/>
          <w:noProof/>
          <w:sz w:val="24"/>
          <w:szCs w:val="24"/>
        </w:rPr>
        <w:t>[19]</w:t>
      </w:r>
      <w:r w:rsidRPr="00773669">
        <w:rPr>
          <w:rFonts w:ascii="Times New Roman" w:hAnsi="Times New Roman"/>
          <w:noProof/>
          <w:sz w:val="24"/>
          <w:szCs w:val="24"/>
        </w:rPr>
        <w:tab/>
        <w:t xml:space="preserve">Ficha técnica Fosfomicina intravenosa 4g polvo para solución inyectable. Agencia Española Del Medicamneto </w:t>
      </w:r>
      <w:r w:rsidR="00E9431A">
        <w:rPr>
          <w:rFonts w:ascii="Times New Roman" w:hAnsi="Times New Roman"/>
          <w:noProof/>
          <w:sz w:val="24"/>
          <w:szCs w:val="24"/>
        </w:rPr>
        <w:t>y</w:t>
      </w:r>
      <w:r w:rsidRPr="00773669">
        <w:rPr>
          <w:rFonts w:ascii="Times New Roman" w:hAnsi="Times New Roman"/>
          <w:noProof/>
          <w:sz w:val="24"/>
          <w:szCs w:val="24"/>
        </w:rPr>
        <w:t xml:space="preserve"> Prod</w:t>
      </w:r>
      <w:r w:rsidR="00E9431A">
        <w:rPr>
          <w:rFonts w:ascii="Times New Roman" w:hAnsi="Times New Roman"/>
          <w:noProof/>
          <w:sz w:val="24"/>
          <w:szCs w:val="24"/>
        </w:rPr>
        <w:t>uctos Sanitarios</w:t>
      </w:r>
      <w:r w:rsidRPr="00773669">
        <w:rPr>
          <w:rFonts w:ascii="Times New Roman" w:hAnsi="Times New Roman"/>
          <w:noProof/>
          <w:sz w:val="24"/>
          <w:szCs w:val="24"/>
        </w:rPr>
        <w:t xml:space="preserve"> (AEMPS). http://www.aemps.gob.es/cima/especialidad.do?metodo=verFichaWordPdf&amp;codigo=54165&amp;formato=pdf&amp;formulario=FICHAS&amp;file=ficha.pdf.</w:t>
      </w:r>
    </w:p>
    <w:p w14:paraId="018DE58C"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[20]</w:t>
      </w:r>
      <w:r w:rsidRPr="002C7B68">
        <w:rPr>
          <w:rFonts w:ascii="Times New Roman" w:hAnsi="Times New Roman"/>
          <w:noProof/>
          <w:sz w:val="24"/>
          <w:szCs w:val="24"/>
          <w:lang w:val="en-US"/>
        </w:rPr>
        <w:tab/>
        <w:t xml:space="preserve">Gonzalez D, Schmidt S, Derendorf H. Importance of Relating Efficacy Measures </w:t>
      </w:r>
      <w:r w:rsidRPr="002C7B68">
        <w:rPr>
          <w:rFonts w:ascii="Times New Roman" w:hAnsi="Times New Roman"/>
          <w:noProof/>
          <w:sz w:val="24"/>
          <w:szCs w:val="24"/>
          <w:lang w:val="en-US"/>
        </w:rPr>
        <w:lastRenderedPageBreak/>
        <w:t>to Unbound Drug Concentrations for Anti-Infective Agents. Clin Microbiol Rev 2013;26:274–88. doi:10.1128/CMR.00092-12.</w:t>
      </w:r>
    </w:p>
    <w:p w14:paraId="3BABE21C" w14:textId="0D1C6C29"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[21]</w:t>
      </w:r>
      <w:r w:rsidRPr="002C7B68">
        <w:rPr>
          <w:rFonts w:ascii="Times New Roman" w:hAnsi="Times New Roman"/>
          <w:noProof/>
          <w:sz w:val="24"/>
          <w:szCs w:val="24"/>
          <w:lang w:val="en-US"/>
        </w:rPr>
        <w:tab/>
        <w:t>World_Health_Organization. WHO model list of essential medicines</w:t>
      </w:r>
      <w:r w:rsidR="00E9431A">
        <w:rPr>
          <w:rFonts w:ascii="Times New Roman" w:hAnsi="Times New Roman"/>
          <w:noProof/>
          <w:sz w:val="24"/>
          <w:szCs w:val="24"/>
          <w:lang w:val="en-US"/>
        </w:rPr>
        <w:t>.</w:t>
      </w:r>
      <w:r w:rsidRPr="002C7B68">
        <w:rPr>
          <w:rFonts w:ascii="Times New Roman" w:hAnsi="Times New Roman"/>
          <w:noProof/>
          <w:sz w:val="24"/>
          <w:szCs w:val="24"/>
          <w:lang w:val="en-US"/>
        </w:rPr>
        <w:t xml:space="preserve"> http://www.who.int/medicines/publications/essentialmedicines/20th_EML2017.pdf?ua=1.</w:t>
      </w:r>
    </w:p>
    <w:p w14:paraId="4C0E1321"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[22]</w:t>
      </w:r>
      <w:r w:rsidRPr="002C7B68">
        <w:rPr>
          <w:rFonts w:ascii="Times New Roman" w:hAnsi="Times New Roman"/>
          <w:noProof/>
          <w:sz w:val="24"/>
          <w:szCs w:val="24"/>
          <w:lang w:val="en-US"/>
        </w:rPr>
        <w:tab/>
        <w:t>Sauermann R, Karch R, Langenberger H, Kettenbach J, Mayer-Helm B, Petsch M, et al. Antibiotic Abscess Penetration: Fosfomycin Levels Measured in Pus and Simulated Concentration-Time Profiles. Antimicrob Agents Chemother 2005;49:4448–54. doi:10.1128/AAC.49.11.4448-4454.2005.</w:t>
      </w:r>
    </w:p>
    <w:p w14:paraId="5300BED1" w14:textId="22C550A0"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[23]</w:t>
      </w:r>
      <w:r w:rsidRPr="002C7B68">
        <w:rPr>
          <w:rFonts w:ascii="Times New Roman" w:hAnsi="Times New Roman"/>
          <w:noProof/>
          <w:sz w:val="24"/>
          <w:szCs w:val="24"/>
          <w:lang w:val="en-US"/>
        </w:rPr>
        <w:tab/>
        <w:t>Wenzler E, Ellis-Grosse EJ, Rodvold KA. Pharmacokinetics, Safety, and Tolerability of Single Dose Intravenous (ZTI-01) and Oral Fosfomycin in Healthy Volunteers. Antimicrob Agents Chemother 2017</w:t>
      </w:r>
      <w:r w:rsidR="00E9431A">
        <w:rPr>
          <w:rFonts w:ascii="Times New Roman" w:hAnsi="Times New Roman"/>
          <w:noProof/>
          <w:sz w:val="24"/>
          <w:szCs w:val="24"/>
          <w:lang w:val="en-US"/>
        </w:rPr>
        <w:t>;61</w:t>
      </w:r>
      <w:r w:rsidR="00CF4117" w:rsidRPr="00CF4117">
        <w:rPr>
          <w:rFonts w:ascii="Times New Roman" w:hAnsi="Times New Roman"/>
          <w:noProof/>
          <w:sz w:val="24"/>
          <w:szCs w:val="24"/>
          <w:lang w:val="en-US"/>
        </w:rPr>
        <w:t xml:space="preserve"> pii: e00775-17</w:t>
      </w:r>
      <w:r w:rsidRPr="002C7B68">
        <w:rPr>
          <w:rFonts w:ascii="Times New Roman" w:hAnsi="Times New Roman"/>
          <w:noProof/>
          <w:sz w:val="24"/>
          <w:szCs w:val="24"/>
          <w:lang w:val="en-US"/>
        </w:rPr>
        <w:t>. doi:10.1128/AAC.00775-17.</w:t>
      </w:r>
    </w:p>
    <w:p w14:paraId="5EA52BFE"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[24]</w:t>
      </w:r>
      <w:r w:rsidRPr="002C7B68">
        <w:rPr>
          <w:rFonts w:ascii="Times New Roman" w:hAnsi="Times New Roman"/>
          <w:noProof/>
          <w:sz w:val="24"/>
          <w:szCs w:val="24"/>
          <w:lang w:val="en-US"/>
        </w:rPr>
        <w:tab/>
        <w:t>Florent A, Chichmanian R-M, Cua E, Pulcini C. Adverse events associated with intravenous fosfomycin. Int J Antimicrob Agents 2011;37:82–3. doi:10.1016/j.ijantimicag.2010.09.002.</w:t>
      </w:r>
    </w:p>
    <w:p w14:paraId="0195A7D6" w14:textId="1402025F"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[25]</w:t>
      </w:r>
      <w:r w:rsidRPr="002C7B68">
        <w:rPr>
          <w:rFonts w:ascii="Times New Roman" w:hAnsi="Times New Roman"/>
          <w:noProof/>
          <w:sz w:val="24"/>
          <w:szCs w:val="24"/>
          <w:lang w:val="en-US"/>
        </w:rPr>
        <w:tab/>
      </w:r>
      <w:r w:rsidR="009807E8" w:rsidRPr="009807E8">
        <w:rPr>
          <w:rFonts w:ascii="Times New Roman" w:hAnsi="Times New Roman"/>
          <w:noProof/>
          <w:sz w:val="24"/>
          <w:szCs w:val="24"/>
          <w:lang w:val="en-US"/>
        </w:rPr>
        <w:t>The European Committee on Antimicrobial Susceptibility Testing. Breakpoint tables for interpretation of MICs and zone diameters, version 7.1, 2017, http://www.eucast.org/fileadmin/src/media/PDFs/EUCAST_files/Breakpoint_tables/v_7.1_Breakpoint_Tables.pdf</w:t>
      </w:r>
      <w:r w:rsidRPr="002C7B68">
        <w:rPr>
          <w:rFonts w:ascii="Times New Roman" w:hAnsi="Times New Roman"/>
          <w:noProof/>
          <w:sz w:val="24"/>
          <w:szCs w:val="24"/>
          <w:lang w:val="en-US"/>
        </w:rPr>
        <w:t>.</w:t>
      </w:r>
    </w:p>
    <w:p w14:paraId="65547A2E"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2C7B68">
        <w:rPr>
          <w:rFonts w:ascii="Times New Roman" w:hAnsi="Times New Roman"/>
          <w:noProof/>
          <w:sz w:val="24"/>
          <w:szCs w:val="24"/>
          <w:lang w:val="en-US"/>
        </w:rPr>
        <w:t>[26]</w:t>
      </w:r>
      <w:r w:rsidRPr="002C7B68">
        <w:rPr>
          <w:rFonts w:ascii="Times New Roman" w:hAnsi="Times New Roman"/>
          <w:noProof/>
          <w:sz w:val="24"/>
          <w:szCs w:val="24"/>
          <w:lang w:val="en-US"/>
        </w:rPr>
        <w:tab/>
        <w:t>Clinical and Laboratory Standards Institute. Performance Standards for Antimicrobial Disk Susceptibility Tests, 12th Edition, M02-A12. 2017.</w:t>
      </w:r>
    </w:p>
    <w:p w14:paraId="74E034D0" w14:textId="77777777" w:rsidR="00773669" w:rsidRPr="00773669"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rPr>
      </w:pPr>
      <w:r w:rsidRPr="002C7B68">
        <w:rPr>
          <w:rFonts w:ascii="Times New Roman" w:hAnsi="Times New Roman"/>
          <w:noProof/>
          <w:sz w:val="24"/>
          <w:szCs w:val="24"/>
          <w:lang w:val="en-US"/>
        </w:rPr>
        <w:t>[27]</w:t>
      </w:r>
      <w:r w:rsidRPr="002C7B68">
        <w:rPr>
          <w:rFonts w:ascii="Times New Roman" w:hAnsi="Times New Roman"/>
          <w:noProof/>
          <w:sz w:val="24"/>
          <w:szCs w:val="24"/>
          <w:lang w:val="en-US"/>
        </w:rPr>
        <w:tab/>
        <w:t xml:space="preserve">Ellington MJ, Livermore DM, Pitt TL, Hall LMC, Woodford N. Mutators among CTX-M beta-lactamase-producing Escherichia coli and risk for the emergence of fosfomycin resistance. </w:t>
      </w:r>
      <w:r w:rsidRPr="00773669">
        <w:rPr>
          <w:rFonts w:ascii="Times New Roman" w:hAnsi="Times New Roman"/>
          <w:noProof/>
          <w:sz w:val="24"/>
          <w:szCs w:val="24"/>
        </w:rPr>
        <w:t xml:space="preserve">J Antimicrob Chemother 2006;58:848–52. </w:t>
      </w:r>
      <w:r w:rsidRPr="00773669">
        <w:rPr>
          <w:rFonts w:ascii="Times New Roman" w:hAnsi="Times New Roman"/>
          <w:noProof/>
          <w:sz w:val="24"/>
          <w:szCs w:val="24"/>
        </w:rPr>
        <w:lastRenderedPageBreak/>
        <w:t>doi:10.1093/jac/dkl315.</w:t>
      </w:r>
    </w:p>
    <w:p w14:paraId="58570FC3" w14:textId="77777777" w:rsidR="00773669" w:rsidRPr="00773669"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rPr>
      </w:pPr>
      <w:r w:rsidRPr="00773669">
        <w:rPr>
          <w:rFonts w:ascii="Times New Roman" w:hAnsi="Times New Roman"/>
          <w:noProof/>
          <w:sz w:val="24"/>
          <w:szCs w:val="24"/>
        </w:rPr>
        <w:t>[28]</w:t>
      </w:r>
      <w:r w:rsidRPr="00773669">
        <w:rPr>
          <w:rFonts w:ascii="Times New Roman" w:hAnsi="Times New Roman"/>
          <w:noProof/>
          <w:sz w:val="24"/>
          <w:szCs w:val="24"/>
        </w:rPr>
        <w:tab/>
        <w:t xml:space="preserve">Ballestero-Téllez M, Docobo-Pérez F, Rodríguez-Martínez JM, Conejo MC, Ramos-Guelfo MS, Blázquez J, et al. </w:t>
      </w:r>
      <w:r w:rsidRPr="002C7B68">
        <w:rPr>
          <w:rFonts w:ascii="Times New Roman" w:hAnsi="Times New Roman"/>
          <w:noProof/>
          <w:sz w:val="24"/>
          <w:szCs w:val="24"/>
          <w:lang w:val="en-US"/>
        </w:rPr>
        <w:t xml:space="preserve">Role of inoculum and mutant frequency on fosfomycin MIC discrepancies by agar dilution and broth microdilution methods in Enterobacteriaceae. </w:t>
      </w:r>
      <w:r w:rsidRPr="00773669">
        <w:rPr>
          <w:rFonts w:ascii="Times New Roman" w:hAnsi="Times New Roman"/>
          <w:noProof/>
          <w:sz w:val="24"/>
          <w:szCs w:val="24"/>
        </w:rPr>
        <w:t>Clin Microbiol Infect 2017;23:325–31. doi:10.1016/j.cmi.2016.12.022.</w:t>
      </w:r>
    </w:p>
    <w:p w14:paraId="1F04A3F4"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szCs w:val="24"/>
          <w:lang w:val="en-US"/>
        </w:rPr>
      </w:pPr>
      <w:r w:rsidRPr="00773669">
        <w:rPr>
          <w:rFonts w:ascii="Times New Roman" w:hAnsi="Times New Roman"/>
          <w:noProof/>
          <w:sz w:val="24"/>
          <w:szCs w:val="24"/>
        </w:rPr>
        <w:t>[29]</w:t>
      </w:r>
      <w:r w:rsidRPr="00773669">
        <w:rPr>
          <w:rFonts w:ascii="Times New Roman" w:hAnsi="Times New Roman"/>
          <w:noProof/>
          <w:sz w:val="24"/>
          <w:szCs w:val="24"/>
        </w:rPr>
        <w:tab/>
        <w:t xml:space="preserve">Ballestero-Téllez M, Docobo-Pérez F, Portillo-Calderón I, Rodríguez-Martínez JM, Racero L, Ramos-Guelfo MS, et al. </w:t>
      </w:r>
      <w:r w:rsidRPr="002C7B68">
        <w:rPr>
          <w:rFonts w:ascii="Times New Roman" w:hAnsi="Times New Roman"/>
          <w:noProof/>
          <w:sz w:val="24"/>
          <w:szCs w:val="24"/>
          <w:lang w:val="en-US"/>
        </w:rPr>
        <w:t>Molecular insights into fosfomycin resistance in Escherichia coli. J Antimicrob Chemother 2017;72:1303–9. doi:10.1093/jac/dkw573.</w:t>
      </w:r>
    </w:p>
    <w:p w14:paraId="101281A3" w14:textId="77777777" w:rsidR="00773669" w:rsidRPr="002C7B68" w:rsidRDefault="00773669" w:rsidP="00773669">
      <w:pPr>
        <w:widowControl w:val="0"/>
        <w:autoSpaceDE w:val="0"/>
        <w:autoSpaceDN w:val="0"/>
        <w:adjustRightInd w:val="0"/>
        <w:spacing w:after="0" w:line="480" w:lineRule="auto"/>
        <w:ind w:left="640" w:hanging="640"/>
        <w:rPr>
          <w:rFonts w:ascii="Times New Roman" w:hAnsi="Times New Roman"/>
          <w:noProof/>
          <w:sz w:val="24"/>
          <w:lang w:val="en-US"/>
        </w:rPr>
      </w:pPr>
      <w:r w:rsidRPr="002C7B68">
        <w:rPr>
          <w:rFonts w:ascii="Times New Roman" w:hAnsi="Times New Roman"/>
          <w:noProof/>
          <w:sz w:val="24"/>
          <w:szCs w:val="24"/>
          <w:lang w:val="en-US"/>
        </w:rPr>
        <w:t>[30]</w:t>
      </w:r>
      <w:r w:rsidRPr="002C7B68">
        <w:rPr>
          <w:rFonts w:ascii="Times New Roman" w:hAnsi="Times New Roman"/>
          <w:noProof/>
          <w:sz w:val="24"/>
          <w:szCs w:val="24"/>
          <w:lang w:val="en-US"/>
        </w:rPr>
        <w:tab/>
        <w:t>VanScoy B, McCauley J, Bhavnani SM, Ellis-Grosse EJ, Ambrose PG. Relationship between Fosfomycin Exposure and Amplification of Escherichia coli Subpopulations with Reduced Susceptibility in a Hollow-Fiber Infection Model. Antimicrob Agents Chemother 2016;60:5141–5. doi:10.1128/AAC.00355-16.</w:t>
      </w:r>
    </w:p>
    <w:p w14:paraId="335C62CB" w14:textId="5A8CE0D7" w:rsidR="00396563" w:rsidRPr="002C7B68" w:rsidRDefault="00224E97" w:rsidP="0081334E">
      <w:pPr>
        <w:widowControl w:val="0"/>
        <w:autoSpaceDE w:val="0"/>
        <w:autoSpaceDN w:val="0"/>
        <w:adjustRightInd w:val="0"/>
        <w:spacing w:after="0" w:line="480" w:lineRule="auto"/>
        <w:ind w:left="640" w:hanging="640"/>
        <w:rPr>
          <w:rFonts w:ascii="Times New Roman" w:hAnsi="Times New Roman"/>
          <w:sz w:val="24"/>
          <w:szCs w:val="24"/>
          <w:lang w:val="en-GB"/>
        </w:rPr>
      </w:pPr>
      <w:r w:rsidRPr="002C7B68">
        <w:rPr>
          <w:rFonts w:ascii="Times New Roman" w:hAnsi="Times New Roman"/>
          <w:sz w:val="24"/>
          <w:szCs w:val="24"/>
          <w:lang w:val="en-GB"/>
        </w:rPr>
        <w:fldChar w:fldCharType="end"/>
      </w:r>
    </w:p>
    <w:p w14:paraId="4C029110" w14:textId="77777777" w:rsidR="00396563" w:rsidRPr="002C7B68" w:rsidRDefault="00396563">
      <w:pPr>
        <w:spacing w:after="0" w:line="240" w:lineRule="auto"/>
        <w:rPr>
          <w:rFonts w:ascii="Times New Roman" w:hAnsi="Times New Roman"/>
          <w:sz w:val="24"/>
          <w:szCs w:val="24"/>
          <w:lang w:val="en-GB"/>
        </w:rPr>
      </w:pPr>
      <w:r w:rsidRPr="002C7B68">
        <w:rPr>
          <w:rFonts w:ascii="Times New Roman" w:hAnsi="Times New Roman"/>
          <w:sz w:val="24"/>
          <w:szCs w:val="24"/>
          <w:lang w:val="en-GB"/>
        </w:rPr>
        <w:br w:type="page"/>
      </w:r>
    </w:p>
    <w:p w14:paraId="553C5605" w14:textId="77777777" w:rsidR="00396563" w:rsidRPr="002C7B68" w:rsidRDefault="00396563" w:rsidP="00923137">
      <w:pPr>
        <w:tabs>
          <w:tab w:val="left" w:pos="2406"/>
        </w:tabs>
        <w:jc w:val="both"/>
        <w:rPr>
          <w:rFonts w:ascii="Times New Roman" w:hAnsi="Times New Roman"/>
          <w:b/>
          <w:sz w:val="24"/>
          <w:szCs w:val="24"/>
          <w:highlight w:val="yellow"/>
          <w:lang w:val="en-GB"/>
        </w:rPr>
      </w:pPr>
      <w:r w:rsidRPr="002C7B68">
        <w:rPr>
          <w:rFonts w:ascii="Times New Roman" w:hAnsi="Times New Roman"/>
          <w:b/>
          <w:sz w:val="24"/>
          <w:szCs w:val="24"/>
          <w:lang w:val="en-GB"/>
        </w:rPr>
        <w:lastRenderedPageBreak/>
        <w:t xml:space="preserve">Table 1. </w:t>
      </w:r>
      <w:r w:rsidRPr="002C7B68">
        <w:rPr>
          <w:rFonts w:ascii="Times New Roman" w:hAnsi="Times New Roman"/>
          <w:sz w:val="24"/>
          <w:szCs w:val="24"/>
          <w:lang w:val="en-GB"/>
        </w:rPr>
        <w:t xml:space="preserve">Baseline patient characteristics of 16 patients with urinary tract bacteraemia due to multidrug-resistant </w:t>
      </w:r>
      <w:r w:rsidRPr="002C7B68">
        <w:rPr>
          <w:rFonts w:ascii="Times New Roman" w:hAnsi="Times New Roman"/>
          <w:i/>
          <w:sz w:val="24"/>
          <w:szCs w:val="24"/>
          <w:lang w:val="en-GB"/>
        </w:rPr>
        <w:t>E. coli</w:t>
      </w:r>
      <w:r w:rsidRPr="002C7B68">
        <w:rPr>
          <w:rFonts w:ascii="Times New Roman" w:hAnsi="Times New Roman"/>
          <w:sz w:val="24"/>
          <w:szCs w:val="24"/>
          <w:lang w:val="en-GB"/>
        </w:rPr>
        <w:t>.</w:t>
      </w:r>
      <w:r w:rsidRPr="002C7B68">
        <w:rPr>
          <w:rFonts w:ascii="Times New Roman" w:hAnsi="Times New Roman"/>
          <w:b/>
          <w:sz w:val="24"/>
          <w:szCs w:val="24"/>
          <w:lang w:val="en-GB"/>
        </w:rPr>
        <w:t xml:space="preserve"> </w:t>
      </w:r>
    </w:p>
    <w:tbl>
      <w:tblPr>
        <w:tblpPr w:leftFromText="141" w:rightFromText="141" w:vertAnchor="text" w:tblpY="1"/>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96"/>
        <w:gridCol w:w="3806"/>
      </w:tblGrid>
      <w:tr w:rsidR="00396563" w:rsidRPr="00FC15F8" w14:paraId="4182B240" w14:textId="77777777" w:rsidTr="00923137">
        <w:trPr>
          <w:trHeight w:val="808"/>
        </w:trPr>
        <w:tc>
          <w:tcPr>
            <w:tcW w:w="4896" w:type="dxa"/>
            <w:vAlign w:val="center"/>
          </w:tcPr>
          <w:p w14:paraId="06BCD8B5" w14:textId="77777777" w:rsidR="00396563" w:rsidRPr="002C7B68" w:rsidRDefault="00396563" w:rsidP="00923137">
            <w:pPr>
              <w:autoSpaceDE w:val="0"/>
              <w:autoSpaceDN w:val="0"/>
              <w:adjustRightInd w:val="0"/>
              <w:spacing w:after="0" w:line="240" w:lineRule="auto"/>
              <w:jc w:val="center"/>
              <w:rPr>
                <w:rFonts w:ascii="Times New Roman" w:hAnsi="Times New Roman"/>
                <w:b/>
                <w:sz w:val="24"/>
                <w:szCs w:val="24"/>
                <w:lang w:val="en-GB"/>
              </w:rPr>
            </w:pPr>
            <w:r w:rsidRPr="002C7B68">
              <w:rPr>
                <w:rFonts w:ascii="Times New Roman" w:hAnsi="Times New Roman"/>
                <w:b/>
                <w:sz w:val="24"/>
                <w:szCs w:val="24"/>
                <w:lang w:val="en-GB"/>
              </w:rPr>
              <w:t>Variable</w:t>
            </w:r>
          </w:p>
        </w:tc>
        <w:tc>
          <w:tcPr>
            <w:tcW w:w="3806" w:type="dxa"/>
            <w:vAlign w:val="center"/>
          </w:tcPr>
          <w:p w14:paraId="15D257E5" w14:textId="77777777" w:rsidR="00396563" w:rsidRPr="002C7B68" w:rsidRDefault="00396563" w:rsidP="00923137">
            <w:pPr>
              <w:autoSpaceDE w:val="0"/>
              <w:autoSpaceDN w:val="0"/>
              <w:adjustRightInd w:val="0"/>
              <w:spacing w:after="0" w:line="240" w:lineRule="auto"/>
              <w:jc w:val="center"/>
              <w:rPr>
                <w:rFonts w:ascii="Times New Roman" w:hAnsi="Times New Roman"/>
                <w:b/>
                <w:bCs/>
                <w:sz w:val="24"/>
                <w:szCs w:val="24"/>
                <w:lang w:val="en-GB"/>
              </w:rPr>
            </w:pPr>
            <w:r w:rsidRPr="002C7B68">
              <w:rPr>
                <w:rFonts w:ascii="Times New Roman" w:hAnsi="Times New Roman"/>
                <w:b/>
                <w:bCs/>
                <w:sz w:val="24"/>
                <w:szCs w:val="24"/>
                <w:lang w:val="en-GB"/>
              </w:rPr>
              <w:t>No. of cases (percentage) except where specified</w:t>
            </w:r>
          </w:p>
        </w:tc>
      </w:tr>
      <w:tr w:rsidR="00396563" w:rsidRPr="00BC3C5F" w14:paraId="7A56A439" w14:textId="77777777" w:rsidTr="00923137">
        <w:trPr>
          <w:trHeight w:val="259"/>
        </w:trPr>
        <w:tc>
          <w:tcPr>
            <w:tcW w:w="4896" w:type="dxa"/>
          </w:tcPr>
          <w:p w14:paraId="4DFD14B8" w14:textId="77777777" w:rsidR="00396563" w:rsidRPr="002C7B68" w:rsidRDefault="00396563" w:rsidP="00944560">
            <w:pPr>
              <w:autoSpaceDE w:val="0"/>
              <w:autoSpaceDN w:val="0"/>
              <w:adjustRightInd w:val="0"/>
              <w:spacing w:after="0" w:line="240" w:lineRule="auto"/>
              <w:jc w:val="both"/>
              <w:rPr>
                <w:rFonts w:ascii="Times New Roman" w:hAnsi="Times New Roman"/>
                <w:b/>
                <w:bCs/>
                <w:sz w:val="24"/>
                <w:szCs w:val="24"/>
                <w:lang w:val="en-GB"/>
              </w:rPr>
            </w:pPr>
            <w:r w:rsidRPr="002C7B68">
              <w:rPr>
                <w:rFonts w:ascii="Times New Roman" w:hAnsi="Times New Roman"/>
                <w:sz w:val="24"/>
                <w:szCs w:val="24"/>
                <w:lang w:val="en-GB"/>
              </w:rPr>
              <w:t>Male gender</w:t>
            </w:r>
          </w:p>
        </w:tc>
        <w:tc>
          <w:tcPr>
            <w:tcW w:w="3806" w:type="dxa"/>
          </w:tcPr>
          <w:p w14:paraId="0110BE06" w14:textId="7341BB09" w:rsidR="00396563" w:rsidRPr="002C7B68" w:rsidRDefault="00396563" w:rsidP="00944560">
            <w:pPr>
              <w:autoSpaceDE w:val="0"/>
              <w:autoSpaceDN w:val="0"/>
              <w:adjustRightInd w:val="0"/>
              <w:spacing w:after="0" w:line="240" w:lineRule="auto"/>
              <w:jc w:val="center"/>
              <w:rPr>
                <w:rFonts w:ascii="Times New Roman" w:hAnsi="Times New Roman"/>
                <w:bCs/>
                <w:sz w:val="24"/>
                <w:szCs w:val="24"/>
                <w:lang w:val="en-GB"/>
              </w:rPr>
            </w:pPr>
            <w:r w:rsidRPr="002C7B68">
              <w:rPr>
                <w:rFonts w:ascii="Times New Roman" w:hAnsi="Times New Roman"/>
                <w:bCs/>
                <w:sz w:val="24"/>
                <w:szCs w:val="24"/>
                <w:lang w:val="en-GB"/>
              </w:rPr>
              <w:t>9</w:t>
            </w:r>
            <w:r w:rsidR="00612793" w:rsidRPr="002C7B68">
              <w:rPr>
                <w:rFonts w:ascii="Times New Roman" w:hAnsi="Times New Roman"/>
                <w:bCs/>
                <w:sz w:val="24"/>
                <w:szCs w:val="24"/>
                <w:lang w:val="en-GB"/>
              </w:rPr>
              <w:t>/16</w:t>
            </w:r>
            <w:r w:rsidRPr="002C7B68">
              <w:rPr>
                <w:rFonts w:ascii="Times New Roman" w:hAnsi="Times New Roman"/>
                <w:bCs/>
                <w:sz w:val="24"/>
                <w:szCs w:val="24"/>
                <w:lang w:val="en-GB"/>
              </w:rPr>
              <w:t xml:space="preserve"> (56</w:t>
            </w:r>
            <w:r w:rsidR="00612793" w:rsidRPr="002C7B68">
              <w:rPr>
                <w:rFonts w:ascii="Times New Roman" w:hAnsi="Times New Roman"/>
                <w:bCs/>
                <w:sz w:val="24"/>
                <w:szCs w:val="24"/>
                <w:lang w:val="en-GB"/>
              </w:rPr>
              <w:t>.3</w:t>
            </w:r>
            <w:r w:rsidRPr="002C7B68">
              <w:rPr>
                <w:rFonts w:ascii="Times New Roman" w:hAnsi="Times New Roman"/>
                <w:bCs/>
                <w:sz w:val="24"/>
                <w:szCs w:val="24"/>
                <w:lang w:val="en-GB"/>
              </w:rPr>
              <w:t>)</w:t>
            </w:r>
          </w:p>
        </w:tc>
      </w:tr>
      <w:tr w:rsidR="00396563" w:rsidRPr="00BC3C5F" w14:paraId="28FE4235" w14:textId="77777777" w:rsidTr="00923137">
        <w:trPr>
          <w:trHeight w:val="268"/>
        </w:trPr>
        <w:tc>
          <w:tcPr>
            <w:tcW w:w="4896" w:type="dxa"/>
          </w:tcPr>
          <w:p w14:paraId="68E719D0" w14:textId="77777777" w:rsidR="00396563" w:rsidRPr="002C7B68" w:rsidRDefault="00396563" w:rsidP="00944560">
            <w:pPr>
              <w:autoSpaceDE w:val="0"/>
              <w:autoSpaceDN w:val="0"/>
              <w:adjustRightInd w:val="0"/>
              <w:spacing w:after="0" w:line="240" w:lineRule="auto"/>
              <w:jc w:val="both"/>
              <w:rPr>
                <w:rFonts w:ascii="Times New Roman" w:hAnsi="Times New Roman"/>
                <w:b/>
                <w:bCs/>
                <w:sz w:val="24"/>
                <w:szCs w:val="24"/>
                <w:lang w:val="en-GB"/>
              </w:rPr>
            </w:pPr>
            <w:r w:rsidRPr="002C7B68">
              <w:rPr>
                <w:rFonts w:ascii="Times New Roman" w:hAnsi="Times New Roman"/>
                <w:sz w:val="24"/>
                <w:szCs w:val="24"/>
                <w:lang w:val="en-GB"/>
              </w:rPr>
              <w:t>Age in years, median (range)</w:t>
            </w:r>
          </w:p>
        </w:tc>
        <w:tc>
          <w:tcPr>
            <w:tcW w:w="3806" w:type="dxa"/>
          </w:tcPr>
          <w:p w14:paraId="04D636BA" w14:textId="77777777" w:rsidR="00396563" w:rsidRPr="002C7B68" w:rsidRDefault="00396563" w:rsidP="00944560">
            <w:pPr>
              <w:autoSpaceDE w:val="0"/>
              <w:autoSpaceDN w:val="0"/>
              <w:adjustRightInd w:val="0"/>
              <w:spacing w:after="0" w:line="240" w:lineRule="auto"/>
              <w:jc w:val="center"/>
              <w:rPr>
                <w:rFonts w:ascii="Times New Roman" w:hAnsi="Times New Roman"/>
                <w:bCs/>
                <w:sz w:val="24"/>
                <w:szCs w:val="24"/>
                <w:lang w:val="en-GB"/>
              </w:rPr>
            </w:pPr>
            <w:r w:rsidRPr="002C7B68">
              <w:rPr>
                <w:rFonts w:ascii="Times New Roman" w:hAnsi="Times New Roman"/>
                <w:bCs/>
                <w:sz w:val="24"/>
                <w:szCs w:val="24"/>
                <w:lang w:val="en-GB"/>
              </w:rPr>
              <w:t>68.5 (63-83)</w:t>
            </w:r>
          </w:p>
        </w:tc>
      </w:tr>
      <w:tr w:rsidR="00396563" w:rsidRPr="00BC3C5F" w14:paraId="299D4F45" w14:textId="77777777" w:rsidTr="00923137">
        <w:trPr>
          <w:trHeight w:val="268"/>
        </w:trPr>
        <w:tc>
          <w:tcPr>
            <w:tcW w:w="4896" w:type="dxa"/>
          </w:tcPr>
          <w:p w14:paraId="3D3EAD6B" w14:textId="3BB13E48" w:rsidR="00396563" w:rsidRPr="002C7B68" w:rsidRDefault="00396563" w:rsidP="00944560">
            <w:pPr>
              <w:autoSpaceDE w:val="0"/>
              <w:autoSpaceDN w:val="0"/>
              <w:adjustRightInd w:val="0"/>
              <w:spacing w:after="0" w:line="240" w:lineRule="auto"/>
              <w:jc w:val="both"/>
              <w:rPr>
                <w:rFonts w:ascii="Times New Roman" w:hAnsi="Times New Roman"/>
                <w:b/>
                <w:bCs/>
                <w:sz w:val="24"/>
                <w:szCs w:val="24"/>
                <w:lang w:val="en-GB"/>
              </w:rPr>
            </w:pPr>
            <w:r w:rsidRPr="002C7B68">
              <w:rPr>
                <w:rFonts w:ascii="Times New Roman" w:hAnsi="Times New Roman"/>
                <w:sz w:val="24"/>
                <w:szCs w:val="24"/>
                <w:lang w:val="en-GB"/>
              </w:rPr>
              <w:t>Body ma</w:t>
            </w:r>
            <w:r w:rsidR="00102435">
              <w:rPr>
                <w:rFonts w:ascii="Times New Roman" w:hAnsi="Times New Roman"/>
                <w:sz w:val="24"/>
                <w:szCs w:val="24"/>
                <w:lang w:val="en-GB"/>
              </w:rPr>
              <w:t>ss</w:t>
            </w:r>
            <w:r w:rsidRPr="002C7B68">
              <w:rPr>
                <w:rFonts w:ascii="Times New Roman" w:hAnsi="Times New Roman"/>
                <w:sz w:val="24"/>
                <w:szCs w:val="24"/>
                <w:lang w:val="en-GB"/>
              </w:rPr>
              <w:t xml:space="preserve"> index ≥25 </w:t>
            </w:r>
          </w:p>
        </w:tc>
        <w:tc>
          <w:tcPr>
            <w:tcW w:w="3806" w:type="dxa"/>
          </w:tcPr>
          <w:p w14:paraId="288FA442" w14:textId="77777777" w:rsidR="00396563" w:rsidRPr="002C7B68" w:rsidRDefault="00396563" w:rsidP="00944560">
            <w:pPr>
              <w:autoSpaceDE w:val="0"/>
              <w:autoSpaceDN w:val="0"/>
              <w:adjustRightInd w:val="0"/>
              <w:spacing w:after="0" w:line="240" w:lineRule="auto"/>
              <w:jc w:val="center"/>
              <w:rPr>
                <w:rFonts w:ascii="Times New Roman" w:hAnsi="Times New Roman"/>
                <w:bCs/>
                <w:sz w:val="24"/>
                <w:szCs w:val="24"/>
                <w:lang w:val="en-GB"/>
              </w:rPr>
            </w:pPr>
            <w:r w:rsidRPr="002C7B68">
              <w:rPr>
                <w:rFonts w:ascii="Times New Roman" w:hAnsi="Times New Roman"/>
                <w:bCs/>
                <w:sz w:val="24"/>
                <w:szCs w:val="24"/>
                <w:lang w:val="en-GB"/>
              </w:rPr>
              <w:t>13 (81.25)</w:t>
            </w:r>
          </w:p>
        </w:tc>
      </w:tr>
      <w:tr w:rsidR="00396563" w:rsidRPr="00BC3C5F" w14:paraId="594B75C9" w14:textId="77777777" w:rsidTr="00923137">
        <w:trPr>
          <w:trHeight w:val="268"/>
        </w:trPr>
        <w:tc>
          <w:tcPr>
            <w:tcW w:w="4896" w:type="dxa"/>
          </w:tcPr>
          <w:p w14:paraId="12F6D4FF" w14:textId="77777777" w:rsidR="00396563" w:rsidRPr="002C7B68" w:rsidRDefault="00396563" w:rsidP="00944560">
            <w:pPr>
              <w:shd w:val="clear" w:color="auto" w:fill="FFFFFF"/>
              <w:spacing w:after="0" w:line="240" w:lineRule="auto"/>
              <w:textAlignment w:val="baseline"/>
              <w:outlineLvl w:val="0"/>
              <w:rPr>
                <w:rFonts w:ascii="Times New Roman" w:hAnsi="Times New Roman"/>
                <w:b/>
                <w:bCs/>
                <w:kern w:val="36"/>
                <w:sz w:val="24"/>
                <w:szCs w:val="24"/>
                <w:lang w:val="en-GB"/>
              </w:rPr>
            </w:pPr>
            <w:r w:rsidRPr="002C7B68">
              <w:rPr>
                <w:rFonts w:ascii="Times New Roman" w:hAnsi="Times New Roman"/>
                <w:bCs/>
                <w:kern w:val="36"/>
                <w:sz w:val="24"/>
                <w:szCs w:val="24"/>
                <w:lang w:val="en-GB"/>
              </w:rPr>
              <w:t>CrCl</w:t>
            </w:r>
            <w:r w:rsidRPr="002C7B68">
              <w:rPr>
                <w:rFonts w:ascii="Times New Roman" w:hAnsi="Times New Roman"/>
                <w:sz w:val="24"/>
                <w:szCs w:val="24"/>
                <w:lang w:val="en-GB"/>
              </w:rPr>
              <w:t xml:space="preserve"> in mL/min, median (range)</w:t>
            </w:r>
          </w:p>
        </w:tc>
        <w:tc>
          <w:tcPr>
            <w:tcW w:w="3806" w:type="dxa"/>
          </w:tcPr>
          <w:p w14:paraId="225606B1" w14:textId="77777777" w:rsidR="00396563" w:rsidRPr="002C7B68" w:rsidRDefault="00396563" w:rsidP="00944560">
            <w:pPr>
              <w:autoSpaceDE w:val="0"/>
              <w:autoSpaceDN w:val="0"/>
              <w:adjustRightInd w:val="0"/>
              <w:spacing w:after="0" w:line="240" w:lineRule="auto"/>
              <w:jc w:val="center"/>
              <w:rPr>
                <w:rFonts w:ascii="Times New Roman" w:hAnsi="Times New Roman"/>
                <w:bCs/>
                <w:sz w:val="24"/>
                <w:szCs w:val="24"/>
                <w:lang w:val="en-GB"/>
              </w:rPr>
            </w:pPr>
            <w:r w:rsidRPr="002C7B68">
              <w:rPr>
                <w:rFonts w:ascii="Times New Roman" w:hAnsi="Times New Roman"/>
                <w:bCs/>
                <w:sz w:val="24"/>
                <w:szCs w:val="24"/>
                <w:lang w:val="en-GB"/>
              </w:rPr>
              <w:t>70.5 (30.4-98.6)</w:t>
            </w:r>
          </w:p>
        </w:tc>
      </w:tr>
      <w:tr w:rsidR="00396563" w:rsidRPr="00BC3C5F" w14:paraId="437D5068" w14:textId="77777777" w:rsidTr="00923137">
        <w:trPr>
          <w:trHeight w:val="268"/>
        </w:trPr>
        <w:tc>
          <w:tcPr>
            <w:tcW w:w="4896" w:type="dxa"/>
          </w:tcPr>
          <w:p w14:paraId="3EF296C8" w14:textId="77777777" w:rsidR="00396563" w:rsidRPr="002C7B68" w:rsidRDefault="00396563" w:rsidP="00944560">
            <w:pPr>
              <w:autoSpaceDE w:val="0"/>
              <w:autoSpaceDN w:val="0"/>
              <w:adjustRightInd w:val="0"/>
              <w:spacing w:after="0" w:line="240" w:lineRule="auto"/>
              <w:jc w:val="both"/>
              <w:rPr>
                <w:rFonts w:ascii="Times New Roman" w:hAnsi="Times New Roman"/>
                <w:color w:val="000000" w:themeColor="text1"/>
                <w:sz w:val="24"/>
                <w:szCs w:val="24"/>
                <w:lang w:val="en-GB"/>
              </w:rPr>
            </w:pPr>
            <w:r w:rsidRPr="002C7B68">
              <w:rPr>
                <w:rFonts w:ascii="Times New Roman" w:hAnsi="Times New Roman"/>
                <w:color w:val="000000" w:themeColor="text1"/>
                <w:sz w:val="24"/>
                <w:szCs w:val="24"/>
                <w:lang w:val="en-GB"/>
              </w:rPr>
              <w:t>McCabe Index</w:t>
            </w:r>
          </w:p>
        </w:tc>
        <w:tc>
          <w:tcPr>
            <w:tcW w:w="3806" w:type="dxa"/>
          </w:tcPr>
          <w:p w14:paraId="7B8F4CAC" w14:textId="77777777" w:rsidR="00396563" w:rsidRPr="002C7B68" w:rsidRDefault="00396563" w:rsidP="00944560">
            <w:pPr>
              <w:autoSpaceDE w:val="0"/>
              <w:autoSpaceDN w:val="0"/>
              <w:adjustRightInd w:val="0"/>
              <w:spacing w:after="0" w:line="240" w:lineRule="auto"/>
              <w:jc w:val="center"/>
              <w:rPr>
                <w:rFonts w:ascii="Times New Roman" w:hAnsi="Times New Roman"/>
                <w:bCs/>
                <w:color w:val="000000" w:themeColor="text1"/>
                <w:sz w:val="24"/>
                <w:szCs w:val="24"/>
                <w:lang w:val="en-GB"/>
              </w:rPr>
            </w:pPr>
            <w:r w:rsidRPr="002C7B68">
              <w:rPr>
                <w:rFonts w:ascii="Times New Roman" w:hAnsi="Times New Roman"/>
                <w:bCs/>
                <w:color w:val="000000" w:themeColor="text1"/>
                <w:sz w:val="24"/>
                <w:szCs w:val="24"/>
                <w:lang w:val="en-GB"/>
              </w:rPr>
              <w:t>1 (6.3)</w:t>
            </w:r>
          </w:p>
        </w:tc>
      </w:tr>
      <w:tr w:rsidR="00396563" w:rsidRPr="00BC3C5F" w14:paraId="7D53A173" w14:textId="77777777" w:rsidTr="00923137">
        <w:trPr>
          <w:trHeight w:val="259"/>
        </w:trPr>
        <w:tc>
          <w:tcPr>
            <w:tcW w:w="4896" w:type="dxa"/>
          </w:tcPr>
          <w:p w14:paraId="39826B3E" w14:textId="77777777" w:rsidR="00396563" w:rsidRPr="002C7B68" w:rsidRDefault="00396563" w:rsidP="00944560">
            <w:pPr>
              <w:autoSpaceDE w:val="0"/>
              <w:autoSpaceDN w:val="0"/>
              <w:adjustRightInd w:val="0"/>
              <w:spacing w:after="0" w:line="240" w:lineRule="auto"/>
              <w:jc w:val="both"/>
              <w:rPr>
                <w:rFonts w:ascii="Times New Roman" w:hAnsi="Times New Roman"/>
                <w:b/>
                <w:bCs/>
                <w:sz w:val="24"/>
                <w:szCs w:val="24"/>
                <w:lang w:val="en-GB"/>
              </w:rPr>
            </w:pPr>
            <w:r w:rsidRPr="002C7B68">
              <w:rPr>
                <w:rFonts w:ascii="Times New Roman" w:hAnsi="Times New Roman"/>
                <w:sz w:val="24"/>
                <w:szCs w:val="24"/>
                <w:lang w:val="en-GB"/>
              </w:rPr>
              <w:t>Comorbidities</w:t>
            </w:r>
          </w:p>
        </w:tc>
        <w:tc>
          <w:tcPr>
            <w:tcW w:w="3806" w:type="dxa"/>
          </w:tcPr>
          <w:p w14:paraId="5B58EB9C" w14:textId="77777777" w:rsidR="00396563" w:rsidRPr="002C7B68" w:rsidRDefault="00396563" w:rsidP="00944560">
            <w:pPr>
              <w:autoSpaceDE w:val="0"/>
              <w:autoSpaceDN w:val="0"/>
              <w:adjustRightInd w:val="0"/>
              <w:spacing w:after="0" w:line="240" w:lineRule="auto"/>
              <w:jc w:val="center"/>
              <w:rPr>
                <w:rFonts w:ascii="Times New Roman" w:hAnsi="Times New Roman"/>
                <w:bCs/>
                <w:sz w:val="24"/>
                <w:szCs w:val="24"/>
                <w:lang w:val="en-GB"/>
              </w:rPr>
            </w:pPr>
          </w:p>
        </w:tc>
      </w:tr>
      <w:tr w:rsidR="00396563" w:rsidRPr="00BC3C5F" w14:paraId="214FC8A7" w14:textId="77777777" w:rsidTr="00923137">
        <w:trPr>
          <w:trHeight w:val="268"/>
        </w:trPr>
        <w:tc>
          <w:tcPr>
            <w:tcW w:w="4896" w:type="dxa"/>
          </w:tcPr>
          <w:p w14:paraId="0C65BA8E" w14:textId="77777777" w:rsidR="00396563" w:rsidRPr="002C7B68" w:rsidRDefault="00396563" w:rsidP="00944560">
            <w:pPr>
              <w:autoSpaceDE w:val="0"/>
              <w:autoSpaceDN w:val="0"/>
              <w:adjustRightInd w:val="0"/>
              <w:spacing w:after="0" w:line="240" w:lineRule="auto"/>
              <w:jc w:val="both"/>
              <w:rPr>
                <w:rFonts w:ascii="Times New Roman" w:hAnsi="Times New Roman"/>
                <w:bCs/>
                <w:sz w:val="24"/>
                <w:szCs w:val="24"/>
                <w:lang w:val="en-GB"/>
              </w:rPr>
            </w:pPr>
            <w:r w:rsidRPr="002C7B68">
              <w:rPr>
                <w:rFonts w:ascii="Times New Roman" w:hAnsi="Times New Roman"/>
                <w:sz w:val="24"/>
                <w:szCs w:val="24"/>
                <w:lang w:val="en-GB"/>
              </w:rPr>
              <w:tab/>
              <w:t>Diabetes mellitus</w:t>
            </w:r>
          </w:p>
        </w:tc>
        <w:tc>
          <w:tcPr>
            <w:tcW w:w="3806" w:type="dxa"/>
          </w:tcPr>
          <w:p w14:paraId="35B2A424" w14:textId="3E6FAD17" w:rsidR="00396563" w:rsidRPr="002C7B68" w:rsidRDefault="00396563" w:rsidP="00944560">
            <w:pPr>
              <w:autoSpaceDE w:val="0"/>
              <w:autoSpaceDN w:val="0"/>
              <w:adjustRightInd w:val="0"/>
              <w:spacing w:after="0" w:line="240" w:lineRule="auto"/>
              <w:jc w:val="center"/>
              <w:rPr>
                <w:rFonts w:ascii="Times New Roman" w:hAnsi="Times New Roman"/>
                <w:bCs/>
                <w:sz w:val="24"/>
                <w:szCs w:val="24"/>
                <w:lang w:val="en-GB"/>
              </w:rPr>
            </w:pPr>
            <w:r w:rsidRPr="002C7B68">
              <w:rPr>
                <w:rFonts w:ascii="Times New Roman" w:hAnsi="Times New Roman"/>
                <w:bCs/>
                <w:sz w:val="24"/>
                <w:szCs w:val="24"/>
                <w:lang w:val="en-GB"/>
              </w:rPr>
              <w:t>9</w:t>
            </w:r>
            <w:r w:rsidR="00612793" w:rsidRPr="002C7B68">
              <w:rPr>
                <w:rFonts w:ascii="Times New Roman" w:hAnsi="Times New Roman"/>
                <w:bCs/>
                <w:sz w:val="24"/>
                <w:szCs w:val="24"/>
                <w:lang w:val="en-GB"/>
              </w:rPr>
              <w:t>/16</w:t>
            </w:r>
            <w:r w:rsidRPr="002C7B68">
              <w:rPr>
                <w:rFonts w:ascii="Times New Roman" w:hAnsi="Times New Roman"/>
                <w:bCs/>
                <w:sz w:val="24"/>
                <w:szCs w:val="24"/>
                <w:lang w:val="en-GB"/>
              </w:rPr>
              <w:t xml:space="preserve"> (56.3)</w:t>
            </w:r>
          </w:p>
        </w:tc>
      </w:tr>
      <w:tr w:rsidR="00396563" w:rsidRPr="00BC3C5F" w14:paraId="715E0669" w14:textId="77777777" w:rsidTr="00923137">
        <w:trPr>
          <w:trHeight w:val="268"/>
        </w:trPr>
        <w:tc>
          <w:tcPr>
            <w:tcW w:w="4896" w:type="dxa"/>
          </w:tcPr>
          <w:p w14:paraId="0CD184C4" w14:textId="77777777" w:rsidR="00396563" w:rsidRPr="002C7B68" w:rsidRDefault="00396563" w:rsidP="00944560">
            <w:pPr>
              <w:autoSpaceDE w:val="0"/>
              <w:autoSpaceDN w:val="0"/>
              <w:adjustRightInd w:val="0"/>
              <w:spacing w:after="0" w:line="240" w:lineRule="auto"/>
              <w:jc w:val="both"/>
              <w:rPr>
                <w:rFonts w:ascii="Times New Roman" w:hAnsi="Times New Roman"/>
                <w:bCs/>
                <w:sz w:val="24"/>
                <w:szCs w:val="24"/>
                <w:lang w:val="en-GB"/>
              </w:rPr>
            </w:pPr>
            <w:r w:rsidRPr="002C7B68">
              <w:rPr>
                <w:rFonts w:ascii="Times New Roman" w:hAnsi="Times New Roman"/>
                <w:bCs/>
                <w:sz w:val="24"/>
                <w:szCs w:val="24"/>
                <w:lang w:val="en-GB"/>
              </w:rPr>
              <w:tab/>
              <w:t>Chronic pulmonary disease</w:t>
            </w:r>
          </w:p>
        </w:tc>
        <w:tc>
          <w:tcPr>
            <w:tcW w:w="3806" w:type="dxa"/>
          </w:tcPr>
          <w:p w14:paraId="5CDEFB5D" w14:textId="21737674" w:rsidR="00396563" w:rsidRPr="002C7B68" w:rsidRDefault="00396563" w:rsidP="00944560">
            <w:pPr>
              <w:autoSpaceDE w:val="0"/>
              <w:autoSpaceDN w:val="0"/>
              <w:adjustRightInd w:val="0"/>
              <w:spacing w:after="0" w:line="240" w:lineRule="auto"/>
              <w:jc w:val="center"/>
              <w:rPr>
                <w:rFonts w:ascii="Times New Roman" w:hAnsi="Times New Roman"/>
                <w:bCs/>
                <w:sz w:val="24"/>
                <w:szCs w:val="24"/>
                <w:lang w:val="en-GB"/>
              </w:rPr>
            </w:pPr>
            <w:r w:rsidRPr="002C7B68">
              <w:rPr>
                <w:rFonts w:ascii="Times New Roman" w:hAnsi="Times New Roman"/>
                <w:bCs/>
                <w:sz w:val="24"/>
                <w:szCs w:val="24"/>
                <w:lang w:val="en-GB"/>
              </w:rPr>
              <w:t>2</w:t>
            </w:r>
            <w:r w:rsidR="00B138A0" w:rsidRPr="002C7B68">
              <w:rPr>
                <w:rFonts w:ascii="Times New Roman" w:hAnsi="Times New Roman"/>
                <w:bCs/>
                <w:sz w:val="24"/>
                <w:szCs w:val="24"/>
                <w:lang w:val="en-GB"/>
              </w:rPr>
              <w:t>/16</w:t>
            </w:r>
            <w:r w:rsidRPr="002C7B68">
              <w:rPr>
                <w:rFonts w:ascii="Times New Roman" w:hAnsi="Times New Roman"/>
                <w:bCs/>
                <w:sz w:val="24"/>
                <w:szCs w:val="24"/>
                <w:lang w:val="en-GB"/>
              </w:rPr>
              <w:t xml:space="preserve"> (12.5)</w:t>
            </w:r>
          </w:p>
        </w:tc>
      </w:tr>
      <w:tr w:rsidR="00396563" w:rsidRPr="00BC3C5F" w14:paraId="41FF7BC7" w14:textId="77777777" w:rsidTr="00923137">
        <w:trPr>
          <w:trHeight w:val="268"/>
        </w:trPr>
        <w:tc>
          <w:tcPr>
            <w:tcW w:w="4896" w:type="dxa"/>
          </w:tcPr>
          <w:p w14:paraId="3F28CC00" w14:textId="77777777" w:rsidR="00396563" w:rsidRPr="002C7B68" w:rsidRDefault="00396563" w:rsidP="00944560">
            <w:pPr>
              <w:autoSpaceDE w:val="0"/>
              <w:autoSpaceDN w:val="0"/>
              <w:adjustRightInd w:val="0"/>
              <w:spacing w:after="0" w:line="240" w:lineRule="auto"/>
              <w:jc w:val="both"/>
              <w:rPr>
                <w:rFonts w:ascii="Times New Roman" w:hAnsi="Times New Roman"/>
                <w:bCs/>
                <w:sz w:val="24"/>
                <w:szCs w:val="24"/>
                <w:lang w:val="en-GB"/>
              </w:rPr>
            </w:pPr>
            <w:r w:rsidRPr="002C7B68">
              <w:rPr>
                <w:rFonts w:ascii="Times New Roman" w:hAnsi="Times New Roman"/>
                <w:sz w:val="24"/>
                <w:szCs w:val="24"/>
                <w:lang w:val="en-GB"/>
              </w:rPr>
              <w:tab/>
              <w:t>Cancer</w:t>
            </w:r>
          </w:p>
        </w:tc>
        <w:tc>
          <w:tcPr>
            <w:tcW w:w="3806" w:type="dxa"/>
          </w:tcPr>
          <w:p w14:paraId="1B26FE89" w14:textId="65940B84" w:rsidR="00396563" w:rsidRPr="002C7B68" w:rsidRDefault="00396563" w:rsidP="00944560">
            <w:pPr>
              <w:autoSpaceDE w:val="0"/>
              <w:autoSpaceDN w:val="0"/>
              <w:adjustRightInd w:val="0"/>
              <w:spacing w:after="0" w:line="240" w:lineRule="auto"/>
              <w:jc w:val="center"/>
              <w:rPr>
                <w:rFonts w:ascii="Times New Roman" w:hAnsi="Times New Roman"/>
                <w:bCs/>
                <w:sz w:val="24"/>
                <w:szCs w:val="24"/>
                <w:lang w:val="en-GB"/>
              </w:rPr>
            </w:pPr>
            <w:r w:rsidRPr="002C7B68">
              <w:rPr>
                <w:rFonts w:ascii="Times New Roman" w:hAnsi="Times New Roman"/>
                <w:bCs/>
                <w:sz w:val="24"/>
                <w:szCs w:val="24"/>
                <w:lang w:val="en-GB"/>
              </w:rPr>
              <w:t>2</w:t>
            </w:r>
            <w:r w:rsidR="00B138A0" w:rsidRPr="002C7B68">
              <w:rPr>
                <w:rFonts w:ascii="Times New Roman" w:hAnsi="Times New Roman"/>
                <w:bCs/>
                <w:sz w:val="24"/>
                <w:szCs w:val="24"/>
                <w:lang w:val="en-GB"/>
              </w:rPr>
              <w:t>/16</w:t>
            </w:r>
            <w:r w:rsidRPr="002C7B68">
              <w:rPr>
                <w:rFonts w:ascii="Times New Roman" w:hAnsi="Times New Roman"/>
                <w:bCs/>
                <w:sz w:val="24"/>
                <w:szCs w:val="24"/>
                <w:lang w:val="en-GB"/>
              </w:rPr>
              <w:t xml:space="preserve"> (12.5)</w:t>
            </w:r>
          </w:p>
        </w:tc>
      </w:tr>
      <w:tr w:rsidR="00396563" w:rsidRPr="00BC3C5F" w14:paraId="474E1B08" w14:textId="77777777" w:rsidTr="00923137">
        <w:trPr>
          <w:trHeight w:val="268"/>
        </w:trPr>
        <w:tc>
          <w:tcPr>
            <w:tcW w:w="4896" w:type="dxa"/>
          </w:tcPr>
          <w:p w14:paraId="013C4901" w14:textId="77777777" w:rsidR="00396563" w:rsidRPr="002C7B68" w:rsidRDefault="00396563" w:rsidP="00944560">
            <w:pPr>
              <w:autoSpaceDE w:val="0"/>
              <w:autoSpaceDN w:val="0"/>
              <w:adjustRightInd w:val="0"/>
              <w:spacing w:after="0" w:line="240" w:lineRule="auto"/>
              <w:jc w:val="both"/>
              <w:rPr>
                <w:rFonts w:ascii="Times New Roman" w:hAnsi="Times New Roman"/>
                <w:b/>
                <w:bCs/>
                <w:i/>
                <w:sz w:val="24"/>
                <w:szCs w:val="24"/>
                <w:lang w:val="en-GB"/>
              </w:rPr>
            </w:pPr>
            <w:r w:rsidRPr="002C7B68">
              <w:rPr>
                <w:rFonts w:ascii="Times New Roman" w:hAnsi="Times New Roman"/>
                <w:sz w:val="24"/>
                <w:szCs w:val="24"/>
                <w:lang w:val="en-GB"/>
              </w:rPr>
              <w:t>Community-acquired bacteremia</w:t>
            </w:r>
          </w:p>
        </w:tc>
        <w:tc>
          <w:tcPr>
            <w:tcW w:w="3806" w:type="dxa"/>
          </w:tcPr>
          <w:p w14:paraId="00C95853" w14:textId="7B8ABCD0" w:rsidR="00396563" w:rsidRPr="002C7B68" w:rsidRDefault="00396563" w:rsidP="00944560">
            <w:pPr>
              <w:autoSpaceDE w:val="0"/>
              <w:autoSpaceDN w:val="0"/>
              <w:adjustRightInd w:val="0"/>
              <w:spacing w:after="0" w:line="240" w:lineRule="auto"/>
              <w:jc w:val="center"/>
              <w:rPr>
                <w:rFonts w:ascii="Times New Roman" w:hAnsi="Times New Roman"/>
                <w:bCs/>
                <w:sz w:val="24"/>
                <w:szCs w:val="24"/>
                <w:lang w:val="en-GB"/>
              </w:rPr>
            </w:pPr>
            <w:r w:rsidRPr="002C7B68">
              <w:rPr>
                <w:rFonts w:ascii="Times New Roman" w:hAnsi="Times New Roman"/>
                <w:bCs/>
                <w:sz w:val="24"/>
                <w:szCs w:val="24"/>
                <w:lang w:val="en-GB"/>
              </w:rPr>
              <w:t>9</w:t>
            </w:r>
            <w:r w:rsidR="00B138A0" w:rsidRPr="002C7B68">
              <w:rPr>
                <w:rFonts w:ascii="Times New Roman" w:hAnsi="Times New Roman"/>
                <w:bCs/>
                <w:sz w:val="24"/>
                <w:szCs w:val="24"/>
                <w:lang w:val="en-GB"/>
              </w:rPr>
              <w:t>/16</w:t>
            </w:r>
            <w:r w:rsidRPr="002C7B68">
              <w:rPr>
                <w:rFonts w:ascii="Times New Roman" w:hAnsi="Times New Roman"/>
                <w:bCs/>
                <w:sz w:val="24"/>
                <w:szCs w:val="24"/>
                <w:lang w:val="en-GB"/>
              </w:rPr>
              <w:t xml:space="preserve"> (56.3)</w:t>
            </w:r>
          </w:p>
        </w:tc>
      </w:tr>
      <w:tr w:rsidR="00396563" w:rsidRPr="00BC3C5F" w14:paraId="136181FB" w14:textId="77777777" w:rsidTr="00923137">
        <w:trPr>
          <w:trHeight w:val="268"/>
        </w:trPr>
        <w:tc>
          <w:tcPr>
            <w:tcW w:w="4896" w:type="dxa"/>
          </w:tcPr>
          <w:p w14:paraId="1A6FCDB2" w14:textId="77777777" w:rsidR="00396563" w:rsidRPr="002C7B68" w:rsidRDefault="00396563" w:rsidP="00944560">
            <w:pPr>
              <w:autoSpaceDE w:val="0"/>
              <w:autoSpaceDN w:val="0"/>
              <w:adjustRightInd w:val="0"/>
              <w:spacing w:after="0" w:line="240" w:lineRule="auto"/>
              <w:jc w:val="both"/>
              <w:rPr>
                <w:rFonts w:ascii="Times New Roman" w:hAnsi="Times New Roman"/>
                <w:sz w:val="24"/>
                <w:szCs w:val="24"/>
                <w:lang w:val="en-GB"/>
              </w:rPr>
            </w:pPr>
            <w:r w:rsidRPr="002C7B68">
              <w:rPr>
                <w:rFonts w:ascii="Times New Roman" w:hAnsi="Times New Roman"/>
                <w:sz w:val="24"/>
                <w:szCs w:val="24"/>
                <w:lang w:val="en-GB"/>
              </w:rPr>
              <w:t xml:space="preserve">ESBL-producing </w:t>
            </w:r>
            <w:r w:rsidRPr="002C7B68">
              <w:rPr>
                <w:rFonts w:ascii="Times New Roman" w:hAnsi="Times New Roman"/>
                <w:i/>
                <w:sz w:val="24"/>
                <w:szCs w:val="24"/>
                <w:lang w:val="en-GB"/>
              </w:rPr>
              <w:t>E. coli</w:t>
            </w:r>
          </w:p>
        </w:tc>
        <w:tc>
          <w:tcPr>
            <w:tcW w:w="3806" w:type="dxa"/>
          </w:tcPr>
          <w:p w14:paraId="4E32F157" w14:textId="147A6D0E" w:rsidR="00396563" w:rsidRPr="002C7B68" w:rsidRDefault="00396563" w:rsidP="00944560">
            <w:pPr>
              <w:autoSpaceDE w:val="0"/>
              <w:autoSpaceDN w:val="0"/>
              <w:adjustRightInd w:val="0"/>
              <w:spacing w:after="0" w:line="240" w:lineRule="auto"/>
              <w:jc w:val="center"/>
              <w:rPr>
                <w:rFonts w:ascii="Times New Roman" w:hAnsi="Times New Roman"/>
                <w:bCs/>
                <w:sz w:val="24"/>
                <w:szCs w:val="24"/>
                <w:lang w:val="en-GB"/>
              </w:rPr>
            </w:pPr>
            <w:r w:rsidRPr="002C7B68">
              <w:rPr>
                <w:rFonts w:ascii="Times New Roman" w:hAnsi="Times New Roman"/>
                <w:bCs/>
                <w:sz w:val="24"/>
                <w:szCs w:val="24"/>
                <w:lang w:val="en-GB"/>
              </w:rPr>
              <w:t>1</w:t>
            </w:r>
            <w:r w:rsidR="00B138A0" w:rsidRPr="002C7B68">
              <w:rPr>
                <w:rFonts w:ascii="Times New Roman" w:hAnsi="Times New Roman"/>
                <w:bCs/>
                <w:sz w:val="24"/>
                <w:szCs w:val="24"/>
                <w:lang w:val="en-GB"/>
              </w:rPr>
              <w:t>/16</w:t>
            </w:r>
            <w:r w:rsidRPr="002C7B68">
              <w:rPr>
                <w:rFonts w:ascii="Times New Roman" w:hAnsi="Times New Roman"/>
                <w:bCs/>
                <w:sz w:val="24"/>
                <w:szCs w:val="24"/>
                <w:lang w:val="en-GB"/>
              </w:rPr>
              <w:t xml:space="preserve"> (6.3)</w:t>
            </w:r>
          </w:p>
        </w:tc>
      </w:tr>
      <w:tr w:rsidR="00396563" w:rsidRPr="00BC3C5F" w14:paraId="60A4CD46" w14:textId="77777777" w:rsidTr="00923137">
        <w:trPr>
          <w:trHeight w:val="268"/>
        </w:trPr>
        <w:tc>
          <w:tcPr>
            <w:tcW w:w="4896" w:type="dxa"/>
          </w:tcPr>
          <w:p w14:paraId="1EC438D3" w14:textId="77777777" w:rsidR="00396563" w:rsidRPr="002C7B68" w:rsidRDefault="00396563" w:rsidP="00944560">
            <w:pPr>
              <w:autoSpaceDE w:val="0"/>
              <w:autoSpaceDN w:val="0"/>
              <w:adjustRightInd w:val="0"/>
              <w:spacing w:after="0" w:line="240" w:lineRule="auto"/>
              <w:jc w:val="both"/>
              <w:rPr>
                <w:rFonts w:ascii="Times New Roman" w:hAnsi="Times New Roman"/>
                <w:sz w:val="24"/>
                <w:szCs w:val="24"/>
                <w:lang w:val="en-GB"/>
              </w:rPr>
            </w:pPr>
            <w:r w:rsidRPr="002C7B68">
              <w:rPr>
                <w:rFonts w:ascii="Times New Roman" w:hAnsi="Times New Roman"/>
                <w:sz w:val="24"/>
                <w:szCs w:val="24"/>
                <w:lang w:val="en-GB"/>
              </w:rPr>
              <w:t xml:space="preserve">MIC of fosfomycin </w:t>
            </w:r>
          </w:p>
        </w:tc>
        <w:tc>
          <w:tcPr>
            <w:tcW w:w="3806" w:type="dxa"/>
          </w:tcPr>
          <w:p w14:paraId="68C4CACB" w14:textId="77777777" w:rsidR="00396563" w:rsidRPr="002C7B68" w:rsidRDefault="00396563" w:rsidP="00944560">
            <w:pPr>
              <w:autoSpaceDE w:val="0"/>
              <w:autoSpaceDN w:val="0"/>
              <w:adjustRightInd w:val="0"/>
              <w:spacing w:after="0" w:line="240" w:lineRule="auto"/>
              <w:jc w:val="center"/>
              <w:rPr>
                <w:rFonts w:ascii="Times New Roman" w:hAnsi="Times New Roman"/>
                <w:sz w:val="24"/>
                <w:szCs w:val="24"/>
                <w:lang w:val="en-GB"/>
              </w:rPr>
            </w:pPr>
          </w:p>
        </w:tc>
      </w:tr>
      <w:tr w:rsidR="00396563" w:rsidRPr="00BC3C5F" w14:paraId="7FE54785" w14:textId="77777777" w:rsidTr="00923137">
        <w:trPr>
          <w:trHeight w:val="268"/>
        </w:trPr>
        <w:tc>
          <w:tcPr>
            <w:tcW w:w="4896" w:type="dxa"/>
          </w:tcPr>
          <w:p w14:paraId="2D63D61D" w14:textId="77777777" w:rsidR="00396563" w:rsidRPr="002C7B68" w:rsidRDefault="00396563" w:rsidP="00944560">
            <w:pPr>
              <w:autoSpaceDE w:val="0"/>
              <w:autoSpaceDN w:val="0"/>
              <w:adjustRightInd w:val="0"/>
              <w:spacing w:after="0" w:line="240" w:lineRule="auto"/>
              <w:jc w:val="both"/>
              <w:rPr>
                <w:rFonts w:ascii="Times New Roman" w:hAnsi="Times New Roman"/>
                <w:sz w:val="24"/>
                <w:szCs w:val="24"/>
                <w:lang w:val="en-GB"/>
              </w:rPr>
            </w:pPr>
            <w:r w:rsidRPr="002C7B68">
              <w:rPr>
                <w:rFonts w:ascii="Times New Roman" w:hAnsi="Times New Roman"/>
                <w:sz w:val="24"/>
                <w:szCs w:val="24"/>
                <w:lang w:val="en-GB"/>
              </w:rPr>
              <w:tab/>
              <w:t>0.5 mg/L</w:t>
            </w:r>
          </w:p>
        </w:tc>
        <w:tc>
          <w:tcPr>
            <w:tcW w:w="3806" w:type="dxa"/>
          </w:tcPr>
          <w:p w14:paraId="6A19EEA6" w14:textId="77777777" w:rsidR="00396563" w:rsidRPr="002C7B68" w:rsidRDefault="00396563" w:rsidP="00944560">
            <w:pPr>
              <w:autoSpaceDE w:val="0"/>
              <w:autoSpaceDN w:val="0"/>
              <w:adjustRightInd w:val="0"/>
              <w:spacing w:after="0" w:line="240" w:lineRule="auto"/>
              <w:jc w:val="center"/>
              <w:rPr>
                <w:rFonts w:ascii="Times New Roman" w:hAnsi="Times New Roman"/>
                <w:sz w:val="24"/>
                <w:szCs w:val="24"/>
                <w:lang w:val="en-GB"/>
              </w:rPr>
            </w:pPr>
            <w:r w:rsidRPr="002C7B68">
              <w:rPr>
                <w:rFonts w:ascii="Times New Roman" w:hAnsi="Times New Roman"/>
                <w:sz w:val="24"/>
                <w:szCs w:val="24"/>
                <w:lang w:val="en-GB"/>
              </w:rPr>
              <w:t>1</w:t>
            </w:r>
          </w:p>
        </w:tc>
      </w:tr>
      <w:tr w:rsidR="00396563" w:rsidRPr="00BC3C5F" w14:paraId="52CA9354" w14:textId="77777777" w:rsidTr="00923137">
        <w:trPr>
          <w:trHeight w:val="268"/>
        </w:trPr>
        <w:tc>
          <w:tcPr>
            <w:tcW w:w="4896" w:type="dxa"/>
          </w:tcPr>
          <w:p w14:paraId="19F5A4C4" w14:textId="77777777" w:rsidR="00396563" w:rsidRPr="002C7B68" w:rsidRDefault="00396563" w:rsidP="00944560">
            <w:pPr>
              <w:autoSpaceDE w:val="0"/>
              <w:autoSpaceDN w:val="0"/>
              <w:adjustRightInd w:val="0"/>
              <w:spacing w:after="0" w:line="240" w:lineRule="auto"/>
              <w:jc w:val="both"/>
              <w:rPr>
                <w:rFonts w:ascii="Times New Roman" w:hAnsi="Times New Roman"/>
                <w:sz w:val="24"/>
                <w:szCs w:val="24"/>
                <w:lang w:val="en-GB"/>
              </w:rPr>
            </w:pPr>
            <w:r w:rsidRPr="002C7B68">
              <w:rPr>
                <w:rFonts w:ascii="Times New Roman" w:hAnsi="Times New Roman"/>
                <w:sz w:val="24"/>
                <w:szCs w:val="24"/>
                <w:lang w:val="en-GB"/>
              </w:rPr>
              <w:tab/>
              <w:t>1 mg/L</w:t>
            </w:r>
          </w:p>
        </w:tc>
        <w:tc>
          <w:tcPr>
            <w:tcW w:w="3806" w:type="dxa"/>
          </w:tcPr>
          <w:p w14:paraId="7FBEB8F5" w14:textId="77777777" w:rsidR="00396563" w:rsidRPr="002C7B68" w:rsidRDefault="00396563" w:rsidP="00944560">
            <w:pPr>
              <w:autoSpaceDE w:val="0"/>
              <w:autoSpaceDN w:val="0"/>
              <w:adjustRightInd w:val="0"/>
              <w:spacing w:after="0" w:line="240" w:lineRule="auto"/>
              <w:jc w:val="center"/>
              <w:rPr>
                <w:rFonts w:ascii="Times New Roman" w:hAnsi="Times New Roman"/>
                <w:sz w:val="24"/>
                <w:szCs w:val="24"/>
                <w:lang w:val="en-GB"/>
              </w:rPr>
            </w:pPr>
            <w:r w:rsidRPr="002C7B68">
              <w:rPr>
                <w:rFonts w:ascii="Times New Roman" w:hAnsi="Times New Roman"/>
                <w:sz w:val="24"/>
                <w:szCs w:val="24"/>
                <w:lang w:val="en-GB"/>
              </w:rPr>
              <w:t>8</w:t>
            </w:r>
          </w:p>
        </w:tc>
      </w:tr>
      <w:tr w:rsidR="00396563" w:rsidRPr="00BC3C5F" w14:paraId="4AA47E92" w14:textId="77777777" w:rsidTr="00923137">
        <w:trPr>
          <w:trHeight w:val="259"/>
        </w:trPr>
        <w:tc>
          <w:tcPr>
            <w:tcW w:w="4896" w:type="dxa"/>
          </w:tcPr>
          <w:p w14:paraId="4082CEF7" w14:textId="77777777" w:rsidR="00396563" w:rsidRPr="002C7B68" w:rsidRDefault="00396563" w:rsidP="00944560">
            <w:pPr>
              <w:autoSpaceDE w:val="0"/>
              <w:autoSpaceDN w:val="0"/>
              <w:adjustRightInd w:val="0"/>
              <w:spacing w:after="0" w:line="240" w:lineRule="auto"/>
              <w:jc w:val="both"/>
              <w:rPr>
                <w:rFonts w:ascii="Times New Roman" w:hAnsi="Times New Roman"/>
                <w:sz w:val="24"/>
                <w:szCs w:val="24"/>
                <w:lang w:val="en-GB"/>
              </w:rPr>
            </w:pPr>
            <w:r w:rsidRPr="002C7B68">
              <w:rPr>
                <w:rFonts w:ascii="Times New Roman" w:hAnsi="Times New Roman"/>
                <w:sz w:val="24"/>
                <w:szCs w:val="24"/>
                <w:lang w:val="en-GB"/>
              </w:rPr>
              <w:tab/>
              <w:t>2 mg/L</w:t>
            </w:r>
          </w:p>
        </w:tc>
        <w:tc>
          <w:tcPr>
            <w:tcW w:w="3806" w:type="dxa"/>
          </w:tcPr>
          <w:p w14:paraId="754A9E36" w14:textId="77777777" w:rsidR="00396563" w:rsidRPr="002C7B68" w:rsidRDefault="00396563" w:rsidP="00944560">
            <w:pPr>
              <w:autoSpaceDE w:val="0"/>
              <w:autoSpaceDN w:val="0"/>
              <w:adjustRightInd w:val="0"/>
              <w:spacing w:after="0" w:line="240" w:lineRule="auto"/>
              <w:jc w:val="center"/>
              <w:rPr>
                <w:rFonts w:ascii="Times New Roman" w:hAnsi="Times New Roman"/>
                <w:sz w:val="24"/>
                <w:szCs w:val="24"/>
                <w:lang w:val="en-GB"/>
              </w:rPr>
            </w:pPr>
            <w:r w:rsidRPr="002C7B68">
              <w:rPr>
                <w:rFonts w:ascii="Times New Roman" w:hAnsi="Times New Roman"/>
                <w:sz w:val="24"/>
                <w:szCs w:val="24"/>
                <w:lang w:val="en-GB"/>
              </w:rPr>
              <w:t>2</w:t>
            </w:r>
          </w:p>
        </w:tc>
      </w:tr>
      <w:tr w:rsidR="00396563" w:rsidRPr="00BC3C5F" w14:paraId="69074C9E" w14:textId="77777777" w:rsidTr="00923137">
        <w:trPr>
          <w:trHeight w:val="268"/>
        </w:trPr>
        <w:tc>
          <w:tcPr>
            <w:tcW w:w="4896" w:type="dxa"/>
          </w:tcPr>
          <w:p w14:paraId="239871BF" w14:textId="77777777" w:rsidR="00396563" w:rsidRPr="002C7B68" w:rsidRDefault="00396563" w:rsidP="00944560">
            <w:pPr>
              <w:autoSpaceDE w:val="0"/>
              <w:autoSpaceDN w:val="0"/>
              <w:adjustRightInd w:val="0"/>
              <w:spacing w:after="0" w:line="240" w:lineRule="auto"/>
              <w:jc w:val="both"/>
              <w:rPr>
                <w:rFonts w:ascii="Times New Roman" w:hAnsi="Times New Roman"/>
                <w:sz w:val="24"/>
                <w:szCs w:val="24"/>
                <w:lang w:val="en-GB"/>
              </w:rPr>
            </w:pPr>
            <w:r w:rsidRPr="002C7B68">
              <w:rPr>
                <w:rFonts w:ascii="Times New Roman" w:hAnsi="Times New Roman"/>
                <w:sz w:val="24"/>
                <w:szCs w:val="24"/>
                <w:lang w:val="en-GB"/>
              </w:rPr>
              <w:tab/>
              <w:t>4 mg/L</w:t>
            </w:r>
          </w:p>
        </w:tc>
        <w:tc>
          <w:tcPr>
            <w:tcW w:w="3806" w:type="dxa"/>
          </w:tcPr>
          <w:p w14:paraId="2A506389" w14:textId="77777777" w:rsidR="00396563" w:rsidRPr="002C7B68" w:rsidRDefault="00396563" w:rsidP="00944560">
            <w:pPr>
              <w:autoSpaceDE w:val="0"/>
              <w:autoSpaceDN w:val="0"/>
              <w:adjustRightInd w:val="0"/>
              <w:spacing w:after="0" w:line="240" w:lineRule="auto"/>
              <w:jc w:val="center"/>
              <w:rPr>
                <w:rFonts w:ascii="Times New Roman" w:hAnsi="Times New Roman"/>
                <w:sz w:val="24"/>
                <w:szCs w:val="24"/>
                <w:lang w:val="en-GB"/>
              </w:rPr>
            </w:pPr>
            <w:r w:rsidRPr="002C7B68">
              <w:rPr>
                <w:rFonts w:ascii="Times New Roman" w:hAnsi="Times New Roman"/>
                <w:sz w:val="24"/>
                <w:szCs w:val="24"/>
                <w:lang w:val="en-GB"/>
              </w:rPr>
              <w:t>1</w:t>
            </w:r>
          </w:p>
        </w:tc>
      </w:tr>
      <w:tr w:rsidR="00396563" w:rsidRPr="00BC3C5F" w14:paraId="696DB634" w14:textId="77777777" w:rsidTr="00923137">
        <w:trPr>
          <w:trHeight w:val="268"/>
        </w:trPr>
        <w:tc>
          <w:tcPr>
            <w:tcW w:w="4896" w:type="dxa"/>
          </w:tcPr>
          <w:p w14:paraId="58133F09" w14:textId="77777777" w:rsidR="00396563" w:rsidRPr="002C7B68" w:rsidRDefault="00396563" w:rsidP="00944560">
            <w:pPr>
              <w:autoSpaceDE w:val="0"/>
              <w:autoSpaceDN w:val="0"/>
              <w:adjustRightInd w:val="0"/>
              <w:spacing w:after="0" w:line="240" w:lineRule="auto"/>
              <w:jc w:val="both"/>
              <w:rPr>
                <w:rFonts w:ascii="Times New Roman" w:hAnsi="Times New Roman"/>
                <w:sz w:val="24"/>
                <w:szCs w:val="24"/>
                <w:lang w:val="en-GB"/>
              </w:rPr>
            </w:pPr>
            <w:r w:rsidRPr="002C7B68">
              <w:rPr>
                <w:rFonts w:ascii="Times New Roman" w:hAnsi="Times New Roman"/>
                <w:sz w:val="24"/>
                <w:szCs w:val="24"/>
                <w:lang w:val="en-GB"/>
              </w:rPr>
              <w:tab/>
              <w:t>8 mg/L</w:t>
            </w:r>
          </w:p>
        </w:tc>
        <w:tc>
          <w:tcPr>
            <w:tcW w:w="3806" w:type="dxa"/>
          </w:tcPr>
          <w:p w14:paraId="75661CD9" w14:textId="77777777" w:rsidR="00396563" w:rsidRPr="002C7B68" w:rsidRDefault="00396563" w:rsidP="00944560">
            <w:pPr>
              <w:autoSpaceDE w:val="0"/>
              <w:autoSpaceDN w:val="0"/>
              <w:adjustRightInd w:val="0"/>
              <w:spacing w:after="0" w:line="240" w:lineRule="auto"/>
              <w:jc w:val="center"/>
              <w:rPr>
                <w:rFonts w:ascii="Times New Roman" w:hAnsi="Times New Roman"/>
                <w:sz w:val="24"/>
                <w:szCs w:val="24"/>
                <w:lang w:val="en-GB"/>
              </w:rPr>
            </w:pPr>
            <w:r w:rsidRPr="002C7B68">
              <w:rPr>
                <w:rFonts w:ascii="Times New Roman" w:hAnsi="Times New Roman"/>
                <w:sz w:val="24"/>
                <w:szCs w:val="24"/>
                <w:lang w:val="en-GB"/>
              </w:rPr>
              <w:t>2</w:t>
            </w:r>
          </w:p>
        </w:tc>
      </w:tr>
      <w:tr w:rsidR="00396563" w:rsidRPr="00BC3C5F" w14:paraId="519D56C4" w14:textId="77777777" w:rsidTr="00923137">
        <w:trPr>
          <w:trHeight w:val="268"/>
        </w:trPr>
        <w:tc>
          <w:tcPr>
            <w:tcW w:w="4896" w:type="dxa"/>
          </w:tcPr>
          <w:p w14:paraId="30F3CF05" w14:textId="77777777" w:rsidR="00396563" w:rsidRPr="002C7B68" w:rsidRDefault="00396563" w:rsidP="00944560">
            <w:pPr>
              <w:autoSpaceDE w:val="0"/>
              <w:autoSpaceDN w:val="0"/>
              <w:adjustRightInd w:val="0"/>
              <w:spacing w:after="0" w:line="240" w:lineRule="auto"/>
              <w:jc w:val="both"/>
              <w:rPr>
                <w:rFonts w:ascii="Times New Roman" w:hAnsi="Times New Roman"/>
                <w:sz w:val="24"/>
                <w:szCs w:val="24"/>
                <w:lang w:val="en-GB"/>
              </w:rPr>
            </w:pPr>
            <w:r w:rsidRPr="002C7B68">
              <w:rPr>
                <w:rFonts w:ascii="Times New Roman" w:hAnsi="Times New Roman"/>
                <w:sz w:val="24"/>
                <w:szCs w:val="24"/>
                <w:lang w:val="en-GB"/>
              </w:rPr>
              <w:tab/>
              <w:t>16 mg/L</w:t>
            </w:r>
          </w:p>
        </w:tc>
        <w:tc>
          <w:tcPr>
            <w:tcW w:w="3806" w:type="dxa"/>
          </w:tcPr>
          <w:p w14:paraId="1459BC66" w14:textId="77777777" w:rsidR="00396563" w:rsidRPr="002C7B68" w:rsidRDefault="00396563" w:rsidP="00944560">
            <w:pPr>
              <w:autoSpaceDE w:val="0"/>
              <w:autoSpaceDN w:val="0"/>
              <w:adjustRightInd w:val="0"/>
              <w:spacing w:after="0" w:line="240" w:lineRule="auto"/>
              <w:jc w:val="center"/>
              <w:rPr>
                <w:rFonts w:ascii="Times New Roman" w:hAnsi="Times New Roman"/>
                <w:sz w:val="24"/>
                <w:szCs w:val="24"/>
                <w:lang w:val="en-GB"/>
              </w:rPr>
            </w:pPr>
            <w:r w:rsidRPr="002C7B68">
              <w:rPr>
                <w:rFonts w:ascii="Times New Roman" w:hAnsi="Times New Roman"/>
                <w:sz w:val="24"/>
                <w:szCs w:val="24"/>
                <w:lang w:val="en-GB"/>
              </w:rPr>
              <w:t>2</w:t>
            </w:r>
          </w:p>
        </w:tc>
      </w:tr>
      <w:tr w:rsidR="00396563" w:rsidRPr="00BC3C5F" w14:paraId="69A56CC8" w14:textId="77777777" w:rsidTr="00923137">
        <w:trPr>
          <w:trHeight w:val="268"/>
        </w:trPr>
        <w:tc>
          <w:tcPr>
            <w:tcW w:w="4896" w:type="dxa"/>
          </w:tcPr>
          <w:p w14:paraId="1C168282" w14:textId="77777777" w:rsidR="00396563" w:rsidRPr="002C7B68" w:rsidRDefault="00396563" w:rsidP="00944560">
            <w:pPr>
              <w:autoSpaceDE w:val="0"/>
              <w:autoSpaceDN w:val="0"/>
              <w:adjustRightInd w:val="0"/>
              <w:spacing w:after="0" w:line="240" w:lineRule="auto"/>
              <w:jc w:val="both"/>
              <w:rPr>
                <w:rFonts w:ascii="Times New Roman" w:hAnsi="Times New Roman"/>
                <w:sz w:val="24"/>
                <w:szCs w:val="24"/>
                <w:lang w:val="en-GB"/>
              </w:rPr>
            </w:pPr>
            <w:r w:rsidRPr="002C7B68">
              <w:rPr>
                <w:rFonts w:ascii="Times New Roman" w:hAnsi="Times New Roman"/>
                <w:sz w:val="24"/>
                <w:szCs w:val="24"/>
                <w:lang w:val="en-GB"/>
              </w:rPr>
              <w:t>Outcome</w:t>
            </w:r>
          </w:p>
        </w:tc>
        <w:tc>
          <w:tcPr>
            <w:tcW w:w="3806" w:type="dxa"/>
          </w:tcPr>
          <w:p w14:paraId="26997EE2" w14:textId="77777777" w:rsidR="00396563" w:rsidRPr="002C7B68" w:rsidRDefault="00396563" w:rsidP="00944560">
            <w:pPr>
              <w:autoSpaceDE w:val="0"/>
              <w:autoSpaceDN w:val="0"/>
              <w:adjustRightInd w:val="0"/>
              <w:spacing w:after="0" w:line="240" w:lineRule="auto"/>
              <w:jc w:val="center"/>
              <w:rPr>
                <w:rFonts w:ascii="Times New Roman" w:hAnsi="Times New Roman"/>
                <w:sz w:val="24"/>
                <w:szCs w:val="24"/>
                <w:lang w:val="en-GB"/>
              </w:rPr>
            </w:pPr>
          </w:p>
        </w:tc>
      </w:tr>
      <w:tr w:rsidR="00396563" w:rsidRPr="00BC3C5F" w14:paraId="572C3ADF" w14:textId="77777777" w:rsidTr="00923137">
        <w:trPr>
          <w:trHeight w:val="259"/>
        </w:trPr>
        <w:tc>
          <w:tcPr>
            <w:tcW w:w="4896" w:type="dxa"/>
          </w:tcPr>
          <w:p w14:paraId="0A4B15D8" w14:textId="7BB3F12A" w:rsidR="00396563" w:rsidRPr="002C7B68" w:rsidRDefault="00396563" w:rsidP="00944560">
            <w:pPr>
              <w:autoSpaceDE w:val="0"/>
              <w:autoSpaceDN w:val="0"/>
              <w:adjustRightInd w:val="0"/>
              <w:spacing w:after="0" w:line="240" w:lineRule="auto"/>
              <w:jc w:val="both"/>
              <w:rPr>
                <w:rFonts w:ascii="Times New Roman" w:hAnsi="Times New Roman"/>
                <w:sz w:val="24"/>
                <w:szCs w:val="24"/>
                <w:lang w:val="en-GB"/>
              </w:rPr>
            </w:pPr>
            <w:r w:rsidRPr="002C7B68">
              <w:rPr>
                <w:rFonts w:ascii="Times New Roman" w:hAnsi="Times New Roman"/>
                <w:sz w:val="24"/>
                <w:szCs w:val="24"/>
                <w:lang w:val="en-GB"/>
              </w:rPr>
              <w:tab/>
            </w:r>
            <w:r w:rsidR="009D75B1" w:rsidRPr="002C7B68">
              <w:rPr>
                <w:rFonts w:ascii="Times New Roman" w:hAnsi="Times New Roman"/>
                <w:lang w:val="en-GB"/>
              </w:rPr>
              <w:t xml:space="preserve"> E</w:t>
            </w:r>
            <w:r w:rsidR="009D75B1" w:rsidRPr="002C7B68">
              <w:rPr>
                <w:rFonts w:ascii="Times New Roman" w:hAnsi="Times New Roman"/>
                <w:sz w:val="24"/>
                <w:szCs w:val="24"/>
                <w:lang w:val="en-GB"/>
              </w:rPr>
              <w:t>arly clinical response (day 5)</w:t>
            </w:r>
          </w:p>
        </w:tc>
        <w:tc>
          <w:tcPr>
            <w:tcW w:w="3806" w:type="dxa"/>
          </w:tcPr>
          <w:p w14:paraId="7D91A322" w14:textId="35C608AF" w:rsidR="00396563" w:rsidRPr="002C7B68" w:rsidRDefault="009D75B1" w:rsidP="00944560">
            <w:pPr>
              <w:autoSpaceDE w:val="0"/>
              <w:autoSpaceDN w:val="0"/>
              <w:adjustRightInd w:val="0"/>
              <w:spacing w:after="0" w:line="240" w:lineRule="auto"/>
              <w:jc w:val="center"/>
              <w:rPr>
                <w:rFonts w:ascii="Times New Roman" w:hAnsi="Times New Roman"/>
                <w:sz w:val="24"/>
                <w:szCs w:val="24"/>
                <w:lang w:val="en-GB"/>
              </w:rPr>
            </w:pPr>
            <w:r w:rsidRPr="002C7B68">
              <w:rPr>
                <w:rFonts w:ascii="Times New Roman" w:hAnsi="Times New Roman"/>
                <w:sz w:val="24"/>
                <w:szCs w:val="24"/>
                <w:lang w:val="en-GB"/>
              </w:rPr>
              <w:t>1</w:t>
            </w:r>
            <w:r w:rsidR="006461AC" w:rsidRPr="002C7B68">
              <w:rPr>
                <w:rFonts w:ascii="Times New Roman" w:hAnsi="Times New Roman"/>
                <w:sz w:val="24"/>
                <w:szCs w:val="24"/>
                <w:lang w:val="en-GB"/>
              </w:rPr>
              <w:t>3</w:t>
            </w:r>
            <w:r w:rsidRPr="002C7B68">
              <w:rPr>
                <w:rFonts w:ascii="Times New Roman" w:hAnsi="Times New Roman"/>
                <w:sz w:val="24"/>
                <w:szCs w:val="24"/>
                <w:lang w:val="en-GB"/>
              </w:rPr>
              <w:t>/1</w:t>
            </w:r>
            <w:r w:rsidR="006461AC" w:rsidRPr="002C7B68">
              <w:rPr>
                <w:rFonts w:ascii="Times New Roman" w:hAnsi="Times New Roman"/>
                <w:sz w:val="24"/>
                <w:szCs w:val="24"/>
                <w:lang w:val="en-GB"/>
              </w:rPr>
              <w:t>4</w:t>
            </w:r>
            <w:r w:rsidRPr="002C7B68">
              <w:rPr>
                <w:rFonts w:ascii="Times New Roman" w:hAnsi="Times New Roman"/>
                <w:sz w:val="24"/>
                <w:szCs w:val="24"/>
                <w:lang w:val="en-GB"/>
              </w:rPr>
              <w:t xml:space="preserve"> </w:t>
            </w:r>
            <w:r w:rsidR="00396563" w:rsidRPr="002C7B68">
              <w:rPr>
                <w:rFonts w:ascii="Times New Roman" w:hAnsi="Times New Roman"/>
                <w:sz w:val="24"/>
                <w:szCs w:val="24"/>
                <w:lang w:val="en-GB"/>
              </w:rPr>
              <w:t>(</w:t>
            </w:r>
            <w:r w:rsidR="006461AC" w:rsidRPr="002C7B68">
              <w:rPr>
                <w:rFonts w:ascii="Times New Roman" w:hAnsi="Times New Roman"/>
                <w:sz w:val="24"/>
                <w:szCs w:val="24"/>
                <w:lang w:val="en-GB"/>
              </w:rPr>
              <w:t>92.86</w:t>
            </w:r>
            <w:r w:rsidR="00396563" w:rsidRPr="002C7B68">
              <w:rPr>
                <w:rFonts w:ascii="Times New Roman" w:hAnsi="Times New Roman"/>
                <w:sz w:val="24"/>
                <w:szCs w:val="24"/>
                <w:lang w:val="en-GB"/>
              </w:rPr>
              <w:t>)</w:t>
            </w:r>
          </w:p>
        </w:tc>
      </w:tr>
      <w:tr w:rsidR="003D7FF9" w:rsidRPr="00BC3C5F" w14:paraId="423BAB4D" w14:textId="77777777" w:rsidTr="00923137">
        <w:trPr>
          <w:trHeight w:val="268"/>
        </w:trPr>
        <w:tc>
          <w:tcPr>
            <w:tcW w:w="4896" w:type="dxa"/>
          </w:tcPr>
          <w:p w14:paraId="56DB7007" w14:textId="6E9253E5" w:rsidR="003D7FF9" w:rsidRPr="002C7B68" w:rsidRDefault="003D7FF9" w:rsidP="003D7FF9">
            <w:pPr>
              <w:autoSpaceDE w:val="0"/>
              <w:autoSpaceDN w:val="0"/>
              <w:adjustRightInd w:val="0"/>
              <w:spacing w:after="0" w:line="240" w:lineRule="auto"/>
              <w:jc w:val="both"/>
              <w:rPr>
                <w:rFonts w:ascii="Times New Roman" w:hAnsi="Times New Roman"/>
                <w:sz w:val="24"/>
                <w:szCs w:val="24"/>
                <w:lang w:val="en-GB"/>
              </w:rPr>
            </w:pPr>
            <w:r w:rsidRPr="002C7B68">
              <w:rPr>
                <w:rFonts w:ascii="Times New Roman" w:hAnsi="Times New Roman"/>
                <w:lang w:val="en-GB"/>
              </w:rPr>
              <w:tab/>
              <w:t>E</w:t>
            </w:r>
            <w:r w:rsidRPr="002C7B68">
              <w:rPr>
                <w:rFonts w:ascii="Times New Roman" w:hAnsi="Times New Roman"/>
                <w:sz w:val="24"/>
                <w:szCs w:val="24"/>
                <w:lang w:val="en-GB"/>
              </w:rPr>
              <w:t>arly microbiological response (day 5)</w:t>
            </w:r>
          </w:p>
        </w:tc>
        <w:tc>
          <w:tcPr>
            <w:tcW w:w="3806" w:type="dxa"/>
          </w:tcPr>
          <w:p w14:paraId="3B658F6A" w14:textId="766789B3" w:rsidR="003D7FF9" w:rsidRPr="002C7B68" w:rsidRDefault="003D7FF9" w:rsidP="003D7FF9">
            <w:pPr>
              <w:autoSpaceDE w:val="0"/>
              <w:autoSpaceDN w:val="0"/>
              <w:adjustRightInd w:val="0"/>
              <w:spacing w:after="0" w:line="240" w:lineRule="auto"/>
              <w:jc w:val="center"/>
              <w:rPr>
                <w:rFonts w:ascii="Times New Roman" w:hAnsi="Times New Roman"/>
                <w:sz w:val="24"/>
                <w:szCs w:val="24"/>
                <w:lang w:val="en-GB"/>
              </w:rPr>
            </w:pPr>
            <w:r w:rsidRPr="002C7B68">
              <w:rPr>
                <w:rFonts w:ascii="Times New Roman" w:hAnsi="Times New Roman"/>
                <w:sz w:val="24"/>
                <w:szCs w:val="24"/>
                <w:lang w:val="en-GB"/>
              </w:rPr>
              <w:t>13/14 (92.86)</w:t>
            </w:r>
          </w:p>
        </w:tc>
      </w:tr>
      <w:tr w:rsidR="003D7FF9" w:rsidRPr="00BC3C5F" w14:paraId="42974564" w14:textId="77777777" w:rsidTr="00923137">
        <w:trPr>
          <w:trHeight w:val="268"/>
        </w:trPr>
        <w:tc>
          <w:tcPr>
            <w:tcW w:w="4896" w:type="dxa"/>
          </w:tcPr>
          <w:p w14:paraId="062781FE" w14:textId="42590788" w:rsidR="003D7FF9" w:rsidRPr="002C7B68" w:rsidRDefault="003D7FF9" w:rsidP="003D7FF9">
            <w:pPr>
              <w:autoSpaceDE w:val="0"/>
              <w:autoSpaceDN w:val="0"/>
              <w:adjustRightInd w:val="0"/>
              <w:spacing w:after="0" w:line="240" w:lineRule="auto"/>
              <w:jc w:val="both"/>
              <w:rPr>
                <w:lang w:val="en-GB"/>
              </w:rPr>
            </w:pPr>
            <w:r w:rsidRPr="002C7B68">
              <w:rPr>
                <w:rFonts w:ascii="Times New Roman" w:hAnsi="Times New Roman"/>
                <w:sz w:val="24"/>
                <w:szCs w:val="24"/>
                <w:lang w:val="en-GB"/>
              </w:rPr>
              <w:tab/>
              <w:t>Microbiological cure</w:t>
            </w:r>
          </w:p>
        </w:tc>
        <w:tc>
          <w:tcPr>
            <w:tcW w:w="3806" w:type="dxa"/>
          </w:tcPr>
          <w:p w14:paraId="34B298A8" w14:textId="2D26DBE8" w:rsidR="003D7FF9" w:rsidRPr="002C7B68" w:rsidRDefault="003D7FF9" w:rsidP="003D7FF9">
            <w:pPr>
              <w:autoSpaceDE w:val="0"/>
              <w:autoSpaceDN w:val="0"/>
              <w:adjustRightInd w:val="0"/>
              <w:spacing w:after="0" w:line="240" w:lineRule="auto"/>
              <w:jc w:val="center"/>
              <w:rPr>
                <w:rFonts w:ascii="Times New Roman" w:hAnsi="Times New Roman"/>
                <w:sz w:val="24"/>
                <w:szCs w:val="24"/>
                <w:lang w:val="en-GB"/>
              </w:rPr>
            </w:pPr>
            <w:r w:rsidRPr="002C7B68">
              <w:rPr>
                <w:rFonts w:ascii="Times New Roman" w:hAnsi="Times New Roman"/>
                <w:sz w:val="24"/>
                <w:szCs w:val="24"/>
                <w:lang w:val="en-GB"/>
              </w:rPr>
              <w:t>13/14 (92.86)</w:t>
            </w:r>
          </w:p>
        </w:tc>
      </w:tr>
    </w:tbl>
    <w:p w14:paraId="404DD76F" w14:textId="77777777" w:rsidR="00396563" w:rsidRPr="002C7B68" w:rsidRDefault="00396563" w:rsidP="00396563">
      <w:pPr>
        <w:tabs>
          <w:tab w:val="left" w:pos="2406"/>
        </w:tabs>
        <w:jc w:val="both"/>
        <w:rPr>
          <w:rFonts w:ascii="Times New Roman" w:hAnsi="Times New Roman"/>
          <w:sz w:val="24"/>
          <w:szCs w:val="24"/>
          <w:lang w:val="en-GB"/>
        </w:rPr>
      </w:pPr>
    </w:p>
    <w:p w14:paraId="5BFAA44C" w14:textId="3B1956D9" w:rsidR="00396563" w:rsidRPr="002C7B68" w:rsidRDefault="00396563" w:rsidP="00396563">
      <w:pPr>
        <w:spacing w:after="0" w:line="240" w:lineRule="auto"/>
        <w:jc w:val="both"/>
        <w:rPr>
          <w:rFonts w:ascii="Times New Roman" w:hAnsi="Times New Roman"/>
          <w:sz w:val="24"/>
          <w:szCs w:val="24"/>
          <w:lang w:val="en-GB"/>
        </w:rPr>
      </w:pPr>
      <w:r w:rsidRPr="002C7B68">
        <w:rPr>
          <w:rFonts w:ascii="Times New Roman" w:hAnsi="Times New Roman"/>
          <w:sz w:val="24"/>
          <w:szCs w:val="24"/>
          <w:lang w:val="en-GB"/>
        </w:rPr>
        <w:br w:type="page"/>
      </w:r>
      <w:r w:rsidRPr="002C7B68">
        <w:rPr>
          <w:rFonts w:ascii="Times New Roman" w:hAnsi="Times New Roman"/>
          <w:b/>
          <w:color w:val="333333"/>
          <w:sz w:val="24"/>
          <w:szCs w:val="24"/>
          <w:lang w:val="en-GB"/>
        </w:rPr>
        <w:lastRenderedPageBreak/>
        <w:t>Table 2.</w:t>
      </w:r>
      <w:r w:rsidRPr="002C7B68">
        <w:rPr>
          <w:rFonts w:ascii="Times New Roman" w:hAnsi="Times New Roman"/>
          <w:color w:val="333333"/>
          <w:sz w:val="24"/>
          <w:szCs w:val="24"/>
          <w:lang w:val="en-GB"/>
        </w:rPr>
        <w:t xml:space="preserve"> Final population pharmacokinetic parameter estimates for 16</w:t>
      </w:r>
      <w:r w:rsidRPr="002C7B68">
        <w:rPr>
          <w:rFonts w:ascii="Times New Roman" w:hAnsi="Times New Roman"/>
          <w:sz w:val="24"/>
          <w:szCs w:val="24"/>
          <w:lang w:val="en-GB"/>
        </w:rPr>
        <w:t xml:space="preserve"> patients with bacteremic urinary tract infection caused by multidrug-resistant </w:t>
      </w:r>
      <w:r w:rsidRPr="002C7B68">
        <w:rPr>
          <w:rFonts w:ascii="Times New Roman" w:hAnsi="Times New Roman"/>
          <w:i/>
          <w:sz w:val="24"/>
          <w:szCs w:val="24"/>
          <w:lang w:val="en-GB"/>
        </w:rPr>
        <w:t>Escherichia coli</w:t>
      </w:r>
      <w:r w:rsidRPr="002C7B68">
        <w:rPr>
          <w:rFonts w:ascii="Times New Roman" w:hAnsi="Times New Roman"/>
          <w:sz w:val="24"/>
          <w:szCs w:val="24"/>
          <w:lang w:val="en-GB"/>
        </w:rPr>
        <w:t xml:space="preserve"> treated with fosfomycin.</w:t>
      </w:r>
    </w:p>
    <w:p w14:paraId="5625964D" w14:textId="01D07C9D" w:rsidR="00CE6EFD" w:rsidRPr="002C7B68" w:rsidRDefault="00CE6EFD" w:rsidP="00396563">
      <w:pPr>
        <w:spacing w:after="0" w:line="240" w:lineRule="auto"/>
        <w:jc w:val="both"/>
        <w:rPr>
          <w:rFonts w:ascii="Times New Roman" w:hAnsi="Times New Roman"/>
          <w:color w:val="333333"/>
          <w:sz w:val="24"/>
          <w:szCs w:val="24"/>
          <w:lang w:val="en-GB"/>
        </w:rPr>
      </w:pPr>
    </w:p>
    <w:p w14:paraId="36493B59" w14:textId="77777777" w:rsidR="00445669" w:rsidRPr="002C7B68" w:rsidRDefault="00445669" w:rsidP="00396563">
      <w:pPr>
        <w:spacing w:after="0" w:line="240" w:lineRule="auto"/>
        <w:jc w:val="both"/>
        <w:rPr>
          <w:rFonts w:ascii="Times New Roman" w:hAnsi="Times New Roman"/>
          <w:color w:val="333333"/>
          <w:sz w:val="24"/>
          <w:szCs w:val="24"/>
          <w:lang w:val="en-GB"/>
        </w:rPr>
      </w:pPr>
    </w:p>
    <w:tbl>
      <w:tblPr>
        <w:tblStyle w:val="TableGrid"/>
        <w:tblW w:w="8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1213"/>
        <w:gridCol w:w="938"/>
        <w:gridCol w:w="996"/>
        <w:gridCol w:w="1219"/>
        <w:gridCol w:w="10"/>
      </w:tblGrid>
      <w:tr w:rsidR="00533313" w:rsidRPr="00BC3C5F" w14:paraId="642A8C53" w14:textId="77777777" w:rsidTr="00533313">
        <w:trPr>
          <w:gridAfter w:val="1"/>
          <w:wAfter w:w="11" w:type="dxa"/>
          <w:trHeight w:val="464"/>
        </w:trPr>
        <w:tc>
          <w:tcPr>
            <w:tcW w:w="4980" w:type="dxa"/>
            <w:tcBorders>
              <w:top w:val="single" w:sz="4" w:space="0" w:color="auto"/>
              <w:bottom w:val="single" w:sz="4" w:space="0" w:color="auto"/>
            </w:tcBorders>
            <w:vAlign w:val="center"/>
          </w:tcPr>
          <w:p w14:paraId="7C8C548B" w14:textId="070F2BD1" w:rsidR="00533313" w:rsidRPr="002C7B68" w:rsidRDefault="00533313" w:rsidP="00CE6EFD">
            <w:pPr>
              <w:spacing w:after="0" w:line="240" w:lineRule="auto"/>
              <w:jc w:val="both"/>
              <w:rPr>
                <w:rFonts w:ascii="Times New Roman" w:hAnsi="Times New Roman"/>
                <w:color w:val="333333"/>
                <w:sz w:val="24"/>
                <w:szCs w:val="24"/>
                <w:lang w:val="en-GB"/>
              </w:rPr>
            </w:pPr>
            <w:r w:rsidRPr="002C7B68">
              <w:rPr>
                <w:rFonts w:ascii="Times New Roman" w:hAnsi="Times New Roman"/>
                <w:b/>
                <w:sz w:val="24"/>
                <w:szCs w:val="24"/>
                <w:lang w:val="en-GB"/>
              </w:rPr>
              <w:t>Parameter</w:t>
            </w:r>
          </w:p>
        </w:tc>
        <w:tc>
          <w:tcPr>
            <w:tcW w:w="1281" w:type="dxa"/>
            <w:tcBorders>
              <w:top w:val="single" w:sz="4" w:space="0" w:color="auto"/>
              <w:bottom w:val="single" w:sz="4" w:space="0" w:color="auto"/>
            </w:tcBorders>
            <w:vAlign w:val="center"/>
          </w:tcPr>
          <w:p w14:paraId="2E94436C" w14:textId="6C109DF5" w:rsidR="00533313" w:rsidRPr="002C7B68" w:rsidRDefault="00533313" w:rsidP="00CE6EFD">
            <w:pPr>
              <w:spacing w:after="0" w:line="240" w:lineRule="auto"/>
              <w:jc w:val="center"/>
              <w:rPr>
                <w:rFonts w:ascii="Times New Roman" w:hAnsi="Times New Roman"/>
                <w:color w:val="333333"/>
                <w:sz w:val="24"/>
                <w:szCs w:val="24"/>
                <w:lang w:val="en-GB"/>
              </w:rPr>
            </w:pPr>
            <w:r w:rsidRPr="002C7B68">
              <w:rPr>
                <w:rFonts w:ascii="Times New Roman" w:hAnsi="Times New Roman"/>
                <w:b/>
                <w:bCs/>
                <w:sz w:val="24"/>
                <w:szCs w:val="24"/>
                <w:lang w:val="en-GB"/>
              </w:rPr>
              <w:t>Mean</w:t>
            </w:r>
          </w:p>
        </w:tc>
        <w:tc>
          <w:tcPr>
            <w:tcW w:w="951" w:type="dxa"/>
            <w:tcBorders>
              <w:top w:val="single" w:sz="4" w:space="0" w:color="auto"/>
              <w:bottom w:val="single" w:sz="4" w:space="0" w:color="auto"/>
              <w:right w:val="single" w:sz="4" w:space="0" w:color="000000"/>
            </w:tcBorders>
            <w:vAlign w:val="center"/>
          </w:tcPr>
          <w:p w14:paraId="08EB4182" w14:textId="5488A036" w:rsidR="00533313" w:rsidRPr="002C7B68" w:rsidRDefault="00533313" w:rsidP="00CE6EFD">
            <w:pPr>
              <w:spacing w:after="0" w:line="240" w:lineRule="auto"/>
              <w:jc w:val="center"/>
              <w:rPr>
                <w:rFonts w:ascii="Times New Roman" w:hAnsi="Times New Roman"/>
                <w:b/>
                <w:color w:val="333333"/>
                <w:sz w:val="24"/>
                <w:szCs w:val="24"/>
                <w:lang w:val="en-GB"/>
              </w:rPr>
            </w:pPr>
            <w:r w:rsidRPr="002C7B68">
              <w:rPr>
                <w:rFonts w:ascii="Times New Roman" w:hAnsi="Times New Roman"/>
                <w:b/>
                <w:bCs/>
                <w:sz w:val="24"/>
                <w:szCs w:val="24"/>
                <w:lang w:val="en-GB"/>
              </w:rPr>
              <w:t>SD</w:t>
            </w:r>
          </w:p>
        </w:tc>
        <w:tc>
          <w:tcPr>
            <w:tcW w:w="333" w:type="dxa"/>
            <w:tcBorders>
              <w:top w:val="single" w:sz="4" w:space="0" w:color="auto"/>
              <w:bottom w:val="single" w:sz="4" w:space="0" w:color="auto"/>
              <w:right w:val="single" w:sz="4" w:space="0" w:color="000000"/>
            </w:tcBorders>
            <w:vAlign w:val="center"/>
          </w:tcPr>
          <w:p w14:paraId="7C160D2A" w14:textId="323D6E4D" w:rsidR="00533313" w:rsidRPr="002C7B68" w:rsidRDefault="00516EBC" w:rsidP="00533313">
            <w:pPr>
              <w:spacing w:after="0" w:line="240" w:lineRule="auto"/>
              <w:jc w:val="center"/>
              <w:rPr>
                <w:rFonts w:ascii="Times New Roman" w:hAnsi="Times New Roman"/>
                <w:b/>
                <w:color w:val="333333"/>
                <w:sz w:val="24"/>
                <w:szCs w:val="24"/>
                <w:lang w:val="en-GB"/>
              </w:rPr>
            </w:pPr>
            <w:r w:rsidRPr="002C7B68">
              <w:rPr>
                <w:rFonts w:ascii="Times New Roman" w:hAnsi="Times New Roman"/>
                <w:b/>
                <w:color w:val="333333"/>
                <w:sz w:val="24"/>
                <w:szCs w:val="24"/>
                <w:lang w:val="en-GB"/>
              </w:rPr>
              <w:t>%CV</w:t>
            </w:r>
          </w:p>
        </w:tc>
        <w:tc>
          <w:tcPr>
            <w:tcW w:w="1262" w:type="dxa"/>
            <w:tcBorders>
              <w:top w:val="single" w:sz="4" w:space="0" w:color="auto"/>
              <w:left w:val="single" w:sz="4" w:space="0" w:color="000000"/>
              <w:bottom w:val="single" w:sz="4" w:space="0" w:color="auto"/>
            </w:tcBorders>
            <w:vAlign w:val="center"/>
          </w:tcPr>
          <w:p w14:paraId="443CBF57" w14:textId="4C5F38E2" w:rsidR="00533313" w:rsidRPr="002C7B68" w:rsidRDefault="00533313" w:rsidP="00CE6EFD">
            <w:pPr>
              <w:spacing w:after="0" w:line="240" w:lineRule="auto"/>
              <w:jc w:val="center"/>
              <w:rPr>
                <w:rFonts w:ascii="Times New Roman" w:hAnsi="Times New Roman"/>
                <w:b/>
                <w:color w:val="333333"/>
                <w:sz w:val="24"/>
                <w:szCs w:val="24"/>
                <w:lang w:val="en-GB"/>
              </w:rPr>
            </w:pPr>
            <w:r w:rsidRPr="002C7B68">
              <w:rPr>
                <w:rFonts w:ascii="Times New Roman" w:hAnsi="Times New Roman"/>
                <w:b/>
                <w:bCs/>
                <w:sz w:val="24"/>
                <w:szCs w:val="24"/>
                <w:lang w:val="en-GB"/>
              </w:rPr>
              <w:t>Median</w:t>
            </w:r>
          </w:p>
        </w:tc>
      </w:tr>
      <w:tr w:rsidR="00533313" w:rsidRPr="00BC3C5F" w14:paraId="07025930" w14:textId="77777777" w:rsidTr="00533313">
        <w:trPr>
          <w:gridAfter w:val="1"/>
          <w:wAfter w:w="11" w:type="dxa"/>
          <w:trHeight w:val="930"/>
        </w:trPr>
        <w:tc>
          <w:tcPr>
            <w:tcW w:w="4980" w:type="dxa"/>
            <w:tcBorders>
              <w:top w:val="single" w:sz="4" w:space="0" w:color="auto"/>
            </w:tcBorders>
            <w:vAlign w:val="center"/>
          </w:tcPr>
          <w:p w14:paraId="2C32F82D" w14:textId="33049D41" w:rsidR="00533313" w:rsidRPr="002C7B68" w:rsidRDefault="00533313" w:rsidP="00CE6EFD">
            <w:pPr>
              <w:spacing w:after="0" w:line="240" w:lineRule="auto"/>
              <w:rPr>
                <w:rFonts w:ascii="Times New Roman" w:hAnsi="Times New Roman"/>
                <w:sz w:val="24"/>
                <w:szCs w:val="24"/>
                <w:lang w:val="en-GB"/>
              </w:rPr>
            </w:pPr>
            <w:r w:rsidRPr="002C7B68">
              <w:rPr>
                <w:rFonts w:ascii="Times New Roman" w:hAnsi="Times New Roman"/>
                <w:sz w:val="24"/>
                <w:szCs w:val="24"/>
                <w:lang w:val="en-GB"/>
              </w:rPr>
              <w:t>Drug Clearance, CL (</w:t>
            </w:r>
            <w:r w:rsidR="00D45309">
              <w:rPr>
                <w:rFonts w:ascii="Times New Roman" w:hAnsi="Times New Roman"/>
                <w:sz w:val="24"/>
                <w:szCs w:val="24"/>
                <w:lang w:val="en-GB"/>
              </w:rPr>
              <w:t>L/</w:t>
            </w:r>
            <w:r w:rsidR="00295F16">
              <w:rPr>
                <w:rFonts w:ascii="Times New Roman" w:hAnsi="Times New Roman"/>
                <w:sz w:val="24"/>
                <w:szCs w:val="24"/>
                <w:lang w:val="en-GB"/>
              </w:rPr>
              <w:t>h</w:t>
            </w:r>
            <w:r w:rsidRPr="002C7B68">
              <w:rPr>
                <w:rFonts w:ascii="Times New Roman" w:hAnsi="Times New Roman"/>
                <w:sz w:val="24"/>
                <w:szCs w:val="24"/>
                <w:lang w:val="en-GB"/>
              </w:rPr>
              <w:t>)</w:t>
            </w:r>
          </w:p>
          <w:p w14:paraId="37DE213E" w14:textId="38C7DF54" w:rsidR="00533313" w:rsidRPr="002C7B68" w:rsidRDefault="00533313" w:rsidP="00027912">
            <w:pPr>
              <w:spacing w:after="0" w:line="240" w:lineRule="auto"/>
              <w:jc w:val="both"/>
              <w:rPr>
                <w:rFonts w:ascii="Times New Roman" w:hAnsi="Times New Roman"/>
                <w:color w:val="333333"/>
                <w:sz w:val="24"/>
                <w:szCs w:val="24"/>
                <w:lang w:val="en-GB"/>
              </w:rPr>
            </w:pPr>
            <w:r w:rsidRPr="002C7B68">
              <w:rPr>
                <w:rFonts w:ascii="Times New Roman" w:hAnsi="Times New Roman"/>
                <w:sz w:val="24"/>
                <w:szCs w:val="24"/>
                <w:lang w:val="en-GB"/>
              </w:rPr>
              <w:t>CL= (Intercept + (creatinine clearance × slope)</w:t>
            </w:r>
          </w:p>
        </w:tc>
        <w:tc>
          <w:tcPr>
            <w:tcW w:w="1281" w:type="dxa"/>
            <w:tcBorders>
              <w:top w:val="single" w:sz="4" w:space="0" w:color="auto"/>
            </w:tcBorders>
            <w:vAlign w:val="center"/>
          </w:tcPr>
          <w:p w14:paraId="5FAE24A8" w14:textId="5512B889" w:rsidR="00533313" w:rsidRPr="002C7B68" w:rsidRDefault="000E4566" w:rsidP="00CE6EFD">
            <w:pPr>
              <w:spacing w:after="0" w:line="240" w:lineRule="auto"/>
              <w:jc w:val="center"/>
              <w:rPr>
                <w:rFonts w:ascii="Times New Roman" w:hAnsi="Times New Roman"/>
                <w:color w:val="333333"/>
                <w:sz w:val="24"/>
                <w:szCs w:val="24"/>
                <w:lang w:val="en-GB"/>
              </w:rPr>
            </w:pPr>
            <w:r>
              <w:rPr>
                <w:rFonts w:ascii="Times New Roman" w:hAnsi="Times New Roman"/>
                <w:color w:val="333333"/>
                <w:sz w:val="24"/>
                <w:szCs w:val="24"/>
                <w:lang w:val="en-GB"/>
              </w:rPr>
              <w:t>2.430</w:t>
            </w:r>
          </w:p>
        </w:tc>
        <w:tc>
          <w:tcPr>
            <w:tcW w:w="951" w:type="dxa"/>
            <w:tcBorders>
              <w:top w:val="single" w:sz="4" w:space="0" w:color="auto"/>
              <w:right w:val="single" w:sz="4" w:space="0" w:color="000000"/>
            </w:tcBorders>
            <w:vAlign w:val="center"/>
          </w:tcPr>
          <w:p w14:paraId="36C138C4" w14:textId="32310D2C" w:rsidR="00533313" w:rsidRPr="002C7B68" w:rsidRDefault="000E4566" w:rsidP="00CE6EFD">
            <w:pPr>
              <w:spacing w:after="0" w:line="240" w:lineRule="auto"/>
              <w:jc w:val="center"/>
              <w:rPr>
                <w:rFonts w:ascii="Times New Roman" w:hAnsi="Times New Roman"/>
                <w:color w:val="333333"/>
                <w:sz w:val="24"/>
                <w:szCs w:val="24"/>
                <w:lang w:val="en-GB"/>
              </w:rPr>
            </w:pPr>
            <w:r>
              <w:rPr>
                <w:rFonts w:ascii="Times New Roman" w:hAnsi="Times New Roman"/>
                <w:color w:val="333333"/>
                <w:sz w:val="24"/>
                <w:szCs w:val="24"/>
                <w:lang w:val="en-GB"/>
              </w:rPr>
              <w:t>1.643</w:t>
            </w:r>
          </w:p>
        </w:tc>
        <w:tc>
          <w:tcPr>
            <w:tcW w:w="333" w:type="dxa"/>
            <w:tcBorders>
              <w:top w:val="single" w:sz="4" w:space="0" w:color="auto"/>
              <w:right w:val="single" w:sz="4" w:space="0" w:color="000000"/>
            </w:tcBorders>
            <w:vAlign w:val="center"/>
          </w:tcPr>
          <w:p w14:paraId="4B10C8A3" w14:textId="28DDB9F8" w:rsidR="00533313" w:rsidRPr="002C7B68" w:rsidRDefault="000E4566" w:rsidP="00533313">
            <w:pPr>
              <w:spacing w:after="0" w:line="240" w:lineRule="auto"/>
              <w:jc w:val="center"/>
              <w:rPr>
                <w:rFonts w:ascii="Times New Roman" w:hAnsi="Times New Roman"/>
                <w:color w:val="333333"/>
                <w:sz w:val="24"/>
                <w:szCs w:val="24"/>
                <w:lang w:val="en-GB"/>
              </w:rPr>
            </w:pPr>
            <w:r>
              <w:rPr>
                <w:rFonts w:ascii="Times New Roman" w:hAnsi="Times New Roman"/>
                <w:color w:val="333333"/>
                <w:sz w:val="24"/>
                <w:szCs w:val="24"/>
                <w:lang w:val="en-GB"/>
              </w:rPr>
              <w:t>67.636</w:t>
            </w:r>
          </w:p>
        </w:tc>
        <w:tc>
          <w:tcPr>
            <w:tcW w:w="1262" w:type="dxa"/>
            <w:tcBorders>
              <w:top w:val="single" w:sz="4" w:space="0" w:color="auto"/>
              <w:left w:val="single" w:sz="4" w:space="0" w:color="000000"/>
            </w:tcBorders>
            <w:vAlign w:val="center"/>
          </w:tcPr>
          <w:p w14:paraId="2DAB9B15" w14:textId="5F592513" w:rsidR="000E4566" w:rsidRPr="002C7B68" w:rsidRDefault="000E4566" w:rsidP="00BB5834">
            <w:pPr>
              <w:spacing w:after="0" w:line="240" w:lineRule="auto"/>
              <w:jc w:val="center"/>
              <w:rPr>
                <w:rFonts w:ascii="Times New Roman" w:hAnsi="Times New Roman"/>
                <w:color w:val="000000"/>
                <w:sz w:val="24"/>
                <w:szCs w:val="24"/>
                <w:lang w:val="en-GB"/>
              </w:rPr>
            </w:pPr>
            <w:r>
              <w:rPr>
                <w:rFonts w:ascii="Times New Roman" w:hAnsi="Times New Roman"/>
                <w:color w:val="000000"/>
                <w:sz w:val="24"/>
                <w:szCs w:val="24"/>
                <w:lang w:val="en-GB"/>
              </w:rPr>
              <w:t>2.209</w:t>
            </w:r>
          </w:p>
        </w:tc>
      </w:tr>
      <w:tr w:rsidR="00533313" w:rsidRPr="00BC3C5F" w14:paraId="08C12C39" w14:textId="77777777" w:rsidTr="00533313">
        <w:trPr>
          <w:gridAfter w:val="1"/>
          <w:wAfter w:w="11" w:type="dxa"/>
          <w:trHeight w:val="445"/>
        </w:trPr>
        <w:tc>
          <w:tcPr>
            <w:tcW w:w="4980" w:type="dxa"/>
            <w:vAlign w:val="center"/>
          </w:tcPr>
          <w:p w14:paraId="02AEFADD" w14:textId="1437F232" w:rsidR="00533313" w:rsidRPr="002C7B68" w:rsidRDefault="00533313" w:rsidP="00CE6EFD">
            <w:pPr>
              <w:spacing w:after="0" w:line="240" w:lineRule="auto"/>
              <w:jc w:val="both"/>
              <w:rPr>
                <w:rFonts w:ascii="Times New Roman" w:hAnsi="Times New Roman"/>
                <w:color w:val="333333"/>
                <w:sz w:val="24"/>
                <w:szCs w:val="24"/>
                <w:lang w:val="en-GB"/>
              </w:rPr>
            </w:pPr>
            <w:r w:rsidRPr="002C7B68">
              <w:rPr>
                <w:rFonts w:ascii="Times New Roman" w:hAnsi="Times New Roman"/>
                <w:sz w:val="24"/>
                <w:szCs w:val="24"/>
                <w:lang w:val="en-GB"/>
              </w:rPr>
              <w:tab/>
              <w:t>Intercept (</w:t>
            </w:r>
            <w:r w:rsidR="00295F16">
              <w:rPr>
                <w:rFonts w:ascii="Times New Roman" w:hAnsi="Times New Roman"/>
                <w:sz w:val="24"/>
                <w:szCs w:val="24"/>
                <w:lang w:val="en-GB"/>
              </w:rPr>
              <w:t>L</w:t>
            </w:r>
            <w:r w:rsidR="00D45309">
              <w:rPr>
                <w:rFonts w:ascii="Times New Roman" w:hAnsi="Times New Roman"/>
                <w:sz w:val="24"/>
                <w:szCs w:val="24"/>
                <w:lang w:val="en-GB"/>
              </w:rPr>
              <w:t>/</w:t>
            </w:r>
            <w:r w:rsidR="00295F16">
              <w:rPr>
                <w:rFonts w:ascii="Times New Roman" w:hAnsi="Times New Roman"/>
                <w:sz w:val="24"/>
                <w:szCs w:val="24"/>
                <w:lang w:val="en-GB"/>
              </w:rPr>
              <w:t>h</w:t>
            </w:r>
            <w:r w:rsidRPr="002C7B68">
              <w:rPr>
                <w:rFonts w:ascii="Times New Roman" w:hAnsi="Times New Roman"/>
                <w:sz w:val="24"/>
                <w:szCs w:val="24"/>
                <w:lang w:val="en-GB"/>
              </w:rPr>
              <w:t>)</w:t>
            </w:r>
          </w:p>
        </w:tc>
        <w:tc>
          <w:tcPr>
            <w:tcW w:w="1281" w:type="dxa"/>
            <w:vAlign w:val="center"/>
          </w:tcPr>
          <w:p w14:paraId="0DDAA3FD" w14:textId="045FEDE7" w:rsidR="00533313" w:rsidRPr="002C7B68" w:rsidRDefault="00533313" w:rsidP="00CE6EFD">
            <w:pPr>
              <w:spacing w:after="0" w:line="240" w:lineRule="auto"/>
              <w:jc w:val="center"/>
              <w:rPr>
                <w:rFonts w:ascii="Times New Roman" w:hAnsi="Times New Roman"/>
                <w:color w:val="333333"/>
                <w:sz w:val="24"/>
                <w:szCs w:val="24"/>
                <w:lang w:val="en-GB"/>
              </w:rPr>
            </w:pPr>
            <w:r w:rsidRPr="002C7B68">
              <w:rPr>
                <w:rFonts w:ascii="Times New Roman" w:hAnsi="Times New Roman"/>
                <w:sz w:val="24"/>
                <w:szCs w:val="24"/>
                <w:lang w:val="en-GB"/>
              </w:rPr>
              <w:t>1.12</w:t>
            </w:r>
            <w:r w:rsidR="00295F16">
              <w:rPr>
                <w:rFonts w:ascii="Times New Roman" w:hAnsi="Times New Roman"/>
                <w:sz w:val="24"/>
                <w:szCs w:val="24"/>
                <w:lang w:val="en-GB"/>
              </w:rPr>
              <w:t>9</w:t>
            </w:r>
          </w:p>
        </w:tc>
        <w:tc>
          <w:tcPr>
            <w:tcW w:w="951" w:type="dxa"/>
            <w:tcBorders>
              <w:right w:val="single" w:sz="4" w:space="0" w:color="000000"/>
            </w:tcBorders>
            <w:vAlign w:val="center"/>
          </w:tcPr>
          <w:p w14:paraId="17D1E121" w14:textId="5ABA72E0" w:rsidR="00533313" w:rsidRPr="002C7B68" w:rsidRDefault="00295F16" w:rsidP="00CE6EFD">
            <w:pPr>
              <w:spacing w:after="0" w:line="240" w:lineRule="auto"/>
              <w:jc w:val="center"/>
              <w:rPr>
                <w:rFonts w:ascii="Times New Roman" w:hAnsi="Times New Roman"/>
                <w:color w:val="333333"/>
                <w:sz w:val="24"/>
                <w:szCs w:val="24"/>
                <w:lang w:val="en-GB"/>
              </w:rPr>
            </w:pPr>
            <w:r>
              <w:rPr>
                <w:rFonts w:ascii="Times New Roman" w:hAnsi="Times New Roman"/>
                <w:color w:val="333333"/>
                <w:sz w:val="24"/>
                <w:szCs w:val="24"/>
                <w:lang w:val="en-GB"/>
              </w:rPr>
              <w:t>1.1</w:t>
            </w:r>
            <w:r w:rsidR="00304107">
              <w:rPr>
                <w:rFonts w:ascii="Times New Roman" w:hAnsi="Times New Roman"/>
                <w:color w:val="333333"/>
                <w:sz w:val="24"/>
                <w:szCs w:val="24"/>
                <w:lang w:val="en-GB"/>
              </w:rPr>
              <w:t>7</w:t>
            </w:r>
            <w:r>
              <w:rPr>
                <w:rFonts w:ascii="Times New Roman" w:hAnsi="Times New Roman"/>
                <w:color w:val="333333"/>
                <w:sz w:val="24"/>
                <w:szCs w:val="24"/>
                <w:lang w:val="en-GB"/>
              </w:rPr>
              <w:t>6</w:t>
            </w:r>
          </w:p>
        </w:tc>
        <w:tc>
          <w:tcPr>
            <w:tcW w:w="333" w:type="dxa"/>
            <w:tcBorders>
              <w:right w:val="single" w:sz="4" w:space="0" w:color="000000"/>
            </w:tcBorders>
            <w:vAlign w:val="center"/>
          </w:tcPr>
          <w:p w14:paraId="4471D27D" w14:textId="4F81E60A" w:rsidR="00533313" w:rsidRPr="002C7B68" w:rsidRDefault="00295F16" w:rsidP="00533313">
            <w:pPr>
              <w:spacing w:after="0" w:line="240" w:lineRule="auto"/>
              <w:jc w:val="center"/>
              <w:rPr>
                <w:rFonts w:ascii="Times New Roman" w:hAnsi="Times New Roman"/>
                <w:color w:val="333333"/>
                <w:sz w:val="24"/>
                <w:szCs w:val="24"/>
                <w:lang w:val="en-GB"/>
              </w:rPr>
            </w:pPr>
            <w:r>
              <w:rPr>
                <w:rFonts w:ascii="Times New Roman" w:hAnsi="Times New Roman"/>
                <w:color w:val="333333"/>
                <w:sz w:val="24"/>
                <w:szCs w:val="24"/>
                <w:lang w:val="en-GB"/>
              </w:rPr>
              <w:t>104.101</w:t>
            </w:r>
          </w:p>
        </w:tc>
        <w:tc>
          <w:tcPr>
            <w:tcW w:w="1262" w:type="dxa"/>
            <w:tcBorders>
              <w:left w:val="single" w:sz="4" w:space="0" w:color="000000"/>
            </w:tcBorders>
            <w:vAlign w:val="center"/>
          </w:tcPr>
          <w:p w14:paraId="69B66CA7" w14:textId="3C63E1A1" w:rsidR="00533313" w:rsidRPr="002C7B68" w:rsidRDefault="00295F16" w:rsidP="00CE6EFD">
            <w:pPr>
              <w:spacing w:after="0" w:line="240" w:lineRule="auto"/>
              <w:jc w:val="center"/>
              <w:rPr>
                <w:rFonts w:ascii="Times New Roman" w:hAnsi="Times New Roman"/>
                <w:color w:val="333333"/>
                <w:sz w:val="24"/>
                <w:szCs w:val="24"/>
                <w:lang w:val="en-GB"/>
              </w:rPr>
            </w:pPr>
            <w:r>
              <w:rPr>
                <w:rFonts w:ascii="Times New Roman" w:hAnsi="Times New Roman"/>
                <w:sz w:val="24"/>
                <w:szCs w:val="24"/>
                <w:lang w:val="en-GB"/>
              </w:rPr>
              <w:t>0.760</w:t>
            </w:r>
          </w:p>
        </w:tc>
      </w:tr>
      <w:tr w:rsidR="00533313" w:rsidRPr="00BC3C5F" w14:paraId="3055AF8D" w14:textId="77777777" w:rsidTr="00533313">
        <w:trPr>
          <w:gridAfter w:val="1"/>
          <w:wAfter w:w="11" w:type="dxa"/>
          <w:trHeight w:val="464"/>
        </w:trPr>
        <w:tc>
          <w:tcPr>
            <w:tcW w:w="4980" w:type="dxa"/>
            <w:vAlign w:val="center"/>
          </w:tcPr>
          <w:p w14:paraId="5BEAF870" w14:textId="19AF2D4B" w:rsidR="00533313" w:rsidRPr="002C7B68" w:rsidRDefault="00533313" w:rsidP="00027912">
            <w:pPr>
              <w:spacing w:after="0" w:line="240" w:lineRule="auto"/>
              <w:jc w:val="both"/>
              <w:rPr>
                <w:rFonts w:ascii="Times New Roman" w:hAnsi="Times New Roman"/>
                <w:color w:val="333333"/>
                <w:sz w:val="24"/>
                <w:szCs w:val="24"/>
                <w:lang w:val="en-GB"/>
              </w:rPr>
            </w:pPr>
            <w:r w:rsidRPr="002C7B68">
              <w:rPr>
                <w:rFonts w:ascii="Times New Roman" w:hAnsi="Times New Roman"/>
                <w:sz w:val="24"/>
                <w:szCs w:val="24"/>
                <w:lang w:val="en-GB"/>
              </w:rPr>
              <w:tab/>
              <w:t>Slope</w:t>
            </w:r>
          </w:p>
        </w:tc>
        <w:tc>
          <w:tcPr>
            <w:tcW w:w="1281" w:type="dxa"/>
            <w:vAlign w:val="center"/>
          </w:tcPr>
          <w:p w14:paraId="6049BB80" w14:textId="28C9D619" w:rsidR="00533313" w:rsidRPr="002C7B68" w:rsidRDefault="00533313" w:rsidP="00CE6EFD">
            <w:pPr>
              <w:spacing w:after="0" w:line="240" w:lineRule="auto"/>
              <w:jc w:val="center"/>
              <w:rPr>
                <w:rFonts w:ascii="Times New Roman" w:hAnsi="Times New Roman"/>
                <w:color w:val="333333"/>
                <w:sz w:val="24"/>
                <w:szCs w:val="24"/>
                <w:lang w:val="en-GB"/>
              </w:rPr>
            </w:pPr>
            <w:r w:rsidRPr="002C7B68">
              <w:rPr>
                <w:rFonts w:ascii="Times New Roman" w:hAnsi="Times New Roman"/>
                <w:sz w:val="24"/>
                <w:szCs w:val="24"/>
                <w:lang w:val="en-GB"/>
              </w:rPr>
              <w:t>0.</w:t>
            </w:r>
            <w:r w:rsidR="00295F16">
              <w:rPr>
                <w:rFonts w:ascii="Times New Roman" w:hAnsi="Times New Roman"/>
                <w:sz w:val="24"/>
                <w:szCs w:val="24"/>
                <w:lang w:val="en-GB"/>
              </w:rPr>
              <w:t>27</w:t>
            </w:r>
          </w:p>
        </w:tc>
        <w:tc>
          <w:tcPr>
            <w:tcW w:w="951" w:type="dxa"/>
            <w:tcBorders>
              <w:right w:val="single" w:sz="4" w:space="0" w:color="000000"/>
            </w:tcBorders>
            <w:vAlign w:val="center"/>
          </w:tcPr>
          <w:p w14:paraId="07AAFD0A" w14:textId="700E10D5" w:rsidR="00533313" w:rsidRPr="002C7B68" w:rsidRDefault="00533313" w:rsidP="00CE6EFD">
            <w:pPr>
              <w:spacing w:after="0" w:line="240" w:lineRule="auto"/>
              <w:jc w:val="center"/>
              <w:rPr>
                <w:rFonts w:ascii="Times New Roman" w:hAnsi="Times New Roman"/>
                <w:color w:val="333333"/>
                <w:sz w:val="24"/>
                <w:szCs w:val="24"/>
                <w:lang w:val="en-GB"/>
              </w:rPr>
            </w:pPr>
            <w:r w:rsidRPr="002C7B68">
              <w:rPr>
                <w:rFonts w:ascii="Times New Roman" w:hAnsi="Times New Roman"/>
                <w:sz w:val="24"/>
                <w:szCs w:val="24"/>
                <w:lang w:val="en-GB"/>
              </w:rPr>
              <w:t>0.</w:t>
            </w:r>
            <w:r w:rsidR="00295F16">
              <w:rPr>
                <w:rFonts w:ascii="Times New Roman" w:hAnsi="Times New Roman"/>
                <w:sz w:val="24"/>
                <w:szCs w:val="24"/>
                <w:lang w:val="en-GB"/>
              </w:rPr>
              <w:t>157</w:t>
            </w:r>
          </w:p>
        </w:tc>
        <w:tc>
          <w:tcPr>
            <w:tcW w:w="333" w:type="dxa"/>
            <w:tcBorders>
              <w:right w:val="single" w:sz="4" w:space="0" w:color="000000"/>
            </w:tcBorders>
            <w:vAlign w:val="center"/>
          </w:tcPr>
          <w:p w14:paraId="49571DE8" w14:textId="3A77548A" w:rsidR="00533313" w:rsidRPr="002C7B68" w:rsidRDefault="00295F16" w:rsidP="00533313">
            <w:pPr>
              <w:spacing w:after="0" w:line="240" w:lineRule="auto"/>
              <w:jc w:val="center"/>
              <w:rPr>
                <w:rFonts w:ascii="Times New Roman" w:hAnsi="Times New Roman"/>
                <w:color w:val="333333"/>
                <w:sz w:val="24"/>
                <w:szCs w:val="24"/>
                <w:lang w:val="en-GB"/>
              </w:rPr>
            </w:pPr>
            <w:r>
              <w:rPr>
                <w:rFonts w:ascii="Times New Roman" w:hAnsi="Times New Roman"/>
                <w:color w:val="333333"/>
                <w:sz w:val="24"/>
                <w:szCs w:val="24"/>
                <w:lang w:val="en-GB"/>
              </w:rPr>
              <w:t>58</w:t>
            </w:r>
            <w:r w:rsidR="00516EBC" w:rsidRPr="002C7B68">
              <w:rPr>
                <w:rFonts w:ascii="Times New Roman" w:hAnsi="Times New Roman"/>
                <w:color w:val="333333"/>
                <w:sz w:val="24"/>
                <w:szCs w:val="24"/>
                <w:lang w:val="en-GB"/>
              </w:rPr>
              <w:t>.</w:t>
            </w:r>
            <w:r>
              <w:rPr>
                <w:rFonts w:ascii="Times New Roman" w:hAnsi="Times New Roman"/>
                <w:color w:val="333333"/>
                <w:sz w:val="24"/>
                <w:szCs w:val="24"/>
                <w:lang w:val="en-GB"/>
              </w:rPr>
              <w:t>005</w:t>
            </w:r>
          </w:p>
        </w:tc>
        <w:tc>
          <w:tcPr>
            <w:tcW w:w="1262" w:type="dxa"/>
            <w:tcBorders>
              <w:left w:val="single" w:sz="4" w:space="0" w:color="000000"/>
            </w:tcBorders>
            <w:vAlign w:val="center"/>
          </w:tcPr>
          <w:p w14:paraId="45BA0C73" w14:textId="086755A8" w:rsidR="00533313" w:rsidRPr="002C7B68" w:rsidRDefault="00295F16" w:rsidP="00CE6EFD">
            <w:pPr>
              <w:spacing w:after="0" w:line="240" w:lineRule="auto"/>
              <w:jc w:val="center"/>
              <w:rPr>
                <w:rFonts w:ascii="Times New Roman" w:hAnsi="Times New Roman"/>
                <w:color w:val="333333"/>
                <w:sz w:val="24"/>
                <w:szCs w:val="24"/>
                <w:lang w:val="en-GB"/>
              </w:rPr>
            </w:pPr>
            <w:r>
              <w:rPr>
                <w:rFonts w:ascii="Times New Roman" w:hAnsi="Times New Roman"/>
                <w:sz w:val="24"/>
                <w:szCs w:val="24"/>
                <w:lang w:val="en-GB"/>
              </w:rPr>
              <w:t>0.269</w:t>
            </w:r>
          </w:p>
        </w:tc>
      </w:tr>
      <w:tr w:rsidR="00533313" w:rsidRPr="00FC15F8" w14:paraId="1C81BA02" w14:textId="52B3487E" w:rsidTr="00533313">
        <w:trPr>
          <w:trHeight w:val="464"/>
        </w:trPr>
        <w:tc>
          <w:tcPr>
            <w:tcW w:w="7212" w:type="dxa"/>
            <w:gridSpan w:val="3"/>
            <w:tcBorders>
              <w:right w:val="single" w:sz="4" w:space="0" w:color="000000"/>
            </w:tcBorders>
            <w:vAlign w:val="center"/>
          </w:tcPr>
          <w:p w14:paraId="32DACB5A" w14:textId="174CF36F" w:rsidR="00533313" w:rsidRPr="002C7B68" w:rsidRDefault="00533313" w:rsidP="00CE6EFD">
            <w:pPr>
              <w:spacing w:after="0" w:line="240" w:lineRule="auto"/>
              <w:rPr>
                <w:rFonts w:ascii="Times New Roman" w:hAnsi="Times New Roman"/>
                <w:color w:val="333333"/>
                <w:sz w:val="24"/>
                <w:szCs w:val="24"/>
                <w:lang w:val="en-GB"/>
              </w:rPr>
            </w:pPr>
            <w:r w:rsidRPr="002C7B68">
              <w:rPr>
                <w:rFonts w:ascii="Times New Roman" w:hAnsi="Times New Roman"/>
                <w:sz w:val="24"/>
                <w:szCs w:val="24"/>
                <w:lang w:val="en-GB"/>
              </w:rPr>
              <w:t>Inter-compartmental transfer rate constants</w:t>
            </w:r>
          </w:p>
        </w:tc>
        <w:tc>
          <w:tcPr>
            <w:tcW w:w="333" w:type="dxa"/>
            <w:tcBorders>
              <w:right w:val="single" w:sz="4" w:space="0" w:color="000000"/>
            </w:tcBorders>
            <w:vAlign w:val="center"/>
          </w:tcPr>
          <w:p w14:paraId="1F5DCD21" w14:textId="77777777" w:rsidR="00533313" w:rsidRPr="002C7B68" w:rsidRDefault="00533313" w:rsidP="00533313">
            <w:pPr>
              <w:spacing w:after="0" w:line="240" w:lineRule="auto"/>
              <w:rPr>
                <w:rFonts w:ascii="Times New Roman" w:hAnsi="Times New Roman"/>
                <w:color w:val="333333"/>
                <w:sz w:val="24"/>
                <w:szCs w:val="24"/>
                <w:lang w:val="en-GB"/>
              </w:rPr>
            </w:pPr>
          </w:p>
        </w:tc>
        <w:tc>
          <w:tcPr>
            <w:tcW w:w="1273" w:type="dxa"/>
            <w:gridSpan w:val="2"/>
            <w:tcBorders>
              <w:left w:val="single" w:sz="4" w:space="0" w:color="000000"/>
            </w:tcBorders>
            <w:vAlign w:val="center"/>
          </w:tcPr>
          <w:p w14:paraId="42F0F419" w14:textId="5178B8FE" w:rsidR="00533313" w:rsidRPr="002C7B68" w:rsidRDefault="00533313" w:rsidP="00533313">
            <w:pPr>
              <w:spacing w:after="0" w:line="240" w:lineRule="auto"/>
              <w:rPr>
                <w:rFonts w:ascii="Times New Roman" w:hAnsi="Times New Roman"/>
                <w:color w:val="333333"/>
                <w:sz w:val="24"/>
                <w:szCs w:val="24"/>
                <w:lang w:val="en-GB"/>
              </w:rPr>
            </w:pPr>
          </w:p>
        </w:tc>
      </w:tr>
      <w:tr w:rsidR="00533313" w:rsidRPr="00BC3C5F" w14:paraId="23D08471" w14:textId="77777777" w:rsidTr="00533313">
        <w:trPr>
          <w:gridAfter w:val="1"/>
          <w:wAfter w:w="11" w:type="dxa"/>
          <w:trHeight w:val="464"/>
        </w:trPr>
        <w:tc>
          <w:tcPr>
            <w:tcW w:w="4980" w:type="dxa"/>
            <w:vAlign w:val="center"/>
          </w:tcPr>
          <w:p w14:paraId="466142FA" w14:textId="21675150" w:rsidR="00533313" w:rsidRPr="002C7B68" w:rsidRDefault="00533313" w:rsidP="00CE6EFD">
            <w:pPr>
              <w:spacing w:after="0" w:line="240" w:lineRule="auto"/>
              <w:jc w:val="both"/>
              <w:rPr>
                <w:rFonts w:ascii="Times New Roman" w:hAnsi="Times New Roman"/>
                <w:color w:val="333333"/>
                <w:sz w:val="24"/>
                <w:szCs w:val="24"/>
                <w:lang w:val="en-GB"/>
              </w:rPr>
            </w:pPr>
            <w:r w:rsidRPr="002C7B68">
              <w:rPr>
                <w:rFonts w:ascii="Times New Roman" w:hAnsi="Times New Roman"/>
                <w:sz w:val="24"/>
                <w:szCs w:val="24"/>
                <w:lang w:val="en-GB"/>
              </w:rPr>
              <w:tab/>
              <w:t>K</w:t>
            </w:r>
            <w:r w:rsidRPr="002C7B68">
              <w:rPr>
                <w:rFonts w:ascii="Times New Roman" w:hAnsi="Times New Roman"/>
                <w:sz w:val="24"/>
                <w:szCs w:val="24"/>
                <w:vertAlign w:val="subscript"/>
                <w:lang w:val="en-GB"/>
              </w:rPr>
              <w:t>cp</w:t>
            </w:r>
            <w:r w:rsidRPr="002C7B68">
              <w:rPr>
                <w:rFonts w:ascii="Times New Roman" w:hAnsi="Times New Roman"/>
                <w:sz w:val="24"/>
                <w:szCs w:val="24"/>
                <w:lang w:val="en-GB"/>
              </w:rPr>
              <w:t xml:space="preserve"> (</w:t>
            </w:r>
            <w:r w:rsidRPr="002C7B68">
              <w:rPr>
                <w:rFonts w:ascii="Times New Roman" w:hAnsi="Times New Roman"/>
                <w:bCs/>
                <w:sz w:val="24"/>
                <w:szCs w:val="24"/>
                <w:lang w:val="en-GB"/>
              </w:rPr>
              <w:t>h</w:t>
            </w:r>
            <w:r w:rsidRPr="002C7B68">
              <w:rPr>
                <w:rFonts w:ascii="Times New Roman" w:hAnsi="Times New Roman"/>
                <w:bCs/>
                <w:sz w:val="24"/>
                <w:szCs w:val="24"/>
                <w:vertAlign w:val="superscript"/>
                <w:lang w:val="en-GB"/>
              </w:rPr>
              <w:t>-1</w:t>
            </w:r>
            <w:r w:rsidRPr="002C7B68">
              <w:rPr>
                <w:rFonts w:ascii="Times New Roman" w:hAnsi="Times New Roman"/>
                <w:sz w:val="24"/>
                <w:szCs w:val="24"/>
                <w:lang w:val="en-GB"/>
              </w:rPr>
              <w:t>)</w:t>
            </w:r>
          </w:p>
        </w:tc>
        <w:tc>
          <w:tcPr>
            <w:tcW w:w="1281" w:type="dxa"/>
            <w:vAlign w:val="center"/>
          </w:tcPr>
          <w:p w14:paraId="1C534DA9" w14:textId="096C0C2B" w:rsidR="00533313" w:rsidRPr="002C7B68" w:rsidRDefault="00533313" w:rsidP="00CE6EFD">
            <w:pPr>
              <w:spacing w:after="0" w:line="240" w:lineRule="auto"/>
              <w:jc w:val="center"/>
              <w:rPr>
                <w:rFonts w:ascii="Times New Roman" w:hAnsi="Times New Roman"/>
                <w:color w:val="333333"/>
                <w:sz w:val="24"/>
                <w:szCs w:val="24"/>
                <w:lang w:val="en-GB"/>
              </w:rPr>
            </w:pPr>
            <w:r w:rsidRPr="002C7B68">
              <w:rPr>
                <w:rFonts w:ascii="Times New Roman" w:hAnsi="Times New Roman"/>
                <w:sz w:val="24"/>
                <w:szCs w:val="24"/>
                <w:lang w:val="en-GB"/>
              </w:rPr>
              <w:t>8.</w:t>
            </w:r>
            <w:r w:rsidR="0038404D">
              <w:rPr>
                <w:rFonts w:ascii="Times New Roman" w:hAnsi="Times New Roman"/>
                <w:sz w:val="24"/>
                <w:szCs w:val="24"/>
                <w:lang w:val="en-GB"/>
              </w:rPr>
              <w:t>275</w:t>
            </w:r>
          </w:p>
        </w:tc>
        <w:tc>
          <w:tcPr>
            <w:tcW w:w="951" w:type="dxa"/>
            <w:tcBorders>
              <w:right w:val="single" w:sz="4" w:space="0" w:color="000000"/>
            </w:tcBorders>
            <w:vAlign w:val="center"/>
          </w:tcPr>
          <w:p w14:paraId="42D701E5" w14:textId="5C064A5E" w:rsidR="00533313" w:rsidRPr="002C7B68" w:rsidRDefault="00295F16" w:rsidP="00CE6EFD">
            <w:pPr>
              <w:spacing w:after="0" w:line="240" w:lineRule="auto"/>
              <w:jc w:val="center"/>
              <w:rPr>
                <w:rFonts w:ascii="Times New Roman" w:hAnsi="Times New Roman"/>
                <w:color w:val="333333"/>
                <w:sz w:val="24"/>
                <w:szCs w:val="24"/>
                <w:lang w:val="en-GB"/>
              </w:rPr>
            </w:pPr>
            <w:r>
              <w:rPr>
                <w:rFonts w:ascii="Times New Roman" w:hAnsi="Times New Roman"/>
                <w:color w:val="333333"/>
                <w:sz w:val="24"/>
                <w:szCs w:val="24"/>
                <w:lang w:val="en-GB"/>
              </w:rPr>
              <w:t>12.908</w:t>
            </w:r>
          </w:p>
        </w:tc>
        <w:tc>
          <w:tcPr>
            <w:tcW w:w="333" w:type="dxa"/>
            <w:tcBorders>
              <w:right w:val="single" w:sz="4" w:space="0" w:color="000000"/>
            </w:tcBorders>
            <w:vAlign w:val="center"/>
          </w:tcPr>
          <w:p w14:paraId="0BB3A387" w14:textId="10BDEAFD" w:rsidR="00533313" w:rsidRPr="002C7B68" w:rsidRDefault="00295F16" w:rsidP="00533313">
            <w:pPr>
              <w:spacing w:after="0" w:line="240" w:lineRule="auto"/>
              <w:jc w:val="center"/>
              <w:rPr>
                <w:rFonts w:ascii="Times New Roman" w:hAnsi="Times New Roman"/>
                <w:color w:val="333333"/>
                <w:sz w:val="24"/>
                <w:szCs w:val="24"/>
                <w:lang w:val="en-GB"/>
              </w:rPr>
            </w:pPr>
            <w:r>
              <w:rPr>
                <w:rFonts w:ascii="Times New Roman" w:hAnsi="Times New Roman"/>
                <w:color w:val="333333"/>
                <w:sz w:val="24"/>
                <w:szCs w:val="24"/>
                <w:lang w:val="en-GB"/>
              </w:rPr>
              <w:t>155.983</w:t>
            </w:r>
          </w:p>
        </w:tc>
        <w:tc>
          <w:tcPr>
            <w:tcW w:w="1262" w:type="dxa"/>
            <w:tcBorders>
              <w:left w:val="single" w:sz="4" w:space="0" w:color="000000"/>
            </w:tcBorders>
            <w:vAlign w:val="center"/>
          </w:tcPr>
          <w:p w14:paraId="4D707C31" w14:textId="5B7300F4" w:rsidR="00533313" w:rsidRPr="002C7B68" w:rsidRDefault="00295F16" w:rsidP="00CE6EFD">
            <w:pPr>
              <w:spacing w:after="0" w:line="240" w:lineRule="auto"/>
              <w:jc w:val="center"/>
              <w:rPr>
                <w:rFonts w:ascii="Times New Roman" w:hAnsi="Times New Roman"/>
                <w:color w:val="333333"/>
                <w:sz w:val="24"/>
                <w:szCs w:val="24"/>
                <w:lang w:val="en-GB"/>
              </w:rPr>
            </w:pPr>
            <w:r>
              <w:rPr>
                <w:rFonts w:ascii="Times New Roman" w:hAnsi="Times New Roman"/>
                <w:color w:val="333333"/>
                <w:sz w:val="24"/>
                <w:szCs w:val="24"/>
                <w:lang w:val="en-GB"/>
              </w:rPr>
              <w:t>0.140</w:t>
            </w:r>
          </w:p>
        </w:tc>
      </w:tr>
      <w:tr w:rsidR="00533313" w:rsidRPr="00BC3C5F" w14:paraId="0B9B12FD" w14:textId="77777777" w:rsidTr="00533313">
        <w:trPr>
          <w:gridAfter w:val="1"/>
          <w:wAfter w:w="11" w:type="dxa"/>
          <w:trHeight w:val="464"/>
        </w:trPr>
        <w:tc>
          <w:tcPr>
            <w:tcW w:w="4980" w:type="dxa"/>
            <w:tcBorders>
              <w:bottom w:val="single" w:sz="4" w:space="0" w:color="auto"/>
            </w:tcBorders>
            <w:vAlign w:val="center"/>
          </w:tcPr>
          <w:p w14:paraId="4E1FE86E" w14:textId="188C65E1" w:rsidR="00533313" w:rsidRPr="002C7B68" w:rsidRDefault="00533313" w:rsidP="00CE6EFD">
            <w:pPr>
              <w:spacing w:after="0" w:line="240" w:lineRule="auto"/>
              <w:jc w:val="both"/>
              <w:rPr>
                <w:rFonts w:ascii="Times New Roman" w:hAnsi="Times New Roman"/>
                <w:color w:val="333333"/>
                <w:sz w:val="24"/>
                <w:szCs w:val="24"/>
                <w:lang w:val="en-GB"/>
              </w:rPr>
            </w:pPr>
            <w:r w:rsidRPr="002C7B68">
              <w:rPr>
                <w:rFonts w:ascii="Times New Roman" w:hAnsi="Times New Roman"/>
                <w:sz w:val="24"/>
                <w:szCs w:val="24"/>
                <w:lang w:val="en-GB"/>
              </w:rPr>
              <w:tab/>
              <w:t>K</w:t>
            </w:r>
            <w:r w:rsidRPr="002C7B68">
              <w:rPr>
                <w:rFonts w:ascii="Times New Roman" w:hAnsi="Times New Roman"/>
                <w:sz w:val="24"/>
                <w:szCs w:val="24"/>
                <w:vertAlign w:val="subscript"/>
                <w:lang w:val="en-GB"/>
              </w:rPr>
              <w:t>pc</w:t>
            </w:r>
            <w:r w:rsidRPr="002C7B68">
              <w:rPr>
                <w:rFonts w:ascii="Times New Roman" w:hAnsi="Times New Roman"/>
                <w:sz w:val="24"/>
                <w:szCs w:val="24"/>
                <w:lang w:val="en-GB"/>
              </w:rPr>
              <w:t xml:space="preserve"> (</w:t>
            </w:r>
            <w:r w:rsidRPr="002C7B68">
              <w:rPr>
                <w:rFonts w:ascii="Times New Roman" w:hAnsi="Times New Roman"/>
                <w:bCs/>
                <w:sz w:val="24"/>
                <w:szCs w:val="24"/>
                <w:lang w:val="en-GB"/>
              </w:rPr>
              <w:t>h</w:t>
            </w:r>
            <w:r w:rsidRPr="002C7B68">
              <w:rPr>
                <w:rFonts w:ascii="Times New Roman" w:hAnsi="Times New Roman"/>
                <w:bCs/>
                <w:sz w:val="24"/>
                <w:szCs w:val="24"/>
                <w:vertAlign w:val="superscript"/>
                <w:lang w:val="en-GB"/>
              </w:rPr>
              <w:t>-1</w:t>
            </w:r>
            <w:r w:rsidRPr="002C7B68">
              <w:rPr>
                <w:rFonts w:ascii="Times New Roman" w:hAnsi="Times New Roman"/>
                <w:sz w:val="24"/>
                <w:szCs w:val="24"/>
                <w:lang w:val="en-GB"/>
              </w:rPr>
              <w:t>)</w:t>
            </w:r>
          </w:p>
        </w:tc>
        <w:tc>
          <w:tcPr>
            <w:tcW w:w="1281" w:type="dxa"/>
            <w:tcBorders>
              <w:bottom w:val="single" w:sz="4" w:space="0" w:color="auto"/>
            </w:tcBorders>
            <w:vAlign w:val="center"/>
          </w:tcPr>
          <w:p w14:paraId="3924A3CC" w14:textId="3D12E021" w:rsidR="00533313" w:rsidRPr="002C7B68" w:rsidRDefault="00295F16" w:rsidP="00CE6EFD">
            <w:pPr>
              <w:spacing w:after="0" w:line="240" w:lineRule="auto"/>
              <w:jc w:val="center"/>
              <w:rPr>
                <w:rFonts w:ascii="Times New Roman" w:hAnsi="Times New Roman"/>
                <w:color w:val="333333"/>
                <w:sz w:val="24"/>
                <w:szCs w:val="24"/>
                <w:lang w:val="en-GB"/>
              </w:rPr>
            </w:pPr>
            <w:r>
              <w:rPr>
                <w:rFonts w:ascii="Times New Roman" w:hAnsi="Times New Roman"/>
                <w:sz w:val="24"/>
                <w:szCs w:val="24"/>
                <w:lang w:val="en-GB"/>
              </w:rPr>
              <w:t>65.419</w:t>
            </w:r>
          </w:p>
        </w:tc>
        <w:tc>
          <w:tcPr>
            <w:tcW w:w="951" w:type="dxa"/>
            <w:tcBorders>
              <w:bottom w:val="single" w:sz="4" w:space="0" w:color="auto"/>
              <w:right w:val="single" w:sz="4" w:space="0" w:color="000000"/>
            </w:tcBorders>
            <w:vAlign w:val="center"/>
          </w:tcPr>
          <w:p w14:paraId="4DAC88CC" w14:textId="622C78F1" w:rsidR="00533313" w:rsidRPr="002C7B68" w:rsidRDefault="00295F16" w:rsidP="00CE6EFD">
            <w:pPr>
              <w:spacing w:after="0" w:line="240" w:lineRule="auto"/>
              <w:jc w:val="center"/>
              <w:rPr>
                <w:rFonts w:ascii="Times New Roman" w:hAnsi="Times New Roman"/>
                <w:color w:val="333333"/>
                <w:sz w:val="24"/>
                <w:szCs w:val="24"/>
                <w:lang w:val="en-GB"/>
              </w:rPr>
            </w:pPr>
            <w:r>
              <w:rPr>
                <w:rFonts w:ascii="Times New Roman" w:hAnsi="Times New Roman"/>
                <w:color w:val="333333"/>
                <w:sz w:val="24"/>
                <w:szCs w:val="24"/>
                <w:lang w:val="en-GB"/>
              </w:rPr>
              <w:t>29.201</w:t>
            </w:r>
          </w:p>
        </w:tc>
        <w:tc>
          <w:tcPr>
            <w:tcW w:w="333" w:type="dxa"/>
            <w:tcBorders>
              <w:bottom w:val="single" w:sz="4" w:space="0" w:color="auto"/>
              <w:right w:val="single" w:sz="4" w:space="0" w:color="000000"/>
            </w:tcBorders>
            <w:vAlign w:val="center"/>
          </w:tcPr>
          <w:p w14:paraId="4956E2B7" w14:textId="5C0897E5" w:rsidR="00533313" w:rsidRPr="002C7B68" w:rsidRDefault="00295F16" w:rsidP="00533313">
            <w:pPr>
              <w:spacing w:after="0" w:line="240" w:lineRule="auto"/>
              <w:jc w:val="center"/>
              <w:rPr>
                <w:rFonts w:ascii="Times New Roman" w:hAnsi="Times New Roman"/>
                <w:color w:val="333333"/>
                <w:sz w:val="24"/>
                <w:szCs w:val="24"/>
                <w:lang w:val="en-GB"/>
              </w:rPr>
            </w:pPr>
            <w:r>
              <w:rPr>
                <w:rFonts w:ascii="Times New Roman" w:hAnsi="Times New Roman"/>
                <w:color w:val="333333"/>
                <w:sz w:val="24"/>
                <w:szCs w:val="24"/>
                <w:lang w:val="en-GB"/>
              </w:rPr>
              <w:t>44.636</w:t>
            </w:r>
          </w:p>
        </w:tc>
        <w:tc>
          <w:tcPr>
            <w:tcW w:w="1262" w:type="dxa"/>
            <w:tcBorders>
              <w:left w:val="single" w:sz="4" w:space="0" w:color="000000"/>
              <w:bottom w:val="single" w:sz="4" w:space="0" w:color="auto"/>
            </w:tcBorders>
            <w:vAlign w:val="center"/>
          </w:tcPr>
          <w:p w14:paraId="6F08E315" w14:textId="2B08134F" w:rsidR="00533313" w:rsidRPr="002C7B68" w:rsidRDefault="00295F16" w:rsidP="00CE6EFD">
            <w:pPr>
              <w:spacing w:after="0" w:line="240" w:lineRule="auto"/>
              <w:jc w:val="center"/>
              <w:rPr>
                <w:rFonts w:ascii="Times New Roman" w:hAnsi="Times New Roman"/>
                <w:color w:val="333333"/>
                <w:sz w:val="24"/>
                <w:szCs w:val="24"/>
                <w:lang w:val="en-GB"/>
              </w:rPr>
            </w:pPr>
            <w:r>
              <w:rPr>
                <w:rFonts w:ascii="Times New Roman" w:hAnsi="Times New Roman"/>
                <w:color w:val="333333"/>
                <w:sz w:val="24"/>
                <w:szCs w:val="24"/>
                <w:lang w:val="en-GB"/>
              </w:rPr>
              <w:t>80.612</w:t>
            </w:r>
          </w:p>
        </w:tc>
      </w:tr>
    </w:tbl>
    <w:p w14:paraId="60817164" w14:textId="77777777" w:rsidR="00CE6EFD" w:rsidRPr="002C7B68" w:rsidRDefault="00CE6EFD" w:rsidP="00396563">
      <w:pPr>
        <w:spacing w:after="0" w:line="240" w:lineRule="auto"/>
        <w:jc w:val="both"/>
        <w:rPr>
          <w:rFonts w:ascii="Times New Roman" w:hAnsi="Times New Roman"/>
          <w:color w:val="333333"/>
          <w:sz w:val="24"/>
          <w:szCs w:val="24"/>
          <w:lang w:val="en-GB"/>
        </w:rPr>
      </w:pPr>
    </w:p>
    <w:p w14:paraId="57B59998" w14:textId="77777777" w:rsidR="00B677A7" w:rsidRPr="002C7B68" w:rsidRDefault="00B677A7">
      <w:pPr>
        <w:spacing w:after="0" w:line="240" w:lineRule="auto"/>
        <w:rPr>
          <w:rFonts w:ascii="Times New Roman" w:hAnsi="Times New Roman"/>
          <w:b/>
          <w:bCs/>
          <w:sz w:val="24"/>
          <w:szCs w:val="24"/>
          <w:lang w:val="en-GB"/>
        </w:rPr>
      </w:pPr>
    </w:p>
    <w:p w14:paraId="4B4C9143" w14:textId="616AC287" w:rsidR="00396563" w:rsidRPr="002C7B68" w:rsidRDefault="00396563">
      <w:pPr>
        <w:spacing w:after="0" w:line="240" w:lineRule="auto"/>
        <w:rPr>
          <w:rFonts w:ascii="Times New Roman" w:hAnsi="Times New Roman"/>
          <w:b/>
          <w:sz w:val="24"/>
          <w:szCs w:val="24"/>
          <w:lang w:val="en-GB"/>
        </w:rPr>
      </w:pPr>
      <w:r w:rsidRPr="002C7B68">
        <w:rPr>
          <w:rFonts w:ascii="Times New Roman" w:hAnsi="Times New Roman"/>
          <w:b/>
          <w:sz w:val="24"/>
          <w:szCs w:val="24"/>
          <w:lang w:val="en-GB"/>
        </w:rPr>
        <w:br w:type="page"/>
      </w:r>
    </w:p>
    <w:p w14:paraId="3147130A" w14:textId="77777777" w:rsidR="00F023CA" w:rsidRPr="002C7B68" w:rsidRDefault="00F023CA" w:rsidP="00F023CA">
      <w:pPr>
        <w:jc w:val="both"/>
        <w:rPr>
          <w:rFonts w:ascii="Times New Roman" w:hAnsi="Times New Roman"/>
          <w:b/>
          <w:noProof/>
          <w:sz w:val="24"/>
          <w:szCs w:val="24"/>
          <w:highlight w:val="yellow"/>
          <w:lang w:val="en-GB"/>
        </w:rPr>
      </w:pPr>
      <w:r w:rsidRPr="002C7B68">
        <w:rPr>
          <w:rFonts w:ascii="Times New Roman" w:hAnsi="Times New Roman"/>
          <w:b/>
          <w:sz w:val="24"/>
          <w:szCs w:val="24"/>
          <w:lang w:val="en-GB"/>
        </w:rPr>
        <w:lastRenderedPageBreak/>
        <w:t>Figure 1.</w:t>
      </w:r>
      <w:r w:rsidRPr="002C7B68">
        <w:rPr>
          <w:rFonts w:ascii="Times New Roman" w:hAnsi="Times New Roman"/>
          <w:sz w:val="24"/>
          <w:szCs w:val="24"/>
          <w:lang w:val="en-GB"/>
        </w:rPr>
        <w:t xml:space="preserve"> Variability observed in fosfomycin concentrations with respect to other pharmacokinetic studies. A) Mean (± standard deviation) maximal plasma fosfomycin concentrations (Cmax) and B) median (± range) trough fosfomycin plasma concentration (Cmin).</w:t>
      </w:r>
      <w:r w:rsidRPr="002C7B68">
        <w:rPr>
          <w:rFonts w:ascii="Times New Roman" w:hAnsi="Times New Roman"/>
          <w:b/>
          <w:noProof/>
          <w:sz w:val="24"/>
          <w:szCs w:val="24"/>
          <w:highlight w:val="yellow"/>
          <w:lang w:val="en-GB"/>
        </w:rPr>
        <w:t xml:space="preserve"> </w:t>
      </w:r>
    </w:p>
    <w:p w14:paraId="68040C41" w14:textId="77777777" w:rsidR="00F023CA" w:rsidRPr="002C7B68" w:rsidRDefault="00F023CA" w:rsidP="00F023CA">
      <w:pPr>
        <w:jc w:val="both"/>
        <w:rPr>
          <w:rFonts w:ascii="Times New Roman" w:hAnsi="Times New Roman"/>
          <w:b/>
          <w:noProof/>
          <w:sz w:val="24"/>
          <w:szCs w:val="24"/>
          <w:lang w:val="en-GB"/>
        </w:rPr>
      </w:pPr>
    </w:p>
    <w:p w14:paraId="7E5714A4" w14:textId="06F1453A" w:rsidR="00F023CA" w:rsidRPr="002C7B68" w:rsidRDefault="00F023CA" w:rsidP="00F023CA">
      <w:pPr>
        <w:jc w:val="both"/>
        <w:rPr>
          <w:rFonts w:ascii="Times New Roman" w:hAnsi="Times New Roman"/>
          <w:b/>
          <w:noProof/>
          <w:sz w:val="24"/>
          <w:szCs w:val="24"/>
          <w:lang w:val="en-GB"/>
        </w:rPr>
      </w:pPr>
    </w:p>
    <w:p w14:paraId="6DBFE185" w14:textId="77777777" w:rsidR="00F023CA" w:rsidRPr="002C7B68" w:rsidRDefault="00F023CA" w:rsidP="00F023CA">
      <w:pPr>
        <w:jc w:val="both"/>
        <w:rPr>
          <w:rFonts w:ascii="Times New Roman" w:hAnsi="Times New Roman"/>
          <w:sz w:val="24"/>
          <w:szCs w:val="24"/>
          <w:lang w:val="en-GB"/>
        </w:rPr>
      </w:pPr>
    </w:p>
    <w:p w14:paraId="4195A976" w14:textId="47DBB944" w:rsidR="00396563" w:rsidRPr="002C7B68" w:rsidRDefault="00F023CA" w:rsidP="00F023CA">
      <w:pPr>
        <w:spacing w:after="0"/>
        <w:rPr>
          <w:rFonts w:ascii="Times New Roman" w:hAnsi="Times New Roman"/>
          <w:sz w:val="24"/>
          <w:szCs w:val="24"/>
          <w:lang w:val="en-GB"/>
        </w:rPr>
      </w:pPr>
      <w:r w:rsidRPr="002C7B68">
        <w:rPr>
          <w:rFonts w:ascii="Times New Roman" w:hAnsi="Times New Roman"/>
          <w:sz w:val="24"/>
          <w:szCs w:val="24"/>
          <w:lang w:val="en-GB"/>
        </w:rPr>
        <w:br w:type="page"/>
      </w:r>
    </w:p>
    <w:p w14:paraId="2592EB03" w14:textId="77777777" w:rsidR="00396563" w:rsidRPr="002C7B68" w:rsidRDefault="00396563" w:rsidP="00396563">
      <w:pPr>
        <w:tabs>
          <w:tab w:val="left" w:pos="2406"/>
        </w:tabs>
        <w:jc w:val="both"/>
        <w:rPr>
          <w:rFonts w:ascii="Times New Roman" w:hAnsi="Times New Roman"/>
          <w:sz w:val="24"/>
          <w:szCs w:val="24"/>
          <w:lang w:val="en-GB"/>
        </w:rPr>
      </w:pPr>
      <w:r w:rsidRPr="002C7B68">
        <w:rPr>
          <w:rFonts w:ascii="Times New Roman" w:hAnsi="Times New Roman"/>
          <w:b/>
          <w:sz w:val="24"/>
          <w:szCs w:val="24"/>
          <w:lang w:val="en-GB"/>
        </w:rPr>
        <w:lastRenderedPageBreak/>
        <w:t>Figure 2.</w:t>
      </w:r>
      <w:r w:rsidRPr="002C7B68">
        <w:rPr>
          <w:rFonts w:ascii="Times New Roman" w:hAnsi="Times New Roman"/>
          <w:sz w:val="24"/>
          <w:szCs w:val="24"/>
          <w:lang w:val="en-GB"/>
        </w:rPr>
        <w:t xml:space="preserve"> (A) Plot of population predicted concentrations versus observed concentrations. (B) Plot of individual predicted concentrations versus observed concentrations (where the data presented on both the x and y axes are concentrations in milligrams per liter). Continuous line represents the regression line and broken line is the line of identity.</w:t>
      </w:r>
    </w:p>
    <w:p w14:paraId="104E8F16" w14:textId="72163392" w:rsidR="00396563" w:rsidRPr="002C7B68" w:rsidRDefault="00396563" w:rsidP="00396563">
      <w:pPr>
        <w:autoSpaceDE w:val="0"/>
        <w:autoSpaceDN w:val="0"/>
        <w:adjustRightInd w:val="0"/>
        <w:spacing w:after="0" w:line="480" w:lineRule="auto"/>
        <w:jc w:val="both"/>
        <w:rPr>
          <w:rFonts w:ascii="Times New Roman" w:hAnsi="Times New Roman"/>
          <w:sz w:val="24"/>
          <w:szCs w:val="24"/>
          <w:lang w:val="en-GB"/>
        </w:rPr>
      </w:pPr>
    </w:p>
    <w:p w14:paraId="30D3ECED" w14:textId="77777777" w:rsidR="00396563" w:rsidRPr="002C7B68" w:rsidRDefault="00396563" w:rsidP="00396563">
      <w:pPr>
        <w:autoSpaceDE w:val="0"/>
        <w:autoSpaceDN w:val="0"/>
        <w:adjustRightInd w:val="0"/>
        <w:spacing w:after="0" w:line="480" w:lineRule="auto"/>
        <w:jc w:val="both"/>
        <w:rPr>
          <w:rFonts w:ascii="Times New Roman" w:hAnsi="Times New Roman"/>
          <w:sz w:val="24"/>
          <w:szCs w:val="24"/>
          <w:lang w:val="en-GB"/>
        </w:rPr>
      </w:pPr>
    </w:p>
    <w:p w14:paraId="09D4DA91" w14:textId="77777777" w:rsidR="0071194B" w:rsidRPr="002C7B68" w:rsidRDefault="00396563" w:rsidP="00BE1898">
      <w:pPr>
        <w:spacing w:after="0" w:line="240" w:lineRule="auto"/>
        <w:jc w:val="both"/>
        <w:rPr>
          <w:rFonts w:ascii="Times New Roman" w:hAnsi="Times New Roman"/>
          <w:sz w:val="24"/>
          <w:szCs w:val="24"/>
          <w:lang w:val="en-GB"/>
        </w:rPr>
      </w:pPr>
      <w:r w:rsidRPr="002C7B68">
        <w:rPr>
          <w:rFonts w:ascii="Times New Roman" w:hAnsi="Times New Roman"/>
          <w:sz w:val="24"/>
          <w:szCs w:val="24"/>
          <w:lang w:val="en-GB"/>
        </w:rPr>
        <w:br w:type="page"/>
      </w:r>
    </w:p>
    <w:p w14:paraId="5A6C2A7A" w14:textId="5D4314FD" w:rsidR="00975671" w:rsidRPr="002C7B68" w:rsidRDefault="00975671" w:rsidP="00975671">
      <w:pPr>
        <w:spacing w:after="0"/>
        <w:ind w:firstLine="1"/>
        <w:jc w:val="both"/>
        <w:rPr>
          <w:rFonts w:ascii="Times New Roman" w:hAnsi="Times New Roman"/>
          <w:sz w:val="24"/>
          <w:szCs w:val="24"/>
          <w:lang w:val="en-GB"/>
        </w:rPr>
      </w:pPr>
      <w:r w:rsidRPr="002C7B68">
        <w:rPr>
          <w:rFonts w:ascii="Times New Roman" w:hAnsi="Times New Roman"/>
          <w:b/>
          <w:sz w:val="24"/>
          <w:szCs w:val="24"/>
          <w:lang w:val="en-GB"/>
        </w:rPr>
        <w:lastRenderedPageBreak/>
        <w:t xml:space="preserve">Figure </w:t>
      </w:r>
      <w:r w:rsidR="001F62C2" w:rsidRPr="002C7B68">
        <w:rPr>
          <w:rFonts w:ascii="Times New Roman" w:hAnsi="Times New Roman"/>
          <w:b/>
          <w:sz w:val="24"/>
          <w:szCs w:val="24"/>
          <w:lang w:val="en-GB"/>
        </w:rPr>
        <w:t>3</w:t>
      </w:r>
      <w:r w:rsidRPr="002C7B68">
        <w:rPr>
          <w:rFonts w:ascii="Times New Roman" w:hAnsi="Times New Roman"/>
          <w:b/>
          <w:sz w:val="24"/>
          <w:szCs w:val="24"/>
          <w:lang w:val="en-GB"/>
        </w:rPr>
        <w:t>.</w:t>
      </w:r>
      <w:r w:rsidRPr="002C7B68">
        <w:rPr>
          <w:rFonts w:ascii="Times New Roman" w:hAnsi="Times New Roman"/>
          <w:sz w:val="24"/>
          <w:szCs w:val="24"/>
          <w:lang w:val="en-GB"/>
        </w:rPr>
        <w:t xml:space="preserve"> Monte Carlo simulations (n=2000) and a visual predictive check of the observed (open circles) over the simulated (lines) data is shown after treatment with A) 4g/Q6h fosfomycin (1-hour infusion, patients with CrCl &gt;40) or B) 4g/Q12h fosfomycin (1-hour infusion patients with CrCl 20-40 ml/min). Black lines show the median, the 90% prediction intervals (5</w:t>
      </w:r>
      <w:r w:rsidRPr="002C7B68">
        <w:rPr>
          <w:rFonts w:ascii="Times New Roman" w:hAnsi="Times New Roman"/>
          <w:sz w:val="24"/>
          <w:szCs w:val="24"/>
          <w:vertAlign w:val="superscript"/>
          <w:lang w:val="en-GB"/>
        </w:rPr>
        <w:t>th</w:t>
      </w:r>
      <w:r w:rsidRPr="002C7B68">
        <w:rPr>
          <w:rFonts w:ascii="Times New Roman" w:hAnsi="Times New Roman"/>
          <w:sz w:val="24"/>
          <w:szCs w:val="24"/>
          <w:lang w:val="en-GB"/>
        </w:rPr>
        <w:t xml:space="preserve"> to 95</w:t>
      </w:r>
      <w:r w:rsidRPr="002C7B68">
        <w:rPr>
          <w:rFonts w:ascii="Times New Roman" w:hAnsi="Times New Roman"/>
          <w:sz w:val="24"/>
          <w:szCs w:val="24"/>
          <w:vertAlign w:val="superscript"/>
          <w:lang w:val="en-GB"/>
        </w:rPr>
        <w:t>th</w:t>
      </w:r>
      <w:r w:rsidRPr="002C7B68">
        <w:rPr>
          <w:rFonts w:ascii="Times New Roman" w:hAnsi="Times New Roman"/>
          <w:sz w:val="24"/>
          <w:szCs w:val="24"/>
          <w:lang w:val="en-GB"/>
        </w:rPr>
        <w:t xml:space="preserve"> percentiles) and the interquartile ranges (25</w:t>
      </w:r>
      <w:r w:rsidRPr="002C7B68">
        <w:rPr>
          <w:rFonts w:ascii="Times New Roman" w:hAnsi="Times New Roman"/>
          <w:sz w:val="24"/>
          <w:szCs w:val="24"/>
          <w:vertAlign w:val="superscript"/>
          <w:lang w:val="en-GB"/>
        </w:rPr>
        <w:t>th</w:t>
      </w:r>
      <w:r w:rsidRPr="002C7B68">
        <w:rPr>
          <w:rFonts w:ascii="Times New Roman" w:hAnsi="Times New Roman"/>
          <w:sz w:val="24"/>
          <w:szCs w:val="24"/>
          <w:lang w:val="en-GB"/>
        </w:rPr>
        <w:t xml:space="preserve"> to 75</w:t>
      </w:r>
      <w:r w:rsidRPr="002C7B68">
        <w:rPr>
          <w:rFonts w:ascii="Times New Roman" w:hAnsi="Times New Roman"/>
          <w:sz w:val="24"/>
          <w:szCs w:val="24"/>
          <w:vertAlign w:val="superscript"/>
          <w:lang w:val="en-GB"/>
        </w:rPr>
        <w:t>th</w:t>
      </w:r>
      <w:r w:rsidRPr="002C7B68">
        <w:rPr>
          <w:rFonts w:ascii="Times New Roman" w:hAnsi="Times New Roman"/>
          <w:sz w:val="24"/>
          <w:szCs w:val="24"/>
          <w:lang w:val="en-GB"/>
        </w:rPr>
        <w:t xml:space="preserve"> percentiles). Grey dashed lines represent 95% confidence interval.</w:t>
      </w:r>
    </w:p>
    <w:p w14:paraId="02A67672" w14:textId="77777777" w:rsidR="00975671" w:rsidRPr="002C7B68" w:rsidRDefault="00975671" w:rsidP="00975671">
      <w:pPr>
        <w:spacing w:after="0"/>
        <w:jc w:val="both"/>
        <w:rPr>
          <w:rFonts w:ascii="Times New Roman" w:hAnsi="Times New Roman"/>
          <w:sz w:val="24"/>
          <w:szCs w:val="24"/>
          <w:lang w:val="en-GB"/>
        </w:rPr>
      </w:pPr>
    </w:p>
    <w:p w14:paraId="471AAB03" w14:textId="77777777" w:rsidR="00975671" w:rsidRPr="002C7B68" w:rsidRDefault="00975671" w:rsidP="00975671">
      <w:pPr>
        <w:spacing w:after="0"/>
        <w:jc w:val="both"/>
        <w:rPr>
          <w:rFonts w:ascii="Times New Roman" w:hAnsi="Times New Roman"/>
          <w:sz w:val="24"/>
          <w:szCs w:val="24"/>
          <w:lang w:val="en-GB"/>
        </w:rPr>
      </w:pPr>
    </w:p>
    <w:p w14:paraId="651F6363" w14:textId="77777777" w:rsidR="00975671" w:rsidRPr="002C7B68" w:rsidRDefault="00975671" w:rsidP="00975671">
      <w:pPr>
        <w:spacing w:after="0"/>
        <w:jc w:val="both"/>
        <w:rPr>
          <w:rFonts w:ascii="Times New Roman" w:hAnsi="Times New Roman"/>
          <w:sz w:val="24"/>
          <w:szCs w:val="24"/>
          <w:lang w:val="en-GB"/>
        </w:rPr>
      </w:pPr>
    </w:p>
    <w:p w14:paraId="0034C0E2" w14:textId="718903DA" w:rsidR="00975671" w:rsidRPr="002C7B68" w:rsidRDefault="00975671" w:rsidP="00975671">
      <w:pPr>
        <w:tabs>
          <w:tab w:val="left" w:pos="2406"/>
        </w:tabs>
        <w:jc w:val="both"/>
        <w:rPr>
          <w:rFonts w:ascii="Times New Roman" w:hAnsi="Times New Roman"/>
          <w:sz w:val="24"/>
          <w:szCs w:val="24"/>
          <w:lang w:val="en-GB"/>
        </w:rPr>
      </w:pPr>
      <w:r w:rsidRPr="002C7B68">
        <w:rPr>
          <w:rFonts w:ascii="Times New Roman" w:hAnsi="Times New Roman"/>
          <w:sz w:val="24"/>
          <w:szCs w:val="24"/>
          <w:lang w:val="en-GB"/>
        </w:rPr>
        <w:br w:type="page"/>
      </w:r>
      <w:r w:rsidRPr="002C7B68">
        <w:rPr>
          <w:rFonts w:ascii="Times New Roman" w:hAnsi="Times New Roman"/>
          <w:b/>
          <w:sz w:val="24"/>
          <w:szCs w:val="24"/>
          <w:lang w:val="en-GB"/>
        </w:rPr>
        <w:lastRenderedPageBreak/>
        <w:t xml:space="preserve">Figure </w:t>
      </w:r>
      <w:r w:rsidR="00A55D9F" w:rsidRPr="002C7B68">
        <w:rPr>
          <w:rFonts w:ascii="Times New Roman" w:hAnsi="Times New Roman"/>
          <w:b/>
          <w:sz w:val="24"/>
          <w:szCs w:val="24"/>
          <w:lang w:val="en-GB"/>
        </w:rPr>
        <w:t>4</w:t>
      </w:r>
      <w:r w:rsidRPr="002C7B68">
        <w:rPr>
          <w:rFonts w:ascii="Times New Roman" w:hAnsi="Times New Roman"/>
          <w:b/>
          <w:sz w:val="24"/>
          <w:szCs w:val="24"/>
          <w:lang w:val="en-GB"/>
        </w:rPr>
        <w:t>.</w:t>
      </w:r>
      <w:r w:rsidRPr="002C7B68">
        <w:rPr>
          <w:rFonts w:ascii="Times New Roman" w:hAnsi="Times New Roman"/>
          <w:sz w:val="24"/>
          <w:szCs w:val="24"/>
          <w:lang w:val="en-GB"/>
        </w:rPr>
        <w:t xml:space="preserve"> Probability of target attainment for </w:t>
      </w:r>
      <w:r w:rsidRPr="002C7B68">
        <w:rPr>
          <w:rFonts w:ascii="Times New Roman" w:hAnsi="Times New Roman"/>
          <w:i/>
          <w:sz w:val="24"/>
          <w:szCs w:val="24"/>
          <w:lang w:val="en-GB"/>
        </w:rPr>
        <w:t>E. coli</w:t>
      </w:r>
      <w:r w:rsidRPr="002C7B68">
        <w:rPr>
          <w:rFonts w:ascii="Times New Roman" w:hAnsi="Times New Roman"/>
          <w:sz w:val="24"/>
          <w:szCs w:val="24"/>
          <w:lang w:val="en-GB"/>
        </w:rPr>
        <w:t xml:space="preserve"> for static effect (</w:t>
      </w:r>
      <w:r w:rsidRPr="002C7B68">
        <w:rPr>
          <w:rFonts w:ascii="Times New Roman" w:hAnsi="Times New Roman"/>
          <w:i/>
          <w:sz w:val="24"/>
          <w:szCs w:val="24"/>
          <w:lang w:val="en-GB"/>
        </w:rPr>
        <w:t>f</w:t>
      </w:r>
      <w:r w:rsidRPr="002C7B68">
        <w:rPr>
          <w:rFonts w:ascii="Times New Roman" w:hAnsi="Times New Roman"/>
          <w:sz w:val="24"/>
          <w:szCs w:val="24"/>
          <w:lang w:val="en-GB"/>
        </w:rPr>
        <w:t>AUC</w:t>
      </w:r>
      <w:r w:rsidRPr="002C7B68">
        <w:rPr>
          <w:rFonts w:ascii="Times New Roman" w:hAnsi="Times New Roman"/>
          <w:sz w:val="24"/>
          <w:szCs w:val="24"/>
          <w:vertAlign w:val="subscript"/>
          <w:lang w:val="en-GB"/>
        </w:rPr>
        <w:t>0-24</w:t>
      </w:r>
      <w:r w:rsidRPr="002C7B68">
        <w:rPr>
          <w:rFonts w:ascii="Times New Roman" w:hAnsi="Times New Roman"/>
          <w:sz w:val="24"/>
          <w:szCs w:val="24"/>
          <w:lang w:val="en-GB"/>
        </w:rPr>
        <w:t>/MIC = 19.3), for 1-log bacterial reduction (</w:t>
      </w:r>
      <w:r w:rsidRPr="002C7B68">
        <w:rPr>
          <w:rFonts w:ascii="Times New Roman" w:hAnsi="Times New Roman"/>
          <w:i/>
          <w:sz w:val="24"/>
          <w:szCs w:val="24"/>
          <w:lang w:val="en-GB"/>
        </w:rPr>
        <w:t>f</w:t>
      </w:r>
      <w:r w:rsidRPr="002C7B68">
        <w:rPr>
          <w:rFonts w:ascii="Times New Roman" w:hAnsi="Times New Roman"/>
          <w:sz w:val="24"/>
          <w:szCs w:val="24"/>
          <w:lang w:val="en-GB"/>
        </w:rPr>
        <w:t>AUC</w:t>
      </w:r>
      <w:r w:rsidRPr="002C7B68">
        <w:rPr>
          <w:rFonts w:ascii="Times New Roman" w:hAnsi="Times New Roman"/>
          <w:sz w:val="24"/>
          <w:szCs w:val="24"/>
          <w:vertAlign w:val="subscript"/>
          <w:lang w:val="en-GB"/>
        </w:rPr>
        <w:t>0-24</w:t>
      </w:r>
      <w:r w:rsidRPr="002C7B68">
        <w:rPr>
          <w:rFonts w:ascii="Times New Roman" w:hAnsi="Times New Roman"/>
          <w:sz w:val="24"/>
          <w:szCs w:val="24"/>
          <w:lang w:val="en-GB"/>
        </w:rPr>
        <w:t>/MIC = 87.5), and for bacterial resistance suppression (</w:t>
      </w:r>
      <w:r w:rsidRPr="002C7B68">
        <w:rPr>
          <w:rFonts w:ascii="Times New Roman" w:hAnsi="Times New Roman"/>
          <w:i/>
          <w:sz w:val="24"/>
          <w:szCs w:val="24"/>
          <w:lang w:val="en-GB"/>
        </w:rPr>
        <w:t>f</w:t>
      </w:r>
      <w:r w:rsidRPr="002C7B68">
        <w:rPr>
          <w:rFonts w:ascii="Times New Roman" w:hAnsi="Times New Roman"/>
          <w:sz w:val="24"/>
          <w:szCs w:val="24"/>
          <w:lang w:val="en-GB"/>
        </w:rPr>
        <w:t>AUC</w:t>
      </w:r>
      <w:r w:rsidRPr="002C7B68">
        <w:rPr>
          <w:rFonts w:ascii="Times New Roman" w:hAnsi="Times New Roman"/>
          <w:sz w:val="24"/>
          <w:szCs w:val="24"/>
          <w:vertAlign w:val="subscript"/>
          <w:lang w:val="en-GB"/>
        </w:rPr>
        <w:t>0-24</w:t>
      </w:r>
      <w:r w:rsidRPr="002C7B68">
        <w:rPr>
          <w:rFonts w:ascii="Times New Roman" w:hAnsi="Times New Roman"/>
          <w:sz w:val="24"/>
          <w:szCs w:val="24"/>
          <w:lang w:val="en-GB"/>
        </w:rPr>
        <w:t>/MIC = 3136) at each fosfomycin MIC. Black dashed lines represents EUCAST and CLSI susceptibility breakpoints for fosfomycin.</w:t>
      </w:r>
    </w:p>
    <w:p w14:paraId="02D85182" w14:textId="77777777" w:rsidR="00975671" w:rsidRPr="002C7B68" w:rsidRDefault="00975671" w:rsidP="00975671">
      <w:pPr>
        <w:spacing w:after="0"/>
        <w:jc w:val="both"/>
        <w:rPr>
          <w:rFonts w:ascii="Times New Roman" w:hAnsi="Times New Roman"/>
          <w:sz w:val="24"/>
          <w:szCs w:val="24"/>
          <w:lang w:val="en-GB"/>
        </w:rPr>
      </w:pPr>
    </w:p>
    <w:p w14:paraId="3FBB8C92" w14:textId="77777777" w:rsidR="00975671" w:rsidRPr="002C7B68" w:rsidRDefault="00975671" w:rsidP="00975671">
      <w:pPr>
        <w:spacing w:after="0"/>
        <w:jc w:val="both"/>
        <w:rPr>
          <w:rFonts w:ascii="Times New Roman" w:hAnsi="Times New Roman"/>
          <w:sz w:val="24"/>
          <w:szCs w:val="24"/>
          <w:lang w:val="en-GB"/>
        </w:rPr>
      </w:pPr>
    </w:p>
    <w:p w14:paraId="190C8290" w14:textId="77777777" w:rsidR="00975671" w:rsidRPr="002C7B68" w:rsidRDefault="00975671" w:rsidP="00975671">
      <w:pPr>
        <w:spacing w:after="0"/>
        <w:jc w:val="both"/>
        <w:rPr>
          <w:rFonts w:ascii="Times New Roman" w:hAnsi="Times New Roman"/>
          <w:sz w:val="24"/>
          <w:szCs w:val="24"/>
          <w:lang w:val="en-GB"/>
        </w:rPr>
      </w:pPr>
    </w:p>
    <w:p w14:paraId="1AED1C35" w14:textId="77777777" w:rsidR="00975671" w:rsidRPr="002C7B68" w:rsidRDefault="00975671">
      <w:pPr>
        <w:spacing w:after="0" w:line="240" w:lineRule="auto"/>
        <w:rPr>
          <w:rFonts w:ascii="Times New Roman" w:hAnsi="Times New Roman"/>
          <w:b/>
          <w:sz w:val="24"/>
          <w:szCs w:val="24"/>
          <w:lang w:val="en-GB"/>
        </w:rPr>
      </w:pPr>
      <w:r w:rsidRPr="002C7B68">
        <w:rPr>
          <w:rFonts w:ascii="Times New Roman" w:hAnsi="Times New Roman"/>
          <w:b/>
          <w:sz w:val="24"/>
          <w:szCs w:val="24"/>
          <w:lang w:val="en-GB"/>
        </w:rPr>
        <w:br w:type="page"/>
      </w:r>
    </w:p>
    <w:p w14:paraId="4C222865" w14:textId="15FCE1A7" w:rsidR="007218B3" w:rsidRPr="002C7B68" w:rsidRDefault="007218B3" w:rsidP="007218B3">
      <w:pPr>
        <w:spacing w:after="0" w:line="240" w:lineRule="auto"/>
        <w:rPr>
          <w:rFonts w:ascii="Times New Roman" w:hAnsi="Times New Roman"/>
          <w:b/>
          <w:sz w:val="24"/>
          <w:szCs w:val="24"/>
          <w:lang w:val="en-GB"/>
        </w:rPr>
      </w:pPr>
      <w:r w:rsidRPr="002C7B68">
        <w:rPr>
          <w:rFonts w:ascii="Times New Roman" w:hAnsi="Times New Roman"/>
          <w:b/>
          <w:sz w:val="24"/>
          <w:szCs w:val="24"/>
          <w:lang w:val="en-GB"/>
        </w:rPr>
        <w:lastRenderedPageBreak/>
        <w:t>Table S1. Individual pharmacokinetic parameters</w:t>
      </w:r>
    </w:p>
    <w:p w14:paraId="366F2B80" w14:textId="77777777" w:rsidR="004B3CCC" w:rsidRPr="002C7B68" w:rsidRDefault="004B3CCC">
      <w:pPr>
        <w:spacing w:after="0" w:line="240" w:lineRule="auto"/>
        <w:rPr>
          <w:rFonts w:ascii="Times New Roman" w:hAnsi="Times New Roman"/>
          <w:b/>
          <w:sz w:val="24"/>
          <w:szCs w:val="24"/>
          <w:lang w:val="en-GB"/>
        </w:rPr>
      </w:pPr>
    </w:p>
    <w:p w14:paraId="6BB350CF" w14:textId="77777777" w:rsidR="004B3CCC" w:rsidRPr="002C7B68" w:rsidRDefault="004B3CCC">
      <w:pPr>
        <w:spacing w:after="0" w:line="240" w:lineRule="auto"/>
        <w:rPr>
          <w:rFonts w:ascii="Times New Roman" w:hAnsi="Times New Roman"/>
          <w:b/>
          <w:sz w:val="24"/>
          <w:szCs w:val="24"/>
          <w:lang w:val="en-GB"/>
        </w:rPr>
      </w:pPr>
    </w:p>
    <w:tbl>
      <w:tblPr>
        <w:tblW w:w="7052" w:type="dxa"/>
        <w:jc w:val="center"/>
        <w:tblCellMar>
          <w:left w:w="70" w:type="dxa"/>
          <w:right w:w="70" w:type="dxa"/>
        </w:tblCellMar>
        <w:tblLook w:val="04A0" w:firstRow="1" w:lastRow="0" w:firstColumn="1" w:lastColumn="0" w:noHBand="0" w:noVBand="1"/>
      </w:tblPr>
      <w:tblGrid>
        <w:gridCol w:w="962"/>
        <w:gridCol w:w="1300"/>
        <w:gridCol w:w="1127"/>
        <w:gridCol w:w="809"/>
        <w:gridCol w:w="809"/>
        <w:gridCol w:w="809"/>
        <w:gridCol w:w="1236"/>
      </w:tblGrid>
      <w:tr w:rsidR="006D37BA" w:rsidRPr="00BC3C5F" w14:paraId="11B7D162" w14:textId="77777777" w:rsidTr="0003148E">
        <w:trPr>
          <w:trHeight w:val="960"/>
          <w:jc w:val="center"/>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089EC" w14:textId="77777777" w:rsidR="006D37BA" w:rsidRPr="002C7B68" w:rsidRDefault="006D37BA" w:rsidP="006604D8">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Patient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1564119" w14:textId="77777777" w:rsidR="00B973D9" w:rsidRDefault="006D37BA" w:rsidP="006604D8">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Crcl</w:t>
            </w:r>
          </w:p>
          <w:p w14:paraId="434CCC11" w14:textId="34281910" w:rsidR="006D37BA" w:rsidRPr="002C7B68" w:rsidRDefault="006D37BA" w:rsidP="006604D8">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w:t>
            </w:r>
            <w:r w:rsidR="00D45309">
              <w:rPr>
                <w:rFonts w:ascii="Times New Roman" w:hAnsi="Times New Roman"/>
                <w:b/>
                <w:color w:val="000000"/>
                <w:sz w:val="24"/>
                <w:szCs w:val="24"/>
                <w:lang w:val="en-GB" w:eastAsia="es-ES_tradnl"/>
              </w:rPr>
              <w:t>L/</w:t>
            </w:r>
            <w:r w:rsidR="00B973D9">
              <w:rPr>
                <w:rFonts w:ascii="Times New Roman" w:hAnsi="Times New Roman"/>
                <w:b/>
                <w:color w:val="000000"/>
                <w:sz w:val="24"/>
                <w:szCs w:val="24"/>
                <w:lang w:val="en-GB" w:eastAsia="es-ES_tradnl"/>
              </w:rPr>
              <w:t>h</w:t>
            </w:r>
            <w:r w:rsidRPr="002C7B68">
              <w:rPr>
                <w:rFonts w:ascii="Times New Roman" w:hAnsi="Times New Roman"/>
                <w:b/>
                <w:color w:val="000000"/>
                <w:sz w:val="24"/>
                <w:szCs w:val="24"/>
                <w:lang w:val="en-GB" w:eastAsia="es-ES_tradnl"/>
              </w:rPr>
              <w:t>)</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5F4AB9A9" w14:textId="09FDF28E" w:rsidR="006D37BA" w:rsidRPr="006D37BA" w:rsidRDefault="006D37BA" w:rsidP="006604D8">
            <w:pPr>
              <w:spacing w:after="0" w:line="240" w:lineRule="auto"/>
              <w:jc w:val="center"/>
              <w:rPr>
                <w:rFonts w:ascii="Times New Roman" w:hAnsi="Times New Roman"/>
                <w:b/>
                <w:color w:val="000000"/>
                <w:sz w:val="24"/>
                <w:szCs w:val="24"/>
                <w:lang w:val="en-GB" w:eastAsia="es-ES_tradnl"/>
              </w:rPr>
            </w:pPr>
            <w:r w:rsidRPr="006D37BA">
              <w:rPr>
                <w:rFonts w:ascii="Times New Roman" w:hAnsi="Times New Roman"/>
                <w:b/>
                <w:color w:val="000000"/>
                <w:sz w:val="24"/>
                <w:szCs w:val="24"/>
                <w:lang w:val="en-GB" w:eastAsia="es-ES_tradnl"/>
              </w:rPr>
              <w:t>Int</w:t>
            </w:r>
          </w:p>
          <w:p w14:paraId="743D7BF1" w14:textId="0E60EFBC" w:rsidR="006D37BA" w:rsidRPr="002C7B68" w:rsidRDefault="006D37BA" w:rsidP="006604D8">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sz w:val="24"/>
                <w:szCs w:val="24"/>
                <w:lang w:val="en-GB"/>
              </w:rPr>
              <w:t>(</w:t>
            </w:r>
            <w:r w:rsidR="00D45309">
              <w:rPr>
                <w:rFonts w:ascii="Times New Roman" w:hAnsi="Times New Roman"/>
                <w:b/>
                <w:sz w:val="24"/>
                <w:szCs w:val="24"/>
                <w:lang w:val="en-GB"/>
              </w:rPr>
              <w:t>L/</w:t>
            </w:r>
            <w:r w:rsidR="00B973D9">
              <w:rPr>
                <w:rFonts w:ascii="Times New Roman" w:hAnsi="Times New Roman"/>
                <w:b/>
                <w:sz w:val="24"/>
                <w:szCs w:val="24"/>
                <w:lang w:val="en-GB"/>
              </w:rPr>
              <w:t>h</w:t>
            </w:r>
            <w:r w:rsidRPr="002C7B68">
              <w:rPr>
                <w:rFonts w:ascii="Times New Roman" w:hAnsi="Times New Roman"/>
                <w:b/>
                <w:sz w:val="24"/>
                <w:szCs w:val="24"/>
                <w:lang w:val="en-GB"/>
              </w:rPr>
              <w:t>)</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75C8CF99" w14:textId="64A8262E" w:rsidR="006D37BA" w:rsidRPr="002C7B68" w:rsidRDefault="006D37BA" w:rsidP="006604D8">
            <w:pPr>
              <w:spacing w:after="0" w:line="240" w:lineRule="auto"/>
              <w:jc w:val="center"/>
              <w:rPr>
                <w:rFonts w:ascii="Times New Roman" w:hAnsi="Times New Roman"/>
                <w:b/>
                <w:color w:val="000000"/>
                <w:sz w:val="24"/>
                <w:szCs w:val="24"/>
                <w:lang w:val="en-GB" w:eastAsia="es-ES_tradnl"/>
              </w:rPr>
            </w:pPr>
            <w:r w:rsidRPr="006D37BA">
              <w:rPr>
                <w:rFonts w:ascii="Times New Roman" w:hAnsi="Times New Roman"/>
                <w:b/>
                <w:color w:val="000000"/>
                <w:sz w:val="24"/>
                <w:szCs w:val="24"/>
                <w:lang w:val="en-GB" w:eastAsia="es-ES_tradnl"/>
              </w:rPr>
              <w:t>S</w:t>
            </w:r>
            <w:r w:rsidRPr="002C7B68">
              <w:rPr>
                <w:rFonts w:ascii="Times New Roman" w:hAnsi="Times New Roman"/>
                <w:b/>
                <w:color w:val="000000"/>
                <w:sz w:val="24"/>
                <w:szCs w:val="24"/>
                <w:lang w:val="en-GB" w:eastAsia="es-ES_tradnl"/>
              </w:rPr>
              <w:t>lope</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434C94C6" w14:textId="77777777" w:rsidR="006D37BA" w:rsidRPr="002C7B68" w:rsidRDefault="006D37BA" w:rsidP="006604D8">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Vc</w:t>
            </w:r>
          </w:p>
          <w:p w14:paraId="33D114F2" w14:textId="133DC21D" w:rsidR="006D37BA" w:rsidRPr="002C7B68" w:rsidRDefault="006D37BA" w:rsidP="006604D8">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(L)</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3248B862" w14:textId="77777777" w:rsidR="006D37BA" w:rsidRPr="006D37BA" w:rsidRDefault="006D37BA" w:rsidP="006604D8">
            <w:pPr>
              <w:spacing w:after="0" w:line="240" w:lineRule="auto"/>
              <w:jc w:val="center"/>
              <w:rPr>
                <w:rFonts w:ascii="Times New Roman" w:hAnsi="Times New Roman"/>
                <w:b/>
                <w:sz w:val="24"/>
                <w:szCs w:val="24"/>
                <w:vertAlign w:val="subscript"/>
                <w:lang w:val="en-GB"/>
              </w:rPr>
            </w:pPr>
            <w:r w:rsidRPr="002C7B68">
              <w:rPr>
                <w:rFonts w:ascii="Times New Roman" w:hAnsi="Times New Roman"/>
                <w:b/>
                <w:sz w:val="24"/>
                <w:szCs w:val="24"/>
                <w:lang w:val="en-GB"/>
              </w:rPr>
              <w:t>K</w:t>
            </w:r>
            <w:r w:rsidRPr="002C7B68">
              <w:rPr>
                <w:rFonts w:ascii="Times New Roman" w:hAnsi="Times New Roman"/>
                <w:b/>
                <w:sz w:val="24"/>
                <w:szCs w:val="24"/>
                <w:vertAlign w:val="subscript"/>
                <w:lang w:val="en-GB"/>
              </w:rPr>
              <w:t>cp</w:t>
            </w:r>
          </w:p>
          <w:p w14:paraId="771D6532" w14:textId="16DA2E82" w:rsidR="006D37BA" w:rsidRPr="002C7B68" w:rsidRDefault="006D37BA" w:rsidP="006604D8">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sz w:val="24"/>
                <w:szCs w:val="24"/>
                <w:lang w:val="en-GB"/>
              </w:rPr>
              <w:t>(</w:t>
            </w:r>
            <w:r w:rsidRPr="002C7B68">
              <w:rPr>
                <w:rFonts w:ascii="Times New Roman" w:hAnsi="Times New Roman"/>
                <w:b/>
                <w:bCs/>
                <w:sz w:val="24"/>
                <w:szCs w:val="24"/>
                <w:lang w:val="en-GB"/>
              </w:rPr>
              <w:t>h</w:t>
            </w:r>
            <w:r w:rsidRPr="002C7B68">
              <w:rPr>
                <w:rFonts w:ascii="Times New Roman" w:hAnsi="Times New Roman"/>
                <w:b/>
                <w:bCs/>
                <w:sz w:val="24"/>
                <w:szCs w:val="24"/>
                <w:vertAlign w:val="superscript"/>
                <w:lang w:val="en-GB"/>
              </w:rPr>
              <w:t>-1</w:t>
            </w:r>
            <w:r w:rsidRPr="002C7B68">
              <w:rPr>
                <w:rFonts w:ascii="Times New Roman" w:hAnsi="Times New Roman"/>
                <w:b/>
                <w:sz w:val="24"/>
                <w:szCs w:val="24"/>
                <w:lang w:val="en-GB"/>
              </w:rPr>
              <w:t>)</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17BDF2C9" w14:textId="77777777" w:rsidR="006D37BA" w:rsidRPr="006D37BA" w:rsidRDefault="006D37BA" w:rsidP="006604D8">
            <w:pPr>
              <w:spacing w:after="0" w:line="240" w:lineRule="auto"/>
              <w:jc w:val="center"/>
              <w:rPr>
                <w:rFonts w:ascii="Times New Roman" w:hAnsi="Times New Roman"/>
                <w:b/>
                <w:sz w:val="24"/>
                <w:szCs w:val="24"/>
                <w:vertAlign w:val="subscript"/>
                <w:lang w:val="en-GB"/>
              </w:rPr>
            </w:pPr>
            <w:r w:rsidRPr="002C7B68">
              <w:rPr>
                <w:rFonts w:ascii="Times New Roman" w:hAnsi="Times New Roman"/>
                <w:b/>
                <w:sz w:val="24"/>
                <w:szCs w:val="24"/>
                <w:lang w:val="en-GB"/>
              </w:rPr>
              <w:t>K</w:t>
            </w:r>
            <w:r w:rsidRPr="002C7B68">
              <w:rPr>
                <w:rFonts w:ascii="Times New Roman" w:hAnsi="Times New Roman"/>
                <w:b/>
                <w:sz w:val="24"/>
                <w:szCs w:val="24"/>
                <w:vertAlign w:val="subscript"/>
                <w:lang w:val="en-GB"/>
              </w:rPr>
              <w:t>p</w:t>
            </w:r>
            <w:r w:rsidRPr="006D37BA">
              <w:rPr>
                <w:rFonts w:ascii="Times New Roman" w:hAnsi="Times New Roman"/>
                <w:b/>
                <w:sz w:val="24"/>
                <w:szCs w:val="24"/>
                <w:vertAlign w:val="subscript"/>
                <w:lang w:val="en-GB"/>
              </w:rPr>
              <w:t>c</w:t>
            </w:r>
          </w:p>
          <w:p w14:paraId="3DC034D6" w14:textId="51C54391" w:rsidR="006D37BA" w:rsidRPr="002C7B68" w:rsidRDefault="006D37BA" w:rsidP="006604D8">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sz w:val="24"/>
                <w:szCs w:val="24"/>
                <w:lang w:val="en-GB"/>
              </w:rPr>
              <w:t>(</w:t>
            </w:r>
            <w:r w:rsidRPr="002C7B68">
              <w:rPr>
                <w:rFonts w:ascii="Times New Roman" w:hAnsi="Times New Roman"/>
                <w:b/>
                <w:bCs/>
                <w:sz w:val="24"/>
                <w:szCs w:val="24"/>
                <w:lang w:val="en-GB"/>
              </w:rPr>
              <w:t>h</w:t>
            </w:r>
            <w:r w:rsidRPr="002C7B68">
              <w:rPr>
                <w:rFonts w:ascii="Times New Roman" w:hAnsi="Times New Roman"/>
                <w:b/>
                <w:bCs/>
                <w:sz w:val="24"/>
                <w:szCs w:val="24"/>
                <w:vertAlign w:val="superscript"/>
                <w:lang w:val="en-GB"/>
              </w:rPr>
              <w:t>-1</w:t>
            </w:r>
            <w:r w:rsidRPr="002C7B68">
              <w:rPr>
                <w:rFonts w:ascii="Times New Roman" w:hAnsi="Times New Roman"/>
                <w:b/>
                <w:sz w:val="24"/>
                <w:szCs w:val="24"/>
                <w:lang w:val="en-GB"/>
              </w:rPr>
              <w:t>)</w:t>
            </w:r>
          </w:p>
        </w:tc>
      </w:tr>
      <w:tr w:rsidR="0003148E" w:rsidRPr="00BC3C5F" w14:paraId="0EA6864E"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53E855B2" w14:textId="6BF43948"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1</w:t>
            </w:r>
          </w:p>
        </w:tc>
        <w:tc>
          <w:tcPr>
            <w:tcW w:w="1300" w:type="dxa"/>
            <w:tcBorders>
              <w:top w:val="nil"/>
              <w:left w:val="nil"/>
              <w:bottom w:val="single" w:sz="4" w:space="0" w:color="auto"/>
              <w:right w:val="single" w:sz="4" w:space="0" w:color="auto"/>
            </w:tcBorders>
            <w:shd w:val="clear" w:color="auto" w:fill="auto"/>
            <w:noWrap/>
            <w:vAlign w:val="bottom"/>
            <w:hideMark/>
          </w:tcPr>
          <w:p w14:paraId="601DEB32" w14:textId="47DC5371"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1.51</w:t>
            </w:r>
          </w:p>
        </w:tc>
        <w:tc>
          <w:tcPr>
            <w:tcW w:w="1127" w:type="dxa"/>
            <w:tcBorders>
              <w:top w:val="nil"/>
              <w:left w:val="nil"/>
              <w:bottom w:val="single" w:sz="4" w:space="0" w:color="auto"/>
              <w:right w:val="single" w:sz="4" w:space="0" w:color="auto"/>
            </w:tcBorders>
            <w:shd w:val="clear" w:color="auto" w:fill="auto"/>
            <w:noWrap/>
            <w:vAlign w:val="bottom"/>
            <w:hideMark/>
          </w:tcPr>
          <w:p w14:paraId="76D4D3B3" w14:textId="656A532D"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0.26</w:t>
            </w:r>
          </w:p>
        </w:tc>
        <w:tc>
          <w:tcPr>
            <w:tcW w:w="809" w:type="dxa"/>
            <w:tcBorders>
              <w:top w:val="nil"/>
              <w:left w:val="nil"/>
              <w:bottom w:val="single" w:sz="4" w:space="0" w:color="auto"/>
              <w:right w:val="single" w:sz="4" w:space="0" w:color="auto"/>
            </w:tcBorders>
            <w:shd w:val="clear" w:color="auto" w:fill="auto"/>
            <w:noWrap/>
            <w:vAlign w:val="bottom"/>
            <w:hideMark/>
          </w:tcPr>
          <w:p w14:paraId="5DCA6180" w14:textId="692DA775"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0.13</w:t>
            </w:r>
          </w:p>
        </w:tc>
        <w:tc>
          <w:tcPr>
            <w:tcW w:w="809" w:type="dxa"/>
            <w:tcBorders>
              <w:top w:val="nil"/>
              <w:left w:val="nil"/>
              <w:bottom w:val="single" w:sz="4" w:space="0" w:color="auto"/>
              <w:right w:val="single" w:sz="4" w:space="0" w:color="auto"/>
            </w:tcBorders>
            <w:shd w:val="clear" w:color="auto" w:fill="auto"/>
            <w:noWrap/>
            <w:vAlign w:val="bottom"/>
            <w:hideMark/>
          </w:tcPr>
          <w:p w14:paraId="380B65DC" w14:textId="5CDDB798"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11.28</w:t>
            </w:r>
          </w:p>
        </w:tc>
        <w:tc>
          <w:tcPr>
            <w:tcW w:w="809" w:type="dxa"/>
            <w:tcBorders>
              <w:top w:val="nil"/>
              <w:left w:val="nil"/>
              <w:bottom w:val="single" w:sz="4" w:space="0" w:color="auto"/>
              <w:right w:val="single" w:sz="4" w:space="0" w:color="auto"/>
            </w:tcBorders>
            <w:shd w:val="clear" w:color="auto" w:fill="auto"/>
            <w:noWrap/>
            <w:vAlign w:val="bottom"/>
            <w:hideMark/>
          </w:tcPr>
          <w:p w14:paraId="284F7427" w14:textId="63612544"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13.45</w:t>
            </w:r>
          </w:p>
        </w:tc>
        <w:tc>
          <w:tcPr>
            <w:tcW w:w="1236" w:type="dxa"/>
            <w:tcBorders>
              <w:top w:val="nil"/>
              <w:left w:val="nil"/>
              <w:bottom w:val="single" w:sz="4" w:space="0" w:color="auto"/>
              <w:right w:val="single" w:sz="4" w:space="0" w:color="auto"/>
            </w:tcBorders>
            <w:shd w:val="clear" w:color="auto" w:fill="auto"/>
            <w:noWrap/>
            <w:vAlign w:val="bottom"/>
            <w:hideMark/>
          </w:tcPr>
          <w:p w14:paraId="0B27BDBC" w14:textId="3CEBC31F"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96.26</w:t>
            </w:r>
          </w:p>
        </w:tc>
      </w:tr>
      <w:tr w:rsidR="0003148E" w:rsidRPr="00BC3C5F" w14:paraId="1FCB9D00"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257B09DF" w14:textId="77777777"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2</w:t>
            </w:r>
          </w:p>
        </w:tc>
        <w:tc>
          <w:tcPr>
            <w:tcW w:w="1300" w:type="dxa"/>
            <w:tcBorders>
              <w:top w:val="nil"/>
              <w:left w:val="nil"/>
              <w:bottom w:val="single" w:sz="4" w:space="0" w:color="auto"/>
              <w:right w:val="single" w:sz="4" w:space="0" w:color="auto"/>
            </w:tcBorders>
            <w:shd w:val="clear" w:color="auto" w:fill="auto"/>
            <w:noWrap/>
            <w:vAlign w:val="bottom"/>
            <w:hideMark/>
          </w:tcPr>
          <w:p w14:paraId="4855DF3F" w14:textId="66FD7BC9"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3.75</w:t>
            </w:r>
          </w:p>
        </w:tc>
        <w:tc>
          <w:tcPr>
            <w:tcW w:w="1127" w:type="dxa"/>
            <w:tcBorders>
              <w:top w:val="nil"/>
              <w:left w:val="nil"/>
              <w:bottom w:val="single" w:sz="4" w:space="0" w:color="auto"/>
              <w:right w:val="single" w:sz="4" w:space="0" w:color="auto"/>
            </w:tcBorders>
            <w:shd w:val="clear" w:color="auto" w:fill="auto"/>
            <w:noWrap/>
            <w:vAlign w:val="bottom"/>
            <w:hideMark/>
          </w:tcPr>
          <w:p w14:paraId="21623C45" w14:textId="210C8D7C"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0.27</w:t>
            </w:r>
          </w:p>
        </w:tc>
        <w:tc>
          <w:tcPr>
            <w:tcW w:w="809" w:type="dxa"/>
            <w:tcBorders>
              <w:top w:val="nil"/>
              <w:left w:val="nil"/>
              <w:bottom w:val="single" w:sz="4" w:space="0" w:color="auto"/>
              <w:right w:val="single" w:sz="4" w:space="0" w:color="auto"/>
            </w:tcBorders>
            <w:shd w:val="clear" w:color="auto" w:fill="auto"/>
            <w:noWrap/>
            <w:vAlign w:val="bottom"/>
            <w:hideMark/>
          </w:tcPr>
          <w:p w14:paraId="50AEE860" w14:textId="04979E0E"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0.43</w:t>
            </w:r>
          </w:p>
        </w:tc>
        <w:tc>
          <w:tcPr>
            <w:tcW w:w="809" w:type="dxa"/>
            <w:tcBorders>
              <w:top w:val="nil"/>
              <w:left w:val="nil"/>
              <w:bottom w:val="single" w:sz="4" w:space="0" w:color="auto"/>
              <w:right w:val="single" w:sz="4" w:space="0" w:color="auto"/>
            </w:tcBorders>
            <w:shd w:val="clear" w:color="auto" w:fill="auto"/>
            <w:noWrap/>
            <w:vAlign w:val="bottom"/>
            <w:hideMark/>
          </w:tcPr>
          <w:p w14:paraId="61158563" w14:textId="0C1A2B68"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11.81</w:t>
            </w:r>
          </w:p>
        </w:tc>
        <w:tc>
          <w:tcPr>
            <w:tcW w:w="809" w:type="dxa"/>
            <w:tcBorders>
              <w:top w:val="nil"/>
              <w:left w:val="nil"/>
              <w:bottom w:val="single" w:sz="4" w:space="0" w:color="auto"/>
              <w:right w:val="single" w:sz="4" w:space="0" w:color="auto"/>
            </w:tcBorders>
            <w:shd w:val="clear" w:color="auto" w:fill="auto"/>
            <w:noWrap/>
            <w:vAlign w:val="bottom"/>
            <w:hideMark/>
          </w:tcPr>
          <w:p w14:paraId="11AB10FE" w14:textId="0D1F4D6E"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3.96</w:t>
            </w:r>
          </w:p>
        </w:tc>
        <w:tc>
          <w:tcPr>
            <w:tcW w:w="1236" w:type="dxa"/>
            <w:tcBorders>
              <w:top w:val="nil"/>
              <w:left w:val="nil"/>
              <w:bottom w:val="single" w:sz="4" w:space="0" w:color="auto"/>
              <w:right w:val="single" w:sz="4" w:space="0" w:color="auto"/>
            </w:tcBorders>
            <w:shd w:val="clear" w:color="auto" w:fill="auto"/>
            <w:noWrap/>
            <w:vAlign w:val="bottom"/>
            <w:hideMark/>
          </w:tcPr>
          <w:p w14:paraId="6AB79492" w14:textId="26A81C27"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76.87</w:t>
            </w:r>
          </w:p>
        </w:tc>
      </w:tr>
      <w:tr w:rsidR="0003148E" w:rsidRPr="00BC3C5F" w14:paraId="4BC3AC97"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6152DB6B" w14:textId="77777777"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3</w:t>
            </w:r>
          </w:p>
        </w:tc>
        <w:tc>
          <w:tcPr>
            <w:tcW w:w="1300" w:type="dxa"/>
            <w:tcBorders>
              <w:top w:val="nil"/>
              <w:left w:val="nil"/>
              <w:bottom w:val="single" w:sz="4" w:space="0" w:color="auto"/>
              <w:right w:val="single" w:sz="4" w:space="0" w:color="auto"/>
            </w:tcBorders>
            <w:shd w:val="clear" w:color="auto" w:fill="auto"/>
            <w:noWrap/>
            <w:vAlign w:val="bottom"/>
            <w:hideMark/>
          </w:tcPr>
          <w:p w14:paraId="42B59DBA" w14:textId="10F68F86"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1.79</w:t>
            </w:r>
          </w:p>
        </w:tc>
        <w:tc>
          <w:tcPr>
            <w:tcW w:w="1127" w:type="dxa"/>
            <w:tcBorders>
              <w:top w:val="nil"/>
              <w:left w:val="nil"/>
              <w:bottom w:val="single" w:sz="4" w:space="0" w:color="auto"/>
              <w:right w:val="single" w:sz="4" w:space="0" w:color="auto"/>
            </w:tcBorders>
            <w:shd w:val="clear" w:color="auto" w:fill="auto"/>
            <w:noWrap/>
            <w:vAlign w:val="bottom"/>
            <w:hideMark/>
          </w:tcPr>
          <w:p w14:paraId="4C70B7B2" w14:textId="5F223033"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0.43</w:t>
            </w:r>
          </w:p>
        </w:tc>
        <w:tc>
          <w:tcPr>
            <w:tcW w:w="809" w:type="dxa"/>
            <w:tcBorders>
              <w:top w:val="nil"/>
              <w:left w:val="nil"/>
              <w:bottom w:val="single" w:sz="4" w:space="0" w:color="auto"/>
              <w:right w:val="single" w:sz="4" w:space="0" w:color="auto"/>
            </w:tcBorders>
            <w:shd w:val="clear" w:color="auto" w:fill="auto"/>
            <w:noWrap/>
            <w:vAlign w:val="bottom"/>
            <w:hideMark/>
          </w:tcPr>
          <w:p w14:paraId="1B43FA50" w14:textId="3E907AE7"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0.14</w:t>
            </w:r>
          </w:p>
        </w:tc>
        <w:tc>
          <w:tcPr>
            <w:tcW w:w="809" w:type="dxa"/>
            <w:tcBorders>
              <w:top w:val="nil"/>
              <w:left w:val="nil"/>
              <w:bottom w:val="single" w:sz="4" w:space="0" w:color="auto"/>
              <w:right w:val="single" w:sz="4" w:space="0" w:color="auto"/>
            </w:tcBorders>
            <w:shd w:val="clear" w:color="auto" w:fill="auto"/>
            <w:noWrap/>
            <w:vAlign w:val="bottom"/>
            <w:hideMark/>
          </w:tcPr>
          <w:p w14:paraId="19E68FF4" w14:textId="567CEA2F"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10.00</w:t>
            </w:r>
          </w:p>
        </w:tc>
        <w:tc>
          <w:tcPr>
            <w:tcW w:w="809" w:type="dxa"/>
            <w:tcBorders>
              <w:top w:val="nil"/>
              <w:left w:val="nil"/>
              <w:bottom w:val="single" w:sz="4" w:space="0" w:color="auto"/>
              <w:right w:val="single" w:sz="4" w:space="0" w:color="auto"/>
            </w:tcBorders>
            <w:shd w:val="clear" w:color="auto" w:fill="auto"/>
            <w:noWrap/>
            <w:vAlign w:val="bottom"/>
            <w:hideMark/>
          </w:tcPr>
          <w:p w14:paraId="3D2D42A8" w14:textId="1B373AC5"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0.01</w:t>
            </w:r>
          </w:p>
        </w:tc>
        <w:tc>
          <w:tcPr>
            <w:tcW w:w="1236" w:type="dxa"/>
            <w:tcBorders>
              <w:top w:val="nil"/>
              <w:left w:val="nil"/>
              <w:bottom w:val="single" w:sz="4" w:space="0" w:color="auto"/>
              <w:right w:val="single" w:sz="4" w:space="0" w:color="auto"/>
            </w:tcBorders>
            <w:shd w:val="clear" w:color="auto" w:fill="auto"/>
            <w:noWrap/>
            <w:vAlign w:val="bottom"/>
            <w:hideMark/>
          </w:tcPr>
          <w:p w14:paraId="0C62F7A8" w14:textId="2A261E5B"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92.95</w:t>
            </w:r>
          </w:p>
        </w:tc>
      </w:tr>
      <w:tr w:rsidR="0003148E" w:rsidRPr="00BC3C5F" w14:paraId="22A8D235"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2CC0FE6A" w14:textId="77777777"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4</w:t>
            </w:r>
          </w:p>
        </w:tc>
        <w:tc>
          <w:tcPr>
            <w:tcW w:w="1300" w:type="dxa"/>
            <w:tcBorders>
              <w:top w:val="nil"/>
              <w:left w:val="nil"/>
              <w:bottom w:val="single" w:sz="4" w:space="0" w:color="auto"/>
              <w:right w:val="single" w:sz="4" w:space="0" w:color="auto"/>
            </w:tcBorders>
            <w:shd w:val="clear" w:color="auto" w:fill="auto"/>
            <w:noWrap/>
            <w:vAlign w:val="bottom"/>
            <w:hideMark/>
          </w:tcPr>
          <w:p w14:paraId="771761F6" w14:textId="7F1930EE"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5.90</w:t>
            </w:r>
          </w:p>
        </w:tc>
        <w:tc>
          <w:tcPr>
            <w:tcW w:w="1127" w:type="dxa"/>
            <w:tcBorders>
              <w:top w:val="nil"/>
              <w:left w:val="nil"/>
              <w:bottom w:val="single" w:sz="4" w:space="0" w:color="auto"/>
              <w:right w:val="single" w:sz="4" w:space="0" w:color="auto"/>
            </w:tcBorders>
            <w:shd w:val="clear" w:color="auto" w:fill="auto"/>
            <w:noWrap/>
            <w:vAlign w:val="bottom"/>
            <w:hideMark/>
          </w:tcPr>
          <w:p w14:paraId="57161207" w14:textId="6A6EA4AC"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0.52</w:t>
            </w:r>
          </w:p>
        </w:tc>
        <w:tc>
          <w:tcPr>
            <w:tcW w:w="809" w:type="dxa"/>
            <w:tcBorders>
              <w:top w:val="nil"/>
              <w:left w:val="nil"/>
              <w:bottom w:val="single" w:sz="4" w:space="0" w:color="auto"/>
              <w:right w:val="single" w:sz="4" w:space="0" w:color="auto"/>
            </w:tcBorders>
            <w:shd w:val="clear" w:color="auto" w:fill="auto"/>
            <w:noWrap/>
            <w:vAlign w:val="bottom"/>
            <w:hideMark/>
          </w:tcPr>
          <w:p w14:paraId="04BE7388" w14:textId="52F621BE"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0.33</w:t>
            </w:r>
          </w:p>
        </w:tc>
        <w:tc>
          <w:tcPr>
            <w:tcW w:w="809" w:type="dxa"/>
            <w:tcBorders>
              <w:top w:val="nil"/>
              <w:left w:val="nil"/>
              <w:bottom w:val="single" w:sz="4" w:space="0" w:color="auto"/>
              <w:right w:val="single" w:sz="4" w:space="0" w:color="auto"/>
            </w:tcBorders>
            <w:shd w:val="clear" w:color="auto" w:fill="auto"/>
            <w:noWrap/>
            <w:vAlign w:val="bottom"/>
            <w:hideMark/>
          </w:tcPr>
          <w:p w14:paraId="1962EBD8" w14:textId="141381CC"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31.24</w:t>
            </w:r>
          </w:p>
        </w:tc>
        <w:tc>
          <w:tcPr>
            <w:tcW w:w="809" w:type="dxa"/>
            <w:tcBorders>
              <w:top w:val="nil"/>
              <w:left w:val="nil"/>
              <w:bottom w:val="single" w:sz="4" w:space="0" w:color="auto"/>
              <w:right w:val="single" w:sz="4" w:space="0" w:color="auto"/>
            </w:tcBorders>
            <w:shd w:val="clear" w:color="auto" w:fill="auto"/>
            <w:noWrap/>
            <w:vAlign w:val="bottom"/>
            <w:hideMark/>
          </w:tcPr>
          <w:p w14:paraId="02FE833B" w14:textId="4EC644BE"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32.91</w:t>
            </w:r>
          </w:p>
        </w:tc>
        <w:tc>
          <w:tcPr>
            <w:tcW w:w="1236" w:type="dxa"/>
            <w:tcBorders>
              <w:top w:val="nil"/>
              <w:left w:val="nil"/>
              <w:bottom w:val="single" w:sz="4" w:space="0" w:color="auto"/>
              <w:right w:val="single" w:sz="4" w:space="0" w:color="auto"/>
            </w:tcBorders>
            <w:shd w:val="clear" w:color="auto" w:fill="auto"/>
            <w:noWrap/>
            <w:vAlign w:val="bottom"/>
            <w:hideMark/>
          </w:tcPr>
          <w:p w14:paraId="78FD2607" w14:textId="101F8AC3"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42.00</w:t>
            </w:r>
          </w:p>
        </w:tc>
      </w:tr>
      <w:tr w:rsidR="0003148E" w:rsidRPr="00BC3C5F" w14:paraId="584C9ABE"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419508CE" w14:textId="77777777"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5</w:t>
            </w:r>
          </w:p>
        </w:tc>
        <w:tc>
          <w:tcPr>
            <w:tcW w:w="1300" w:type="dxa"/>
            <w:tcBorders>
              <w:top w:val="nil"/>
              <w:left w:val="nil"/>
              <w:bottom w:val="single" w:sz="4" w:space="0" w:color="auto"/>
              <w:right w:val="single" w:sz="4" w:space="0" w:color="auto"/>
            </w:tcBorders>
            <w:shd w:val="clear" w:color="auto" w:fill="auto"/>
            <w:noWrap/>
            <w:vAlign w:val="bottom"/>
            <w:hideMark/>
          </w:tcPr>
          <w:p w14:paraId="7C7603D0" w14:textId="1D9601D8"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4.23</w:t>
            </w:r>
          </w:p>
        </w:tc>
        <w:tc>
          <w:tcPr>
            <w:tcW w:w="1127" w:type="dxa"/>
            <w:tcBorders>
              <w:top w:val="nil"/>
              <w:left w:val="nil"/>
              <w:bottom w:val="single" w:sz="4" w:space="0" w:color="auto"/>
              <w:right w:val="single" w:sz="4" w:space="0" w:color="auto"/>
            </w:tcBorders>
            <w:shd w:val="clear" w:color="auto" w:fill="auto"/>
            <w:noWrap/>
            <w:vAlign w:val="bottom"/>
            <w:hideMark/>
          </w:tcPr>
          <w:p w14:paraId="567D36C6" w14:textId="67BEBBDD"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1.43</w:t>
            </w:r>
          </w:p>
        </w:tc>
        <w:tc>
          <w:tcPr>
            <w:tcW w:w="809" w:type="dxa"/>
            <w:tcBorders>
              <w:top w:val="nil"/>
              <w:left w:val="nil"/>
              <w:bottom w:val="single" w:sz="4" w:space="0" w:color="auto"/>
              <w:right w:val="single" w:sz="4" w:space="0" w:color="auto"/>
            </w:tcBorders>
            <w:shd w:val="clear" w:color="auto" w:fill="auto"/>
            <w:noWrap/>
            <w:vAlign w:val="bottom"/>
            <w:hideMark/>
          </w:tcPr>
          <w:p w14:paraId="1CAB3FA5" w14:textId="19671126"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0.27</w:t>
            </w:r>
          </w:p>
        </w:tc>
        <w:tc>
          <w:tcPr>
            <w:tcW w:w="809" w:type="dxa"/>
            <w:tcBorders>
              <w:top w:val="nil"/>
              <w:left w:val="nil"/>
              <w:bottom w:val="single" w:sz="4" w:space="0" w:color="auto"/>
              <w:right w:val="single" w:sz="4" w:space="0" w:color="auto"/>
            </w:tcBorders>
            <w:shd w:val="clear" w:color="auto" w:fill="auto"/>
            <w:noWrap/>
            <w:vAlign w:val="bottom"/>
            <w:hideMark/>
          </w:tcPr>
          <w:p w14:paraId="70B55E20" w14:textId="689BD385"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10.00</w:t>
            </w:r>
          </w:p>
        </w:tc>
        <w:tc>
          <w:tcPr>
            <w:tcW w:w="809" w:type="dxa"/>
            <w:tcBorders>
              <w:top w:val="nil"/>
              <w:left w:val="nil"/>
              <w:bottom w:val="single" w:sz="4" w:space="0" w:color="auto"/>
              <w:right w:val="single" w:sz="4" w:space="0" w:color="auto"/>
            </w:tcBorders>
            <w:shd w:val="clear" w:color="auto" w:fill="auto"/>
            <w:noWrap/>
            <w:vAlign w:val="bottom"/>
            <w:hideMark/>
          </w:tcPr>
          <w:p w14:paraId="78E8F2E0" w14:textId="6EF335E1"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0.01</w:t>
            </w:r>
          </w:p>
        </w:tc>
        <w:tc>
          <w:tcPr>
            <w:tcW w:w="1236" w:type="dxa"/>
            <w:tcBorders>
              <w:top w:val="nil"/>
              <w:left w:val="nil"/>
              <w:bottom w:val="single" w:sz="4" w:space="0" w:color="auto"/>
              <w:right w:val="single" w:sz="4" w:space="0" w:color="auto"/>
            </w:tcBorders>
            <w:shd w:val="clear" w:color="auto" w:fill="auto"/>
            <w:noWrap/>
            <w:vAlign w:val="bottom"/>
            <w:hideMark/>
          </w:tcPr>
          <w:p w14:paraId="1BBA61F4" w14:textId="1FF8EC45"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80.25</w:t>
            </w:r>
          </w:p>
        </w:tc>
      </w:tr>
      <w:tr w:rsidR="0003148E" w:rsidRPr="00BC3C5F" w14:paraId="2CFCA23E"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0DD94158" w14:textId="77777777"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6</w:t>
            </w:r>
          </w:p>
        </w:tc>
        <w:tc>
          <w:tcPr>
            <w:tcW w:w="1300" w:type="dxa"/>
            <w:tcBorders>
              <w:top w:val="nil"/>
              <w:left w:val="nil"/>
              <w:bottom w:val="single" w:sz="4" w:space="0" w:color="auto"/>
              <w:right w:val="single" w:sz="4" w:space="0" w:color="auto"/>
            </w:tcBorders>
            <w:shd w:val="clear" w:color="auto" w:fill="auto"/>
            <w:noWrap/>
            <w:vAlign w:val="bottom"/>
            <w:hideMark/>
          </w:tcPr>
          <w:p w14:paraId="5C5C8263" w14:textId="53AF2866"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5.10</w:t>
            </w:r>
          </w:p>
        </w:tc>
        <w:tc>
          <w:tcPr>
            <w:tcW w:w="1127" w:type="dxa"/>
            <w:tcBorders>
              <w:top w:val="nil"/>
              <w:left w:val="nil"/>
              <w:bottom w:val="single" w:sz="4" w:space="0" w:color="auto"/>
              <w:right w:val="single" w:sz="4" w:space="0" w:color="auto"/>
            </w:tcBorders>
            <w:shd w:val="clear" w:color="auto" w:fill="auto"/>
            <w:noWrap/>
            <w:vAlign w:val="bottom"/>
            <w:hideMark/>
          </w:tcPr>
          <w:p w14:paraId="6402E7C7" w14:textId="7FBB36C3"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1.26</w:t>
            </w:r>
          </w:p>
        </w:tc>
        <w:tc>
          <w:tcPr>
            <w:tcW w:w="809" w:type="dxa"/>
            <w:tcBorders>
              <w:top w:val="nil"/>
              <w:left w:val="nil"/>
              <w:bottom w:val="single" w:sz="4" w:space="0" w:color="auto"/>
              <w:right w:val="single" w:sz="4" w:space="0" w:color="auto"/>
            </w:tcBorders>
            <w:shd w:val="clear" w:color="auto" w:fill="auto"/>
            <w:noWrap/>
            <w:vAlign w:val="bottom"/>
            <w:hideMark/>
          </w:tcPr>
          <w:p w14:paraId="5E82B8FF" w14:textId="0A51B741"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0.06</w:t>
            </w:r>
          </w:p>
        </w:tc>
        <w:tc>
          <w:tcPr>
            <w:tcW w:w="809" w:type="dxa"/>
            <w:tcBorders>
              <w:top w:val="nil"/>
              <w:left w:val="nil"/>
              <w:bottom w:val="single" w:sz="4" w:space="0" w:color="auto"/>
              <w:right w:val="single" w:sz="4" w:space="0" w:color="auto"/>
            </w:tcBorders>
            <w:shd w:val="clear" w:color="auto" w:fill="auto"/>
            <w:noWrap/>
            <w:vAlign w:val="bottom"/>
            <w:hideMark/>
          </w:tcPr>
          <w:p w14:paraId="58000A91" w14:textId="418B3A23"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11.44</w:t>
            </w:r>
          </w:p>
        </w:tc>
        <w:tc>
          <w:tcPr>
            <w:tcW w:w="809" w:type="dxa"/>
            <w:tcBorders>
              <w:top w:val="nil"/>
              <w:left w:val="nil"/>
              <w:bottom w:val="single" w:sz="4" w:space="0" w:color="auto"/>
              <w:right w:val="single" w:sz="4" w:space="0" w:color="auto"/>
            </w:tcBorders>
            <w:shd w:val="clear" w:color="auto" w:fill="auto"/>
            <w:noWrap/>
            <w:vAlign w:val="bottom"/>
            <w:hideMark/>
          </w:tcPr>
          <w:p w14:paraId="14A24727" w14:textId="239E7B55"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19.95</w:t>
            </w:r>
          </w:p>
        </w:tc>
        <w:tc>
          <w:tcPr>
            <w:tcW w:w="1236" w:type="dxa"/>
            <w:tcBorders>
              <w:top w:val="nil"/>
              <w:left w:val="nil"/>
              <w:bottom w:val="single" w:sz="4" w:space="0" w:color="auto"/>
              <w:right w:val="single" w:sz="4" w:space="0" w:color="auto"/>
            </w:tcBorders>
            <w:shd w:val="clear" w:color="auto" w:fill="auto"/>
            <w:noWrap/>
            <w:vAlign w:val="bottom"/>
            <w:hideMark/>
          </w:tcPr>
          <w:p w14:paraId="30905AEA" w14:textId="7AD34E16"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55.79</w:t>
            </w:r>
          </w:p>
        </w:tc>
      </w:tr>
      <w:tr w:rsidR="0003148E" w:rsidRPr="00BC3C5F" w14:paraId="6DF55344"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72E8F931" w14:textId="77777777"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7</w:t>
            </w:r>
          </w:p>
        </w:tc>
        <w:tc>
          <w:tcPr>
            <w:tcW w:w="1300" w:type="dxa"/>
            <w:tcBorders>
              <w:top w:val="nil"/>
              <w:left w:val="nil"/>
              <w:bottom w:val="single" w:sz="4" w:space="0" w:color="auto"/>
              <w:right w:val="single" w:sz="4" w:space="0" w:color="auto"/>
            </w:tcBorders>
            <w:shd w:val="clear" w:color="auto" w:fill="auto"/>
            <w:noWrap/>
            <w:vAlign w:val="bottom"/>
            <w:hideMark/>
          </w:tcPr>
          <w:p w14:paraId="3A8B1D5F" w14:textId="7A50D1BD"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3.88</w:t>
            </w:r>
          </w:p>
        </w:tc>
        <w:tc>
          <w:tcPr>
            <w:tcW w:w="1127" w:type="dxa"/>
            <w:tcBorders>
              <w:top w:val="nil"/>
              <w:left w:val="nil"/>
              <w:bottom w:val="single" w:sz="4" w:space="0" w:color="auto"/>
              <w:right w:val="single" w:sz="4" w:space="0" w:color="auto"/>
            </w:tcBorders>
            <w:shd w:val="clear" w:color="auto" w:fill="auto"/>
            <w:noWrap/>
            <w:vAlign w:val="bottom"/>
            <w:hideMark/>
          </w:tcPr>
          <w:p w14:paraId="05F2A101" w14:textId="3F96622A"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0.12</w:t>
            </w:r>
          </w:p>
        </w:tc>
        <w:tc>
          <w:tcPr>
            <w:tcW w:w="809" w:type="dxa"/>
            <w:tcBorders>
              <w:top w:val="nil"/>
              <w:left w:val="nil"/>
              <w:bottom w:val="single" w:sz="4" w:space="0" w:color="auto"/>
              <w:right w:val="single" w:sz="4" w:space="0" w:color="auto"/>
            </w:tcBorders>
            <w:shd w:val="clear" w:color="auto" w:fill="auto"/>
            <w:noWrap/>
            <w:vAlign w:val="bottom"/>
            <w:hideMark/>
          </w:tcPr>
          <w:p w14:paraId="48174E86" w14:textId="5B8B0142"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0.46</w:t>
            </w:r>
          </w:p>
        </w:tc>
        <w:tc>
          <w:tcPr>
            <w:tcW w:w="809" w:type="dxa"/>
            <w:tcBorders>
              <w:top w:val="nil"/>
              <w:left w:val="nil"/>
              <w:bottom w:val="single" w:sz="4" w:space="0" w:color="auto"/>
              <w:right w:val="single" w:sz="4" w:space="0" w:color="auto"/>
            </w:tcBorders>
            <w:shd w:val="clear" w:color="auto" w:fill="auto"/>
            <w:noWrap/>
            <w:vAlign w:val="bottom"/>
            <w:hideMark/>
          </w:tcPr>
          <w:p w14:paraId="412C3622" w14:textId="14F84C16"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12.52</w:t>
            </w:r>
          </w:p>
        </w:tc>
        <w:tc>
          <w:tcPr>
            <w:tcW w:w="809" w:type="dxa"/>
            <w:tcBorders>
              <w:top w:val="nil"/>
              <w:left w:val="nil"/>
              <w:bottom w:val="single" w:sz="4" w:space="0" w:color="auto"/>
              <w:right w:val="single" w:sz="4" w:space="0" w:color="auto"/>
            </w:tcBorders>
            <w:shd w:val="clear" w:color="auto" w:fill="auto"/>
            <w:noWrap/>
            <w:vAlign w:val="bottom"/>
            <w:hideMark/>
          </w:tcPr>
          <w:p w14:paraId="58258CD1" w14:textId="4DC37AA4"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0.97</w:t>
            </w:r>
          </w:p>
        </w:tc>
        <w:tc>
          <w:tcPr>
            <w:tcW w:w="1236" w:type="dxa"/>
            <w:tcBorders>
              <w:top w:val="nil"/>
              <w:left w:val="nil"/>
              <w:bottom w:val="single" w:sz="4" w:space="0" w:color="auto"/>
              <w:right w:val="single" w:sz="4" w:space="0" w:color="auto"/>
            </w:tcBorders>
            <w:shd w:val="clear" w:color="auto" w:fill="auto"/>
            <w:noWrap/>
            <w:vAlign w:val="bottom"/>
            <w:hideMark/>
          </w:tcPr>
          <w:p w14:paraId="33981F4B" w14:textId="6BC679A9"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80.43</w:t>
            </w:r>
          </w:p>
        </w:tc>
      </w:tr>
      <w:tr w:rsidR="0003148E" w:rsidRPr="00BC3C5F" w14:paraId="06040F07"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77883B6E" w14:textId="77777777"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8</w:t>
            </w:r>
          </w:p>
        </w:tc>
        <w:tc>
          <w:tcPr>
            <w:tcW w:w="1300" w:type="dxa"/>
            <w:tcBorders>
              <w:top w:val="nil"/>
              <w:left w:val="nil"/>
              <w:bottom w:val="single" w:sz="4" w:space="0" w:color="auto"/>
              <w:right w:val="single" w:sz="4" w:space="0" w:color="auto"/>
            </w:tcBorders>
            <w:shd w:val="clear" w:color="auto" w:fill="auto"/>
            <w:noWrap/>
            <w:vAlign w:val="bottom"/>
            <w:hideMark/>
          </w:tcPr>
          <w:p w14:paraId="0DBE6FD8" w14:textId="1432F6DA"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4.89</w:t>
            </w:r>
          </w:p>
        </w:tc>
        <w:tc>
          <w:tcPr>
            <w:tcW w:w="1127" w:type="dxa"/>
            <w:tcBorders>
              <w:top w:val="nil"/>
              <w:left w:val="nil"/>
              <w:bottom w:val="single" w:sz="4" w:space="0" w:color="auto"/>
              <w:right w:val="single" w:sz="4" w:space="0" w:color="auto"/>
            </w:tcBorders>
            <w:shd w:val="clear" w:color="auto" w:fill="auto"/>
            <w:noWrap/>
            <w:vAlign w:val="bottom"/>
            <w:hideMark/>
          </w:tcPr>
          <w:p w14:paraId="5DD574FA" w14:textId="3C900026"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2.24</w:t>
            </w:r>
          </w:p>
        </w:tc>
        <w:tc>
          <w:tcPr>
            <w:tcW w:w="809" w:type="dxa"/>
            <w:tcBorders>
              <w:top w:val="nil"/>
              <w:left w:val="nil"/>
              <w:bottom w:val="single" w:sz="4" w:space="0" w:color="auto"/>
              <w:right w:val="single" w:sz="4" w:space="0" w:color="auto"/>
            </w:tcBorders>
            <w:shd w:val="clear" w:color="auto" w:fill="auto"/>
            <w:noWrap/>
            <w:vAlign w:val="bottom"/>
            <w:hideMark/>
          </w:tcPr>
          <w:p w14:paraId="60F58DE9" w14:textId="0C9D1840"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0.22</w:t>
            </w:r>
          </w:p>
        </w:tc>
        <w:tc>
          <w:tcPr>
            <w:tcW w:w="809" w:type="dxa"/>
            <w:tcBorders>
              <w:top w:val="nil"/>
              <w:left w:val="nil"/>
              <w:bottom w:val="single" w:sz="4" w:space="0" w:color="auto"/>
              <w:right w:val="single" w:sz="4" w:space="0" w:color="auto"/>
            </w:tcBorders>
            <w:shd w:val="clear" w:color="auto" w:fill="auto"/>
            <w:noWrap/>
            <w:vAlign w:val="bottom"/>
            <w:hideMark/>
          </w:tcPr>
          <w:p w14:paraId="4751FD7C" w14:textId="0E7DC684"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17.60</w:t>
            </w:r>
          </w:p>
        </w:tc>
        <w:tc>
          <w:tcPr>
            <w:tcW w:w="809" w:type="dxa"/>
            <w:tcBorders>
              <w:top w:val="nil"/>
              <w:left w:val="nil"/>
              <w:bottom w:val="single" w:sz="4" w:space="0" w:color="auto"/>
              <w:right w:val="single" w:sz="4" w:space="0" w:color="auto"/>
            </w:tcBorders>
            <w:shd w:val="clear" w:color="auto" w:fill="auto"/>
            <w:noWrap/>
            <w:vAlign w:val="bottom"/>
            <w:hideMark/>
          </w:tcPr>
          <w:p w14:paraId="2F764FB8" w14:textId="40DDA9D2"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0.14</w:t>
            </w:r>
          </w:p>
        </w:tc>
        <w:tc>
          <w:tcPr>
            <w:tcW w:w="1236" w:type="dxa"/>
            <w:tcBorders>
              <w:top w:val="nil"/>
              <w:left w:val="nil"/>
              <w:bottom w:val="single" w:sz="4" w:space="0" w:color="auto"/>
              <w:right w:val="single" w:sz="4" w:space="0" w:color="auto"/>
            </w:tcBorders>
            <w:shd w:val="clear" w:color="auto" w:fill="auto"/>
            <w:noWrap/>
            <w:vAlign w:val="bottom"/>
            <w:hideMark/>
          </w:tcPr>
          <w:p w14:paraId="68DD1F3B" w14:textId="3B064910"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83.15</w:t>
            </w:r>
          </w:p>
        </w:tc>
      </w:tr>
      <w:tr w:rsidR="0003148E" w:rsidRPr="00BC3C5F" w14:paraId="534C0CD0"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64C124EE" w14:textId="77777777"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9</w:t>
            </w:r>
          </w:p>
        </w:tc>
        <w:tc>
          <w:tcPr>
            <w:tcW w:w="1300" w:type="dxa"/>
            <w:tcBorders>
              <w:top w:val="nil"/>
              <w:left w:val="nil"/>
              <w:bottom w:val="single" w:sz="4" w:space="0" w:color="auto"/>
              <w:right w:val="single" w:sz="4" w:space="0" w:color="auto"/>
            </w:tcBorders>
            <w:shd w:val="clear" w:color="auto" w:fill="auto"/>
            <w:noWrap/>
            <w:vAlign w:val="bottom"/>
            <w:hideMark/>
          </w:tcPr>
          <w:p w14:paraId="1AE33C95" w14:textId="2625E91C"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6.42</w:t>
            </w:r>
          </w:p>
        </w:tc>
        <w:tc>
          <w:tcPr>
            <w:tcW w:w="1127" w:type="dxa"/>
            <w:tcBorders>
              <w:top w:val="nil"/>
              <w:left w:val="nil"/>
              <w:bottom w:val="single" w:sz="4" w:space="0" w:color="auto"/>
              <w:right w:val="single" w:sz="4" w:space="0" w:color="auto"/>
            </w:tcBorders>
            <w:shd w:val="clear" w:color="auto" w:fill="auto"/>
            <w:noWrap/>
            <w:vAlign w:val="bottom"/>
            <w:hideMark/>
          </w:tcPr>
          <w:p w14:paraId="1A97CF69" w14:textId="3BD03FCD"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0.70</w:t>
            </w:r>
          </w:p>
        </w:tc>
        <w:tc>
          <w:tcPr>
            <w:tcW w:w="809" w:type="dxa"/>
            <w:tcBorders>
              <w:top w:val="nil"/>
              <w:left w:val="nil"/>
              <w:bottom w:val="single" w:sz="4" w:space="0" w:color="auto"/>
              <w:right w:val="single" w:sz="4" w:space="0" w:color="auto"/>
            </w:tcBorders>
            <w:shd w:val="clear" w:color="auto" w:fill="auto"/>
            <w:noWrap/>
            <w:vAlign w:val="bottom"/>
            <w:hideMark/>
          </w:tcPr>
          <w:p w14:paraId="4CFCBA39" w14:textId="28F0807A"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0.40</w:t>
            </w:r>
          </w:p>
        </w:tc>
        <w:tc>
          <w:tcPr>
            <w:tcW w:w="809" w:type="dxa"/>
            <w:tcBorders>
              <w:top w:val="nil"/>
              <w:left w:val="nil"/>
              <w:bottom w:val="single" w:sz="4" w:space="0" w:color="auto"/>
              <w:right w:val="single" w:sz="4" w:space="0" w:color="auto"/>
            </w:tcBorders>
            <w:shd w:val="clear" w:color="auto" w:fill="auto"/>
            <w:noWrap/>
            <w:vAlign w:val="bottom"/>
            <w:hideMark/>
          </w:tcPr>
          <w:p w14:paraId="1680F6B3" w14:textId="43CEFE17"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11.68</w:t>
            </w:r>
          </w:p>
        </w:tc>
        <w:tc>
          <w:tcPr>
            <w:tcW w:w="809" w:type="dxa"/>
            <w:tcBorders>
              <w:top w:val="nil"/>
              <w:left w:val="nil"/>
              <w:bottom w:val="single" w:sz="4" w:space="0" w:color="auto"/>
              <w:right w:val="single" w:sz="4" w:space="0" w:color="auto"/>
            </w:tcBorders>
            <w:shd w:val="clear" w:color="auto" w:fill="auto"/>
            <w:noWrap/>
            <w:vAlign w:val="bottom"/>
            <w:hideMark/>
          </w:tcPr>
          <w:p w14:paraId="6C84EA45" w14:textId="6B2E2706"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0.02</w:t>
            </w:r>
          </w:p>
        </w:tc>
        <w:tc>
          <w:tcPr>
            <w:tcW w:w="1236" w:type="dxa"/>
            <w:tcBorders>
              <w:top w:val="nil"/>
              <w:left w:val="nil"/>
              <w:bottom w:val="single" w:sz="4" w:space="0" w:color="auto"/>
              <w:right w:val="single" w:sz="4" w:space="0" w:color="auto"/>
            </w:tcBorders>
            <w:shd w:val="clear" w:color="auto" w:fill="auto"/>
            <w:noWrap/>
            <w:vAlign w:val="bottom"/>
            <w:hideMark/>
          </w:tcPr>
          <w:p w14:paraId="421C5094" w14:textId="520331F8"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84.96</w:t>
            </w:r>
          </w:p>
        </w:tc>
      </w:tr>
      <w:tr w:rsidR="0003148E" w:rsidRPr="00BC3C5F" w14:paraId="05670988"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2794799B" w14:textId="77777777"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10</w:t>
            </w:r>
          </w:p>
        </w:tc>
        <w:tc>
          <w:tcPr>
            <w:tcW w:w="1300" w:type="dxa"/>
            <w:tcBorders>
              <w:top w:val="nil"/>
              <w:left w:val="nil"/>
              <w:bottom w:val="single" w:sz="4" w:space="0" w:color="auto"/>
              <w:right w:val="single" w:sz="4" w:space="0" w:color="auto"/>
            </w:tcBorders>
            <w:shd w:val="clear" w:color="auto" w:fill="auto"/>
            <w:noWrap/>
            <w:vAlign w:val="bottom"/>
            <w:hideMark/>
          </w:tcPr>
          <w:p w14:paraId="4D59CC1B" w14:textId="3881C6BA"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9.17</w:t>
            </w:r>
          </w:p>
        </w:tc>
        <w:tc>
          <w:tcPr>
            <w:tcW w:w="1127" w:type="dxa"/>
            <w:tcBorders>
              <w:top w:val="nil"/>
              <w:left w:val="nil"/>
              <w:bottom w:val="single" w:sz="4" w:space="0" w:color="auto"/>
              <w:right w:val="single" w:sz="4" w:space="0" w:color="auto"/>
            </w:tcBorders>
            <w:shd w:val="clear" w:color="auto" w:fill="auto"/>
            <w:noWrap/>
            <w:vAlign w:val="bottom"/>
            <w:hideMark/>
          </w:tcPr>
          <w:p w14:paraId="08F800FA" w14:textId="6CA98AB8"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0.12</w:t>
            </w:r>
          </w:p>
        </w:tc>
        <w:tc>
          <w:tcPr>
            <w:tcW w:w="809" w:type="dxa"/>
            <w:tcBorders>
              <w:top w:val="nil"/>
              <w:left w:val="nil"/>
              <w:bottom w:val="single" w:sz="4" w:space="0" w:color="auto"/>
              <w:right w:val="single" w:sz="4" w:space="0" w:color="auto"/>
            </w:tcBorders>
            <w:shd w:val="clear" w:color="auto" w:fill="auto"/>
            <w:noWrap/>
            <w:vAlign w:val="bottom"/>
            <w:hideMark/>
          </w:tcPr>
          <w:p w14:paraId="2D4A3024" w14:textId="6C78AEE6"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0.46</w:t>
            </w:r>
          </w:p>
        </w:tc>
        <w:tc>
          <w:tcPr>
            <w:tcW w:w="809" w:type="dxa"/>
            <w:tcBorders>
              <w:top w:val="nil"/>
              <w:left w:val="nil"/>
              <w:bottom w:val="single" w:sz="4" w:space="0" w:color="auto"/>
              <w:right w:val="single" w:sz="4" w:space="0" w:color="auto"/>
            </w:tcBorders>
            <w:shd w:val="clear" w:color="auto" w:fill="auto"/>
            <w:noWrap/>
            <w:vAlign w:val="bottom"/>
            <w:hideMark/>
          </w:tcPr>
          <w:p w14:paraId="1225AD32" w14:textId="1C3A5DF3"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12.84</w:t>
            </w:r>
          </w:p>
        </w:tc>
        <w:tc>
          <w:tcPr>
            <w:tcW w:w="809" w:type="dxa"/>
            <w:tcBorders>
              <w:top w:val="nil"/>
              <w:left w:val="nil"/>
              <w:bottom w:val="single" w:sz="4" w:space="0" w:color="auto"/>
              <w:right w:val="single" w:sz="4" w:space="0" w:color="auto"/>
            </w:tcBorders>
            <w:shd w:val="clear" w:color="auto" w:fill="auto"/>
            <w:noWrap/>
            <w:vAlign w:val="bottom"/>
            <w:hideMark/>
          </w:tcPr>
          <w:p w14:paraId="4A722204" w14:textId="692A5306"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0.01</w:t>
            </w:r>
          </w:p>
        </w:tc>
        <w:tc>
          <w:tcPr>
            <w:tcW w:w="1236" w:type="dxa"/>
            <w:tcBorders>
              <w:top w:val="nil"/>
              <w:left w:val="nil"/>
              <w:bottom w:val="single" w:sz="4" w:space="0" w:color="auto"/>
              <w:right w:val="single" w:sz="4" w:space="0" w:color="auto"/>
            </w:tcBorders>
            <w:shd w:val="clear" w:color="auto" w:fill="auto"/>
            <w:noWrap/>
            <w:vAlign w:val="bottom"/>
            <w:hideMark/>
          </w:tcPr>
          <w:p w14:paraId="178FDEE7" w14:textId="3DD3FA04"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81.36</w:t>
            </w:r>
          </w:p>
        </w:tc>
      </w:tr>
      <w:tr w:rsidR="0003148E" w:rsidRPr="00BC3C5F" w14:paraId="7635C5BF"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5CE55011" w14:textId="77777777"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11</w:t>
            </w:r>
          </w:p>
        </w:tc>
        <w:tc>
          <w:tcPr>
            <w:tcW w:w="1300" w:type="dxa"/>
            <w:tcBorders>
              <w:top w:val="nil"/>
              <w:left w:val="nil"/>
              <w:bottom w:val="single" w:sz="4" w:space="0" w:color="auto"/>
              <w:right w:val="single" w:sz="4" w:space="0" w:color="auto"/>
            </w:tcBorders>
            <w:shd w:val="clear" w:color="auto" w:fill="auto"/>
            <w:noWrap/>
            <w:vAlign w:val="bottom"/>
            <w:hideMark/>
          </w:tcPr>
          <w:p w14:paraId="52198273" w14:textId="7DC0AEEB"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4.23</w:t>
            </w:r>
          </w:p>
        </w:tc>
        <w:tc>
          <w:tcPr>
            <w:tcW w:w="1127" w:type="dxa"/>
            <w:tcBorders>
              <w:top w:val="nil"/>
              <w:left w:val="nil"/>
              <w:bottom w:val="single" w:sz="4" w:space="0" w:color="auto"/>
              <w:right w:val="single" w:sz="4" w:space="0" w:color="auto"/>
            </w:tcBorders>
            <w:shd w:val="clear" w:color="auto" w:fill="auto"/>
            <w:noWrap/>
            <w:vAlign w:val="bottom"/>
            <w:hideMark/>
          </w:tcPr>
          <w:p w14:paraId="37AE68DE" w14:textId="6F64D69E"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2.24</w:t>
            </w:r>
          </w:p>
        </w:tc>
        <w:tc>
          <w:tcPr>
            <w:tcW w:w="809" w:type="dxa"/>
            <w:tcBorders>
              <w:top w:val="nil"/>
              <w:left w:val="nil"/>
              <w:bottom w:val="single" w:sz="4" w:space="0" w:color="auto"/>
              <w:right w:val="single" w:sz="4" w:space="0" w:color="auto"/>
            </w:tcBorders>
            <w:shd w:val="clear" w:color="auto" w:fill="auto"/>
            <w:noWrap/>
            <w:vAlign w:val="bottom"/>
            <w:hideMark/>
          </w:tcPr>
          <w:p w14:paraId="38F9E67D" w14:textId="7838482E"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0.22</w:t>
            </w:r>
          </w:p>
        </w:tc>
        <w:tc>
          <w:tcPr>
            <w:tcW w:w="809" w:type="dxa"/>
            <w:tcBorders>
              <w:top w:val="nil"/>
              <w:left w:val="nil"/>
              <w:bottom w:val="single" w:sz="4" w:space="0" w:color="auto"/>
              <w:right w:val="single" w:sz="4" w:space="0" w:color="auto"/>
            </w:tcBorders>
            <w:shd w:val="clear" w:color="auto" w:fill="auto"/>
            <w:noWrap/>
            <w:vAlign w:val="bottom"/>
            <w:hideMark/>
          </w:tcPr>
          <w:p w14:paraId="660C1B14" w14:textId="0BE57E00"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17.60</w:t>
            </w:r>
          </w:p>
        </w:tc>
        <w:tc>
          <w:tcPr>
            <w:tcW w:w="809" w:type="dxa"/>
            <w:tcBorders>
              <w:top w:val="nil"/>
              <w:left w:val="nil"/>
              <w:bottom w:val="single" w:sz="4" w:space="0" w:color="auto"/>
              <w:right w:val="single" w:sz="4" w:space="0" w:color="auto"/>
            </w:tcBorders>
            <w:shd w:val="clear" w:color="auto" w:fill="auto"/>
            <w:noWrap/>
            <w:vAlign w:val="bottom"/>
            <w:hideMark/>
          </w:tcPr>
          <w:p w14:paraId="7977CE04" w14:textId="19E59F16"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0.14</w:t>
            </w:r>
          </w:p>
        </w:tc>
        <w:tc>
          <w:tcPr>
            <w:tcW w:w="1236" w:type="dxa"/>
            <w:tcBorders>
              <w:top w:val="nil"/>
              <w:left w:val="nil"/>
              <w:bottom w:val="single" w:sz="4" w:space="0" w:color="auto"/>
              <w:right w:val="single" w:sz="4" w:space="0" w:color="auto"/>
            </w:tcBorders>
            <w:shd w:val="clear" w:color="auto" w:fill="auto"/>
            <w:noWrap/>
            <w:vAlign w:val="bottom"/>
            <w:hideMark/>
          </w:tcPr>
          <w:p w14:paraId="0427640C" w14:textId="50ED53CB"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83.15</w:t>
            </w:r>
          </w:p>
        </w:tc>
      </w:tr>
      <w:tr w:rsidR="0003148E" w:rsidRPr="00BC3C5F" w14:paraId="5750BA7C"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07F022BB" w14:textId="77777777"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3EB004D2" w14:textId="150F78A6"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5.92</w:t>
            </w:r>
          </w:p>
        </w:tc>
        <w:tc>
          <w:tcPr>
            <w:tcW w:w="1127" w:type="dxa"/>
            <w:tcBorders>
              <w:top w:val="nil"/>
              <w:left w:val="nil"/>
              <w:bottom w:val="single" w:sz="4" w:space="0" w:color="auto"/>
              <w:right w:val="single" w:sz="4" w:space="0" w:color="auto"/>
            </w:tcBorders>
            <w:shd w:val="clear" w:color="auto" w:fill="auto"/>
            <w:noWrap/>
            <w:vAlign w:val="bottom"/>
            <w:hideMark/>
          </w:tcPr>
          <w:p w14:paraId="01B5B81F" w14:textId="08F022DE"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3.55</w:t>
            </w:r>
          </w:p>
        </w:tc>
        <w:tc>
          <w:tcPr>
            <w:tcW w:w="809" w:type="dxa"/>
            <w:tcBorders>
              <w:top w:val="nil"/>
              <w:left w:val="nil"/>
              <w:bottom w:val="single" w:sz="4" w:space="0" w:color="auto"/>
              <w:right w:val="single" w:sz="4" w:space="0" w:color="auto"/>
            </w:tcBorders>
            <w:shd w:val="clear" w:color="auto" w:fill="auto"/>
            <w:noWrap/>
            <w:vAlign w:val="bottom"/>
            <w:hideMark/>
          </w:tcPr>
          <w:p w14:paraId="336529D8" w14:textId="770600A4"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0.30</w:t>
            </w:r>
          </w:p>
        </w:tc>
        <w:tc>
          <w:tcPr>
            <w:tcW w:w="809" w:type="dxa"/>
            <w:tcBorders>
              <w:top w:val="nil"/>
              <w:left w:val="nil"/>
              <w:bottom w:val="single" w:sz="4" w:space="0" w:color="auto"/>
              <w:right w:val="single" w:sz="4" w:space="0" w:color="auto"/>
            </w:tcBorders>
            <w:shd w:val="clear" w:color="auto" w:fill="auto"/>
            <w:noWrap/>
            <w:vAlign w:val="bottom"/>
            <w:hideMark/>
          </w:tcPr>
          <w:p w14:paraId="4B03203B" w14:textId="6D9E2E4C"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10.00</w:t>
            </w:r>
          </w:p>
        </w:tc>
        <w:tc>
          <w:tcPr>
            <w:tcW w:w="809" w:type="dxa"/>
            <w:tcBorders>
              <w:top w:val="nil"/>
              <w:left w:val="nil"/>
              <w:bottom w:val="single" w:sz="4" w:space="0" w:color="auto"/>
              <w:right w:val="single" w:sz="4" w:space="0" w:color="auto"/>
            </w:tcBorders>
            <w:shd w:val="clear" w:color="auto" w:fill="auto"/>
            <w:noWrap/>
            <w:vAlign w:val="bottom"/>
            <w:hideMark/>
          </w:tcPr>
          <w:p w14:paraId="51F86354" w14:textId="3A894D6A"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0.64</w:t>
            </w:r>
          </w:p>
        </w:tc>
        <w:tc>
          <w:tcPr>
            <w:tcW w:w="1236" w:type="dxa"/>
            <w:tcBorders>
              <w:top w:val="nil"/>
              <w:left w:val="nil"/>
              <w:bottom w:val="single" w:sz="4" w:space="0" w:color="auto"/>
              <w:right w:val="single" w:sz="4" w:space="0" w:color="auto"/>
            </w:tcBorders>
            <w:shd w:val="clear" w:color="auto" w:fill="auto"/>
            <w:noWrap/>
            <w:vAlign w:val="bottom"/>
            <w:hideMark/>
          </w:tcPr>
          <w:p w14:paraId="41077CEF" w14:textId="7DF69610"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1.01</w:t>
            </w:r>
          </w:p>
        </w:tc>
      </w:tr>
      <w:tr w:rsidR="0003148E" w:rsidRPr="00BC3C5F" w14:paraId="14520F9F"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4F0F02D5" w14:textId="77777777"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13</w:t>
            </w:r>
          </w:p>
        </w:tc>
        <w:tc>
          <w:tcPr>
            <w:tcW w:w="1300" w:type="dxa"/>
            <w:tcBorders>
              <w:top w:val="nil"/>
              <w:left w:val="nil"/>
              <w:bottom w:val="single" w:sz="4" w:space="0" w:color="auto"/>
              <w:right w:val="single" w:sz="4" w:space="0" w:color="auto"/>
            </w:tcBorders>
            <w:shd w:val="clear" w:color="auto" w:fill="auto"/>
            <w:noWrap/>
            <w:vAlign w:val="bottom"/>
            <w:hideMark/>
          </w:tcPr>
          <w:p w14:paraId="4F02BD4E" w14:textId="1534A9DD"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1.75</w:t>
            </w:r>
          </w:p>
        </w:tc>
        <w:tc>
          <w:tcPr>
            <w:tcW w:w="1127" w:type="dxa"/>
            <w:tcBorders>
              <w:top w:val="nil"/>
              <w:left w:val="nil"/>
              <w:bottom w:val="single" w:sz="4" w:space="0" w:color="auto"/>
              <w:right w:val="single" w:sz="4" w:space="0" w:color="auto"/>
            </w:tcBorders>
            <w:shd w:val="clear" w:color="auto" w:fill="auto"/>
            <w:noWrap/>
            <w:vAlign w:val="bottom"/>
            <w:hideMark/>
          </w:tcPr>
          <w:p w14:paraId="37253C9E" w14:textId="6568AEB8"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0.09</w:t>
            </w:r>
          </w:p>
        </w:tc>
        <w:tc>
          <w:tcPr>
            <w:tcW w:w="809" w:type="dxa"/>
            <w:tcBorders>
              <w:top w:val="nil"/>
              <w:left w:val="nil"/>
              <w:bottom w:val="single" w:sz="4" w:space="0" w:color="auto"/>
              <w:right w:val="single" w:sz="4" w:space="0" w:color="auto"/>
            </w:tcBorders>
            <w:shd w:val="clear" w:color="auto" w:fill="auto"/>
            <w:noWrap/>
            <w:vAlign w:val="bottom"/>
            <w:hideMark/>
          </w:tcPr>
          <w:p w14:paraId="2A9346BA" w14:textId="1D655454"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0.00</w:t>
            </w:r>
            <w:r>
              <w:rPr>
                <w:rFonts w:ascii="Times New Roman" w:hAnsi="Times New Roman"/>
                <w:color w:val="000000"/>
                <w:sz w:val="24"/>
                <w:szCs w:val="24"/>
              </w:rPr>
              <w:t>1</w:t>
            </w:r>
          </w:p>
        </w:tc>
        <w:tc>
          <w:tcPr>
            <w:tcW w:w="809" w:type="dxa"/>
            <w:tcBorders>
              <w:top w:val="nil"/>
              <w:left w:val="nil"/>
              <w:bottom w:val="single" w:sz="4" w:space="0" w:color="auto"/>
              <w:right w:val="single" w:sz="4" w:space="0" w:color="auto"/>
            </w:tcBorders>
            <w:shd w:val="clear" w:color="auto" w:fill="auto"/>
            <w:noWrap/>
            <w:vAlign w:val="bottom"/>
            <w:hideMark/>
          </w:tcPr>
          <w:p w14:paraId="6F0D126D" w14:textId="57A45006"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16.18</w:t>
            </w:r>
          </w:p>
        </w:tc>
        <w:tc>
          <w:tcPr>
            <w:tcW w:w="809" w:type="dxa"/>
            <w:tcBorders>
              <w:top w:val="nil"/>
              <w:left w:val="nil"/>
              <w:bottom w:val="single" w:sz="4" w:space="0" w:color="auto"/>
              <w:right w:val="single" w:sz="4" w:space="0" w:color="auto"/>
            </w:tcBorders>
            <w:shd w:val="clear" w:color="auto" w:fill="auto"/>
            <w:noWrap/>
            <w:vAlign w:val="bottom"/>
            <w:hideMark/>
          </w:tcPr>
          <w:p w14:paraId="6388DD07" w14:textId="47B36C18"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40.66</w:t>
            </w:r>
          </w:p>
        </w:tc>
        <w:tc>
          <w:tcPr>
            <w:tcW w:w="1236" w:type="dxa"/>
            <w:tcBorders>
              <w:top w:val="nil"/>
              <w:left w:val="nil"/>
              <w:bottom w:val="single" w:sz="4" w:space="0" w:color="auto"/>
              <w:right w:val="single" w:sz="4" w:space="0" w:color="auto"/>
            </w:tcBorders>
            <w:shd w:val="clear" w:color="auto" w:fill="auto"/>
            <w:noWrap/>
            <w:vAlign w:val="bottom"/>
            <w:hideMark/>
          </w:tcPr>
          <w:p w14:paraId="14943215" w14:textId="36788312"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50.81</w:t>
            </w:r>
          </w:p>
        </w:tc>
      </w:tr>
      <w:tr w:rsidR="0003148E" w:rsidRPr="00BC3C5F" w14:paraId="37447030"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2B2DFEE2" w14:textId="77777777"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14</w:t>
            </w:r>
          </w:p>
        </w:tc>
        <w:tc>
          <w:tcPr>
            <w:tcW w:w="1300" w:type="dxa"/>
            <w:tcBorders>
              <w:top w:val="nil"/>
              <w:left w:val="nil"/>
              <w:bottom w:val="single" w:sz="4" w:space="0" w:color="auto"/>
              <w:right w:val="single" w:sz="4" w:space="0" w:color="auto"/>
            </w:tcBorders>
            <w:shd w:val="clear" w:color="auto" w:fill="auto"/>
            <w:noWrap/>
            <w:vAlign w:val="bottom"/>
            <w:hideMark/>
          </w:tcPr>
          <w:p w14:paraId="0255335E" w14:textId="39CAC74E"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6.29</w:t>
            </w:r>
          </w:p>
        </w:tc>
        <w:tc>
          <w:tcPr>
            <w:tcW w:w="1127" w:type="dxa"/>
            <w:tcBorders>
              <w:top w:val="nil"/>
              <w:left w:val="nil"/>
              <w:bottom w:val="single" w:sz="4" w:space="0" w:color="auto"/>
              <w:right w:val="single" w:sz="4" w:space="0" w:color="auto"/>
            </w:tcBorders>
            <w:shd w:val="clear" w:color="auto" w:fill="auto"/>
            <w:noWrap/>
            <w:vAlign w:val="bottom"/>
            <w:hideMark/>
          </w:tcPr>
          <w:p w14:paraId="19A04E61" w14:textId="26A36520"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3.55</w:t>
            </w:r>
          </w:p>
        </w:tc>
        <w:tc>
          <w:tcPr>
            <w:tcW w:w="809" w:type="dxa"/>
            <w:tcBorders>
              <w:top w:val="nil"/>
              <w:left w:val="nil"/>
              <w:bottom w:val="single" w:sz="4" w:space="0" w:color="auto"/>
              <w:right w:val="single" w:sz="4" w:space="0" w:color="auto"/>
            </w:tcBorders>
            <w:shd w:val="clear" w:color="auto" w:fill="auto"/>
            <w:noWrap/>
            <w:vAlign w:val="bottom"/>
            <w:hideMark/>
          </w:tcPr>
          <w:p w14:paraId="35EB9FAE" w14:textId="5CBC6022"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0.30</w:t>
            </w:r>
          </w:p>
        </w:tc>
        <w:tc>
          <w:tcPr>
            <w:tcW w:w="809" w:type="dxa"/>
            <w:tcBorders>
              <w:top w:val="nil"/>
              <w:left w:val="nil"/>
              <w:bottom w:val="single" w:sz="4" w:space="0" w:color="auto"/>
              <w:right w:val="single" w:sz="4" w:space="0" w:color="auto"/>
            </w:tcBorders>
            <w:shd w:val="clear" w:color="auto" w:fill="auto"/>
            <w:noWrap/>
            <w:vAlign w:val="bottom"/>
            <w:hideMark/>
          </w:tcPr>
          <w:p w14:paraId="2B59A8C9" w14:textId="1E60670F"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10.00</w:t>
            </w:r>
          </w:p>
        </w:tc>
        <w:tc>
          <w:tcPr>
            <w:tcW w:w="809" w:type="dxa"/>
            <w:tcBorders>
              <w:top w:val="nil"/>
              <w:left w:val="nil"/>
              <w:bottom w:val="single" w:sz="4" w:space="0" w:color="auto"/>
              <w:right w:val="single" w:sz="4" w:space="0" w:color="auto"/>
            </w:tcBorders>
            <w:shd w:val="clear" w:color="auto" w:fill="auto"/>
            <w:noWrap/>
            <w:vAlign w:val="bottom"/>
            <w:hideMark/>
          </w:tcPr>
          <w:p w14:paraId="29ACE0F1" w14:textId="0A28B207"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0.64</w:t>
            </w:r>
          </w:p>
        </w:tc>
        <w:tc>
          <w:tcPr>
            <w:tcW w:w="1236" w:type="dxa"/>
            <w:tcBorders>
              <w:top w:val="nil"/>
              <w:left w:val="nil"/>
              <w:bottom w:val="single" w:sz="4" w:space="0" w:color="auto"/>
              <w:right w:val="single" w:sz="4" w:space="0" w:color="auto"/>
            </w:tcBorders>
            <w:shd w:val="clear" w:color="auto" w:fill="auto"/>
            <w:noWrap/>
            <w:vAlign w:val="bottom"/>
            <w:hideMark/>
          </w:tcPr>
          <w:p w14:paraId="683E40AF" w14:textId="4BE19F63"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1.01</w:t>
            </w:r>
          </w:p>
        </w:tc>
      </w:tr>
      <w:tr w:rsidR="0003148E" w:rsidRPr="00BC3C5F" w14:paraId="48A55CE0"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5790A984" w14:textId="77777777"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15</w:t>
            </w:r>
          </w:p>
        </w:tc>
        <w:tc>
          <w:tcPr>
            <w:tcW w:w="1300" w:type="dxa"/>
            <w:tcBorders>
              <w:top w:val="nil"/>
              <w:left w:val="nil"/>
              <w:bottom w:val="single" w:sz="4" w:space="0" w:color="auto"/>
              <w:right w:val="single" w:sz="4" w:space="0" w:color="auto"/>
            </w:tcBorders>
            <w:shd w:val="clear" w:color="auto" w:fill="auto"/>
            <w:noWrap/>
            <w:vAlign w:val="bottom"/>
            <w:hideMark/>
          </w:tcPr>
          <w:p w14:paraId="402F1BEE" w14:textId="56FF630B"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0.83</w:t>
            </w:r>
          </w:p>
        </w:tc>
        <w:tc>
          <w:tcPr>
            <w:tcW w:w="1127" w:type="dxa"/>
            <w:tcBorders>
              <w:top w:val="nil"/>
              <w:left w:val="nil"/>
              <w:bottom w:val="single" w:sz="4" w:space="0" w:color="auto"/>
              <w:right w:val="single" w:sz="4" w:space="0" w:color="auto"/>
            </w:tcBorders>
            <w:shd w:val="clear" w:color="auto" w:fill="auto"/>
            <w:noWrap/>
            <w:vAlign w:val="bottom"/>
            <w:hideMark/>
          </w:tcPr>
          <w:p w14:paraId="6A4F6249" w14:textId="4E59BC3E"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1.22</w:t>
            </w:r>
          </w:p>
        </w:tc>
        <w:tc>
          <w:tcPr>
            <w:tcW w:w="809" w:type="dxa"/>
            <w:tcBorders>
              <w:top w:val="nil"/>
              <w:left w:val="nil"/>
              <w:bottom w:val="single" w:sz="4" w:space="0" w:color="auto"/>
              <w:right w:val="single" w:sz="4" w:space="0" w:color="auto"/>
            </w:tcBorders>
            <w:shd w:val="clear" w:color="auto" w:fill="auto"/>
            <w:noWrap/>
            <w:vAlign w:val="bottom"/>
            <w:hideMark/>
          </w:tcPr>
          <w:p w14:paraId="027A68C9" w14:textId="41F845E4"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0.11</w:t>
            </w:r>
          </w:p>
        </w:tc>
        <w:tc>
          <w:tcPr>
            <w:tcW w:w="809" w:type="dxa"/>
            <w:tcBorders>
              <w:top w:val="nil"/>
              <w:left w:val="nil"/>
              <w:bottom w:val="single" w:sz="4" w:space="0" w:color="auto"/>
              <w:right w:val="single" w:sz="4" w:space="0" w:color="auto"/>
            </w:tcBorders>
            <w:shd w:val="clear" w:color="auto" w:fill="auto"/>
            <w:noWrap/>
            <w:vAlign w:val="bottom"/>
            <w:hideMark/>
          </w:tcPr>
          <w:p w14:paraId="2D128777" w14:textId="07789562"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11.13</w:t>
            </w:r>
          </w:p>
        </w:tc>
        <w:tc>
          <w:tcPr>
            <w:tcW w:w="809" w:type="dxa"/>
            <w:tcBorders>
              <w:top w:val="nil"/>
              <w:left w:val="nil"/>
              <w:bottom w:val="single" w:sz="4" w:space="0" w:color="auto"/>
              <w:right w:val="single" w:sz="4" w:space="0" w:color="auto"/>
            </w:tcBorders>
            <w:shd w:val="clear" w:color="auto" w:fill="auto"/>
            <w:noWrap/>
            <w:vAlign w:val="bottom"/>
            <w:hideMark/>
          </w:tcPr>
          <w:p w14:paraId="3AE3ACA9" w14:textId="1431BBA1"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18.88</w:t>
            </w:r>
          </w:p>
        </w:tc>
        <w:tc>
          <w:tcPr>
            <w:tcW w:w="1236" w:type="dxa"/>
            <w:tcBorders>
              <w:top w:val="nil"/>
              <w:left w:val="nil"/>
              <w:bottom w:val="single" w:sz="4" w:space="0" w:color="auto"/>
              <w:right w:val="single" w:sz="4" w:space="0" w:color="auto"/>
            </w:tcBorders>
            <w:shd w:val="clear" w:color="auto" w:fill="auto"/>
            <w:noWrap/>
            <w:vAlign w:val="bottom"/>
            <w:hideMark/>
          </w:tcPr>
          <w:p w14:paraId="4B63A45D" w14:textId="0774FE98"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53.04</w:t>
            </w:r>
          </w:p>
        </w:tc>
      </w:tr>
      <w:tr w:rsidR="0003148E" w:rsidRPr="00BC3C5F" w14:paraId="4600C432" w14:textId="77777777" w:rsidTr="0003148E">
        <w:trPr>
          <w:trHeight w:val="320"/>
          <w:jc w:val="center"/>
        </w:trPr>
        <w:tc>
          <w:tcPr>
            <w:tcW w:w="962" w:type="dxa"/>
            <w:tcBorders>
              <w:top w:val="nil"/>
              <w:left w:val="single" w:sz="4" w:space="0" w:color="auto"/>
              <w:bottom w:val="single" w:sz="4" w:space="0" w:color="auto"/>
              <w:right w:val="single" w:sz="4" w:space="0" w:color="auto"/>
            </w:tcBorders>
            <w:shd w:val="clear" w:color="auto" w:fill="auto"/>
            <w:noWrap/>
            <w:vAlign w:val="bottom"/>
            <w:hideMark/>
          </w:tcPr>
          <w:p w14:paraId="0AE8D618" w14:textId="77777777" w:rsidR="0003148E" w:rsidRPr="002C7B68" w:rsidRDefault="0003148E" w:rsidP="0003148E">
            <w:pPr>
              <w:spacing w:after="0" w:line="240" w:lineRule="auto"/>
              <w:jc w:val="center"/>
              <w:rPr>
                <w:rFonts w:ascii="Times New Roman" w:hAnsi="Times New Roman"/>
                <w:b/>
                <w:color w:val="000000"/>
                <w:sz w:val="24"/>
                <w:szCs w:val="24"/>
                <w:lang w:val="en-GB" w:eastAsia="es-ES_tradnl"/>
              </w:rPr>
            </w:pPr>
            <w:r w:rsidRPr="002C7B68">
              <w:rPr>
                <w:rFonts w:ascii="Times New Roman" w:hAnsi="Times New Roman"/>
                <w:b/>
                <w:color w:val="000000"/>
                <w:sz w:val="24"/>
                <w:szCs w:val="24"/>
                <w:lang w:val="en-GB" w:eastAsia="es-ES_tradnl"/>
              </w:rPr>
              <w:t>16</w:t>
            </w:r>
          </w:p>
        </w:tc>
        <w:tc>
          <w:tcPr>
            <w:tcW w:w="1300" w:type="dxa"/>
            <w:tcBorders>
              <w:top w:val="nil"/>
              <w:left w:val="nil"/>
              <w:bottom w:val="single" w:sz="4" w:space="0" w:color="auto"/>
              <w:right w:val="single" w:sz="4" w:space="0" w:color="auto"/>
            </w:tcBorders>
            <w:shd w:val="clear" w:color="auto" w:fill="auto"/>
            <w:noWrap/>
            <w:vAlign w:val="bottom"/>
            <w:hideMark/>
          </w:tcPr>
          <w:p w14:paraId="39B8B4A2" w14:textId="77AABCC8"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1.94</w:t>
            </w:r>
          </w:p>
        </w:tc>
        <w:tc>
          <w:tcPr>
            <w:tcW w:w="1127" w:type="dxa"/>
            <w:tcBorders>
              <w:top w:val="nil"/>
              <w:left w:val="nil"/>
              <w:bottom w:val="single" w:sz="4" w:space="0" w:color="auto"/>
              <w:right w:val="single" w:sz="4" w:space="0" w:color="auto"/>
            </w:tcBorders>
            <w:shd w:val="clear" w:color="auto" w:fill="auto"/>
            <w:noWrap/>
            <w:vAlign w:val="bottom"/>
            <w:hideMark/>
          </w:tcPr>
          <w:p w14:paraId="7DF68523" w14:textId="1EB8D196"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0.05</w:t>
            </w:r>
          </w:p>
        </w:tc>
        <w:tc>
          <w:tcPr>
            <w:tcW w:w="809" w:type="dxa"/>
            <w:tcBorders>
              <w:top w:val="nil"/>
              <w:left w:val="nil"/>
              <w:bottom w:val="single" w:sz="4" w:space="0" w:color="auto"/>
              <w:right w:val="single" w:sz="4" w:space="0" w:color="auto"/>
            </w:tcBorders>
            <w:shd w:val="clear" w:color="auto" w:fill="auto"/>
            <w:noWrap/>
            <w:vAlign w:val="bottom"/>
            <w:hideMark/>
          </w:tcPr>
          <w:p w14:paraId="755E8B32" w14:textId="342C7E6F"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0.48</w:t>
            </w:r>
          </w:p>
        </w:tc>
        <w:tc>
          <w:tcPr>
            <w:tcW w:w="809" w:type="dxa"/>
            <w:tcBorders>
              <w:top w:val="nil"/>
              <w:left w:val="nil"/>
              <w:bottom w:val="single" w:sz="4" w:space="0" w:color="auto"/>
              <w:right w:val="single" w:sz="4" w:space="0" w:color="auto"/>
            </w:tcBorders>
            <w:shd w:val="clear" w:color="auto" w:fill="auto"/>
            <w:noWrap/>
            <w:vAlign w:val="bottom"/>
            <w:hideMark/>
          </w:tcPr>
          <w:p w14:paraId="470EE431" w14:textId="25432CA9"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12.48</w:t>
            </w:r>
          </w:p>
        </w:tc>
        <w:tc>
          <w:tcPr>
            <w:tcW w:w="809" w:type="dxa"/>
            <w:tcBorders>
              <w:top w:val="nil"/>
              <w:left w:val="nil"/>
              <w:bottom w:val="single" w:sz="4" w:space="0" w:color="auto"/>
              <w:right w:val="single" w:sz="4" w:space="0" w:color="auto"/>
            </w:tcBorders>
            <w:shd w:val="clear" w:color="auto" w:fill="auto"/>
            <w:noWrap/>
            <w:vAlign w:val="bottom"/>
            <w:hideMark/>
          </w:tcPr>
          <w:p w14:paraId="2154FC5A" w14:textId="4A4FB45B"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0.01</w:t>
            </w:r>
          </w:p>
        </w:tc>
        <w:tc>
          <w:tcPr>
            <w:tcW w:w="1236" w:type="dxa"/>
            <w:tcBorders>
              <w:top w:val="nil"/>
              <w:left w:val="nil"/>
              <w:bottom w:val="single" w:sz="4" w:space="0" w:color="auto"/>
              <w:right w:val="single" w:sz="4" w:space="0" w:color="auto"/>
            </w:tcBorders>
            <w:shd w:val="clear" w:color="auto" w:fill="auto"/>
            <w:noWrap/>
            <w:vAlign w:val="bottom"/>
            <w:hideMark/>
          </w:tcPr>
          <w:p w14:paraId="5461C649" w14:textId="5EFF259B" w:rsidR="0003148E" w:rsidRPr="002C7B68" w:rsidRDefault="0003148E" w:rsidP="0003148E">
            <w:pPr>
              <w:spacing w:after="0" w:line="240" w:lineRule="auto"/>
              <w:jc w:val="center"/>
              <w:rPr>
                <w:rFonts w:ascii="Times New Roman" w:hAnsi="Times New Roman"/>
                <w:color w:val="000000"/>
                <w:sz w:val="24"/>
                <w:szCs w:val="24"/>
                <w:lang w:val="en-GB" w:eastAsia="es-ES_tradnl"/>
              </w:rPr>
            </w:pPr>
            <w:r w:rsidRPr="0003148E">
              <w:rPr>
                <w:rFonts w:ascii="Times New Roman" w:hAnsi="Times New Roman"/>
                <w:color w:val="000000"/>
                <w:sz w:val="24"/>
                <w:szCs w:val="24"/>
              </w:rPr>
              <w:t>83.69</w:t>
            </w:r>
          </w:p>
        </w:tc>
      </w:tr>
    </w:tbl>
    <w:p w14:paraId="2B4AC5F1" w14:textId="2E6A4E07" w:rsidR="002F68C2" w:rsidRDefault="002F68C2">
      <w:pPr>
        <w:spacing w:after="0" w:line="240" w:lineRule="auto"/>
        <w:rPr>
          <w:rFonts w:ascii="Times New Roman" w:hAnsi="Times New Roman"/>
          <w:b/>
          <w:sz w:val="24"/>
          <w:szCs w:val="24"/>
          <w:lang w:val="en-GB"/>
        </w:rPr>
      </w:pPr>
    </w:p>
    <w:p w14:paraId="3F402AED" w14:textId="4344219F" w:rsidR="002F68C2" w:rsidRPr="002F68C2" w:rsidRDefault="002F68C2">
      <w:pPr>
        <w:spacing w:after="0" w:line="240" w:lineRule="auto"/>
        <w:rPr>
          <w:rFonts w:ascii="Times New Roman" w:hAnsi="Times New Roman"/>
          <w:sz w:val="24"/>
          <w:szCs w:val="24"/>
          <w:lang w:val="en-US"/>
        </w:rPr>
      </w:pPr>
      <w:r w:rsidRPr="002F68C2">
        <w:rPr>
          <w:rFonts w:ascii="Times New Roman" w:hAnsi="Times New Roman"/>
          <w:sz w:val="24"/>
          <w:szCs w:val="24"/>
          <w:lang w:val="en-US"/>
        </w:rPr>
        <w:t xml:space="preserve">See Table </w:t>
      </w:r>
      <w:r w:rsidR="009D64EB">
        <w:rPr>
          <w:rFonts w:ascii="Times New Roman" w:hAnsi="Times New Roman"/>
          <w:sz w:val="24"/>
          <w:szCs w:val="24"/>
          <w:lang w:val="en-US"/>
        </w:rPr>
        <w:t>2</w:t>
      </w:r>
      <w:r w:rsidRPr="002F68C2">
        <w:rPr>
          <w:rFonts w:ascii="Times New Roman" w:hAnsi="Times New Roman"/>
          <w:sz w:val="24"/>
          <w:szCs w:val="24"/>
          <w:lang w:val="en-US"/>
        </w:rPr>
        <w:t xml:space="preserve"> and the text for parameter deﬁnitions.</w:t>
      </w:r>
    </w:p>
    <w:p w14:paraId="17CAC995" w14:textId="3B544794" w:rsidR="004B3CCC" w:rsidRPr="002C7B68" w:rsidRDefault="004B3CCC">
      <w:pPr>
        <w:spacing w:after="0" w:line="240" w:lineRule="auto"/>
        <w:rPr>
          <w:rFonts w:ascii="Times New Roman" w:hAnsi="Times New Roman"/>
          <w:b/>
          <w:sz w:val="24"/>
          <w:szCs w:val="24"/>
          <w:lang w:val="en-GB"/>
        </w:rPr>
      </w:pPr>
      <w:r w:rsidRPr="002C7B68">
        <w:rPr>
          <w:rFonts w:ascii="Times New Roman" w:hAnsi="Times New Roman"/>
          <w:b/>
          <w:sz w:val="24"/>
          <w:szCs w:val="24"/>
          <w:lang w:val="en-GB"/>
        </w:rPr>
        <w:br w:type="page"/>
      </w:r>
    </w:p>
    <w:p w14:paraId="2522ADCD" w14:textId="77777777" w:rsidR="008F2CBC" w:rsidRPr="002C7B68" w:rsidRDefault="008F2CBC" w:rsidP="008F2CBC">
      <w:pPr>
        <w:spacing w:line="480" w:lineRule="auto"/>
        <w:rPr>
          <w:rFonts w:ascii="Times New Roman" w:hAnsi="Times New Roman"/>
          <w:sz w:val="24"/>
          <w:szCs w:val="24"/>
          <w:lang w:val="en-GB"/>
        </w:rPr>
      </w:pPr>
      <w:r w:rsidRPr="002C7B68">
        <w:rPr>
          <w:rFonts w:ascii="Times New Roman" w:hAnsi="Times New Roman"/>
          <w:b/>
          <w:sz w:val="24"/>
          <w:szCs w:val="24"/>
          <w:lang w:val="en-GB"/>
        </w:rPr>
        <w:lastRenderedPageBreak/>
        <w:t>Table S2.</w:t>
      </w:r>
      <w:r w:rsidRPr="002C7B68">
        <w:rPr>
          <w:rFonts w:ascii="Times New Roman" w:hAnsi="Times New Roman"/>
          <w:sz w:val="24"/>
          <w:szCs w:val="24"/>
          <w:lang w:val="en-GB"/>
        </w:rPr>
        <w:t xml:space="preserve"> Bayesian posterior density results used in all simulations.</w:t>
      </w:r>
    </w:p>
    <w:tbl>
      <w:tblPr>
        <w:tblW w:w="8400" w:type="dxa"/>
        <w:tblCellMar>
          <w:left w:w="70" w:type="dxa"/>
          <w:right w:w="70" w:type="dxa"/>
        </w:tblCellMar>
        <w:tblLook w:val="04A0" w:firstRow="1" w:lastRow="0" w:firstColumn="1" w:lastColumn="0" w:noHBand="0" w:noVBand="1"/>
      </w:tblPr>
      <w:tblGrid>
        <w:gridCol w:w="1198"/>
        <w:gridCol w:w="1199"/>
        <w:gridCol w:w="1199"/>
        <w:gridCol w:w="1199"/>
        <w:gridCol w:w="1199"/>
        <w:gridCol w:w="1199"/>
        <w:gridCol w:w="1207"/>
      </w:tblGrid>
      <w:tr w:rsidR="008F2CBC" w:rsidRPr="00BC3C5F" w14:paraId="71FABFCE" w14:textId="77777777" w:rsidTr="002C7B68">
        <w:trPr>
          <w:trHeight w:val="300"/>
        </w:trPr>
        <w:tc>
          <w:tcPr>
            <w:tcW w:w="1198" w:type="dxa"/>
            <w:tcBorders>
              <w:top w:val="single" w:sz="4" w:space="0" w:color="auto"/>
              <w:left w:val="nil"/>
              <w:bottom w:val="single" w:sz="4" w:space="0" w:color="auto"/>
              <w:right w:val="nil"/>
            </w:tcBorders>
            <w:shd w:val="clear" w:color="auto" w:fill="auto"/>
            <w:vAlign w:val="center"/>
            <w:hideMark/>
          </w:tcPr>
          <w:p w14:paraId="440D8A72" w14:textId="77777777" w:rsidR="008F2CBC" w:rsidRPr="002C7B68" w:rsidRDefault="008F2CBC" w:rsidP="00EB527C">
            <w:pPr>
              <w:jc w:val="center"/>
              <w:rPr>
                <w:rFonts w:ascii="Times New Roman" w:hAnsi="Times New Roman"/>
                <w:sz w:val="24"/>
                <w:szCs w:val="24"/>
                <w:lang w:val="en-GB"/>
              </w:rPr>
            </w:pPr>
            <w:r w:rsidRPr="002C7B68">
              <w:rPr>
                <w:rFonts w:ascii="Times New Roman" w:hAnsi="Times New Roman"/>
                <w:b/>
                <w:bCs/>
                <w:color w:val="000000"/>
                <w:sz w:val="24"/>
                <w:szCs w:val="24"/>
                <w:lang w:val="en-GB"/>
              </w:rPr>
              <w:t>Support Point</w:t>
            </w:r>
          </w:p>
        </w:tc>
        <w:tc>
          <w:tcPr>
            <w:tcW w:w="1199" w:type="dxa"/>
            <w:tcBorders>
              <w:top w:val="single" w:sz="4" w:space="0" w:color="auto"/>
              <w:left w:val="nil"/>
              <w:bottom w:val="single" w:sz="4" w:space="0" w:color="auto"/>
              <w:right w:val="nil"/>
            </w:tcBorders>
            <w:shd w:val="clear" w:color="auto" w:fill="auto"/>
            <w:vAlign w:val="center"/>
            <w:hideMark/>
          </w:tcPr>
          <w:p w14:paraId="18193A25" w14:textId="77777777" w:rsidR="008F2CBC" w:rsidRDefault="008F2CBC" w:rsidP="00EB527C">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Intercept</w:t>
            </w:r>
          </w:p>
          <w:p w14:paraId="56850AF5" w14:textId="4E8E4BBC" w:rsidR="006D37BA" w:rsidRPr="002C7B68" w:rsidRDefault="006D37BA" w:rsidP="00EB527C">
            <w:pPr>
              <w:jc w:val="center"/>
              <w:rPr>
                <w:rFonts w:ascii="Times New Roman" w:hAnsi="Times New Roman"/>
                <w:b/>
                <w:bCs/>
                <w:color w:val="000000"/>
                <w:sz w:val="24"/>
                <w:szCs w:val="24"/>
                <w:lang w:val="en-GB"/>
              </w:rPr>
            </w:pPr>
            <w:r>
              <w:rPr>
                <w:rFonts w:ascii="Times New Roman" w:hAnsi="Times New Roman"/>
                <w:b/>
                <w:bCs/>
                <w:color w:val="000000"/>
                <w:sz w:val="24"/>
                <w:szCs w:val="24"/>
                <w:lang w:val="en-GB"/>
              </w:rPr>
              <w:t>(</w:t>
            </w:r>
            <w:r w:rsidR="00D45309">
              <w:rPr>
                <w:rFonts w:ascii="Times New Roman" w:hAnsi="Times New Roman"/>
                <w:b/>
                <w:bCs/>
                <w:color w:val="000000"/>
                <w:sz w:val="24"/>
                <w:szCs w:val="24"/>
                <w:lang w:val="en-GB"/>
              </w:rPr>
              <w:t>L/</w:t>
            </w:r>
            <w:r w:rsidR="001161D4">
              <w:rPr>
                <w:rFonts w:ascii="Times New Roman" w:hAnsi="Times New Roman"/>
                <w:b/>
                <w:bCs/>
                <w:color w:val="000000"/>
                <w:sz w:val="24"/>
                <w:szCs w:val="24"/>
                <w:lang w:val="en-GB"/>
              </w:rPr>
              <w:t>h</w:t>
            </w:r>
            <w:r>
              <w:rPr>
                <w:rFonts w:ascii="Times New Roman" w:hAnsi="Times New Roman"/>
                <w:b/>
                <w:bCs/>
                <w:color w:val="000000"/>
                <w:sz w:val="24"/>
                <w:szCs w:val="24"/>
                <w:lang w:val="en-GB"/>
              </w:rPr>
              <w:t>)</w:t>
            </w:r>
          </w:p>
        </w:tc>
        <w:tc>
          <w:tcPr>
            <w:tcW w:w="1199" w:type="dxa"/>
            <w:tcBorders>
              <w:top w:val="single" w:sz="4" w:space="0" w:color="auto"/>
              <w:left w:val="nil"/>
              <w:bottom w:val="single" w:sz="4" w:space="0" w:color="auto"/>
              <w:right w:val="nil"/>
            </w:tcBorders>
            <w:shd w:val="clear" w:color="auto" w:fill="auto"/>
            <w:vAlign w:val="center"/>
            <w:hideMark/>
          </w:tcPr>
          <w:p w14:paraId="49024726" w14:textId="77777777" w:rsidR="008F2CBC" w:rsidRPr="002C7B68" w:rsidRDefault="008F2CBC" w:rsidP="00EB527C">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slope</w:t>
            </w:r>
          </w:p>
        </w:tc>
        <w:tc>
          <w:tcPr>
            <w:tcW w:w="1199" w:type="dxa"/>
            <w:tcBorders>
              <w:top w:val="single" w:sz="4" w:space="0" w:color="auto"/>
              <w:left w:val="nil"/>
              <w:bottom w:val="single" w:sz="4" w:space="0" w:color="auto"/>
              <w:right w:val="nil"/>
            </w:tcBorders>
            <w:shd w:val="clear" w:color="auto" w:fill="auto"/>
            <w:vAlign w:val="center"/>
            <w:hideMark/>
          </w:tcPr>
          <w:p w14:paraId="77705717" w14:textId="77777777" w:rsidR="008F2CBC" w:rsidRPr="002C7B68" w:rsidRDefault="008F2CBC" w:rsidP="00EB527C">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Vc</w:t>
            </w:r>
          </w:p>
          <w:p w14:paraId="2BCA08D7" w14:textId="170026BE" w:rsidR="008F2CBC" w:rsidRPr="002C7B68" w:rsidRDefault="008F2CBC" w:rsidP="00EB527C">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(L)</w:t>
            </w:r>
          </w:p>
        </w:tc>
        <w:tc>
          <w:tcPr>
            <w:tcW w:w="1199" w:type="dxa"/>
            <w:tcBorders>
              <w:top w:val="single" w:sz="4" w:space="0" w:color="auto"/>
              <w:left w:val="nil"/>
              <w:bottom w:val="single" w:sz="4" w:space="0" w:color="auto"/>
              <w:right w:val="nil"/>
            </w:tcBorders>
            <w:shd w:val="clear" w:color="auto" w:fill="auto"/>
            <w:vAlign w:val="center"/>
            <w:hideMark/>
          </w:tcPr>
          <w:p w14:paraId="00C1E0C6" w14:textId="0FED50C7" w:rsidR="008F2CBC" w:rsidRPr="002C7B68" w:rsidRDefault="006D37BA" w:rsidP="00EB527C">
            <w:pPr>
              <w:jc w:val="center"/>
              <w:rPr>
                <w:rFonts w:ascii="Times New Roman" w:hAnsi="Times New Roman"/>
                <w:b/>
                <w:bCs/>
                <w:color w:val="000000"/>
                <w:sz w:val="24"/>
                <w:szCs w:val="24"/>
                <w:lang w:val="en-GB"/>
              </w:rPr>
            </w:pPr>
            <w:r>
              <w:rPr>
                <w:rFonts w:ascii="Times New Roman" w:hAnsi="Times New Roman"/>
                <w:b/>
                <w:bCs/>
                <w:color w:val="000000"/>
                <w:sz w:val="24"/>
                <w:szCs w:val="24"/>
                <w:lang w:val="en-GB"/>
              </w:rPr>
              <w:t>K</w:t>
            </w:r>
            <w:r>
              <w:rPr>
                <w:rFonts w:ascii="Times New Roman" w:hAnsi="Times New Roman"/>
                <w:b/>
                <w:bCs/>
                <w:color w:val="000000"/>
                <w:sz w:val="24"/>
                <w:szCs w:val="24"/>
                <w:vertAlign w:val="subscript"/>
                <w:lang w:val="en-GB"/>
              </w:rPr>
              <w:t>cp</w:t>
            </w:r>
          </w:p>
          <w:p w14:paraId="28D8B60B" w14:textId="77777777" w:rsidR="008F2CBC" w:rsidRPr="002C7B68" w:rsidRDefault="008F2CBC" w:rsidP="00EB527C">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(h</w:t>
            </w:r>
            <w:r w:rsidRPr="002C7B68">
              <w:rPr>
                <w:rFonts w:ascii="Times New Roman" w:hAnsi="Times New Roman"/>
                <w:b/>
                <w:bCs/>
                <w:color w:val="000000"/>
                <w:sz w:val="24"/>
                <w:szCs w:val="24"/>
                <w:vertAlign w:val="superscript"/>
                <w:lang w:val="en-GB"/>
              </w:rPr>
              <w:t>-1</w:t>
            </w:r>
            <w:r w:rsidRPr="002C7B68">
              <w:rPr>
                <w:rFonts w:ascii="Times New Roman" w:hAnsi="Times New Roman"/>
                <w:b/>
                <w:bCs/>
                <w:color w:val="000000"/>
                <w:sz w:val="24"/>
                <w:szCs w:val="24"/>
                <w:lang w:val="en-GB"/>
              </w:rPr>
              <w:t>)</w:t>
            </w:r>
          </w:p>
        </w:tc>
        <w:tc>
          <w:tcPr>
            <w:tcW w:w="1199" w:type="dxa"/>
            <w:tcBorders>
              <w:top w:val="single" w:sz="4" w:space="0" w:color="auto"/>
              <w:left w:val="nil"/>
              <w:bottom w:val="single" w:sz="4" w:space="0" w:color="auto"/>
              <w:right w:val="nil"/>
            </w:tcBorders>
            <w:shd w:val="clear" w:color="auto" w:fill="auto"/>
            <w:vAlign w:val="center"/>
            <w:hideMark/>
          </w:tcPr>
          <w:p w14:paraId="1CCC7A9F" w14:textId="77F3D251" w:rsidR="008F2CBC" w:rsidRPr="002C7B68" w:rsidRDefault="006D37BA" w:rsidP="00EB527C">
            <w:pPr>
              <w:jc w:val="center"/>
              <w:rPr>
                <w:rFonts w:ascii="Times New Roman" w:hAnsi="Times New Roman"/>
                <w:b/>
                <w:bCs/>
                <w:color w:val="000000"/>
                <w:sz w:val="24"/>
                <w:szCs w:val="24"/>
                <w:lang w:val="en-GB"/>
              </w:rPr>
            </w:pPr>
            <w:r>
              <w:rPr>
                <w:rFonts w:ascii="Times New Roman" w:hAnsi="Times New Roman"/>
                <w:b/>
                <w:bCs/>
                <w:color w:val="000000"/>
                <w:sz w:val="24"/>
                <w:szCs w:val="24"/>
                <w:lang w:val="en-GB"/>
              </w:rPr>
              <w:t>K</w:t>
            </w:r>
            <w:r>
              <w:rPr>
                <w:rFonts w:ascii="Times New Roman" w:hAnsi="Times New Roman"/>
                <w:b/>
                <w:bCs/>
                <w:color w:val="000000"/>
                <w:sz w:val="24"/>
                <w:szCs w:val="24"/>
                <w:vertAlign w:val="subscript"/>
                <w:lang w:val="en-GB"/>
              </w:rPr>
              <w:t>pc</w:t>
            </w:r>
          </w:p>
          <w:p w14:paraId="6B88F4B2" w14:textId="77777777" w:rsidR="008F2CBC" w:rsidRPr="002C7B68" w:rsidRDefault="008F2CBC" w:rsidP="00EB527C">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(h</w:t>
            </w:r>
            <w:r w:rsidRPr="002C7B68">
              <w:rPr>
                <w:rFonts w:ascii="Times New Roman" w:hAnsi="Times New Roman"/>
                <w:b/>
                <w:bCs/>
                <w:color w:val="000000"/>
                <w:sz w:val="24"/>
                <w:szCs w:val="24"/>
                <w:vertAlign w:val="superscript"/>
                <w:lang w:val="en-GB"/>
              </w:rPr>
              <w:t>-1</w:t>
            </w:r>
            <w:r w:rsidRPr="002C7B68">
              <w:rPr>
                <w:rFonts w:ascii="Times New Roman" w:hAnsi="Times New Roman"/>
                <w:b/>
                <w:bCs/>
                <w:color w:val="000000"/>
                <w:sz w:val="24"/>
                <w:szCs w:val="24"/>
                <w:lang w:val="en-GB"/>
              </w:rPr>
              <w:t>)</w:t>
            </w:r>
          </w:p>
        </w:tc>
        <w:tc>
          <w:tcPr>
            <w:tcW w:w="1207" w:type="dxa"/>
            <w:tcBorders>
              <w:top w:val="single" w:sz="4" w:space="0" w:color="auto"/>
              <w:left w:val="nil"/>
              <w:bottom w:val="single" w:sz="4" w:space="0" w:color="auto"/>
              <w:right w:val="nil"/>
            </w:tcBorders>
            <w:shd w:val="clear" w:color="auto" w:fill="auto"/>
            <w:vAlign w:val="center"/>
            <w:hideMark/>
          </w:tcPr>
          <w:p w14:paraId="00204B70" w14:textId="77777777" w:rsidR="008F2CBC" w:rsidRPr="002C7B68" w:rsidRDefault="008F2CBC" w:rsidP="00EB527C">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Weighting Fraction</w:t>
            </w:r>
          </w:p>
        </w:tc>
      </w:tr>
      <w:tr w:rsidR="001161D4" w:rsidRPr="00BC3C5F" w14:paraId="0B9BFF2B" w14:textId="77777777" w:rsidTr="002C7B68">
        <w:trPr>
          <w:trHeight w:val="300"/>
        </w:trPr>
        <w:tc>
          <w:tcPr>
            <w:tcW w:w="1198" w:type="dxa"/>
            <w:tcBorders>
              <w:top w:val="single" w:sz="4" w:space="0" w:color="auto"/>
              <w:left w:val="nil"/>
              <w:bottom w:val="nil"/>
              <w:right w:val="nil"/>
            </w:tcBorders>
            <w:shd w:val="clear" w:color="auto" w:fill="auto"/>
            <w:vAlign w:val="center"/>
          </w:tcPr>
          <w:p w14:paraId="3B9D43EA" w14:textId="2AC9B5A1"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w:t>
            </w:r>
          </w:p>
        </w:tc>
        <w:tc>
          <w:tcPr>
            <w:tcW w:w="1199" w:type="dxa"/>
            <w:tcBorders>
              <w:top w:val="single" w:sz="4" w:space="0" w:color="auto"/>
              <w:left w:val="nil"/>
              <w:bottom w:val="nil"/>
              <w:right w:val="nil"/>
            </w:tcBorders>
            <w:shd w:val="clear" w:color="auto" w:fill="auto"/>
            <w:vAlign w:val="center"/>
          </w:tcPr>
          <w:p w14:paraId="1B433676" w14:textId="024E1B12"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0.092</w:t>
            </w:r>
          </w:p>
        </w:tc>
        <w:tc>
          <w:tcPr>
            <w:tcW w:w="1199" w:type="dxa"/>
            <w:tcBorders>
              <w:top w:val="single" w:sz="4" w:space="0" w:color="auto"/>
              <w:left w:val="nil"/>
              <w:bottom w:val="nil"/>
              <w:right w:val="nil"/>
            </w:tcBorders>
            <w:shd w:val="clear" w:color="auto" w:fill="auto"/>
            <w:vAlign w:val="center"/>
          </w:tcPr>
          <w:p w14:paraId="7C8D0728" w14:textId="53FEBA53"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w:t>
            </w:r>
            <w:r>
              <w:rPr>
                <w:rFonts w:ascii="Times New Roman" w:hAnsi="Times New Roman"/>
                <w:color w:val="000000"/>
                <w:sz w:val="24"/>
                <w:szCs w:val="24"/>
              </w:rPr>
              <w:t>.001</w:t>
            </w:r>
          </w:p>
        </w:tc>
        <w:tc>
          <w:tcPr>
            <w:tcW w:w="1199" w:type="dxa"/>
            <w:tcBorders>
              <w:top w:val="single" w:sz="4" w:space="0" w:color="auto"/>
              <w:left w:val="nil"/>
              <w:bottom w:val="nil"/>
              <w:right w:val="nil"/>
            </w:tcBorders>
            <w:shd w:val="clear" w:color="auto" w:fill="auto"/>
            <w:vAlign w:val="center"/>
          </w:tcPr>
          <w:p w14:paraId="495895DF" w14:textId="40BE56DD"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16.179</w:t>
            </w:r>
          </w:p>
        </w:tc>
        <w:tc>
          <w:tcPr>
            <w:tcW w:w="1199" w:type="dxa"/>
            <w:tcBorders>
              <w:top w:val="single" w:sz="4" w:space="0" w:color="auto"/>
              <w:left w:val="nil"/>
              <w:bottom w:val="nil"/>
              <w:right w:val="nil"/>
            </w:tcBorders>
            <w:shd w:val="clear" w:color="auto" w:fill="auto"/>
            <w:vAlign w:val="center"/>
          </w:tcPr>
          <w:p w14:paraId="667A6E17" w14:textId="50B84FFD"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40.665</w:t>
            </w:r>
          </w:p>
        </w:tc>
        <w:tc>
          <w:tcPr>
            <w:tcW w:w="1199" w:type="dxa"/>
            <w:tcBorders>
              <w:top w:val="single" w:sz="4" w:space="0" w:color="auto"/>
              <w:left w:val="nil"/>
              <w:bottom w:val="nil"/>
              <w:right w:val="nil"/>
            </w:tcBorders>
            <w:shd w:val="clear" w:color="auto" w:fill="auto"/>
            <w:vAlign w:val="center"/>
          </w:tcPr>
          <w:p w14:paraId="01DE5FA5" w14:textId="6A9829C8"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50.809</w:t>
            </w:r>
          </w:p>
        </w:tc>
        <w:tc>
          <w:tcPr>
            <w:tcW w:w="1207" w:type="dxa"/>
            <w:tcBorders>
              <w:top w:val="single" w:sz="4" w:space="0" w:color="auto"/>
              <w:left w:val="nil"/>
              <w:bottom w:val="nil"/>
              <w:right w:val="nil"/>
            </w:tcBorders>
            <w:shd w:val="clear" w:color="auto" w:fill="auto"/>
            <w:vAlign w:val="center"/>
          </w:tcPr>
          <w:p w14:paraId="4B07F703" w14:textId="756EBF99"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0.063</w:t>
            </w:r>
          </w:p>
        </w:tc>
      </w:tr>
      <w:tr w:rsidR="001161D4" w:rsidRPr="00BC3C5F" w14:paraId="1F582D22" w14:textId="77777777" w:rsidTr="002C7B68">
        <w:trPr>
          <w:trHeight w:val="300"/>
        </w:trPr>
        <w:tc>
          <w:tcPr>
            <w:tcW w:w="1198" w:type="dxa"/>
            <w:tcBorders>
              <w:top w:val="nil"/>
              <w:left w:val="nil"/>
              <w:bottom w:val="nil"/>
              <w:right w:val="nil"/>
            </w:tcBorders>
            <w:shd w:val="clear" w:color="auto" w:fill="auto"/>
            <w:vAlign w:val="center"/>
          </w:tcPr>
          <w:p w14:paraId="7A98CD43" w14:textId="40BF6A69"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2</w:t>
            </w:r>
          </w:p>
        </w:tc>
        <w:tc>
          <w:tcPr>
            <w:tcW w:w="1199" w:type="dxa"/>
            <w:tcBorders>
              <w:top w:val="nil"/>
              <w:left w:val="nil"/>
              <w:bottom w:val="nil"/>
              <w:right w:val="nil"/>
            </w:tcBorders>
            <w:shd w:val="clear" w:color="auto" w:fill="auto"/>
            <w:vAlign w:val="center"/>
          </w:tcPr>
          <w:p w14:paraId="53078FD4" w14:textId="6EDD6020"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3.547</w:t>
            </w:r>
          </w:p>
        </w:tc>
        <w:tc>
          <w:tcPr>
            <w:tcW w:w="1199" w:type="dxa"/>
            <w:tcBorders>
              <w:top w:val="nil"/>
              <w:left w:val="nil"/>
              <w:bottom w:val="nil"/>
              <w:right w:val="nil"/>
            </w:tcBorders>
            <w:shd w:val="clear" w:color="auto" w:fill="auto"/>
            <w:vAlign w:val="center"/>
          </w:tcPr>
          <w:p w14:paraId="6425A808" w14:textId="2BDE0ABC"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0.302</w:t>
            </w:r>
          </w:p>
        </w:tc>
        <w:tc>
          <w:tcPr>
            <w:tcW w:w="1199" w:type="dxa"/>
            <w:tcBorders>
              <w:top w:val="nil"/>
              <w:left w:val="nil"/>
              <w:bottom w:val="nil"/>
              <w:right w:val="nil"/>
            </w:tcBorders>
            <w:shd w:val="clear" w:color="auto" w:fill="auto"/>
            <w:vAlign w:val="center"/>
          </w:tcPr>
          <w:p w14:paraId="13AC29F4" w14:textId="607BE797"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10.003</w:t>
            </w:r>
          </w:p>
        </w:tc>
        <w:tc>
          <w:tcPr>
            <w:tcW w:w="1199" w:type="dxa"/>
            <w:tcBorders>
              <w:top w:val="nil"/>
              <w:left w:val="nil"/>
              <w:bottom w:val="nil"/>
              <w:right w:val="nil"/>
            </w:tcBorders>
            <w:shd w:val="clear" w:color="auto" w:fill="auto"/>
            <w:vAlign w:val="center"/>
          </w:tcPr>
          <w:p w14:paraId="4ED23075" w14:textId="501C90A9"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0.634</w:t>
            </w:r>
          </w:p>
        </w:tc>
        <w:tc>
          <w:tcPr>
            <w:tcW w:w="1199" w:type="dxa"/>
            <w:tcBorders>
              <w:top w:val="nil"/>
              <w:left w:val="nil"/>
              <w:bottom w:val="nil"/>
              <w:right w:val="nil"/>
            </w:tcBorders>
            <w:shd w:val="clear" w:color="auto" w:fill="auto"/>
            <w:vAlign w:val="center"/>
          </w:tcPr>
          <w:p w14:paraId="7099E8E5" w14:textId="0F735791"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1.009</w:t>
            </w:r>
          </w:p>
        </w:tc>
        <w:tc>
          <w:tcPr>
            <w:tcW w:w="1207" w:type="dxa"/>
            <w:tcBorders>
              <w:top w:val="nil"/>
              <w:left w:val="nil"/>
              <w:bottom w:val="nil"/>
              <w:right w:val="nil"/>
            </w:tcBorders>
            <w:shd w:val="clear" w:color="auto" w:fill="auto"/>
            <w:vAlign w:val="center"/>
          </w:tcPr>
          <w:p w14:paraId="5B8884B6" w14:textId="46119F10"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0.096</w:t>
            </w:r>
          </w:p>
        </w:tc>
      </w:tr>
      <w:tr w:rsidR="001161D4" w:rsidRPr="00BC3C5F" w14:paraId="0A60A595" w14:textId="77777777" w:rsidTr="002C7B68">
        <w:trPr>
          <w:trHeight w:val="300"/>
        </w:trPr>
        <w:tc>
          <w:tcPr>
            <w:tcW w:w="1198" w:type="dxa"/>
            <w:tcBorders>
              <w:top w:val="nil"/>
              <w:left w:val="nil"/>
              <w:bottom w:val="nil"/>
              <w:right w:val="nil"/>
            </w:tcBorders>
            <w:shd w:val="clear" w:color="auto" w:fill="auto"/>
            <w:vAlign w:val="center"/>
          </w:tcPr>
          <w:p w14:paraId="14C8443A" w14:textId="59961A19"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3</w:t>
            </w:r>
          </w:p>
        </w:tc>
        <w:tc>
          <w:tcPr>
            <w:tcW w:w="1199" w:type="dxa"/>
            <w:tcBorders>
              <w:top w:val="nil"/>
              <w:left w:val="nil"/>
              <w:bottom w:val="nil"/>
              <w:right w:val="nil"/>
            </w:tcBorders>
            <w:shd w:val="clear" w:color="auto" w:fill="auto"/>
            <w:vAlign w:val="center"/>
          </w:tcPr>
          <w:p w14:paraId="61EE1480" w14:textId="7751F4B1"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3.559</w:t>
            </w:r>
          </w:p>
        </w:tc>
        <w:tc>
          <w:tcPr>
            <w:tcW w:w="1199" w:type="dxa"/>
            <w:tcBorders>
              <w:top w:val="nil"/>
              <w:left w:val="nil"/>
              <w:bottom w:val="nil"/>
              <w:right w:val="nil"/>
            </w:tcBorders>
            <w:shd w:val="clear" w:color="auto" w:fill="auto"/>
            <w:vAlign w:val="center"/>
          </w:tcPr>
          <w:p w14:paraId="05954B85" w14:textId="13AB5F4D"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0.302</w:t>
            </w:r>
          </w:p>
        </w:tc>
        <w:tc>
          <w:tcPr>
            <w:tcW w:w="1199" w:type="dxa"/>
            <w:tcBorders>
              <w:top w:val="nil"/>
              <w:left w:val="nil"/>
              <w:bottom w:val="nil"/>
              <w:right w:val="nil"/>
            </w:tcBorders>
            <w:shd w:val="clear" w:color="auto" w:fill="auto"/>
            <w:vAlign w:val="center"/>
          </w:tcPr>
          <w:p w14:paraId="4B7ED8B3" w14:textId="662BD09C"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10.003</w:t>
            </w:r>
          </w:p>
        </w:tc>
        <w:tc>
          <w:tcPr>
            <w:tcW w:w="1199" w:type="dxa"/>
            <w:tcBorders>
              <w:top w:val="nil"/>
              <w:left w:val="nil"/>
              <w:bottom w:val="nil"/>
              <w:right w:val="nil"/>
            </w:tcBorders>
            <w:shd w:val="clear" w:color="auto" w:fill="auto"/>
            <w:vAlign w:val="center"/>
          </w:tcPr>
          <w:p w14:paraId="5C4C2B62" w14:textId="190CB311"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0.643</w:t>
            </w:r>
          </w:p>
        </w:tc>
        <w:tc>
          <w:tcPr>
            <w:tcW w:w="1199" w:type="dxa"/>
            <w:tcBorders>
              <w:top w:val="nil"/>
              <w:left w:val="nil"/>
              <w:bottom w:val="nil"/>
              <w:right w:val="nil"/>
            </w:tcBorders>
            <w:shd w:val="clear" w:color="auto" w:fill="auto"/>
            <w:vAlign w:val="center"/>
          </w:tcPr>
          <w:p w14:paraId="71293F11" w14:textId="4C17DB9B"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1.009</w:t>
            </w:r>
          </w:p>
        </w:tc>
        <w:tc>
          <w:tcPr>
            <w:tcW w:w="1207" w:type="dxa"/>
            <w:tcBorders>
              <w:top w:val="nil"/>
              <w:left w:val="nil"/>
              <w:bottom w:val="nil"/>
              <w:right w:val="nil"/>
            </w:tcBorders>
            <w:shd w:val="clear" w:color="auto" w:fill="auto"/>
            <w:vAlign w:val="center"/>
          </w:tcPr>
          <w:p w14:paraId="566561AA" w14:textId="12FA15B2"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0.029</w:t>
            </w:r>
          </w:p>
        </w:tc>
      </w:tr>
      <w:tr w:rsidR="001161D4" w:rsidRPr="00BC3C5F" w14:paraId="5225DE22" w14:textId="77777777" w:rsidTr="002C7B68">
        <w:trPr>
          <w:trHeight w:val="300"/>
        </w:trPr>
        <w:tc>
          <w:tcPr>
            <w:tcW w:w="1198" w:type="dxa"/>
            <w:tcBorders>
              <w:top w:val="nil"/>
              <w:left w:val="nil"/>
              <w:bottom w:val="nil"/>
              <w:right w:val="nil"/>
            </w:tcBorders>
            <w:shd w:val="clear" w:color="auto" w:fill="auto"/>
            <w:vAlign w:val="center"/>
          </w:tcPr>
          <w:p w14:paraId="38BCEB0B" w14:textId="038FB2D9"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4</w:t>
            </w:r>
          </w:p>
        </w:tc>
        <w:tc>
          <w:tcPr>
            <w:tcW w:w="1199" w:type="dxa"/>
            <w:tcBorders>
              <w:top w:val="nil"/>
              <w:left w:val="nil"/>
              <w:bottom w:val="nil"/>
              <w:right w:val="nil"/>
            </w:tcBorders>
            <w:shd w:val="clear" w:color="auto" w:fill="auto"/>
            <w:vAlign w:val="center"/>
          </w:tcPr>
          <w:p w14:paraId="4291DB63" w14:textId="626E92B9"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0.258</w:t>
            </w:r>
          </w:p>
        </w:tc>
        <w:tc>
          <w:tcPr>
            <w:tcW w:w="1199" w:type="dxa"/>
            <w:tcBorders>
              <w:top w:val="nil"/>
              <w:left w:val="nil"/>
              <w:bottom w:val="nil"/>
              <w:right w:val="nil"/>
            </w:tcBorders>
            <w:shd w:val="clear" w:color="auto" w:fill="auto"/>
            <w:vAlign w:val="center"/>
          </w:tcPr>
          <w:p w14:paraId="709A4F5C" w14:textId="572A47AD"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0.127</w:t>
            </w:r>
          </w:p>
        </w:tc>
        <w:tc>
          <w:tcPr>
            <w:tcW w:w="1199" w:type="dxa"/>
            <w:tcBorders>
              <w:top w:val="nil"/>
              <w:left w:val="nil"/>
              <w:bottom w:val="nil"/>
              <w:right w:val="nil"/>
            </w:tcBorders>
            <w:shd w:val="clear" w:color="auto" w:fill="auto"/>
            <w:vAlign w:val="center"/>
          </w:tcPr>
          <w:p w14:paraId="6AE379ED" w14:textId="5C431BD2"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11.284</w:t>
            </w:r>
          </w:p>
        </w:tc>
        <w:tc>
          <w:tcPr>
            <w:tcW w:w="1199" w:type="dxa"/>
            <w:tcBorders>
              <w:top w:val="nil"/>
              <w:left w:val="nil"/>
              <w:bottom w:val="nil"/>
              <w:right w:val="nil"/>
            </w:tcBorders>
            <w:shd w:val="clear" w:color="auto" w:fill="auto"/>
            <w:vAlign w:val="center"/>
          </w:tcPr>
          <w:p w14:paraId="33C95C87" w14:textId="2F7DDA95"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13.445</w:t>
            </w:r>
          </w:p>
        </w:tc>
        <w:tc>
          <w:tcPr>
            <w:tcW w:w="1199" w:type="dxa"/>
            <w:tcBorders>
              <w:top w:val="nil"/>
              <w:left w:val="nil"/>
              <w:bottom w:val="nil"/>
              <w:right w:val="nil"/>
            </w:tcBorders>
            <w:shd w:val="clear" w:color="auto" w:fill="auto"/>
            <w:vAlign w:val="center"/>
          </w:tcPr>
          <w:p w14:paraId="4EEF8261" w14:textId="091062C7"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96.261</w:t>
            </w:r>
          </w:p>
        </w:tc>
        <w:tc>
          <w:tcPr>
            <w:tcW w:w="1207" w:type="dxa"/>
            <w:tcBorders>
              <w:top w:val="nil"/>
              <w:left w:val="nil"/>
              <w:bottom w:val="nil"/>
              <w:right w:val="nil"/>
            </w:tcBorders>
            <w:shd w:val="clear" w:color="auto" w:fill="auto"/>
            <w:vAlign w:val="center"/>
          </w:tcPr>
          <w:p w14:paraId="5569AD30" w14:textId="1F662529"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0.062</w:t>
            </w:r>
          </w:p>
        </w:tc>
      </w:tr>
      <w:tr w:rsidR="001161D4" w:rsidRPr="00BC3C5F" w14:paraId="3BB4F1DC" w14:textId="77777777" w:rsidTr="002C7B68">
        <w:trPr>
          <w:trHeight w:val="300"/>
        </w:trPr>
        <w:tc>
          <w:tcPr>
            <w:tcW w:w="1198" w:type="dxa"/>
            <w:tcBorders>
              <w:top w:val="nil"/>
              <w:left w:val="nil"/>
              <w:bottom w:val="nil"/>
              <w:right w:val="nil"/>
            </w:tcBorders>
            <w:shd w:val="clear" w:color="auto" w:fill="auto"/>
            <w:vAlign w:val="center"/>
          </w:tcPr>
          <w:p w14:paraId="11C79413" w14:textId="6B47D37F"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5</w:t>
            </w:r>
          </w:p>
        </w:tc>
        <w:tc>
          <w:tcPr>
            <w:tcW w:w="1199" w:type="dxa"/>
            <w:tcBorders>
              <w:top w:val="nil"/>
              <w:left w:val="nil"/>
              <w:bottom w:val="nil"/>
              <w:right w:val="nil"/>
            </w:tcBorders>
            <w:shd w:val="clear" w:color="auto" w:fill="auto"/>
            <w:vAlign w:val="center"/>
          </w:tcPr>
          <w:p w14:paraId="30884896" w14:textId="6432A448"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1.089</w:t>
            </w:r>
          </w:p>
        </w:tc>
        <w:tc>
          <w:tcPr>
            <w:tcW w:w="1199" w:type="dxa"/>
            <w:tcBorders>
              <w:top w:val="nil"/>
              <w:left w:val="nil"/>
              <w:bottom w:val="nil"/>
              <w:right w:val="nil"/>
            </w:tcBorders>
            <w:shd w:val="clear" w:color="auto" w:fill="auto"/>
            <w:vAlign w:val="center"/>
          </w:tcPr>
          <w:p w14:paraId="7755785B" w14:textId="62BA81D0"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0.237</w:t>
            </w:r>
          </w:p>
        </w:tc>
        <w:tc>
          <w:tcPr>
            <w:tcW w:w="1199" w:type="dxa"/>
            <w:tcBorders>
              <w:top w:val="nil"/>
              <w:left w:val="nil"/>
              <w:bottom w:val="nil"/>
              <w:right w:val="nil"/>
            </w:tcBorders>
            <w:shd w:val="clear" w:color="auto" w:fill="auto"/>
            <w:vAlign w:val="center"/>
          </w:tcPr>
          <w:p w14:paraId="24F74168" w14:textId="7878B018"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10.275</w:t>
            </w:r>
          </w:p>
        </w:tc>
        <w:tc>
          <w:tcPr>
            <w:tcW w:w="1199" w:type="dxa"/>
            <w:tcBorders>
              <w:top w:val="nil"/>
              <w:left w:val="nil"/>
              <w:bottom w:val="nil"/>
              <w:right w:val="nil"/>
            </w:tcBorders>
            <w:shd w:val="clear" w:color="auto" w:fill="auto"/>
            <w:vAlign w:val="center"/>
          </w:tcPr>
          <w:p w14:paraId="3C95007C" w14:textId="66A7C0FF"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15.883</w:t>
            </w:r>
          </w:p>
        </w:tc>
        <w:tc>
          <w:tcPr>
            <w:tcW w:w="1199" w:type="dxa"/>
            <w:tcBorders>
              <w:top w:val="nil"/>
              <w:left w:val="nil"/>
              <w:bottom w:val="nil"/>
              <w:right w:val="nil"/>
            </w:tcBorders>
            <w:shd w:val="clear" w:color="auto" w:fill="auto"/>
            <w:vAlign w:val="center"/>
          </w:tcPr>
          <w:p w14:paraId="3B405663" w14:textId="449E3D30"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45.355</w:t>
            </w:r>
          </w:p>
        </w:tc>
        <w:tc>
          <w:tcPr>
            <w:tcW w:w="1207" w:type="dxa"/>
            <w:tcBorders>
              <w:top w:val="nil"/>
              <w:left w:val="nil"/>
              <w:bottom w:val="nil"/>
              <w:right w:val="nil"/>
            </w:tcBorders>
            <w:shd w:val="clear" w:color="auto" w:fill="auto"/>
            <w:vAlign w:val="center"/>
          </w:tcPr>
          <w:p w14:paraId="2E3ED66D" w14:textId="2350A20F"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0.034</w:t>
            </w:r>
          </w:p>
        </w:tc>
      </w:tr>
      <w:tr w:rsidR="001161D4" w:rsidRPr="00BC3C5F" w14:paraId="5C838E02" w14:textId="77777777" w:rsidTr="002C7B68">
        <w:trPr>
          <w:trHeight w:val="300"/>
        </w:trPr>
        <w:tc>
          <w:tcPr>
            <w:tcW w:w="1198" w:type="dxa"/>
            <w:tcBorders>
              <w:top w:val="nil"/>
              <w:left w:val="nil"/>
              <w:bottom w:val="nil"/>
              <w:right w:val="nil"/>
            </w:tcBorders>
            <w:shd w:val="clear" w:color="auto" w:fill="auto"/>
            <w:vAlign w:val="center"/>
          </w:tcPr>
          <w:p w14:paraId="27AF4BBB" w14:textId="4A956DB0"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6</w:t>
            </w:r>
          </w:p>
        </w:tc>
        <w:tc>
          <w:tcPr>
            <w:tcW w:w="1199" w:type="dxa"/>
            <w:tcBorders>
              <w:top w:val="nil"/>
              <w:left w:val="nil"/>
              <w:bottom w:val="nil"/>
              <w:right w:val="nil"/>
            </w:tcBorders>
            <w:shd w:val="clear" w:color="auto" w:fill="auto"/>
            <w:vAlign w:val="center"/>
          </w:tcPr>
          <w:p w14:paraId="0AF9115D" w14:textId="7EC5CCCC"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0.022</w:t>
            </w:r>
          </w:p>
        </w:tc>
        <w:tc>
          <w:tcPr>
            <w:tcW w:w="1199" w:type="dxa"/>
            <w:tcBorders>
              <w:top w:val="nil"/>
              <w:left w:val="nil"/>
              <w:bottom w:val="nil"/>
              <w:right w:val="nil"/>
            </w:tcBorders>
            <w:shd w:val="clear" w:color="auto" w:fill="auto"/>
            <w:vAlign w:val="center"/>
          </w:tcPr>
          <w:p w14:paraId="101BDAC1" w14:textId="36A1A376"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0.5</w:t>
            </w:r>
          </w:p>
        </w:tc>
        <w:tc>
          <w:tcPr>
            <w:tcW w:w="1199" w:type="dxa"/>
            <w:tcBorders>
              <w:top w:val="nil"/>
              <w:left w:val="nil"/>
              <w:bottom w:val="nil"/>
              <w:right w:val="nil"/>
            </w:tcBorders>
            <w:shd w:val="clear" w:color="auto" w:fill="auto"/>
            <w:vAlign w:val="center"/>
          </w:tcPr>
          <w:p w14:paraId="17A3D9E9" w14:textId="55A9692C"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11.657</w:t>
            </w:r>
          </w:p>
        </w:tc>
        <w:tc>
          <w:tcPr>
            <w:tcW w:w="1199" w:type="dxa"/>
            <w:tcBorders>
              <w:top w:val="nil"/>
              <w:left w:val="nil"/>
              <w:bottom w:val="nil"/>
              <w:right w:val="nil"/>
            </w:tcBorders>
            <w:shd w:val="clear" w:color="auto" w:fill="auto"/>
            <w:vAlign w:val="center"/>
          </w:tcPr>
          <w:p w14:paraId="03EB712D" w14:textId="033F83A7"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0.004</w:t>
            </w:r>
          </w:p>
        </w:tc>
        <w:tc>
          <w:tcPr>
            <w:tcW w:w="1199" w:type="dxa"/>
            <w:tcBorders>
              <w:top w:val="nil"/>
              <w:left w:val="nil"/>
              <w:bottom w:val="nil"/>
              <w:right w:val="nil"/>
            </w:tcBorders>
            <w:shd w:val="clear" w:color="auto" w:fill="auto"/>
            <w:vAlign w:val="center"/>
          </w:tcPr>
          <w:p w14:paraId="7A61814B" w14:textId="3C5168A3"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88.145</w:t>
            </w:r>
          </w:p>
        </w:tc>
        <w:tc>
          <w:tcPr>
            <w:tcW w:w="1207" w:type="dxa"/>
            <w:tcBorders>
              <w:top w:val="nil"/>
              <w:left w:val="nil"/>
              <w:bottom w:val="nil"/>
              <w:right w:val="nil"/>
            </w:tcBorders>
            <w:shd w:val="clear" w:color="auto" w:fill="auto"/>
            <w:vAlign w:val="center"/>
          </w:tcPr>
          <w:p w14:paraId="09AA120F" w14:textId="0D7D41C5"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0.114</w:t>
            </w:r>
          </w:p>
        </w:tc>
      </w:tr>
      <w:tr w:rsidR="001161D4" w:rsidRPr="00BC3C5F" w14:paraId="6245F761" w14:textId="77777777" w:rsidTr="002C7B68">
        <w:trPr>
          <w:trHeight w:val="300"/>
        </w:trPr>
        <w:tc>
          <w:tcPr>
            <w:tcW w:w="1198" w:type="dxa"/>
            <w:tcBorders>
              <w:top w:val="nil"/>
              <w:left w:val="nil"/>
              <w:bottom w:val="nil"/>
              <w:right w:val="nil"/>
            </w:tcBorders>
            <w:shd w:val="clear" w:color="auto" w:fill="auto"/>
            <w:vAlign w:val="center"/>
          </w:tcPr>
          <w:p w14:paraId="3DEBC449" w14:textId="4F04C096"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7</w:t>
            </w:r>
          </w:p>
        </w:tc>
        <w:tc>
          <w:tcPr>
            <w:tcW w:w="1199" w:type="dxa"/>
            <w:tcBorders>
              <w:top w:val="nil"/>
              <w:left w:val="nil"/>
              <w:bottom w:val="nil"/>
              <w:right w:val="nil"/>
            </w:tcBorders>
            <w:shd w:val="clear" w:color="auto" w:fill="auto"/>
            <w:vAlign w:val="center"/>
          </w:tcPr>
          <w:p w14:paraId="18D5EB08" w14:textId="04A212DF"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1.26</w:t>
            </w:r>
          </w:p>
        </w:tc>
        <w:tc>
          <w:tcPr>
            <w:tcW w:w="1199" w:type="dxa"/>
            <w:tcBorders>
              <w:top w:val="nil"/>
              <w:left w:val="nil"/>
              <w:bottom w:val="nil"/>
              <w:right w:val="nil"/>
            </w:tcBorders>
            <w:shd w:val="clear" w:color="auto" w:fill="auto"/>
            <w:vAlign w:val="center"/>
          </w:tcPr>
          <w:p w14:paraId="61A64275" w14:textId="09F8CAF1"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0.058</w:t>
            </w:r>
          </w:p>
        </w:tc>
        <w:tc>
          <w:tcPr>
            <w:tcW w:w="1199" w:type="dxa"/>
            <w:tcBorders>
              <w:top w:val="nil"/>
              <w:left w:val="nil"/>
              <w:bottom w:val="nil"/>
              <w:right w:val="nil"/>
            </w:tcBorders>
            <w:shd w:val="clear" w:color="auto" w:fill="auto"/>
            <w:vAlign w:val="center"/>
          </w:tcPr>
          <w:p w14:paraId="42507751" w14:textId="731A3BC5"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11.439</w:t>
            </w:r>
          </w:p>
        </w:tc>
        <w:tc>
          <w:tcPr>
            <w:tcW w:w="1199" w:type="dxa"/>
            <w:tcBorders>
              <w:top w:val="nil"/>
              <w:left w:val="nil"/>
              <w:bottom w:val="nil"/>
              <w:right w:val="nil"/>
            </w:tcBorders>
            <w:shd w:val="clear" w:color="auto" w:fill="auto"/>
            <w:vAlign w:val="center"/>
          </w:tcPr>
          <w:p w14:paraId="23FE3F16" w14:textId="0C5991B1"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19.955</w:t>
            </w:r>
          </w:p>
        </w:tc>
        <w:tc>
          <w:tcPr>
            <w:tcW w:w="1199" w:type="dxa"/>
            <w:tcBorders>
              <w:top w:val="nil"/>
              <w:left w:val="nil"/>
              <w:bottom w:val="nil"/>
              <w:right w:val="nil"/>
            </w:tcBorders>
            <w:shd w:val="clear" w:color="auto" w:fill="auto"/>
            <w:vAlign w:val="center"/>
          </w:tcPr>
          <w:p w14:paraId="6BC6EE9B" w14:textId="4DF23E70"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55.786</w:t>
            </w:r>
          </w:p>
        </w:tc>
        <w:tc>
          <w:tcPr>
            <w:tcW w:w="1207" w:type="dxa"/>
            <w:tcBorders>
              <w:top w:val="nil"/>
              <w:left w:val="nil"/>
              <w:bottom w:val="nil"/>
              <w:right w:val="nil"/>
            </w:tcBorders>
            <w:shd w:val="clear" w:color="auto" w:fill="auto"/>
            <w:vAlign w:val="center"/>
          </w:tcPr>
          <w:p w14:paraId="49BC9251" w14:textId="2693841B"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0.109</w:t>
            </w:r>
          </w:p>
        </w:tc>
      </w:tr>
      <w:tr w:rsidR="001161D4" w:rsidRPr="00BC3C5F" w14:paraId="44793CD5" w14:textId="77777777" w:rsidTr="002C7B68">
        <w:trPr>
          <w:trHeight w:val="300"/>
        </w:trPr>
        <w:tc>
          <w:tcPr>
            <w:tcW w:w="1198" w:type="dxa"/>
            <w:tcBorders>
              <w:top w:val="nil"/>
              <w:left w:val="nil"/>
              <w:bottom w:val="nil"/>
              <w:right w:val="nil"/>
            </w:tcBorders>
            <w:shd w:val="clear" w:color="auto" w:fill="auto"/>
            <w:vAlign w:val="center"/>
          </w:tcPr>
          <w:p w14:paraId="313028CB" w14:textId="1F3D361C"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8</w:t>
            </w:r>
          </w:p>
        </w:tc>
        <w:tc>
          <w:tcPr>
            <w:tcW w:w="1199" w:type="dxa"/>
            <w:tcBorders>
              <w:top w:val="nil"/>
              <w:left w:val="nil"/>
              <w:bottom w:val="nil"/>
              <w:right w:val="nil"/>
            </w:tcBorders>
            <w:shd w:val="clear" w:color="auto" w:fill="auto"/>
            <w:vAlign w:val="center"/>
          </w:tcPr>
          <w:p w14:paraId="1F99C472" w14:textId="7767841E"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2.244</w:t>
            </w:r>
          </w:p>
        </w:tc>
        <w:tc>
          <w:tcPr>
            <w:tcW w:w="1199" w:type="dxa"/>
            <w:tcBorders>
              <w:top w:val="nil"/>
              <w:left w:val="nil"/>
              <w:bottom w:val="nil"/>
              <w:right w:val="nil"/>
            </w:tcBorders>
            <w:shd w:val="clear" w:color="auto" w:fill="auto"/>
            <w:vAlign w:val="center"/>
          </w:tcPr>
          <w:p w14:paraId="691214F1" w14:textId="2E65C7C8"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0.222</w:t>
            </w:r>
          </w:p>
        </w:tc>
        <w:tc>
          <w:tcPr>
            <w:tcW w:w="1199" w:type="dxa"/>
            <w:tcBorders>
              <w:top w:val="nil"/>
              <w:left w:val="nil"/>
              <w:bottom w:val="nil"/>
              <w:right w:val="nil"/>
            </w:tcBorders>
            <w:shd w:val="clear" w:color="auto" w:fill="auto"/>
            <w:vAlign w:val="center"/>
          </w:tcPr>
          <w:p w14:paraId="75BA3EFC" w14:textId="5EBA0DCD"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17.602</w:t>
            </w:r>
          </w:p>
        </w:tc>
        <w:tc>
          <w:tcPr>
            <w:tcW w:w="1199" w:type="dxa"/>
            <w:tcBorders>
              <w:top w:val="nil"/>
              <w:left w:val="nil"/>
              <w:bottom w:val="nil"/>
              <w:right w:val="nil"/>
            </w:tcBorders>
            <w:shd w:val="clear" w:color="auto" w:fill="auto"/>
            <w:vAlign w:val="center"/>
          </w:tcPr>
          <w:p w14:paraId="050F36CC" w14:textId="60F565D8"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0.14</w:t>
            </w:r>
          </w:p>
        </w:tc>
        <w:tc>
          <w:tcPr>
            <w:tcW w:w="1199" w:type="dxa"/>
            <w:tcBorders>
              <w:top w:val="nil"/>
              <w:left w:val="nil"/>
              <w:bottom w:val="nil"/>
              <w:right w:val="nil"/>
            </w:tcBorders>
            <w:shd w:val="clear" w:color="auto" w:fill="auto"/>
            <w:vAlign w:val="center"/>
          </w:tcPr>
          <w:p w14:paraId="33B5DD4B" w14:textId="5A945088"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83.152</w:t>
            </w:r>
          </w:p>
        </w:tc>
        <w:tc>
          <w:tcPr>
            <w:tcW w:w="1207" w:type="dxa"/>
            <w:tcBorders>
              <w:top w:val="nil"/>
              <w:left w:val="nil"/>
              <w:bottom w:val="nil"/>
              <w:right w:val="nil"/>
            </w:tcBorders>
            <w:shd w:val="clear" w:color="auto" w:fill="auto"/>
            <w:vAlign w:val="center"/>
          </w:tcPr>
          <w:p w14:paraId="62F74E07" w14:textId="329E5F5C"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0.131</w:t>
            </w:r>
          </w:p>
        </w:tc>
      </w:tr>
      <w:tr w:rsidR="001161D4" w:rsidRPr="00BC3C5F" w14:paraId="7FE213BF" w14:textId="77777777" w:rsidTr="002C7B68">
        <w:trPr>
          <w:trHeight w:val="300"/>
        </w:trPr>
        <w:tc>
          <w:tcPr>
            <w:tcW w:w="1198" w:type="dxa"/>
            <w:tcBorders>
              <w:top w:val="nil"/>
              <w:left w:val="nil"/>
              <w:bottom w:val="nil"/>
              <w:right w:val="nil"/>
            </w:tcBorders>
            <w:shd w:val="clear" w:color="auto" w:fill="auto"/>
            <w:vAlign w:val="center"/>
          </w:tcPr>
          <w:p w14:paraId="7A1F8C7F" w14:textId="74603F46"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9</w:t>
            </w:r>
          </w:p>
        </w:tc>
        <w:tc>
          <w:tcPr>
            <w:tcW w:w="1199" w:type="dxa"/>
            <w:tcBorders>
              <w:top w:val="nil"/>
              <w:left w:val="nil"/>
              <w:bottom w:val="nil"/>
              <w:right w:val="nil"/>
            </w:tcBorders>
            <w:shd w:val="clear" w:color="auto" w:fill="auto"/>
            <w:vAlign w:val="center"/>
          </w:tcPr>
          <w:p w14:paraId="275DCB2A" w14:textId="5EBA5F47"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0.43</w:t>
            </w:r>
          </w:p>
        </w:tc>
        <w:tc>
          <w:tcPr>
            <w:tcW w:w="1199" w:type="dxa"/>
            <w:tcBorders>
              <w:top w:val="nil"/>
              <w:left w:val="nil"/>
              <w:bottom w:val="nil"/>
              <w:right w:val="nil"/>
            </w:tcBorders>
            <w:shd w:val="clear" w:color="auto" w:fill="auto"/>
            <w:vAlign w:val="center"/>
          </w:tcPr>
          <w:p w14:paraId="5447DACE" w14:textId="489EF96E"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0.141</w:t>
            </w:r>
          </w:p>
        </w:tc>
        <w:tc>
          <w:tcPr>
            <w:tcW w:w="1199" w:type="dxa"/>
            <w:tcBorders>
              <w:top w:val="nil"/>
              <w:left w:val="nil"/>
              <w:bottom w:val="nil"/>
              <w:right w:val="nil"/>
            </w:tcBorders>
            <w:shd w:val="clear" w:color="auto" w:fill="auto"/>
            <w:vAlign w:val="center"/>
          </w:tcPr>
          <w:p w14:paraId="63A1F4CA" w14:textId="77999D57"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10.001</w:t>
            </w:r>
          </w:p>
        </w:tc>
        <w:tc>
          <w:tcPr>
            <w:tcW w:w="1199" w:type="dxa"/>
            <w:tcBorders>
              <w:top w:val="nil"/>
              <w:left w:val="nil"/>
              <w:bottom w:val="nil"/>
              <w:right w:val="nil"/>
            </w:tcBorders>
            <w:shd w:val="clear" w:color="auto" w:fill="auto"/>
            <w:vAlign w:val="center"/>
          </w:tcPr>
          <w:p w14:paraId="5738CF0F" w14:textId="4611AEA3"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0.009</w:t>
            </w:r>
          </w:p>
        </w:tc>
        <w:tc>
          <w:tcPr>
            <w:tcW w:w="1199" w:type="dxa"/>
            <w:tcBorders>
              <w:top w:val="nil"/>
              <w:left w:val="nil"/>
              <w:bottom w:val="nil"/>
              <w:right w:val="nil"/>
            </w:tcBorders>
            <w:shd w:val="clear" w:color="auto" w:fill="auto"/>
            <w:vAlign w:val="center"/>
          </w:tcPr>
          <w:p w14:paraId="396C5EF2" w14:textId="62927E3B"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92.947</w:t>
            </w:r>
          </w:p>
        </w:tc>
        <w:tc>
          <w:tcPr>
            <w:tcW w:w="1207" w:type="dxa"/>
            <w:tcBorders>
              <w:top w:val="nil"/>
              <w:left w:val="nil"/>
              <w:bottom w:val="nil"/>
              <w:right w:val="nil"/>
            </w:tcBorders>
            <w:shd w:val="clear" w:color="auto" w:fill="auto"/>
            <w:vAlign w:val="center"/>
          </w:tcPr>
          <w:p w14:paraId="0D83445B" w14:textId="3C403C73"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0.062</w:t>
            </w:r>
          </w:p>
        </w:tc>
      </w:tr>
      <w:tr w:rsidR="001161D4" w:rsidRPr="00BC3C5F" w14:paraId="047205BF" w14:textId="77777777" w:rsidTr="002C7B68">
        <w:trPr>
          <w:trHeight w:val="300"/>
        </w:trPr>
        <w:tc>
          <w:tcPr>
            <w:tcW w:w="1198" w:type="dxa"/>
            <w:tcBorders>
              <w:top w:val="nil"/>
              <w:left w:val="nil"/>
              <w:right w:val="nil"/>
            </w:tcBorders>
            <w:shd w:val="clear" w:color="auto" w:fill="auto"/>
            <w:vAlign w:val="center"/>
          </w:tcPr>
          <w:p w14:paraId="1F1C8B89" w14:textId="6B4FD78B"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10</w:t>
            </w:r>
          </w:p>
        </w:tc>
        <w:tc>
          <w:tcPr>
            <w:tcW w:w="1199" w:type="dxa"/>
            <w:tcBorders>
              <w:top w:val="nil"/>
              <w:left w:val="nil"/>
              <w:right w:val="nil"/>
            </w:tcBorders>
            <w:shd w:val="clear" w:color="auto" w:fill="auto"/>
            <w:vAlign w:val="center"/>
          </w:tcPr>
          <w:p w14:paraId="2521D812" w14:textId="13E50AC9"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0.073</w:t>
            </w:r>
          </w:p>
        </w:tc>
        <w:tc>
          <w:tcPr>
            <w:tcW w:w="1199" w:type="dxa"/>
            <w:tcBorders>
              <w:top w:val="nil"/>
              <w:left w:val="nil"/>
              <w:right w:val="nil"/>
            </w:tcBorders>
            <w:shd w:val="clear" w:color="auto" w:fill="auto"/>
            <w:vAlign w:val="center"/>
          </w:tcPr>
          <w:p w14:paraId="1E6AE117" w14:textId="047DE1E1"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0.47</w:t>
            </w:r>
          </w:p>
        </w:tc>
        <w:tc>
          <w:tcPr>
            <w:tcW w:w="1199" w:type="dxa"/>
            <w:tcBorders>
              <w:top w:val="nil"/>
              <w:left w:val="nil"/>
              <w:right w:val="nil"/>
            </w:tcBorders>
            <w:shd w:val="clear" w:color="auto" w:fill="auto"/>
            <w:vAlign w:val="center"/>
          </w:tcPr>
          <w:p w14:paraId="0549EBD4" w14:textId="328A65E1"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12.977</w:t>
            </w:r>
          </w:p>
        </w:tc>
        <w:tc>
          <w:tcPr>
            <w:tcW w:w="1199" w:type="dxa"/>
            <w:tcBorders>
              <w:top w:val="nil"/>
              <w:left w:val="nil"/>
              <w:right w:val="nil"/>
            </w:tcBorders>
            <w:shd w:val="clear" w:color="auto" w:fill="auto"/>
            <w:vAlign w:val="center"/>
          </w:tcPr>
          <w:p w14:paraId="7FE8C787" w14:textId="19AE865F"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0.014</w:t>
            </w:r>
          </w:p>
        </w:tc>
        <w:tc>
          <w:tcPr>
            <w:tcW w:w="1199" w:type="dxa"/>
            <w:tcBorders>
              <w:top w:val="nil"/>
              <w:left w:val="nil"/>
              <w:right w:val="nil"/>
            </w:tcBorders>
            <w:shd w:val="clear" w:color="auto" w:fill="auto"/>
            <w:vAlign w:val="center"/>
          </w:tcPr>
          <w:p w14:paraId="203B89FE" w14:textId="749DEB37"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80.972</w:t>
            </w:r>
          </w:p>
        </w:tc>
        <w:tc>
          <w:tcPr>
            <w:tcW w:w="1207" w:type="dxa"/>
            <w:tcBorders>
              <w:top w:val="nil"/>
              <w:left w:val="nil"/>
              <w:right w:val="nil"/>
            </w:tcBorders>
            <w:shd w:val="clear" w:color="auto" w:fill="auto"/>
            <w:vAlign w:val="center"/>
          </w:tcPr>
          <w:p w14:paraId="2729AA2B" w14:textId="120C21F6"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0.152</w:t>
            </w:r>
          </w:p>
        </w:tc>
      </w:tr>
      <w:tr w:rsidR="001161D4" w:rsidRPr="00BC3C5F" w14:paraId="348D5CC2" w14:textId="77777777" w:rsidTr="00FC15F8">
        <w:trPr>
          <w:trHeight w:val="300"/>
        </w:trPr>
        <w:tc>
          <w:tcPr>
            <w:tcW w:w="1198" w:type="dxa"/>
            <w:tcBorders>
              <w:top w:val="nil"/>
              <w:left w:val="nil"/>
              <w:right w:val="nil"/>
            </w:tcBorders>
            <w:shd w:val="clear" w:color="auto" w:fill="auto"/>
            <w:vAlign w:val="center"/>
          </w:tcPr>
          <w:p w14:paraId="3239A83C" w14:textId="1A3FDD4D" w:rsidR="001161D4" w:rsidRPr="001161D4"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11</w:t>
            </w:r>
          </w:p>
        </w:tc>
        <w:tc>
          <w:tcPr>
            <w:tcW w:w="1199" w:type="dxa"/>
            <w:tcBorders>
              <w:top w:val="nil"/>
              <w:left w:val="nil"/>
              <w:right w:val="nil"/>
            </w:tcBorders>
            <w:shd w:val="clear" w:color="auto" w:fill="auto"/>
            <w:vAlign w:val="center"/>
          </w:tcPr>
          <w:p w14:paraId="68F7E63A" w14:textId="3494D56E" w:rsidR="001161D4" w:rsidRPr="001161D4"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0.525</w:t>
            </w:r>
          </w:p>
        </w:tc>
        <w:tc>
          <w:tcPr>
            <w:tcW w:w="1199" w:type="dxa"/>
            <w:tcBorders>
              <w:top w:val="nil"/>
              <w:left w:val="nil"/>
              <w:right w:val="nil"/>
            </w:tcBorders>
            <w:shd w:val="clear" w:color="auto" w:fill="auto"/>
            <w:vAlign w:val="center"/>
          </w:tcPr>
          <w:p w14:paraId="09483682" w14:textId="6123CF75" w:rsidR="001161D4" w:rsidRPr="001161D4"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0.335</w:t>
            </w:r>
          </w:p>
        </w:tc>
        <w:tc>
          <w:tcPr>
            <w:tcW w:w="1199" w:type="dxa"/>
            <w:tcBorders>
              <w:top w:val="nil"/>
              <w:left w:val="nil"/>
              <w:right w:val="nil"/>
            </w:tcBorders>
            <w:shd w:val="clear" w:color="auto" w:fill="auto"/>
            <w:vAlign w:val="center"/>
          </w:tcPr>
          <w:p w14:paraId="325FE13C" w14:textId="2154B7F7" w:rsidR="001161D4" w:rsidRPr="001161D4"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31.241</w:t>
            </w:r>
          </w:p>
        </w:tc>
        <w:tc>
          <w:tcPr>
            <w:tcW w:w="1199" w:type="dxa"/>
            <w:tcBorders>
              <w:top w:val="nil"/>
              <w:left w:val="nil"/>
              <w:right w:val="nil"/>
            </w:tcBorders>
            <w:shd w:val="clear" w:color="auto" w:fill="auto"/>
            <w:vAlign w:val="center"/>
          </w:tcPr>
          <w:p w14:paraId="235083A1" w14:textId="2006493C" w:rsidR="001161D4" w:rsidRPr="001161D4"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32.91</w:t>
            </w:r>
          </w:p>
        </w:tc>
        <w:tc>
          <w:tcPr>
            <w:tcW w:w="1199" w:type="dxa"/>
            <w:tcBorders>
              <w:top w:val="nil"/>
              <w:left w:val="nil"/>
              <w:right w:val="nil"/>
            </w:tcBorders>
            <w:shd w:val="clear" w:color="auto" w:fill="auto"/>
            <w:vAlign w:val="center"/>
          </w:tcPr>
          <w:p w14:paraId="62D6803E" w14:textId="6C071699" w:rsidR="001161D4" w:rsidRPr="001161D4"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41.998</w:t>
            </w:r>
          </w:p>
        </w:tc>
        <w:tc>
          <w:tcPr>
            <w:tcW w:w="1207" w:type="dxa"/>
            <w:tcBorders>
              <w:top w:val="nil"/>
              <w:left w:val="nil"/>
              <w:right w:val="nil"/>
            </w:tcBorders>
            <w:shd w:val="clear" w:color="auto" w:fill="auto"/>
            <w:vAlign w:val="center"/>
          </w:tcPr>
          <w:p w14:paraId="5A02B2AC" w14:textId="3F297E53" w:rsidR="001161D4" w:rsidRPr="001161D4"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0.063</w:t>
            </w:r>
          </w:p>
        </w:tc>
      </w:tr>
      <w:tr w:rsidR="001161D4" w:rsidRPr="00BC3C5F" w14:paraId="70D7587D" w14:textId="77777777" w:rsidTr="002C7B68">
        <w:trPr>
          <w:trHeight w:val="300"/>
        </w:trPr>
        <w:tc>
          <w:tcPr>
            <w:tcW w:w="1198" w:type="dxa"/>
            <w:tcBorders>
              <w:top w:val="nil"/>
              <w:left w:val="nil"/>
              <w:bottom w:val="single" w:sz="4" w:space="0" w:color="auto"/>
              <w:right w:val="nil"/>
            </w:tcBorders>
            <w:shd w:val="clear" w:color="auto" w:fill="auto"/>
            <w:vAlign w:val="center"/>
          </w:tcPr>
          <w:p w14:paraId="255326DD" w14:textId="6EE97F6B"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12</w:t>
            </w:r>
          </w:p>
        </w:tc>
        <w:tc>
          <w:tcPr>
            <w:tcW w:w="1199" w:type="dxa"/>
            <w:tcBorders>
              <w:top w:val="nil"/>
              <w:left w:val="nil"/>
              <w:bottom w:val="single" w:sz="4" w:space="0" w:color="auto"/>
              <w:right w:val="nil"/>
            </w:tcBorders>
            <w:shd w:val="clear" w:color="auto" w:fill="auto"/>
            <w:vAlign w:val="center"/>
          </w:tcPr>
          <w:p w14:paraId="0206A1CA" w14:textId="7B409B22"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1.431</w:t>
            </w:r>
          </w:p>
        </w:tc>
        <w:tc>
          <w:tcPr>
            <w:tcW w:w="1199" w:type="dxa"/>
            <w:tcBorders>
              <w:top w:val="nil"/>
              <w:left w:val="nil"/>
              <w:bottom w:val="single" w:sz="4" w:space="0" w:color="auto"/>
              <w:right w:val="nil"/>
            </w:tcBorders>
            <w:shd w:val="clear" w:color="auto" w:fill="auto"/>
            <w:vAlign w:val="center"/>
          </w:tcPr>
          <w:p w14:paraId="53796A05" w14:textId="3DD21FE2"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0.269</w:t>
            </w:r>
          </w:p>
        </w:tc>
        <w:tc>
          <w:tcPr>
            <w:tcW w:w="1199" w:type="dxa"/>
            <w:tcBorders>
              <w:top w:val="nil"/>
              <w:left w:val="nil"/>
              <w:bottom w:val="single" w:sz="4" w:space="0" w:color="auto"/>
              <w:right w:val="nil"/>
            </w:tcBorders>
            <w:shd w:val="clear" w:color="auto" w:fill="auto"/>
            <w:vAlign w:val="center"/>
          </w:tcPr>
          <w:p w14:paraId="73E51F07" w14:textId="33DADC20"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10.002</w:t>
            </w:r>
          </w:p>
        </w:tc>
        <w:tc>
          <w:tcPr>
            <w:tcW w:w="1199" w:type="dxa"/>
            <w:tcBorders>
              <w:top w:val="nil"/>
              <w:left w:val="nil"/>
              <w:bottom w:val="single" w:sz="4" w:space="0" w:color="auto"/>
              <w:right w:val="nil"/>
            </w:tcBorders>
            <w:shd w:val="clear" w:color="auto" w:fill="auto"/>
            <w:vAlign w:val="center"/>
          </w:tcPr>
          <w:p w14:paraId="37E43EE3" w14:textId="7A714021"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0.009</w:t>
            </w:r>
          </w:p>
        </w:tc>
        <w:tc>
          <w:tcPr>
            <w:tcW w:w="1199" w:type="dxa"/>
            <w:tcBorders>
              <w:top w:val="nil"/>
              <w:left w:val="nil"/>
              <w:bottom w:val="single" w:sz="4" w:space="0" w:color="auto"/>
              <w:right w:val="nil"/>
            </w:tcBorders>
            <w:shd w:val="clear" w:color="auto" w:fill="auto"/>
            <w:vAlign w:val="center"/>
          </w:tcPr>
          <w:p w14:paraId="4A4D614E" w14:textId="181DE5A8"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80.251</w:t>
            </w:r>
          </w:p>
        </w:tc>
        <w:tc>
          <w:tcPr>
            <w:tcW w:w="1207" w:type="dxa"/>
            <w:tcBorders>
              <w:top w:val="nil"/>
              <w:left w:val="nil"/>
              <w:bottom w:val="single" w:sz="4" w:space="0" w:color="auto"/>
              <w:right w:val="nil"/>
            </w:tcBorders>
            <w:shd w:val="clear" w:color="auto" w:fill="auto"/>
            <w:vAlign w:val="center"/>
          </w:tcPr>
          <w:p w14:paraId="159ADB2F" w14:textId="74E00C0F" w:rsidR="001161D4" w:rsidRPr="002C7B68" w:rsidRDefault="001161D4" w:rsidP="001161D4">
            <w:pPr>
              <w:jc w:val="center"/>
              <w:rPr>
                <w:rFonts w:ascii="Times New Roman" w:hAnsi="Times New Roman"/>
                <w:color w:val="000000"/>
                <w:sz w:val="24"/>
                <w:szCs w:val="24"/>
                <w:lang w:val="en-GB"/>
              </w:rPr>
            </w:pPr>
            <w:r w:rsidRPr="001161D4">
              <w:rPr>
                <w:rFonts w:ascii="Times New Roman" w:hAnsi="Times New Roman"/>
                <w:color w:val="000000"/>
                <w:sz w:val="24"/>
                <w:szCs w:val="24"/>
              </w:rPr>
              <w:t>0.085</w:t>
            </w:r>
          </w:p>
        </w:tc>
      </w:tr>
    </w:tbl>
    <w:p w14:paraId="106A9904" w14:textId="77777777" w:rsidR="008F2CBC" w:rsidRPr="002C7B68" w:rsidRDefault="008F2CBC" w:rsidP="008F2CBC">
      <w:pPr>
        <w:rPr>
          <w:rFonts w:ascii="Times New Roman" w:hAnsi="Times New Roman"/>
          <w:sz w:val="24"/>
          <w:szCs w:val="24"/>
          <w:lang w:val="en-GB"/>
        </w:rPr>
      </w:pPr>
    </w:p>
    <w:p w14:paraId="4271E62B" w14:textId="77777777" w:rsidR="009D64EB" w:rsidRPr="002F68C2" w:rsidRDefault="009D64EB" w:rsidP="009D64EB">
      <w:pPr>
        <w:spacing w:after="0" w:line="240" w:lineRule="auto"/>
        <w:rPr>
          <w:rFonts w:ascii="Times New Roman" w:hAnsi="Times New Roman"/>
          <w:sz w:val="24"/>
          <w:szCs w:val="24"/>
          <w:lang w:val="en-US"/>
        </w:rPr>
      </w:pPr>
      <w:r w:rsidRPr="002F68C2">
        <w:rPr>
          <w:rFonts w:ascii="Times New Roman" w:hAnsi="Times New Roman"/>
          <w:sz w:val="24"/>
          <w:szCs w:val="24"/>
          <w:lang w:val="en-US"/>
        </w:rPr>
        <w:t xml:space="preserve">See Table </w:t>
      </w:r>
      <w:r>
        <w:rPr>
          <w:rFonts w:ascii="Times New Roman" w:hAnsi="Times New Roman"/>
          <w:sz w:val="24"/>
          <w:szCs w:val="24"/>
          <w:lang w:val="en-US"/>
        </w:rPr>
        <w:t>2</w:t>
      </w:r>
      <w:r w:rsidRPr="002F68C2">
        <w:rPr>
          <w:rFonts w:ascii="Times New Roman" w:hAnsi="Times New Roman"/>
          <w:sz w:val="24"/>
          <w:szCs w:val="24"/>
          <w:lang w:val="en-US"/>
        </w:rPr>
        <w:t xml:space="preserve"> and the text for parameter deﬁnitions.</w:t>
      </w:r>
    </w:p>
    <w:p w14:paraId="27B4A4F6" w14:textId="77777777" w:rsidR="008F2CBC" w:rsidRPr="002C7B68" w:rsidRDefault="008F2CBC" w:rsidP="008F2CBC">
      <w:pPr>
        <w:spacing w:after="160" w:line="259" w:lineRule="auto"/>
        <w:rPr>
          <w:rFonts w:ascii="Times New Roman" w:hAnsi="Times New Roman"/>
          <w:sz w:val="24"/>
          <w:szCs w:val="24"/>
          <w:lang w:val="en-GB"/>
        </w:rPr>
      </w:pPr>
      <w:r w:rsidRPr="002C7B68">
        <w:rPr>
          <w:rFonts w:ascii="Times New Roman" w:hAnsi="Times New Roman"/>
          <w:sz w:val="24"/>
          <w:szCs w:val="24"/>
          <w:lang w:val="en-GB"/>
        </w:rPr>
        <w:br w:type="page"/>
      </w:r>
    </w:p>
    <w:p w14:paraId="58292DAF" w14:textId="77777777" w:rsidR="008F2CBC" w:rsidRPr="002C7B68" w:rsidRDefault="008F2CBC" w:rsidP="008F2CBC">
      <w:pPr>
        <w:spacing w:line="480" w:lineRule="auto"/>
        <w:rPr>
          <w:rFonts w:ascii="Times New Roman" w:hAnsi="Times New Roman"/>
          <w:sz w:val="24"/>
          <w:szCs w:val="24"/>
          <w:lang w:val="en-GB"/>
        </w:rPr>
      </w:pPr>
      <w:r w:rsidRPr="002C7B68">
        <w:rPr>
          <w:rFonts w:ascii="Times New Roman" w:hAnsi="Times New Roman"/>
          <w:b/>
          <w:sz w:val="24"/>
          <w:szCs w:val="24"/>
          <w:lang w:val="en-GB"/>
        </w:rPr>
        <w:lastRenderedPageBreak/>
        <w:t>Table S3.</w:t>
      </w:r>
      <w:r w:rsidRPr="002C7B68">
        <w:rPr>
          <w:rFonts w:ascii="Times New Roman" w:hAnsi="Times New Roman"/>
          <w:sz w:val="24"/>
          <w:szCs w:val="24"/>
          <w:lang w:val="en-GB"/>
        </w:rPr>
        <w:t xml:space="preserve"> Covariance matrix in the lower triangular form used in all simulations.</w:t>
      </w:r>
    </w:p>
    <w:p w14:paraId="3ECA74E1" w14:textId="77777777" w:rsidR="008F2CBC" w:rsidRPr="002C7B68" w:rsidRDefault="008F2CBC" w:rsidP="008F2CBC">
      <w:pPr>
        <w:rPr>
          <w:rFonts w:ascii="Times New Roman" w:hAnsi="Times New Roman"/>
          <w:sz w:val="24"/>
          <w:szCs w:val="24"/>
          <w:lang w:val="en-GB"/>
        </w:rPr>
      </w:pPr>
    </w:p>
    <w:tbl>
      <w:tblPr>
        <w:tblW w:w="7980" w:type="dxa"/>
        <w:tblCellMar>
          <w:left w:w="70" w:type="dxa"/>
          <w:right w:w="70" w:type="dxa"/>
        </w:tblCellMar>
        <w:tblLook w:val="04A0" w:firstRow="1" w:lastRow="0" w:firstColumn="1" w:lastColumn="0" w:noHBand="0" w:noVBand="1"/>
      </w:tblPr>
      <w:tblGrid>
        <w:gridCol w:w="1330"/>
        <w:gridCol w:w="1330"/>
        <w:gridCol w:w="1330"/>
        <w:gridCol w:w="1330"/>
        <w:gridCol w:w="1330"/>
        <w:gridCol w:w="1330"/>
      </w:tblGrid>
      <w:tr w:rsidR="00320E3B" w:rsidRPr="00BC3C5F" w14:paraId="3F4634D1" w14:textId="77777777" w:rsidTr="00D52F58">
        <w:trPr>
          <w:trHeight w:val="384"/>
        </w:trPr>
        <w:tc>
          <w:tcPr>
            <w:tcW w:w="1330" w:type="dxa"/>
            <w:tcBorders>
              <w:top w:val="single" w:sz="4" w:space="0" w:color="auto"/>
              <w:left w:val="nil"/>
              <w:bottom w:val="single" w:sz="4" w:space="0" w:color="auto"/>
              <w:right w:val="nil"/>
            </w:tcBorders>
            <w:shd w:val="clear" w:color="auto" w:fill="auto"/>
            <w:vAlign w:val="center"/>
            <w:hideMark/>
          </w:tcPr>
          <w:p w14:paraId="77F2C190" w14:textId="77777777" w:rsidR="00320E3B" w:rsidRPr="002C7B68" w:rsidRDefault="00320E3B" w:rsidP="00D52F58">
            <w:pPr>
              <w:jc w:val="center"/>
              <w:rPr>
                <w:rFonts w:ascii="Times New Roman" w:hAnsi="Times New Roman"/>
                <w:b/>
                <w:sz w:val="24"/>
                <w:szCs w:val="24"/>
                <w:lang w:val="en-GB"/>
              </w:rPr>
            </w:pPr>
            <w:r w:rsidRPr="002C7B68">
              <w:rPr>
                <w:rFonts w:ascii="Times New Roman" w:hAnsi="Times New Roman"/>
                <w:b/>
                <w:sz w:val="24"/>
                <w:szCs w:val="24"/>
                <w:lang w:val="en-GB"/>
              </w:rPr>
              <w:t>Parameter</w:t>
            </w:r>
          </w:p>
        </w:tc>
        <w:tc>
          <w:tcPr>
            <w:tcW w:w="1330" w:type="dxa"/>
            <w:tcBorders>
              <w:top w:val="single" w:sz="4" w:space="0" w:color="auto"/>
              <w:left w:val="nil"/>
              <w:bottom w:val="single" w:sz="4" w:space="0" w:color="auto"/>
              <w:right w:val="nil"/>
            </w:tcBorders>
            <w:shd w:val="clear" w:color="auto" w:fill="auto"/>
            <w:vAlign w:val="center"/>
            <w:hideMark/>
          </w:tcPr>
          <w:p w14:paraId="18F6D48E" w14:textId="77777777" w:rsidR="00320E3B" w:rsidRDefault="00320E3B" w:rsidP="00D52F58">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Intercept</w:t>
            </w:r>
          </w:p>
          <w:p w14:paraId="36F8ABBF" w14:textId="591B2C5B" w:rsidR="00320E3B" w:rsidRPr="002C7B68" w:rsidRDefault="00320E3B" w:rsidP="00D52F58">
            <w:pPr>
              <w:jc w:val="center"/>
              <w:rPr>
                <w:rFonts w:ascii="Times New Roman" w:hAnsi="Times New Roman"/>
                <w:b/>
                <w:bCs/>
                <w:color w:val="000000"/>
                <w:sz w:val="24"/>
                <w:szCs w:val="24"/>
                <w:lang w:val="en-GB"/>
              </w:rPr>
            </w:pPr>
            <w:r>
              <w:rPr>
                <w:rFonts w:ascii="Times New Roman" w:hAnsi="Times New Roman"/>
                <w:b/>
                <w:bCs/>
                <w:color w:val="000000"/>
                <w:sz w:val="24"/>
                <w:szCs w:val="24"/>
                <w:lang w:val="en-GB"/>
              </w:rPr>
              <w:t>(L/h)</w:t>
            </w:r>
          </w:p>
        </w:tc>
        <w:tc>
          <w:tcPr>
            <w:tcW w:w="1330" w:type="dxa"/>
            <w:tcBorders>
              <w:top w:val="single" w:sz="4" w:space="0" w:color="auto"/>
              <w:left w:val="nil"/>
              <w:bottom w:val="single" w:sz="4" w:space="0" w:color="auto"/>
              <w:right w:val="nil"/>
            </w:tcBorders>
            <w:shd w:val="clear" w:color="auto" w:fill="auto"/>
            <w:vAlign w:val="center"/>
            <w:hideMark/>
          </w:tcPr>
          <w:p w14:paraId="7CE190BB" w14:textId="77777777" w:rsidR="00320E3B" w:rsidRPr="002C7B68" w:rsidRDefault="00320E3B" w:rsidP="00D52F58">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slope</w:t>
            </w:r>
          </w:p>
        </w:tc>
        <w:tc>
          <w:tcPr>
            <w:tcW w:w="1330" w:type="dxa"/>
            <w:tcBorders>
              <w:top w:val="single" w:sz="4" w:space="0" w:color="auto"/>
              <w:left w:val="nil"/>
              <w:bottom w:val="single" w:sz="4" w:space="0" w:color="auto"/>
              <w:right w:val="nil"/>
            </w:tcBorders>
            <w:shd w:val="clear" w:color="auto" w:fill="auto"/>
            <w:vAlign w:val="center"/>
            <w:hideMark/>
          </w:tcPr>
          <w:p w14:paraId="747A47AC" w14:textId="77777777" w:rsidR="00320E3B" w:rsidRPr="002C7B68" w:rsidRDefault="00320E3B" w:rsidP="00D52F58">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Vc</w:t>
            </w:r>
          </w:p>
          <w:p w14:paraId="121C8780" w14:textId="025F2433" w:rsidR="00320E3B" w:rsidRPr="002C7B68" w:rsidRDefault="00320E3B" w:rsidP="00D52F58">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(L)</w:t>
            </w:r>
          </w:p>
        </w:tc>
        <w:tc>
          <w:tcPr>
            <w:tcW w:w="1330" w:type="dxa"/>
            <w:tcBorders>
              <w:top w:val="single" w:sz="4" w:space="0" w:color="auto"/>
              <w:left w:val="nil"/>
              <w:bottom w:val="single" w:sz="4" w:space="0" w:color="auto"/>
              <w:right w:val="nil"/>
            </w:tcBorders>
            <w:shd w:val="clear" w:color="auto" w:fill="auto"/>
            <w:vAlign w:val="center"/>
            <w:hideMark/>
          </w:tcPr>
          <w:p w14:paraId="0D3C175D" w14:textId="77777777" w:rsidR="00320E3B" w:rsidRPr="002C7B68" w:rsidRDefault="00320E3B" w:rsidP="00D52F58">
            <w:pPr>
              <w:jc w:val="center"/>
              <w:rPr>
                <w:rFonts w:ascii="Times New Roman" w:hAnsi="Times New Roman"/>
                <w:b/>
                <w:bCs/>
                <w:color w:val="000000"/>
                <w:sz w:val="24"/>
                <w:szCs w:val="24"/>
                <w:lang w:val="en-GB"/>
              </w:rPr>
            </w:pPr>
            <w:r>
              <w:rPr>
                <w:rFonts w:ascii="Times New Roman" w:hAnsi="Times New Roman"/>
                <w:b/>
                <w:bCs/>
                <w:color w:val="000000"/>
                <w:sz w:val="24"/>
                <w:szCs w:val="24"/>
                <w:lang w:val="en-GB"/>
              </w:rPr>
              <w:t>K</w:t>
            </w:r>
            <w:r>
              <w:rPr>
                <w:rFonts w:ascii="Times New Roman" w:hAnsi="Times New Roman"/>
                <w:b/>
                <w:bCs/>
                <w:color w:val="000000"/>
                <w:sz w:val="24"/>
                <w:szCs w:val="24"/>
                <w:vertAlign w:val="subscript"/>
                <w:lang w:val="en-GB"/>
              </w:rPr>
              <w:t>cp</w:t>
            </w:r>
          </w:p>
          <w:p w14:paraId="32BC7ECE" w14:textId="5558FE43" w:rsidR="00320E3B" w:rsidRPr="002C7B68" w:rsidRDefault="00320E3B" w:rsidP="00D52F58">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(h</w:t>
            </w:r>
            <w:r w:rsidRPr="002C7B68">
              <w:rPr>
                <w:rFonts w:ascii="Times New Roman" w:hAnsi="Times New Roman"/>
                <w:b/>
                <w:bCs/>
                <w:color w:val="000000"/>
                <w:sz w:val="24"/>
                <w:szCs w:val="24"/>
                <w:vertAlign w:val="superscript"/>
                <w:lang w:val="en-GB"/>
              </w:rPr>
              <w:t>-1</w:t>
            </w:r>
            <w:r w:rsidRPr="002C7B68">
              <w:rPr>
                <w:rFonts w:ascii="Times New Roman" w:hAnsi="Times New Roman"/>
                <w:b/>
                <w:bCs/>
                <w:color w:val="000000"/>
                <w:sz w:val="24"/>
                <w:szCs w:val="24"/>
                <w:lang w:val="en-GB"/>
              </w:rPr>
              <w:t>)</w:t>
            </w:r>
          </w:p>
        </w:tc>
        <w:tc>
          <w:tcPr>
            <w:tcW w:w="1330" w:type="dxa"/>
            <w:tcBorders>
              <w:top w:val="single" w:sz="4" w:space="0" w:color="auto"/>
              <w:left w:val="nil"/>
              <w:bottom w:val="single" w:sz="4" w:space="0" w:color="auto"/>
              <w:right w:val="nil"/>
            </w:tcBorders>
            <w:shd w:val="clear" w:color="auto" w:fill="auto"/>
            <w:vAlign w:val="center"/>
            <w:hideMark/>
          </w:tcPr>
          <w:p w14:paraId="0F68A67C" w14:textId="77777777" w:rsidR="00320E3B" w:rsidRPr="002C7B68" w:rsidRDefault="00320E3B" w:rsidP="00D52F58">
            <w:pPr>
              <w:jc w:val="center"/>
              <w:rPr>
                <w:rFonts w:ascii="Times New Roman" w:hAnsi="Times New Roman"/>
                <w:b/>
                <w:bCs/>
                <w:color w:val="000000"/>
                <w:sz w:val="24"/>
                <w:szCs w:val="24"/>
                <w:lang w:val="en-GB"/>
              </w:rPr>
            </w:pPr>
            <w:r>
              <w:rPr>
                <w:rFonts w:ascii="Times New Roman" w:hAnsi="Times New Roman"/>
                <w:b/>
                <w:bCs/>
                <w:color w:val="000000"/>
                <w:sz w:val="24"/>
                <w:szCs w:val="24"/>
                <w:lang w:val="en-GB"/>
              </w:rPr>
              <w:t>K</w:t>
            </w:r>
            <w:r>
              <w:rPr>
                <w:rFonts w:ascii="Times New Roman" w:hAnsi="Times New Roman"/>
                <w:b/>
                <w:bCs/>
                <w:color w:val="000000"/>
                <w:sz w:val="24"/>
                <w:szCs w:val="24"/>
                <w:vertAlign w:val="subscript"/>
                <w:lang w:val="en-GB"/>
              </w:rPr>
              <w:t>pc</w:t>
            </w:r>
          </w:p>
          <w:p w14:paraId="7424B525" w14:textId="3CC78AE9" w:rsidR="00320E3B" w:rsidRPr="002C7B68" w:rsidRDefault="00320E3B" w:rsidP="00D52F58">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(h</w:t>
            </w:r>
            <w:r w:rsidRPr="002C7B68">
              <w:rPr>
                <w:rFonts w:ascii="Times New Roman" w:hAnsi="Times New Roman"/>
                <w:b/>
                <w:bCs/>
                <w:color w:val="000000"/>
                <w:sz w:val="24"/>
                <w:szCs w:val="24"/>
                <w:vertAlign w:val="superscript"/>
                <w:lang w:val="en-GB"/>
              </w:rPr>
              <w:t>-1</w:t>
            </w:r>
            <w:r w:rsidRPr="002C7B68">
              <w:rPr>
                <w:rFonts w:ascii="Times New Roman" w:hAnsi="Times New Roman"/>
                <w:b/>
                <w:bCs/>
                <w:color w:val="000000"/>
                <w:sz w:val="24"/>
                <w:szCs w:val="24"/>
                <w:lang w:val="en-GB"/>
              </w:rPr>
              <w:t>)</w:t>
            </w:r>
          </w:p>
        </w:tc>
      </w:tr>
      <w:tr w:rsidR="00320E3B" w:rsidRPr="00BC3C5F" w14:paraId="3977548D" w14:textId="77777777" w:rsidTr="00D52F58">
        <w:trPr>
          <w:trHeight w:val="384"/>
        </w:trPr>
        <w:tc>
          <w:tcPr>
            <w:tcW w:w="1330" w:type="dxa"/>
            <w:tcBorders>
              <w:top w:val="single" w:sz="4" w:space="0" w:color="auto"/>
              <w:left w:val="nil"/>
              <w:bottom w:val="nil"/>
              <w:right w:val="nil"/>
            </w:tcBorders>
            <w:shd w:val="clear" w:color="auto" w:fill="auto"/>
            <w:vAlign w:val="center"/>
            <w:hideMark/>
          </w:tcPr>
          <w:p w14:paraId="574CE27D" w14:textId="77777777" w:rsidR="00320E3B" w:rsidRDefault="00320E3B" w:rsidP="00D52F58">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Intercept</w:t>
            </w:r>
          </w:p>
          <w:p w14:paraId="036510D1" w14:textId="4ADC2C7B" w:rsidR="00320E3B" w:rsidRPr="002C7B68" w:rsidRDefault="00320E3B" w:rsidP="00D52F58">
            <w:pPr>
              <w:jc w:val="center"/>
              <w:rPr>
                <w:rFonts w:ascii="Times New Roman" w:hAnsi="Times New Roman"/>
                <w:b/>
                <w:color w:val="000000"/>
                <w:sz w:val="24"/>
                <w:szCs w:val="24"/>
                <w:lang w:val="en-GB"/>
              </w:rPr>
            </w:pPr>
            <w:r>
              <w:rPr>
                <w:rFonts w:ascii="Times New Roman" w:hAnsi="Times New Roman"/>
                <w:b/>
                <w:bCs/>
                <w:color w:val="000000"/>
                <w:sz w:val="24"/>
                <w:szCs w:val="24"/>
                <w:lang w:val="en-GB"/>
              </w:rPr>
              <w:t>(L/h)</w:t>
            </w:r>
          </w:p>
        </w:tc>
        <w:tc>
          <w:tcPr>
            <w:tcW w:w="1330" w:type="dxa"/>
            <w:tcBorders>
              <w:top w:val="single" w:sz="4" w:space="0" w:color="auto"/>
              <w:left w:val="nil"/>
              <w:bottom w:val="nil"/>
              <w:right w:val="nil"/>
            </w:tcBorders>
            <w:shd w:val="clear" w:color="auto" w:fill="auto"/>
            <w:vAlign w:val="center"/>
            <w:hideMark/>
          </w:tcPr>
          <w:p w14:paraId="5742E210" w14:textId="1735A61E" w:rsidR="00320E3B" w:rsidRPr="002C7B68" w:rsidRDefault="00320E3B" w:rsidP="00D52F58">
            <w:pPr>
              <w:jc w:val="center"/>
              <w:rPr>
                <w:rFonts w:ascii="Times New Roman" w:hAnsi="Times New Roman"/>
                <w:color w:val="000000"/>
                <w:sz w:val="24"/>
                <w:szCs w:val="24"/>
                <w:lang w:val="en-GB"/>
              </w:rPr>
            </w:pPr>
            <w:r w:rsidRPr="00D52F58">
              <w:rPr>
                <w:rFonts w:ascii="Times New Roman" w:hAnsi="Times New Roman"/>
              </w:rPr>
              <w:t>1.382</w:t>
            </w:r>
          </w:p>
        </w:tc>
        <w:tc>
          <w:tcPr>
            <w:tcW w:w="1330" w:type="dxa"/>
            <w:tcBorders>
              <w:top w:val="single" w:sz="4" w:space="0" w:color="auto"/>
              <w:left w:val="nil"/>
              <w:bottom w:val="nil"/>
              <w:right w:val="nil"/>
            </w:tcBorders>
            <w:shd w:val="clear" w:color="auto" w:fill="auto"/>
            <w:vAlign w:val="center"/>
          </w:tcPr>
          <w:p w14:paraId="3BE76C3C" w14:textId="3D40AA1F" w:rsidR="00320E3B" w:rsidRPr="002C7B68" w:rsidRDefault="00320E3B" w:rsidP="00D52F58">
            <w:pPr>
              <w:jc w:val="center"/>
              <w:rPr>
                <w:rFonts w:ascii="Times New Roman" w:hAnsi="Times New Roman"/>
                <w:color w:val="000000"/>
                <w:sz w:val="24"/>
                <w:szCs w:val="24"/>
                <w:lang w:val="en-GB"/>
              </w:rPr>
            </w:pPr>
          </w:p>
        </w:tc>
        <w:tc>
          <w:tcPr>
            <w:tcW w:w="1330" w:type="dxa"/>
            <w:tcBorders>
              <w:top w:val="single" w:sz="4" w:space="0" w:color="auto"/>
              <w:left w:val="nil"/>
              <w:bottom w:val="nil"/>
              <w:right w:val="nil"/>
            </w:tcBorders>
            <w:shd w:val="clear" w:color="auto" w:fill="auto"/>
            <w:vAlign w:val="center"/>
          </w:tcPr>
          <w:p w14:paraId="38300D45" w14:textId="01F45195" w:rsidR="00320E3B" w:rsidRPr="002C7B68" w:rsidRDefault="00320E3B" w:rsidP="00D52F58">
            <w:pPr>
              <w:jc w:val="center"/>
              <w:rPr>
                <w:rFonts w:ascii="Times New Roman" w:hAnsi="Times New Roman"/>
                <w:color w:val="000000"/>
                <w:sz w:val="24"/>
                <w:szCs w:val="24"/>
                <w:lang w:val="en-GB"/>
              </w:rPr>
            </w:pPr>
          </w:p>
        </w:tc>
        <w:tc>
          <w:tcPr>
            <w:tcW w:w="1330" w:type="dxa"/>
            <w:tcBorders>
              <w:top w:val="single" w:sz="4" w:space="0" w:color="auto"/>
              <w:left w:val="nil"/>
              <w:bottom w:val="nil"/>
              <w:right w:val="nil"/>
            </w:tcBorders>
            <w:shd w:val="clear" w:color="auto" w:fill="auto"/>
            <w:vAlign w:val="center"/>
          </w:tcPr>
          <w:p w14:paraId="2679D0E2" w14:textId="27B265B3" w:rsidR="00320E3B" w:rsidRPr="002C7B68" w:rsidRDefault="00320E3B" w:rsidP="00D52F58">
            <w:pPr>
              <w:jc w:val="center"/>
              <w:rPr>
                <w:rFonts w:ascii="Times New Roman" w:hAnsi="Times New Roman"/>
                <w:color w:val="000000"/>
                <w:sz w:val="24"/>
                <w:szCs w:val="24"/>
                <w:lang w:val="en-GB"/>
              </w:rPr>
            </w:pPr>
          </w:p>
        </w:tc>
        <w:tc>
          <w:tcPr>
            <w:tcW w:w="1330" w:type="dxa"/>
            <w:tcBorders>
              <w:top w:val="single" w:sz="4" w:space="0" w:color="auto"/>
              <w:left w:val="nil"/>
              <w:bottom w:val="nil"/>
              <w:right w:val="nil"/>
            </w:tcBorders>
            <w:shd w:val="clear" w:color="auto" w:fill="auto"/>
            <w:vAlign w:val="center"/>
          </w:tcPr>
          <w:p w14:paraId="2A4F2626" w14:textId="70312056" w:rsidR="00320E3B" w:rsidRPr="002C7B68" w:rsidRDefault="00320E3B" w:rsidP="00D52F58">
            <w:pPr>
              <w:jc w:val="center"/>
              <w:rPr>
                <w:rFonts w:ascii="Times New Roman" w:hAnsi="Times New Roman"/>
                <w:color w:val="000000"/>
                <w:sz w:val="24"/>
                <w:szCs w:val="24"/>
                <w:lang w:val="en-GB"/>
              </w:rPr>
            </w:pPr>
          </w:p>
        </w:tc>
      </w:tr>
      <w:tr w:rsidR="00320E3B" w:rsidRPr="00BC3C5F" w14:paraId="2300EE10" w14:textId="77777777" w:rsidTr="00D52F58">
        <w:trPr>
          <w:trHeight w:val="384"/>
        </w:trPr>
        <w:tc>
          <w:tcPr>
            <w:tcW w:w="1330" w:type="dxa"/>
            <w:tcBorders>
              <w:top w:val="nil"/>
              <w:left w:val="nil"/>
              <w:bottom w:val="nil"/>
              <w:right w:val="nil"/>
            </w:tcBorders>
            <w:shd w:val="clear" w:color="auto" w:fill="auto"/>
            <w:vAlign w:val="center"/>
            <w:hideMark/>
          </w:tcPr>
          <w:p w14:paraId="31F36969" w14:textId="403E0939" w:rsidR="00320E3B" w:rsidRPr="002C7B68" w:rsidRDefault="00320E3B" w:rsidP="00D52F58">
            <w:pPr>
              <w:jc w:val="center"/>
              <w:rPr>
                <w:rFonts w:ascii="Times New Roman" w:hAnsi="Times New Roman"/>
                <w:b/>
                <w:color w:val="000000"/>
                <w:sz w:val="24"/>
                <w:szCs w:val="24"/>
                <w:lang w:val="en-GB"/>
              </w:rPr>
            </w:pPr>
            <w:r>
              <w:rPr>
                <w:rFonts w:ascii="Times New Roman" w:hAnsi="Times New Roman"/>
                <w:b/>
                <w:color w:val="000000"/>
                <w:sz w:val="24"/>
                <w:szCs w:val="24"/>
                <w:lang w:val="en-GB"/>
              </w:rPr>
              <w:t>S</w:t>
            </w:r>
            <w:r w:rsidRPr="002C7B68">
              <w:rPr>
                <w:rFonts w:ascii="Times New Roman" w:hAnsi="Times New Roman"/>
                <w:b/>
                <w:color w:val="000000"/>
                <w:sz w:val="24"/>
                <w:szCs w:val="24"/>
                <w:lang w:val="en-GB"/>
              </w:rPr>
              <w:t>lope</w:t>
            </w:r>
          </w:p>
        </w:tc>
        <w:tc>
          <w:tcPr>
            <w:tcW w:w="1330" w:type="dxa"/>
            <w:tcBorders>
              <w:top w:val="nil"/>
              <w:left w:val="nil"/>
              <w:bottom w:val="nil"/>
              <w:right w:val="nil"/>
            </w:tcBorders>
            <w:shd w:val="clear" w:color="auto" w:fill="auto"/>
            <w:vAlign w:val="center"/>
            <w:hideMark/>
          </w:tcPr>
          <w:p w14:paraId="621F9FDC" w14:textId="57E0321D" w:rsidR="00320E3B" w:rsidRPr="002C7B68" w:rsidRDefault="00320E3B" w:rsidP="00D52F58">
            <w:pPr>
              <w:jc w:val="center"/>
              <w:rPr>
                <w:rFonts w:ascii="Times New Roman" w:hAnsi="Times New Roman"/>
                <w:color w:val="000000"/>
                <w:sz w:val="24"/>
                <w:szCs w:val="24"/>
                <w:lang w:val="en-GB"/>
              </w:rPr>
            </w:pPr>
            <w:r w:rsidRPr="00D52F58">
              <w:rPr>
                <w:rFonts w:ascii="Times New Roman" w:hAnsi="Times New Roman"/>
              </w:rPr>
              <w:t>-0.033</w:t>
            </w:r>
          </w:p>
        </w:tc>
        <w:tc>
          <w:tcPr>
            <w:tcW w:w="1330" w:type="dxa"/>
            <w:tcBorders>
              <w:top w:val="nil"/>
              <w:left w:val="nil"/>
              <w:bottom w:val="nil"/>
              <w:right w:val="nil"/>
            </w:tcBorders>
            <w:shd w:val="clear" w:color="auto" w:fill="auto"/>
            <w:vAlign w:val="center"/>
            <w:hideMark/>
          </w:tcPr>
          <w:p w14:paraId="72449608" w14:textId="53A89327" w:rsidR="00320E3B" w:rsidRPr="002C7B68" w:rsidRDefault="00320E3B" w:rsidP="00D52F58">
            <w:pPr>
              <w:jc w:val="center"/>
              <w:rPr>
                <w:rFonts w:ascii="Times New Roman" w:hAnsi="Times New Roman"/>
                <w:color w:val="000000"/>
                <w:sz w:val="24"/>
                <w:szCs w:val="24"/>
                <w:lang w:val="en-GB"/>
              </w:rPr>
            </w:pPr>
            <w:r w:rsidRPr="00D52F58">
              <w:rPr>
                <w:rFonts w:ascii="Times New Roman" w:hAnsi="Times New Roman"/>
              </w:rPr>
              <w:t>0.025</w:t>
            </w:r>
          </w:p>
        </w:tc>
        <w:tc>
          <w:tcPr>
            <w:tcW w:w="1330" w:type="dxa"/>
            <w:tcBorders>
              <w:top w:val="nil"/>
              <w:left w:val="nil"/>
              <w:bottom w:val="nil"/>
              <w:right w:val="nil"/>
            </w:tcBorders>
            <w:shd w:val="clear" w:color="auto" w:fill="auto"/>
            <w:vAlign w:val="center"/>
          </w:tcPr>
          <w:p w14:paraId="4C3CAC50" w14:textId="09FF3223" w:rsidR="00320E3B" w:rsidRPr="002C7B68" w:rsidRDefault="00320E3B" w:rsidP="00D52F58">
            <w:pPr>
              <w:jc w:val="center"/>
              <w:rPr>
                <w:rFonts w:ascii="Times New Roman" w:hAnsi="Times New Roman"/>
                <w:color w:val="000000"/>
                <w:sz w:val="24"/>
                <w:szCs w:val="24"/>
                <w:lang w:val="en-GB"/>
              </w:rPr>
            </w:pPr>
          </w:p>
        </w:tc>
        <w:tc>
          <w:tcPr>
            <w:tcW w:w="1330" w:type="dxa"/>
            <w:tcBorders>
              <w:top w:val="nil"/>
              <w:left w:val="nil"/>
              <w:bottom w:val="nil"/>
              <w:right w:val="nil"/>
            </w:tcBorders>
            <w:shd w:val="clear" w:color="auto" w:fill="auto"/>
            <w:vAlign w:val="center"/>
          </w:tcPr>
          <w:p w14:paraId="4EAB5932" w14:textId="5762F288" w:rsidR="00320E3B" w:rsidRPr="002C7B68" w:rsidRDefault="00320E3B" w:rsidP="00D52F58">
            <w:pPr>
              <w:jc w:val="center"/>
              <w:rPr>
                <w:rFonts w:ascii="Times New Roman" w:hAnsi="Times New Roman"/>
                <w:color w:val="000000"/>
                <w:sz w:val="24"/>
                <w:szCs w:val="24"/>
                <w:lang w:val="en-GB"/>
              </w:rPr>
            </w:pPr>
          </w:p>
        </w:tc>
        <w:tc>
          <w:tcPr>
            <w:tcW w:w="1330" w:type="dxa"/>
            <w:tcBorders>
              <w:top w:val="nil"/>
              <w:left w:val="nil"/>
              <w:bottom w:val="nil"/>
              <w:right w:val="nil"/>
            </w:tcBorders>
            <w:shd w:val="clear" w:color="auto" w:fill="auto"/>
            <w:vAlign w:val="center"/>
          </w:tcPr>
          <w:p w14:paraId="1E89AEBB" w14:textId="3D3FE5E2" w:rsidR="00320E3B" w:rsidRPr="002C7B68" w:rsidRDefault="00320E3B" w:rsidP="00D52F58">
            <w:pPr>
              <w:jc w:val="center"/>
              <w:rPr>
                <w:rFonts w:ascii="Times New Roman" w:hAnsi="Times New Roman"/>
                <w:color w:val="000000"/>
                <w:sz w:val="24"/>
                <w:szCs w:val="24"/>
                <w:lang w:val="en-GB"/>
              </w:rPr>
            </w:pPr>
          </w:p>
        </w:tc>
      </w:tr>
      <w:tr w:rsidR="00320E3B" w:rsidRPr="00BC3C5F" w14:paraId="46A1DF60" w14:textId="77777777" w:rsidTr="00D52F58">
        <w:trPr>
          <w:trHeight w:val="384"/>
        </w:trPr>
        <w:tc>
          <w:tcPr>
            <w:tcW w:w="1330" w:type="dxa"/>
            <w:tcBorders>
              <w:top w:val="nil"/>
              <w:left w:val="nil"/>
              <w:bottom w:val="nil"/>
              <w:right w:val="nil"/>
            </w:tcBorders>
            <w:shd w:val="clear" w:color="auto" w:fill="auto"/>
            <w:vAlign w:val="center"/>
            <w:hideMark/>
          </w:tcPr>
          <w:p w14:paraId="75B9A324" w14:textId="77777777" w:rsidR="00320E3B" w:rsidRPr="002C7B68" w:rsidRDefault="00320E3B" w:rsidP="00D52F58">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Vc</w:t>
            </w:r>
          </w:p>
          <w:p w14:paraId="6DB49948" w14:textId="527B5070" w:rsidR="00320E3B" w:rsidRPr="002C7B68" w:rsidRDefault="00320E3B" w:rsidP="00D52F58">
            <w:pPr>
              <w:jc w:val="center"/>
              <w:rPr>
                <w:rFonts w:ascii="Times New Roman" w:hAnsi="Times New Roman"/>
                <w:b/>
                <w:bCs/>
                <w:color w:val="000000"/>
                <w:sz w:val="24"/>
                <w:szCs w:val="24"/>
                <w:lang w:val="en-GB"/>
              </w:rPr>
            </w:pPr>
            <w:r w:rsidRPr="002C7B68">
              <w:rPr>
                <w:rFonts w:ascii="Times New Roman" w:hAnsi="Times New Roman"/>
                <w:b/>
                <w:bCs/>
                <w:color w:val="000000"/>
                <w:sz w:val="24"/>
                <w:szCs w:val="24"/>
                <w:lang w:val="en-GB"/>
              </w:rPr>
              <w:t>(L)</w:t>
            </w:r>
          </w:p>
        </w:tc>
        <w:tc>
          <w:tcPr>
            <w:tcW w:w="1330" w:type="dxa"/>
            <w:tcBorders>
              <w:top w:val="nil"/>
              <w:left w:val="nil"/>
              <w:bottom w:val="nil"/>
              <w:right w:val="nil"/>
            </w:tcBorders>
            <w:shd w:val="clear" w:color="auto" w:fill="auto"/>
            <w:vAlign w:val="center"/>
            <w:hideMark/>
          </w:tcPr>
          <w:p w14:paraId="44694D13" w14:textId="1B9483D6" w:rsidR="00320E3B" w:rsidRPr="002C7B68" w:rsidRDefault="00320E3B" w:rsidP="00D52F58">
            <w:pPr>
              <w:jc w:val="center"/>
              <w:rPr>
                <w:rFonts w:ascii="Times New Roman" w:hAnsi="Times New Roman"/>
                <w:color w:val="000000"/>
                <w:sz w:val="24"/>
                <w:szCs w:val="24"/>
                <w:lang w:val="en-GB"/>
              </w:rPr>
            </w:pPr>
            <w:r w:rsidRPr="00D52F58">
              <w:rPr>
                <w:rFonts w:ascii="Times New Roman" w:hAnsi="Times New Roman"/>
              </w:rPr>
              <w:t>-0.836</w:t>
            </w:r>
          </w:p>
        </w:tc>
        <w:tc>
          <w:tcPr>
            <w:tcW w:w="1330" w:type="dxa"/>
            <w:tcBorders>
              <w:top w:val="nil"/>
              <w:left w:val="nil"/>
              <w:bottom w:val="nil"/>
              <w:right w:val="nil"/>
            </w:tcBorders>
            <w:shd w:val="clear" w:color="auto" w:fill="auto"/>
            <w:vAlign w:val="center"/>
            <w:hideMark/>
          </w:tcPr>
          <w:p w14:paraId="16BEBDBA" w14:textId="2D43EFD7" w:rsidR="00320E3B" w:rsidRPr="002C7B68" w:rsidRDefault="00320E3B" w:rsidP="00D52F58">
            <w:pPr>
              <w:jc w:val="center"/>
              <w:rPr>
                <w:rFonts w:ascii="Times New Roman" w:hAnsi="Times New Roman"/>
                <w:color w:val="000000"/>
                <w:sz w:val="24"/>
                <w:szCs w:val="24"/>
                <w:lang w:val="en-GB"/>
              </w:rPr>
            </w:pPr>
            <w:r w:rsidRPr="00D52F58">
              <w:rPr>
                <w:rFonts w:ascii="Times New Roman" w:hAnsi="Times New Roman"/>
              </w:rPr>
              <w:t>0.023</w:t>
            </w:r>
          </w:p>
        </w:tc>
        <w:tc>
          <w:tcPr>
            <w:tcW w:w="1330" w:type="dxa"/>
            <w:tcBorders>
              <w:top w:val="nil"/>
              <w:left w:val="nil"/>
              <w:bottom w:val="nil"/>
              <w:right w:val="nil"/>
            </w:tcBorders>
            <w:shd w:val="clear" w:color="auto" w:fill="auto"/>
            <w:vAlign w:val="center"/>
            <w:hideMark/>
          </w:tcPr>
          <w:p w14:paraId="2E814AA9" w14:textId="29E6575E" w:rsidR="00320E3B" w:rsidRPr="002C7B68" w:rsidRDefault="00320E3B" w:rsidP="00D52F58">
            <w:pPr>
              <w:jc w:val="center"/>
              <w:rPr>
                <w:rFonts w:ascii="Times New Roman" w:hAnsi="Times New Roman"/>
                <w:color w:val="000000"/>
                <w:sz w:val="24"/>
                <w:szCs w:val="24"/>
                <w:lang w:val="en-GB"/>
              </w:rPr>
            </w:pPr>
            <w:r w:rsidRPr="00D52F58">
              <w:rPr>
                <w:rFonts w:ascii="Times New Roman" w:hAnsi="Times New Roman"/>
              </w:rPr>
              <w:t>27.452</w:t>
            </w:r>
          </w:p>
        </w:tc>
        <w:tc>
          <w:tcPr>
            <w:tcW w:w="1330" w:type="dxa"/>
            <w:tcBorders>
              <w:top w:val="nil"/>
              <w:left w:val="nil"/>
              <w:bottom w:val="nil"/>
              <w:right w:val="nil"/>
            </w:tcBorders>
            <w:shd w:val="clear" w:color="auto" w:fill="auto"/>
            <w:vAlign w:val="center"/>
          </w:tcPr>
          <w:p w14:paraId="3119F0D0" w14:textId="71429E24" w:rsidR="00320E3B" w:rsidRPr="002C7B68" w:rsidRDefault="00320E3B" w:rsidP="00D52F58">
            <w:pPr>
              <w:jc w:val="center"/>
              <w:rPr>
                <w:rFonts w:ascii="Times New Roman" w:hAnsi="Times New Roman"/>
                <w:color w:val="000000"/>
                <w:sz w:val="24"/>
                <w:szCs w:val="24"/>
                <w:lang w:val="en-GB"/>
              </w:rPr>
            </w:pPr>
          </w:p>
        </w:tc>
        <w:tc>
          <w:tcPr>
            <w:tcW w:w="1330" w:type="dxa"/>
            <w:tcBorders>
              <w:top w:val="nil"/>
              <w:left w:val="nil"/>
              <w:bottom w:val="nil"/>
              <w:right w:val="nil"/>
            </w:tcBorders>
            <w:shd w:val="clear" w:color="auto" w:fill="auto"/>
            <w:vAlign w:val="center"/>
          </w:tcPr>
          <w:p w14:paraId="4B3836FA" w14:textId="0D64DB6D" w:rsidR="00320E3B" w:rsidRPr="002C7B68" w:rsidRDefault="00320E3B" w:rsidP="00D52F58">
            <w:pPr>
              <w:jc w:val="center"/>
              <w:rPr>
                <w:rFonts w:ascii="Times New Roman" w:hAnsi="Times New Roman"/>
                <w:color w:val="000000"/>
                <w:sz w:val="24"/>
                <w:szCs w:val="24"/>
                <w:lang w:val="en-GB"/>
              </w:rPr>
            </w:pPr>
          </w:p>
        </w:tc>
      </w:tr>
      <w:tr w:rsidR="00320E3B" w:rsidRPr="00BC3C5F" w14:paraId="00FA55F5" w14:textId="77777777" w:rsidTr="00D52F58">
        <w:trPr>
          <w:trHeight w:val="384"/>
        </w:trPr>
        <w:tc>
          <w:tcPr>
            <w:tcW w:w="1330" w:type="dxa"/>
            <w:tcBorders>
              <w:top w:val="nil"/>
              <w:left w:val="nil"/>
              <w:right w:val="nil"/>
            </w:tcBorders>
            <w:shd w:val="clear" w:color="auto" w:fill="auto"/>
            <w:vAlign w:val="center"/>
            <w:hideMark/>
          </w:tcPr>
          <w:p w14:paraId="591F966A" w14:textId="77777777" w:rsidR="00320E3B" w:rsidRPr="002C7B68" w:rsidRDefault="00320E3B" w:rsidP="00D52F58">
            <w:pPr>
              <w:jc w:val="center"/>
              <w:rPr>
                <w:rFonts w:ascii="Times New Roman" w:hAnsi="Times New Roman"/>
                <w:b/>
                <w:bCs/>
                <w:color w:val="000000"/>
                <w:sz w:val="24"/>
                <w:szCs w:val="24"/>
                <w:lang w:val="en-GB"/>
              </w:rPr>
            </w:pPr>
            <w:r>
              <w:rPr>
                <w:rFonts w:ascii="Times New Roman" w:hAnsi="Times New Roman"/>
                <w:b/>
                <w:bCs/>
                <w:color w:val="000000"/>
                <w:sz w:val="24"/>
                <w:szCs w:val="24"/>
                <w:lang w:val="en-GB"/>
              </w:rPr>
              <w:t>K</w:t>
            </w:r>
            <w:r>
              <w:rPr>
                <w:rFonts w:ascii="Times New Roman" w:hAnsi="Times New Roman"/>
                <w:b/>
                <w:bCs/>
                <w:color w:val="000000"/>
                <w:sz w:val="24"/>
                <w:szCs w:val="24"/>
                <w:vertAlign w:val="subscript"/>
                <w:lang w:val="en-GB"/>
              </w:rPr>
              <w:t>cp</w:t>
            </w:r>
          </w:p>
          <w:p w14:paraId="552652DE" w14:textId="2BDA55D9" w:rsidR="00320E3B" w:rsidRPr="002C7B68" w:rsidRDefault="00320E3B" w:rsidP="00D52F58">
            <w:pPr>
              <w:jc w:val="center"/>
              <w:rPr>
                <w:rFonts w:ascii="Times New Roman" w:hAnsi="Times New Roman"/>
                <w:b/>
                <w:color w:val="000000"/>
                <w:sz w:val="24"/>
                <w:szCs w:val="24"/>
                <w:lang w:val="en-GB"/>
              </w:rPr>
            </w:pPr>
            <w:r w:rsidRPr="002C7B68">
              <w:rPr>
                <w:rFonts w:ascii="Times New Roman" w:hAnsi="Times New Roman"/>
                <w:b/>
                <w:bCs/>
                <w:color w:val="000000"/>
                <w:sz w:val="24"/>
                <w:szCs w:val="24"/>
                <w:lang w:val="en-GB"/>
              </w:rPr>
              <w:t>(h</w:t>
            </w:r>
            <w:r w:rsidRPr="002C7B68">
              <w:rPr>
                <w:rFonts w:ascii="Times New Roman" w:hAnsi="Times New Roman"/>
                <w:b/>
                <w:bCs/>
                <w:color w:val="000000"/>
                <w:sz w:val="24"/>
                <w:szCs w:val="24"/>
                <w:vertAlign w:val="superscript"/>
                <w:lang w:val="en-GB"/>
              </w:rPr>
              <w:t>-1</w:t>
            </w:r>
            <w:r w:rsidRPr="002C7B68">
              <w:rPr>
                <w:rFonts w:ascii="Times New Roman" w:hAnsi="Times New Roman"/>
                <w:b/>
                <w:bCs/>
                <w:color w:val="000000"/>
                <w:sz w:val="24"/>
                <w:szCs w:val="24"/>
                <w:lang w:val="en-GB"/>
              </w:rPr>
              <w:t>)</w:t>
            </w:r>
          </w:p>
        </w:tc>
        <w:tc>
          <w:tcPr>
            <w:tcW w:w="1330" w:type="dxa"/>
            <w:tcBorders>
              <w:top w:val="nil"/>
              <w:left w:val="nil"/>
              <w:right w:val="nil"/>
            </w:tcBorders>
            <w:shd w:val="clear" w:color="auto" w:fill="auto"/>
            <w:vAlign w:val="center"/>
            <w:hideMark/>
          </w:tcPr>
          <w:p w14:paraId="3A46038A" w14:textId="6F291C29" w:rsidR="00320E3B" w:rsidRPr="002C7B68" w:rsidRDefault="00320E3B" w:rsidP="00D52F58">
            <w:pPr>
              <w:jc w:val="center"/>
              <w:rPr>
                <w:rFonts w:ascii="Times New Roman" w:hAnsi="Times New Roman"/>
                <w:color w:val="000000"/>
                <w:sz w:val="24"/>
                <w:szCs w:val="24"/>
                <w:lang w:val="en-GB"/>
              </w:rPr>
            </w:pPr>
            <w:r w:rsidRPr="00D52F58">
              <w:rPr>
                <w:rFonts w:ascii="Times New Roman" w:hAnsi="Times New Roman"/>
              </w:rPr>
              <w:t>-4.156</w:t>
            </w:r>
          </w:p>
        </w:tc>
        <w:tc>
          <w:tcPr>
            <w:tcW w:w="1330" w:type="dxa"/>
            <w:tcBorders>
              <w:top w:val="nil"/>
              <w:left w:val="nil"/>
              <w:right w:val="nil"/>
            </w:tcBorders>
            <w:shd w:val="clear" w:color="auto" w:fill="auto"/>
            <w:vAlign w:val="center"/>
            <w:hideMark/>
          </w:tcPr>
          <w:p w14:paraId="2B028666" w14:textId="4CE0848E" w:rsidR="00320E3B" w:rsidRPr="002C7B68" w:rsidRDefault="00320E3B" w:rsidP="00D52F58">
            <w:pPr>
              <w:jc w:val="center"/>
              <w:rPr>
                <w:rFonts w:ascii="Times New Roman" w:hAnsi="Times New Roman"/>
                <w:color w:val="000000"/>
                <w:sz w:val="24"/>
                <w:szCs w:val="24"/>
                <w:lang w:val="en-GB"/>
              </w:rPr>
            </w:pPr>
            <w:r w:rsidRPr="00D52F58">
              <w:rPr>
                <w:rFonts w:ascii="Times New Roman" w:hAnsi="Times New Roman"/>
              </w:rPr>
              <w:t>-1.148</w:t>
            </w:r>
          </w:p>
        </w:tc>
        <w:tc>
          <w:tcPr>
            <w:tcW w:w="1330" w:type="dxa"/>
            <w:tcBorders>
              <w:top w:val="nil"/>
              <w:left w:val="nil"/>
              <w:right w:val="nil"/>
            </w:tcBorders>
            <w:shd w:val="clear" w:color="auto" w:fill="auto"/>
            <w:vAlign w:val="center"/>
            <w:hideMark/>
          </w:tcPr>
          <w:p w14:paraId="1AEAB28D" w14:textId="1FBD7870" w:rsidR="00320E3B" w:rsidRPr="002C7B68" w:rsidRDefault="00320E3B" w:rsidP="00D52F58">
            <w:pPr>
              <w:jc w:val="center"/>
              <w:rPr>
                <w:rFonts w:ascii="Times New Roman" w:hAnsi="Times New Roman"/>
                <w:color w:val="000000"/>
                <w:sz w:val="24"/>
                <w:szCs w:val="24"/>
                <w:lang w:val="en-GB"/>
              </w:rPr>
            </w:pPr>
            <w:r w:rsidRPr="00D52F58">
              <w:rPr>
                <w:rFonts w:ascii="Times New Roman" w:hAnsi="Times New Roman"/>
              </w:rPr>
              <w:t>34.544</w:t>
            </w:r>
          </w:p>
        </w:tc>
        <w:tc>
          <w:tcPr>
            <w:tcW w:w="1330" w:type="dxa"/>
            <w:tcBorders>
              <w:top w:val="nil"/>
              <w:left w:val="nil"/>
              <w:right w:val="nil"/>
            </w:tcBorders>
            <w:shd w:val="clear" w:color="auto" w:fill="auto"/>
            <w:vAlign w:val="center"/>
            <w:hideMark/>
          </w:tcPr>
          <w:p w14:paraId="38D0873E" w14:textId="2CF0A562" w:rsidR="00320E3B" w:rsidRPr="002C7B68" w:rsidRDefault="00320E3B" w:rsidP="00D52F58">
            <w:pPr>
              <w:jc w:val="center"/>
              <w:rPr>
                <w:rFonts w:ascii="Times New Roman" w:hAnsi="Times New Roman"/>
                <w:color w:val="000000"/>
                <w:sz w:val="24"/>
                <w:szCs w:val="24"/>
                <w:lang w:val="en-GB"/>
              </w:rPr>
            </w:pPr>
            <w:r w:rsidRPr="00D52F58">
              <w:rPr>
                <w:rFonts w:ascii="Times New Roman" w:hAnsi="Times New Roman"/>
              </w:rPr>
              <w:t>166.622</w:t>
            </w:r>
          </w:p>
        </w:tc>
        <w:tc>
          <w:tcPr>
            <w:tcW w:w="1330" w:type="dxa"/>
            <w:tcBorders>
              <w:top w:val="nil"/>
              <w:left w:val="nil"/>
              <w:right w:val="nil"/>
            </w:tcBorders>
            <w:shd w:val="clear" w:color="auto" w:fill="auto"/>
            <w:vAlign w:val="center"/>
          </w:tcPr>
          <w:p w14:paraId="32E11BF5" w14:textId="3DECA9FD" w:rsidR="00320E3B" w:rsidRPr="002C7B68" w:rsidRDefault="00320E3B" w:rsidP="00D52F58">
            <w:pPr>
              <w:jc w:val="center"/>
              <w:rPr>
                <w:rFonts w:ascii="Times New Roman" w:hAnsi="Times New Roman"/>
                <w:color w:val="000000"/>
                <w:sz w:val="24"/>
                <w:szCs w:val="24"/>
                <w:lang w:val="en-GB"/>
              </w:rPr>
            </w:pPr>
          </w:p>
        </w:tc>
      </w:tr>
      <w:tr w:rsidR="00320E3B" w:rsidRPr="00BC3C5F" w14:paraId="1C918069" w14:textId="77777777" w:rsidTr="00D52F58">
        <w:trPr>
          <w:trHeight w:val="384"/>
        </w:trPr>
        <w:tc>
          <w:tcPr>
            <w:tcW w:w="1330" w:type="dxa"/>
            <w:tcBorders>
              <w:top w:val="nil"/>
              <w:left w:val="nil"/>
              <w:bottom w:val="single" w:sz="4" w:space="0" w:color="auto"/>
              <w:right w:val="nil"/>
            </w:tcBorders>
            <w:shd w:val="clear" w:color="auto" w:fill="auto"/>
            <w:vAlign w:val="center"/>
            <w:hideMark/>
          </w:tcPr>
          <w:p w14:paraId="69372B47" w14:textId="77777777" w:rsidR="00320E3B" w:rsidRPr="002C7B68" w:rsidRDefault="00320E3B" w:rsidP="00D52F58">
            <w:pPr>
              <w:jc w:val="center"/>
              <w:rPr>
                <w:rFonts w:ascii="Times New Roman" w:hAnsi="Times New Roman"/>
                <w:b/>
                <w:bCs/>
                <w:color w:val="000000"/>
                <w:sz w:val="24"/>
                <w:szCs w:val="24"/>
                <w:lang w:val="en-GB"/>
              </w:rPr>
            </w:pPr>
            <w:r>
              <w:rPr>
                <w:rFonts w:ascii="Times New Roman" w:hAnsi="Times New Roman"/>
                <w:b/>
                <w:bCs/>
                <w:color w:val="000000"/>
                <w:sz w:val="24"/>
                <w:szCs w:val="24"/>
                <w:lang w:val="en-GB"/>
              </w:rPr>
              <w:t>K</w:t>
            </w:r>
            <w:r>
              <w:rPr>
                <w:rFonts w:ascii="Times New Roman" w:hAnsi="Times New Roman"/>
                <w:b/>
                <w:bCs/>
                <w:color w:val="000000"/>
                <w:sz w:val="24"/>
                <w:szCs w:val="24"/>
                <w:vertAlign w:val="subscript"/>
                <w:lang w:val="en-GB"/>
              </w:rPr>
              <w:t>pc</w:t>
            </w:r>
          </w:p>
          <w:p w14:paraId="5105ABE7" w14:textId="048439EF" w:rsidR="00320E3B" w:rsidRPr="002C7B68" w:rsidRDefault="00320E3B" w:rsidP="00D52F58">
            <w:pPr>
              <w:jc w:val="center"/>
              <w:rPr>
                <w:rFonts w:ascii="Times New Roman" w:hAnsi="Times New Roman"/>
                <w:color w:val="000000"/>
                <w:sz w:val="24"/>
                <w:szCs w:val="24"/>
                <w:lang w:val="en-GB"/>
              </w:rPr>
            </w:pPr>
            <w:r w:rsidRPr="002C7B68">
              <w:rPr>
                <w:rFonts w:ascii="Times New Roman" w:hAnsi="Times New Roman"/>
                <w:b/>
                <w:bCs/>
                <w:color w:val="000000"/>
                <w:sz w:val="24"/>
                <w:szCs w:val="24"/>
                <w:lang w:val="en-GB"/>
              </w:rPr>
              <w:t>(h</w:t>
            </w:r>
            <w:r w:rsidRPr="002C7B68">
              <w:rPr>
                <w:rFonts w:ascii="Times New Roman" w:hAnsi="Times New Roman"/>
                <w:b/>
                <w:bCs/>
                <w:color w:val="000000"/>
                <w:sz w:val="24"/>
                <w:szCs w:val="24"/>
                <w:vertAlign w:val="superscript"/>
                <w:lang w:val="en-GB"/>
              </w:rPr>
              <w:t>-1</w:t>
            </w:r>
            <w:r w:rsidRPr="002C7B68">
              <w:rPr>
                <w:rFonts w:ascii="Times New Roman" w:hAnsi="Times New Roman"/>
                <w:b/>
                <w:bCs/>
                <w:color w:val="000000"/>
                <w:sz w:val="24"/>
                <w:szCs w:val="24"/>
                <w:lang w:val="en-GB"/>
              </w:rPr>
              <w:t>)</w:t>
            </w:r>
          </w:p>
        </w:tc>
        <w:tc>
          <w:tcPr>
            <w:tcW w:w="1330" w:type="dxa"/>
            <w:tcBorders>
              <w:top w:val="nil"/>
              <w:left w:val="nil"/>
              <w:bottom w:val="single" w:sz="4" w:space="0" w:color="auto"/>
              <w:right w:val="nil"/>
            </w:tcBorders>
            <w:shd w:val="clear" w:color="auto" w:fill="auto"/>
            <w:vAlign w:val="center"/>
            <w:hideMark/>
          </w:tcPr>
          <w:p w14:paraId="61A08B8E" w14:textId="44F6DC95" w:rsidR="00320E3B" w:rsidRPr="002C7B68" w:rsidRDefault="00320E3B" w:rsidP="00D52F58">
            <w:pPr>
              <w:jc w:val="center"/>
              <w:rPr>
                <w:rFonts w:ascii="Times New Roman" w:hAnsi="Times New Roman"/>
                <w:color w:val="000000"/>
                <w:sz w:val="24"/>
                <w:szCs w:val="24"/>
                <w:lang w:val="en-GB"/>
              </w:rPr>
            </w:pPr>
            <w:r w:rsidRPr="00D52F58">
              <w:rPr>
                <w:rFonts w:ascii="Times New Roman" w:hAnsi="Times New Roman"/>
              </w:rPr>
              <w:t>-23.017</w:t>
            </w:r>
          </w:p>
        </w:tc>
        <w:tc>
          <w:tcPr>
            <w:tcW w:w="1330" w:type="dxa"/>
            <w:tcBorders>
              <w:top w:val="nil"/>
              <w:left w:val="nil"/>
              <w:bottom w:val="single" w:sz="4" w:space="0" w:color="auto"/>
              <w:right w:val="nil"/>
            </w:tcBorders>
            <w:shd w:val="clear" w:color="auto" w:fill="auto"/>
            <w:vAlign w:val="center"/>
            <w:hideMark/>
          </w:tcPr>
          <w:p w14:paraId="6716A571" w14:textId="3B3F013F" w:rsidR="00320E3B" w:rsidRPr="002C7B68" w:rsidRDefault="00320E3B" w:rsidP="00D52F58">
            <w:pPr>
              <w:jc w:val="center"/>
              <w:rPr>
                <w:rFonts w:ascii="Times New Roman" w:hAnsi="Times New Roman"/>
                <w:color w:val="000000"/>
                <w:sz w:val="24"/>
                <w:szCs w:val="24"/>
                <w:lang w:val="en-GB"/>
              </w:rPr>
            </w:pPr>
            <w:r w:rsidRPr="00D52F58">
              <w:rPr>
                <w:rFonts w:ascii="Times New Roman" w:hAnsi="Times New Roman"/>
              </w:rPr>
              <w:t>0.597</w:t>
            </w:r>
          </w:p>
        </w:tc>
        <w:tc>
          <w:tcPr>
            <w:tcW w:w="1330" w:type="dxa"/>
            <w:tcBorders>
              <w:top w:val="nil"/>
              <w:left w:val="nil"/>
              <w:bottom w:val="single" w:sz="4" w:space="0" w:color="auto"/>
              <w:right w:val="nil"/>
            </w:tcBorders>
            <w:shd w:val="clear" w:color="auto" w:fill="auto"/>
            <w:vAlign w:val="center"/>
            <w:hideMark/>
          </w:tcPr>
          <w:p w14:paraId="6AD5DE9A" w14:textId="090215C8" w:rsidR="00320E3B" w:rsidRPr="002C7B68" w:rsidRDefault="00320E3B" w:rsidP="00D52F58">
            <w:pPr>
              <w:jc w:val="center"/>
              <w:rPr>
                <w:rFonts w:ascii="Times New Roman" w:hAnsi="Times New Roman"/>
                <w:color w:val="000000"/>
                <w:sz w:val="24"/>
                <w:szCs w:val="24"/>
                <w:lang w:val="en-GB"/>
              </w:rPr>
            </w:pPr>
            <w:r w:rsidRPr="00D52F58">
              <w:rPr>
                <w:rFonts w:ascii="Times New Roman" w:hAnsi="Times New Roman"/>
              </w:rPr>
              <w:t>-7.398</w:t>
            </w:r>
          </w:p>
        </w:tc>
        <w:tc>
          <w:tcPr>
            <w:tcW w:w="1330" w:type="dxa"/>
            <w:tcBorders>
              <w:top w:val="nil"/>
              <w:left w:val="nil"/>
              <w:bottom w:val="single" w:sz="4" w:space="0" w:color="auto"/>
              <w:right w:val="nil"/>
            </w:tcBorders>
            <w:shd w:val="clear" w:color="auto" w:fill="auto"/>
            <w:vAlign w:val="center"/>
            <w:hideMark/>
          </w:tcPr>
          <w:p w14:paraId="29C9B222" w14:textId="140A7C60" w:rsidR="00320E3B" w:rsidRPr="002C7B68" w:rsidRDefault="00320E3B" w:rsidP="00D52F58">
            <w:pPr>
              <w:jc w:val="center"/>
              <w:rPr>
                <w:rFonts w:ascii="Times New Roman" w:hAnsi="Times New Roman"/>
                <w:color w:val="000000"/>
                <w:sz w:val="24"/>
                <w:szCs w:val="24"/>
                <w:lang w:val="en-GB"/>
              </w:rPr>
            </w:pPr>
            <w:r w:rsidRPr="00D52F58">
              <w:rPr>
                <w:rFonts w:ascii="Times New Roman" w:hAnsi="Times New Roman"/>
              </w:rPr>
              <w:t>-96.484</w:t>
            </w:r>
          </w:p>
        </w:tc>
        <w:tc>
          <w:tcPr>
            <w:tcW w:w="1330" w:type="dxa"/>
            <w:tcBorders>
              <w:top w:val="nil"/>
              <w:left w:val="nil"/>
              <w:bottom w:val="single" w:sz="4" w:space="0" w:color="auto"/>
              <w:right w:val="nil"/>
            </w:tcBorders>
            <w:shd w:val="clear" w:color="auto" w:fill="auto"/>
            <w:vAlign w:val="center"/>
            <w:hideMark/>
          </w:tcPr>
          <w:p w14:paraId="39C38351" w14:textId="773BE585" w:rsidR="00320E3B" w:rsidRPr="002C7B68" w:rsidRDefault="00320E3B" w:rsidP="00D52F58">
            <w:pPr>
              <w:jc w:val="center"/>
              <w:rPr>
                <w:rFonts w:ascii="Times New Roman" w:hAnsi="Times New Roman"/>
                <w:color w:val="000000"/>
                <w:sz w:val="24"/>
                <w:szCs w:val="24"/>
                <w:lang w:val="en-GB"/>
              </w:rPr>
            </w:pPr>
            <w:r w:rsidRPr="00D52F58">
              <w:rPr>
                <w:rFonts w:ascii="Times New Roman" w:hAnsi="Times New Roman"/>
              </w:rPr>
              <w:t>852.674</w:t>
            </w:r>
          </w:p>
        </w:tc>
      </w:tr>
    </w:tbl>
    <w:p w14:paraId="14F808A6" w14:textId="77777777" w:rsidR="008F2CBC" w:rsidRPr="002C7B68" w:rsidRDefault="008F2CBC" w:rsidP="008F2CBC">
      <w:pPr>
        <w:rPr>
          <w:rFonts w:ascii="Times New Roman" w:hAnsi="Times New Roman"/>
          <w:sz w:val="24"/>
          <w:szCs w:val="24"/>
          <w:lang w:val="en-GB"/>
        </w:rPr>
      </w:pPr>
    </w:p>
    <w:p w14:paraId="43EDC4C2" w14:textId="304CD9CD" w:rsidR="008F2CBC" w:rsidRPr="002C7B68" w:rsidRDefault="008F2CBC">
      <w:pPr>
        <w:spacing w:after="0" w:line="240" w:lineRule="auto"/>
        <w:rPr>
          <w:rFonts w:ascii="Times New Roman" w:hAnsi="Times New Roman"/>
          <w:b/>
          <w:sz w:val="24"/>
          <w:szCs w:val="24"/>
          <w:lang w:val="en-GB"/>
        </w:rPr>
      </w:pPr>
      <w:r w:rsidRPr="002C7B68">
        <w:rPr>
          <w:rFonts w:ascii="Times New Roman" w:hAnsi="Times New Roman"/>
          <w:b/>
          <w:sz w:val="24"/>
          <w:szCs w:val="24"/>
          <w:lang w:val="en-GB"/>
        </w:rPr>
        <w:br w:type="page"/>
      </w:r>
    </w:p>
    <w:p w14:paraId="628984FC" w14:textId="3065A926" w:rsidR="0071194B" w:rsidRPr="002C7B68" w:rsidRDefault="0071194B" w:rsidP="00B560BB">
      <w:pPr>
        <w:spacing w:after="0"/>
        <w:jc w:val="both"/>
        <w:rPr>
          <w:rFonts w:ascii="Times New Roman" w:hAnsi="Times New Roman"/>
          <w:sz w:val="24"/>
          <w:szCs w:val="24"/>
          <w:lang w:val="en-GB"/>
        </w:rPr>
      </w:pPr>
      <w:r w:rsidRPr="002C7B68">
        <w:rPr>
          <w:rFonts w:ascii="Times New Roman" w:hAnsi="Times New Roman"/>
          <w:b/>
          <w:sz w:val="24"/>
          <w:szCs w:val="24"/>
          <w:lang w:val="en-GB"/>
        </w:rPr>
        <w:lastRenderedPageBreak/>
        <w:t xml:space="preserve">Figure </w:t>
      </w:r>
      <w:r w:rsidR="00053203" w:rsidRPr="002C7B68">
        <w:rPr>
          <w:rFonts w:ascii="Times New Roman" w:hAnsi="Times New Roman"/>
          <w:b/>
          <w:sz w:val="24"/>
          <w:szCs w:val="24"/>
          <w:lang w:val="en-GB"/>
        </w:rPr>
        <w:t>S1.</w:t>
      </w:r>
      <w:r w:rsidRPr="002C7B68">
        <w:rPr>
          <w:rFonts w:ascii="Times New Roman" w:hAnsi="Times New Roman"/>
          <w:sz w:val="24"/>
          <w:szCs w:val="24"/>
          <w:lang w:val="en-GB"/>
        </w:rPr>
        <w:t xml:space="preserve"> Normalized distribution predicted error (NPDE). (A) Q-Q plot of the distribution of the NPDE versus the theoretical normal [N (0, 1)] distribution. (B) Histogram of the distribution of the NPDE with the density of the standard Gaussian distribution overlaid. The results suggest an acceptable fit of the final model to the data.</w:t>
      </w:r>
    </w:p>
    <w:p w14:paraId="71EDCDFF" w14:textId="5200A098" w:rsidR="0071194B" w:rsidRPr="002C7B68" w:rsidRDefault="0071194B" w:rsidP="00BE1898">
      <w:pPr>
        <w:spacing w:after="0" w:line="240" w:lineRule="auto"/>
        <w:jc w:val="both"/>
        <w:rPr>
          <w:rFonts w:ascii="Times New Roman" w:hAnsi="Times New Roman"/>
          <w:sz w:val="24"/>
          <w:szCs w:val="24"/>
          <w:lang w:val="en-GB"/>
        </w:rPr>
      </w:pPr>
    </w:p>
    <w:p w14:paraId="7D1DCD58" w14:textId="53F8DD79" w:rsidR="0071194B" w:rsidRPr="002C7B68" w:rsidRDefault="0071194B" w:rsidP="00BE1898">
      <w:pPr>
        <w:spacing w:after="0" w:line="240" w:lineRule="auto"/>
        <w:jc w:val="both"/>
        <w:rPr>
          <w:rFonts w:ascii="Times New Roman" w:hAnsi="Times New Roman"/>
          <w:sz w:val="24"/>
          <w:szCs w:val="24"/>
          <w:lang w:val="en-GB"/>
        </w:rPr>
      </w:pPr>
    </w:p>
    <w:p w14:paraId="0D555522" w14:textId="753ACB14" w:rsidR="0071194B" w:rsidRPr="002C7B68" w:rsidRDefault="0071194B" w:rsidP="00BE1898">
      <w:pPr>
        <w:spacing w:after="0" w:line="240" w:lineRule="auto"/>
        <w:jc w:val="both"/>
        <w:rPr>
          <w:rFonts w:ascii="Times New Roman" w:hAnsi="Times New Roman"/>
          <w:sz w:val="24"/>
          <w:szCs w:val="24"/>
          <w:lang w:val="en-GB"/>
        </w:rPr>
      </w:pPr>
    </w:p>
    <w:p w14:paraId="6D848E09" w14:textId="77777777" w:rsidR="0071194B" w:rsidRPr="002C7B68" w:rsidRDefault="0071194B" w:rsidP="00BE1898">
      <w:pPr>
        <w:spacing w:after="0" w:line="240" w:lineRule="auto"/>
        <w:jc w:val="both"/>
        <w:rPr>
          <w:rFonts w:ascii="Times New Roman" w:hAnsi="Times New Roman"/>
          <w:sz w:val="24"/>
          <w:szCs w:val="24"/>
          <w:lang w:val="en-GB"/>
        </w:rPr>
      </w:pPr>
    </w:p>
    <w:p w14:paraId="576D53F0" w14:textId="6890321F" w:rsidR="0071194B" w:rsidRPr="002C7B68" w:rsidRDefault="0071194B">
      <w:pPr>
        <w:spacing w:after="0" w:line="240" w:lineRule="auto"/>
        <w:rPr>
          <w:rFonts w:ascii="Times New Roman" w:hAnsi="Times New Roman"/>
          <w:sz w:val="24"/>
          <w:szCs w:val="24"/>
          <w:lang w:val="en-GB"/>
        </w:rPr>
      </w:pPr>
      <w:r w:rsidRPr="002C7B68">
        <w:rPr>
          <w:rFonts w:ascii="Times New Roman" w:hAnsi="Times New Roman"/>
          <w:sz w:val="24"/>
          <w:szCs w:val="24"/>
          <w:lang w:val="en-GB"/>
        </w:rPr>
        <w:br w:type="page"/>
      </w:r>
    </w:p>
    <w:p w14:paraId="29357504" w14:textId="4716E076" w:rsidR="00396563" w:rsidRPr="002C7B68" w:rsidRDefault="00BE1898" w:rsidP="00B560BB">
      <w:pPr>
        <w:spacing w:after="0"/>
        <w:jc w:val="both"/>
        <w:rPr>
          <w:rFonts w:ascii="Times New Roman" w:hAnsi="Times New Roman"/>
          <w:color w:val="333333"/>
          <w:sz w:val="24"/>
          <w:szCs w:val="24"/>
          <w:lang w:val="en-GB"/>
        </w:rPr>
      </w:pPr>
      <w:r w:rsidRPr="002C7B68">
        <w:rPr>
          <w:rFonts w:ascii="Times New Roman" w:hAnsi="Times New Roman"/>
          <w:b/>
          <w:color w:val="333333"/>
          <w:sz w:val="24"/>
          <w:szCs w:val="24"/>
          <w:lang w:val="en-GB"/>
        </w:rPr>
        <w:lastRenderedPageBreak/>
        <w:t xml:space="preserve">Figure </w:t>
      </w:r>
      <w:r w:rsidR="00975671" w:rsidRPr="002C7B68">
        <w:rPr>
          <w:rFonts w:ascii="Times New Roman" w:hAnsi="Times New Roman"/>
          <w:b/>
          <w:color w:val="333333"/>
          <w:sz w:val="24"/>
          <w:szCs w:val="24"/>
          <w:lang w:val="en-GB"/>
        </w:rPr>
        <w:t>S2</w:t>
      </w:r>
      <w:r w:rsidR="0071194B" w:rsidRPr="002C7B68">
        <w:rPr>
          <w:rFonts w:ascii="Times New Roman" w:hAnsi="Times New Roman"/>
          <w:b/>
          <w:color w:val="333333"/>
          <w:sz w:val="24"/>
          <w:szCs w:val="24"/>
          <w:lang w:val="en-GB"/>
        </w:rPr>
        <w:t>.</w:t>
      </w:r>
      <w:r w:rsidRPr="002C7B68">
        <w:rPr>
          <w:rFonts w:ascii="Times New Roman" w:hAnsi="Times New Roman"/>
          <w:color w:val="333333"/>
          <w:sz w:val="24"/>
          <w:szCs w:val="24"/>
          <w:lang w:val="en-GB"/>
        </w:rPr>
        <w:t xml:space="preserve"> A plot of weighted residual error (population predicted concentrations – observed concentration, mg/L) versus population predictions (left) and time of observation (middle); and frequency distribution of the weighted residual errors (right).</w:t>
      </w:r>
    </w:p>
    <w:p w14:paraId="7751D15D" w14:textId="1189B310" w:rsidR="00BE1898" w:rsidRPr="002C7B68" w:rsidRDefault="00BE1898" w:rsidP="00BE1898">
      <w:pPr>
        <w:spacing w:after="0" w:line="240" w:lineRule="auto"/>
        <w:jc w:val="both"/>
        <w:rPr>
          <w:rFonts w:ascii="Times New Roman" w:hAnsi="Times New Roman"/>
          <w:color w:val="333333"/>
          <w:sz w:val="24"/>
          <w:szCs w:val="24"/>
          <w:lang w:val="en-GB"/>
        </w:rPr>
      </w:pPr>
    </w:p>
    <w:p w14:paraId="6AA71DBD" w14:textId="74824EB1" w:rsidR="00BE1898" w:rsidRPr="002C7B68" w:rsidRDefault="00BE1898" w:rsidP="00BE1898">
      <w:pPr>
        <w:spacing w:after="0" w:line="240" w:lineRule="auto"/>
        <w:jc w:val="both"/>
        <w:rPr>
          <w:rFonts w:ascii="Times New Roman" w:hAnsi="Times New Roman"/>
          <w:color w:val="333333"/>
          <w:sz w:val="24"/>
          <w:szCs w:val="24"/>
          <w:lang w:val="en-GB"/>
        </w:rPr>
      </w:pPr>
    </w:p>
    <w:p w14:paraId="4611CA38" w14:textId="7FADC67F" w:rsidR="00BE1898" w:rsidRPr="002C7B68" w:rsidRDefault="00BE1898" w:rsidP="00BE1898">
      <w:pPr>
        <w:spacing w:after="0" w:line="240" w:lineRule="auto"/>
        <w:jc w:val="both"/>
        <w:rPr>
          <w:rFonts w:ascii="Times New Roman" w:hAnsi="Times New Roman"/>
          <w:color w:val="333333"/>
          <w:sz w:val="24"/>
          <w:szCs w:val="24"/>
          <w:lang w:val="en-GB"/>
        </w:rPr>
      </w:pPr>
    </w:p>
    <w:p w14:paraId="466B84F4" w14:textId="53ADD78C" w:rsidR="00396563" w:rsidRPr="002C7B68" w:rsidRDefault="00975671" w:rsidP="002C7B68">
      <w:pPr>
        <w:spacing w:after="0"/>
        <w:ind w:firstLine="1"/>
        <w:jc w:val="both"/>
        <w:rPr>
          <w:rFonts w:ascii="Times New Roman" w:hAnsi="Times New Roman"/>
          <w:sz w:val="24"/>
          <w:szCs w:val="24"/>
          <w:lang w:val="en-GB"/>
        </w:rPr>
      </w:pPr>
      <w:r w:rsidRPr="002C7B68" w:rsidDel="00975671">
        <w:rPr>
          <w:rFonts w:ascii="Times New Roman" w:hAnsi="Times New Roman"/>
          <w:b/>
          <w:sz w:val="24"/>
          <w:szCs w:val="24"/>
          <w:lang w:val="en-GB"/>
        </w:rPr>
        <w:t xml:space="preserve"> </w:t>
      </w:r>
    </w:p>
    <w:p w14:paraId="04FC0ACA" w14:textId="16012896" w:rsidR="00224E97" w:rsidRPr="002C7B68" w:rsidRDefault="00224E97" w:rsidP="00396563">
      <w:pPr>
        <w:spacing w:after="0"/>
        <w:jc w:val="both"/>
        <w:rPr>
          <w:rFonts w:ascii="Times New Roman" w:hAnsi="Times New Roman"/>
          <w:sz w:val="24"/>
          <w:szCs w:val="24"/>
          <w:lang w:val="en-GB"/>
        </w:rPr>
      </w:pPr>
    </w:p>
    <w:sectPr w:rsidR="00224E97" w:rsidRPr="002C7B68" w:rsidSect="009C647E">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3D7E"/>
    <w:multiLevelType w:val="hybridMultilevel"/>
    <w:tmpl w:val="32D6BC70"/>
    <w:lvl w:ilvl="0" w:tplc="6240AF78">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B55F2F"/>
    <w:multiLevelType w:val="hybridMultilevel"/>
    <w:tmpl w:val="32D6BC70"/>
    <w:lvl w:ilvl="0" w:tplc="6240AF78">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F41E7E"/>
    <w:multiLevelType w:val="hybridMultilevel"/>
    <w:tmpl w:val="FFE8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44C7F"/>
    <w:multiLevelType w:val="hybridMultilevel"/>
    <w:tmpl w:val="32D6BC70"/>
    <w:lvl w:ilvl="0" w:tplc="6240AF78">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214E04"/>
    <w:multiLevelType w:val="hybridMultilevel"/>
    <w:tmpl w:val="32D6BC70"/>
    <w:lvl w:ilvl="0" w:tplc="6240AF78">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D45157B"/>
    <w:multiLevelType w:val="hybridMultilevel"/>
    <w:tmpl w:val="32D6BC70"/>
    <w:lvl w:ilvl="0" w:tplc="6240AF78">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74393C"/>
    <w:multiLevelType w:val="hybridMultilevel"/>
    <w:tmpl w:val="32D6BC70"/>
    <w:lvl w:ilvl="0" w:tplc="6240AF78">
      <w:start w:val="1"/>
      <w:numFmt w:val="decimal"/>
      <w:lvlText w:val="%1."/>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E946914"/>
    <w:multiLevelType w:val="hybridMultilevel"/>
    <w:tmpl w:val="EA7E97F2"/>
    <w:lvl w:ilvl="0" w:tplc="0284C1E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29926D9"/>
    <w:multiLevelType w:val="hybridMultilevel"/>
    <w:tmpl w:val="C3529B28"/>
    <w:lvl w:ilvl="0" w:tplc="0284C1E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DB"/>
    <w:rsid w:val="000039FF"/>
    <w:rsid w:val="00004D3E"/>
    <w:rsid w:val="00012F08"/>
    <w:rsid w:val="00013B02"/>
    <w:rsid w:val="00014323"/>
    <w:rsid w:val="000178E9"/>
    <w:rsid w:val="0002682F"/>
    <w:rsid w:val="00027912"/>
    <w:rsid w:val="000304CB"/>
    <w:rsid w:val="0003148E"/>
    <w:rsid w:val="0003538E"/>
    <w:rsid w:val="00040360"/>
    <w:rsid w:val="00053203"/>
    <w:rsid w:val="00056385"/>
    <w:rsid w:val="0006643C"/>
    <w:rsid w:val="00071AA9"/>
    <w:rsid w:val="00075087"/>
    <w:rsid w:val="0007782A"/>
    <w:rsid w:val="000821ED"/>
    <w:rsid w:val="000850D9"/>
    <w:rsid w:val="0008551F"/>
    <w:rsid w:val="00087397"/>
    <w:rsid w:val="00092021"/>
    <w:rsid w:val="000964C4"/>
    <w:rsid w:val="000A4FFC"/>
    <w:rsid w:val="000C0390"/>
    <w:rsid w:val="000C11E1"/>
    <w:rsid w:val="000D059E"/>
    <w:rsid w:val="000D642B"/>
    <w:rsid w:val="000E0B88"/>
    <w:rsid w:val="000E25D3"/>
    <w:rsid w:val="000E29EE"/>
    <w:rsid w:val="000E3DBD"/>
    <w:rsid w:val="000E4566"/>
    <w:rsid w:val="001002B1"/>
    <w:rsid w:val="001021D0"/>
    <w:rsid w:val="00102435"/>
    <w:rsid w:val="001110BB"/>
    <w:rsid w:val="001144C1"/>
    <w:rsid w:val="001161D4"/>
    <w:rsid w:val="00120D12"/>
    <w:rsid w:val="00125112"/>
    <w:rsid w:val="00135729"/>
    <w:rsid w:val="001361D0"/>
    <w:rsid w:val="00146F99"/>
    <w:rsid w:val="00153AA7"/>
    <w:rsid w:val="001548FA"/>
    <w:rsid w:val="0016110A"/>
    <w:rsid w:val="00161AE0"/>
    <w:rsid w:val="00165088"/>
    <w:rsid w:val="00166D61"/>
    <w:rsid w:val="00185074"/>
    <w:rsid w:val="00185C23"/>
    <w:rsid w:val="0018651C"/>
    <w:rsid w:val="00187EB1"/>
    <w:rsid w:val="001941C9"/>
    <w:rsid w:val="00197036"/>
    <w:rsid w:val="001A25DA"/>
    <w:rsid w:val="001A291A"/>
    <w:rsid w:val="001A7ECF"/>
    <w:rsid w:val="001B58CA"/>
    <w:rsid w:val="001B6C6B"/>
    <w:rsid w:val="001B70C8"/>
    <w:rsid w:val="001B73CD"/>
    <w:rsid w:val="001B7472"/>
    <w:rsid w:val="001B7FA7"/>
    <w:rsid w:val="001C12C3"/>
    <w:rsid w:val="001C739C"/>
    <w:rsid w:val="001D2903"/>
    <w:rsid w:val="001D7267"/>
    <w:rsid w:val="001D765E"/>
    <w:rsid w:val="001F0432"/>
    <w:rsid w:val="001F056C"/>
    <w:rsid w:val="001F090A"/>
    <w:rsid w:val="001F0B44"/>
    <w:rsid w:val="001F456C"/>
    <w:rsid w:val="001F4946"/>
    <w:rsid w:val="001F4D55"/>
    <w:rsid w:val="001F62C2"/>
    <w:rsid w:val="001F680B"/>
    <w:rsid w:val="002040DD"/>
    <w:rsid w:val="00207EFC"/>
    <w:rsid w:val="00210D7D"/>
    <w:rsid w:val="002122DC"/>
    <w:rsid w:val="00223DAD"/>
    <w:rsid w:val="00224E97"/>
    <w:rsid w:val="00226D06"/>
    <w:rsid w:val="00233BFA"/>
    <w:rsid w:val="00235FA4"/>
    <w:rsid w:val="00240A96"/>
    <w:rsid w:val="0024271A"/>
    <w:rsid w:val="002449BB"/>
    <w:rsid w:val="00245C18"/>
    <w:rsid w:val="00253B79"/>
    <w:rsid w:val="0025511A"/>
    <w:rsid w:val="00262D35"/>
    <w:rsid w:val="0026454F"/>
    <w:rsid w:val="00266926"/>
    <w:rsid w:val="00281FE3"/>
    <w:rsid w:val="00287BB1"/>
    <w:rsid w:val="0029071E"/>
    <w:rsid w:val="00294A35"/>
    <w:rsid w:val="002953F4"/>
    <w:rsid w:val="00295F16"/>
    <w:rsid w:val="002A1DFF"/>
    <w:rsid w:val="002A2B0C"/>
    <w:rsid w:val="002A6DCE"/>
    <w:rsid w:val="002A7295"/>
    <w:rsid w:val="002A7DE9"/>
    <w:rsid w:val="002B7480"/>
    <w:rsid w:val="002B78FA"/>
    <w:rsid w:val="002B7E0F"/>
    <w:rsid w:val="002C5AC8"/>
    <w:rsid w:val="002C7B68"/>
    <w:rsid w:val="002D14F8"/>
    <w:rsid w:val="002D458E"/>
    <w:rsid w:val="002D56D2"/>
    <w:rsid w:val="002D6ADF"/>
    <w:rsid w:val="002E798F"/>
    <w:rsid w:val="002F2406"/>
    <w:rsid w:val="002F3329"/>
    <w:rsid w:val="002F35EB"/>
    <w:rsid w:val="002F68C2"/>
    <w:rsid w:val="002F68F9"/>
    <w:rsid w:val="00304107"/>
    <w:rsid w:val="00304179"/>
    <w:rsid w:val="003124DB"/>
    <w:rsid w:val="0031557C"/>
    <w:rsid w:val="003209E3"/>
    <w:rsid w:val="00320E3B"/>
    <w:rsid w:val="0032388E"/>
    <w:rsid w:val="00323DD1"/>
    <w:rsid w:val="00325503"/>
    <w:rsid w:val="003268C8"/>
    <w:rsid w:val="0032718C"/>
    <w:rsid w:val="0033086A"/>
    <w:rsid w:val="0033321A"/>
    <w:rsid w:val="00334DDF"/>
    <w:rsid w:val="003401DC"/>
    <w:rsid w:val="00340EBC"/>
    <w:rsid w:val="00341D17"/>
    <w:rsid w:val="00342E1B"/>
    <w:rsid w:val="003438AA"/>
    <w:rsid w:val="00353E24"/>
    <w:rsid w:val="00360138"/>
    <w:rsid w:val="00361420"/>
    <w:rsid w:val="00362619"/>
    <w:rsid w:val="00372CB6"/>
    <w:rsid w:val="003754C8"/>
    <w:rsid w:val="00383749"/>
    <w:rsid w:val="0038404D"/>
    <w:rsid w:val="003840C5"/>
    <w:rsid w:val="00396563"/>
    <w:rsid w:val="003A385A"/>
    <w:rsid w:val="003A69DE"/>
    <w:rsid w:val="003C301C"/>
    <w:rsid w:val="003C437C"/>
    <w:rsid w:val="003C4A18"/>
    <w:rsid w:val="003C631D"/>
    <w:rsid w:val="003C6F8B"/>
    <w:rsid w:val="003D0133"/>
    <w:rsid w:val="003D0C2C"/>
    <w:rsid w:val="003D5B7C"/>
    <w:rsid w:val="003D66F5"/>
    <w:rsid w:val="003D7FF9"/>
    <w:rsid w:val="003E661F"/>
    <w:rsid w:val="003F085B"/>
    <w:rsid w:val="00402434"/>
    <w:rsid w:val="00402C36"/>
    <w:rsid w:val="00403DC2"/>
    <w:rsid w:val="00403F97"/>
    <w:rsid w:val="0040550D"/>
    <w:rsid w:val="00406DAE"/>
    <w:rsid w:val="00407480"/>
    <w:rsid w:val="004079D7"/>
    <w:rsid w:val="00410719"/>
    <w:rsid w:val="0042436C"/>
    <w:rsid w:val="00426956"/>
    <w:rsid w:val="00426ED3"/>
    <w:rsid w:val="0042721D"/>
    <w:rsid w:val="004428C7"/>
    <w:rsid w:val="00445669"/>
    <w:rsid w:val="00446ACE"/>
    <w:rsid w:val="00453C48"/>
    <w:rsid w:val="00456664"/>
    <w:rsid w:val="004660B4"/>
    <w:rsid w:val="00472DF9"/>
    <w:rsid w:val="004751FC"/>
    <w:rsid w:val="00477444"/>
    <w:rsid w:val="00485EFE"/>
    <w:rsid w:val="00492DDA"/>
    <w:rsid w:val="004940D7"/>
    <w:rsid w:val="004940D9"/>
    <w:rsid w:val="0049477A"/>
    <w:rsid w:val="004A38F7"/>
    <w:rsid w:val="004A76EE"/>
    <w:rsid w:val="004A7936"/>
    <w:rsid w:val="004B373F"/>
    <w:rsid w:val="004B3CCC"/>
    <w:rsid w:val="004B4DBB"/>
    <w:rsid w:val="004B6C95"/>
    <w:rsid w:val="004C0B59"/>
    <w:rsid w:val="004C1D7F"/>
    <w:rsid w:val="004D1A8B"/>
    <w:rsid w:val="004E175A"/>
    <w:rsid w:val="004F7160"/>
    <w:rsid w:val="005042D2"/>
    <w:rsid w:val="005128C0"/>
    <w:rsid w:val="00516EBC"/>
    <w:rsid w:val="00517DF6"/>
    <w:rsid w:val="0052037A"/>
    <w:rsid w:val="00520DB0"/>
    <w:rsid w:val="00522845"/>
    <w:rsid w:val="00526354"/>
    <w:rsid w:val="00533313"/>
    <w:rsid w:val="0053456C"/>
    <w:rsid w:val="00536989"/>
    <w:rsid w:val="00546684"/>
    <w:rsid w:val="00550C8E"/>
    <w:rsid w:val="00550FE4"/>
    <w:rsid w:val="0055726F"/>
    <w:rsid w:val="00563284"/>
    <w:rsid w:val="00564BFC"/>
    <w:rsid w:val="00567040"/>
    <w:rsid w:val="005708B4"/>
    <w:rsid w:val="00574FBE"/>
    <w:rsid w:val="005765DC"/>
    <w:rsid w:val="0057743E"/>
    <w:rsid w:val="00577EB0"/>
    <w:rsid w:val="0058080D"/>
    <w:rsid w:val="0058160B"/>
    <w:rsid w:val="005832C8"/>
    <w:rsid w:val="0058673C"/>
    <w:rsid w:val="0059127B"/>
    <w:rsid w:val="00596514"/>
    <w:rsid w:val="005A158C"/>
    <w:rsid w:val="005A1953"/>
    <w:rsid w:val="005A36BD"/>
    <w:rsid w:val="005A6A06"/>
    <w:rsid w:val="005A785E"/>
    <w:rsid w:val="005B5A26"/>
    <w:rsid w:val="005B5CAE"/>
    <w:rsid w:val="005B6C81"/>
    <w:rsid w:val="005C7E56"/>
    <w:rsid w:val="005D053D"/>
    <w:rsid w:val="005D1CB2"/>
    <w:rsid w:val="005D5239"/>
    <w:rsid w:val="005D770C"/>
    <w:rsid w:val="005F2337"/>
    <w:rsid w:val="0060259D"/>
    <w:rsid w:val="00607C9D"/>
    <w:rsid w:val="00612793"/>
    <w:rsid w:val="00613846"/>
    <w:rsid w:val="0061417F"/>
    <w:rsid w:val="00617AAE"/>
    <w:rsid w:val="00620612"/>
    <w:rsid w:val="0062082E"/>
    <w:rsid w:val="0062284F"/>
    <w:rsid w:val="0062324E"/>
    <w:rsid w:val="006256CA"/>
    <w:rsid w:val="00625D77"/>
    <w:rsid w:val="00626694"/>
    <w:rsid w:val="00633298"/>
    <w:rsid w:val="00634E22"/>
    <w:rsid w:val="00635658"/>
    <w:rsid w:val="00636D14"/>
    <w:rsid w:val="006461AC"/>
    <w:rsid w:val="00646AD1"/>
    <w:rsid w:val="006509AE"/>
    <w:rsid w:val="00651AAF"/>
    <w:rsid w:val="006533CB"/>
    <w:rsid w:val="006604D8"/>
    <w:rsid w:val="00662C30"/>
    <w:rsid w:val="00672EF0"/>
    <w:rsid w:val="0068138F"/>
    <w:rsid w:val="006821D8"/>
    <w:rsid w:val="00685E45"/>
    <w:rsid w:val="00685FE6"/>
    <w:rsid w:val="00690A7B"/>
    <w:rsid w:val="00690CA7"/>
    <w:rsid w:val="006922AF"/>
    <w:rsid w:val="006A05CE"/>
    <w:rsid w:val="006B2D10"/>
    <w:rsid w:val="006B2DB1"/>
    <w:rsid w:val="006B5F35"/>
    <w:rsid w:val="006B611D"/>
    <w:rsid w:val="006C0309"/>
    <w:rsid w:val="006D34AB"/>
    <w:rsid w:val="006D37BA"/>
    <w:rsid w:val="006E0E39"/>
    <w:rsid w:val="006E5CA8"/>
    <w:rsid w:val="006F20FC"/>
    <w:rsid w:val="00701B40"/>
    <w:rsid w:val="00702B20"/>
    <w:rsid w:val="007055E0"/>
    <w:rsid w:val="00707733"/>
    <w:rsid w:val="00710589"/>
    <w:rsid w:val="00710A16"/>
    <w:rsid w:val="0071194B"/>
    <w:rsid w:val="0071423A"/>
    <w:rsid w:val="00716875"/>
    <w:rsid w:val="00717F77"/>
    <w:rsid w:val="007218B3"/>
    <w:rsid w:val="00723A45"/>
    <w:rsid w:val="007273E3"/>
    <w:rsid w:val="0073618C"/>
    <w:rsid w:val="00744B7C"/>
    <w:rsid w:val="007538DC"/>
    <w:rsid w:val="00757263"/>
    <w:rsid w:val="0076019E"/>
    <w:rsid w:val="0076033A"/>
    <w:rsid w:val="00761A06"/>
    <w:rsid w:val="0076235E"/>
    <w:rsid w:val="0076347B"/>
    <w:rsid w:val="00771BED"/>
    <w:rsid w:val="00773669"/>
    <w:rsid w:val="007761A3"/>
    <w:rsid w:val="00783334"/>
    <w:rsid w:val="00785EFD"/>
    <w:rsid w:val="00787BCF"/>
    <w:rsid w:val="00793ADE"/>
    <w:rsid w:val="007966F7"/>
    <w:rsid w:val="00797843"/>
    <w:rsid w:val="00797B21"/>
    <w:rsid w:val="007A3F8D"/>
    <w:rsid w:val="007B72C6"/>
    <w:rsid w:val="007C1DF9"/>
    <w:rsid w:val="007C2129"/>
    <w:rsid w:val="007C2705"/>
    <w:rsid w:val="007C32E4"/>
    <w:rsid w:val="007C49D4"/>
    <w:rsid w:val="007D3407"/>
    <w:rsid w:val="007D6926"/>
    <w:rsid w:val="007E01DB"/>
    <w:rsid w:val="007E4047"/>
    <w:rsid w:val="007E5EFA"/>
    <w:rsid w:val="007E7A74"/>
    <w:rsid w:val="007F135E"/>
    <w:rsid w:val="007F1C94"/>
    <w:rsid w:val="007F23B5"/>
    <w:rsid w:val="007F544C"/>
    <w:rsid w:val="007F587E"/>
    <w:rsid w:val="0080006B"/>
    <w:rsid w:val="00802083"/>
    <w:rsid w:val="00804A5C"/>
    <w:rsid w:val="00806B5A"/>
    <w:rsid w:val="008077D3"/>
    <w:rsid w:val="0081334E"/>
    <w:rsid w:val="008136DA"/>
    <w:rsid w:val="008228E9"/>
    <w:rsid w:val="00824A2F"/>
    <w:rsid w:val="008255B5"/>
    <w:rsid w:val="00835BF8"/>
    <w:rsid w:val="0084624D"/>
    <w:rsid w:val="008466E8"/>
    <w:rsid w:val="00850CBD"/>
    <w:rsid w:val="008510D4"/>
    <w:rsid w:val="00852648"/>
    <w:rsid w:val="00855B63"/>
    <w:rsid w:val="00866EB3"/>
    <w:rsid w:val="00881B5D"/>
    <w:rsid w:val="00884B02"/>
    <w:rsid w:val="00893E58"/>
    <w:rsid w:val="00895B1C"/>
    <w:rsid w:val="00897729"/>
    <w:rsid w:val="008A3EA3"/>
    <w:rsid w:val="008A7E09"/>
    <w:rsid w:val="008B2559"/>
    <w:rsid w:val="008B2A36"/>
    <w:rsid w:val="008B364E"/>
    <w:rsid w:val="008B464A"/>
    <w:rsid w:val="008B5032"/>
    <w:rsid w:val="008B62BE"/>
    <w:rsid w:val="008C1277"/>
    <w:rsid w:val="008C45B5"/>
    <w:rsid w:val="008C474A"/>
    <w:rsid w:val="008C6B56"/>
    <w:rsid w:val="008C6EC2"/>
    <w:rsid w:val="008D04B4"/>
    <w:rsid w:val="008D3765"/>
    <w:rsid w:val="008D53F7"/>
    <w:rsid w:val="008E1E61"/>
    <w:rsid w:val="008E35E5"/>
    <w:rsid w:val="008E687A"/>
    <w:rsid w:val="008E6EF1"/>
    <w:rsid w:val="008F2CBC"/>
    <w:rsid w:val="008F51D7"/>
    <w:rsid w:val="008F68CC"/>
    <w:rsid w:val="009027DE"/>
    <w:rsid w:val="00903055"/>
    <w:rsid w:val="00903220"/>
    <w:rsid w:val="009074EE"/>
    <w:rsid w:val="00907A34"/>
    <w:rsid w:val="00907D3E"/>
    <w:rsid w:val="00911461"/>
    <w:rsid w:val="00912CCB"/>
    <w:rsid w:val="00912DF9"/>
    <w:rsid w:val="00914CE1"/>
    <w:rsid w:val="00917288"/>
    <w:rsid w:val="00920EBA"/>
    <w:rsid w:val="009212E1"/>
    <w:rsid w:val="00921887"/>
    <w:rsid w:val="00923137"/>
    <w:rsid w:val="00932167"/>
    <w:rsid w:val="009339A9"/>
    <w:rsid w:val="00933C13"/>
    <w:rsid w:val="00937742"/>
    <w:rsid w:val="00941B49"/>
    <w:rsid w:val="0094239B"/>
    <w:rsid w:val="00944560"/>
    <w:rsid w:val="009459AA"/>
    <w:rsid w:val="009461E6"/>
    <w:rsid w:val="00950AA9"/>
    <w:rsid w:val="00953804"/>
    <w:rsid w:val="00960462"/>
    <w:rsid w:val="00965D61"/>
    <w:rsid w:val="009705AB"/>
    <w:rsid w:val="00970B99"/>
    <w:rsid w:val="00972A09"/>
    <w:rsid w:val="00973F6F"/>
    <w:rsid w:val="00975671"/>
    <w:rsid w:val="009807E8"/>
    <w:rsid w:val="00983EFA"/>
    <w:rsid w:val="00985014"/>
    <w:rsid w:val="00990A64"/>
    <w:rsid w:val="009949C8"/>
    <w:rsid w:val="009955AA"/>
    <w:rsid w:val="009977DC"/>
    <w:rsid w:val="009A0AA8"/>
    <w:rsid w:val="009A14AA"/>
    <w:rsid w:val="009A61DB"/>
    <w:rsid w:val="009B1FFB"/>
    <w:rsid w:val="009C016D"/>
    <w:rsid w:val="009C07B5"/>
    <w:rsid w:val="009C647E"/>
    <w:rsid w:val="009D64EB"/>
    <w:rsid w:val="009D75B1"/>
    <w:rsid w:val="009E02A8"/>
    <w:rsid w:val="009E49DE"/>
    <w:rsid w:val="009F2D93"/>
    <w:rsid w:val="009F5F18"/>
    <w:rsid w:val="00A06CAB"/>
    <w:rsid w:val="00A06FD1"/>
    <w:rsid w:val="00A1470B"/>
    <w:rsid w:val="00A178E5"/>
    <w:rsid w:val="00A2244D"/>
    <w:rsid w:val="00A37894"/>
    <w:rsid w:val="00A53475"/>
    <w:rsid w:val="00A539FA"/>
    <w:rsid w:val="00A55D9F"/>
    <w:rsid w:val="00A57E92"/>
    <w:rsid w:val="00A61404"/>
    <w:rsid w:val="00A615CE"/>
    <w:rsid w:val="00A648E0"/>
    <w:rsid w:val="00A6692B"/>
    <w:rsid w:val="00A71048"/>
    <w:rsid w:val="00A72D47"/>
    <w:rsid w:val="00A861DB"/>
    <w:rsid w:val="00A86FA3"/>
    <w:rsid w:val="00A9436D"/>
    <w:rsid w:val="00A97A09"/>
    <w:rsid w:val="00A97D27"/>
    <w:rsid w:val="00A97E61"/>
    <w:rsid w:val="00AC3B45"/>
    <w:rsid w:val="00AC5D01"/>
    <w:rsid w:val="00AD459F"/>
    <w:rsid w:val="00AE3BC7"/>
    <w:rsid w:val="00AE4AC2"/>
    <w:rsid w:val="00AF1219"/>
    <w:rsid w:val="00AF6C01"/>
    <w:rsid w:val="00AF6E2D"/>
    <w:rsid w:val="00B05221"/>
    <w:rsid w:val="00B0641A"/>
    <w:rsid w:val="00B07AAE"/>
    <w:rsid w:val="00B07C7F"/>
    <w:rsid w:val="00B10BC6"/>
    <w:rsid w:val="00B138A0"/>
    <w:rsid w:val="00B1407E"/>
    <w:rsid w:val="00B14FD1"/>
    <w:rsid w:val="00B25903"/>
    <w:rsid w:val="00B25E11"/>
    <w:rsid w:val="00B300E4"/>
    <w:rsid w:val="00B413C9"/>
    <w:rsid w:val="00B42F6F"/>
    <w:rsid w:val="00B46CA2"/>
    <w:rsid w:val="00B560BB"/>
    <w:rsid w:val="00B629FD"/>
    <w:rsid w:val="00B62B05"/>
    <w:rsid w:val="00B65AB5"/>
    <w:rsid w:val="00B677A7"/>
    <w:rsid w:val="00B754CF"/>
    <w:rsid w:val="00B809C8"/>
    <w:rsid w:val="00B81189"/>
    <w:rsid w:val="00B82DAA"/>
    <w:rsid w:val="00B837EA"/>
    <w:rsid w:val="00B84C2C"/>
    <w:rsid w:val="00B84CCB"/>
    <w:rsid w:val="00B857AF"/>
    <w:rsid w:val="00B87AC9"/>
    <w:rsid w:val="00B92C1A"/>
    <w:rsid w:val="00B93152"/>
    <w:rsid w:val="00B93DE3"/>
    <w:rsid w:val="00B95360"/>
    <w:rsid w:val="00B973D9"/>
    <w:rsid w:val="00BA2283"/>
    <w:rsid w:val="00BA732D"/>
    <w:rsid w:val="00BA7588"/>
    <w:rsid w:val="00BB05B7"/>
    <w:rsid w:val="00BB1F93"/>
    <w:rsid w:val="00BB44EE"/>
    <w:rsid w:val="00BB5834"/>
    <w:rsid w:val="00BC1C24"/>
    <w:rsid w:val="00BC3C5F"/>
    <w:rsid w:val="00BD1EBD"/>
    <w:rsid w:val="00BD2367"/>
    <w:rsid w:val="00BD6DCD"/>
    <w:rsid w:val="00BE1898"/>
    <w:rsid w:val="00BE6AFC"/>
    <w:rsid w:val="00BE6B62"/>
    <w:rsid w:val="00BE7956"/>
    <w:rsid w:val="00BF4BD2"/>
    <w:rsid w:val="00C022A5"/>
    <w:rsid w:val="00C07957"/>
    <w:rsid w:val="00C12852"/>
    <w:rsid w:val="00C12BD5"/>
    <w:rsid w:val="00C17D36"/>
    <w:rsid w:val="00C2567C"/>
    <w:rsid w:val="00C25B44"/>
    <w:rsid w:val="00C3347A"/>
    <w:rsid w:val="00C33B9C"/>
    <w:rsid w:val="00C34BCB"/>
    <w:rsid w:val="00C34ED0"/>
    <w:rsid w:val="00C40044"/>
    <w:rsid w:val="00C504D2"/>
    <w:rsid w:val="00C50C36"/>
    <w:rsid w:val="00C51D7E"/>
    <w:rsid w:val="00C65C9A"/>
    <w:rsid w:val="00C67206"/>
    <w:rsid w:val="00C748E3"/>
    <w:rsid w:val="00C75838"/>
    <w:rsid w:val="00C77163"/>
    <w:rsid w:val="00C823EC"/>
    <w:rsid w:val="00CA7302"/>
    <w:rsid w:val="00CB0E10"/>
    <w:rsid w:val="00CB35FC"/>
    <w:rsid w:val="00CB4772"/>
    <w:rsid w:val="00CC2D6E"/>
    <w:rsid w:val="00CC4A0B"/>
    <w:rsid w:val="00CC6074"/>
    <w:rsid w:val="00CC7D99"/>
    <w:rsid w:val="00CD05BC"/>
    <w:rsid w:val="00CD25F5"/>
    <w:rsid w:val="00CD3746"/>
    <w:rsid w:val="00CD4428"/>
    <w:rsid w:val="00CD4C27"/>
    <w:rsid w:val="00CD5F01"/>
    <w:rsid w:val="00CD66A3"/>
    <w:rsid w:val="00CE0B47"/>
    <w:rsid w:val="00CE6EFD"/>
    <w:rsid w:val="00CE7AF9"/>
    <w:rsid w:val="00CF4117"/>
    <w:rsid w:val="00CF64E7"/>
    <w:rsid w:val="00D01077"/>
    <w:rsid w:val="00D026A2"/>
    <w:rsid w:val="00D03122"/>
    <w:rsid w:val="00D03296"/>
    <w:rsid w:val="00D034FC"/>
    <w:rsid w:val="00D04D4A"/>
    <w:rsid w:val="00D057AB"/>
    <w:rsid w:val="00D10CFB"/>
    <w:rsid w:val="00D11B47"/>
    <w:rsid w:val="00D15E8F"/>
    <w:rsid w:val="00D201E5"/>
    <w:rsid w:val="00D2191D"/>
    <w:rsid w:val="00D24CBA"/>
    <w:rsid w:val="00D30EBA"/>
    <w:rsid w:val="00D344A0"/>
    <w:rsid w:val="00D3692A"/>
    <w:rsid w:val="00D37DEE"/>
    <w:rsid w:val="00D4017F"/>
    <w:rsid w:val="00D4032D"/>
    <w:rsid w:val="00D40F19"/>
    <w:rsid w:val="00D42149"/>
    <w:rsid w:val="00D4225D"/>
    <w:rsid w:val="00D428E1"/>
    <w:rsid w:val="00D45309"/>
    <w:rsid w:val="00D45DB3"/>
    <w:rsid w:val="00D474F9"/>
    <w:rsid w:val="00D52F58"/>
    <w:rsid w:val="00D60771"/>
    <w:rsid w:val="00D60B45"/>
    <w:rsid w:val="00D710F7"/>
    <w:rsid w:val="00D71224"/>
    <w:rsid w:val="00D719CB"/>
    <w:rsid w:val="00D7284D"/>
    <w:rsid w:val="00D761BF"/>
    <w:rsid w:val="00D859FC"/>
    <w:rsid w:val="00D909EA"/>
    <w:rsid w:val="00D94992"/>
    <w:rsid w:val="00D95395"/>
    <w:rsid w:val="00DA05D1"/>
    <w:rsid w:val="00DA494A"/>
    <w:rsid w:val="00DA4AB2"/>
    <w:rsid w:val="00DA58AC"/>
    <w:rsid w:val="00DB28A0"/>
    <w:rsid w:val="00DC2B70"/>
    <w:rsid w:val="00DD1531"/>
    <w:rsid w:val="00DD48F1"/>
    <w:rsid w:val="00DD790D"/>
    <w:rsid w:val="00DE3AAC"/>
    <w:rsid w:val="00DE4E39"/>
    <w:rsid w:val="00DE706F"/>
    <w:rsid w:val="00DF1B79"/>
    <w:rsid w:val="00E0414E"/>
    <w:rsid w:val="00E10D8C"/>
    <w:rsid w:val="00E12DD2"/>
    <w:rsid w:val="00E264E2"/>
    <w:rsid w:val="00E32657"/>
    <w:rsid w:val="00E54158"/>
    <w:rsid w:val="00E56F01"/>
    <w:rsid w:val="00E575EB"/>
    <w:rsid w:val="00E57F0E"/>
    <w:rsid w:val="00E676F2"/>
    <w:rsid w:val="00E70DBB"/>
    <w:rsid w:val="00E71CDC"/>
    <w:rsid w:val="00E72FC6"/>
    <w:rsid w:val="00E75A73"/>
    <w:rsid w:val="00E84334"/>
    <w:rsid w:val="00E938B3"/>
    <w:rsid w:val="00E9431A"/>
    <w:rsid w:val="00E96066"/>
    <w:rsid w:val="00EA2F20"/>
    <w:rsid w:val="00EA4CEF"/>
    <w:rsid w:val="00EA5F6F"/>
    <w:rsid w:val="00EA6247"/>
    <w:rsid w:val="00EB23FD"/>
    <w:rsid w:val="00EB2AA0"/>
    <w:rsid w:val="00EB527C"/>
    <w:rsid w:val="00EC405F"/>
    <w:rsid w:val="00EC4C3D"/>
    <w:rsid w:val="00EC4E5E"/>
    <w:rsid w:val="00ED1558"/>
    <w:rsid w:val="00ED28F5"/>
    <w:rsid w:val="00EE275D"/>
    <w:rsid w:val="00EE4B17"/>
    <w:rsid w:val="00EF08FE"/>
    <w:rsid w:val="00EF0D9A"/>
    <w:rsid w:val="00EF4469"/>
    <w:rsid w:val="00F023CA"/>
    <w:rsid w:val="00F0427B"/>
    <w:rsid w:val="00F070E3"/>
    <w:rsid w:val="00F11680"/>
    <w:rsid w:val="00F240E8"/>
    <w:rsid w:val="00F25062"/>
    <w:rsid w:val="00F44713"/>
    <w:rsid w:val="00F47C9C"/>
    <w:rsid w:val="00F54D5C"/>
    <w:rsid w:val="00F56149"/>
    <w:rsid w:val="00F60CF1"/>
    <w:rsid w:val="00F61E35"/>
    <w:rsid w:val="00F642A2"/>
    <w:rsid w:val="00F667D0"/>
    <w:rsid w:val="00F726C8"/>
    <w:rsid w:val="00F736E8"/>
    <w:rsid w:val="00F76B49"/>
    <w:rsid w:val="00F80E56"/>
    <w:rsid w:val="00F8143F"/>
    <w:rsid w:val="00F84116"/>
    <w:rsid w:val="00F85AC8"/>
    <w:rsid w:val="00F8697C"/>
    <w:rsid w:val="00F87360"/>
    <w:rsid w:val="00F91E34"/>
    <w:rsid w:val="00F978C0"/>
    <w:rsid w:val="00FA3AB9"/>
    <w:rsid w:val="00FA40E8"/>
    <w:rsid w:val="00FA5EFA"/>
    <w:rsid w:val="00FA76CD"/>
    <w:rsid w:val="00FB794A"/>
    <w:rsid w:val="00FC15F8"/>
    <w:rsid w:val="00FC19E6"/>
    <w:rsid w:val="00FC2D9E"/>
    <w:rsid w:val="00FE5859"/>
    <w:rsid w:val="00FF7C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6BCE1"/>
  <w15:chartTrackingRefBased/>
  <w15:docId w15:val="{2AA9D3CA-C905-4B89-A185-0AAB60D9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61DB"/>
    <w:pPr>
      <w:spacing w:after="200" w:line="276" w:lineRule="auto"/>
    </w:pPr>
    <w:rPr>
      <w:rFonts w:ascii="Calibri" w:hAnsi="Calibri"/>
      <w:sz w:val="22"/>
      <w:szCs w:val="22"/>
    </w:rPr>
  </w:style>
  <w:style w:type="paragraph" w:styleId="Heading2">
    <w:name w:val="heading 2"/>
    <w:basedOn w:val="Normal"/>
    <w:link w:val="Heading2Char"/>
    <w:uiPriority w:val="9"/>
    <w:qFormat/>
    <w:rsid w:val="00B81189"/>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4079D7"/>
  </w:style>
  <w:style w:type="character" w:styleId="Hyperlink">
    <w:name w:val="Hyperlink"/>
    <w:rsid w:val="001F0B44"/>
    <w:rPr>
      <w:color w:val="0563C1"/>
      <w:u w:val="single"/>
    </w:rPr>
  </w:style>
  <w:style w:type="character" w:customStyle="1" w:styleId="Heading2Char">
    <w:name w:val="Heading 2 Char"/>
    <w:basedOn w:val="DefaultParagraphFont"/>
    <w:link w:val="Heading2"/>
    <w:uiPriority w:val="9"/>
    <w:rsid w:val="00B81189"/>
    <w:rPr>
      <w:b/>
      <w:bCs/>
      <w:sz w:val="36"/>
      <w:szCs w:val="36"/>
    </w:rPr>
  </w:style>
  <w:style w:type="paragraph" w:styleId="BalloonText">
    <w:name w:val="Balloon Text"/>
    <w:basedOn w:val="Normal"/>
    <w:link w:val="BalloonTextChar"/>
    <w:rsid w:val="003C6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C631D"/>
    <w:rPr>
      <w:rFonts w:ascii="Segoe UI" w:hAnsi="Segoe UI" w:cs="Segoe UI"/>
      <w:sz w:val="18"/>
      <w:szCs w:val="18"/>
    </w:rPr>
  </w:style>
  <w:style w:type="character" w:styleId="CommentReference">
    <w:name w:val="annotation reference"/>
    <w:basedOn w:val="DefaultParagraphFont"/>
    <w:rsid w:val="00A6692B"/>
    <w:rPr>
      <w:sz w:val="16"/>
      <w:szCs w:val="16"/>
    </w:rPr>
  </w:style>
  <w:style w:type="paragraph" w:styleId="CommentText">
    <w:name w:val="annotation text"/>
    <w:basedOn w:val="Normal"/>
    <w:link w:val="CommentTextChar"/>
    <w:rsid w:val="00A6692B"/>
    <w:pPr>
      <w:spacing w:line="240" w:lineRule="auto"/>
    </w:pPr>
    <w:rPr>
      <w:sz w:val="20"/>
      <w:szCs w:val="20"/>
    </w:rPr>
  </w:style>
  <w:style w:type="character" w:customStyle="1" w:styleId="CommentTextChar">
    <w:name w:val="Comment Text Char"/>
    <w:basedOn w:val="DefaultParagraphFont"/>
    <w:link w:val="CommentText"/>
    <w:rsid w:val="00A6692B"/>
    <w:rPr>
      <w:rFonts w:ascii="Calibri" w:hAnsi="Calibri"/>
    </w:rPr>
  </w:style>
  <w:style w:type="paragraph" w:styleId="CommentSubject">
    <w:name w:val="annotation subject"/>
    <w:basedOn w:val="CommentText"/>
    <w:next w:val="CommentText"/>
    <w:link w:val="CommentSubjectChar"/>
    <w:rsid w:val="00A6692B"/>
    <w:rPr>
      <w:b/>
      <w:bCs/>
    </w:rPr>
  </w:style>
  <w:style w:type="character" w:customStyle="1" w:styleId="CommentSubjectChar">
    <w:name w:val="Comment Subject Char"/>
    <w:basedOn w:val="CommentTextChar"/>
    <w:link w:val="CommentSubject"/>
    <w:rsid w:val="00A6692B"/>
    <w:rPr>
      <w:rFonts w:ascii="Calibri" w:hAnsi="Calibri"/>
      <w:b/>
      <w:bCs/>
    </w:rPr>
  </w:style>
  <w:style w:type="paragraph" w:styleId="ListParagraph">
    <w:name w:val="List Paragraph"/>
    <w:basedOn w:val="Normal"/>
    <w:uiPriority w:val="34"/>
    <w:qFormat/>
    <w:rsid w:val="003F085B"/>
    <w:pPr>
      <w:ind w:left="720"/>
      <w:contextualSpacing/>
    </w:pPr>
  </w:style>
  <w:style w:type="table" w:styleId="TableGrid">
    <w:name w:val="Table Grid"/>
    <w:basedOn w:val="TableNormal"/>
    <w:rsid w:val="00CE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pon2">
    <w:name w:val="cupon2"/>
    <w:basedOn w:val="DefaultParagraphFont"/>
    <w:rsid w:val="00BA2283"/>
  </w:style>
  <w:style w:type="paragraph" w:styleId="Revision">
    <w:name w:val="Revision"/>
    <w:hidden/>
    <w:uiPriority w:val="99"/>
    <w:semiHidden/>
    <w:rsid w:val="0007508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34331">
      <w:bodyDiv w:val="1"/>
      <w:marLeft w:val="0"/>
      <w:marRight w:val="0"/>
      <w:marTop w:val="0"/>
      <w:marBottom w:val="0"/>
      <w:divBdr>
        <w:top w:val="none" w:sz="0" w:space="0" w:color="auto"/>
        <w:left w:val="none" w:sz="0" w:space="0" w:color="auto"/>
        <w:bottom w:val="none" w:sz="0" w:space="0" w:color="auto"/>
        <w:right w:val="none" w:sz="0" w:space="0" w:color="auto"/>
      </w:divBdr>
    </w:div>
    <w:div w:id="557666964">
      <w:bodyDiv w:val="1"/>
      <w:marLeft w:val="0"/>
      <w:marRight w:val="0"/>
      <w:marTop w:val="0"/>
      <w:marBottom w:val="0"/>
      <w:divBdr>
        <w:top w:val="none" w:sz="0" w:space="0" w:color="auto"/>
        <w:left w:val="none" w:sz="0" w:space="0" w:color="auto"/>
        <w:bottom w:val="none" w:sz="0" w:space="0" w:color="auto"/>
        <w:right w:val="none" w:sz="0" w:space="0" w:color="auto"/>
      </w:divBdr>
    </w:div>
    <w:div w:id="561911645">
      <w:bodyDiv w:val="1"/>
      <w:marLeft w:val="0"/>
      <w:marRight w:val="0"/>
      <w:marTop w:val="0"/>
      <w:marBottom w:val="0"/>
      <w:divBdr>
        <w:top w:val="none" w:sz="0" w:space="0" w:color="auto"/>
        <w:left w:val="none" w:sz="0" w:space="0" w:color="auto"/>
        <w:bottom w:val="none" w:sz="0" w:space="0" w:color="auto"/>
        <w:right w:val="none" w:sz="0" w:space="0" w:color="auto"/>
      </w:divBdr>
    </w:div>
    <w:div w:id="692003268">
      <w:bodyDiv w:val="1"/>
      <w:marLeft w:val="0"/>
      <w:marRight w:val="0"/>
      <w:marTop w:val="0"/>
      <w:marBottom w:val="0"/>
      <w:divBdr>
        <w:top w:val="none" w:sz="0" w:space="0" w:color="auto"/>
        <w:left w:val="none" w:sz="0" w:space="0" w:color="auto"/>
        <w:bottom w:val="none" w:sz="0" w:space="0" w:color="auto"/>
        <w:right w:val="none" w:sz="0" w:space="0" w:color="auto"/>
      </w:divBdr>
    </w:div>
    <w:div w:id="705981461">
      <w:bodyDiv w:val="1"/>
      <w:marLeft w:val="0"/>
      <w:marRight w:val="0"/>
      <w:marTop w:val="0"/>
      <w:marBottom w:val="0"/>
      <w:divBdr>
        <w:top w:val="none" w:sz="0" w:space="0" w:color="auto"/>
        <w:left w:val="none" w:sz="0" w:space="0" w:color="auto"/>
        <w:bottom w:val="none" w:sz="0" w:space="0" w:color="auto"/>
        <w:right w:val="none" w:sz="0" w:space="0" w:color="auto"/>
      </w:divBdr>
    </w:div>
    <w:div w:id="867763909">
      <w:bodyDiv w:val="1"/>
      <w:marLeft w:val="0"/>
      <w:marRight w:val="0"/>
      <w:marTop w:val="0"/>
      <w:marBottom w:val="0"/>
      <w:divBdr>
        <w:top w:val="none" w:sz="0" w:space="0" w:color="auto"/>
        <w:left w:val="none" w:sz="0" w:space="0" w:color="auto"/>
        <w:bottom w:val="none" w:sz="0" w:space="0" w:color="auto"/>
        <w:right w:val="none" w:sz="0" w:space="0" w:color="auto"/>
      </w:divBdr>
    </w:div>
    <w:div w:id="959998782">
      <w:bodyDiv w:val="1"/>
      <w:marLeft w:val="0"/>
      <w:marRight w:val="0"/>
      <w:marTop w:val="0"/>
      <w:marBottom w:val="0"/>
      <w:divBdr>
        <w:top w:val="none" w:sz="0" w:space="0" w:color="auto"/>
        <w:left w:val="none" w:sz="0" w:space="0" w:color="auto"/>
        <w:bottom w:val="none" w:sz="0" w:space="0" w:color="auto"/>
        <w:right w:val="none" w:sz="0" w:space="0" w:color="auto"/>
      </w:divBdr>
    </w:div>
    <w:div w:id="1581057909">
      <w:bodyDiv w:val="1"/>
      <w:marLeft w:val="0"/>
      <w:marRight w:val="0"/>
      <w:marTop w:val="0"/>
      <w:marBottom w:val="0"/>
      <w:divBdr>
        <w:top w:val="none" w:sz="0" w:space="0" w:color="auto"/>
        <w:left w:val="none" w:sz="0" w:space="0" w:color="auto"/>
        <w:bottom w:val="none" w:sz="0" w:space="0" w:color="auto"/>
        <w:right w:val="none" w:sz="0" w:space="0" w:color="auto"/>
      </w:divBdr>
    </w:div>
    <w:div w:id="1602224647">
      <w:bodyDiv w:val="1"/>
      <w:marLeft w:val="0"/>
      <w:marRight w:val="0"/>
      <w:marTop w:val="0"/>
      <w:marBottom w:val="0"/>
      <w:divBdr>
        <w:top w:val="none" w:sz="0" w:space="0" w:color="auto"/>
        <w:left w:val="none" w:sz="0" w:space="0" w:color="auto"/>
        <w:bottom w:val="none" w:sz="0" w:space="0" w:color="auto"/>
        <w:right w:val="none" w:sz="0" w:space="0" w:color="auto"/>
      </w:divBdr>
    </w:div>
    <w:div w:id="1676035908">
      <w:bodyDiv w:val="1"/>
      <w:marLeft w:val="0"/>
      <w:marRight w:val="0"/>
      <w:marTop w:val="0"/>
      <w:marBottom w:val="0"/>
      <w:divBdr>
        <w:top w:val="none" w:sz="0" w:space="0" w:color="auto"/>
        <w:left w:val="none" w:sz="0" w:space="0" w:color="auto"/>
        <w:bottom w:val="none" w:sz="0" w:space="0" w:color="auto"/>
        <w:right w:val="none" w:sz="0" w:space="0" w:color="auto"/>
      </w:divBdr>
    </w:div>
    <w:div w:id="1787852678">
      <w:bodyDiv w:val="1"/>
      <w:marLeft w:val="0"/>
      <w:marRight w:val="0"/>
      <w:marTop w:val="0"/>
      <w:marBottom w:val="0"/>
      <w:divBdr>
        <w:top w:val="none" w:sz="0" w:space="0" w:color="auto"/>
        <w:left w:val="none" w:sz="0" w:space="0" w:color="auto"/>
        <w:bottom w:val="none" w:sz="0" w:space="0" w:color="auto"/>
        <w:right w:val="none" w:sz="0" w:space="0" w:color="auto"/>
      </w:divBdr>
    </w:div>
    <w:div w:id="1985960555">
      <w:bodyDiv w:val="1"/>
      <w:marLeft w:val="0"/>
      <w:marRight w:val="0"/>
      <w:marTop w:val="0"/>
      <w:marBottom w:val="0"/>
      <w:divBdr>
        <w:top w:val="none" w:sz="0" w:space="0" w:color="auto"/>
        <w:left w:val="none" w:sz="0" w:space="0" w:color="auto"/>
        <w:bottom w:val="none" w:sz="0" w:space="0" w:color="auto"/>
        <w:right w:val="none" w:sz="0" w:space="0" w:color="auto"/>
      </w:divBdr>
    </w:div>
    <w:div w:id="20852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4D8F-0AA9-9C43-8CE9-141E6D09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28318</Words>
  <Characters>161413</Characters>
  <Application>Microsoft Office Word</Application>
  <DocSecurity>0</DocSecurity>
  <Lines>1345</Lines>
  <Paragraphs>378</Paragraphs>
  <ScaleCrop>false</ScaleCrop>
  <HeadingPairs>
    <vt:vector size="2" baseType="variant">
      <vt:variant>
        <vt:lpstr>Título</vt:lpstr>
      </vt:variant>
      <vt:variant>
        <vt:i4>1</vt:i4>
      </vt:variant>
    </vt:vector>
  </HeadingPairs>
  <TitlesOfParts>
    <vt:vector size="1" baseType="lpstr">
      <vt:lpstr>Population pharmacokinetic and target attainment of fosfomycin in non-critically ill patients with bacteremic urinary infection caused by multidrug-resistant Escherichia coli</vt:lpstr>
    </vt:vector>
  </TitlesOfParts>
  <Company>sas</Company>
  <LinksUpToDate>false</LinksUpToDate>
  <CharactersWithSpaces>189353</CharactersWithSpaces>
  <SharedDoc>false</SharedDoc>
  <HLinks>
    <vt:vector size="6" baseType="variant">
      <vt:variant>
        <vt:i4>4194376</vt:i4>
      </vt:variant>
      <vt:variant>
        <vt:i4>0</vt:i4>
      </vt:variant>
      <vt:variant>
        <vt:i4>0</vt:i4>
      </vt:variant>
      <vt:variant>
        <vt:i4>5</vt:i4>
      </vt:variant>
      <vt:variant>
        <vt:lpwstr>http://dx.doi.org/10.1093/cid/ciq257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pharmacokinetic and target attainment of fosfomycin in non-critically ill patients with bacteremic urinary infection caused by multidrug-resistant Escherichia coli</dc:title>
  <dc:subject/>
  <dc:creator>MERINOVICENTE67D</dc:creator>
  <cp:keywords/>
  <dc:description/>
  <cp:lastModifiedBy>Hope, William</cp:lastModifiedBy>
  <cp:revision>2</cp:revision>
  <cp:lastPrinted>2017-10-25T09:59:00Z</cp:lastPrinted>
  <dcterms:created xsi:type="dcterms:W3CDTF">2018-05-04T13:58:00Z</dcterms:created>
  <dcterms:modified xsi:type="dcterms:W3CDTF">2018-05-04T13:58:00Z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8e6a9abf-ae86-3fc8-8406-ee3f17322e32</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http://www.zotero.org/styles/clinical-microbiology-and-infection</vt:lpwstr>
  </property>
  <property fmtid="{D5CDD505-2E9C-101B-9397-08002B2CF9AE}" pid="13" name="Mendeley Recent Style Name 4_1">
    <vt:lpwstr>Clinical Microbiology and Infection</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http://www.zotero.org/styles/journal-of-antimicrobial-chemotherapy</vt:lpwstr>
  </property>
  <property fmtid="{D5CDD505-2E9C-101B-9397-08002B2CF9AE}" pid="19" name="Mendeley Recent Style Name 7_1">
    <vt:lpwstr>Journal of Antimicrobial Chemotherapy</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http://www.zotero.org/styles/vancouver-superscript</vt:lpwstr>
  </property>
  <property fmtid="{D5CDD505-2E9C-101B-9397-08002B2CF9AE}" pid="23" name="Mendeley Recent Style Name 9_1">
    <vt:lpwstr>Vancouver (superscript)</vt:lpwstr>
  </property>
  <property fmtid="{D5CDD505-2E9C-101B-9397-08002B2CF9AE}" pid="24" name="Mendeley Citation Style_1">
    <vt:lpwstr>http://www.zotero.org/styles/clinical-microbiology-and-infection</vt:lpwstr>
  </property>
</Properties>
</file>