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C830E" w14:textId="4B5222F6" w:rsidR="006F4F94" w:rsidRPr="009D590F" w:rsidRDefault="00620022" w:rsidP="006F4F94">
      <w:pPr>
        <w:jc w:val="center"/>
        <w:outlineLvl w:val="0"/>
        <w:rPr>
          <w:rFonts w:ascii="Times New Roman" w:hAnsi="Times New Roman"/>
          <w:b/>
        </w:rPr>
      </w:pPr>
      <w:r>
        <w:rPr>
          <w:rFonts w:ascii="Times New Roman" w:hAnsi="Times New Roman"/>
          <w:b/>
        </w:rPr>
        <w:t xml:space="preserve">The Marble Hall of </w:t>
      </w:r>
      <w:proofErr w:type="spellStart"/>
      <w:r>
        <w:rPr>
          <w:rFonts w:ascii="Times New Roman" w:hAnsi="Times New Roman"/>
          <w:b/>
        </w:rPr>
        <w:t>Furius</w:t>
      </w:r>
      <w:proofErr w:type="spellEnd"/>
      <w:r>
        <w:rPr>
          <w:rFonts w:ascii="Times New Roman" w:hAnsi="Times New Roman"/>
          <w:b/>
        </w:rPr>
        <w:t xml:space="preserve"> </w:t>
      </w:r>
      <w:proofErr w:type="spellStart"/>
      <w:r>
        <w:rPr>
          <w:rFonts w:ascii="Times New Roman" w:hAnsi="Times New Roman"/>
          <w:b/>
        </w:rPr>
        <w:t>Aptus</w:t>
      </w:r>
      <w:proofErr w:type="spellEnd"/>
      <w:r>
        <w:rPr>
          <w:rFonts w:ascii="Times New Roman" w:hAnsi="Times New Roman"/>
          <w:b/>
        </w:rPr>
        <w:t xml:space="preserve">: </w:t>
      </w:r>
      <w:r w:rsidR="000E2DC1">
        <w:rPr>
          <w:rFonts w:ascii="Times New Roman" w:hAnsi="Times New Roman"/>
          <w:b/>
        </w:rPr>
        <w:t>Phrygian Marble</w:t>
      </w:r>
      <w:r>
        <w:rPr>
          <w:rFonts w:ascii="Times New Roman" w:hAnsi="Times New Roman"/>
          <w:b/>
        </w:rPr>
        <w:t xml:space="preserve"> in Rome and Ephesus</w:t>
      </w:r>
    </w:p>
    <w:p w14:paraId="412083E6" w14:textId="77777777" w:rsidR="00210B9D" w:rsidRPr="009D590F" w:rsidRDefault="00210B9D" w:rsidP="006F4F94">
      <w:pPr>
        <w:jc w:val="center"/>
        <w:outlineLvl w:val="0"/>
        <w:rPr>
          <w:rFonts w:ascii="Times New Roman" w:hAnsi="Times New Roman"/>
        </w:rPr>
      </w:pPr>
    </w:p>
    <w:p w14:paraId="260C7DF0" w14:textId="7B8FB982" w:rsidR="006F4F94" w:rsidRPr="009D590F" w:rsidRDefault="006F4F94" w:rsidP="006F4F94">
      <w:pPr>
        <w:jc w:val="center"/>
        <w:outlineLvl w:val="0"/>
        <w:rPr>
          <w:rFonts w:ascii="Times New Roman" w:hAnsi="Times New Roman"/>
        </w:rPr>
      </w:pPr>
      <w:r w:rsidRPr="009D590F">
        <w:rPr>
          <w:rFonts w:ascii="Times New Roman" w:hAnsi="Times New Roman"/>
        </w:rPr>
        <w:t>Alfred M. Hirt</w:t>
      </w:r>
      <w:r w:rsidR="0083656D">
        <w:rPr>
          <w:rFonts w:ascii="Times New Roman" w:hAnsi="Times New Roman"/>
        </w:rPr>
        <w:t>,</w:t>
      </w:r>
      <w:r w:rsidRPr="009D590F">
        <w:rPr>
          <w:rFonts w:ascii="Times New Roman" w:hAnsi="Times New Roman"/>
        </w:rPr>
        <w:t xml:space="preserve"> Liverpool</w:t>
      </w:r>
    </w:p>
    <w:p w14:paraId="48482F76" w14:textId="77777777" w:rsidR="006F4F94" w:rsidRPr="009D590F" w:rsidRDefault="006F4F94" w:rsidP="006F4F94">
      <w:pPr>
        <w:rPr>
          <w:rFonts w:ascii="Times New Roman" w:hAnsi="Times New Roman"/>
        </w:rPr>
      </w:pPr>
    </w:p>
    <w:p w14:paraId="1451A274" w14:textId="53FF30B5" w:rsidR="006F4F94" w:rsidRPr="009D590F" w:rsidRDefault="008269E3" w:rsidP="00E87A91">
      <w:pPr>
        <w:jc w:val="center"/>
        <w:rPr>
          <w:rFonts w:ascii="Times New Roman" w:hAnsi="Times New Roman"/>
          <w:b/>
          <w:lang w:val="de-CH"/>
        </w:rPr>
      </w:pPr>
      <w:r w:rsidRPr="009D590F">
        <w:rPr>
          <w:rFonts w:ascii="Times New Roman" w:hAnsi="Times New Roman"/>
          <w:b/>
          <w:lang w:val="de-CH"/>
        </w:rPr>
        <w:t>i</w:t>
      </w:r>
      <w:r w:rsidR="006F4F94" w:rsidRPr="009D590F">
        <w:rPr>
          <w:rFonts w:ascii="Times New Roman" w:hAnsi="Times New Roman"/>
          <w:b/>
          <w:lang w:val="de-CH"/>
        </w:rPr>
        <w:t xml:space="preserve">. </w:t>
      </w:r>
      <w:r w:rsidR="006F4F94" w:rsidRPr="009D590F">
        <w:rPr>
          <w:rFonts w:ascii="Times New Roman" w:hAnsi="Times New Roman"/>
          <w:b/>
        </w:rPr>
        <w:t>Introduction</w:t>
      </w:r>
    </w:p>
    <w:p w14:paraId="1AD1F4CA" w14:textId="77777777" w:rsidR="006F4F94" w:rsidRPr="009D590F" w:rsidRDefault="006F4F94" w:rsidP="006F4F94">
      <w:pPr>
        <w:rPr>
          <w:rFonts w:ascii="Times New Roman" w:hAnsi="Times New Roman"/>
          <w:b/>
          <w:lang w:val="de-CH"/>
        </w:rPr>
      </w:pPr>
    </w:p>
    <w:p w14:paraId="17A146F1" w14:textId="2F2DB6E5" w:rsidR="00E87A91" w:rsidRPr="009D590F" w:rsidRDefault="00B750DE" w:rsidP="00D45F28">
      <w:pPr>
        <w:tabs>
          <w:tab w:val="left" w:pos="567"/>
        </w:tabs>
        <w:jc w:val="both"/>
        <w:rPr>
          <w:rFonts w:ascii="Times New Roman" w:hAnsi="Times New Roman"/>
        </w:rPr>
      </w:pPr>
      <w:r w:rsidRPr="009D590F">
        <w:rPr>
          <w:rFonts w:ascii="Times New Roman" w:hAnsi="Times New Roman"/>
        </w:rPr>
        <w:t xml:space="preserve">In </w:t>
      </w:r>
      <w:r w:rsidR="00FF1139">
        <w:rPr>
          <w:rFonts w:ascii="Times New Roman" w:hAnsi="Times New Roman"/>
        </w:rPr>
        <w:t>recent years</w:t>
      </w:r>
      <w:r w:rsidRPr="009D590F">
        <w:rPr>
          <w:rFonts w:ascii="Times New Roman" w:hAnsi="Times New Roman"/>
        </w:rPr>
        <w:t xml:space="preserve"> </w:t>
      </w:r>
      <w:r w:rsidR="006F4F94" w:rsidRPr="009D590F">
        <w:rPr>
          <w:rFonts w:ascii="Times New Roman" w:hAnsi="Times New Roman"/>
        </w:rPr>
        <w:t>scientific analysis has led to a better understanding of the distributio</w:t>
      </w:r>
      <w:r w:rsidR="004B51BB" w:rsidRPr="009D590F">
        <w:rPr>
          <w:rFonts w:ascii="Times New Roman" w:hAnsi="Times New Roman"/>
        </w:rPr>
        <w:t>n of white and coloured marbles;</w:t>
      </w:r>
      <w:r w:rsidR="006F4F94" w:rsidRPr="009D590F">
        <w:rPr>
          <w:rFonts w:ascii="Times New Roman" w:hAnsi="Times New Roman"/>
        </w:rPr>
        <w:t xml:space="preserve"> the circumstances by which these bulky items reach</w:t>
      </w:r>
      <w:r w:rsidR="00F44135" w:rsidRPr="009D590F">
        <w:rPr>
          <w:rFonts w:ascii="Times New Roman" w:hAnsi="Times New Roman"/>
        </w:rPr>
        <w:t>ed</w:t>
      </w:r>
      <w:r w:rsidR="006F4F94" w:rsidRPr="009D590F">
        <w:rPr>
          <w:rFonts w:ascii="Times New Roman" w:hAnsi="Times New Roman"/>
        </w:rPr>
        <w:t xml:space="preserve"> their destination and the archaeological and historical contexts of their use is </w:t>
      </w:r>
      <w:r w:rsidR="0063535B" w:rsidRPr="009D590F">
        <w:rPr>
          <w:rFonts w:ascii="Times New Roman" w:hAnsi="Times New Roman"/>
        </w:rPr>
        <w:t xml:space="preserve">still </w:t>
      </w:r>
      <w:proofErr w:type="spellStart"/>
      <w:r w:rsidR="0063535B" w:rsidRPr="009D590F">
        <w:rPr>
          <w:rFonts w:ascii="Times New Roman" w:hAnsi="Times New Roman"/>
        </w:rPr>
        <w:t>poorl</w:t>
      </w:r>
      <w:proofErr w:type="spellEnd"/>
      <w:r w:rsidR="00AB53C0" w:rsidRPr="009D590F">
        <w:rPr>
          <w:rFonts w:ascii="Times New Roman" w:hAnsi="Times New Roman"/>
          <w:lang w:val="de-CH"/>
        </w:rPr>
        <w:t>y</w:t>
      </w:r>
      <w:r w:rsidR="006F4F94" w:rsidRPr="009D590F">
        <w:rPr>
          <w:rFonts w:ascii="Times New Roman" w:hAnsi="Times New Roman"/>
        </w:rPr>
        <w:t xml:space="preserve"> understood. Ben Russell </w:t>
      </w:r>
      <w:r w:rsidR="000F71AF">
        <w:rPr>
          <w:rFonts w:ascii="Times New Roman" w:hAnsi="Times New Roman"/>
        </w:rPr>
        <w:t xml:space="preserve">has </w:t>
      </w:r>
      <w:r w:rsidR="006F4F94" w:rsidRPr="009D590F">
        <w:rPr>
          <w:rFonts w:ascii="Times New Roman" w:hAnsi="Times New Roman"/>
        </w:rPr>
        <w:t xml:space="preserve">offered a convincing model </w:t>
      </w:r>
      <w:r w:rsidR="00FF1139">
        <w:rPr>
          <w:rFonts w:ascii="Times New Roman" w:hAnsi="Times New Roman"/>
        </w:rPr>
        <w:t>which explains</w:t>
      </w:r>
      <w:r w:rsidR="006F4F94" w:rsidRPr="009D590F">
        <w:rPr>
          <w:rFonts w:ascii="Times New Roman" w:hAnsi="Times New Roman"/>
        </w:rPr>
        <w:t xml:space="preserve"> the distribution patterns of </w:t>
      </w:r>
      <w:r w:rsidR="00FF1139">
        <w:rPr>
          <w:rFonts w:ascii="Times New Roman" w:hAnsi="Times New Roman"/>
        </w:rPr>
        <w:t>stone</w:t>
      </w:r>
      <w:r w:rsidR="006F4F94" w:rsidRPr="009D590F">
        <w:rPr>
          <w:rFonts w:ascii="Times New Roman" w:hAnsi="Times New Roman"/>
        </w:rPr>
        <w:t xml:space="preserve"> observed throughout the Med</w:t>
      </w:r>
      <w:r w:rsidR="002C4FF4">
        <w:rPr>
          <w:rFonts w:ascii="Times New Roman" w:hAnsi="Times New Roman"/>
        </w:rPr>
        <w:t>iterranean and Temperate Europe</w:t>
      </w:r>
      <w:r w:rsidR="006F4F94" w:rsidRPr="009D590F">
        <w:rPr>
          <w:rFonts w:ascii="Times New Roman" w:hAnsi="Times New Roman"/>
        </w:rPr>
        <w:t xml:space="preserve"> </w:t>
      </w:r>
      <w:r w:rsidR="002C4FF4">
        <w:rPr>
          <w:rFonts w:ascii="Times New Roman" w:hAnsi="Times New Roman"/>
        </w:rPr>
        <w:t xml:space="preserve">as </w:t>
      </w:r>
      <w:r w:rsidR="00FF1139">
        <w:rPr>
          <w:rFonts w:ascii="Times New Roman" w:hAnsi="Times New Roman"/>
        </w:rPr>
        <w:t xml:space="preserve">being </w:t>
      </w:r>
      <w:r w:rsidR="002C4FF4">
        <w:rPr>
          <w:rFonts w:ascii="Times New Roman" w:hAnsi="Times New Roman"/>
        </w:rPr>
        <w:t xml:space="preserve">defined by </w:t>
      </w:r>
      <w:r w:rsidR="006F4F94" w:rsidRPr="009D590F">
        <w:rPr>
          <w:rFonts w:ascii="Times New Roman" w:hAnsi="Times New Roman"/>
        </w:rPr>
        <w:t>weight and shape.</w:t>
      </w:r>
      <w:r w:rsidR="006F4F94" w:rsidRPr="009D590F">
        <w:rPr>
          <w:rStyle w:val="FootnoteReference"/>
          <w:rFonts w:ascii="Times New Roman" w:hAnsi="Times New Roman"/>
        </w:rPr>
        <w:footnoteReference w:id="1"/>
      </w:r>
      <w:r w:rsidR="002C4FF4">
        <w:rPr>
          <w:rFonts w:ascii="Times New Roman" w:hAnsi="Times New Roman"/>
        </w:rPr>
        <w:t xml:space="preserve"> </w:t>
      </w:r>
      <w:r w:rsidR="000F71AF">
        <w:rPr>
          <w:rFonts w:ascii="Times New Roman" w:hAnsi="Times New Roman"/>
        </w:rPr>
        <w:t>The scattering</w:t>
      </w:r>
      <w:r w:rsidR="006F4F94" w:rsidRPr="009D590F">
        <w:rPr>
          <w:rFonts w:ascii="Times New Roman" w:hAnsi="Times New Roman"/>
          <w:iCs/>
        </w:rPr>
        <w:t xml:space="preserve"> of </w:t>
      </w:r>
      <w:r w:rsidR="000F71AF">
        <w:rPr>
          <w:rFonts w:ascii="Times New Roman" w:hAnsi="Times New Roman"/>
          <w:iCs/>
        </w:rPr>
        <w:t>certain polychrome marbles, however, does</w:t>
      </w:r>
      <w:r w:rsidR="006F4F94" w:rsidRPr="009D590F">
        <w:rPr>
          <w:rFonts w:ascii="Times New Roman" w:hAnsi="Times New Roman"/>
          <w:iCs/>
        </w:rPr>
        <w:t xml:space="preserve"> not fit the model of free trade shaped by transport and transhipment costs. These specific </w:t>
      </w:r>
      <w:r w:rsidR="00FF1139">
        <w:rPr>
          <w:rFonts w:ascii="Times New Roman" w:hAnsi="Times New Roman"/>
          <w:iCs/>
        </w:rPr>
        <w:t>stones</w:t>
      </w:r>
      <w:r w:rsidR="000F71AF">
        <w:rPr>
          <w:rFonts w:ascii="Times New Roman" w:hAnsi="Times New Roman"/>
          <w:iCs/>
        </w:rPr>
        <w:t xml:space="preserve"> (e.g. </w:t>
      </w:r>
      <w:proofErr w:type="spellStart"/>
      <w:r w:rsidR="000F71AF" w:rsidRPr="000F71AF">
        <w:rPr>
          <w:rFonts w:ascii="Times New Roman" w:hAnsi="Times New Roman"/>
          <w:i/>
          <w:iCs/>
        </w:rPr>
        <w:t>giallo</w:t>
      </w:r>
      <w:proofErr w:type="spellEnd"/>
      <w:r w:rsidR="000F71AF" w:rsidRPr="000F71AF">
        <w:rPr>
          <w:rFonts w:ascii="Times New Roman" w:hAnsi="Times New Roman"/>
          <w:i/>
          <w:iCs/>
        </w:rPr>
        <w:t xml:space="preserve"> antico</w:t>
      </w:r>
      <w:r w:rsidR="000F71AF">
        <w:rPr>
          <w:rFonts w:ascii="Times New Roman" w:hAnsi="Times New Roman"/>
          <w:iCs/>
        </w:rPr>
        <w:t xml:space="preserve">, </w:t>
      </w:r>
      <w:r w:rsidR="000F71AF" w:rsidRPr="000F71AF">
        <w:rPr>
          <w:rFonts w:ascii="Times New Roman" w:hAnsi="Times New Roman"/>
          <w:i/>
          <w:iCs/>
        </w:rPr>
        <w:t>pavonazzetto</w:t>
      </w:r>
      <w:r w:rsidR="000F71AF">
        <w:rPr>
          <w:rFonts w:ascii="Times New Roman" w:hAnsi="Times New Roman"/>
          <w:iCs/>
        </w:rPr>
        <w:t>, granodiorite, porphyry etc.)</w:t>
      </w:r>
      <w:r w:rsidR="006F4F94" w:rsidRPr="009D590F">
        <w:rPr>
          <w:rFonts w:ascii="Times New Roman" w:hAnsi="Times New Roman"/>
          <w:iCs/>
        </w:rPr>
        <w:t xml:space="preserve"> are </w:t>
      </w:r>
      <w:r w:rsidR="00A65B9C" w:rsidRPr="009D590F">
        <w:rPr>
          <w:rFonts w:ascii="Times New Roman" w:hAnsi="Times New Roman"/>
          <w:iCs/>
        </w:rPr>
        <w:t xml:space="preserve">thought to be </w:t>
      </w:r>
      <w:r w:rsidR="006F4F94" w:rsidRPr="009D590F">
        <w:rPr>
          <w:rFonts w:ascii="Times New Roman" w:hAnsi="Times New Roman"/>
          <w:iCs/>
        </w:rPr>
        <w:t xml:space="preserve">the monopoly of the emperor, </w:t>
      </w:r>
      <w:r w:rsidR="00AB53C0" w:rsidRPr="009D590F">
        <w:rPr>
          <w:rFonts w:ascii="Times New Roman" w:hAnsi="Times New Roman"/>
          <w:iCs/>
        </w:rPr>
        <w:t>i.e.</w:t>
      </w:r>
      <w:r w:rsidR="00A65B9C" w:rsidRPr="009D590F">
        <w:rPr>
          <w:rFonts w:ascii="Times New Roman" w:hAnsi="Times New Roman"/>
          <w:iCs/>
        </w:rPr>
        <w:t xml:space="preserve"> the</w:t>
      </w:r>
      <w:r w:rsidR="006F4F94" w:rsidRPr="009D590F">
        <w:rPr>
          <w:rFonts w:ascii="Times New Roman" w:hAnsi="Times New Roman"/>
          <w:iCs/>
        </w:rPr>
        <w:t xml:space="preserve"> respective quarries are run by imperial officials in order to feed the demand created by ever expanding imperial building projects in Rome and in important cities of the Roman Empire.</w:t>
      </w:r>
      <w:r w:rsidR="00221352" w:rsidRPr="009D590F">
        <w:rPr>
          <w:rStyle w:val="FootnoteReference"/>
          <w:rFonts w:ascii="Times New Roman" w:hAnsi="Times New Roman"/>
          <w:iCs/>
        </w:rPr>
        <w:footnoteReference w:id="2"/>
      </w:r>
      <w:r w:rsidR="006F4F94" w:rsidRPr="009D590F">
        <w:rPr>
          <w:rFonts w:ascii="Times New Roman" w:hAnsi="Times New Roman"/>
          <w:iCs/>
        </w:rPr>
        <w:t xml:space="preserve"> </w:t>
      </w:r>
      <w:r w:rsidR="00E87A91" w:rsidRPr="009D590F">
        <w:rPr>
          <w:rFonts w:ascii="Times New Roman" w:hAnsi="Times New Roman"/>
          <w:iCs/>
        </w:rPr>
        <w:t xml:space="preserve">Even so, some of these </w:t>
      </w:r>
      <w:r w:rsidR="00ED6AEC" w:rsidRPr="009D590F">
        <w:rPr>
          <w:rFonts w:ascii="Times New Roman" w:hAnsi="Times New Roman"/>
          <w:iCs/>
        </w:rPr>
        <w:t>sto</w:t>
      </w:r>
      <w:r w:rsidR="004B51BB" w:rsidRPr="009D590F">
        <w:rPr>
          <w:rFonts w:ascii="Times New Roman" w:hAnsi="Times New Roman"/>
          <w:iCs/>
        </w:rPr>
        <w:t>n</w:t>
      </w:r>
      <w:r w:rsidR="00ED6AEC" w:rsidRPr="009D590F">
        <w:rPr>
          <w:rFonts w:ascii="Times New Roman" w:hAnsi="Times New Roman"/>
          <w:iCs/>
        </w:rPr>
        <w:t>es</w:t>
      </w:r>
      <w:r w:rsidR="00E87A91" w:rsidRPr="009D590F">
        <w:rPr>
          <w:rFonts w:ascii="Times New Roman" w:hAnsi="Times New Roman"/>
          <w:iCs/>
        </w:rPr>
        <w:t xml:space="preserve"> have emerged in a private context, </w:t>
      </w:r>
      <w:r w:rsidR="004B51BB" w:rsidRPr="009D590F">
        <w:rPr>
          <w:rFonts w:ascii="Times New Roman" w:hAnsi="Times New Roman"/>
          <w:iCs/>
        </w:rPr>
        <w:t>questioning</w:t>
      </w:r>
      <w:r w:rsidR="00E87A91" w:rsidRPr="009D590F">
        <w:rPr>
          <w:rFonts w:ascii="Times New Roman" w:hAnsi="Times New Roman"/>
          <w:iCs/>
        </w:rPr>
        <w:t xml:space="preserve"> these preconceptions. </w:t>
      </w:r>
    </w:p>
    <w:p w14:paraId="558A4040" w14:textId="07CE3E05" w:rsidR="00221352" w:rsidRPr="009D590F" w:rsidRDefault="00E87A91" w:rsidP="00D45F28">
      <w:pPr>
        <w:tabs>
          <w:tab w:val="left" w:pos="567"/>
        </w:tabs>
        <w:jc w:val="both"/>
        <w:rPr>
          <w:rFonts w:ascii="Times New Roman" w:hAnsi="Times New Roman"/>
        </w:rPr>
      </w:pPr>
      <w:r w:rsidRPr="009D590F">
        <w:rPr>
          <w:rFonts w:ascii="Times New Roman" w:hAnsi="Times New Roman"/>
          <w:iCs/>
        </w:rPr>
        <w:tab/>
        <w:t>The aim of this paper is to establish more clearly what the drive for the imperial monopoly of demand on certain polychrome marbles was, how this affec</w:t>
      </w:r>
      <w:r w:rsidR="008269E3" w:rsidRPr="009D590F">
        <w:rPr>
          <w:rFonts w:ascii="Times New Roman" w:hAnsi="Times New Roman"/>
          <w:iCs/>
        </w:rPr>
        <w:t xml:space="preserve">ted the </w:t>
      </w:r>
      <w:r w:rsidR="00536731">
        <w:rPr>
          <w:rFonts w:ascii="Times New Roman" w:hAnsi="Times New Roman"/>
          <w:iCs/>
        </w:rPr>
        <w:t>organisation</w:t>
      </w:r>
      <w:r w:rsidR="008269E3" w:rsidRPr="009D590F">
        <w:rPr>
          <w:rFonts w:ascii="Times New Roman" w:hAnsi="Times New Roman"/>
          <w:iCs/>
        </w:rPr>
        <w:t xml:space="preserve"> of quarries </w:t>
      </w:r>
      <w:r w:rsidRPr="009D590F">
        <w:rPr>
          <w:rFonts w:ascii="Times New Roman" w:hAnsi="Times New Roman"/>
          <w:iCs/>
        </w:rPr>
        <w:t>under imperial control</w:t>
      </w:r>
      <w:r w:rsidR="008269E3" w:rsidRPr="009D590F">
        <w:rPr>
          <w:rFonts w:ascii="Times New Roman" w:hAnsi="Times New Roman"/>
          <w:iCs/>
        </w:rPr>
        <w:t xml:space="preserve"> </w:t>
      </w:r>
      <w:r w:rsidRPr="009D590F">
        <w:rPr>
          <w:rFonts w:ascii="Times New Roman" w:hAnsi="Times New Roman"/>
          <w:iCs/>
        </w:rPr>
        <w:t xml:space="preserve">and how the occurrence of these marbles in </w:t>
      </w:r>
      <w:r w:rsidR="00620022">
        <w:rPr>
          <w:rFonts w:ascii="Times New Roman" w:hAnsi="Times New Roman"/>
          <w:iCs/>
        </w:rPr>
        <w:t xml:space="preserve">a private context, in the House of </w:t>
      </w:r>
      <w:proofErr w:type="spellStart"/>
      <w:r w:rsidR="00620022">
        <w:rPr>
          <w:rFonts w:ascii="Times New Roman" w:hAnsi="Times New Roman"/>
          <w:iCs/>
        </w:rPr>
        <w:t>Furius</w:t>
      </w:r>
      <w:proofErr w:type="spellEnd"/>
      <w:r w:rsidR="00620022">
        <w:rPr>
          <w:rFonts w:ascii="Times New Roman" w:hAnsi="Times New Roman"/>
          <w:iCs/>
        </w:rPr>
        <w:t xml:space="preserve"> </w:t>
      </w:r>
      <w:proofErr w:type="spellStart"/>
      <w:r w:rsidR="00620022">
        <w:rPr>
          <w:rFonts w:ascii="Times New Roman" w:hAnsi="Times New Roman"/>
          <w:iCs/>
        </w:rPr>
        <w:t>Aptus</w:t>
      </w:r>
      <w:proofErr w:type="spellEnd"/>
      <w:r w:rsidR="00620022">
        <w:rPr>
          <w:rFonts w:ascii="Times New Roman" w:hAnsi="Times New Roman"/>
          <w:iCs/>
        </w:rPr>
        <w:t xml:space="preserve"> in Ephesus,</w:t>
      </w:r>
      <w:r w:rsidRPr="009D590F">
        <w:rPr>
          <w:rFonts w:ascii="Times New Roman" w:hAnsi="Times New Roman"/>
          <w:iCs/>
        </w:rPr>
        <w:t xml:space="preserve"> may reshape our understanding </w:t>
      </w:r>
      <w:r w:rsidR="001D52D7" w:rsidRPr="009D590F">
        <w:rPr>
          <w:rFonts w:ascii="Times New Roman" w:hAnsi="Times New Roman"/>
          <w:iCs/>
        </w:rPr>
        <w:t xml:space="preserve">of </w:t>
      </w:r>
      <w:r w:rsidRPr="009D590F">
        <w:rPr>
          <w:rFonts w:ascii="Times New Roman" w:hAnsi="Times New Roman"/>
          <w:iCs/>
        </w:rPr>
        <w:t xml:space="preserve">the extent of this monopoly. </w:t>
      </w:r>
    </w:p>
    <w:p w14:paraId="42C0C5E8" w14:textId="714EA954" w:rsidR="00221352" w:rsidRPr="009D590F" w:rsidRDefault="00E87A91" w:rsidP="00D45F28">
      <w:pPr>
        <w:tabs>
          <w:tab w:val="left" w:pos="567"/>
          <w:tab w:val="left" w:pos="3068"/>
        </w:tabs>
        <w:jc w:val="both"/>
        <w:rPr>
          <w:rFonts w:ascii="Times New Roman" w:hAnsi="Times New Roman"/>
        </w:rPr>
      </w:pPr>
      <w:r w:rsidRPr="009D590F">
        <w:rPr>
          <w:rFonts w:ascii="Times New Roman" w:hAnsi="Times New Roman"/>
        </w:rPr>
        <w:tab/>
      </w:r>
    </w:p>
    <w:p w14:paraId="5FD69F9E" w14:textId="12FE2BCA" w:rsidR="00E87A91" w:rsidRPr="009D590F" w:rsidRDefault="008269E3" w:rsidP="00D45F28">
      <w:pPr>
        <w:tabs>
          <w:tab w:val="left" w:pos="567"/>
        </w:tabs>
        <w:jc w:val="center"/>
        <w:rPr>
          <w:rFonts w:ascii="Times New Roman" w:hAnsi="Times New Roman"/>
          <w:b/>
        </w:rPr>
      </w:pPr>
      <w:r w:rsidRPr="009D590F">
        <w:rPr>
          <w:rFonts w:ascii="Times New Roman" w:hAnsi="Times New Roman"/>
          <w:b/>
        </w:rPr>
        <w:t>ii</w:t>
      </w:r>
      <w:r w:rsidR="00E87A91" w:rsidRPr="009D590F">
        <w:rPr>
          <w:rFonts w:ascii="Times New Roman" w:hAnsi="Times New Roman"/>
          <w:b/>
        </w:rPr>
        <w:t>. Rome</w:t>
      </w:r>
    </w:p>
    <w:p w14:paraId="47B65494" w14:textId="77777777" w:rsidR="00E87A91" w:rsidRPr="009D590F" w:rsidRDefault="00E87A91" w:rsidP="00D45F28">
      <w:pPr>
        <w:tabs>
          <w:tab w:val="left" w:pos="567"/>
        </w:tabs>
        <w:jc w:val="both"/>
        <w:rPr>
          <w:rFonts w:ascii="Times New Roman" w:hAnsi="Times New Roman"/>
        </w:rPr>
      </w:pPr>
    </w:p>
    <w:p w14:paraId="27DEADD9" w14:textId="1186FA0D" w:rsidR="00B2752A" w:rsidRPr="009D590F" w:rsidRDefault="00051214" w:rsidP="00D45F28">
      <w:pPr>
        <w:tabs>
          <w:tab w:val="left" w:pos="567"/>
        </w:tabs>
        <w:jc w:val="both"/>
        <w:rPr>
          <w:rFonts w:ascii="Times New Roman" w:hAnsi="Times New Roman"/>
        </w:rPr>
      </w:pPr>
      <w:r w:rsidRPr="009D590F">
        <w:rPr>
          <w:rFonts w:ascii="Times New Roman" w:hAnsi="Times New Roman"/>
        </w:rPr>
        <w:t>T</w:t>
      </w:r>
      <w:r w:rsidR="00E87A91" w:rsidRPr="009D590F">
        <w:rPr>
          <w:rFonts w:ascii="Times New Roman" w:hAnsi="Times New Roman"/>
        </w:rPr>
        <w:t>he emperor, as chief initiator and overseer of monumental building projects in Rome and in larger centres of the empire, dominated demand for specific polychrome marbles.</w:t>
      </w:r>
      <w:r w:rsidRPr="009D590F">
        <w:rPr>
          <w:rStyle w:val="FootnoteReference"/>
          <w:rFonts w:ascii="Times New Roman" w:hAnsi="Times New Roman"/>
        </w:rPr>
        <w:footnoteReference w:id="3"/>
      </w:r>
      <w:r w:rsidR="00E87A91" w:rsidRPr="009D590F">
        <w:rPr>
          <w:rFonts w:ascii="Times New Roman" w:hAnsi="Times New Roman"/>
        </w:rPr>
        <w:t xml:space="preserve"> </w:t>
      </w:r>
      <w:r w:rsidR="00680C5D" w:rsidRPr="009D590F">
        <w:rPr>
          <w:rFonts w:ascii="Times New Roman" w:hAnsi="Times New Roman"/>
        </w:rPr>
        <w:t>His</w:t>
      </w:r>
      <w:r w:rsidR="00E87A91" w:rsidRPr="009D590F">
        <w:rPr>
          <w:rFonts w:ascii="Times New Roman" w:hAnsi="Times New Roman"/>
        </w:rPr>
        <w:t xml:space="preserve"> desire to directly control the extraction of </w:t>
      </w:r>
      <w:r w:rsidR="00B2752A" w:rsidRPr="009D590F">
        <w:rPr>
          <w:rFonts w:ascii="Times New Roman" w:hAnsi="Times New Roman"/>
        </w:rPr>
        <w:t>these</w:t>
      </w:r>
      <w:r w:rsidR="00E87A91" w:rsidRPr="009D590F">
        <w:rPr>
          <w:rFonts w:ascii="Times New Roman" w:hAnsi="Times New Roman"/>
        </w:rPr>
        <w:t xml:space="preserve"> stone</w:t>
      </w:r>
      <w:r w:rsidR="00B2752A" w:rsidRPr="009D590F">
        <w:rPr>
          <w:rFonts w:ascii="Times New Roman" w:hAnsi="Times New Roman"/>
        </w:rPr>
        <w:t>s</w:t>
      </w:r>
      <w:r w:rsidR="00E87A91" w:rsidRPr="009D590F">
        <w:rPr>
          <w:rFonts w:ascii="Times New Roman" w:hAnsi="Times New Roman"/>
        </w:rPr>
        <w:t xml:space="preserve"> as well is reflected in the supervision of quarry operations by his imperial officials. As Russell argues, this was done to ‘prevent the exhaustion’ of these marbles by private demand so that the emperor’s demand </w:t>
      </w:r>
      <w:r w:rsidR="00FD338F">
        <w:rPr>
          <w:rFonts w:ascii="Times New Roman" w:hAnsi="Times New Roman"/>
        </w:rPr>
        <w:t>for</w:t>
      </w:r>
      <w:r w:rsidR="00E87A91" w:rsidRPr="009D590F">
        <w:rPr>
          <w:rFonts w:ascii="Times New Roman" w:hAnsi="Times New Roman"/>
        </w:rPr>
        <w:t xml:space="preserve"> polychrome marble could be satisfied.</w:t>
      </w:r>
      <w:r w:rsidR="00E87A91" w:rsidRPr="009D590F">
        <w:rPr>
          <w:rFonts w:ascii="Times New Roman" w:hAnsi="Times New Roman"/>
          <w:vertAlign w:val="superscript"/>
        </w:rPr>
        <w:footnoteReference w:id="4"/>
      </w:r>
      <w:r w:rsidR="00E87A91" w:rsidRPr="009D590F">
        <w:rPr>
          <w:rFonts w:ascii="Times New Roman" w:hAnsi="Times New Roman"/>
        </w:rPr>
        <w:t xml:space="preserve"> But the focus on a purely economic causality for the establishment of this imperial monopoly falls short </w:t>
      </w:r>
      <w:r w:rsidR="009966A6">
        <w:rPr>
          <w:rFonts w:ascii="Times New Roman" w:hAnsi="Times New Roman"/>
        </w:rPr>
        <w:t>of</w:t>
      </w:r>
      <w:r w:rsidR="00E87A91" w:rsidRPr="009D590F">
        <w:rPr>
          <w:rFonts w:ascii="Times New Roman" w:hAnsi="Times New Roman"/>
        </w:rPr>
        <w:t xml:space="preserve"> providing an answer as to why the emperor demanded specific polych</w:t>
      </w:r>
      <w:r w:rsidR="00B2752A" w:rsidRPr="009D590F">
        <w:rPr>
          <w:rFonts w:ascii="Times New Roman" w:hAnsi="Times New Roman"/>
        </w:rPr>
        <w:t>rome stones in the first place.</w:t>
      </w:r>
    </w:p>
    <w:p w14:paraId="773F2192" w14:textId="72C25286" w:rsidR="00B2752A" w:rsidRPr="009D590F" w:rsidRDefault="00B2752A" w:rsidP="00D45F28">
      <w:pPr>
        <w:tabs>
          <w:tab w:val="left" w:pos="567"/>
        </w:tabs>
        <w:jc w:val="both"/>
        <w:rPr>
          <w:rFonts w:ascii="Times New Roman" w:hAnsi="Times New Roman"/>
        </w:rPr>
      </w:pPr>
      <w:r w:rsidRPr="009D590F">
        <w:rPr>
          <w:rFonts w:ascii="Times New Roman" w:hAnsi="Times New Roman"/>
        </w:rPr>
        <w:lastRenderedPageBreak/>
        <w:tab/>
      </w:r>
      <w:r w:rsidR="00E87A91" w:rsidRPr="009D590F">
        <w:rPr>
          <w:rFonts w:ascii="Times New Roman" w:hAnsi="Times New Roman"/>
        </w:rPr>
        <w:t xml:space="preserve">In the field of marble and quarry studies this imperial monopsony or monopoly of demand has certainly been </w:t>
      </w:r>
      <w:r w:rsidR="00A8058D" w:rsidRPr="009D590F">
        <w:rPr>
          <w:rFonts w:ascii="Times New Roman" w:hAnsi="Times New Roman"/>
        </w:rPr>
        <w:t>recognised</w:t>
      </w:r>
      <w:r w:rsidR="00E87A91" w:rsidRPr="009D590F">
        <w:rPr>
          <w:rFonts w:ascii="Times New Roman" w:hAnsi="Times New Roman"/>
        </w:rPr>
        <w:t>, but not fully understood.</w:t>
      </w:r>
      <w:r w:rsidR="003F6283">
        <w:rPr>
          <w:rFonts w:ascii="Times New Roman" w:hAnsi="Times New Roman"/>
        </w:rPr>
        <w:t xml:space="preserve"> </w:t>
      </w:r>
      <w:r w:rsidR="00E14DF0">
        <w:rPr>
          <w:rFonts w:ascii="Times New Roman" w:hAnsi="Times New Roman"/>
        </w:rPr>
        <w:t xml:space="preserve">Previous </w:t>
      </w:r>
      <w:r w:rsidR="00B42284" w:rsidRPr="009D590F">
        <w:rPr>
          <w:rFonts w:ascii="Times New Roman" w:hAnsi="Times New Roman"/>
        </w:rPr>
        <w:t>observations</w:t>
      </w:r>
      <w:r w:rsidR="00E14DF0">
        <w:rPr>
          <w:rFonts w:ascii="Times New Roman" w:hAnsi="Times New Roman"/>
        </w:rPr>
        <w:t xml:space="preserve"> </w:t>
      </w:r>
      <w:r w:rsidR="00CB2FB8" w:rsidRPr="009D590F">
        <w:rPr>
          <w:rFonts w:ascii="Times New Roman" w:hAnsi="Times New Roman"/>
        </w:rPr>
        <w:t>only</w:t>
      </w:r>
      <w:r w:rsidR="00B42284" w:rsidRPr="009D590F">
        <w:rPr>
          <w:rFonts w:ascii="Times New Roman" w:hAnsi="Times New Roman"/>
        </w:rPr>
        <w:t xml:space="preserve"> </w:t>
      </w:r>
      <w:r w:rsidR="00CB2FB8" w:rsidRPr="009D590F">
        <w:rPr>
          <w:rFonts w:ascii="Times New Roman" w:hAnsi="Times New Roman"/>
        </w:rPr>
        <w:t>concern</w:t>
      </w:r>
      <w:r w:rsidR="00E14DF0">
        <w:rPr>
          <w:rFonts w:ascii="Times New Roman" w:hAnsi="Times New Roman"/>
        </w:rPr>
        <w:t>ed</w:t>
      </w:r>
      <w:r w:rsidR="00CB2FB8" w:rsidRPr="009D590F">
        <w:rPr>
          <w:rFonts w:ascii="Times New Roman" w:hAnsi="Times New Roman"/>
        </w:rPr>
        <w:t xml:space="preserve"> the symbolism and the use of these materials in the visual discourse on </w:t>
      </w:r>
      <w:r w:rsidR="00D1419C" w:rsidRPr="009D590F">
        <w:rPr>
          <w:rFonts w:ascii="Times New Roman" w:hAnsi="Times New Roman"/>
        </w:rPr>
        <w:t>Rome and its empire</w:t>
      </w:r>
      <w:r w:rsidR="00051214" w:rsidRPr="009D590F">
        <w:rPr>
          <w:rFonts w:ascii="Times New Roman" w:hAnsi="Times New Roman"/>
        </w:rPr>
        <w:t>, but to my understanding do</w:t>
      </w:r>
      <w:r w:rsidR="00CB2FB8" w:rsidRPr="009D590F">
        <w:rPr>
          <w:rFonts w:ascii="Times New Roman" w:hAnsi="Times New Roman"/>
        </w:rPr>
        <w:t xml:space="preserve"> not </w:t>
      </w:r>
      <w:r w:rsidR="00051214" w:rsidRPr="009D590F">
        <w:rPr>
          <w:rFonts w:ascii="Times New Roman" w:hAnsi="Times New Roman"/>
        </w:rPr>
        <w:t>fully</w:t>
      </w:r>
      <w:r w:rsidR="00CB2FB8" w:rsidRPr="009D590F">
        <w:rPr>
          <w:rFonts w:ascii="Times New Roman" w:hAnsi="Times New Roman"/>
        </w:rPr>
        <w:t xml:space="preserve"> identify the driving force for </w:t>
      </w:r>
      <w:r w:rsidR="00874AA3">
        <w:rPr>
          <w:rFonts w:ascii="Times New Roman" w:hAnsi="Times New Roman"/>
        </w:rPr>
        <w:t>their</w:t>
      </w:r>
      <w:r w:rsidR="00335ECA" w:rsidRPr="009D590F">
        <w:rPr>
          <w:rFonts w:ascii="Times New Roman" w:hAnsi="Times New Roman"/>
        </w:rPr>
        <w:t xml:space="preserve"> almost exclusive </w:t>
      </w:r>
      <w:r w:rsidR="00874AA3">
        <w:rPr>
          <w:rFonts w:ascii="Times New Roman" w:hAnsi="Times New Roman"/>
        </w:rPr>
        <w:t>use by</w:t>
      </w:r>
      <w:r w:rsidR="00335ECA" w:rsidRPr="009D590F">
        <w:rPr>
          <w:rFonts w:ascii="Times New Roman" w:hAnsi="Times New Roman"/>
        </w:rPr>
        <w:t xml:space="preserve"> the emperor</w:t>
      </w:r>
      <w:r w:rsidR="00CB2FB8" w:rsidRPr="009D590F">
        <w:rPr>
          <w:rFonts w:ascii="Times New Roman" w:hAnsi="Times New Roman"/>
        </w:rPr>
        <w:t xml:space="preserve">. </w:t>
      </w:r>
      <w:r w:rsidR="00335ECA" w:rsidRPr="009D590F">
        <w:rPr>
          <w:rFonts w:ascii="Times New Roman" w:hAnsi="Times New Roman"/>
        </w:rPr>
        <w:t>As shall be argued below, t</w:t>
      </w:r>
      <w:r w:rsidR="00CB2FB8" w:rsidRPr="009D590F">
        <w:rPr>
          <w:rFonts w:ascii="Times New Roman" w:hAnsi="Times New Roman"/>
        </w:rPr>
        <w:t xml:space="preserve">he impulse for the </w:t>
      </w:r>
      <w:r w:rsidR="00191994" w:rsidRPr="009D590F">
        <w:rPr>
          <w:rFonts w:ascii="Times New Roman" w:hAnsi="Times New Roman"/>
        </w:rPr>
        <w:t>monopolisation</w:t>
      </w:r>
      <w:r w:rsidR="00CB2FB8" w:rsidRPr="009D590F">
        <w:rPr>
          <w:rFonts w:ascii="Times New Roman" w:hAnsi="Times New Roman"/>
        </w:rPr>
        <w:t xml:space="preserve"> of </w:t>
      </w:r>
      <w:r w:rsidRPr="009D590F">
        <w:rPr>
          <w:rFonts w:ascii="Times New Roman" w:hAnsi="Times New Roman"/>
        </w:rPr>
        <w:t xml:space="preserve">the </w:t>
      </w:r>
      <w:r w:rsidR="00CB2FB8" w:rsidRPr="009D590F">
        <w:rPr>
          <w:rFonts w:ascii="Times New Roman" w:hAnsi="Times New Roman"/>
        </w:rPr>
        <w:t xml:space="preserve">demand for specific coloured stones by the emperor flows from the concentration of </w:t>
      </w:r>
      <w:r w:rsidR="00CB2FB8" w:rsidRPr="009D590F">
        <w:rPr>
          <w:rFonts w:ascii="Times New Roman" w:hAnsi="Times New Roman"/>
          <w:i/>
        </w:rPr>
        <w:t>imperium</w:t>
      </w:r>
      <w:r w:rsidR="00CB2FB8" w:rsidRPr="009D590F">
        <w:rPr>
          <w:rFonts w:ascii="Times New Roman" w:hAnsi="Times New Roman"/>
        </w:rPr>
        <w:t xml:space="preserve">, the magisterial power of command, in the hands of </w:t>
      </w:r>
      <w:r w:rsidR="00335ECA" w:rsidRPr="009D590F">
        <w:rPr>
          <w:rFonts w:ascii="Times New Roman" w:hAnsi="Times New Roman"/>
        </w:rPr>
        <w:t>Augustus and his successors</w:t>
      </w:r>
      <w:r w:rsidR="00805040" w:rsidRPr="009D590F">
        <w:rPr>
          <w:rFonts w:ascii="Times New Roman" w:hAnsi="Times New Roman"/>
        </w:rPr>
        <w:t>.</w:t>
      </w:r>
      <w:r w:rsidR="00805040" w:rsidRPr="009D590F">
        <w:rPr>
          <w:rStyle w:val="FootnoteReference"/>
          <w:rFonts w:ascii="Times New Roman" w:hAnsi="Times New Roman"/>
        </w:rPr>
        <w:footnoteReference w:id="5"/>
      </w:r>
    </w:p>
    <w:p w14:paraId="7BE846CB" w14:textId="77777777" w:rsidR="00B2752A" w:rsidRPr="009D590F" w:rsidRDefault="00B2752A" w:rsidP="00D45F28">
      <w:pPr>
        <w:tabs>
          <w:tab w:val="left" w:pos="284"/>
          <w:tab w:val="left" w:pos="567"/>
        </w:tabs>
        <w:jc w:val="both"/>
        <w:rPr>
          <w:rFonts w:ascii="Times New Roman" w:hAnsi="Times New Roman"/>
        </w:rPr>
      </w:pPr>
    </w:p>
    <w:p w14:paraId="56B7BB8D" w14:textId="651B19EF" w:rsidR="00AA4DBD" w:rsidRPr="009D590F" w:rsidRDefault="00AA4DBD" w:rsidP="00B2150A">
      <w:pPr>
        <w:tabs>
          <w:tab w:val="left" w:pos="284"/>
          <w:tab w:val="left" w:pos="567"/>
        </w:tabs>
        <w:jc w:val="both"/>
        <w:rPr>
          <w:rFonts w:ascii="Times New Roman" w:hAnsi="Times New Roman"/>
        </w:rPr>
      </w:pPr>
      <w:r w:rsidRPr="009D590F">
        <w:rPr>
          <w:rFonts w:ascii="Times New Roman" w:hAnsi="Times New Roman"/>
        </w:rPr>
        <w:t xml:space="preserve">In a recent contribution to an edited volume on the emperor and the city of Rome, Werner Eck reiterated the emergence of the emperor’s dominion over the public space in the city of Rome. The military expansion of Rome beyond Italy and into the Greek East throughout the first half of the second century BC fuelled competition amongst the aristocratic elite not only by providing scions of dominant families with the opportunity to celebrate their military victories with a triumphal procession and to present themselves and their families to the people of Rome. The victories over external enemies also </w:t>
      </w:r>
      <w:r w:rsidR="00051214" w:rsidRPr="009D590F">
        <w:rPr>
          <w:rFonts w:ascii="Times New Roman" w:hAnsi="Times New Roman"/>
        </w:rPr>
        <w:t>gave</w:t>
      </w:r>
      <w:r w:rsidRPr="009D590F">
        <w:rPr>
          <w:rFonts w:ascii="Times New Roman" w:hAnsi="Times New Roman"/>
        </w:rPr>
        <w:t xml:space="preserve"> these individuals the </w:t>
      </w:r>
      <w:r w:rsidR="009F6726" w:rsidRPr="009D590F">
        <w:rPr>
          <w:rFonts w:ascii="Times New Roman" w:hAnsi="Times New Roman"/>
        </w:rPr>
        <w:t>legitimisation</w:t>
      </w:r>
      <w:r w:rsidRPr="009D590F">
        <w:rPr>
          <w:rFonts w:ascii="Times New Roman" w:hAnsi="Times New Roman"/>
        </w:rPr>
        <w:t xml:space="preserve"> to firmly anchor their military accomplishment in the collective memory of the Romans by setting up victory monuments</w:t>
      </w:r>
      <w:r w:rsidR="00051214" w:rsidRPr="009D590F">
        <w:rPr>
          <w:rFonts w:ascii="Times New Roman" w:hAnsi="Times New Roman"/>
        </w:rPr>
        <w:t xml:space="preserve"> (e.g. </w:t>
      </w:r>
      <w:proofErr w:type="spellStart"/>
      <w:r w:rsidR="00B2150A" w:rsidRPr="009D590F">
        <w:rPr>
          <w:rFonts w:ascii="Times New Roman" w:hAnsi="Times New Roman"/>
          <w:i/>
        </w:rPr>
        <w:t>tropae</w:t>
      </w:r>
      <w:r w:rsidR="00051214" w:rsidRPr="009D590F">
        <w:rPr>
          <w:rFonts w:ascii="Times New Roman" w:hAnsi="Times New Roman"/>
          <w:i/>
        </w:rPr>
        <w:t>a</w:t>
      </w:r>
      <w:proofErr w:type="spellEnd"/>
      <w:r w:rsidR="00051214" w:rsidRPr="009D590F">
        <w:rPr>
          <w:rFonts w:ascii="Times New Roman" w:hAnsi="Times New Roman"/>
        </w:rPr>
        <w:t>), honorific statues,</w:t>
      </w:r>
      <w:r w:rsidRPr="009D590F">
        <w:rPr>
          <w:rFonts w:ascii="Times New Roman" w:hAnsi="Times New Roman"/>
        </w:rPr>
        <w:t xml:space="preserve"> and </w:t>
      </w:r>
      <w:r w:rsidR="00390068" w:rsidRPr="009D590F">
        <w:rPr>
          <w:rFonts w:ascii="Times New Roman" w:hAnsi="Times New Roman"/>
        </w:rPr>
        <w:t xml:space="preserve">by </w:t>
      </w:r>
      <w:r w:rsidRPr="009D590F">
        <w:rPr>
          <w:rFonts w:ascii="Times New Roman" w:hAnsi="Times New Roman"/>
        </w:rPr>
        <w:t>com</w:t>
      </w:r>
      <w:r w:rsidR="00335ECA" w:rsidRPr="009D590F">
        <w:rPr>
          <w:rFonts w:ascii="Times New Roman" w:hAnsi="Times New Roman"/>
        </w:rPr>
        <w:t>missioning the construction of</w:t>
      </w:r>
      <w:r w:rsidRPr="009D590F">
        <w:rPr>
          <w:rFonts w:ascii="Times New Roman" w:hAnsi="Times New Roman"/>
        </w:rPr>
        <w:t xml:space="preserve"> temple</w:t>
      </w:r>
      <w:r w:rsidR="00B2752A" w:rsidRPr="009D590F">
        <w:rPr>
          <w:rFonts w:ascii="Times New Roman" w:hAnsi="Times New Roman"/>
        </w:rPr>
        <w:t>s</w:t>
      </w:r>
      <w:r w:rsidR="00335ECA" w:rsidRPr="009D590F">
        <w:rPr>
          <w:rFonts w:ascii="Times New Roman" w:hAnsi="Times New Roman"/>
        </w:rPr>
        <w:t xml:space="preserve"> they vowed on campaign</w:t>
      </w:r>
      <w:r w:rsidRPr="009D590F">
        <w:rPr>
          <w:rFonts w:ascii="Times New Roman" w:hAnsi="Times New Roman"/>
        </w:rPr>
        <w:t>, ensuring their remembrance well beyond th</w:t>
      </w:r>
      <w:r w:rsidR="004D56DC" w:rsidRPr="009D590F">
        <w:rPr>
          <w:rFonts w:ascii="Times New Roman" w:hAnsi="Times New Roman"/>
        </w:rPr>
        <w:t xml:space="preserve">e fleeting moment of a </w:t>
      </w:r>
      <w:r w:rsidR="005A7EC7">
        <w:rPr>
          <w:rFonts w:ascii="Times New Roman" w:hAnsi="Times New Roman"/>
        </w:rPr>
        <w:t>triumphal procession</w:t>
      </w:r>
      <w:r w:rsidR="00390068" w:rsidRPr="009D590F">
        <w:rPr>
          <w:rFonts w:ascii="Times New Roman" w:hAnsi="Times New Roman"/>
        </w:rPr>
        <w:t>. Many of the public buildings and te</w:t>
      </w:r>
      <w:r w:rsidR="001D52D7" w:rsidRPr="009D590F">
        <w:rPr>
          <w:rFonts w:ascii="Times New Roman" w:hAnsi="Times New Roman"/>
        </w:rPr>
        <w:t xml:space="preserve">mples of the Republican period </w:t>
      </w:r>
      <w:r w:rsidR="00390068" w:rsidRPr="009D590F">
        <w:rPr>
          <w:rFonts w:ascii="Times New Roman" w:hAnsi="Times New Roman"/>
        </w:rPr>
        <w:t xml:space="preserve">owed their existence to successful military undertakings. What is more, triumphs could be commemorated on coins by family members and were revisited during </w:t>
      </w:r>
      <w:proofErr w:type="spellStart"/>
      <w:r w:rsidR="00390068" w:rsidRPr="009D590F">
        <w:rPr>
          <w:rFonts w:ascii="Times New Roman" w:hAnsi="Times New Roman"/>
          <w:i/>
        </w:rPr>
        <w:t>pompae</w:t>
      </w:r>
      <w:proofErr w:type="spellEnd"/>
      <w:r w:rsidR="00390068" w:rsidRPr="009D590F">
        <w:rPr>
          <w:rFonts w:ascii="Times New Roman" w:hAnsi="Times New Roman"/>
          <w:i/>
        </w:rPr>
        <w:t xml:space="preserve"> </w:t>
      </w:r>
      <w:proofErr w:type="spellStart"/>
      <w:r w:rsidR="00390068" w:rsidRPr="009D590F">
        <w:rPr>
          <w:rFonts w:ascii="Times New Roman" w:hAnsi="Times New Roman"/>
          <w:i/>
        </w:rPr>
        <w:t>funebres</w:t>
      </w:r>
      <w:proofErr w:type="spellEnd"/>
      <w:r w:rsidR="002908E4" w:rsidRPr="009D590F">
        <w:rPr>
          <w:rFonts w:ascii="Times New Roman" w:hAnsi="Times New Roman"/>
        </w:rPr>
        <w:t>. Some victors even</w:t>
      </w:r>
      <w:r w:rsidR="00390068" w:rsidRPr="009D590F">
        <w:rPr>
          <w:rFonts w:ascii="Times New Roman" w:hAnsi="Times New Roman"/>
        </w:rPr>
        <w:t xml:space="preserve"> received their own </w:t>
      </w:r>
      <w:proofErr w:type="spellStart"/>
      <w:r w:rsidR="00390068" w:rsidRPr="009D590F">
        <w:rPr>
          <w:rFonts w:ascii="Times New Roman" w:hAnsi="Times New Roman"/>
          <w:i/>
        </w:rPr>
        <w:t>fabulae</w:t>
      </w:r>
      <w:proofErr w:type="spellEnd"/>
      <w:r w:rsidR="00390068" w:rsidRPr="009D590F">
        <w:rPr>
          <w:rFonts w:ascii="Times New Roman" w:hAnsi="Times New Roman"/>
          <w:i/>
        </w:rPr>
        <w:t xml:space="preserve"> praetextae</w:t>
      </w:r>
      <w:r w:rsidR="00390068" w:rsidRPr="009D590F">
        <w:rPr>
          <w:rFonts w:ascii="Times New Roman" w:hAnsi="Times New Roman"/>
        </w:rPr>
        <w:t xml:space="preserve">, plays based on </w:t>
      </w:r>
      <w:r w:rsidR="002908E4" w:rsidRPr="009D590F">
        <w:rPr>
          <w:rFonts w:ascii="Times New Roman" w:hAnsi="Times New Roman"/>
        </w:rPr>
        <w:t>a</w:t>
      </w:r>
      <w:r w:rsidR="00390068" w:rsidRPr="009D590F">
        <w:rPr>
          <w:rFonts w:ascii="Times New Roman" w:hAnsi="Times New Roman"/>
        </w:rPr>
        <w:t xml:space="preserve"> campaign of </w:t>
      </w:r>
      <w:r w:rsidR="002908E4" w:rsidRPr="009D590F">
        <w:rPr>
          <w:rFonts w:ascii="Times New Roman" w:hAnsi="Times New Roman"/>
        </w:rPr>
        <w:t>the</w:t>
      </w:r>
      <w:r w:rsidR="00390068" w:rsidRPr="009D590F">
        <w:rPr>
          <w:rFonts w:ascii="Times New Roman" w:hAnsi="Times New Roman"/>
        </w:rPr>
        <w:t xml:space="preserve"> general.</w:t>
      </w:r>
      <w:r w:rsidR="004D56DC" w:rsidRPr="009D590F">
        <w:rPr>
          <w:rStyle w:val="FootnoteReference"/>
          <w:rFonts w:ascii="Times New Roman" w:hAnsi="Times New Roman"/>
        </w:rPr>
        <w:footnoteReference w:id="6"/>
      </w:r>
      <w:r w:rsidR="00390068" w:rsidRPr="009D590F">
        <w:rPr>
          <w:rFonts w:ascii="Times New Roman" w:hAnsi="Times New Roman"/>
        </w:rPr>
        <w:t xml:space="preserve"> </w:t>
      </w:r>
      <w:r w:rsidRPr="009D590F">
        <w:rPr>
          <w:rFonts w:ascii="Times New Roman" w:hAnsi="Times New Roman"/>
        </w:rPr>
        <w:t xml:space="preserve">The social impetus for the commemoration of military victors resulted in </w:t>
      </w:r>
      <w:r w:rsidR="00AB53C0" w:rsidRPr="009D590F">
        <w:rPr>
          <w:rFonts w:ascii="Times New Roman" w:hAnsi="Times New Roman"/>
        </w:rPr>
        <w:t xml:space="preserve">an </w:t>
      </w:r>
      <w:r w:rsidRPr="009D590F">
        <w:rPr>
          <w:rFonts w:ascii="Times New Roman" w:hAnsi="Times New Roman"/>
        </w:rPr>
        <w:t xml:space="preserve">increased competition for public space. In the </w:t>
      </w:r>
      <w:r w:rsidR="002908E4" w:rsidRPr="009D590F">
        <w:rPr>
          <w:rFonts w:ascii="Times New Roman" w:hAnsi="Times New Roman"/>
        </w:rPr>
        <w:t>Late Republic this commemorative practice</w:t>
      </w:r>
      <w:r w:rsidRPr="009D590F">
        <w:rPr>
          <w:rFonts w:ascii="Times New Roman" w:hAnsi="Times New Roman"/>
        </w:rPr>
        <w:t xml:space="preserve"> became more and more focussed on the </w:t>
      </w:r>
      <w:r w:rsidR="00DB49EC">
        <w:rPr>
          <w:rFonts w:ascii="Times New Roman" w:hAnsi="Times New Roman"/>
        </w:rPr>
        <w:t xml:space="preserve">extraordinary men of the period: </w:t>
      </w:r>
      <w:r w:rsidRPr="009D590F">
        <w:rPr>
          <w:rFonts w:ascii="Times New Roman" w:hAnsi="Times New Roman"/>
        </w:rPr>
        <w:t>Pompeius cele</w:t>
      </w:r>
      <w:r w:rsidR="00B2150A" w:rsidRPr="009D590F">
        <w:rPr>
          <w:rFonts w:ascii="Times New Roman" w:hAnsi="Times New Roman"/>
        </w:rPr>
        <w:t>brated his victory against the Cilician p</w:t>
      </w:r>
      <w:r w:rsidRPr="009D590F">
        <w:rPr>
          <w:rFonts w:ascii="Times New Roman" w:hAnsi="Times New Roman"/>
        </w:rPr>
        <w:t xml:space="preserve">irates and Mithridates not only by commissioning a temple for Minerva on the Campus Martius paid for from the spoils, but by constructing a gigantic monument to his victories in the shape of </w:t>
      </w:r>
      <w:r w:rsidR="002908E4" w:rsidRPr="009D590F">
        <w:rPr>
          <w:rFonts w:ascii="Times New Roman" w:hAnsi="Times New Roman"/>
        </w:rPr>
        <w:t xml:space="preserve">the </w:t>
      </w:r>
      <w:r w:rsidRPr="009D590F">
        <w:rPr>
          <w:rFonts w:ascii="Times New Roman" w:hAnsi="Times New Roman"/>
        </w:rPr>
        <w:t>Theatre of Pompeius.</w:t>
      </w:r>
      <w:r w:rsidRPr="009D590F">
        <w:rPr>
          <w:rStyle w:val="FootnoteReference"/>
          <w:rFonts w:ascii="Times New Roman" w:hAnsi="Times New Roman"/>
        </w:rPr>
        <w:footnoteReference w:id="7"/>
      </w:r>
      <w:r w:rsidRPr="009D590F">
        <w:rPr>
          <w:rFonts w:ascii="Times New Roman" w:hAnsi="Times New Roman"/>
        </w:rPr>
        <w:t xml:space="preserve"> As for Caesar</w:t>
      </w:r>
      <w:r w:rsidR="002908E4" w:rsidRPr="009D590F">
        <w:rPr>
          <w:rFonts w:ascii="Times New Roman" w:hAnsi="Times New Roman"/>
        </w:rPr>
        <w:t xml:space="preserve">, the Forum </w:t>
      </w:r>
      <w:proofErr w:type="spellStart"/>
      <w:r w:rsidR="002908E4" w:rsidRPr="009D590F">
        <w:rPr>
          <w:rFonts w:ascii="Times New Roman" w:hAnsi="Times New Roman"/>
        </w:rPr>
        <w:t>Iulium</w:t>
      </w:r>
      <w:proofErr w:type="spellEnd"/>
      <w:r w:rsidR="002908E4" w:rsidRPr="009D590F">
        <w:rPr>
          <w:rFonts w:ascii="Times New Roman" w:hAnsi="Times New Roman"/>
        </w:rPr>
        <w:t xml:space="preserve"> and the Temp</w:t>
      </w:r>
      <w:r w:rsidRPr="009D590F">
        <w:rPr>
          <w:rFonts w:ascii="Times New Roman" w:hAnsi="Times New Roman"/>
        </w:rPr>
        <w:t>l</w:t>
      </w:r>
      <w:r w:rsidR="002908E4" w:rsidRPr="009D590F">
        <w:rPr>
          <w:rFonts w:ascii="Times New Roman" w:hAnsi="Times New Roman"/>
        </w:rPr>
        <w:t>e</w:t>
      </w:r>
      <w:r w:rsidRPr="009D590F">
        <w:rPr>
          <w:rFonts w:ascii="Times New Roman" w:hAnsi="Times New Roman"/>
        </w:rPr>
        <w:t xml:space="preserve"> of Venus </w:t>
      </w:r>
      <w:proofErr w:type="spellStart"/>
      <w:r w:rsidRPr="009D590F">
        <w:rPr>
          <w:rFonts w:ascii="Times New Roman" w:hAnsi="Times New Roman"/>
        </w:rPr>
        <w:t>Genetrix</w:t>
      </w:r>
      <w:proofErr w:type="spellEnd"/>
      <w:r w:rsidRPr="009D590F">
        <w:rPr>
          <w:rFonts w:ascii="Times New Roman" w:hAnsi="Times New Roman"/>
        </w:rPr>
        <w:t xml:space="preserve"> were closely connected to his fourth triumph in 46 </w:t>
      </w:r>
      <w:r w:rsidR="00DB49EC">
        <w:rPr>
          <w:rFonts w:ascii="Times New Roman" w:hAnsi="Times New Roman"/>
        </w:rPr>
        <w:lastRenderedPageBreak/>
        <w:t>BC</w:t>
      </w:r>
      <w:r w:rsidRPr="009D590F">
        <w:rPr>
          <w:rFonts w:ascii="Times New Roman" w:hAnsi="Times New Roman"/>
        </w:rPr>
        <w:t>.</w:t>
      </w:r>
      <w:r w:rsidRPr="009D590F">
        <w:rPr>
          <w:rStyle w:val="FootnoteReference"/>
          <w:rFonts w:ascii="Times New Roman" w:hAnsi="Times New Roman"/>
        </w:rPr>
        <w:footnoteReference w:id="8"/>
      </w:r>
      <w:r w:rsidRPr="009D590F">
        <w:rPr>
          <w:rFonts w:ascii="Times New Roman" w:hAnsi="Times New Roman"/>
        </w:rPr>
        <w:t xml:space="preserve"> These monuments clearly outcompeted </w:t>
      </w:r>
      <w:r w:rsidR="002908E4" w:rsidRPr="009D590F">
        <w:rPr>
          <w:rFonts w:ascii="Times New Roman" w:hAnsi="Times New Roman"/>
        </w:rPr>
        <w:t>those</w:t>
      </w:r>
      <w:r w:rsidRPr="009D590F">
        <w:rPr>
          <w:rFonts w:ascii="Times New Roman" w:hAnsi="Times New Roman"/>
        </w:rPr>
        <w:t xml:space="preserve"> built to </w:t>
      </w:r>
      <w:r w:rsidR="002A371F" w:rsidRPr="009D590F">
        <w:rPr>
          <w:rFonts w:ascii="Times New Roman" w:hAnsi="Times New Roman"/>
        </w:rPr>
        <w:t>immortalise</w:t>
      </w:r>
      <w:r w:rsidRPr="009D590F">
        <w:rPr>
          <w:rFonts w:ascii="Times New Roman" w:hAnsi="Times New Roman"/>
        </w:rPr>
        <w:t xml:space="preserve"> the military prowess of </w:t>
      </w:r>
      <w:r w:rsidR="00F44135" w:rsidRPr="009D590F">
        <w:rPr>
          <w:rFonts w:ascii="Times New Roman" w:hAnsi="Times New Roman"/>
        </w:rPr>
        <w:t xml:space="preserve">earlier </w:t>
      </w:r>
      <w:r w:rsidRPr="009D590F">
        <w:rPr>
          <w:rFonts w:ascii="Times New Roman" w:hAnsi="Times New Roman"/>
        </w:rPr>
        <w:t>members of the senatorial elite.</w:t>
      </w:r>
    </w:p>
    <w:p w14:paraId="05E12C30" w14:textId="015D5A41" w:rsidR="002908E4" w:rsidRPr="009D590F" w:rsidRDefault="001D52D7" w:rsidP="00D45F28">
      <w:pPr>
        <w:tabs>
          <w:tab w:val="left" w:pos="567"/>
        </w:tabs>
        <w:jc w:val="both"/>
        <w:rPr>
          <w:rFonts w:ascii="Times New Roman" w:hAnsi="Times New Roman"/>
        </w:rPr>
      </w:pPr>
      <w:r w:rsidRPr="009D590F">
        <w:rPr>
          <w:rFonts w:ascii="Times New Roman" w:hAnsi="Times New Roman"/>
        </w:rPr>
        <w:tab/>
      </w:r>
      <w:r w:rsidR="002908E4" w:rsidRPr="009D590F">
        <w:rPr>
          <w:rFonts w:ascii="Times New Roman" w:hAnsi="Times New Roman"/>
        </w:rPr>
        <w:t>With the establishment of sole rule, Augustus changed the dynamics of elite comp</w:t>
      </w:r>
      <w:r w:rsidR="00335ECA" w:rsidRPr="009D590F">
        <w:rPr>
          <w:rFonts w:ascii="Times New Roman" w:hAnsi="Times New Roman"/>
        </w:rPr>
        <w:t>etition for Rome’s public space rather abruptly.</w:t>
      </w:r>
      <w:r w:rsidR="002908E4" w:rsidRPr="009D590F">
        <w:rPr>
          <w:rFonts w:ascii="Times New Roman" w:hAnsi="Times New Roman"/>
        </w:rPr>
        <w:t xml:space="preserve"> By ensuring military command over unpacified provinces in 27 BC, by acquiring </w:t>
      </w:r>
      <w:r w:rsidR="002908E4" w:rsidRPr="009D590F">
        <w:rPr>
          <w:rFonts w:ascii="Times New Roman" w:hAnsi="Times New Roman"/>
          <w:i/>
        </w:rPr>
        <w:t>imperium</w:t>
      </w:r>
      <w:r w:rsidR="002908E4" w:rsidRPr="009D590F">
        <w:rPr>
          <w:rFonts w:ascii="Times New Roman" w:hAnsi="Times New Roman"/>
        </w:rPr>
        <w:t xml:space="preserve"> over the soldiers garrisoned there, Augustus </w:t>
      </w:r>
      <w:r w:rsidR="00F047F6" w:rsidRPr="009D590F">
        <w:rPr>
          <w:rFonts w:ascii="Times New Roman" w:hAnsi="Times New Roman"/>
        </w:rPr>
        <w:t>monopolised</w:t>
      </w:r>
      <w:r w:rsidRPr="009D590F">
        <w:rPr>
          <w:rFonts w:ascii="Times New Roman" w:hAnsi="Times New Roman"/>
        </w:rPr>
        <w:t xml:space="preserve"> the celebration of triumphs. T</w:t>
      </w:r>
      <w:r w:rsidR="002908E4" w:rsidRPr="009D590F">
        <w:rPr>
          <w:rFonts w:ascii="Times New Roman" w:hAnsi="Times New Roman"/>
        </w:rPr>
        <w:t xml:space="preserve">he </w:t>
      </w:r>
      <w:proofErr w:type="spellStart"/>
      <w:r w:rsidR="002908E4" w:rsidRPr="009D590F">
        <w:rPr>
          <w:rFonts w:ascii="Times New Roman" w:hAnsi="Times New Roman"/>
          <w:i/>
        </w:rPr>
        <w:t>legati</w:t>
      </w:r>
      <w:proofErr w:type="spellEnd"/>
      <w:r w:rsidR="002908E4" w:rsidRPr="009D590F">
        <w:rPr>
          <w:rFonts w:ascii="Times New Roman" w:hAnsi="Times New Roman"/>
          <w:i/>
        </w:rPr>
        <w:t xml:space="preserve"> </w:t>
      </w:r>
      <w:proofErr w:type="spellStart"/>
      <w:r w:rsidR="002908E4" w:rsidRPr="009D590F">
        <w:rPr>
          <w:rFonts w:ascii="Times New Roman" w:hAnsi="Times New Roman"/>
          <w:i/>
        </w:rPr>
        <w:t>Augusti</w:t>
      </w:r>
      <w:proofErr w:type="spellEnd"/>
      <w:r w:rsidR="002908E4" w:rsidRPr="009D590F">
        <w:rPr>
          <w:rFonts w:ascii="Times New Roman" w:hAnsi="Times New Roman"/>
          <w:i/>
        </w:rPr>
        <w:t xml:space="preserve"> pro </w:t>
      </w:r>
      <w:proofErr w:type="spellStart"/>
      <w:r w:rsidR="002908E4" w:rsidRPr="009D590F">
        <w:rPr>
          <w:rFonts w:ascii="Times New Roman" w:hAnsi="Times New Roman"/>
          <w:i/>
        </w:rPr>
        <w:t>praetore</w:t>
      </w:r>
      <w:proofErr w:type="spellEnd"/>
      <w:r w:rsidR="002908E4" w:rsidRPr="009D590F">
        <w:rPr>
          <w:rFonts w:ascii="Times New Roman" w:hAnsi="Times New Roman"/>
        </w:rPr>
        <w:t xml:space="preserve"> seconded to these provinces did not have their own </w:t>
      </w:r>
      <w:r w:rsidR="002908E4" w:rsidRPr="009D590F">
        <w:rPr>
          <w:rFonts w:ascii="Times New Roman" w:hAnsi="Times New Roman"/>
          <w:i/>
        </w:rPr>
        <w:t>imperium</w:t>
      </w:r>
      <w:r w:rsidR="002908E4" w:rsidRPr="009D590F">
        <w:rPr>
          <w:rFonts w:ascii="Times New Roman" w:hAnsi="Times New Roman"/>
        </w:rPr>
        <w:t xml:space="preserve"> and could neither be acclaimed imperator </w:t>
      </w:r>
      <w:r w:rsidR="00335ECA" w:rsidRPr="009D590F">
        <w:rPr>
          <w:rFonts w:ascii="Times New Roman" w:hAnsi="Times New Roman"/>
        </w:rPr>
        <w:t>n</w:t>
      </w:r>
      <w:r w:rsidR="002908E4" w:rsidRPr="009D590F">
        <w:rPr>
          <w:rFonts w:ascii="Times New Roman" w:hAnsi="Times New Roman"/>
        </w:rPr>
        <w:t xml:space="preserve">or celebrate a triumph. As Augustus held the </w:t>
      </w:r>
      <w:proofErr w:type="spellStart"/>
      <w:r w:rsidR="002908E4" w:rsidRPr="009D590F">
        <w:rPr>
          <w:rFonts w:ascii="Times New Roman" w:hAnsi="Times New Roman"/>
          <w:i/>
        </w:rPr>
        <w:t>auspicia</w:t>
      </w:r>
      <w:proofErr w:type="spellEnd"/>
      <w:r w:rsidR="002908E4" w:rsidRPr="009D590F">
        <w:rPr>
          <w:rFonts w:ascii="Times New Roman" w:hAnsi="Times New Roman"/>
        </w:rPr>
        <w:t xml:space="preserve"> as the official holder of all </w:t>
      </w:r>
      <w:r w:rsidR="002908E4" w:rsidRPr="009D590F">
        <w:rPr>
          <w:rFonts w:ascii="Times New Roman" w:hAnsi="Times New Roman"/>
          <w:i/>
        </w:rPr>
        <w:t>imperium</w:t>
      </w:r>
      <w:r w:rsidR="002908E4" w:rsidRPr="009D590F">
        <w:rPr>
          <w:rFonts w:ascii="Times New Roman" w:hAnsi="Times New Roman"/>
        </w:rPr>
        <w:t>, only he could receive imperial acclamations</w:t>
      </w:r>
      <w:r w:rsidR="00335ECA" w:rsidRPr="009D590F">
        <w:rPr>
          <w:rFonts w:ascii="Times New Roman" w:hAnsi="Times New Roman"/>
        </w:rPr>
        <w:t xml:space="preserve"> —</w:t>
      </w:r>
      <w:r w:rsidR="002908E4" w:rsidRPr="009D590F">
        <w:rPr>
          <w:rFonts w:ascii="Times New Roman" w:hAnsi="Times New Roman"/>
        </w:rPr>
        <w:t xml:space="preserve"> a necessary precondition </w:t>
      </w:r>
      <w:r w:rsidRPr="009D590F">
        <w:rPr>
          <w:rFonts w:ascii="Times New Roman" w:hAnsi="Times New Roman"/>
        </w:rPr>
        <w:t>for</w:t>
      </w:r>
      <w:r w:rsidR="002908E4" w:rsidRPr="009D590F">
        <w:rPr>
          <w:rFonts w:ascii="Times New Roman" w:hAnsi="Times New Roman"/>
        </w:rPr>
        <w:t xml:space="preserve"> a triumph.</w:t>
      </w:r>
      <w:r w:rsidR="002908E4" w:rsidRPr="009D590F">
        <w:rPr>
          <w:rStyle w:val="FootnoteReference"/>
          <w:rFonts w:ascii="Times New Roman" w:hAnsi="Times New Roman"/>
        </w:rPr>
        <w:footnoteReference w:id="9"/>
      </w:r>
      <w:r w:rsidR="002908E4" w:rsidRPr="009D590F">
        <w:rPr>
          <w:rFonts w:ascii="Times New Roman" w:hAnsi="Times New Roman"/>
        </w:rPr>
        <w:t xml:space="preserve"> For those governors commanding troops in other provinces, the </w:t>
      </w:r>
      <w:proofErr w:type="spellStart"/>
      <w:r w:rsidR="002908E4" w:rsidRPr="009D590F">
        <w:rPr>
          <w:rFonts w:ascii="Times New Roman" w:hAnsi="Times New Roman"/>
          <w:i/>
        </w:rPr>
        <w:t>provinciae</w:t>
      </w:r>
      <w:proofErr w:type="spellEnd"/>
      <w:r w:rsidR="002908E4" w:rsidRPr="009D590F">
        <w:rPr>
          <w:rFonts w:ascii="Times New Roman" w:hAnsi="Times New Roman"/>
          <w:i/>
        </w:rPr>
        <w:t xml:space="preserve"> </w:t>
      </w:r>
      <w:proofErr w:type="spellStart"/>
      <w:r w:rsidR="002908E4" w:rsidRPr="009D590F">
        <w:rPr>
          <w:rFonts w:ascii="Times New Roman" w:hAnsi="Times New Roman"/>
          <w:i/>
        </w:rPr>
        <w:t>populi</w:t>
      </w:r>
      <w:proofErr w:type="spellEnd"/>
      <w:r w:rsidR="002908E4" w:rsidRPr="009D590F">
        <w:rPr>
          <w:rFonts w:ascii="Times New Roman" w:hAnsi="Times New Roman"/>
          <w:i/>
        </w:rPr>
        <w:t xml:space="preserve"> Romani</w:t>
      </w:r>
      <w:r w:rsidR="002908E4" w:rsidRPr="009D590F">
        <w:rPr>
          <w:rFonts w:ascii="Times New Roman" w:hAnsi="Times New Roman"/>
        </w:rPr>
        <w:t>, the right to celebrate a triumph could still be acquired in the early days of Augustus</w:t>
      </w:r>
      <w:r w:rsidR="00946108">
        <w:rPr>
          <w:rFonts w:ascii="Times New Roman" w:hAnsi="Times New Roman"/>
        </w:rPr>
        <w:t>’</w:t>
      </w:r>
      <w:r w:rsidR="002908E4" w:rsidRPr="009D590F">
        <w:rPr>
          <w:rFonts w:ascii="Times New Roman" w:hAnsi="Times New Roman"/>
        </w:rPr>
        <w:t xml:space="preserve"> reign, but in March 27, 19 BC, L. Cornelius </w:t>
      </w:r>
      <w:proofErr w:type="spellStart"/>
      <w:r w:rsidR="002908E4" w:rsidRPr="009D590F">
        <w:rPr>
          <w:rFonts w:ascii="Times New Roman" w:hAnsi="Times New Roman"/>
        </w:rPr>
        <w:t>Balbus</w:t>
      </w:r>
      <w:proofErr w:type="spellEnd"/>
      <w:r w:rsidR="002908E4" w:rsidRPr="009D590F">
        <w:rPr>
          <w:rFonts w:ascii="Times New Roman" w:hAnsi="Times New Roman"/>
        </w:rPr>
        <w:t xml:space="preserve"> was the last member of the senate to triumph who was not part of the imperial family.</w:t>
      </w:r>
      <w:r w:rsidRPr="009D590F">
        <w:rPr>
          <w:rStyle w:val="FootnoteReference"/>
          <w:rFonts w:ascii="Times New Roman" w:hAnsi="Times New Roman"/>
        </w:rPr>
        <w:footnoteReference w:id="10"/>
      </w:r>
      <w:r w:rsidR="002908E4" w:rsidRPr="009D590F">
        <w:rPr>
          <w:rFonts w:ascii="Times New Roman" w:hAnsi="Times New Roman"/>
        </w:rPr>
        <w:t xml:space="preserve"> Furthermore, Agrippa (who also held </w:t>
      </w:r>
      <w:r w:rsidR="002908E4" w:rsidRPr="009D590F">
        <w:rPr>
          <w:rFonts w:ascii="Times New Roman" w:hAnsi="Times New Roman"/>
          <w:i/>
        </w:rPr>
        <w:t>imperium</w:t>
      </w:r>
      <w:r w:rsidR="002908E4" w:rsidRPr="009D590F">
        <w:rPr>
          <w:rFonts w:ascii="Times New Roman" w:hAnsi="Times New Roman"/>
        </w:rPr>
        <w:t>) seems to have set an example of modesty for the senatorial elite by renouncing the honour of a triumphal procession for his military successes</w:t>
      </w:r>
      <w:r w:rsidRPr="009D590F">
        <w:rPr>
          <w:rFonts w:ascii="Times New Roman" w:hAnsi="Times New Roman"/>
        </w:rPr>
        <w:t xml:space="preserve"> (Dio 54.11.6)</w:t>
      </w:r>
      <w:r w:rsidR="002908E4" w:rsidRPr="009D590F">
        <w:rPr>
          <w:rFonts w:ascii="Times New Roman" w:hAnsi="Times New Roman"/>
        </w:rPr>
        <w:t xml:space="preserve"> — an example the senators felt compelled to follow.</w:t>
      </w:r>
      <w:r w:rsidR="002908E4" w:rsidRPr="009D590F">
        <w:rPr>
          <w:rStyle w:val="FootnoteReference"/>
          <w:rFonts w:ascii="Times New Roman" w:hAnsi="Times New Roman"/>
        </w:rPr>
        <w:footnoteReference w:id="11"/>
      </w:r>
      <w:r w:rsidR="002908E4" w:rsidRPr="009D590F">
        <w:rPr>
          <w:rFonts w:ascii="Times New Roman" w:hAnsi="Times New Roman"/>
        </w:rPr>
        <w:t xml:space="preserve"> </w:t>
      </w:r>
    </w:p>
    <w:p w14:paraId="18DD96D5" w14:textId="3ED21086" w:rsidR="0018187A" w:rsidRDefault="002908E4" w:rsidP="00D45F28">
      <w:pPr>
        <w:tabs>
          <w:tab w:val="left" w:pos="567"/>
        </w:tabs>
        <w:jc w:val="both"/>
        <w:rPr>
          <w:rFonts w:ascii="Times New Roman" w:hAnsi="Times New Roman"/>
        </w:rPr>
      </w:pPr>
      <w:r w:rsidRPr="009D590F">
        <w:rPr>
          <w:rFonts w:ascii="Times New Roman" w:hAnsi="Times New Roman"/>
        </w:rPr>
        <w:tab/>
        <w:t>The focalisation of military success on the emperor deprived the senatorial elite not only of the opportunity to commemorate military achievement in the public sphere, but also of the means to pay for monuments from the spoils traditionally apportioned to the victorious general.</w:t>
      </w:r>
      <w:r w:rsidRPr="009D590F">
        <w:rPr>
          <w:rStyle w:val="FootnoteReference"/>
          <w:rFonts w:ascii="Times New Roman" w:hAnsi="Times New Roman"/>
        </w:rPr>
        <w:footnoteReference w:id="12"/>
      </w:r>
      <w:r w:rsidRPr="009D590F">
        <w:rPr>
          <w:rFonts w:ascii="Times New Roman" w:hAnsi="Times New Roman"/>
        </w:rPr>
        <w:t xml:space="preserve"> The </w:t>
      </w:r>
      <w:proofErr w:type="spellStart"/>
      <w:r w:rsidRPr="009D590F">
        <w:rPr>
          <w:rFonts w:ascii="Times New Roman" w:hAnsi="Times New Roman"/>
          <w:i/>
        </w:rPr>
        <w:t>legati</w:t>
      </w:r>
      <w:proofErr w:type="spellEnd"/>
      <w:r w:rsidRPr="009D590F">
        <w:rPr>
          <w:rFonts w:ascii="Times New Roman" w:hAnsi="Times New Roman"/>
          <w:i/>
        </w:rPr>
        <w:t xml:space="preserve"> </w:t>
      </w:r>
      <w:proofErr w:type="spellStart"/>
      <w:r w:rsidRPr="009D590F">
        <w:rPr>
          <w:rFonts w:ascii="Times New Roman" w:hAnsi="Times New Roman"/>
          <w:i/>
        </w:rPr>
        <w:t>Augusti</w:t>
      </w:r>
      <w:proofErr w:type="spellEnd"/>
      <w:r w:rsidRPr="009D590F">
        <w:rPr>
          <w:rFonts w:ascii="Times New Roman" w:hAnsi="Times New Roman"/>
        </w:rPr>
        <w:t xml:space="preserve"> handed the </w:t>
      </w:r>
      <w:proofErr w:type="spellStart"/>
      <w:r w:rsidRPr="009D590F">
        <w:rPr>
          <w:rFonts w:ascii="Times New Roman" w:hAnsi="Times New Roman"/>
          <w:i/>
        </w:rPr>
        <w:t>manubiae</w:t>
      </w:r>
      <w:proofErr w:type="spellEnd"/>
      <w:r w:rsidRPr="009D590F">
        <w:rPr>
          <w:rFonts w:ascii="Times New Roman" w:hAnsi="Times New Roman"/>
        </w:rPr>
        <w:t xml:space="preserve"> over to the emperor. Consequently, the </w:t>
      </w:r>
      <w:proofErr w:type="spellStart"/>
      <w:r w:rsidRPr="009D590F">
        <w:rPr>
          <w:rFonts w:ascii="Times New Roman" w:hAnsi="Times New Roman"/>
          <w:i/>
        </w:rPr>
        <w:t>Theatrum</w:t>
      </w:r>
      <w:proofErr w:type="spellEnd"/>
      <w:r w:rsidRPr="009D590F">
        <w:rPr>
          <w:rFonts w:ascii="Times New Roman" w:hAnsi="Times New Roman"/>
          <w:i/>
        </w:rPr>
        <w:t xml:space="preserve"> </w:t>
      </w:r>
      <w:proofErr w:type="spellStart"/>
      <w:r w:rsidRPr="009D590F">
        <w:rPr>
          <w:rFonts w:ascii="Times New Roman" w:hAnsi="Times New Roman"/>
          <w:i/>
        </w:rPr>
        <w:t>Balbi</w:t>
      </w:r>
      <w:proofErr w:type="spellEnd"/>
      <w:r w:rsidRPr="009D590F">
        <w:rPr>
          <w:rFonts w:ascii="Times New Roman" w:hAnsi="Times New Roman"/>
        </w:rPr>
        <w:t xml:space="preserve">, built from the spoils Cornelius </w:t>
      </w:r>
      <w:proofErr w:type="spellStart"/>
      <w:r w:rsidRPr="009D590F">
        <w:rPr>
          <w:rFonts w:ascii="Times New Roman" w:hAnsi="Times New Roman"/>
        </w:rPr>
        <w:t>Balbus</w:t>
      </w:r>
      <w:proofErr w:type="spellEnd"/>
      <w:r w:rsidRPr="009D590F">
        <w:rPr>
          <w:rFonts w:ascii="Times New Roman" w:hAnsi="Times New Roman"/>
        </w:rPr>
        <w:t xml:space="preserve"> had acquired from the </w:t>
      </w:r>
      <w:proofErr w:type="spellStart"/>
      <w:r w:rsidRPr="009D590F">
        <w:rPr>
          <w:rFonts w:ascii="Times New Roman" w:hAnsi="Times New Roman"/>
        </w:rPr>
        <w:t>Garamantes</w:t>
      </w:r>
      <w:proofErr w:type="spellEnd"/>
      <w:r w:rsidRPr="009D590F">
        <w:rPr>
          <w:rFonts w:ascii="Times New Roman" w:hAnsi="Times New Roman"/>
        </w:rPr>
        <w:t xml:space="preserve">, was the last public building </w:t>
      </w:r>
      <w:r w:rsidR="00E11C8A" w:rsidRPr="009D590F">
        <w:rPr>
          <w:rFonts w:ascii="Times New Roman" w:hAnsi="Times New Roman"/>
        </w:rPr>
        <w:t xml:space="preserve">in Rome </w:t>
      </w:r>
      <w:r w:rsidRPr="009D590F">
        <w:rPr>
          <w:rFonts w:ascii="Times New Roman" w:hAnsi="Times New Roman"/>
        </w:rPr>
        <w:t>commissioned</w:t>
      </w:r>
      <w:r w:rsidR="00E11C8A" w:rsidRPr="009D590F">
        <w:rPr>
          <w:rFonts w:ascii="Times New Roman" w:hAnsi="Times New Roman"/>
        </w:rPr>
        <w:t xml:space="preserve"> by</w:t>
      </w:r>
      <w:r w:rsidRPr="009D590F">
        <w:rPr>
          <w:rFonts w:ascii="Times New Roman" w:hAnsi="Times New Roman"/>
        </w:rPr>
        <w:t xml:space="preserve"> and displaying the name of a senator. From here on forward public buildings </w:t>
      </w:r>
      <w:r w:rsidR="00874AA3" w:rsidRPr="009D590F">
        <w:rPr>
          <w:rFonts w:ascii="Times New Roman" w:hAnsi="Times New Roman"/>
        </w:rPr>
        <w:t xml:space="preserve">in the capital of the empire </w:t>
      </w:r>
      <w:r w:rsidRPr="009D590F">
        <w:rPr>
          <w:rFonts w:ascii="Times New Roman" w:hAnsi="Times New Roman"/>
        </w:rPr>
        <w:t>were either erected in the name of the senate and people of Rome or by the emperor and members of his family.</w:t>
      </w:r>
      <w:r w:rsidRPr="009D590F">
        <w:rPr>
          <w:rStyle w:val="FootnoteReference"/>
          <w:rFonts w:ascii="Times New Roman" w:hAnsi="Times New Roman"/>
        </w:rPr>
        <w:footnoteReference w:id="13"/>
      </w:r>
      <w:r w:rsidRPr="009D590F">
        <w:rPr>
          <w:rFonts w:ascii="Times New Roman" w:hAnsi="Times New Roman"/>
        </w:rPr>
        <w:t xml:space="preserve"> </w:t>
      </w:r>
    </w:p>
    <w:p w14:paraId="23FF932B" w14:textId="77777777" w:rsidR="0018187A" w:rsidRDefault="0018187A" w:rsidP="00D45F28">
      <w:pPr>
        <w:tabs>
          <w:tab w:val="left" w:pos="567"/>
        </w:tabs>
        <w:jc w:val="both"/>
        <w:rPr>
          <w:rFonts w:ascii="Times New Roman" w:hAnsi="Times New Roman"/>
        </w:rPr>
      </w:pPr>
      <w:r>
        <w:rPr>
          <w:rFonts w:ascii="Times New Roman" w:hAnsi="Times New Roman"/>
        </w:rPr>
        <w:tab/>
      </w:r>
    </w:p>
    <w:p w14:paraId="744B0306" w14:textId="0E3C1B6A" w:rsidR="007D4877" w:rsidRPr="009D590F" w:rsidRDefault="001D52D7" w:rsidP="00D45F28">
      <w:pPr>
        <w:tabs>
          <w:tab w:val="left" w:pos="567"/>
        </w:tabs>
        <w:jc w:val="both"/>
        <w:rPr>
          <w:rFonts w:ascii="Times New Roman" w:hAnsi="Times New Roman"/>
        </w:rPr>
      </w:pPr>
      <w:r w:rsidRPr="009D590F">
        <w:rPr>
          <w:rFonts w:ascii="Times New Roman" w:hAnsi="Times New Roman"/>
        </w:rPr>
        <w:t>The emergence and us</w:t>
      </w:r>
      <w:r w:rsidR="00673625">
        <w:rPr>
          <w:rFonts w:ascii="Times New Roman" w:hAnsi="Times New Roman"/>
        </w:rPr>
        <w:t xml:space="preserve">e of white and </w:t>
      </w:r>
      <w:r w:rsidRPr="009D590F">
        <w:rPr>
          <w:rFonts w:ascii="Times New Roman" w:hAnsi="Times New Roman"/>
        </w:rPr>
        <w:t xml:space="preserve">coloured marble in Rome </w:t>
      </w:r>
      <w:r w:rsidR="00B2752A" w:rsidRPr="009D590F">
        <w:rPr>
          <w:rFonts w:ascii="Times New Roman" w:hAnsi="Times New Roman"/>
        </w:rPr>
        <w:t>seems to develop</w:t>
      </w:r>
      <w:r w:rsidRPr="009D590F">
        <w:rPr>
          <w:rFonts w:ascii="Times New Roman" w:hAnsi="Times New Roman"/>
        </w:rPr>
        <w:t xml:space="preserve"> </w:t>
      </w:r>
      <w:r w:rsidR="00B2752A" w:rsidRPr="009D590F">
        <w:rPr>
          <w:rFonts w:ascii="Times New Roman" w:hAnsi="Times New Roman"/>
        </w:rPr>
        <w:t>alongside,</w:t>
      </w:r>
      <w:r w:rsidRPr="009D590F">
        <w:rPr>
          <w:rFonts w:ascii="Times New Roman" w:hAnsi="Times New Roman"/>
        </w:rPr>
        <w:t xml:space="preserve"> </w:t>
      </w:r>
      <w:r w:rsidR="0018187A">
        <w:rPr>
          <w:rFonts w:ascii="Times New Roman" w:hAnsi="Times New Roman"/>
        </w:rPr>
        <w:t>and is subjected</w:t>
      </w:r>
      <w:r w:rsidR="00B2752A" w:rsidRPr="009D590F">
        <w:rPr>
          <w:rFonts w:ascii="Times New Roman" w:hAnsi="Times New Roman"/>
        </w:rPr>
        <w:t xml:space="preserve"> to, this</w:t>
      </w:r>
      <w:r w:rsidR="00673625">
        <w:rPr>
          <w:rFonts w:ascii="Times New Roman" w:hAnsi="Times New Roman"/>
        </w:rPr>
        <w:t xml:space="preserve"> overarching socio-p</w:t>
      </w:r>
      <w:r w:rsidRPr="009D590F">
        <w:rPr>
          <w:rFonts w:ascii="Times New Roman" w:hAnsi="Times New Roman"/>
        </w:rPr>
        <w:t>olitical</w:t>
      </w:r>
      <w:r w:rsidR="00B2752A" w:rsidRPr="009D590F">
        <w:rPr>
          <w:rFonts w:ascii="Times New Roman" w:hAnsi="Times New Roman"/>
        </w:rPr>
        <w:t xml:space="preserve"> trajectory</w:t>
      </w:r>
      <w:r w:rsidRPr="009D590F">
        <w:rPr>
          <w:rFonts w:ascii="Times New Roman" w:hAnsi="Times New Roman"/>
        </w:rPr>
        <w:t xml:space="preserve">. </w:t>
      </w:r>
      <w:r w:rsidR="0018187A">
        <w:rPr>
          <w:rFonts w:ascii="Times New Roman" w:hAnsi="Times New Roman"/>
        </w:rPr>
        <w:t>Marble</w:t>
      </w:r>
      <w:r w:rsidR="00E11C8A" w:rsidRPr="009D590F">
        <w:rPr>
          <w:rFonts w:ascii="Times New Roman" w:hAnsi="Times New Roman"/>
        </w:rPr>
        <w:t xml:space="preserve"> arrived in Rome alongside the spoils of war from the Greek </w:t>
      </w:r>
      <w:r w:rsidR="00B2752A" w:rsidRPr="009D590F">
        <w:rPr>
          <w:rFonts w:ascii="Times New Roman" w:hAnsi="Times New Roman"/>
        </w:rPr>
        <w:t>East</w:t>
      </w:r>
      <w:r w:rsidR="00DB49EC">
        <w:rPr>
          <w:rFonts w:ascii="Times New Roman" w:hAnsi="Times New Roman"/>
        </w:rPr>
        <w:t>.</w:t>
      </w:r>
      <w:r w:rsidR="00E11C8A" w:rsidRPr="009D590F">
        <w:rPr>
          <w:rFonts w:ascii="Times New Roman" w:hAnsi="Times New Roman"/>
        </w:rPr>
        <w:t xml:space="preserve"> </w:t>
      </w:r>
      <w:r w:rsidR="00DB49EC" w:rsidRPr="009D590F">
        <w:rPr>
          <w:rFonts w:ascii="Times New Roman" w:hAnsi="Times New Roman"/>
        </w:rPr>
        <w:t xml:space="preserve">Livy and other authors put the capture of Syracuse </w:t>
      </w:r>
      <w:r w:rsidR="00DB49EC">
        <w:rPr>
          <w:rFonts w:ascii="Times New Roman" w:hAnsi="Times New Roman"/>
        </w:rPr>
        <w:t>in early 211 BC</w:t>
      </w:r>
      <w:r w:rsidR="00DB49EC" w:rsidRPr="009D590F">
        <w:rPr>
          <w:rFonts w:ascii="Times New Roman" w:hAnsi="Times New Roman"/>
        </w:rPr>
        <w:t xml:space="preserve"> by M. Claudius Marcellus at the beginning of Rome’s desire for Greek art</w:t>
      </w:r>
      <w:r w:rsidR="00DB49EC">
        <w:rPr>
          <w:rFonts w:ascii="Times New Roman" w:hAnsi="Times New Roman"/>
        </w:rPr>
        <w:t>.</w:t>
      </w:r>
      <w:r w:rsidR="00E11C8A" w:rsidRPr="009D590F">
        <w:rPr>
          <w:rStyle w:val="FootnoteReference"/>
          <w:rFonts w:ascii="Times New Roman" w:hAnsi="Times New Roman"/>
        </w:rPr>
        <w:footnoteReference w:id="14"/>
      </w:r>
      <w:r w:rsidR="00E11C8A" w:rsidRPr="009D590F">
        <w:rPr>
          <w:rFonts w:ascii="Times New Roman" w:hAnsi="Times New Roman"/>
        </w:rPr>
        <w:t xml:space="preserve"> Greek sculpture, in white marble or bronze, was to be</w:t>
      </w:r>
      <w:r w:rsidR="00320DCB" w:rsidRPr="009D590F">
        <w:rPr>
          <w:rFonts w:ascii="Times New Roman" w:hAnsi="Times New Roman"/>
        </w:rPr>
        <w:t>c</w:t>
      </w:r>
      <w:r w:rsidR="00AF4752" w:rsidRPr="009D590F">
        <w:rPr>
          <w:rFonts w:ascii="Times New Roman" w:hAnsi="Times New Roman"/>
        </w:rPr>
        <w:t>ome</w:t>
      </w:r>
      <w:r w:rsidR="00E11C8A" w:rsidRPr="009D590F">
        <w:rPr>
          <w:rFonts w:ascii="Times New Roman" w:hAnsi="Times New Roman"/>
        </w:rPr>
        <w:t xml:space="preserve"> a regular part of plunder brought home by Roman generals from </w:t>
      </w:r>
      <w:r w:rsidR="00AF4752" w:rsidRPr="009D590F">
        <w:rPr>
          <w:rFonts w:ascii="Times New Roman" w:hAnsi="Times New Roman"/>
        </w:rPr>
        <w:t xml:space="preserve">Greece and Asia Minor, the </w:t>
      </w:r>
      <w:r w:rsidR="00AF4752" w:rsidRPr="009D590F">
        <w:rPr>
          <w:rFonts w:ascii="Times New Roman" w:hAnsi="Times New Roman"/>
        </w:rPr>
        <w:lastRenderedPageBreak/>
        <w:t xml:space="preserve">pillaging of Corinth by L. </w:t>
      </w:r>
      <w:proofErr w:type="spellStart"/>
      <w:r w:rsidR="00AF4752" w:rsidRPr="009D590F">
        <w:rPr>
          <w:rFonts w:ascii="Times New Roman" w:hAnsi="Times New Roman"/>
        </w:rPr>
        <w:t>Mummius</w:t>
      </w:r>
      <w:proofErr w:type="spellEnd"/>
      <w:r w:rsidR="00AF4752" w:rsidRPr="009D590F">
        <w:rPr>
          <w:rFonts w:ascii="Times New Roman" w:hAnsi="Times New Roman"/>
        </w:rPr>
        <w:t xml:space="preserve"> in 146 BC perhaps being the most memorable of despoliations</w:t>
      </w:r>
      <w:r w:rsidR="00E11C8A" w:rsidRPr="009D590F">
        <w:rPr>
          <w:rFonts w:ascii="Times New Roman" w:hAnsi="Times New Roman"/>
        </w:rPr>
        <w:t>.</w:t>
      </w:r>
      <w:r w:rsidR="00E11C8A" w:rsidRPr="009D590F">
        <w:rPr>
          <w:rStyle w:val="FootnoteReference"/>
          <w:rFonts w:ascii="Times New Roman" w:hAnsi="Times New Roman"/>
        </w:rPr>
        <w:footnoteReference w:id="15"/>
      </w:r>
      <w:r w:rsidR="00E11C8A" w:rsidRPr="009D590F">
        <w:rPr>
          <w:rFonts w:ascii="Times New Roman" w:hAnsi="Times New Roman"/>
        </w:rPr>
        <w:t xml:space="preserve"> </w:t>
      </w:r>
      <w:r w:rsidR="00DB49EC">
        <w:rPr>
          <w:rFonts w:ascii="Times New Roman" w:hAnsi="Times New Roman"/>
        </w:rPr>
        <w:t xml:space="preserve">The </w:t>
      </w:r>
      <w:r w:rsidR="008D6168">
        <w:rPr>
          <w:rFonts w:ascii="Times New Roman" w:hAnsi="Times New Roman"/>
        </w:rPr>
        <w:t>Romans likely</w:t>
      </w:r>
      <w:r w:rsidR="00C326F7" w:rsidRPr="009D590F">
        <w:rPr>
          <w:rFonts w:ascii="Times New Roman" w:hAnsi="Times New Roman"/>
        </w:rPr>
        <w:t xml:space="preserve"> dismantled and removed </w:t>
      </w:r>
      <w:r w:rsidR="00AB53C0" w:rsidRPr="009D590F">
        <w:rPr>
          <w:rFonts w:ascii="Times New Roman" w:hAnsi="Times New Roman"/>
        </w:rPr>
        <w:t>architectural elements from Greece</w:t>
      </w:r>
      <w:r w:rsidR="00AF4752" w:rsidRPr="009D590F">
        <w:rPr>
          <w:rFonts w:ascii="Times New Roman" w:hAnsi="Times New Roman"/>
        </w:rPr>
        <w:t xml:space="preserve"> during this period</w:t>
      </w:r>
      <w:r w:rsidR="00AB53C0" w:rsidRPr="009D590F">
        <w:rPr>
          <w:rFonts w:ascii="Times New Roman" w:hAnsi="Times New Roman"/>
        </w:rPr>
        <w:t xml:space="preserve">, although </w:t>
      </w:r>
      <w:r w:rsidR="00DB49EC">
        <w:rPr>
          <w:rFonts w:ascii="Times New Roman" w:hAnsi="Times New Roman"/>
        </w:rPr>
        <w:t xml:space="preserve">their </w:t>
      </w:r>
      <w:r w:rsidR="00AF4752" w:rsidRPr="009D590F">
        <w:rPr>
          <w:rFonts w:ascii="Times New Roman" w:hAnsi="Times New Roman"/>
        </w:rPr>
        <w:t>explicit mention</w:t>
      </w:r>
      <w:r w:rsidR="00C326F7" w:rsidRPr="009D590F">
        <w:rPr>
          <w:rFonts w:ascii="Times New Roman" w:hAnsi="Times New Roman"/>
        </w:rPr>
        <w:t xml:space="preserve"> </w:t>
      </w:r>
      <w:r w:rsidR="00DB49EC">
        <w:rPr>
          <w:rFonts w:ascii="Times New Roman" w:hAnsi="Times New Roman"/>
        </w:rPr>
        <w:t>as</w:t>
      </w:r>
      <w:r w:rsidR="00AF4752" w:rsidRPr="009D590F">
        <w:rPr>
          <w:rFonts w:ascii="Times New Roman" w:hAnsi="Times New Roman"/>
        </w:rPr>
        <w:t xml:space="preserve"> spoils </w:t>
      </w:r>
      <w:r w:rsidR="00AB3EC1">
        <w:rPr>
          <w:rFonts w:ascii="Times New Roman" w:hAnsi="Times New Roman"/>
        </w:rPr>
        <w:t xml:space="preserve">of war </w:t>
      </w:r>
      <w:r w:rsidR="00DB49EC">
        <w:rPr>
          <w:rFonts w:ascii="Times New Roman" w:hAnsi="Times New Roman"/>
        </w:rPr>
        <w:t>is rare</w:t>
      </w:r>
      <w:r w:rsidR="00E11C8A" w:rsidRPr="009D590F">
        <w:rPr>
          <w:rFonts w:ascii="Times New Roman" w:hAnsi="Times New Roman"/>
        </w:rPr>
        <w:t xml:space="preserve">. </w:t>
      </w:r>
      <w:r w:rsidR="00DB49EC" w:rsidRPr="009D590F">
        <w:rPr>
          <w:rFonts w:ascii="Times New Roman" w:hAnsi="Times New Roman"/>
        </w:rPr>
        <w:t xml:space="preserve">The use of plundered marble to embellish manubial temples </w:t>
      </w:r>
      <w:r w:rsidR="0085510E">
        <w:rPr>
          <w:rFonts w:ascii="Times New Roman" w:hAnsi="Times New Roman"/>
        </w:rPr>
        <w:t>seems to have been</w:t>
      </w:r>
      <w:r w:rsidR="00DB49EC" w:rsidRPr="009D590F">
        <w:rPr>
          <w:rFonts w:ascii="Times New Roman" w:hAnsi="Times New Roman"/>
        </w:rPr>
        <w:t xml:space="preserve"> an accepted practice, which is why Livy found </w:t>
      </w:r>
      <w:r w:rsidR="0085510E">
        <w:rPr>
          <w:rFonts w:ascii="Times New Roman" w:hAnsi="Times New Roman"/>
        </w:rPr>
        <w:t xml:space="preserve">the following </w:t>
      </w:r>
      <w:r w:rsidR="00DB49EC" w:rsidRPr="009D590F">
        <w:rPr>
          <w:rFonts w:ascii="Times New Roman" w:hAnsi="Times New Roman"/>
        </w:rPr>
        <w:t xml:space="preserve">episode </w:t>
      </w:r>
      <w:r w:rsidR="0085510E">
        <w:rPr>
          <w:rFonts w:ascii="Times New Roman" w:hAnsi="Times New Roman"/>
        </w:rPr>
        <w:t xml:space="preserve">extraordinary and therefore </w:t>
      </w:r>
      <w:r w:rsidR="00DB49EC" w:rsidRPr="009D590F">
        <w:rPr>
          <w:rFonts w:ascii="Times New Roman" w:hAnsi="Times New Roman"/>
        </w:rPr>
        <w:t xml:space="preserve">worth of mention: after his victory over the </w:t>
      </w:r>
      <w:proofErr w:type="spellStart"/>
      <w:r w:rsidR="00DB49EC" w:rsidRPr="009D590F">
        <w:rPr>
          <w:rFonts w:ascii="Times New Roman" w:hAnsi="Times New Roman"/>
        </w:rPr>
        <w:t>Celtiberi</w:t>
      </w:r>
      <w:proofErr w:type="spellEnd"/>
      <w:r w:rsidR="00DB49EC" w:rsidRPr="009D590F">
        <w:rPr>
          <w:rFonts w:ascii="Times New Roman" w:hAnsi="Times New Roman"/>
        </w:rPr>
        <w:t xml:space="preserve"> in Spain as p</w:t>
      </w:r>
      <w:r w:rsidR="00DB49EC">
        <w:rPr>
          <w:rFonts w:ascii="Times New Roman" w:hAnsi="Times New Roman"/>
        </w:rPr>
        <w:t>raetor in 180 BC</w:t>
      </w:r>
      <w:r w:rsidR="00DB49EC" w:rsidRPr="009D590F">
        <w:rPr>
          <w:rFonts w:ascii="Times New Roman" w:hAnsi="Times New Roman"/>
        </w:rPr>
        <w:t xml:space="preserve">, the censor Q. </w:t>
      </w:r>
      <w:proofErr w:type="spellStart"/>
      <w:r w:rsidR="00DB49EC" w:rsidRPr="009D590F">
        <w:rPr>
          <w:rFonts w:ascii="Times New Roman" w:hAnsi="Times New Roman"/>
        </w:rPr>
        <w:t>Fulvius</w:t>
      </w:r>
      <w:proofErr w:type="spellEnd"/>
      <w:r w:rsidR="00DB49EC" w:rsidRPr="009D590F">
        <w:rPr>
          <w:rFonts w:ascii="Times New Roman" w:hAnsi="Times New Roman"/>
        </w:rPr>
        <w:t xml:space="preserve"> </w:t>
      </w:r>
      <w:proofErr w:type="spellStart"/>
      <w:r w:rsidR="00DB49EC" w:rsidRPr="009D590F">
        <w:rPr>
          <w:rFonts w:ascii="Times New Roman" w:hAnsi="Times New Roman"/>
        </w:rPr>
        <w:t>Flaccus</w:t>
      </w:r>
      <w:proofErr w:type="spellEnd"/>
      <w:r w:rsidR="00DB49EC" w:rsidRPr="009D590F">
        <w:rPr>
          <w:rFonts w:ascii="Times New Roman" w:hAnsi="Times New Roman"/>
        </w:rPr>
        <w:t xml:space="preserve"> dedicated the </w:t>
      </w:r>
      <w:proofErr w:type="spellStart"/>
      <w:r w:rsidR="00DB49EC" w:rsidRPr="009D590F">
        <w:rPr>
          <w:rFonts w:ascii="Times New Roman" w:hAnsi="Times New Roman"/>
          <w:i/>
        </w:rPr>
        <w:t>aedes</w:t>
      </w:r>
      <w:proofErr w:type="spellEnd"/>
      <w:r w:rsidR="00DB49EC" w:rsidRPr="009D590F">
        <w:rPr>
          <w:rFonts w:ascii="Times New Roman" w:hAnsi="Times New Roman"/>
        </w:rPr>
        <w:t xml:space="preserve"> of Fortuna </w:t>
      </w:r>
      <w:proofErr w:type="spellStart"/>
      <w:r w:rsidR="00DB49EC" w:rsidRPr="009D590F">
        <w:rPr>
          <w:rFonts w:ascii="Times New Roman" w:hAnsi="Times New Roman"/>
        </w:rPr>
        <w:t>Equestris</w:t>
      </w:r>
      <w:proofErr w:type="spellEnd"/>
      <w:r w:rsidR="00DB49EC" w:rsidRPr="009D590F">
        <w:rPr>
          <w:rFonts w:ascii="Times New Roman" w:hAnsi="Times New Roman"/>
        </w:rPr>
        <w:t xml:space="preserve"> in 174 BC duri</w:t>
      </w:r>
      <w:r w:rsidR="00DB49EC">
        <w:rPr>
          <w:rFonts w:ascii="Times New Roman" w:hAnsi="Times New Roman"/>
        </w:rPr>
        <w:t>ng his censorship</w:t>
      </w:r>
      <w:r w:rsidR="00DB49EC" w:rsidRPr="009D590F">
        <w:rPr>
          <w:rFonts w:ascii="Times New Roman" w:hAnsi="Times New Roman"/>
        </w:rPr>
        <w:t xml:space="preserve">. In order to adorn the complex, the censor had marble tiles from the Temple of </w:t>
      </w:r>
      <w:proofErr w:type="spellStart"/>
      <w:r w:rsidR="00DB49EC" w:rsidRPr="009D590F">
        <w:rPr>
          <w:rFonts w:ascii="Times New Roman" w:hAnsi="Times New Roman"/>
        </w:rPr>
        <w:t>Iuno</w:t>
      </w:r>
      <w:proofErr w:type="spellEnd"/>
      <w:r w:rsidR="00DB49EC" w:rsidRPr="009D590F">
        <w:rPr>
          <w:rFonts w:ascii="Times New Roman" w:hAnsi="Times New Roman"/>
        </w:rPr>
        <w:t xml:space="preserve"> Lacinia at Croton in Bruttium removed — only to have them returned to the </w:t>
      </w:r>
      <w:proofErr w:type="spellStart"/>
      <w:r w:rsidR="00DB49EC" w:rsidRPr="009D590F">
        <w:rPr>
          <w:rFonts w:ascii="Times New Roman" w:hAnsi="Times New Roman"/>
        </w:rPr>
        <w:t>Crotonian</w:t>
      </w:r>
      <w:proofErr w:type="spellEnd"/>
      <w:r w:rsidR="00DB49EC" w:rsidRPr="009D590F">
        <w:rPr>
          <w:rFonts w:ascii="Times New Roman" w:hAnsi="Times New Roman"/>
        </w:rPr>
        <w:t xml:space="preserve"> allies on the orders of the Roman senate who did not approve of the sacrilegious act.</w:t>
      </w:r>
      <w:r w:rsidR="00DB49EC" w:rsidRPr="009D590F">
        <w:rPr>
          <w:rStyle w:val="FootnoteReference"/>
          <w:rFonts w:ascii="Times New Roman" w:hAnsi="Times New Roman"/>
        </w:rPr>
        <w:footnoteReference w:id="16"/>
      </w:r>
      <w:r w:rsidR="00DB49EC" w:rsidRPr="009D590F">
        <w:rPr>
          <w:rFonts w:ascii="Times New Roman" w:hAnsi="Times New Roman"/>
        </w:rPr>
        <w:t xml:space="preserve"> The exceptionality of </w:t>
      </w:r>
      <w:proofErr w:type="spellStart"/>
      <w:r w:rsidR="00DB49EC" w:rsidRPr="009D590F">
        <w:rPr>
          <w:rFonts w:ascii="Times New Roman" w:hAnsi="Times New Roman"/>
        </w:rPr>
        <w:t>Flaccus</w:t>
      </w:r>
      <w:proofErr w:type="spellEnd"/>
      <w:r w:rsidR="00DB49EC" w:rsidRPr="009D590F">
        <w:rPr>
          <w:rFonts w:ascii="Times New Roman" w:hAnsi="Times New Roman"/>
        </w:rPr>
        <w:t xml:space="preserve">’ irreverent act arises from plundering a temple of the allies, not necessarily of a temple </w:t>
      </w:r>
      <w:r w:rsidR="00DB49EC" w:rsidRPr="009D590F">
        <w:rPr>
          <w:rFonts w:ascii="Times New Roman" w:hAnsi="Times New Roman"/>
          <w:i/>
        </w:rPr>
        <w:t>per se</w:t>
      </w:r>
      <w:r w:rsidR="00DB49EC" w:rsidRPr="009D590F">
        <w:rPr>
          <w:rFonts w:ascii="Times New Roman" w:hAnsi="Times New Roman"/>
        </w:rPr>
        <w:t xml:space="preserve">. If </w:t>
      </w:r>
      <w:r w:rsidR="00DB49EC">
        <w:rPr>
          <w:rFonts w:ascii="Times New Roman" w:hAnsi="Times New Roman"/>
        </w:rPr>
        <w:t>accurate</w:t>
      </w:r>
      <w:r w:rsidR="00DB49EC" w:rsidRPr="009D590F">
        <w:rPr>
          <w:rFonts w:ascii="Times New Roman" w:hAnsi="Times New Roman"/>
        </w:rPr>
        <w:t xml:space="preserve">, the despoilment and removal </w:t>
      </w:r>
      <w:r w:rsidR="00A35FB2">
        <w:rPr>
          <w:rFonts w:ascii="Times New Roman" w:hAnsi="Times New Roman"/>
        </w:rPr>
        <w:t>of tiles, columns, and capitals</w:t>
      </w:r>
      <w:r w:rsidR="00DB49EC" w:rsidRPr="009D590F">
        <w:rPr>
          <w:rFonts w:ascii="Times New Roman" w:hAnsi="Times New Roman"/>
        </w:rPr>
        <w:t xml:space="preserve"> might well have been commonplace in the Middle Republic. Sulla, who celebrated a triumph in 81 BC for his victory over Mithridates VI of Pontus, had columns taken from the temple of Zeus </w:t>
      </w:r>
      <w:proofErr w:type="spellStart"/>
      <w:r w:rsidR="00DB49EC" w:rsidRPr="009D590F">
        <w:rPr>
          <w:rFonts w:ascii="Times New Roman" w:hAnsi="Times New Roman"/>
        </w:rPr>
        <w:t>Olympius</w:t>
      </w:r>
      <w:proofErr w:type="spellEnd"/>
      <w:r w:rsidR="00DB49EC" w:rsidRPr="009D590F">
        <w:rPr>
          <w:rFonts w:ascii="Times New Roman" w:hAnsi="Times New Roman"/>
        </w:rPr>
        <w:t xml:space="preserve"> in Athens in order to rebuild the temple of Jupiter </w:t>
      </w:r>
      <w:proofErr w:type="spellStart"/>
      <w:r w:rsidR="00DB49EC" w:rsidRPr="009D590F">
        <w:rPr>
          <w:rFonts w:ascii="Times New Roman" w:hAnsi="Times New Roman"/>
        </w:rPr>
        <w:t>Capitolinus</w:t>
      </w:r>
      <w:proofErr w:type="spellEnd"/>
      <w:r w:rsidR="00DB49EC" w:rsidRPr="009D590F">
        <w:rPr>
          <w:rFonts w:ascii="Times New Roman" w:hAnsi="Times New Roman"/>
        </w:rPr>
        <w:t xml:space="preserve"> which had been destroyed in 83 BC.</w:t>
      </w:r>
      <w:r w:rsidR="00DB49EC" w:rsidRPr="009D590F">
        <w:rPr>
          <w:rStyle w:val="FootnoteReference"/>
          <w:rFonts w:ascii="Times New Roman" w:hAnsi="Times New Roman"/>
        </w:rPr>
        <w:footnoteReference w:id="17"/>
      </w:r>
    </w:p>
    <w:p w14:paraId="6DBFB556" w14:textId="37759C8D" w:rsidR="009E7F7B" w:rsidRDefault="005D2D6F" w:rsidP="00D45F28">
      <w:pPr>
        <w:tabs>
          <w:tab w:val="left" w:pos="567"/>
        </w:tabs>
        <w:jc w:val="both"/>
        <w:rPr>
          <w:rFonts w:ascii="Times New Roman" w:hAnsi="Times New Roman"/>
        </w:rPr>
      </w:pPr>
      <w:r>
        <w:rPr>
          <w:rFonts w:ascii="Times New Roman" w:hAnsi="Times New Roman"/>
        </w:rPr>
        <w:tab/>
      </w:r>
      <w:r w:rsidR="007D4877" w:rsidRPr="009D590F">
        <w:rPr>
          <w:rFonts w:ascii="Times New Roman" w:hAnsi="Times New Roman"/>
        </w:rPr>
        <w:t>During the Middle Republic</w:t>
      </w:r>
      <w:r w:rsidR="00AF4752" w:rsidRPr="009D590F">
        <w:rPr>
          <w:rFonts w:ascii="Times New Roman" w:hAnsi="Times New Roman"/>
        </w:rPr>
        <w:t xml:space="preserve"> </w:t>
      </w:r>
      <w:r w:rsidR="009E7F7B">
        <w:rPr>
          <w:rFonts w:ascii="Times New Roman" w:hAnsi="Times New Roman"/>
        </w:rPr>
        <w:t>the</w:t>
      </w:r>
      <w:r w:rsidR="00AF4752" w:rsidRPr="009D590F">
        <w:rPr>
          <w:rFonts w:ascii="Times New Roman" w:hAnsi="Times New Roman"/>
        </w:rPr>
        <w:t xml:space="preserve"> temples </w:t>
      </w:r>
      <w:r w:rsidR="007D4877" w:rsidRPr="009D590F">
        <w:rPr>
          <w:rFonts w:ascii="Times New Roman" w:hAnsi="Times New Roman"/>
        </w:rPr>
        <w:t>increasingly</w:t>
      </w:r>
      <w:r w:rsidR="00AF4752" w:rsidRPr="009D590F">
        <w:rPr>
          <w:rFonts w:ascii="Times New Roman" w:hAnsi="Times New Roman"/>
        </w:rPr>
        <w:t xml:space="preserve"> </w:t>
      </w:r>
      <w:r w:rsidR="0089767F">
        <w:rPr>
          <w:rFonts w:ascii="Times New Roman" w:hAnsi="Times New Roman"/>
        </w:rPr>
        <w:t xml:space="preserve">displayed </w:t>
      </w:r>
      <w:r w:rsidR="00B2752A" w:rsidRPr="009D590F">
        <w:rPr>
          <w:rFonts w:ascii="Times New Roman" w:hAnsi="Times New Roman"/>
        </w:rPr>
        <w:t xml:space="preserve">imported </w:t>
      </w:r>
      <w:r w:rsidR="00AF4752" w:rsidRPr="009D590F">
        <w:rPr>
          <w:rFonts w:ascii="Times New Roman" w:hAnsi="Times New Roman"/>
        </w:rPr>
        <w:t>white marble</w:t>
      </w:r>
      <w:r w:rsidR="007D4877" w:rsidRPr="009D590F">
        <w:rPr>
          <w:rFonts w:ascii="Times New Roman" w:hAnsi="Times New Roman"/>
        </w:rPr>
        <w:t>. Shortly after his tri</w:t>
      </w:r>
      <w:r w:rsidR="009E7F7B">
        <w:rPr>
          <w:rFonts w:ascii="Times New Roman" w:hAnsi="Times New Roman"/>
        </w:rPr>
        <w:t xml:space="preserve">umph of 146 BC over </w:t>
      </w:r>
      <w:proofErr w:type="spellStart"/>
      <w:r w:rsidR="009E7F7B">
        <w:rPr>
          <w:rFonts w:ascii="Times New Roman" w:hAnsi="Times New Roman"/>
        </w:rPr>
        <w:t>Andriscus</w:t>
      </w:r>
      <w:proofErr w:type="spellEnd"/>
      <w:r w:rsidR="009E7F7B">
        <w:rPr>
          <w:rFonts w:ascii="Times New Roman" w:hAnsi="Times New Roman"/>
        </w:rPr>
        <w:t xml:space="preserve"> </w:t>
      </w:r>
      <w:r w:rsidR="007D4877" w:rsidRPr="009D590F">
        <w:rPr>
          <w:rFonts w:ascii="Times New Roman" w:hAnsi="Times New Roman"/>
        </w:rPr>
        <w:t xml:space="preserve">in Macedonia, Q. </w:t>
      </w:r>
      <w:proofErr w:type="spellStart"/>
      <w:r w:rsidR="007D4877" w:rsidRPr="009D590F">
        <w:rPr>
          <w:rFonts w:ascii="Times New Roman" w:hAnsi="Times New Roman"/>
        </w:rPr>
        <w:t>Caecilius</w:t>
      </w:r>
      <w:proofErr w:type="spellEnd"/>
      <w:r w:rsidR="007D4877" w:rsidRPr="009D590F">
        <w:rPr>
          <w:rFonts w:ascii="Times New Roman" w:hAnsi="Times New Roman"/>
        </w:rPr>
        <w:t xml:space="preserve"> </w:t>
      </w:r>
      <w:proofErr w:type="spellStart"/>
      <w:r w:rsidR="007D4877" w:rsidRPr="009D590F">
        <w:rPr>
          <w:rFonts w:ascii="Times New Roman" w:hAnsi="Times New Roman"/>
        </w:rPr>
        <w:t>Metellus</w:t>
      </w:r>
      <w:proofErr w:type="spellEnd"/>
      <w:r w:rsidR="007D4877" w:rsidRPr="009D590F">
        <w:rPr>
          <w:rFonts w:ascii="Times New Roman" w:hAnsi="Times New Roman"/>
        </w:rPr>
        <w:t xml:space="preserve"> </w:t>
      </w:r>
      <w:proofErr w:type="spellStart"/>
      <w:r w:rsidR="007D4877" w:rsidRPr="009D590F">
        <w:rPr>
          <w:rFonts w:ascii="Times New Roman" w:hAnsi="Times New Roman"/>
        </w:rPr>
        <w:t>Macedonicus</w:t>
      </w:r>
      <w:proofErr w:type="spellEnd"/>
      <w:r w:rsidR="007D4877" w:rsidRPr="009D590F">
        <w:rPr>
          <w:rFonts w:ascii="Times New Roman" w:hAnsi="Times New Roman"/>
        </w:rPr>
        <w:t xml:space="preserve"> not only had statues he had looted on campaign set up in the </w:t>
      </w:r>
      <w:proofErr w:type="spellStart"/>
      <w:r w:rsidR="007D4877" w:rsidRPr="009D590F">
        <w:rPr>
          <w:rFonts w:ascii="Times New Roman" w:hAnsi="Times New Roman"/>
          <w:i/>
        </w:rPr>
        <w:t>porticus</w:t>
      </w:r>
      <w:proofErr w:type="spellEnd"/>
      <w:r w:rsidR="007D4877" w:rsidRPr="009D590F">
        <w:rPr>
          <w:rFonts w:ascii="Times New Roman" w:hAnsi="Times New Roman"/>
          <w:i/>
        </w:rPr>
        <w:t xml:space="preserve"> </w:t>
      </w:r>
      <w:proofErr w:type="spellStart"/>
      <w:r w:rsidR="007D4877" w:rsidRPr="009D590F">
        <w:rPr>
          <w:rFonts w:ascii="Times New Roman" w:hAnsi="Times New Roman"/>
          <w:i/>
        </w:rPr>
        <w:t>Metelli</w:t>
      </w:r>
      <w:proofErr w:type="spellEnd"/>
      <w:r w:rsidR="007D4877" w:rsidRPr="009D590F">
        <w:rPr>
          <w:rFonts w:ascii="Times New Roman" w:hAnsi="Times New Roman"/>
        </w:rPr>
        <w:t>, he also commissioned the construction of the temple of Jupiter Stator in Greek marble.</w:t>
      </w:r>
      <w:r w:rsidR="007D4877" w:rsidRPr="009D590F">
        <w:rPr>
          <w:rStyle w:val="FootnoteReference"/>
          <w:rFonts w:ascii="Times New Roman" w:hAnsi="Times New Roman"/>
        </w:rPr>
        <w:footnoteReference w:id="18"/>
      </w:r>
      <w:r w:rsidR="007D4877" w:rsidRPr="009D590F">
        <w:rPr>
          <w:rFonts w:ascii="Times New Roman" w:hAnsi="Times New Roman"/>
        </w:rPr>
        <w:t xml:space="preserve"> </w:t>
      </w:r>
      <w:r w:rsidR="009E7F7B">
        <w:rPr>
          <w:rFonts w:ascii="Times New Roman" w:hAnsi="Times New Roman"/>
        </w:rPr>
        <w:t>Even v</w:t>
      </w:r>
      <w:r w:rsidR="007D4877" w:rsidRPr="009D590F">
        <w:rPr>
          <w:rFonts w:ascii="Times New Roman" w:hAnsi="Times New Roman"/>
        </w:rPr>
        <w:t xml:space="preserve">ictorious generals not </w:t>
      </w:r>
      <w:r w:rsidR="00ED6AEC" w:rsidRPr="009D590F">
        <w:rPr>
          <w:rFonts w:ascii="Times New Roman" w:hAnsi="Times New Roman"/>
        </w:rPr>
        <w:t>fighting</w:t>
      </w:r>
      <w:r w:rsidR="007D4877" w:rsidRPr="009D590F">
        <w:rPr>
          <w:rFonts w:ascii="Times New Roman" w:hAnsi="Times New Roman"/>
        </w:rPr>
        <w:t xml:space="preserve"> in the Greek East </w:t>
      </w:r>
      <w:r w:rsidR="00ED6AEC" w:rsidRPr="009D590F">
        <w:rPr>
          <w:rFonts w:ascii="Times New Roman" w:hAnsi="Times New Roman"/>
        </w:rPr>
        <w:t>built</w:t>
      </w:r>
      <w:r w:rsidR="007D4877" w:rsidRPr="009D590F">
        <w:rPr>
          <w:rFonts w:ascii="Times New Roman" w:hAnsi="Times New Roman"/>
        </w:rPr>
        <w:t xml:space="preserve"> their temples</w:t>
      </w:r>
      <w:r w:rsidR="009E7F7B">
        <w:rPr>
          <w:rFonts w:ascii="Times New Roman" w:hAnsi="Times New Roman"/>
        </w:rPr>
        <w:t xml:space="preserve"> vowed on campaign</w:t>
      </w:r>
      <w:r w:rsidR="007D4877" w:rsidRPr="009D590F">
        <w:rPr>
          <w:rFonts w:ascii="Times New Roman" w:hAnsi="Times New Roman"/>
        </w:rPr>
        <w:t xml:space="preserve"> in </w:t>
      </w:r>
      <w:r w:rsidR="00ED6AEC" w:rsidRPr="009D590F">
        <w:rPr>
          <w:rFonts w:ascii="Times New Roman" w:hAnsi="Times New Roman"/>
        </w:rPr>
        <w:t xml:space="preserve">white </w:t>
      </w:r>
      <w:r w:rsidR="007D4877" w:rsidRPr="009D590F">
        <w:rPr>
          <w:rFonts w:ascii="Times New Roman" w:hAnsi="Times New Roman"/>
        </w:rPr>
        <w:t xml:space="preserve">marble: D. </w:t>
      </w:r>
      <w:proofErr w:type="spellStart"/>
      <w:r w:rsidR="007D4877" w:rsidRPr="009D590F">
        <w:rPr>
          <w:rFonts w:ascii="Times New Roman" w:hAnsi="Times New Roman"/>
        </w:rPr>
        <w:t>Iunius</w:t>
      </w:r>
      <w:proofErr w:type="spellEnd"/>
      <w:r w:rsidR="007D4877" w:rsidRPr="009D590F">
        <w:rPr>
          <w:rFonts w:ascii="Times New Roman" w:hAnsi="Times New Roman"/>
        </w:rPr>
        <w:t xml:space="preserve"> Brutus </w:t>
      </w:r>
      <w:proofErr w:type="spellStart"/>
      <w:r w:rsidR="007D4877" w:rsidRPr="009D590F">
        <w:rPr>
          <w:rFonts w:ascii="Times New Roman" w:hAnsi="Times New Roman"/>
        </w:rPr>
        <w:t>Callaecus</w:t>
      </w:r>
      <w:proofErr w:type="spellEnd"/>
      <w:r w:rsidR="007D4877" w:rsidRPr="009D590F">
        <w:rPr>
          <w:rFonts w:ascii="Times New Roman" w:hAnsi="Times New Roman"/>
        </w:rPr>
        <w:t xml:space="preserve"> —having celebrated a triumph over Lusitanians and </w:t>
      </w:r>
      <w:proofErr w:type="spellStart"/>
      <w:r w:rsidR="007D4877" w:rsidRPr="009D590F">
        <w:rPr>
          <w:rFonts w:ascii="Times New Roman" w:hAnsi="Times New Roman"/>
        </w:rPr>
        <w:t>Callaeci</w:t>
      </w:r>
      <w:proofErr w:type="spellEnd"/>
      <w:r w:rsidR="007D4877" w:rsidRPr="009D590F">
        <w:rPr>
          <w:rFonts w:ascii="Times New Roman" w:hAnsi="Times New Roman"/>
        </w:rPr>
        <w:t xml:space="preserve"> in 133 (?)— dedicated a temple to Mars </w:t>
      </w:r>
      <w:r w:rsidR="007D4877" w:rsidRPr="009D590F">
        <w:rPr>
          <w:rFonts w:ascii="Times New Roman" w:hAnsi="Times New Roman"/>
          <w:i/>
        </w:rPr>
        <w:t xml:space="preserve">in </w:t>
      </w:r>
      <w:proofErr w:type="spellStart"/>
      <w:r w:rsidR="007D4877" w:rsidRPr="009D590F">
        <w:rPr>
          <w:rFonts w:ascii="Times New Roman" w:hAnsi="Times New Roman"/>
          <w:i/>
        </w:rPr>
        <w:t>circo</w:t>
      </w:r>
      <w:proofErr w:type="spellEnd"/>
      <w:r w:rsidR="007D4877" w:rsidRPr="009D590F">
        <w:rPr>
          <w:rFonts w:ascii="Times New Roman" w:hAnsi="Times New Roman"/>
          <w:i/>
        </w:rPr>
        <w:t xml:space="preserve"> </w:t>
      </w:r>
      <w:proofErr w:type="spellStart"/>
      <w:r w:rsidR="007D4877" w:rsidRPr="009D590F">
        <w:rPr>
          <w:rFonts w:ascii="Times New Roman" w:hAnsi="Times New Roman"/>
          <w:i/>
        </w:rPr>
        <w:t>Flaminio</w:t>
      </w:r>
      <w:proofErr w:type="spellEnd"/>
      <w:r w:rsidR="007D4877" w:rsidRPr="009D590F">
        <w:rPr>
          <w:rFonts w:ascii="Times New Roman" w:hAnsi="Times New Roman"/>
          <w:i/>
        </w:rPr>
        <w:t xml:space="preserve"> </w:t>
      </w:r>
      <w:r w:rsidR="007D4877" w:rsidRPr="009D590F">
        <w:rPr>
          <w:rFonts w:ascii="Times New Roman" w:hAnsi="Times New Roman"/>
        </w:rPr>
        <w:t>in 131 BC, which was built in Pentelic marble.</w:t>
      </w:r>
      <w:r w:rsidR="007D4877" w:rsidRPr="009D590F">
        <w:rPr>
          <w:rStyle w:val="FootnoteReference"/>
          <w:rFonts w:ascii="Times New Roman" w:hAnsi="Times New Roman"/>
        </w:rPr>
        <w:footnoteReference w:id="19"/>
      </w:r>
      <w:r w:rsidR="007D4877" w:rsidRPr="009D590F">
        <w:rPr>
          <w:rFonts w:ascii="Times New Roman" w:hAnsi="Times New Roman"/>
        </w:rPr>
        <w:t xml:space="preserve"> </w:t>
      </w:r>
      <w:r w:rsidR="00ED6AEC" w:rsidRPr="009D590F">
        <w:rPr>
          <w:rFonts w:ascii="Times New Roman" w:hAnsi="Times New Roman"/>
        </w:rPr>
        <w:t xml:space="preserve">Unless we want to see </w:t>
      </w:r>
      <w:r w:rsidR="00280709">
        <w:rPr>
          <w:rFonts w:ascii="Times New Roman" w:hAnsi="Times New Roman"/>
        </w:rPr>
        <w:t xml:space="preserve">the use of Greek marble </w:t>
      </w:r>
      <w:r w:rsidR="00ED6AEC" w:rsidRPr="009D590F">
        <w:rPr>
          <w:rFonts w:ascii="Times New Roman" w:hAnsi="Times New Roman"/>
        </w:rPr>
        <w:t xml:space="preserve">in temples solely as a cultural practice </w:t>
      </w:r>
      <w:r w:rsidR="008A0674" w:rsidRPr="009D590F">
        <w:rPr>
          <w:rFonts w:ascii="Times New Roman" w:hAnsi="Times New Roman"/>
        </w:rPr>
        <w:t>copied or adapted</w:t>
      </w:r>
      <w:r w:rsidR="00ED6AEC" w:rsidRPr="009D590F">
        <w:rPr>
          <w:rFonts w:ascii="Times New Roman" w:hAnsi="Times New Roman"/>
        </w:rPr>
        <w:t xml:space="preserve"> from Greece, </w:t>
      </w:r>
      <w:r w:rsidR="008A0674" w:rsidRPr="009D590F">
        <w:rPr>
          <w:rFonts w:ascii="Times New Roman" w:hAnsi="Times New Roman"/>
        </w:rPr>
        <w:t xml:space="preserve">we </w:t>
      </w:r>
      <w:r w:rsidR="00F44135" w:rsidRPr="009D590F">
        <w:rPr>
          <w:rFonts w:ascii="Times New Roman" w:hAnsi="Times New Roman"/>
        </w:rPr>
        <w:t>should</w:t>
      </w:r>
      <w:r w:rsidR="008A0674" w:rsidRPr="009D590F">
        <w:rPr>
          <w:rFonts w:ascii="Times New Roman" w:hAnsi="Times New Roman"/>
        </w:rPr>
        <w:t xml:space="preserve"> consider </w:t>
      </w:r>
      <w:r w:rsidR="00ED6AEC" w:rsidRPr="009D590F">
        <w:rPr>
          <w:rFonts w:ascii="Times New Roman" w:hAnsi="Times New Roman"/>
        </w:rPr>
        <w:t xml:space="preserve">the </w:t>
      </w:r>
      <w:r w:rsidR="008A0674" w:rsidRPr="009D590F">
        <w:rPr>
          <w:rFonts w:ascii="Times New Roman" w:hAnsi="Times New Roman"/>
        </w:rPr>
        <w:t>display</w:t>
      </w:r>
      <w:r w:rsidR="00ED6AEC" w:rsidRPr="009D590F">
        <w:rPr>
          <w:rFonts w:ascii="Times New Roman" w:hAnsi="Times New Roman"/>
        </w:rPr>
        <w:t xml:space="preserve"> of Pentelic or </w:t>
      </w:r>
      <w:proofErr w:type="spellStart"/>
      <w:r w:rsidR="00ED6AEC" w:rsidRPr="009D590F">
        <w:rPr>
          <w:rFonts w:ascii="Times New Roman" w:hAnsi="Times New Roman"/>
        </w:rPr>
        <w:t>Hymettian</w:t>
      </w:r>
      <w:proofErr w:type="spellEnd"/>
      <w:r w:rsidR="00ED6AEC" w:rsidRPr="009D590F">
        <w:rPr>
          <w:rFonts w:ascii="Times New Roman" w:hAnsi="Times New Roman"/>
        </w:rPr>
        <w:t xml:space="preserve"> marble </w:t>
      </w:r>
      <w:r w:rsidR="008A0674" w:rsidRPr="009D590F">
        <w:rPr>
          <w:rFonts w:ascii="Times New Roman" w:hAnsi="Times New Roman"/>
        </w:rPr>
        <w:t xml:space="preserve">as laden with </w:t>
      </w:r>
      <w:r w:rsidR="00A212BF" w:rsidRPr="009D590F">
        <w:rPr>
          <w:rFonts w:ascii="Times New Roman" w:hAnsi="Times New Roman"/>
        </w:rPr>
        <w:t xml:space="preserve">symbolic </w:t>
      </w:r>
      <w:r w:rsidR="008A0674" w:rsidRPr="009D590F">
        <w:rPr>
          <w:rFonts w:ascii="Times New Roman" w:hAnsi="Times New Roman"/>
        </w:rPr>
        <w:t xml:space="preserve">meaning, as an integral part of the visual language deployed in promoting not only the triumphant individual and his </w:t>
      </w:r>
      <w:r w:rsidR="008A0674" w:rsidRPr="009D590F">
        <w:rPr>
          <w:rFonts w:ascii="Times New Roman" w:hAnsi="Times New Roman"/>
          <w:i/>
        </w:rPr>
        <w:t>gens</w:t>
      </w:r>
      <w:r w:rsidR="008A0674" w:rsidRPr="009D590F">
        <w:rPr>
          <w:rFonts w:ascii="Times New Roman" w:hAnsi="Times New Roman"/>
        </w:rPr>
        <w:t xml:space="preserve">, but the recognition </w:t>
      </w:r>
      <w:r w:rsidR="00C97479" w:rsidRPr="009D590F">
        <w:rPr>
          <w:rFonts w:ascii="Times New Roman" w:hAnsi="Times New Roman"/>
        </w:rPr>
        <w:t xml:space="preserve">of Rome’s military might and </w:t>
      </w:r>
      <w:r w:rsidR="00280709">
        <w:rPr>
          <w:rFonts w:ascii="Times New Roman" w:hAnsi="Times New Roman"/>
        </w:rPr>
        <w:t xml:space="preserve">of its </w:t>
      </w:r>
      <w:r w:rsidR="00C97479" w:rsidRPr="009D590F">
        <w:rPr>
          <w:rFonts w:ascii="Times New Roman" w:hAnsi="Times New Roman"/>
        </w:rPr>
        <w:t>subjection of others</w:t>
      </w:r>
      <w:r w:rsidR="008A0674" w:rsidRPr="009D590F">
        <w:rPr>
          <w:rFonts w:ascii="Times New Roman" w:hAnsi="Times New Roman"/>
        </w:rPr>
        <w:t>.</w:t>
      </w:r>
      <w:r w:rsidR="008A0674" w:rsidRPr="009D590F">
        <w:rPr>
          <w:rStyle w:val="FootnoteReference"/>
          <w:rFonts w:ascii="Times New Roman" w:hAnsi="Times New Roman"/>
        </w:rPr>
        <w:footnoteReference w:id="20"/>
      </w:r>
      <w:r w:rsidR="008A0674" w:rsidRPr="009D590F">
        <w:rPr>
          <w:rFonts w:ascii="Times New Roman" w:hAnsi="Times New Roman"/>
        </w:rPr>
        <w:t xml:space="preserve"> </w:t>
      </w:r>
    </w:p>
    <w:p w14:paraId="61AAAC90" w14:textId="77777777" w:rsidR="00A14F15" w:rsidRDefault="009E7F7B" w:rsidP="00D45F28">
      <w:pPr>
        <w:tabs>
          <w:tab w:val="left" w:pos="567"/>
        </w:tabs>
        <w:jc w:val="both"/>
        <w:rPr>
          <w:rFonts w:ascii="Times New Roman" w:hAnsi="Times New Roman"/>
        </w:rPr>
      </w:pPr>
      <w:r>
        <w:rPr>
          <w:rFonts w:ascii="Times New Roman" w:hAnsi="Times New Roman"/>
        </w:rPr>
        <w:lastRenderedPageBreak/>
        <w:tab/>
      </w:r>
      <w:r w:rsidR="00C97479" w:rsidRPr="009D590F">
        <w:rPr>
          <w:rFonts w:ascii="Times New Roman" w:hAnsi="Times New Roman"/>
        </w:rPr>
        <w:t xml:space="preserve">With the proliferation of white imported stones for use in private contexts </w:t>
      </w:r>
      <w:r w:rsidR="00280709" w:rsidRPr="009D590F">
        <w:rPr>
          <w:rFonts w:ascii="Times New Roman" w:hAnsi="Times New Roman"/>
        </w:rPr>
        <w:t>in the first century BC</w:t>
      </w:r>
      <w:r w:rsidR="00C97479" w:rsidRPr="009D590F">
        <w:rPr>
          <w:rFonts w:ascii="Times New Roman" w:hAnsi="Times New Roman"/>
        </w:rPr>
        <w:t xml:space="preserve">, the capacity to convey Roman power and </w:t>
      </w:r>
      <w:r w:rsidR="00280709">
        <w:rPr>
          <w:rFonts w:ascii="Times New Roman" w:hAnsi="Times New Roman"/>
        </w:rPr>
        <w:t xml:space="preserve">territorial </w:t>
      </w:r>
      <w:r w:rsidR="00C97479" w:rsidRPr="009D590F">
        <w:rPr>
          <w:rFonts w:ascii="Times New Roman" w:hAnsi="Times New Roman"/>
        </w:rPr>
        <w:t>dominance shifted to coloured stones.</w:t>
      </w:r>
      <w:r>
        <w:rPr>
          <w:rStyle w:val="FootnoteReference"/>
          <w:rFonts w:ascii="Times New Roman" w:hAnsi="Times New Roman"/>
        </w:rPr>
        <w:footnoteReference w:id="21"/>
      </w:r>
      <w:r w:rsidR="00C97479" w:rsidRPr="009D590F">
        <w:rPr>
          <w:rFonts w:ascii="Times New Roman" w:hAnsi="Times New Roman"/>
        </w:rPr>
        <w:t xml:space="preserve"> </w:t>
      </w:r>
      <w:r w:rsidR="009B0808" w:rsidRPr="009D590F">
        <w:rPr>
          <w:rFonts w:ascii="Times New Roman" w:hAnsi="Times New Roman"/>
        </w:rPr>
        <w:t xml:space="preserve">One of </w:t>
      </w:r>
      <w:r w:rsidR="0097786D">
        <w:rPr>
          <w:rFonts w:ascii="Times New Roman" w:hAnsi="Times New Roman"/>
        </w:rPr>
        <w:t>its</w:t>
      </w:r>
      <w:r w:rsidR="009B0808" w:rsidRPr="009D590F">
        <w:rPr>
          <w:rFonts w:ascii="Times New Roman" w:hAnsi="Times New Roman"/>
        </w:rPr>
        <w:t xml:space="preserve"> earliest uses </w:t>
      </w:r>
      <w:r w:rsidR="00F44135" w:rsidRPr="009D590F">
        <w:rPr>
          <w:rFonts w:ascii="Times New Roman" w:hAnsi="Times New Roman"/>
        </w:rPr>
        <w:t xml:space="preserve">in </w:t>
      </w:r>
      <w:r w:rsidR="00FF51D4" w:rsidRPr="009D590F">
        <w:rPr>
          <w:rFonts w:ascii="Times New Roman" w:hAnsi="Times New Roman"/>
        </w:rPr>
        <w:t>the</w:t>
      </w:r>
      <w:r w:rsidR="00F44135" w:rsidRPr="009D590F">
        <w:rPr>
          <w:rFonts w:ascii="Times New Roman" w:hAnsi="Times New Roman"/>
        </w:rPr>
        <w:t xml:space="preserve"> public sphere </w:t>
      </w:r>
      <w:r w:rsidR="009B0808" w:rsidRPr="009D590F">
        <w:rPr>
          <w:rFonts w:ascii="Times New Roman" w:hAnsi="Times New Roman"/>
        </w:rPr>
        <w:t xml:space="preserve">is </w:t>
      </w:r>
      <w:r w:rsidR="0097786D">
        <w:rPr>
          <w:rFonts w:ascii="Times New Roman" w:hAnsi="Times New Roman"/>
        </w:rPr>
        <w:t xml:space="preserve">exemplified by </w:t>
      </w:r>
      <w:r w:rsidR="009B0808" w:rsidRPr="009D590F">
        <w:rPr>
          <w:rFonts w:ascii="Times New Roman" w:hAnsi="Times New Roman"/>
        </w:rPr>
        <w:t xml:space="preserve">the victory monument commissioned by </w:t>
      </w:r>
      <w:proofErr w:type="spellStart"/>
      <w:r w:rsidR="009B0808" w:rsidRPr="009D590F">
        <w:rPr>
          <w:rFonts w:ascii="Times New Roman" w:hAnsi="Times New Roman"/>
        </w:rPr>
        <w:t>Bocchus</w:t>
      </w:r>
      <w:proofErr w:type="spellEnd"/>
      <w:r w:rsidR="009B0808" w:rsidRPr="009D590F">
        <w:rPr>
          <w:rFonts w:ascii="Times New Roman" w:hAnsi="Times New Roman"/>
        </w:rPr>
        <w:t xml:space="preserve"> I of Mauretania and set up in 91 BC on the Capitoline hill. According to Plutarch </w:t>
      </w:r>
      <w:r w:rsidR="0097786D">
        <w:rPr>
          <w:rFonts w:ascii="Times New Roman" w:hAnsi="Times New Roman"/>
        </w:rPr>
        <w:t>(</w:t>
      </w:r>
      <w:r w:rsidR="0097786D" w:rsidRPr="009D590F">
        <w:rPr>
          <w:rFonts w:ascii="Times New Roman" w:hAnsi="Times New Roman"/>
          <w:i/>
        </w:rPr>
        <w:t>Mar</w:t>
      </w:r>
      <w:r w:rsidR="0097786D" w:rsidRPr="009D590F">
        <w:rPr>
          <w:rFonts w:ascii="Times New Roman" w:hAnsi="Times New Roman"/>
        </w:rPr>
        <w:t xml:space="preserve">. 32; </w:t>
      </w:r>
      <w:proofErr w:type="spellStart"/>
      <w:r w:rsidR="0097786D" w:rsidRPr="009D590F">
        <w:rPr>
          <w:rFonts w:ascii="Times New Roman" w:hAnsi="Times New Roman"/>
          <w:i/>
        </w:rPr>
        <w:t>Sull</w:t>
      </w:r>
      <w:proofErr w:type="spellEnd"/>
      <w:r w:rsidR="0097786D" w:rsidRPr="009D590F">
        <w:rPr>
          <w:rFonts w:ascii="Times New Roman" w:hAnsi="Times New Roman"/>
        </w:rPr>
        <w:t>. 6</w:t>
      </w:r>
      <w:r w:rsidR="0097786D">
        <w:rPr>
          <w:rFonts w:ascii="Times New Roman" w:hAnsi="Times New Roman"/>
        </w:rPr>
        <w:t xml:space="preserve">) </w:t>
      </w:r>
      <w:r w:rsidR="009B0808" w:rsidRPr="009D590F">
        <w:rPr>
          <w:rFonts w:ascii="Times New Roman" w:hAnsi="Times New Roman"/>
        </w:rPr>
        <w:t xml:space="preserve">the monument consisted of a group of golden statues which depicted the delivery of Jugurtha by </w:t>
      </w:r>
      <w:proofErr w:type="spellStart"/>
      <w:r w:rsidR="009B0808" w:rsidRPr="009D590F">
        <w:rPr>
          <w:rFonts w:ascii="Times New Roman" w:hAnsi="Times New Roman"/>
        </w:rPr>
        <w:t>Bocchus</w:t>
      </w:r>
      <w:proofErr w:type="spellEnd"/>
      <w:r w:rsidR="009B0808" w:rsidRPr="009D590F">
        <w:rPr>
          <w:rFonts w:ascii="Times New Roman" w:hAnsi="Times New Roman"/>
        </w:rPr>
        <w:t xml:space="preserve"> to </w:t>
      </w:r>
      <w:r w:rsidR="0097786D">
        <w:rPr>
          <w:rFonts w:ascii="Times New Roman" w:hAnsi="Times New Roman"/>
        </w:rPr>
        <w:t>Sulla a few years earlier</w:t>
      </w:r>
      <w:r w:rsidR="009B0808" w:rsidRPr="009D590F">
        <w:rPr>
          <w:rFonts w:ascii="Times New Roman" w:hAnsi="Times New Roman"/>
        </w:rPr>
        <w:t xml:space="preserve">. The sculpted stone base, which still survives today, was made of dark grey stone and likely derived from the town of Thala in Numidia, the stronghold of Jugurtha conquered by Q. </w:t>
      </w:r>
      <w:proofErr w:type="spellStart"/>
      <w:r w:rsidR="009B0808" w:rsidRPr="009D590F">
        <w:rPr>
          <w:rFonts w:ascii="Times New Roman" w:hAnsi="Times New Roman"/>
        </w:rPr>
        <w:t>Caecilius</w:t>
      </w:r>
      <w:proofErr w:type="spellEnd"/>
      <w:r w:rsidR="009B0808" w:rsidRPr="009D590F">
        <w:rPr>
          <w:rFonts w:ascii="Times New Roman" w:hAnsi="Times New Roman"/>
        </w:rPr>
        <w:t xml:space="preserve"> </w:t>
      </w:r>
      <w:proofErr w:type="spellStart"/>
      <w:r w:rsidR="009B0808" w:rsidRPr="009D590F">
        <w:rPr>
          <w:rFonts w:ascii="Times New Roman" w:hAnsi="Times New Roman"/>
        </w:rPr>
        <w:t>Metellus</w:t>
      </w:r>
      <w:proofErr w:type="spellEnd"/>
      <w:r w:rsidR="009B0808" w:rsidRPr="009D590F">
        <w:rPr>
          <w:rFonts w:ascii="Times New Roman" w:hAnsi="Times New Roman"/>
        </w:rPr>
        <w:t xml:space="preserve"> in 107 BC.</w:t>
      </w:r>
      <w:r w:rsidR="009B0808" w:rsidRPr="009D590F">
        <w:rPr>
          <w:rStyle w:val="FootnoteReference"/>
          <w:rFonts w:ascii="Times New Roman" w:hAnsi="Times New Roman"/>
        </w:rPr>
        <w:footnoteReference w:id="22"/>
      </w:r>
      <w:r w:rsidR="009B0808" w:rsidRPr="009D590F">
        <w:rPr>
          <w:rFonts w:ascii="Times New Roman" w:hAnsi="Times New Roman"/>
        </w:rPr>
        <w:t xml:space="preserve"> </w:t>
      </w:r>
      <w:r w:rsidR="0097786D">
        <w:rPr>
          <w:rFonts w:ascii="Times New Roman" w:hAnsi="Times New Roman"/>
        </w:rPr>
        <w:t>C</w:t>
      </w:r>
      <w:r w:rsidR="0097786D" w:rsidRPr="009D590F">
        <w:rPr>
          <w:rFonts w:ascii="Times New Roman" w:hAnsi="Times New Roman"/>
        </w:rPr>
        <w:t xml:space="preserve">oloured marble </w:t>
      </w:r>
      <w:r w:rsidR="0097786D">
        <w:rPr>
          <w:rFonts w:ascii="Times New Roman" w:hAnsi="Times New Roman"/>
        </w:rPr>
        <w:t xml:space="preserve">was used in </w:t>
      </w:r>
      <w:r w:rsidR="00C97479" w:rsidRPr="009D590F">
        <w:rPr>
          <w:rFonts w:ascii="Times New Roman" w:hAnsi="Times New Roman"/>
        </w:rPr>
        <w:t>Pompeius’</w:t>
      </w:r>
      <w:r w:rsidR="0097786D">
        <w:rPr>
          <w:rFonts w:ascii="Times New Roman" w:hAnsi="Times New Roman"/>
        </w:rPr>
        <w:t xml:space="preserve"> theatre (</w:t>
      </w:r>
      <w:r w:rsidR="009B0808" w:rsidRPr="009D590F">
        <w:rPr>
          <w:rFonts w:ascii="Times New Roman" w:hAnsi="Times New Roman"/>
        </w:rPr>
        <w:t>55 BC</w:t>
      </w:r>
      <w:r w:rsidR="0097786D">
        <w:rPr>
          <w:rFonts w:ascii="Times New Roman" w:hAnsi="Times New Roman"/>
        </w:rPr>
        <w:t xml:space="preserve">), too, a building </w:t>
      </w:r>
      <w:r w:rsidR="009B0808" w:rsidRPr="009D590F">
        <w:rPr>
          <w:rFonts w:ascii="Times New Roman" w:hAnsi="Times New Roman"/>
        </w:rPr>
        <w:t xml:space="preserve">linked to </w:t>
      </w:r>
      <w:r w:rsidR="00FF51D4" w:rsidRPr="009D590F">
        <w:rPr>
          <w:rFonts w:ascii="Times New Roman" w:hAnsi="Times New Roman"/>
        </w:rPr>
        <w:t>his</w:t>
      </w:r>
      <w:r w:rsidR="009B0808" w:rsidRPr="009D590F">
        <w:rPr>
          <w:rFonts w:ascii="Times New Roman" w:hAnsi="Times New Roman"/>
        </w:rPr>
        <w:t xml:space="preserve"> triumph</w:t>
      </w:r>
      <w:r w:rsidR="0097786D">
        <w:rPr>
          <w:rFonts w:ascii="Times New Roman" w:hAnsi="Times New Roman"/>
        </w:rPr>
        <w:t xml:space="preserve"> of 61 BC</w:t>
      </w:r>
      <w:r w:rsidR="009B0808" w:rsidRPr="009D590F">
        <w:rPr>
          <w:rFonts w:ascii="Times New Roman" w:hAnsi="Times New Roman"/>
        </w:rPr>
        <w:t xml:space="preserve">: a large column of </w:t>
      </w:r>
      <w:proofErr w:type="spellStart"/>
      <w:r w:rsidR="00C97479" w:rsidRPr="009D590F">
        <w:rPr>
          <w:rFonts w:ascii="Times New Roman" w:hAnsi="Times New Roman"/>
          <w:i/>
        </w:rPr>
        <w:t>africano</w:t>
      </w:r>
      <w:proofErr w:type="spellEnd"/>
      <w:r w:rsidR="00C97479" w:rsidRPr="009D590F">
        <w:rPr>
          <w:rFonts w:ascii="Times New Roman" w:hAnsi="Times New Roman"/>
        </w:rPr>
        <w:t xml:space="preserve"> (from </w:t>
      </w:r>
      <w:proofErr w:type="spellStart"/>
      <w:r w:rsidR="00C97479" w:rsidRPr="009D590F">
        <w:rPr>
          <w:rFonts w:ascii="Times New Roman" w:hAnsi="Times New Roman"/>
        </w:rPr>
        <w:t>Teos</w:t>
      </w:r>
      <w:proofErr w:type="spellEnd"/>
      <w:r w:rsidR="00C97479" w:rsidRPr="009D590F">
        <w:rPr>
          <w:rFonts w:ascii="Times New Roman" w:hAnsi="Times New Roman"/>
        </w:rPr>
        <w:t>)</w:t>
      </w:r>
      <w:r w:rsidR="009B0808" w:rsidRPr="009D590F">
        <w:rPr>
          <w:rFonts w:ascii="Times New Roman" w:hAnsi="Times New Roman"/>
        </w:rPr>
        <w:t xml:space="preserve"> with </w:t>
      </w:r>
      <w:r w:rsidR="00A14F15">
        <w:rPr>
          <w:rFonts w:ascii="Times New Roman" w:hAnsi="Times New Roman"/>
        </w:rPr>
        <w:t>a</w:t>
      </w:r>
      <w:r w:rsidR="009B0808" w:rsidRPr="009D590F">
        <w:rPr>
          <w:rFonts w:ascii="Times New Roman" w:hAnsi="Times New Roman"/>
        </w:rPr>
        <w:t xml:space="preserve"> lead token marked Cn. </w:t>
      </w:r>
      <w:r w:rsidR="009B0808" w:rsidRPr="0083656D">
        <w:rPr>
          <w:rFonts w:ascii="Times New Roman" w:hAnsi="Times New Roman"/>
          <w:lang w:val="it-IT"/>
        </w:rPr>
        <w:t>Pompei</w:t>
      </w:r>
      <w:r w:rsidR="00FF51D4" w:rsidRPr="0083656D">
        <w:rPr>
          <w:rFonts w:ascii="Times New Roman" w:hAnsi="Times New Roman"/>
          <w:lang w:val="it-IT"/>
        </w:rPr>
        <w:t xml:space="preserve"> </w:t>
      </w:r>
      <w:proofErr w:type="spellStart"/>
      <w:r w:rsidR="009B0808" w:rsidRPr="0083656D">
        <w:rPr>
          <w:rFonts w:ascii="Times New Roman" w:hAnsi="Times New Roman"/>
          <w:lang w:val="it-IT"/>
        </w:rPr>
        <w:t>was</w:t>
      </w:r>
      <w:proofErr w:type="spellEnd"/>
      <w:r w:rsidR="009B0808" w:rsidRPr="0083656D">
        <w:rPr>
          <w:rFonts w:ascii="Times New Roman" w:hAnsi="Times New Roman"/>
          <w:lang w:val="it-IT"/>
        </w:rPr>
        <w:t xml:space="preserve"> </w:t>
      </w:r>
      <w:proofErr w:type="spellStart"/>
      <w:r w:rsidR="009B0808" w:rsidRPr="0083656D">
        <w:rPr>
          <w:rFonts w:ascii="Times New Roman" w:hAnsi="Times New Roman"/>
          <w:lang w:val="it-IT"/>
        </w:rPr>
        <w:t>still</w:t>
      </w:r>
      <w:proofErr w:type="spellEnd"/>
      <w:r w:rsidR="009B0808" w:rsidRPr="0083656D">
        <w:rPr>
          <w:rFonts w:ascii="Times New Roman" w:hAnsi="Times New Roman"/>
          <w:lang w:val="it-IT"/>
        </w:rPr>
        <w:t xml:space="preserve"> </w:t>
      </w:r>
      <w:proofErr w:type="spellStart"/>
      <w:r w:rsidR="009B0808" w:rsidRPr="0083656D">
        <w:rPr>
          <w:rFonts w:ascii="Times New Roman" w:hAnsi="Times New Roman"/>
          <w:lang w:val="it-IT"/>
        </w:rPr>
        <w:t>visible</w:t>
      </w:r>
      <w:proofErr w:type="spellEnd"/>
      <w:r w:rsidR="009B0808" w:rsidRPr="0083656D">
        <w:rPr>
          <w:rFonts w:ascii="Times New Roman" w:hAnsi="Times New Roman"/>
          <w:lang w:val="it-IT"/>
        </w:rPr>
        <w:t xml:space="preserve"> in the Via dei Chiavari in Rome</w:t>
      </w:r>
      <w:r w:rsidR="007D4877" w:rsidRPr="0083656D">
        <w:rPr>
          <w:rFonts w:ascii="Times New Roman" w:hAnsi="Times New Roman"/>
          <w:lang w:val="it-IT"/>
        </w:rPr>
        <w:t xml:space="preserve"> </w:t>
      </w:r>
      <w:r w:rsidR="00FF51D4" w:rsidRPr="0083656D">
        <w:rPr>
          <w:rFonts w:ascii="Times New Roman" w:hAnsi="Times New Roman"/>
          <w:lang w:val="it-IT"/>
        </w:rPr>
        <w:t xml:space="preserve">in </w:t>
      </w:r>
      <w:r w:rsidR="00FF51D4" w:rsidRPr="0083656D">
        <w:rPr>
          <w:rFonts w:ascii="Times New Roman" w:hAnsi="Times New Roman"/>
          <w:i/>
          <w:lang w:val="it-IT"/>
        </w:rPr>
        <w:t>c.</w:t>
      </w:r>
      <w:r w:rsidR="00FF51D4" w:rsidRPr="0083656D">
        <w:rPr>
          <w:rFonts w:ascii="Times New Roman" w:hAnsi="Times New Roman"/>
          <w:lang w:val="it-IT"/>
        </w:rPr>
        <w:t xml:space="preserve"> 1740</w:t>
      </w:r>
      <w:r w:rsidR="009B0808" w:rsidRPr="0083656D">
        <w:rPr>
          <w:rFonts w:ascii="Times New Roman" w:hAnsi="Times New Roman"/>
          <w:lang w:val="it-IT"/>
        </w:rPr>
        <w:t>.</w:t>
      </w:r>
      <w:r w:rsidR="009B0808" w:rsidRPr="009D590F">
        <w:rPr>
          <w:rStyle w:val="FootnoteReference"/>
          <w:rFonts w:ascii="Times New Roman" w:hAnsi="Times New Roman"/>
        </w:rPr>
        <w:footnoteReference w:id="23"/>
      </w:r>
      <w:r w:rsidR="00986FEA" w:rsidRPr="0083656D">
        <w:rPr>
          <w:rFonts w:ascii="Times New Roman" w:hAnsi="Times New Roman"/>
          <w:lang w:val="it-IT"/>
        </w:rPr>
        <w:t xml:space="preserve"> </w:t>
      </w:r>
      <w:r w:rsidR="00986FEA" w:rsidRPr="009D590F">
        <w:rPr>
          <w:rFonts w:ascii="Times New Roman" w:hAnsi="Times New Roman"/>
        </w:rPr>
        <w:t xml:space="preserve">The column set up on the spot of Caesar’s funerary pyre </w:t>
      </w:r>
      <w:r w:rsidR="00B2752A" w:rsidRPr="009D590F">
        <w:rPr>
          <w:rFonts w:ascii="Times New Roman" w:hAnsi="Times New Roman"/>
        </w:rPr>
        <w:t xml:space="preserve">in March 44 BC by the people of Rome </w:t>
      </w:r>
      <w:r w:rsidR="00986FEA" w:rsidRPr="009D590F">
        <w:rPr>
          <w:rFonts w:ascii="Times New Roman" w:hAnsi="Times New Roman"/>
        </w:rPr>
        <w:t xml:space="preserve">was made of </w:t>
      </w:r>
      <w:proofErr w:type="spellStart"/>
      <w:r w:rsidR="00986FEA" w:rsidRPr="009D590F">
        <w:rPr>
          <w:rFonts w:ascii="Times New Roman" w:hAnsi="Times New Roman"/>
          <w:i/>
        </w:rPr>
        <w:t>marmor</w:t>
      </w:r>
      <w:proofErr w:type="spellEnd"/>
      <w:r w:rsidR="00986FEA" w:rsidRPr="009D590F">
        <w:rPr>
          <w:rFonts w:ascii="Times New Roman" w:hAnsi="Times New Roman"/>
          <w:i/>
        </w:rPr>
        <w:t xml:space="preserve"> </w:t>
      </w:r>
      <w:proofErr w:type="spellStart"/>
      <w:r w:rsidR="00986FEA" w:rsidRPr="009D590F">
        <w:rPr>
          <w:rFonts w:ascii="Times New Roman" w:hAnsi="Times New Roman"/>
          <w:i/>
        </w:rPr>
        <w:t>Numidicum</w:t>
      </w:r>
      <w:proofErr w:type="spellEnd"/>
      <w:r w:rsidR="00986FEA" w:rsidRPr="009D590F">
        <w:rPr>
          <w:rFonts w:ascii="Times New Roman" w:hAnsi="Times New Roman"/>
        </w:rPr>
        <w:t xml:space="preserve"> (Suet. </w:t>
      </w:r>
      <w:proofErr w:type="spellStart"/>
      <w:r w:rsidR="00986FEA" w:rsidRPr="009D590F">
        <w:rPr>
          <w:rFonts w:ascii="Times New Roman" w:hAnsi="Times New Roman"/>
          <w:i/>
        </w:rPr>
        <w:t>Iul</w:t>
      </w:r>
      <w:proofErr w:type="spellEnd"/>
      <w:r w:rsidR="00986FEA" w:rsidRPr="009D590F">
        <w:rPr>
          <w:rFonts w:ascii="Times New Roman" w:hAnsi="Times New Roman"/>
        </w:rPr>
        <w:t>. 85)</w:t>
      </w:r>
      <w:r w:rsidR="00B2752A" w:rsidRPr="009D590F">
        <w:rPr>
          <w:rFonts w:ascii="Times New Roman" w:hAnsi="Times New Roman"/>
        </w:rPr>
        <w:t xml:space="preserve">; J. Clayton </w:t>
      </w:r>
      <w:proofErr w:type="spellStart"/>
      <w:r w:rsidR="00B2752A" w:rsidRPr="009D590F">
        <w:rPr>
          <w:rFonts w:ascii="Times New Roman" w:hAnsi="Times New Roman"/>
        </w:rPr>
        <w:t>Fant</w:t>
      </w:r>
      <w:proofErr w:type="spellEnd"/>
      <w:r w:rsidR="00B2752A" w:rsidRPr="009D590F">
        <w:rPr>
          <w:rFonts w:ascii="Times New Roman" w:hAnsi="Times New Roman"/>
        </w:rPr>
        <w:t xml:space="preserve"> reads the choice of material, a stone possibly associated with Numidian kings, as a reference to the recapture of the </w:t>
      </w:r>
      <w:proofErr w:type="spellStart"/>
      <w:r w:rsidR="00B2752A" w:rsidRPr="009D590F">
        <w:rPr>
          <w:rFonts w:ascii="Times New Roman" w:hAnsi="Times New Roman"/>
          <w:i/>
        </w:rPr>
        <w:t>provincia</w:t>
      </w:r>
      <w:proofErr w:type="spellEnd"/>
      <w:r w:rsidR="00B2752A" w:rsidRPr="009D590F">
        <w:rPr>
          <w:rFonts w:ascii="Times New Roman" w:hAnsi="Times New Roman"/>
          <w:i/>
        </w:rPr>
        <w:t xml:space="preserve"> Africa</w:t>
      </w:r>
      <w:r w:rsidR="00B2752A" w:rsidRPr="009D590F">
        <w:rPr>
          <w:rFonts w:ascii="Times New Roman" w:hAnsi="Times New Roman"/>
        </w:rPr>
        <w:t xml:space="preserve"> after the battle of Thapsus in 46</w:t>
      </w:r>
      <w:r w:rsidR="00C97479" w:rsidRPr="009D590F">
        <w:rPr>
          <w:rFonts w:ascii="Times New Roman" w:hAnsi="Times New Roman"/>
        </w:rPr>
        <w:t xml:space="preserve"> BC</w:t>
      </w:r>
      <w:r w:rsidR="00B2752A" w:rsidRPr="009D590F">
        <w:rPr>
          <w:rFonts w:ascii="Times New Roman" w:hAnsi="Times New Roman"/>
        </w:rPr>
        <w:t xml:space="preserve"> in the civil war</w:t>
      </w:r>
      <w:r w:rsidR="00986FEA" w:rsidRPr="009D590F">
        <w:rPr>
          <w:rFonts w:ascii="Times New Roman" w:hAnsi="Times New Roman"/>
        </w:rPr>
        <w:t>.</w:t>
      </w:r>
      <w:r w:rsidR="00986FEA" w:rsidRPr="009D590F">
        <w:rPr>
          <w:rStyle w:val="FootnoteReference"/>
          <w:rFonts w:ascii="Times New Roman" w:hAnsi="Times New Roman"/>
        </w:rPr>
        <w:footnoteReference w:id="24"/>
      </w:r>
      <w:r w:rsidR="00C97479" w:rsidRPr="009D590F">
        <w:rPr>
          <w:rFonts w:ascii="Times New Roman" w:hAnsi="Times New Roman"/>
        </w:rPr>
        <w:t xml:space="preserve"> </w:t>
      </w:r>
    </w:p>
    <w:p w14:paraId="4BF366E1" w14:textId="77777777" w:rsidR="00EC103B" w:rsidRDefault="00A14F15" w:rsidP="00D45F28">
      <w:pPr>
        <w:tabs>
          <w:tab w:val="left" w:pos="567"/>
        </w:tabs>
        <w:jc w:val="both"/>
        <w:rPr>
          <w:rFonts w:ascii="Times New Roman" w:hAnsi="Times New Roman"/>
        </w:rPr>
      </w:pPr>
      <w:r>
        <w:rPr>
          <w:rFonts w:ascii="Times New Roman" w:hAnsi="Times New Roman"/>
        </w:rPr>
        <w:tab/>
      </w:r>
      <w:r w:rsidR="00C97479" w:rsidRPr="009D590F">
        <w:rPr>
          <w:rFonts w:ascii="Times New Roman" w:hAnsi="Times New Roman"/>
        </w:rPr>
        <w:t>The appropriation o</w:t>
      </w:r>
      <w:r w:rsidR="00D1592C">
        <w:rPr>
          <w:rFonts w:ascii="Times New Roman" w:hAnsi="Times New Roman"/>
        </w:rPr>
        <w:t xml:space="preserve">f wealth </w:t>
      </w:r>
      <w:r w:rsidR="00FF51D4" w:rsidRPr="009D590F">
        <w:rPr>
          <w:rFonts w:ascii="Times New Roman" w:hAnsi="Times New Roman"/>
        </w:rPr>
        <w:t>from th</w:t>
      </w:r>
      <w:r w:rsidR="00C97479" w:rsidRPr="009D590F">
        <w:rPr>
          <w:rFonts w:ascii="Times New Roman" w:hAnsi="Times New Roman"/>
        </w:rPr>
        <w:t>e</w:t>
      </w:r>
      <w:r w:rsidR="00F64ED3" w:rsidRPr="009D590F">
        <w:rPr>
          <w:rFonts w:ascii="Times New Roman" w:hAnsi="Times New Roman"/>
        </w:rPr>
        <w:t xml:space="preserve"> people and territories</w:t>
      </w:r>
      <w:r w:rsidR="00C97479" w:rsidRPr="009D590F">
        <w:rPr>
          <w:rFonts w:ascii="Times New Roman" w:hAnsi="Times New Roman"/>
        </w:rPr>
        <w:t xml:space="preserve"> conquered</w:t>
      </w:r>
      <w:r w:rsidR="00D1592C">
        <w:rPr>
          <w:rFonts w:ascii="Times New Roman" w:hAnsi="Times New Roman"/>
        </w:rPr>
        <w:t xml:space="preserve"> by</w:t>
      </w:r>
      <w:r w:rsidR="00C97479" w:rsidRPr="009D590F">
        <w:rPr>
          <w:rFonts w:ascii="Times New Roman" w:hAnsi="Times New Roman"/>
        </w:rPr>
        <w:t xml:space="preserve"> </w:t>
      </w:r>
      <w:r w:rsidR="00D1592C" w:rsidRPr="009D590F">
        <w:rPr>
          <w:rFonts w:ascii="Times New Roman" w:hAnsi="Times New Roman"/>
        </w:rPr>
        <w:t xml:space="preserve">Rome </w:t>
      </w:r>
      <w:r w:rsidR="00C97479" w:rsidRPr="009D590F">
        <w:rPr>
          <w:rFonts w:ascii="Times New Roman" w:hAnsi="Times New Roman"/>
        </w:rPr>
        <w:t xml:space="preserve">was not only </w:t>
      </w:r>
      <w:r w:rsidR="00D1592C">
        <w:rPr>
          <w:rFonts w:ascii="Times New Roman" w:hAnsi="Times New Roman"/>
        </w:rPr>
        <w:t xml:space="preserve">made </w:t>
      </w:r>
      <w:r w:rsidR="00C97479" w:rsidRPr="009D590F">
        <w:rPr>
          <w:rFonts w:ascii="Times New Roman" w:hAnsi="Times New Roman"/>
        </w:rPr>
        <w:t xml:space="preserve">manifest </w:t>
      </w:r>
      <w:r w:rsidR="00D1592C">
        <w:rPr>
          <w:rFonts w:ascii="Times New Roman" w:hAnsi="Times New Roman"/>
        </w:rPr>
        <w:t>by</w:t>
      </w:r>
      <w:r w:rsidR="00C97479" w:rsidRPr="009D590F">
        <w:rPr>
          <w:rFonts w:ascii="Times New Roman" w:hAnsi="Times New Roman"/>
        </w:rPr>
        <w:t xml:space="preserve"> the spoils and treasure presented in a </w:t>
      </w:r>
      <w:r w:rsidR="00D1592C">
        <w:rPr>
          <w:rFonts w:ascii="Times New Roman" w:hAnsi="Times New Roman"/>
        </w:rPr>
        <w:t xml:space="preserve">triumph; </w:t>
      </w:r>
      <w:r w:rsidR="00C97479" w:rsidRPr="009D590F">
        <w:rPr>
          <w:rFonts w:ascii="Times New Roman" w:hAnsi="Times New Roman"/>
        </w:rPr>
        <w:t>now</w:t>
      </w:r>
      <w:r w:rsidR="00D1592C">
        <w:rPr>
          <w:rFonts w:ascii="Times New Roman" w:hAnsi="Times New Roman"/>
        </w:rPr>
        <w:t>, raw military power and imperial dominance could be more lastingly evoked</w:t>
      </w:r>
      <w:r w:rsidR="00C97479" w:rsidRPr="009D590F">
        <w:rPr>
          <w:rFonts w:ascii="Times New Roman" w:hAnsi="Times New Roman"/>
        </w:rPr>
        <w:t xml:space="preserve"> </w:t>
      </w:r>
      <w:r w:rsidR="00D1592C">
        <w:rPr>
          <w:rFonts w:ascii="Times New Roman" w:hAnsi="Times New Roman"/>
        </w:rPr>
        <w:t xml:space="preserve">by </w:t>
      </w:r>
      <w:r w:rsidR="00D1592C" w:rsidRPr="00D1592C">
        <w:rPr>
          <w:rFonts w:ascii="Times New Roman" w:hAnsi="Times New Roman"/>
        </w:rPr>
        <w:t>exhibiting</w:t>
      </w:r>
      <w:r w:rsidR="00D1592C">
        <w:rPr>
          <w:rFonts w:ascii="Times New Roman" w:hAnsi="Times New Roman"/>
        </w:rPr>
        <w:t xml:space="preserve"> distinctive polychrome marble as architectural elements in </w:t>
      </w:r>
      <w:r w:rsidR="00D1592C" w:rsidRPr="009D590F">
        <w:rPr>
          <w:rFonts w:ascii="Times New Roman" w:hAnsi="Times New Roman"/>
        </w:rPr>
        <w:t>public buildings</w:t>
      </w:r>
      <w:r w:rsidR="00C97479" w:rsidRPr="009D590F">
        <w:rPr>
          <w:rFonts w:ascii="Times New Roman" w:hAnsi="Times New Roman"/>
        </w:rPr>
        <w:t xml:space="preserve">. </w:t>
      </w:r>
    </w:p>
    <w:p w14:paraId="56389D31" w14:textId="77777777" w:rsidR="00EC103B" w:rsidRDefault="00EC103B" w:rsidP="00D45F28">
      <w:pPr>
        <w:tabs>
          <w:tab w:val="left" w:pos="567"/>
        </w:tabs>
        <w:jc w:val="both"/>
        <w:rPr>
          <w:rFonts w:ascii="Times New Roman" w:hAnsi="Times New Roman"/>
        </w:rPr>
      </w:pPr>
    </w:p>
    <w:p w14:paraId="19617F6A" w14:textId="480DED26" w:rsidR="005056F9" w:rsidRPr="009D590F" w:rsidRDefault="00D1592C" w:rsidP="00D45F28">
      <w:pPr>
        <w:tabs>
          <w:tab w:val="left" w:pos="567"/>
        </w:tabs>
        <w:jc w:val="both"/>
        <w:rPr>
          <w:rFonts w:ascii="Times New Roman" w:hAnsi="Times New Roman"/>
        </w:rPr>
      </w:pPr>
      <w:r>
        <w:rPr>
          <w:rFonts w:ascii="Times New Roman" w:hAnsi="Times New Roman"/>
        </w:rPr>
        <w:t>In Late Republican Rome the</w:t>
      </w:r>
      <w:r w:rsidR="00C97479" w:rsidRPr="009D590F">
        <w:rPr>
          <w:rFonts w:ascii="Times New Roman" w:hAnsi="Times New Roman"/>
        </w:rPr>
        <w:t xml:space="preserve"> connotation </w:t>
      </w:r>
      <w:r>
        <w:rPr>
          <w:rFonts w:ascii="Times New Roman" w:hAnsi="Times New Roman"/>
        </w:rPr>
        <w:t xml:space="preserve">of these marbles </w:t>
      </w:r>
      <w:r w:rsidR="00C97479" w:rsidRPr="009D590F">
        <w:rPr>
          <w:rFonts w:ascii="Times New Roman" w:hAnsi="Times New Roman"/>
        </w:rPr>
        <w:t>with conquest</w:t>
      </w:r>
      <w:r w:rsidR="00F64ED3" w:rsidRPr="009D590F">
        <w:rPr>
          <w:rFonts w:ascii="Times New Roman" w:hAnsi="Times New Roman"/>
        </w:rPr>
        <w:t>, victory, and triumph</w:t>
      </w:r>
      <w:r w:rsidR="00C97479" w:rsidRPr="009D590F">
        <w:rPr>
          <w:rFonts w:ascii="Times New Roman" w:hAnsi="Times New Roman"/>
        </w:rPr>
        <w:t xml:space="preserve"> </w:t>
      </w:r>
      <w:r>
        <w:rPr>
          <w:rFonts w:ascii="Times New Roman" w:hAnsi="Times New Roman"/>
        </w:rPr>
        <w:t xml:space="preserve">is tangible, even in </w:t>
      </w:r>
      <w:r w:rsidR="00EC103B">
        <w:rPr>
          <w:rFonts w:ascii="Times New Roman" w:hAnsi="Times New Roman"/>
        </w:rPr>
        <w:t>a domestic</w:t>
      </w:r>
      <w:r>
        <w:rPr>
          <w:rFonts w:ascii="Times New Roman" w:hAnsi="Times New Roman"/>
        </w:rPr>
        <w:t xml:space="preserve"> context</w:t>
      </w:r>
      <w:r w:rsidR="00F64ED3" w:rsidRPr="009D590F">
        <w:rPr>
          <w:rFonts w:ascii="Times New Roman" w:hAnsi="Times New Roman"/>
        </w:rPr>
        <w:t xml:space="preserve">. </w:t>
      </w:r>
      <w:r w:rsidR="002707C1">
        <w:rPr>
          <w:rFonts w:ascii="Times New Roman" w:hAnsi="Times New Roman"/>
        </w:rPr>
        <w:t xml:space="preserve">Pliny the Elder notes that </w:t>
      </w:r>
      <w:r w:rsidR="0097786D" w:rsidRPr="009D590F">
        <w:rPr>
          <w:rFonts w:ascii="Times New Roman" w:hAnsi="Times New Roman"/>
        </w:rPr>
        <w:t>‘public spaces’ of senatorial houses had become an extended part of the Forum</w:t>
      </w:r>
      <w:r w:rsidR="0097786D">
        <w:rPr>
          <w:rFonts w:ascii="Times New Roman" w:hAnsi="Times New Roman"/>
        </w:rPr>
        <w:t>.</w:t>
      </w:r>
      <w:r w:rsidR="0097786D" w:rsidRPr="009D590F">
        <w:rPr>
          <w:rStyle w:val="FootnoteReference"/>
          <w:rFonts w:ascii="Times New Roman" w:hAnsi="Times New Roman"/>
        </w:rPr>
        <w:footnoteReference w:id="25"/>
      </w:r>
      <w:r w:rsidR="0097786D" w:rsidRPr="009D590F">
        <w:rPr>
          <w:rFonts w:ascii="Times New Roman" w:hAnsi="Times New Roman"/>
        </w:rPr>
        <w:t xml:space="preserve"> Spoils acquired by the triumphant commander in the theatre of war were presented in the </w:t>
      </w:r>
      <w:r w:rsidR="0097786D" w:rsidRPr="009D590F">
        <w:rPr>
          <w:rFonts w:ascii="Times New Roman" w:hAnsi="Times New Roman"/>
          <w:i/>
        </w:rPr>
        <w:t>atrium</w:t>
      </w:r>
      <w:r w:rsidR="0097786D">
        <w:rPr>
          <w:rFonts w:ascii="Times New Roman" w:hAnsi="Times New Roman"/>
        </w:rPr>
        <w:t xml:space="preserve"> – together with the ancestor masks</w:t>
      </w:r>
      <w:r w:rsidR="0097786D" w:rsidRPr="009D590F">
        <w:rPr>
          <w:rFonts w:ascii="Times New Roman" w:hAnsi="Times New Roman"/>
        </w:rPr>
        <w:t>.</w:t>
      </w:r>
      <w:r w:rsidR="0097786D" w:rsidRPr="009D590F">
        <w:rPr>
          <w:rStyle w:val="FootnoteReference"/>
          <w:rFonts w:ascii="Times New Roman" w:hAnsi="Times New Roman"/>
        </w:rPr>
        <w:footnoteReference w:id="26"/>
      </w:r>
      <w:r w:rsidR="0097786D" w:rsidRPr="009D590F">
        <w:rPr>
          <w:rFonts w:ascii="Times New Roman" w:hAnsi="Times New Roman"/>
        </w:rPr>
        <w:t xml:space="preserve"> The use and display of white and, at a later stage, coloured marble columns and veneer clearly takes place in this very specific, symbolically loaded context of the </w:t>
      </w:r>
      <w:r w:rsidR="0097786D" w:rsidRPr="009D590F">
        <w:rPr>
          <w:rFonts w:ascii="Times New Roman" w:hAnsi="Times New Roman"/>
          <w:i/>
        </w:rPr>
        <w:t>atrium</w:t>
      </w:r>
      <w:r w:rsidR="0097786D" w:rsidRPr="009D590F">
        <w:rPr>
          <w:rFonts w:ascii="Times New Roman" w:hAnsi="Times New Roman"/>
        </w:rPr>
        <w:t xml:space="preserve"> in which the sociopolitical ‘capital’ of the senator is presented to the public.</w:t>
      </w:r>
      <w:r w:rsidR="0097786D" w:rsidRPr="009D590F">
        <w:rPr>
          <w:rStyle w:val="FootnoteReference"/>
          <w:rFonts w:ascii="Times New Roman" w:hAnsi="Times New Roman"/>
        </w:rPr>
        <w:footnoteReference w:id="27"/>
      </w:r>
      <w:r w:rsidR="0097786D" w:rsidRPr="009D590F">
        <w:rPr>
          <w:rFonts w:ascii="Times New Roman" w:hAnsi="Times New Roman"/>
        </w:rPr>
        <w:t xml:space="preserve"> Initially, erecting marble columns in the ‘privacy’ of one’s house, even if in the </w:t>
      </w:r>
      <w:r w:rsidR="0097786D" w:rsidRPr="009D590F">
        <w:rPr>
          <w:rFonts w:ascii="Times New Roman" w:hAnsi="Times New Roman"/>
          <w:i/>
        </w:rPr>
        <w:t>atrium</w:t>
      </w:r>
      <w:r w:rsidR="0097786D" w:rsidRPr="009D590F">
        <w:rPr>
          <w:rFonts w:ascii="Times New Roman" w:hAnsi="Times New Roman"/>
        </w:rPr>
        <w:t xml:space="preserve">, went against the accepted convention of </w:t>
      </w:r>
      <w:r w:rsidR="00EC103B">
        <w:rPr>
          <w:rFonts w:ascii="Times New Roman" w:hAnsi="Times New Roman"/>
        </w:rPr>
        <w:t>this material</w:t>
      </w:r>
      <w:r w:rsidR="0097786D" w:rsidRPr="009D590F">
        <w:rPr>
          <w:rFonts w:ascii="Times New Roman" w:hAnsi="Times New Roman"/>
        </w:rPr>
        <w:t xml:space="preserve"> being used only </w:t>
      </w:r>
      <w:r w:rsidR="0097786D">
        <w:rPr>
          <w:rFonts w:ascii="Times New Roman" w:hAnsi="Times New Roman"/>
        </w:rPr>
        <w:t>for</w:t>
      </w:r>
      <w:r w:rsidR="0097786D" w:rsidRPr="009D590F">
        <w:rPr>
          <w:rFonts w:ascii="Times New Roman" w:hAnsi="Times New Roman"/>
        </w:rPr>
        <w:t xml:space="preserve"> public buildings.</w:t>
      </w:r>
      <w:r w:rsidR="0097786D">
        <w:rPr>
          <w:rFonts w:ascii="Times New Roman" w:hAnsi="Times New Roman"/>
        </w:rPr>
        <w:t xml:space="preserve"> </w:t>
      </w:r>
      <w:r w:rsidR="0097786D" w:rsidRPr="009D590F">
        <w:rPr>
          <w:rFonts w:ascii="Times New Roman" w:hAnsi="Times New Roman"/>
        </w:rPr>
        <w:t>L</w:t>
      </w:r>
      <w:r w:rsidR="0097786D">
        <w:rPr>
          <w:rFonts w:ascii="Times New Roman" w:hAnsi="Times New Roman"/>
        </w:rPr>
        <w:t xml:space="preserve">. </w:t>
      </w:r>
      <w:proofErr w:type="spellStart"/>
      <w:r w:rsidR="0097786D">
        <w:rPr>
          <w:rFonts w:ascii="Times New Roman" w:hAnsi="Times New Roman"/>
        </w:rPr>
        <w:t>Licinius</w:t>
      </w:r>
      <w:proofErr w:type="spellEnd"/>
      <w:r w:rsidR="0097786D">
        <w:rPr>
          <w:rFonts w:ascii="Times New Roman" w:hAnsi="Times New Roman"/>
        </w:rPr>
        <w:t xml:space="preserve"> Crassus (cos. 95 </w:t>
      </w:r>
      <w:r w:rsidR="0097786D">
        <w:rPr>
          <w:rFonts w:ascii="Times New Roman" w:hAnsi="Times New Roman"/>
        </w:rPr>
        <w:lastRenderedPageBreak/>
        <w:t>BC)</w:t>
      </w:r>
      <w:r w:rsidR="0097786D" w:rsidRPr="009D590F">
        <w:rPr>
          <w:rFonts w:ascii="Times New Roman" w:hAnsi="Times New Roman"/>
        </w:rPr>
        <w:t xml:space="preserve"> </w:t>
      </w:r>
      <w:r w:rsidR="0097786D">
        <w:rPr>
          <w:rFonts w:ascii="Times New Roman" w:hAnsi="Times New Roman"/>
        </w:rPr>
        <w:t xml:space="preserve">reportedly set up </w:t>
      </w:r>
      <w:r w:rsidR="0097786D" w:rsidRPr="009D590F">
        <w:rPr>
          <w:rFonts w:ascii="Times New Roman" w:hAnsi="Times New Roman"/>
        </w:rPr>
        <w:t xml:space="preserve">six columns of white </w:t>
      </w:r>
      <w:proofErr w:type="spellStart"/>
      <w:r w:rsidR="0097786D" w:rsidRPr="009D590F">
        <w:rPr>
          <w:rFonts w:ascii="Times New Roman" w:hAnsi="Times New Roman"/>
        </w:rPr>
        <w:t>Hymettian</w:t>
      </w:r>
      <w:proofErr w:type="spellEnd"/>
      <w:r w:rsidR="0097786D" w:rsidRPr="009D590F">
        <w:rPr>
          <w:rFonts w:ascii="Times New Roman" w:hAnsi="Times New Roman"/>
        </w:rPr>
        <w:t xml:space="preserve"> marble in his private house on the Palatine</w:t>
      </w:r>
      <w:r w:rsidR="0097786D">
        <w:rPr>
          <w:rFonts w:ascii="Times New Roman" w:hAnsi="Times New Roman"/>
        </w:rPr>
        <w:t xml:space="preserve"> and he </w:t>
      </w:r>
      <w:r w:rsidR="0097786D" w:rsidRPr="009D590F">
        <w:rPr>
          <w:rFonts w:ascii="Times New Roman" w:hAnsi="Times New Roman"/>
        </w:rPr>
        <w:t xml:space="preserve">was accused by his fellow censor, Gn. </w:t>
      </w:r>
      <w:proofErr w:type="spellStart"/>
      <w:r w:rsidR="0097786D" w:rsidRPr="009D590F">
        <w:rPr>
          <w:rFonts w:ascii="Times New Roman" w:hAnsi="Times New Roman"/>
        </w:rPr>
        <w:t>Domitius</w:t>
      </w:r>
      <w:proofErr w:type="spellEnd"/>
      <w:r w:rsidR="0097786D" w:rsidRPr="009D590F">
        <w:rPr>
          <w:rFonts w:ascii="Times New Roman" w:hAnsi="Times New Roman"/>
        </w:rPr>
        <w:t xml:space="preserve"> </w:t>
      </w:r>
      <w:proofErr w:type="spellStart"/>
      <w:r w:rsidR="0097786D" w:rsidRPr="009D590F">
        <w:rPr>
          <w:rFonts w:ascii="Times New Roman" w:hAnsi="Times New Roman"/>
        </w:rPr>
        <w:t>Ahenobarbus</w:t>
      </w:r>
      <w:proofErr w:type="spellEnd"/>
      <w:r w:rsidR="0097786D" w:rsidRPr="009D590F">
        <w:rPr>
          <w:rFonts w:ascii="Times New Roman" w:hAnsi="Times New Roman"/>
        </w:rPr>
        <w:t xml:space="preserve">, of </w:t>
      </w:r>
      <w:proofErr w:type="spellStart"/>
      <w:r w:rsidR="0097786D" w:rsidRPr="009D590F">
        <w:rPr>
          <w:rFonts w:ascii="Times New Roman" w:hAnsi="Times New Roman"/>
          <w:i/>
        </w:rPr>
        <w:t>luxuria</w:t>
      </w:r>
      <w:proofErr w:type="spellEnd"/>
      <w:r w:rsidR="0097786D">
        <w:rPr>
          <w:rFonts w:ascii="Times New Roman" w:hAnsi="Times New Roman"/>
          <w:i/>
        </w:rPr>
        <w:t>.</w:t>
      </w:r>
      <w:r w:rsidR="0097786D" w:rsidRPr="009D590F">
        <w:rPr>
          <w:rStyle w:val="FootnoteReference"/>
          <w:rFonts w:ascii="Times New Roman" w:hAnsi="Times New Roman"/>
        </w:rPr>
        <w:footnoteReference w:id="28"/>
      </w:r>
      <w:r w:rsidR="0097786D" w:rsidRPr="0097786D">
        <w:rPr>
          <w:rFonts w:ascii="Times New Roman" w:hAnsi="Times New Roman"/>
        </w:rPr>
        <w:t xml:space="preserve"> </w:t>
      </w:r>
      <w:r w:rsidR="00F1235D" w:rsidRPr="009D590F">
        <w:rPr>
          <w:rFonts w:ascii="Times New Roman" w:hAnsi="Times New Roman"/>
        </w:rPr>
        <w:t>Crassus’</w:t>
      </w:r>
      <w:r w:rsidR="0097786D">
        <w:rPr>
          <w:rFonts w:ascii="Times New Roman" w:hAnsi="Times New Roman"/>
        </w:rPr>
        <w:t xml:space="preserve"> unconventional action, however, might be explained by</w:t>
      </w:r>
      <w:r w:rsidR="00AB53C0" w:rsidRPr="009D590F">
        <w:rPr>
          <w:rFonts w:ascii="Times New Roman" w:hAnsi="Times New Roman"/>
        </w:rPr>
        <w:t xml:space="preserve"> a triumph</w:t>
      </w:r>
      <w:r w:rsidR="0097786D">
        <w:rPr>
          <w:rFonts w:ascii="Times New Roman" w:hAnsi="Times New Roman"/>
        </w:rPr>
        <w:t xml:space="preserve"> </w:t>
      </w:r>
      <w:r w:rsidR="00AB53C0" w:rsidRPr="009D590F">
        <w:rPr>
          <w:rFonts w:ascii="Times New Roman" w:hAnsi="Times New Roman"/>
        </w:rPr>
        <w:t>agreed on by the senate commission</w:t>
      </w:r>
      <w:r w:rsidR="0097786D">
        <w:rPr>
          <w:rFonts w:ascii="Times New Roman" w:hAnsi="Times New Roman"/>
        </w:rPr>
        <w:t xml:space="preserve"> for his victorious engagement of the enemy in Cisalpine Gaul</w:t>
      </w:r>
      <w:r w:rsidR="00EC103B">
        <w:rPr>
          <w:rFonts w:ascii="Times New Roman" w:hAnsi="Times New Roman"/>
        </w:rPr>
        <w:t xml:space="preserve"> but vetoed by his co-consul at the time</w:t>
      </w:r>
      <w:r w:rsidR="00AF4752" w:rsidRPr="009D590F">
        <w:rPr>
          <w:rFonts w:ascii="Times New Roman" w:hAnsi="Times New Roman"/>
        </w:rPr>
        <w:t>. T</w:t>
      </w:r>
      <w:r w:rsidR="00AB53C0" w:rsidRPr="009D590F">
        <w:rPr>
          <w:rFonts w:ascii="Times New Roman" w:hAnsi="Times New Roman"/>
        </w:rPr>
        <w:t xml:space="preserve">he denied commemoration of his victory </w:t>
      </w:r>
      <w:r w:rsidR="0097786D">
        <w:rPr>
          <w:rFonts w:ascii="Times New Roman" w:hAnsi="Times New Roman"/>
        </w:rPr>
        <w:t xml:space="preserve">in the public space </w:t>
      </w:r>
      <w:r w:rsidR="00AB53C0" w:rsidRPr="009D590F">
        <w:rPr>
          <w:rFonts w:ascii="Times New Roman" w:hAnsi="Times New Roman"/>
        </w:rPr>
        <w:t xml:space="preserve">may have prompted </w:t>
      </w:r>
      <w:r w:rsidR="00354838">
        <w:rPr>
          <w:rFonts w:ascii="Times New Roman" w:hAnsi="Times New Roman"/>
        </w:rPr>
        <w:t>its</w:t>
      </w:r>
      <w:r w:rsidR="00F1235D" w:rsidRPr="009D590F">
        <w:rPr>
          <w:rFonts w:ascii="Times New Roman" w:hAnsi="Times New Roman"/>
        </w:rPr>
        <w:t xml:space="preserve"> celebration </w:t>
      </w:r>
      <w:r w:rsidR="00AB53C0" w:rsidRPr="009D590F">
        <w:rPr>
          <w:rFonts w:ascii="Times New Roman" w:hAnsi="Times New Roman"/>
        </w:rPr>
        <w:t xml:space="preserve">in </w:t>
      </w:r>
      <w:r w:rsidR="00320DCB" w:rsidRPr="009D590F">
        <w:rPr>
          <w:rFonts w:ascii="Times New Roman" w:hAnsi="Times New Roman"/>
        </w:rPr>
        <w:t>the ‘privacy’ of his own home</w:t>
      </w:r>
      <w:r w:rsidR="00AF4752" w:rsidRPr="009D590F">
        <w:rPr>
          <w:rFonts w:ascii="Times New Roman" w:hAnsi="Times New Roman"/>
        </w:rPr>
        <w:t>.</w:t>
      </w:r>
      <w:r w:rsidR="00AF4752" w:rsidRPr="009D590F">
        <w:rPr>
          <w:rStyle w:val="FootnoteReference"/>
          <w:rFonts w:ascii="Times New Roman" w:hAnsi="Times New Roman"/>
        </w:rPr>
        <w:footnoteReference w:id="29"/>
      </w:r>
      <w:r w:rsidR="00AF4752" w:rsidRPr="009D590F">
        <w:rPr>
          <w:rFonts w:ascii="Times New Roman" w:hAnsi="Times New Roman"/>
        </w:rPr>
        <w:t xml:space="preserve"> </w:t>
      </w:r>
    </w:p>
    <w:p w14:paraId="5B96AA5F" w14:textId="77777777" w:rsidR="00A8234F" w:rsidRDefault="005056F9" w:rsidP="00A8234F">
      <w:pPr>
        <w:tabs>
          <w:tab w:val="left" w:pos="567"/>
        </w:tabs>
        <w:jc w:val="both"/>
        <w:rPr>
          <w:rFonts w:ascii="Times New Roman" w:hAnsi="Times New Roman"/>
        </w:rPr>
      </w:pPr>
      <w:r w:rsidRPr="009D590F">
        <w:rPr>
          <w:rFonts w:ascii="Times New Roman" w:hAnsi="Times New Roman"/>
        </w:rPr>
        <w:tab/>
      </w:r>
      <w:r w:rsidR="00320DCB" w:rsidRPr="009D590F">
        <w:rPr>
          <w:rFonts w:ascii="Times New Roman" w:hAnsi="Times New Roman"/>
        </w:rPr>
        <w:t xml:space="preserve">By the mid first century BC </w:t>
      </w:r>
      <w:r w:rsidR="0097786D">
        <w:rPr>
          <w:rFonts w:ascii="Times New Roman" w:hAnsi="Times New Roman"/>
        </w:rPr>
        <w:t xml:space="preserve">the </w:t>
      </w:r>
      <w:r w:rsidR="0097786D" w:rsidRPr="009D590F">
        <w:rPr>
          <w:rFonts w:ascii="Times New Roman" w:hAnsi="Times New Roman"/>
        </w:rPr>
        <w:t xml:space="preserve">use of imported marble in a domestic context was well accepted — provided one was of the right social standing, that is, if one had </w:t>
      </w:r>
      <w:proofErr w:type="spellStart"/>
      <w:r w:rsidR="0097786D" w:rsidRPr="009D590F">
        <w:rPr>
          <w:rFonts w:ascii="Times New Roman" w:hAnsi="Times New Roman"/>
          <w:i/>
        </w:rPr>
        <w:t>dignitas</w:t>
      </w:r>
      <w:proofErr w:type="spellEnd"/>
      <w:r w:rsidR="0097786D" w:rsidRPr="009D590F">
        <w:rPr>
          <w:rFonts w:ascii="Times New Roman" w:hAnsi="Times New Roman"/>
        </w:rPr>
        <w:t>.</w:t>
      </w:r>
      <w:r w:rsidR="0097786D" w:rsidRPr="009D590F">
        <w:rPr>
          <w:rStyle w:val="FootnoteReference"/>
          <w:rFonts w:ascii="Times New Roman" w:hAnsi="Times New Roman"/>
        </w:rPr>
        <w:footnoteReference w:id="30"/>
      </w:r>
      <w:r w:rsidR="0097786D" w:rsidRPr="009D590F">
        <w:rPr>
          <w:rFonts w:ascii="Times New Roman" w:hAnsi="Times New Roman"/>
        </w:rPr>
        <w:t xml:space="preserve"> </w:t>
      </w:r>
      <w:r w:rsidR="0018751D" w:rsidRPr="009D590F">
        <w:rPr>
          <w:rFonts w:ascii="Times New Roman" w:hAnsi="Times New Roman"/>
        </w:rPr>
        <w:t>The lack of</w:t>
      </w:r>
      <w:r w:rsidR="0018751D" w:rsidRPr="009D590F">
        <w:rPr>
          <w:rFonts w:ascii="Times New Roman" w:hAnsi="Times New Roman"/>
          <w:i/>
        </w:rPr>
        <w:t xml:space="preserve"> </w:t>
      </w:r>
      <w:proofErr w:type="spellStart"/>
      <w:r w:rsidR="0018751D" w:rsidRPr="009D590F">
        <w:rPr>
          <w:rFonts w:ascii="Times New Roman" w:hAnsi="Times New Roman"/>
          <w:i/>
        </w:rPr>
        <w:t>dignitas</w:t>
      </w:r>
      <w:proofErr w:type="spellEnd"/>
      <w:r w:rsidR="000F4260">
        <w:rPr>
          <w:rFonts w:ascii="Times New Roman" w:hAnsi="Times New Roman"/>
        </w:rPr>
        <w:t xml:space="preserve"> (</w:t>
      </w:r>
      <w:r w:rsidR="0018751D" w:rsidRPr="009D590F">
        <w:rPr>
          <w:rFonts w:ascii="Times New Roman" w:hAnsi="Times New Roman"/>
        </w:rPr>
        <w:t>the reputation/prestige acquired throu</w:t>
      </w:r>
      <w:r w:rsidR="000F4260">
        <w:rPr>
          <w:rFonts w:ascii="Times New Roman" w:hAnsi="Times New Roman"/>
        </w:rPr>
        <w:t xml:space="preserve">gh services to the Roman state) </w:t>
      </w:r>
      <w:r w:rsidR="0018751D" w:rsidRPr="009D590F">
        <w:rPr>
          <w:rFonts w:ascii="Times New Roman" w:hAnsi="Times New Roman"/>
        </w:rPr>
        <w:t>thus explains the animosity with whi</w:t>
      </w:r>
      <w:r w:rsidR="00A8234F">
        <w:rPr>
          <w:rFonts w:ascii="Times New Roman" w:hAnsi="Times New Roman"/>
        </w:rPr>
        <w:t xml:space="preserve">ch the use of marble by </w:t>
      </w:r>
      <w:r w:rsidR="00746C1C" w:rsidRPr="009D590F">
        <w:rPr>
          <w:rFonts w:ascii="Times New Roman" w:hAnsi="Times New Roman"/>
        </w:rPr>
        <w:t>disreputable characters</w:t>
      </w:r>
      <w:r w:rsidR="00A8234F">
        <w:rPr>
          <w:rFonts w:ascii="Times New Roman" w:hAnsi="Times New Roman"/>
        </w:rPr>
        <w:t xml:space="preserve"> is met by</w:t>
      </w:r>
      <w:r w:rsidR="0018751D" w:rsidRPr="009D590F">
        <w:rPr>
          <w:rFonts w:ascii="Times New Roman" w:hAnsi="Times New Roman"/>
        </w:rPr>
        <w:t xml:space="preserve"> literate circles</w:t>
      </w:r>
      <w:r w:rsidR="00996A91" w:rsidRPr="009D590F">
        <w:rPr>
          <w:rFonts w:ascii="Times New Roman" w:hAnsi="Times New Roman"/>
        </w:rPr>
        <w:t xml:space="preserve"> of the Late Republic and the Principate</w:t>
      </w:r>
      <w:r w:rsidR="0018751D" w:rsidRPr="009D590F">
        <w:rPr>
          <w:rFonts w:ascii="Times New Roman" w:hAnsi="Times New Roman"/>
        </w:rPr>
        <w:t xml:space="preserve">. M. </w:t>
      </w:r>
      <w:proofErr w:type="spellStart"/>
      <w:r w:rsidR="0018751D" w:rsidRPr="009D590F">
        <w:rPr>
          <w:rFonts w:ascii="Times New Roman" w:hAnsi="Times New Roman"/>
        </w:rPr>
        <w:t>Aemilius</w:t>
      </w:r>
      <w:proofErr w:type="spellEnd"/>
      <w:r w:rsidR="0018751D" w:rsidRPr="009D590F">
        <w:rPr>
          <w:rFonts w:ascii="Times New Roman" w:hAnsi="Times New Roman"/>
        </w:rPr>
        <w:t xml:space="preserve"> </w:t>
      </w:r>
      <w:proofErr w:type="spellStart"/>
      <w:r w:rsidR="0018751D" w:rsidRPr="009D590F">
        <w:rPr>
          <w:rFonts w:ascii="Times New Roman" w:hAnsi="Times New Roman"/>
        </w:rPr>
        <w:t>Scaurus</w:t>
      </w:r>
      <w:proofErr w:type="spellEnd"/>
      <w:r w:rsidR="0018751D" w:rsidRPr="009D590F">
        <w:rPr>
          <w:rFonts w:ascii="Times New Roman" w:hAnsi="Times New Roman"/>
        </w:rPr>
        <w:t xml:space="preserve"> is named</w:t>
      </w:r>
      <w:r w:rsidR="00580902">
        <w:rPr>
          <w:rFonts w:ascii="Times New Roman" w:hAnsi="Times New Roman"/>
        </w:rPr>
        <w:t xml:space="preserve"> and shamed</w:t>
      </w:r>
      <w:r w:rsidR="0018751D" w:rsidRPr="009D590F">
        <w:rPr>
          <w:rFonts w:ascii="Times New Roman" w:hAnsi="Times New Roman"/>
        </w:rPr>
        <w:t xml:space="preserve"> by Pliny the Elder </w:t>
      </w:r>
      <w:r w:rsidR="00996A91" w:rsidRPr="009D590F">
        <w:rPr>
          <w:rFonts w:ascii="Times New Roman" w:hAnsi="Times New Roman"/>
        </w:rPr>
        <w:t>(36.5-6)</w:t>
      </w:r>
      <w:r w:rsidR="00580902">
        <w:rPr>
          <w:rFonts w:ascii="Times New Roman" w:hAnsi="Times New Roman"/>
        </w:rPr>
        <w:t xml:space="preserve"> –</w:t>
      </w:r>
      <w:r w:rsidR="0018751D" w:rsidRPr="009D590F">
        <w:rPr>
          <w:rFonts w:ascii="Times New Roman" w:hAnsi="Times New Roman"/>
        </w:rPr>
        <w:t xml:space="preserve"> not only for the 360 columns of </w:t>
      </w:r>
      <w:proofErr w:type="spellStart"/>
      <w:r w:rsidR="0018751D" w:rsidRPr="009D590F">
        <w:rPr>
          <w:rFonts w:ascii="Times New Roman" w:hAnsi="Times New Roman"/>
        </w:rPr>
        <w:t>Lucullean</w:t>
      </w:r>
      <w:proofErr w:type="spellEnd"/>
      <w:r w:rsidR="0018751D" w:rsidRPr="009D590F">
        <w:rPr>
          <w:rFonts w:ascii="Times New Roman" w:hAnsi="Times New Roman"/>
        </w:rPr>
        <w:t xml:space="preserve"> and </w:t>
      </w:r>
      <w:proofErr w:type="spellStart"/>
      <w:r w:rsidR="0018751D" w:rsidRPr="009D590F">
        <w:rPr>
          <w:rFonts w:ascii="Times New Roman" w:hAnsi="Times New Roman"/>
        </w:rPr>
        <w:t>Hymettian</w:t>
      </w:r>
      <w:proofErr w:type="spellEnd"/>
      <w:r w:rsidR="0018751D" w:rsidRPr="009D590F">
        <w:rPr>
          <w:rFonts w:ascii="Times New Roman" w:hAnsi="Times New Roman"/>
        </w:rPr>
        <w:t xml:space="preserve"> marble, statues, and marble blocks or veneer he uses for the temporary theatre set up during his aedileship in 58 BC, but also for the largest columns of </w:t>
      </w:r>
      <w:proofErr w:type="spellStart"/>
      <w:r w:rsidR="0018751D" w:rsidRPr="009D590F">
        <w:rPr>
          <w:rFonts w:ascii="Times New Roman" w:hAnsi="Times New Roman"/>
          <w:i/>
        </w:rPr>
        <w:t>marmor</w:t>
      </w:r>
      <w:proofErr w:type="spellEnd"/>
      <w:r w:rsidR="0018751D" w:rsidRPr="009D590F">
        <w:rPr>
          <w:rFonts w:ascii="Times New Roman" w:hAnsi="Times New Roman"/>
          <w:i/>
        </w:rPr>
        <w:t xml:space="preserve"> </w:t>
      </w:r>
      <w:proofErr w:type="spellStart"/>
      <w:r w:rsidR="0018751D" w:rsidRPr="009D590F">
        <w:rPr>
          <w:rFonts w:ascii="Times New Roman" w:hAnsi="Times New Roman"/>
          <w:i/>
        </w:rPr>
        <w:t>Luculleum</w:t>
      </w:r>
      <w:proofErr w:type="spellEnd"/>
      <w:r w:rsidR="0018751D" w:rsidRPr="009D590F">
        <w:rPr>
          <w:rFonts w:ascii="Times New Roman" w:hAnsi="Times New Roman"/>
        </w:rPr>
        <w:t xml:space="preserve"> he uses </w:t>
      </w:r>
      <w:r w:rsidR="001979AD">
        <w:rPr>
          <w:rFonts w:ascii="Times New Roman" w:hAnsi="Times New Roman"/>
        </w:rPr>
        <w:t>in</w:t>
      </w:r>
      <w:r w:rsidR="0018751D" w:rsidRPr="009D590F">
        <w:rPr>
          <w:rFonts w:ascii="Times New Roman" w:hAnsi="Times New Roman"/>
        </w:rPr>
        <w:t xml:space="preserve"> his house. </w:t>
      </w:r>
      <w:r w:rsidR="00580902">
        <w:rPr>
          <w:rFonts w:ascii="Times New Roman" w:hAnsi="Times New Roman"/>
        </w:rPr>
        <w:t>I</w:t>
      </w:r>
      <w:r w:rsidR="0018751D" w:rsidRPr="009D590F">
        <w:rPr>
          <w:rFonts w:ascii="Times New Roman" w:hAnsi="Times New Roman"/>
        </w:rPr>
        <w:t xml:space="preserve">t is </w:t>
      </w:r>
      <w:r w:rsidR="00996A91" w:rsidRPr="009D590F">
        <w:rPr>
          <w:rFonts w:ascii="Times New Roman" w:hAnsi="Times New Roman"/>
        </w:rPr>
        <w:t>his limited</w:t>
      </w:r>
      <w:r w:rsidR="0018751D" w:rsidRPr="009D590F">
        <w:rPr>
          <w:rFonts w:ascii="Times New Roman" w:hAnsi="Times New Roman"/>
        </w:rPr>
        <w:t xml:space="preserve"> </w:t>
      </w:r>
      <w:proofErr w:type="spellStart"/>
      <w:r w:rsidR="0018751D" w:rsidRPr="009D590F">
        <w:rPr>
          <w:rFonts w:ascii="Times New Roman" w:hAnsi="Times New Roman"/>
          <w:i/>
        </w:rPr>
        <w:t>dignitas</w:t>
      </w:r>
      <w:proofErr w:type="spellEnd"/>
      <w:r w:rsidR="00580902">
        <w:rPr>
          <w:rFonts w:ascii="Times New Roman" w:hAnsi="Times New Roman"/>
        </w:rPr>
        <w:t xml:space="preserve">, </w:t>
      </w:r>
      <w:r w:rsidR="0018751D" w:rsidRPr="009D590F">
        <w:rPr>
          <w:rFonts w:ascii="Times New Roman" w:hAnsi="Times New Roman"/>
        </w:rPr>
        <w:t>the absence of (military</w:t>
      </w:r>
      <w:r w:rsidR="002C300E" w:rsidRPr="009D590F">
        <w:rPr>
          <w:rFonts w:ascii="Times New Roman" w:hAnsi="Times New Roman"/>
        </w:rPr>
        <w:t>?</w:t>
      </w:r>
      <w:r w:rsidR="0018751D" w:rsidRPr="009D590F">
        <w:rPr>
          <w:rFonts w:ascii="Times New Roman" w:hAnsi="Times New Roman"/>
        </w:rPr>
        <w:t xml:space="preserve">) achievements for the Roman state, which is not commensurate with the display of </w:t>
      </w:r>
      <w:r w:rsidR="00580902">
        <w:rPr>
          <w:rFonts w:ascii="Times New Roman" w:hAnsi="Times New Roman"/>
        </w:rPr>
        <w:t>marble</w:t>
      </w:r>
      <w:r w:rsidR="0018751D" w:rsidRPr="009D590F">
        <w:rPr>
          <w:rFonts w:ascii="Times New Roman" w:hAnsi="Times New Roman"/>
        </w:rPr>
        <w:t xml:space="preserve"> in a domestic </w:t>
      </w:r>
      <w:r w:rsidR="00FF51D4" w:rsidRPr="009D590F">
        <w:rPr>
          <w:rFonts w:ascii="Times New Roman" w:hAnsi="Times New Roman"/>
        </w:rPr>
        <w:t>setting</w:t>
      </w:r>
      <w:r w:rsidR="0018751D" w:rsidRPr="009D590F">
        <w:rPr>
          <w:rFonts w:ascii="Times New Roman" w:hAnsi="Times New Roman"/>
        </w:rPr>
        <w:t>.</w:t>
      </w:r>
      <w:r w:rsidR="00746C1C">
        <w:rPr>
          <w:rFonts w:ascii="Times New Roman" w:hAnsi="Times New Roman"/>
        </w:rPr>
        <w:t xml:space="preserve"> </w:t>
      </w:r>
      <w:r w:rsidR="007E60D5">
        <w:rPr>
          <w:rFonts w:ascii="Times New Roman" w:hAnsi="Times New Roman"/>
        </w:rPr>
        <w:t xml:space="preserve">Other </w:t>
      </w:r>
      <w:r w:rsidR="007E60D5" w:rsidRPr="007E60D5">
        <w:rPr>
          <w:rFonts w:ascii="Times New Roman" w:hAnsi="Times New Roman"/>
          <w:i/>
        </w:rPr>
        <w:t>exempla</w:t>
      </w:r>
      <w:r w:rsidR="007E60D5">
        <w:rPr>
          <w:rFonts w:ascii="Times New Roman" w:hAnsi="Times New Roman"/>
        </w:rPr>
        <w:t xml:space="preserve"> noted by </w:t>
      </w:r>
      <w:r w:rsidR="0018751D" w:rsidRPr="009D590F">
        <w:rPr>
          <w:rFonts w:ascii="Times New Roman" w:hAnsi="Times New Roman"/>
        </w:rPr>
        <w:t>Pliny</w:t>
      </w:r>
      <w:r w:rsidR="007E60D5">
        <w:rPr>
          <w:rFonts w:ascii="Times New Roman" w:hAnsi="Times New Roman"/>
        </w:rPr>
        <w:t xml:space="preserve"> </w:t>
      </w:r>
      <w:r w:rsidR="001979AD">
        <w:rPr>
          <w:rFonts w:ascii="Times New Roman" w:hAnsi="Times New Roman"/>
        </w:rPr>
        <w:t>such as</w:t>
      </w:r>
      <w:r w:rsidR="0018751D" w:rsidRPr="009D590F">
        <w:rPr>
          <w:rFonts w:ascii="Times New Roman" w:hAnsi="Times New Roman"/>
        </w:rPr>
        <w:t xml:space="preserve"> </w:t>
      </w:r>
      <w:r w:rsidR="007E60D5" w:rsidRPr="009D590F">
        <w:rPr>
          <w:rFonts w:ascii="Times New Roman" w:hAnsi="Times New Roman"/>
        </w:rPr>
        <w:t>M</w:t>
      </w:r>
      <w:r w:rsidR="007E60D5">
        <w:rPr>
          <w:rFonts w:ascii="Times New Roman" w:hAnsi="Times New Roman"/>
        </w:rPr>
        <w:t xml:space="preserve">. </w:t>
      </w:r>
      <w:proofErr w:type="spellStart"/>
      <w:r w:rsidR="007E60D5">
        <w:rPr>
          <w:rFonts w:ascii="Times New Roman" w:hAnsi="Times New Roman"/>
        </w:rPr>
        <w:t>Aemilius</w:t>
      </w:r>
      <w:proofErr w:type="spellEnd"/>
      <w:r w:rsidR="007E60D5">
        <w:rPr>
          <w:rFonts w:ascii="Times New Roman" w:hAnsi="Times New Roman"/>
        </w:rPr>
        <w:t xml:space="preserve"> Lepidus (cos. 78 BC; </w:t>
      </w:r>
      <w:r w:rsidR="0018751D" w:rsidRPr="009D590F">
        <w:rPr>
          <w:rFonts w:ascii="Times New Roman" w:hAnsi="Times New Roman"/>
          <w:i/>
        </w:rPr>
        <w:t>n.h.</w:t>
      </w:r>
      <w:r w:rsidR="0018751D" w:rsidRPr="009D590F">
        <w:rPr>
          <w:rFonts w:ascii="Times New Roman" w:hAnsi="Times New Roman"/>
        </w:rPr>
        <w:t xml:space="preserve"> 36.49) </w:t>
      </w:r>
      <w:r w:rsidR="007E60D5">
        <w:rPr>
          <w:rFonts w:ascii="Times New Roman" w:hAnsi="Times New Roman"/>
        </w:rPr>
        <w:t xml:space="preserve">or the equestrian </w:t>
      </w:r>
      <w:proofErr w:type="spellStart"/>
      <w:r w:rsidR="007E60D5" w:rsidRPr="009D590F">
        <w:rPr>
          <w:rFonts w:ascii="Times New Roman" w:hAnsi="Times New Roman"/>
        </w:rPr>
        <w:t>Mamurra</w:t>
      </w:r>
      <w:proofErr w:type="spellEnd"/>
      <w:r w:rsidR="007E60D5" w:rsidRPr="009D590F">
        <w:rPr>
          <w:rFonts w:ascii="Times New Roman" w:hAnsi="Times New Roman"/>
        </w:rPr>
        <w:t xml:space="preserve"> </w:t>
      </w:r>
      <w:r w:rsidR="007E60D5">
        <w:rPr>
          <w:rFonts w:ascii="Times New Roman" w:hAnsi="Times New Roman"/>
        </w:rPr>
        <w:t>(</w:t>
      </w:r>
      <w:proofErr w:type="spellStart"/>
      <w:r w:rsidR="007E60D5" w:rsidRPr="009D590F">
        <w:rPr>
          <w:rFonts w:ascii="Times New Roman" w:hAnsi="Times New Roman"/>
          <w:i/>
        </w:rPr>
        <w:t>n.h</w:t>
      </w:r>
      <w:proofErr w:type="spellEnd"/>
      <w:r w:rsidR="007E60D5" w:rsidRPr="009D590F">
        <w:rPr>
          <w:rFonts w:ascii="Times New Roman" w:hAnsi="Times New Roman"/>
        </w:rPr>
        <w:t>. 36.48</w:t>
      </w:r>
      <w:r w:rsidR="007E60D5">
        <w:rPr>
          <w:rFonts w:ascii="Times New Roman" w:hAnsi="Times New Roman"/>
        </w:rPr>
        <w:t>) fit the same mould.</w:t>
      </w:r>
      <w:r w:rsidR="007E60D5" w:rsidRPr="009D590F">
        <w:rPr>
          <w:rStyle w:val="FootnoteReference"/>
          <w:rFonts w:ascii="Times New Roman" w:hAnsi="Times New Roman"/>
        </w:rPr>
        <w:footnoteReference w:id="31"/>
      </w:r>
      <w:r w:rsidR="001979AD">
        <w:rPr>
          <w:rFonts w:ascii="Times New Roman" w:hAnsi="Times New Roman"/>
        </w:rPr>
        <w:t xml:space="preserve"> </w:t>
      </w:r>
      <w:r w:rsidR="00E6033D">
        <w:rPr>
          <w:rFonts w:ascii="Times New Roman" w:hAnsi="Times New Roman"/>
        </w:rPr>
        <w:t xml:space="preserve">In the absence of </w:t>
      </w:r>
      <w:proofErr w:type="spellStart"/>
      <w:r w:rsidR="00E6033D" w:rsidRPr="00E6033D">
        <w:rPr>
          <w:rFonts w:ascii="Times New Roman" w:hAnsi="Times New Roman"/>
          <w:i/>
        </w:rPr>
        <w:t>dignitas</w:t>
      </w:r>
      <w:proofErr w:type="spellEnd"/>
      <w:r w:rsidR="00E6033D">
        <w:rPr>
          <w:rFonts w:ascii="Times New Roman" w:hAnsi="Times New Roman"/>
        </w:rPr>
        <w:t xml:space="preserve"> the</w:t>
      </w:r>
      <w:r w:rsidR="00FF51D4" w:rsidRPr="009D590F">
        <w:rPr>
          <w:rFonts w:ascii="Times New Roman" w:hAnsi="Times New Roman"/>
        </w:rPr>
        <w:t xml:space="preserve"> </w:t>
      </w:r>
      <w:r w:rsidR="00E6033D">
        <w:rPr>
          <w:rFonts w:ascii="Times New Roman" w:hAnsi="Times New Roman"/>
        </w:rPr>
        <w:t>display of</w:t>
      </w:r>
      <w:r w:rsidR="00FF51D4" w:rsidRPr="009D590F">
        <w:rPr>
          <w:rFonts w:ascii="Times New Roman" w:hAnsi="Times New Roman"/>
        </w:rPr>
        <w:t xml:space="preserve"> foreign marble in the ‘public’ spaces of a house </w:t>
      </w:r>
      <w:r w:rsidR="00E6033D">
        <w:rPr>
          <w:rFonts w:ascii="Times New Roman" w:hAnsi="Times New Roman"/>
        </w:rPr>
        <w:t xml:space="preserve">offended elite sensibilities, </w:t>
      </w:r>
      <w:r w:rsidR="002C300E" w:rsidRPr="009D590F">
        <w:rPr>
          <w:rFonts w:ascii="Times New Roman" w:hAnsi="Times New Roman"/>
        </w:rPr>
        <w:t xml:space="preserve">even more so in the case of coloured stones </w:t>
      </w:r>
      <w:r w:rsidR="00E6033D">
        <w:rPr>
          <w:rFonts w:ascii="Times New Roman" w:hAnsi="Times New Roman"/>
        </w:rPr>
        <w:t>which reflected</w:t>
      </w:r>
      <w:r w:rsidR="00E6033D" w:rsidRPr="009D590F">
        <w:rPr>
          <w:rFonts w:ascii="Times New Roman" w:hAnsi="Times New Roman"/>
        </w:rPr>
        <w:t xml:space="preserve"> the </w:t>
      </w:r>
      <w:r w:rsidR="00E6033D">
        <w:rPr>
          <w:rFonts w:ascii="Times New Roman" w:hAnsi="Times New Roman"/>
        </w:rPr>
        <w:t>territorial reach</w:t>
      </w:r>
      <w:r w:rsidR="00E6033D" w:rsidRPr="009D590F">
        <w:rPr>
          <w:rFonts w:ascii="Times New Roman" w:hAnsi="Times New Roman"/>
        </w:rPr>
        <w:t xml:space="preserve"> of empire</w:t>
      </w:r>
      <w:r w:rsidR="00E6033D">
        <w:rPr>
          <w:rFonts w:ascii="Times New Roman" w:hAnsi="Times New Roman"/>
        </w:rPr>
        <w:t xml:space="preserve"> and therefore</w:t>
      </w:r>
      <w:r w:rsidR="002C300E" w:rsidRPr="009D590F">
        <w:rPr>
          <w:rFonts w:ascii="Times New Roman" w:hAnsi="Times New Roman"/>
        </w:rPr>
        <w:t xml:space="preserve"> conquest, and military achievement</w:t>
      </w:r>
      <w:r w:rsidR="002C300E" w:rsidRPr="009D590F">
        <w:rPr>
          <w:rFonts w:ascii="Times New Roman" w:hAnsi="Times New Roman"/>
          <w:i/>
        </w:rPr>
        <w:t>.</w:t>
      </w:r>
      <w:r w:rsidR="002C300E" w:rsidRPr="009D590F">
        <w:rPr>
          <w:rStyle w:val="FootnoteReference"/>
          <w:rFonts w:ascii="Times New Roman" w:hAnsi="Times New Roman"/>
        </w:rPr>
        <w:footnoteReference w:id="32"/>
      </w:r>
      <w:r w:rsidR="00193C60">
        <w:rPr>
          <w:rFonts w:ascii="Times New Roman" w:hAnsi="Times New Roman"/>
        </w:rPr>
        <w:t xml:space="preserve"> </w:t>
      </w:r>
    </w:p>
    <w:p w14:paraId="73DA5C66" w14:textId="40338DD4" w:rsidR="002714C8" w:rsidRPr="009D590F" w:rsidRDefault="00A8234F" w:rsidP="00A8234F">
      <w:pPr>
        <w:tabs>
          <w:tab w:val="left" w:pos="567"/>
        </w:tabs>
        <w:jc w:val="both"/>
        <w:rPr>
          <w:rFonts w:ascii="Times New Roman" w:hAnsi="Times New Roman"/>
        </w:rPr>
      </w:pPr>
      <w:r>
        <w:rPr>
          <w:rFonts w:ascii="Times New Roman" w:hAnsi="Times New Roman"/>
        </w:rPr>
        <w:tab/>
      </w:r>
      <w:r w:rsidR="002714C8" w:rsidRPr="009D590F">
        <w:rPr>
          <w:rFonts w:ascii="Times New Roman" w:hAnsi="Times New Roman"/>
        </w:rPr>
        <w:t xml:space="preserve">The use and display of imported white and polychrome stones </w:t>
      </w:r>
      <w:r w:rsidR="00706578" w:rsidRPr="009D590F">
        <w:rPr>
          <w:rFonts w:ascii="Times New Roman" w:hAnsi="Times New Roman"/>
        </w:rPr>
        <w:t>was integral to the self-presentation of a respected senator who had achieved high standing in Roman society through his and his ancestor</w:t>
      </w:r>
      <w:r w:rsidR="002714C8" w:rsidRPr="009D590F">
        <w:rPr>
          <w:rFonts w:ascii="Times New Roman" w:hAnsi="Times New Roman"/>
        </w:rPr>
        <w:t>’</w:t>
      </w:r>
      <w:r w:rsidR="00706578" w:rsidRPr="009D590F">
        <w:rPr>
          <w:rFonts w:ascii="Times New Roman" w:hAnsi="Times New Roman"/>
        </w:rPr>
        <w:t>s services</w:t>
      </w:r>
      <w:r w:rsidR="002714C8" w:rsidRPr="009D590F">
        <w:rPr>
          <w:rFonts w:ascii="Times New Roman" w:hAnsi="Times New Roman"/>
        </w:rPr>
        <w:t xml:space="preserve"> to</w:t>
      </w:r>
      <w:r w:rsidR="00706578" w:rsidRPr="009D590F">
        <w:rPr>
          <w:rFonts w:ascii="Times New Roman" w:hAnsi="Times New Roman"/>
        </w:rPr>
        <w:t xml:space="preserve"> </w:t>
      </w:r>
      <w:r w:rsidR="002714C8" w:rsidRPr="009D590F">
        <w:rPr>
          <w:rFonts w:ascii="Times New Roman" w:hAnsi="Times New Roman"/>
        </w:rPr>
        <w:t>Rome</w:t>
      </w:r>
      <w:r w:rsidR="00FF51D4" w:rsidRPr="009D590F">
        <w:rPr>
          <w:rFonts w:ascii="Times New Roman" w:hAnsi="Times New Roman"/>
        </w:rPr>
        <w:t>. T</w:t>
      </w:r>
      <w:r w:rsidR="002714C8" w:rsidRPr="009D590F">
        <w:rPr>
          <w:rFonts w:ascii="Times New Roman" w:hAnsi="Times New Roman"/>
        </w:rPr>
        <w:t xml:space="preserve">he </w:t>
      </w:r>
      <w:r w:rsidR="00FF51D4" w:rsidRPr="009D590F">
        <w:rPr>
          <w:rFonts w:ascii="Times New Roman" w:hAnsi="Times New Roman"/>
        </w:rPr>
        <w:t xml:space="preserve">intense competition amongst the aristocratic elite paired with the </w:t>
      </w:r>
      <w:r w:rsidR="002714C8" w:rsidRPr="009D590F">
        <w:rPr>
          <w:rFonts w:ascii="Times New Roman" w:hAnsi="Times New Roman"/>
        </w:rPr>
        <w:t>benefits of military victories in terms of wealth and symbolic capital</w:t>
      </w:r>
      <w:r w:rsidR="00FF51D4" w:rsidRPr="009D590F">
        <w:rPr>
          <w:rFonts w:ascii="Times New Roman" w:hAnsi="Times New Roman"/>
        </w:rPr>
        <w:t xml:space="preserve"> fuelled</w:t>
      </w:r>
      <w:r w:rsidR="002714C8" w:rsidRPr="009D590F">
        <w:rPr>
          <w:rFonts w:ascii="Times New Roman" w:hAnsi="Times New Roman"/>
        </w:rPr>
        <w:t xml:space="preserve"> the population of public spaces with monuments to these achievements. Manubial temples, triumphal arches, </w:t>
      </w:r>
      <w:proofErr w:type="spellStart"/>
      <w:r w:rsidR="002714C8" w:rsidRPr="009D590F">
        <w:rPr>
          <w:rFonts w:ascii="Times New Roman" w:hAnsi="Times New Roman"/>
          <w:i/>
        </w:rPr>
        <w:t>tropaea</w:t>
      </w:r>
      <w:proofErr w:type="spellEnd"/>
      <w:r w:rsidR="002714C8" w:rsidRPr="009D590F">
        <w:rPr>
          <w:rFonts w:ascii="Times New Roman" w:hAnsi="Times New Roman"/>
          <w:i/>
        </w:rPr>
        <w:t xml:space="preserve">, </w:t>
      </w:r>
      <w:r w:rsidR="002714C8" w:rsidRPr="009D590F">
        <w:rPr>
          <w:rFonts w:ascii="Times New Roman" w:hAnsi="Times New Roman"/>
        </w:rPr>
        <w:t xml:space="preserve">honorific statues, together with the display of spoils propagated the military exploits and celebrated the </w:t>
      </w:r>
      <w:proofErr w:type="spellStart"/>
      <w:r w:rsidR="002714C8" w:rsidRPr="009D590F">
        <w:rPr>
          <w:rFonts w:ascii="Times New Roman" w:hAnsi="Times New Roman"/>
          <w:i/>
        </w:rPr>
        <w:lastRenderedPageBreak/>
        <w:t>triumphatores</w:t>
      </w:r>
      <w:proofErr w:type="spellEnd"/>
      <w:r w:rsidR="002714C8" w:rsidRPr="009D590F">
        <w:rPr>
          <w:rFonts w:ascii="Times New Roman" w:hAnsi="Times New Roman"/>
        </w:rPr>
        <w:t xml:space="preserve"> beyond the fleeting moment of the </w:t>
      </w:r>
      <w:proofErr w:type="spellStart"/>
      <w:r w:rsidR="002714C8" w:rsidRPr="009D590F">
        <w:rPr>
          <w:rFonts w:ascii="Times New Roman" w:hAnsi="Times New Roman"/>
          <w:i/>
        </w:rPr>
        <w:t>pompa</w:t>
      </w:r>
      <w:proofErr w:type="spellEnd"/>
      <w:r w:rsidR="002714C8" w:rsidRPr="009D590F">
        <w:rPr>
          <w:rFonts w:ascii="Times New Roman" w:hAnsi="Times New Roman"/>
          <w:i/>
        </w:rPr>
        <w:t xml:space="preserve"> </w:t>
      </w:r>
      <w:proofErr w:type="spellStart"/>
      <w:r w:rsidR="002714C8" w:rsidRPr="009D590F">
        <w:rPr>
          <w:rFonts w:ascii="Times New Roman" w:hAnsi="Times New Roman"/>
          <w:i/>
        </w:rPr>
        <w:t>triumphalis</w:t>
      </w:r>
      <w:proofErr w:type="spellEnd"/>
      <w:r w:rsidR="002714C8" w:rsidRPr="009D590F">
        <w:rPr>
          <w:rFonts w:ascii="Times New Roman" w:hAnsi="Times New Roman"/>
        </w:rPr>
        <w:t xml:space="preserve">. White and coloured marble were very much part of the visual language through which these accomplishments were conveyed to the people of Rome. Perhaps initially hauled to Rome as spoils from the Greek East, </w:t>
      </w:r>
      <w:r w:rsidR="00CF6599" w:rsidRPr="009D590F">
        <w:rPr>
          <w:rFonts w:ascii="Times New Roman" w:hAnsi="Times New Roman"/>
        </w:rPr>
        <w:t xml:space="preserve">specific </w:t>
      </w:r>
      <w:r w:rsidR="002714C8" w:rsidRPr="009D590F">
        <w:rPr>
          <w:rFonts w:ascii="Times New Roman" w:hAnsi="Times New Roman"/>
        </w:rPr>
        <w:t xml:space="preserve">imported mono- and polychrome marbles may have retained a certain nimbus of a prize gained through war. </w:t>
      </w:r>
      <w:r w:rsidR="00CF6599" w:rsidRPr="009D590F">
        <w:rPr>
          <w:rFonts w:ascii="Times New Roman" w:hAnsi="Times New Roman"/>
        </w:rPr>
        <w:t xml:space="preserve">The misappropriation of such symbolically charged marbles i.e. their acquisition and display by people not of the ‘right’ standing </w:t>
      </w:r>
      <w:r>
        <w:rPr>
          <w:rFonts w:ascii="Times New Roman" w:hAnsi="Times New Roman"/>
        </w:rPr>
        <w:t>could</w:t>
      </w:r>
      <w:r w:rsidR="00CF6599" w:rsidRPr="009D590F">
        <w:rPr>
          <w:rFonts w:ascii="Times New Roman" w:hAnsi="Times New Roman"/>
        </w:rPr>
        <w:t xml:space="preserve"> r</w:t>
      </w:r>
      <w:r>
        <w:rPr>
          <w:rFonts w:ascii="Times New Roman" w:hAnsi="Times New Roman"/>
        </w:rPr>
        <w:t>aise</w:t>
      </w:r>
      <w:r w:rsidR="00CF6599" w:rsidRPr="009D590F">
        <w:rPr>
          <w:rFonts w:ascii="Times New Roman" w:hAnsi="Times New Roman"/>
        </w:rPr>
        <w:t xml:space="preserve"> eyebrow</w:t>
      </w:r>
      <w:r>
        <w:rPr>
          <w:rFonts w:ascii="Times New Roman" w:hAnsi="Times New Roman"/>
        </w:rPr>
        <w:t>s</w:t>
      </w:r>
      <w:r w:rsidR="00CF6599" w:rsidRPr="009D590F">
        <w:rPr>
          <w:rFonts w:ascii="Times New Roman" w:hAnsi="Times New Roman"/>
        </w:rPr>
        <w:t xml:space="preserve">; the negative </w:t>
      </w:r>
      <w:r w:rsidR="00CF6599" w:rsidRPr="009D590F">
        <w:rPr>
          <w:rFonts w:ascii="Times New Roman" w:hAnsi="Times New Roman"/>
          <w:i/>
        </w:rPr>
        <w:t>exempla</w:t>
      </w:r>
      <w:r>
        <w:rPr>
          <w:rFonts w:ascii="Times New Roman" w:hAnsi="Times New Roman"/>
        </w:rPr>
        <w:t xml:space="preserve"> Pliny lists are</w:t>
      </w:r>
      <w:r w:rsidR="00CF6599" w:rsidRPr="009D590F">
        <w:rPr>
          <w:rFonts w:ascii="Times New Roman" w:hAnsi="Times New Roman"/>
        </w:rPr>
        <w:t xml:space="preserve"> testament to this. </w:t>
      </w:r>
    </w:p>
    <w:p w14:paraId="2E21E3B1" w14:textId="77777777" w:rsidR="00CF6599" w:rsidRPr="009D590F" w:rsidRDefault="00CF6599" w:rsidP="00D45F28">
      <w:pPr>
        <w:tabs>
          <w:tab w:val="left" w:pos="284"/>
          <w:tab w:val="left" w:pos="567"/>
          <w:tab w:val="left" w:pos="3189"/>
        </w:tabs>
        <w:jc w:val="both"/>
        <w:rPr>
          <w:rFonts w:ascii="Times New Roman" w:hAnsi="Times New Roman"/>
        </w:rPr>
      </w:pPr>
    </w:p>
    <w:p w14:paraId="60FC53D3" w14:textId="41509A0A" w:rsidR="00D45F28" w:rsidRPr="009D590F" w:rsidRDefault="003F74D5" w:rsidP="00A8234F">
      <w:pPr>
        <w:tabs>
          <w:tab w:val="left" w:pos="284"/>
          <w:tab w:val="left" w:pos="567"/>
          <w:tab w:val="left" w:pos="3189"/>
        </w:tabs>
        <w:jc w:val="both"/>
        <w:rPr>
          <w:rFonts w:ascii="Times New Roman" w:hAnsi="Times New Roman"/>
        </w:rPr>
      </w:pPr>
      <w:r w:rsidRPr="009D590F">
        <w:rPr>
          <w:rFonts w:ascii="Times New Roman" w:hAnsi="Times New Roman"/>
        </w:rPr>
        <w:t xml:space="preserve">With the focalisation of military success on the emperor the senatorial elite was not only deprived of claiming military victory but of celebrating and commemorating military achievement in the public sphere as well. Large scale projects such as manubial temples, permanent theatres, and other representative public buildings (theatres, amphitheatres, baths, </w:t>
      </w:r>
      <w:r w:rsidRPr="009D590F">
        <w:rPr>
          <w:rFonts w:ascii="Times New Roman" w:hAnsi="Times New Roman"/>
          <w:i/>
        </w:rPr>
        <w:t>fora</w:t>
      </w:r>
      <w:r w:rsidRPr="009D590F">
        <w:rPr>
          <w:rFonts w:ascii="Times New Roman" w:hAnsi="Times New Roman"/>
        </w:rPr>
        <w:t xml:space="preserve">), if not initiated by the people and senate of Rome, were now commissioned by the emperor. The </w:t>
      </w:r>
      <w:proofErr w:type="spellStart"/>
      <w:r w:rsidRPr="009D590F">
        <w:rPr>
          <w:rFonts w:ascii="Times New Roman" w:hAnsi="Times New Roman"/>
          <w:i/>
        </w:rPr>
        <w:t>theatrum</w:t>
      </w:r>
      <w:proofErr w:type="spellEnd"/>
      <w:r w:rsidRPr="009D590F">
        <w:rPr>
          <w:rFonts w:ascii="Times New Roman" w:hAnsi="Times New Roman"/>
          <w:i/>
        </w:rPr>
        <w:t xml:space="preserve"> </w:t>
      </w:r>
      <w:proofErr w:type="spellStart"/>
      <w:r w:rsidRPr="009D590F">
        <w:rPr>
          <w:rFonts w:ascii="Times New Roman" w:hAnsi="Times New Roman"/>
          <w:i/>
        </w:rPr>
        <w:t>Balbi</w:t>
      </w:r>
      <w:proofErr w:type="spellEnd"/>
      <w:r w:rsidRPr="009D590F">
        <w:rPr>
          <w:rFonts w:ascii="Times New Roman" w:hAnsi="Times New Roman"/>
          <w:i/>
        </w:rPr>
        <w:t xml:space="preserve"> </w:t>
      </w:r>
      <w:r w:rsidRPr="009D590F">
        <w:rPr>
          <w:rFonts w:ascii="Times New Roman" w:hAnsi="Times New Roman"/>
        </w:rPr>
        <w:t>was the last to be built on the expenses of a senator; it displayed four columns of onyx marble (</w:t>
      </w:r>
      <w:proofErr w:type="spellStart"/>
      <w:r w:rsidRPr="009D590F">
        <w:rPr>
          <w:rFonts w:ascii="Times New Roman" w:hAnsi="Times New Roman"/>
        </w:rPr>
        <w:t>Plin</w:t>
      </w:r>
      <w:proofErr w:type="spellEnd"/>
      <w:r w:rsidRPr="009D590F">
        <w:rPr>
          <w:rFonts w:ascii="Times New Roman" w:hAnsi="Times New Roman"/>
        </w:rPr>
        <w:t xml:space="preserve">. </w:t>
      </w:r>
      <w:r w:rsidRPr="009D590F">
        <w:rPr>
          <w:rFonts w:ascii="Times New Roman" w:hAnsi="Times New Roman"/>
          <w:i/>
        </w:rPr>
        <w:t>n.h.</w:t>
      </w:r>
      <w:r w:rsidRPr="009D590F">
        <w:rPr>
          <w:rFonts w:ascii="Times New Roman" w:hAnsi="Times New Roman"/>
        </w:rPr>
        <w:t xml:space="preserve"> 36.60).</w:t>
      </w:r>
      <w:r w:rsidRPr="009D590F">
        <w:rPr>
          <w:rStyle w:val="FootnoteReference"/>
          <w:rFonts w:ascii="Times New Roman" w:hAnsi="Times New Roman"/>
        </w:rPr>
        <w:footnoteReference w:id="33"/>
      </w:r>
      <w:r w:rsidRPr="009D590F">
        <w:rPr>
          <w:rFonts w:ascii="Times New Roman" w:hAnsi="Times New Roman"/>
        </w:rPr>
        <w:t xml:space="preserve"> Despite Augustus’ call for the embellishment of the city (Suet. </w:t>
      </w:r>
      <w:r w:rsidRPr="009D590F">
        <w:rPr>
          <w:rFonts w:ascii="Times New Roman" w:hAnsi="Times New Roman"/>
          <w:i/>
        </w:rPr>
        <w:t>Aug</w:t>
      </w:r>
      <w:r w:rsidRPr="009D590F">
        <w:rPr>
          <w:rFonts w:ascii="Times New Roman" w:hAnsi="Times New Roman"/>
        </w:rPr>
        <w:t xml:space="preserve">. 29), there is no indication that the </w:t>
      </w:r>
      <w:r w:rsidRPr="009D590F">
        <w:rPr>
          <w:rFonts w:ascii="Times New Roman" w:hAnsi="Times New Roman"/>
          <w:i/>
        </w:rPr>
        <w:t xml:space="preserve">ordo </w:t>
      </w:r>
      <w:proofErr w:type="spellStart"/>
      <w:r w:rsidRPr="009D590F">
        <w:rPr>
          <w:rFonts w:ascii="Times New Roman" w:hAnsi="Times New Roman"/>
          <w:i/>
        </w:rPr>
        <w:t>senatorius</w:t>
      </w:r>
      <w:proofErr w:type="spellEnd"/>
      <w:r w:rsidRPr="009D590F">
        <w:rPr>
          <w:rFonts w:ascii="Times New Roman" w:hAnsi="Times New Roman"/>
        </w:rPr>
        <w:t xml:space="preserve"> followed suit. In fact, any form of self-presentation by the senatorial elite disappeared from public spaces in Rome and was reduced to honorific monuments set up in the private confines of their homes or </w:t>
      </w:r>
      <w:proofErr w:type="spellStart"/>
      <w:r w:rsidRPr="009D590F">
        <w:rPr>
          <w:rFonts w:ascii="Times New Roman" w:hAnsi="Times New Roman"/>
          <w:i/>
        </w:rPr>
        <w:t>villae</w:t>
      </w:r>
      <w:proofErr w:type="spellEnd"/>
      <w:r w:rsidRPr="009D590F">
        <w:rPr>
          <w:rFonts w:ascii="Times New Roman" w:hAnsi="Times New Roman"/>
        </w:rPr>
        <w:t xml:space="preserve">; the few senators honoured by the emperor with the </w:t>
      </w:r>
      <w:proofErr w:type="spellStart"/>
      <w:r w:rsidRPr="009D590F">
        <w:rPr>
          <w:rFonts w:ascii="Times New Roman" w:hAnsi="Times New Roman"/>
          <w:i/>
        </w:rPr>
        <w:t>ornamenta</w:t>
      </w:r>
      <w:proofErr w:type="spellEnd"/>
      <w:r w:rsidRPr="009D590F">
        <w:rPr>
          <w:rFonts w:ascii="Times New Roman" w:hAnsi="Times New Roman"/>
          <w:i/>
        </w:rPr>
        <w:t xml:space="preserve"> </w:t>
      </w:r>
      <w:proofErr w:type="spellStart"/>
      <w:r w:rsidRPr="009D590F">
        <w:rPr>
          <w:rFonts w:ascii="Times New Roman" w:hAnsi="Times New Roman"/>
          <w:i/>
        </w:rPr>
        <w:t>triumphalia</w:t>
      </w:r>
      <w:proofErr w:type="spellEnd"/>
      <w:r w:rsidRPr="009D590F">
        <w:rPr>
          <w:rFonts w:ascii="Times New Roman" w:hAnsi="Times New Roman"/>
          <w:i/>
        </w:rPr>
        <w:t xml:space="preserve"> </w:t>
      </w:r>
      <w:r w:rsidRPr="009D590F">
        <w:rPr>
          <w:rFonts w:ascii="Times New Roman" w:hAnsi="Times New Roman"/>
        </w:rPr>
        <w:t>for their military achievements as his legates could be honoured with a statue</w:t>
      </w:r>
      <w:r w:rsidR="00FF51D4" w:rsidRPr="009D590F">
        <w:rPr>
          <w:rFonts w:ascii="Times New Roman" w:hAnsi="Times New Roman"/>
        </w:rPr>
        <w:t xml:space="preserve"> in public;</w:t>
      </w:r>
      <w:r w:rsidRPr="009D590F">
        <w:rPr>
          <w:rFonts w:ascii="Times New Roman" w:hAnsi="Times New Roman"/>
        </w:rPr>
        <w:t xml:space="preserve"> the initiative to do so and the choice of place lay entirely with the emperor.</w:t>
      </w:r>
      <w:r w:rsidRPr="009D590F">
        <w:rPr>
          <w:rStyle w:val="FootnoteReference"/>
          <w:rFonts w:ascii="Times New Roman" w:hAnsi="Times New Roman"/>
        </w:rPr>
        <w:footnoteReference w:id="34"/>
      </w:r>
      <w:r w:rsidRPr="009D590F">
        <w:rPr>
          <w:rFonts w:ascii="Times New Roman" w:hAnsi="Times New Roman"/>
        </w:rPr>
        <w:t xml:space="preserve"> T</w:t>
      </w:r>
      <w:r w:rsidR="002C300E" w:rsidRPr="009D590F">
        <w:rPr>
          <w:rFonts w:ascii="Times New Roman" w:hAnsi="Times New Roman"/>
        </w:rPr>
        <w:t xml:space="preserve">he public sphere of </w:t>
      </w:r>
      <w:r w:rsidRPr="009D590F">
        <w:rPr>
          <w:rFonts w:ascii="Times New Roman" w:hAnsi="Times New Roman"/>
        </w:rPr>
        <w:t>Rome</w:t>
      </w:r>
      <w:r w:rsidR="00354838">
        <w:rPr>
          <w:rFonts w:ascii="Times New Roman" w:hAnsi="Times New Roman"/>
        </w:rPr>
        <w:t xml:space="preserve"> </w:t>
      </w:r>
      <w:r w:rsidR="009701D0" w:rsidRPr="009D590F">
        <w:rPr>
          <w:rFonts w:ascii="Times New Roman" w:hAnsi="Times New Roman"/>
        </w:rPr>
        <w:t>was</w:t>
      </w:r>
      <w:r w:rsidRPr="009D590F">
        <w:rPr>
          <w:rFonts w:ascii="Times New Roman" w:hAnsi="Times New Roman"/>
        </w:rPr>
        <w:t xml:space="preserve"> now dominated by the monuments and images of the </w:t>
      </w:r>
      <w:r w:rsidR="009701D0" w:rsidRPr="009D590F">
        <w:rPr>
          <w:rFonts w:ascii="Times New Roman" w:hAnsi="Times New Roman"/>
          <w:i/>
        </w:rPr>
        <w:t>princeps</w:t>
      </w:r>
      <w:r w:rsidR="00D45F28" w:rsidRPr="009D590F">
        <w:rPr>
          <w:rFonts w:ascii="Times New Roman" w:hAnsi="Times New Roman"/>
        </w:rPr>
        <w:t xml:space="preserve">, and it was he who </w:t>
      </w:r>
      <w:r w:rsidR="00354838">
        <w:rPr>
          <w:rFonts w:ascii="Times New Roman" w:hAnsi="Times New Roman"/>
        </w:rPr>
        <w:t>had the standing to employ</w:t>
      </w:r>
      <w:r w:rsidR="00D45F28" w:rsidRPr="009D590F">
        <w:rPr>
          <w:rFonts w:ascii="Times New Roman" w:hAnsi="Times New Roman"/>
        </w:rPr>
        <w:t xml:space="preserve"> coloured marble for its symbolic value.</w:t>
      </w:r>
    </w:p>
    <w:p w14:paraId="5FD100B8" w14:textId="51F2E31D" w:rsidR="00FF51D4" w:rsidRPr="009D590F" w:rsidRDefault="00D45F28" w:rsidP="003271FD">
      <w:pPr>
        <w:tabs>
          <w:tab w:val="left" w:pos="567"/>
          <w:tab w:val="left" w:pos="3189"/>
        </w:tabs>
        <w:jc w:val="both"/>
        <w:rPr>
          <w:rFonts w:ascii="Times New Roman" w:hAnsi="Times New Roman"/>
        </w:rPr>
      </w:pPr>
      <w:r w:rsidRPr="009D590F">
        <w:rPr>
          <w:rFonts w:ascii="Times New Roman" w:hAnsi="Times New Roman"/>
        </w:rPr>
        <w:tab/>
      </w:r>
      <w:r w:rsidR="009701D0" w:rsidRPr="009D590F">
        <w:rPr>
          <w:rFonts w:ascii="Times New Roman" w:hAnsi="Times New Roman"/>
        </w:rPr>
        <w:t xml:space="preserve">The connotation of specific </w:t>
      </w:r>
      <w:r w:rsidR="003F74D5" w:rsidRPr="009D590F">
        <w:rPr>
          <w:rFonts w:ascii="Times New Roman" w:hAnsi="Times New Roman"/>
        </w:rPr>
        <w:t xml:space="preserve">marble </w:t>
      </w:r>
      <w:r w:rsidR="009701D0" w:rsidRPr="009D590F">
        <w:rPr>
          <w:rFonts w:ascii="Times New Roman" w:hAnsi="Times New Roman"/>
        </w:rPr>
        <w:t xml:space="preserve">stones with </w:t>
      </w:r>
      <w:r w:rsidR="003F74D5" w:rsidRPr="009D590F">
        <w:rPr>
          <w:rFonts w:ascii="Times New Roman" w:hAnsi="Times New Roman"/>
        </w:rPr>
        <w:t xml:space="preserve">victory, triumph, and conquest is strongly emphasized under Augustus. Nowhere is this demonstrated more clearly than </w:t>
      </w:r>
      <w:r w:rsidR="009701D0" w:rsidRPr="009D590F">
        <w:rPr>
          <w:rFonts w:ascii="Times New Roman" w:hAnsi="Times New Roman"/>
        </w:rPr>
        <w:t xml:space="preserve">with the obelisks </w:t>
      </w:r>
      <w:r w:rsidR="00354838" w:rsidRPr="009D590F">
        <w:rPr>
          <w:rFonts w:ascii="Times New Roman" w:hAnsi="Times New Roman"/>
        </w:rPr>
        <w:t xml:space="preserve">made of red Aswan granite </w:t>
      </w:r>
      <w:r w:rsidR="00354838">
        <w:rPr>
          <w:rFonts w:ascii="Times New Roman" w:hAnsi="Times New Roman"/>
        </w:rPr>
        <w:t xml:space="preserve">imported </w:t>
      </w:r>
      <w:r w:rsidR="009701D0" w:rsidRPr="009D590F">
        <w:rPr>
          <w:rFonts w:ascii="Times New Roman" w:hAnsi="Times New Roman"/>
        </w:rPr>
        <w:t xml:space="preserve">from </w:t>
      </w:r>
      <w:r w:rsidR="003F74D5" w:rsidRPr="009D590F">
        <w:rPr>
          <w:rFonts w:ascii="Times New Roman" w:hAnsi="Times New Roman"/>
        </w:rPr>
        <w:t>Egypt.</w:t>
      </w:r>
      <w:r w:rsidR="001A5E28" w:rsidRPr="009D590F">
        <w:rPr>
          <w:rFonts w:ascii="Times New Roman" w:hAnsi="Times New Roman"/>
        </w:rPr>
        <w:t xml:space="preserve"> O</w:t>
      </w:r>
      <w:r w:rsidR="009701D0" w:rsidRPr="009D590F">
        <w:rPr>
          <w:rFonts w:ascii="Times New Roman" w:hAnsi="Times New Roman"/>
        </w:rPr>
        <w:t xml:space="preserve">ne </w:t>
      </w:r>
      <w:r w:rsidR="001A5E28" w:rsidRPr="009D590F">
        <w:rPr>
          <w:rFonts w:ascii="Times New Roman" w:hAnsi="Times New Roman"/>
        </w:rPr>
        <w:t xml:space="preserve">obelisk was </w:t>
      </w:r>
      <w:r w:rsidR="009701D0" w:rsidRPr="009D590F">
        <w:rPr>
          <w:rFonts w:ascii="Times New Roman" w:hAnsi="Times New Roman"/>
        </w:rPr>
        <w:t xml:space="preserve">imported to function as gigantic arm of the sundial inaugurated on the Field of Mars in 9 BC, another </w:t>
      </w:r>
      <w:r w:rsidR="003F74D5" w:rsidRPr="009D590F">
        <w:rPr>
          <w:rFonts w:ascii="Times New Roman" w:hAnsi="Times New Roman"/>
        </w:rPr>
        <w:t>set up in the Circus Maximus;</w:t>
      </w:r>
      <w:r w:rsidR="009701D0" w:rsidRPr="009D590F">
        <w:rPr>
          <w:rFonts w:ascii="Times New Roman" w:hAnsi="Times New Roman"/>
        </w:rPr>
        <w:t xml:space="preserve"> both were inscribed with the phrase </w:t>
      </w:r>
      <w:proofErr w:type="spellStart"/>
      <w:r w:rsidR="009701D0" w:rsidRPr="009D590F">
        <w:rPr>
          <w:rFonts w:ascii="Times New Roman" w:hAnsi="Times New Roman"/>
          <w:i/>
        </w:rPr>
        <w:t>Aegypto</w:t>
      </w:r>
      <w:proofErr w:type="spellEnd"/>
      <w:r w:rsidR="009701D0" w:rsidRPr="009D590F">
        <w:rPr>
          <w:rFonts w:ascii="Times New Roman" w:hAnsi="Times New Roman"/>
          <w:i/>
        </w:rPr>
        <w:t xml:space="preserve"> in </w:t>
      </w:r>
      <w:proofErr w:type="spellStart"/>
      <w:r w:rsidR="009701D0" w:rsidRPr="009D590F">
        <w:rPr>
          <w:rFonts w:ascii="Times New Roman" w:hAnsi="Times New Roman"/>
          <w:i/>
        </w:rPr>
        <w:t>potestatem</w:t>
      </w:r>
      <w:proofErr w:type="spellEnd"/>
      <w:r w:rsidR="009701D0" w:rsidRPr="009D590F">
        <w:rPr>
          <w:rFonts w:ascii="Times New Roman" w:hAnsi="Times New Roman"/>
          <w:i/>
        </w:rPr>
        <w:t xml:space="preserve"> </w:t>
      </w:r>
      <w:proofErr w:type="spellStart"/>
      <w:r w:rsidR="009701D0" w:rsidRPr="009D590F">
        <w:rPr>
          <w:rFonts w:ascii="Times New Roman" w:hAnsi="Times New Roman"/>
          <w:i/>
        </w:rPr>
        <w:t>populi</w:t>
      </w:r>
      <w:proofErr w:type="spellEnd"/>
      <w:r w:rsidR="009701D0" w:rsidRPr="009D590F">
        <w:rPr>
          <w:rFonts w:ascii="Times New Roman" w:hAnsi="Times New Roman"/>
          <w:i/>
        </w:rPr>
        <w:t xml:space="preserve"> Romani </w:t>
      </w:r>
      <w:proofErr w:type="spellStart"/>
      <w:r w:rsidR="009701D0" w:rsidRPr="009D590F">
        <w:rPr>
          <w:rFonts w:ascii="Times New Roman" w:hAnsi="Times New Roman"/>
          <w:i/>
        </w:rPr>
        <w:t>redacta</w:t>
      </w:r>
      <w:proofErr w:type="spellEnd"/>
      <w:r w:rsidR="009701D0" w:rsidRPr="009D590F">
        <w:rPr>
          <w:rFonts w:ascii="Times New Roman" w:hAnsi="Times New Roman"/>
          <w:i/>
        </w:rPr>
        <w:t xml:space="preserve"> </w:t>
      </w:r>
      <w:r w:rsidR="009701D0" w:rsidRPr="009D590F">
        <w:rPr>
          <w:rFonts w:ascii="Times New Roman" w:hAnsi="Times New Roman"/>
        </w:rPr>
        <w:t>‘once Egypt had been reduced to the power of the Roman people’ (</w:t>
      </w:r>
      <w:r w:rsidR="009701D0" w:rsidRPr="009D590F">
        <w:rPr>
          <w:rFonts w:ascii="Times New Roman" w:hAnsi="Times New Roman"/>
          <w:i/>
        </w:rPr>
        <w:t>ILS</w:t>
      </w:r>
      <w:r w:rsidR="00207BC5" w:rsidRPr="009D590F">
        <w:rPr>
          <w:rFonts w:ascii="Times New Roman" w:hAnsi="Times New Roman"/>
        </w:rPr>
        <w:t xml:space="preserve"> 91a+</w:t>
      </w:r>
      <w:r w:rsidR="009701D0" w:rsidRPr="009D590F">
        <w:rPr>
          <w:rFonts w:ascii="Times New Roman" w:hAnsi="Times New Roman"/>
        </w:rPr>
        <w:t>b).</w:t>
      </w:r>
      <w:r w:rsidR="003F74D5" w:rsidRPr="009D590F">
        <w:rPr>
          <w:rStyle w:val="FootnoteReference"/>
          <w:rFonts w:ascii="Times New Roman" w:hAnsi="Times New Roman"/>
        </w:rPr>
        <w:footnoteReference w:id="35"/>
      </w:r>
      <w:r w:rsidR="009701D0" w:rsidRPr="009D590F">
        <w:rPr>
          <w:rFonts w:ascii="Times New Roman" w:hAnsi="Times New Roman"/>
        </w:rPr>
        <w:t xml:space="preserve"> </w:t>
      </w:r>
      <w:r w:rsidR="003F74D5" w:rsidRPr="009D590F">
        <w:rPr>
          <w:rFonts w:ascii="Times New Roman" w:hAnsi="Times New Roman"/>
        </w:rPr>
        <w:t xml:space="preserve">These genuine spoils brought to Rome commemorated the Roman subjection of Egypt after the defeat of Cleopatra in 30 BC. </w:t>
      </w:r>
      <w:r w:rsidR="001A5E28" w:rsidRPr="009D590F">
        <w:rPr>
          <w:rFonts w:ascii="Times New Roman" w:hAnsi="Times New Roman"/>
        </w:rPr>
        <w:t xml:space="preserve">Numidian and Phrygian marble </w:t>
      </w:r>
      <w:r w:rsidR="00FF51D4" w:rsidRPr="009D590F">
        <w:rPr>
          <w:rFonts w:ascii="Times New Roman" w:hAnsi="Times New Roman"/>
        </w:rPr>
        <w:t>both adorned</w:t>
      </w:r>
      <w:r w:rsidR="001A5E28" w:rsidRPr="009D590F">
        <w:rPr>
          <w:rFonts w:ascii="Times New Roman" w:hAnsi="Times New Roman"/>
        </w:rPr>
        <w:t xml:space="preserve"> key buildings commissioned by Augustus, of which the Forum of Augustus and the Temple </w:t>
      </w:r>
      <w:r w:rsidR="00D42897" w:rsidRPr="009D590F">
        <w:rPr>
          <w:rFonts w:ascii="Times New Roman" w:hAnsi="Times New Roman"/>
        </w:rPr>
        <w:t>of Concordia</w:t>
      </w:r>
      <w:r w:rsidR="001A5E28" w:rsidRPr="009D590F">
        <w:rPr>
          <w:rFonts w:ascii="Times New Roman" w:hAnsi="Times New Roman"/>
        </w:rPr>
        <w:t xml:space="preserve"> were paid for </w:t>
      </w:r>
      <w:r w:rsidR="001A5E28" w:rsidRPr="009D590F">
        <w:rPr>
          <w:rFonts w:ascii="Times New Roman" w:hAnsi="Times New Roman"/>
          <w:i/>
        </w:rPr>
        <w:t xml:space="preserve">de </w:t>
      </w:r>
      <w:proofErr w:type="spellStart"/>
      <w:r w:rsidR="001A5E28" w:rsidRPr="009D590F">
        <w:rPr>
          <w:rFonts w:ascii="Times New Roman" w:hAnsi="Times New Roman"/>
          <w:i/>
        </w:rPr>
        <w:t>manubiis</w:t>
      </w:r>
      <w:proofErr w:type="spellEnd"/>
      <w:r w:rsidR="00D42897" w:rsidRPr="009D590F">
        <w:rPr>
          <w:rFonts w:ascii="Times New Roman" w:hAnsi="Times New Roman"/>
        </w:rPr>
        <w:t>.</w:t>
      </w:r>
      <w:r w:rsidR="00D42897" w:rsidRPr="009D590F">
        <w:rPr>
          <w:rStyle w:val="FootnoteReference"/>
          <w:rFonts w:ascii="Times New Roman" w:hAnsi="Times New Roman"/>
        </w:rPr>
        <w:footnoteReference w:id="36"/>
      </w:r>
      <w:r w:rsidR="001A5E28" w:rsidRPr="009D590F">
        <w:rPr>
          <w:rFonts w:ascii="Times New Roman" w:hAnsi="Times New Roman"/>
        </w:rPr>
        <w:t xml:space="preserve"> Columns and floor slabs of Numidian and Phrygian marble, together with </w:t>
      </w:r>
      <w:proofErr w:type="spellStart"/>
      <w:r w:rsidR="001A5E28" w:rsidRPr="009D590F">
        <w:rPr>
          <w:rFonts w:ascii="Times New Roman" w:hAnsi="Times New Roman"/>
          <w:i/>
        </w:rPr>
        <w:t>cipollino</w:t>
      </w:r>
      <w:proofErr w:type="spellEnd"/>
      <w:r w:rsidR="001A5E28" w:rsidRPr="009D590F">
        <w:rPr>
          <w:rFonts w:ascii="Times New Roman" w:hAnsi="Times New Roman"/>
        </w:rPr>
        <w:t xml:space="preserve">, </w:t>
      </w:r>
      <w:proofErr w:type="spellStart"/>
      <w:r w:rsidR="001A5E28" w:rsidRPr="009D590F">
        <w:rPr>
          <w:rFonts w:ascii="Times New Roman" w:hAnsi="Times New Roman"/>
          <w:i/>
        </w:rPr>
        <w:t>africano</w:t>
      </w:r>
      <w:proofErr w:type="spellEnd"/>
      <w:r w:rsidR="001A5E28" w:rsidRPr="009D590F">
        <w:rPr>
          <w:rFonts w:ascii="Times New Roman" w:hAnsi="Times New Roman"/>
        </w:rPr>
        <w:t xml:space="preserve">, </w:t>
      </w:r>
      <w:r w:rsidR="00FF51D4" w:rsidRPr="009D590F">
        <w:rPr>
          <w:rFonts w:ascii="Times New Roman" w:hAnsi="Times New Roman"/>
        </w:rPr>
        <w:t xml:space="preserve">and other </w:t>
      </w:r>
      <w:r w:rsidR="00FF51D4" w:rsidRPr="009D590F">
        <w:rPr>
          <w:rFonts w:ascii="Times New Roman" w:hAnsi="Times New Roman"/>
        </w:rPr>
        <w:lastRenderedPageBreak/>
        <w:t>marble stones</w:t>
      </w:r>
      <w:r w:rsidR="001A5E28" w:rsidRPr="009D590F">
        <w:rPr>
          <w:rFonts w:ascii="Times New Roman" w:hAnsi="Times New Roman"/>
        </w:rPr>
        <w:t xml:space="preserve">, were used in the Forum </w:t>
      </w:r>
      <w:proofErr w:type="spellStart"/>
      <w:r w:rsidR="001A5E28" w:rsidRPr="009D590F">
        <w:rPr>
          <w:rFonts w:ascii="Times New Roman" w:hAnsi="Times New Roman"/>
        </w:rPr>
        <w:t>Augustum</w:t>
      </w:r>
      <w:proofErr w:type="spellEnd"/>
      <w:r w:rsidR="001A5E28" w:rsidRPr="009D590F">
        <w:rPr>
          <w:rFonts w:ascii="Times New Roman" w:hAnsi="Times New Roman"/>
        </w:rPr>
        <w:t>.</w:t>
      </w:r>
      <w:r w:rsidR="001A5E28" w:rsidRPr="009D590F">
        <w:rPr>
          <w:rStyle w:val="FootnoteReference"/>
          <w:rFonts w:ascii="Times New Roman" w:hAnsi="Times New Roman"/>
        </w:rPr>
        <w:footnoteReference w:id="37"/>
      </w:r>
      <w:r w:rsidR="001A5E28" w:rsidRPr="009D590F">
        <w:rPr>
          <w:rFonts w:ascii="Times New Roman" w:hAnsi="Times New Roman"/>
        </w:rPr>
        <w:t xml:space="preserve"> </w:t>
      </w:r>
      <w:r w:rsidR="00D42897" w:rsidRPr="009D590F">
        <w:rPr>
          <w:rFonts w:ascii="Times New Roman" w:hAnsi="Times New Roman"/>
        </w:rPr>
        <w:t>The</w:t>
      </w:r>
      <w:r w:rsidR="00FF51D4" w:rsidRPr="009D590F">
        <w:rPr>
          <w:rFonts w:ascii="Times New Roman" w:hAnsi="Times New Roman"/>
        </w:rPr>
        <w:t xml:space="preserve"> temple of Concordia displayed Phrygian marble</w:t>
      </w:r>
      <w:r w:rsidR="008C2694">
        <w:rPr>
          <w:rFonts w:ascii="Times New Roman" w:hAnsi="Times New Roman"/>
        </w:rPr>
        <w:t>;</w:t>
      </w:r>
      <w:r w:rsidR="00FF51D4" w:rsidRPr="009D590F">
        <w:rPr>
          <w:rFonts w:ascii="Times New Roman" w:hAnsi="Times New Roman"/>
        </w:rPr>
        <w:t xml:space="preserve"> </w:t>
      </w:r>
      <w:r w:rsidR="003F74D5" w:rsidRPr="009D590F">
        <w:rPr>
          <w:rFonts w:ascii="Times New Roman" w:hAnsi="Times New Roman"/>
        </w:rPr>
        <w:t xml:space="preserve">the Basilica </w:t>
      </w:r>
      <w:proofErr w:type="spellStart"/>
      <w:r w:rsidR="003F74D5" w:rsidRPr="009D590F">
        <w:rPr>
          <w:rFonts w:ascii="Times New Roman" w:hAnsi="Times New Roman"/>
        </w:rPr>
        <w:t>Aemilia</w:t>
      </w:r>
      <w:proofErr w:type="spellEnd"/>
      <w:r w:rsidR="003F74D5" w:rsidRPr="009D590F">
        <w:rPr>
          <w:rFonts w:ascii="Times New Roman" w:hAnsi="Times New Roman"/>
        </w:rPr>
        <w:t xml:space="preserve"> on the Forum </w:t>
      </w:r>
      <w:proofErr w:type="spellStart"/>
      <w:r w:rsidR="003F74D5" w:rsidRPr="009D590F">
        <w:rPr>
          <w:rFonts w:ascii="Times New Roman" w:hAnsi="Times New Roman"/>
        </w:rPr>
        <w:t>Romanum</w:t>
      </w:r>
      <w:proofErr w:type="spellEnd"/>
      <w:r w:rsidR="003F74D5" w:rsidRPr="009D590F">
        <w:rPr>
          <w:rFonts w:ascii="Times New Roman" w:hAnsi="Times New Roman"/>
        </w:rPr>
        <w:t xml:space="preserve">, refurbished by Augustus after a fire in 13 BC, was adorned with </w:t>
      </w:r>
      <w:r w:rsidR="00FF51D4" w:rsidRPr="009D590F">
        <w:rPr>
          <w:rFonts w:ascii="Times New Roman" w:hAnsi="Times New Roman"/>
        </w:rPr>
        <w:t>slabs of Num</w:t>
      </w:r>
      <w:r w:rsidR="008C2694">
        <w:rPr>
          <w:rFonts w:ascii="Times New Roman" w:hAnsi="Times New Roman"/>
        </w:rPr>
        <w:t>idian stone covering the floor</w:t>
      </w:r>
      <w:r w:rsidR="00FF51D4" w:rsidRPr="009D590F">
        <w:rPr>
          <w:rFonts w:ascii="Times New Roman" w:hAnsi="Times New Roman"/>
        </w:rPr>
        <w:t xml:space="preserve"> and </w:t>
      </w:r>
      <w:r w:rsidR="008C2694">
        <w:rPr>
          <w:rFonts w:ascii="Times New Roman" w:hAnsi="Times New Roman"/>
        </w:rPr>
        <w:t xml:space="preserve">with </w:t>
      </w:r>
      <w:r w:rsidR="003F74D5" w:rsidRPr="009D590F">
        <w:rPr>
          <w:rFonts w:ascii="Times New Roman" w:hAnsi="Times New Roman"/>
        </w:rPr>
        <w:t>sta</w:t>
      </w:r>
      <w:r w:rsidR="00FF51D4" w:rsidRPr="009D590F">
        <w:rPr>
          <w:rFonts w:ascii="Times New Roman" w:hAnsi="Times New Roman"/>
        </w:rPr>
        <w:t>tues in the shape of Phrygians</w:t>
      </w:r>
      <w:r w:rsidR="003F74D5" w:rsidRPr="009D590F">
        <w:rPr>
          <w:rFonts w:ascii="Times New Roman" w:hAnsi="Times New Roman"/>
        </w:rPr>
        <w:t>. Given ‘Phrygians’ usually repre</w:t>
      </w:r>
      <w:r w:rsidR="008C2694">
        <w:rPr>
          <w:rFonts w:ascii="Times New Roman" w:hAnsi="Times New Roman"/>
        </w:rPr>
        <w:t>sent people from the East, the</w:t>
      </w:r>
      <w:r w:rsidR="003F74D5" w:rsidRPr="009D590F">
        <w:rPr>
          <w:rFonts w:ascii="Times New Roman" w:hAnsi="Times New Roman"/>
        </w:rPr>
        <w:t xml:space="preserve"> statues likely alluded to the Augustan success in ‘compelling’ the Parthians to retur</w:t>
      </w:r>
      <w:r w:rsidR="00FF51D4" w:rsidRPr="009D590F">
        <w:rPr>
          <w:rFonts w:ascii="Times New Roman" w:hAnsi="Times New Roman"/>
        </w:rPr>
        <w:t>n the</w:t>
      </w:r>
      <w:r w:rsidR="003F74D5" w:rsidRPr="009D590F">
        <w:rPr>
          <w:rFonts w:ascii="Times New Roman" w:hAnsi="Times New Roman"/>
        </w:rPr>
        <w:t xml:space="preserve"> legionary standards in</w:t>
      </w:r>
      <w:r w:rsidR="00D42897" w:rsidRPr="009D590F">
        <w:rPr>
          <w:rFonts w:ascii="Times New Roman" w:hAnsi="Times New Roman"/>
        </w:rPr>
        <w:t xml:space="preserve"> 20 BC. </w:t>
      </w:r>
      <w:r w:rsidR="003F74D5" w:rsidRPr="009D590F">
        <w:rPr>
          <w:rFonts w:ascii="Times New Roman" w:hAnsi="Times New Roman"/>
        </w:rPr>
        <w:t xml:space="preserve">Fragments of some twenty standing statues of barbarians made of </w:t>
      </w:r>
      <w:r w:rsidR="003F74D5" w:rsidRPr="009D590F">
        <w:rPr>
          <w:rFonts w:ascii="Times New Roman" w:hAnsi="Times New Roman"/>
          <w:i/>
        </w:rPr>
        <w:t>pavonazzetto</w:t>
      </w:r>
      <w:r w:rsidR="003F74D5" w:rsidRPr="009D590F">
        <w:rPr>
          <w:rFonts w:ascii="Times New Roman" w:hAnsi="Times New Roman"/>
        </w:rPr>
        <w:t xml:space="preserve"> were found during excavations of the Basilica </w:t>
      </w:r>
      <w:proofErr w:type="spellStart"/>
      <w:r w:rsidR="003F74D5" w:rsidRPr="009D590F">
        <w:rPr>
          <w:rFonts w:ascii="Times New Roman" w:hAnsi="Times New Roman"/>
        </w:rPr>
        <w:t>A</w:t>
      </w:r>
      <w:r w:rsidR="00FF51D4" w:rsidRPr="009D590F">
        <w:rPr>
          <w:rFonts w:ascii="Times New Roman" w:hAnsi="Times New Roman"/>
        </w:rPr>
        <w:t>emilia</w:t>
      </w:r>
      <w:proofErr w:type="spellEnd"/>
      <w:r w:rsidR="00FF51D4" w:rsidRPr="009D590F">
        <w:rPr>
          <w:rFonts w:ascii="Times New Roman" w:hAnsi="Times New Roman"/>
        </w:rPr>
        <w:t xml:space="preserve"> in the late 19th century</w:t>
      </w:r>
      <w:r w:rsidR="00FF51D4" w:rsidRPr="009D590F">
        <w:rPr>
          <w:rStyle w:val="FootnoteReference"/>
          <w:rFonts w:ascii="Times New Roman" w:hAnsi="Times New Roman"/>
        </w:rPr>
        <w:footnoteReference w:id="38"/>
      </w:r>
      <w:r w:rsidR="00A8234F">
        <w:rPr>
          <w:rFonts w:ascii="Times New Roman" w:hAnsi="Times New Roman"/>
        </w:rPr>
        <w:t xml:space="preserve">  These s</w:t>
      </w:r>
      <w:r w:rsidRPr="009D590F">
        <w:rPr>
          <w:rFonts w:ascii="Times New Roman" w:hAnsi="Times New Roman"/>
        </w:rPr>
        <w:t xml:space="preserve">ymbolically charged polychrome stones </w:t>
      </w:r>
      <w:r w:rsidR="00FF51D4" w:rsidRPr="009D590F">
        <w:rPr>
          <w:rFonts w:ascii="Times New Roman" w:hAnsi="Times New Roman"/>
        </w:rPr>
        <w:t xml:space="preserve">(e.g. </w:t>
      </w:r>
      <w:r w:rsidR="00A8234F">
        <w:rPr>
          <w:rFonts w:ascii="Times New Roman" w:hAnsi="Times New Roman"/>
          <w:i/>
        </w:rPr>
        <w:t>m.</w:t>
      </w:r>
      <w:r w:rsidR="00FF51D4" w:rsidRPr="009D590F">
        <w:rPr>
          <w:rFonts w:ascii="Times New Roman" w:hAnsi="Times New Roman"/>
          <w:i/>
        </w:rPr>
        <w:t xml:space="preserve"> </w:t>
      </w:r>
      <w:proofErr w:type="spellStart"/>
      <w:r w:rsidR="00FF51D4" w:rsidRPr="009D590F">
        <w:rPr>
          <w:rFonts w:ascii="Times New Roman" w:hAnsi="Times New Roman"/>
          <w:i/>
        </w:rPr>
        <w:t>Numidicum</w:t>
      </w:r>
      <w:proofErr w:type="spellEnd"/>
      <w:r w:rsidR="00FF51D4" w:rsidRPr="009D590F">
        <w:rPr>
          <w:rFonts w:ascii="Times New Roman" w:hAnsi="Times New Roman"/>
        </w:rPr>
        <w:t xml:space="preserve">, </w:t>
      </w:r>
      <w:r w:rsidR="00A8234F">
        <w:rPr>
          <w:rFonts w:ascii="Times New Roman" w:hAnsi="Times New Roman"/>
          <w:i/>
        </w:rPr>
        <w:t>m.</w:t>
      </w:r>
      <w:r w:rsidR="00FF51D4" w:rsidRPr="009D590F">
        <w:rPr>
          <w:rFonts w:ascii="Times New Roman" w:hAnsi="Times New Roman"/>
          <w:i/>
        </w:rPr>
        <w:t xml:space="preserve"> </w:t>
      </w:r>
      <w:proofErr w:type="spellStart"/>
      <w:r w:rsidR="00FF51D4" w:rsidRPr="009D590F">
        <w:rPr>
          <w:rFonts w:ascii="Times New Roman" w:hAnsi="Times New Roman"/>
          <w:i/>
        </w:rPr>
        <w:t>Phrygium</w:t>
      </w:r>
      <w:proofErr w:type="spellEnd"/>
      <w:r w:rsidR="00FF51D4" w:rsidRPr="009D590F">
        <w:rPr>
          <w:rFonts w:ascii="Times New Roman" w:hAnsi="Times New Roman"/>
        </w:rPr>
        <w:t xml:space="preserve">) </w:t>
      </w:r>
      <w:r w:rsidRPr="009D590F">
        <w:rPr>
          <w:rFonts w:ascii="Times New Roman" w:hAnsi="Times New Roman"/>
        </w:rPr>
        <w:t xml:space="preserve">could only really be deployed in public and private building projects in Rome by the sole holders of </w:t>
      </w:r>
      <w:r w:rsidRPr="009D590F">
        <w:rPr>
          <w:rFonts w:ascii="Times New Roman" w:hAnsi="Times New Roman"/>
          <w:i/>
        </w:rPr>
        <w:t>imperium</w:t>
      </w:r>
      <w:r w:rsidRPr="009D590F">
        <w:rPr>
          <w:rFonts w:ascii="Times New Roman" w:hAnsi="Times New Roman"/>
        </w:rPr>
        <w:t xml:space="preserve"> and military victories, by </w:t>
      </w:r>
      <w:r w:rsidR="009701D0" w:rsidRPr="009D590F">
        <w:rPr>
          <w:rFonts w:ascii="Times New Roman" w:hAnsi="Times New Roman"/>
        </w:rPr>
        <w:t>Augustus and his successors</w:t>
      </w:r>
      <w:r w:rsidRPr="009D590F">
        <w:rPr>
          <w:rFonts w:ascii="Times New Roman" w:hAnsi="Times New Roman"/>
        </w:rPr>
        <w:t xml:space="preserve">. For senators, who were implicitly barred from self-presentation in the public sphere in Rome, the utilisation of these marbles on a grand scale in the public </w:t>
      </w:r>
      <w:r w:rsidR="008C2694">
        <w:rPr>
          <w:rFonts w:ascii="Times New Roman" w:hAnsi="Times New Roman"/>
        </w:rPr>
        <w:t>space</w:t>
      </w:r>
      <w:r w:rsidR="00A8234F">
        <w:rPr>
          <w:rFonts w:ascii="Times New Roman" w:hAnsi="Times New Roman"/>
        </w:rPr>
        <w:t xml:space="preserve"> of Rome </w:t>
      </w:r>
      <w:r w:rsidR="008C2694">
        <w:rPr>
          <w:rFonts w:ascii="Times New Roman" w:hAnsi="Times New Roman"/>
        </w:rPr>
        <w:t>or in the</w:t>
      </w:r>
      <w:r w:rsidRPr="009D590F">
        <w:rPr>
          <w:rFonts w:ascii="Times New Roman" w:hAnsi="Times New Roman"/>
        </w:rPr>
        <w:t xml:space="preserve"> </w:t>
      </w:r>
      <w:r w:rsidR="003271FD" w:rsidRPr="009D590F">
        <w:rPr>
          <w:rFonts w:ascii="Times New Roman" w:hAnsi="Times New Roman"/>
        </w:rPr>
        <w:t>semi-publ</w:t>
      </w:r>
      <w:r w:rsidRPr="009D590F">
        <w:rPr>
          <w:rFonts w:ascii="Times New Roman" w:hAnsi="Times New Roman"/>
        </w:rPr>
        <w:t>i</w:t>
      </w:r>
      <w:r w:rsidR="003271FD" w:rsidRPr="009D590F">
        <w:rPr>
          <w:rFonts w:ascii="Times New Roman" w:hAnsi="Times New Roman"/>
        </w:rPr>
        <w:t>c</w:t>
      </w:r>
      <w:r w:rsidRPr="009D590F">
        <w:rPr>
          <w:rFonts w:ascii="Times New Roman" w:hAnsi="Times New Roman"/>
        </w:rPr>
        <w:t xml:space="preserve"> </w:t>
      </w:r>
      <w:r w:rsidR="00A8234F" w:rsidRPr="008C2694">
        <w:rPr>
          <w:rFonts w:ascii="Times New Roman" w:hAnsi="Times New Roman"/>
          <w:i/>
        </w:rPr>
        <w:t>atrium</w:t>
      </w:r>
      <w:r w:rsidR="008C2694">
        <w:rPr>
          <w:rFonts w:ascii="Times New Roman" w:hAnsi="Times New Roman"/>
        </w:rPr>
        <w:t xml:space="preserve"> of their house</w:t>
      </w:r>
      <w:r w:rsidRPr="009D590F">
        <w:rPr>
          <w:rFonts w:ascii="Times New Roman" w:hAnsi="Times New Roman"/>
        </w:rPr>
        <w:t xml:space="preserve"> </w:t>
      </w:r>
      <w:r w:rsidR="003D0A64">
        <w:rPr>
          <w:rFonts w:ascii="Times New Roman" w:hAnsi="Times New Roman"/>
        </w:rPr>
        <w:t xml:space="preserve">could </w:t>
      </w:r>
      <w:r w:rsidRPr="009D590F">
        <w:rPr>
          <w:rFonts w:ascii="Times New Roman" w:hAnsi="Times New Roman"/>
        </w:rPr>
        <w:t xml:space="preserve">only be seen as a challenge to the emperor. </w:t>
      </w:r>
      <w:r w:rsidR="00FF51D4" w:rsidRPr="009D590F">
        <w:rPr>
          <w:rFonts w:ascii="Times New Roman" w:hAnsi="Times New Roman"/>
        </w:rPr>
        <w:t>As a</w:t>
      </w:r>
      <w:r w:rsidRPr="009D590F">
        <w:rPr>
          <w:rFonts w:ascii="Times New Roman" w:hAnsi="Times New Roman"/>
        </w:rPr>
        <w:t xml:space="preserve"> consequence, the </w:t>
      </w:r>
      <w:r w:rsidR="001F5BE2" w:rsidRPr="001F5BE2">
        <w:rPr>
          <w:rFonts w:ascii="Times New Roman" w:hAnsi="Times New Roman"/>
          <w:i/>
        </w:rPr>
        <w:t>princeps</w:t>
      </w:r>
      <w:r w:rsidR="001F5BE2">
        <w:rPr>
          <w:rFonts w:ascii="Times New Roman" w:hAnsi="Times New Roman"/>
        </w:rPr>
        <w:t xml:space="preserve"> </w:t>
      </w:r>
      <w:r w:rsidR="008C2694">
        <w:rPr>
          <w:rFonts w:ascii="Times New Roman" w:hAnsi="Times New Roman"/>
        </w:rPr>
        <w:t>emerges</w:t>
      </w:r>
      <w:r w:rsidR="003D0A64">
        <w:rPr>
          <w:rFonts w:ascii="Times New Roman" w:hAnsi="Times New Roman"/>
        </w:rPr>
        <w:t xml:space="preserve"> as</w:t>
      </w:r>
      <w:r w:rsidRPr="009D590F">
        <w:rPr>
          <w:rFonts w:ascii="Times New Roman" w:hAnsi="Times New Roman"/>
        </w:rPr>
        <w:t xml:space="preserve"> the sole individual to demand coloured and white marble </w:t>
      </w:r>
      <w:r w:rsidR="00FF51D4" w:rsidRPr="009D590F">
        <w:rPr>
          <w:rFonts w:ascii="Times New Roman" w:hAnsi="Times New Roman"/>
        </w:rPr>
        <w:t>for display in</w:t>
      </w:r>
      <w:r w:rsidRPr="009D590F">
        <w:rPr>
          <w:rFonts w:ascii="Times New Roman" w:hAnsi="Times New Roman"/>
        </w:rPr>
        <w:t xml:space="preserve"> Rome; this monopsony necessitated direct control over the sites where these stones were quarried.</w:t>
      </w:r>
      <w:r w:rsidRPr="009D590F">
        <w:rPr>
          <w:rStyle w:val="FootnoteReference"/>
          <w:rFonts w:ascii="Times New Roman" w:hAnsi="Times New Roman"/>
        </w:rPr>
        <w:footnoteReference w:id="39"/>
      </w:r>
      <w:r w:rsidRPr="009D590F">
        <w:rPr>
          <w:rFonts w:ascii="Times New Roman" w:hAnsi="Times New Roman"/>
        </w:rPr>
        <w:t xml:space="preserve"> </w:t>
      </w:r>
    </w:p>
    <w:p w14:paraId="3A8AB65A" w14:textId="66ED2353" w:rsidR="003271FD" w:rsidRPr="009D590F" w:rsidRDefault="00FF51D4" w:rsidP="003271FD">
      <w:pPr>
        <w:tabs>
          <w:tab w:val="left" w:pos="567"/>
          <w:tab w:val="left" w:pos="3189"/>
        </w:tabs>
        <w:jc w:val="both"/>
        <w:rPr>
          <w:rFonts w:ascii="Times New Roman" w:hAnsi="Times New Roman"/>
        </w:rPr>
      </w:pPr>
      <w:r w:rsidRPr="009D590F">
        <w:rPr>
          <w:rFonts w:ascii="Times New Roman" w:hAnsi="Times New Roman"/>
        </w:rPr>
        <w:tab/>
      </w:r>
      <w:r w:rsidR="00D45F28" w:rsidRPr="009D590F">
        <w:rPr>
          <w:rFonts w:ascii="Times New Roman" w:hAnsi="Times New Roman"/>
        </w:rPr>
        <w:t xml:space="preserve">When and how the emperor took control of </w:t>
      </w:r>
      <w:r w:rsidR="008C2694">
        <w:rPr>
          <w:rFonts w:ascii="Times New Roman" w:hAnsi="Times New Roman"/>
        </w:rPr>
        <w:t>the sites supplying the required stones</w:t>
      </w:r>
      <w:r w:rsidR="00A8234F">
        <w:rPr>
          <w:rFonts w:ascii="Times New Roman" w:hAnsi="Times New Roman"/>
        </w:rPr>
        <w:t xml:space="preserve"> </w:t>
      </w:r>
      <w:r w:rsidR="00D45F28" w:rsidRPr="009D590F">
        <w:rPr>
          <w:rFonts w:ascii="Times New Roman" w:hAnsi="Times New Roman"/>
        </w:rPr>
        <w:t xml:space="preserve">is unclear: the quarries for </w:t>
      </w:r>
      <w:proofErr w:type="spellStart"/>
      <w:r w:rsidR="00D45F28" w:rsidRPr="009D590F">
        <w:rPr>
          <w:rFonts w:ascii="Times New Roman" w:hAnsi="Times New Roman"/>
          <w:i/>
        </w:rPr>
        <w:t>marmor</w:t>
      </w:r>
      <w:proofErr w:type="spellEnd"/>
      <w:r w:rsidR="00D45F28" w:rsidRPr="009D590F">
        <w:rPr>
          <w:rFonts w:ascii="Times New Roman" w:hAnsi="Times New Roman"/>
          <w:i/>
        </w:rPr>
        <w:t xml:space="preserve"> </w:t>
      </w:r>
      <w:proofErr w:type="spellStart"/>
      <w:r w:rsidR="00D45F28" w:rsidRPr="009D590F">
        <w:rPr>
          <w:rFonts w:ascii="Times New Roman" w:hAnsi="Times New Roman"/>
          <w:i/>
        </w:rPr>
        <w:t>Numidicum</w:t>
      </w:r>
      <w:proofErr w:type="spellEnd"/>
      <w:r w:rsidR="00D45F28" w:rsidRPr="009D590F">
        <w:rPr>
          <w:rFonts w:ascii="Times New Roman" w:hAnsi="Times New Roman"/>
        </w:rPr>
        <w:t xml:space="preserve"> at </w:t>
      </w:r>
      <w:proofErr w:type="spellStart"/>
      <w:r w:rsidR="00D45F28" w:rsidRPr="009D590F">
        <w:rPr>
          <w:rFonts w:ascii="Times New Roman" w:hAnsi="Times New Roman"/>
        </w:rPr>
        <w:t>Simitthus</w:t>
      </w:r>
      <w:proofErr w:type="spellEnd"/>
      <w:r w:rsidR="00D45F28" w:rsidRPr="009D590F">
        <w:rPr>
          <w:rFonts w:ascii="Times New Roman" w:hAnsi="Times New Roman"/>
        </w:rPr>
        <w:t xml:space="preserve"> / mod. </w:t>
      </w:r>
      <w:proofErr w:type="spellStart"/>
      <w:r w:rsidR="00D45F28" w:rsidRPr="009D590F">
        <w:rPr>
          <w:rFonts w:ascii="Times New Roman" w:hAnsi="Times New Roman"/>
        </w:rPr>
        <w:t>Chemtou</w:t>
      </w:r>
      <w:proofErr w:type="spellEnd"/>
      <w:r w:rsidR="00D45F28" w:rsidRPr="009D590F">
        <w:rPr>
          <w:rFonts w:ascii="Times New Roman" w:hAnsi="Times New Roman"/>
        </w:rPr>
        <w:t xml:space="preserve"> in Tunisia, for instance, were already producing blocks and columns which arrived in Rome in the Late Republic (see above); Friedrich </w:t>
      </w:r>
      <w:proofErr w:type="spellStart"/>
      <w:r w:rsidR="00D45F28" w:rsidRPr="009D590F">
        <w:rPr>
          <w:rFonts w:ascii="Times New Roman" w:hAnsi="Times New Roman"/>
        </w:rPr>
        <w:t>Rakob</w:t>
      </w:r>
      <w:proofErr w:type="spellEnd"/>
      <w:r w:rsidR="00D45F28" w:rsidRPr="009D590F">
        <w:rPr>
          <w:rFonts w:ascii="Times New Roman" w:hAnsi="Times New Roman"/>
        </w:rPr>
        <w:t xml:space="preserve"> argued for an imperial takeover of the </w:t>
      </w:r>
      <w:proofErr w:type="spellStart"/>
      <w:r w:rsidR="00D45F28" w:rsidRPr="009D590F">
        <w:rPr>
          <w:rFonts w:ascii="Times New Roman" w:hAnsi="Times New Roman"/>
        </w:rPr>
        <w:t>Simitthus</w:t>
      </w:r>
      <w:proofErr w:type="spellEnd"/>
      <w:r w:rsidR="00D45F28" w:rsidRPr="009D590F">
        <w:rPr>
          <w:rFonts w:ascii="Times New Roman" w:hAnsi="Times New Roman"/>
        </w:rPr>
        <w:t xml:space="preserve"> quarries in 28 BC, perhaps with the involvement of M. </w:t>
      </w:r>
      <w:proofErr w:type="spellStart"/>
      <w:r w:rsidR="00D45F28" w:rsidRPr="009D590F">
        <w:rPr>
          <w:rFonts w:ascii="Times New Roman" w:hAnsi="Times New Roman"/>
        </w:rPr>
        <w:t>Vipsanius</w:t>
      </w:r>
      <w:proofErr w:type="spellEnd"/>
      <w:r w:rsidR="00D45F28" w:rsidRPr="009D590F">
        <w:rPr>
          <w:rFonts w:ascii="Times New Roman" w:hAnsi="Times New Roman"/>
        </w:rPr>
        <w:t xml:space="preserve"> Agrippa.</w:t>
      </w:r>
      <w:r w:rsidR="00D45F28" w:rsidRPr="009D590F">
        <w:rPr>
          <w:rStyle w:val="FootnoteReference"/>
          <w:rFonts w:ascii="Times New Roman" w:hAnsi="Times New Roman"/>
        </w:rPr>
        <w:footnoteReference w:id="40"/>
      </w:r>
      <w:r w:rsidR="00D45F28" w:rsidRPr="009D590F">
        <w:rPr>
          <w:rFonts w:ascii="Times New Roman" w:hAnsi="Times New Roman"/>
        </w:rPr>
        <w:t xml:space="preserve"> When the quarries</w:t>
      </w:r>
      <w:r w:rsidRPr="009D590F">
        <w:rPr>
          <w:rFonts w:ascii="Times New Roman" w:hAnsi="Times New Roman"/>
        </w:rPr>
        <w:t xml:space="preserve"> of Phrygian marble near </w:t>
      </w:r>
      <w:proofErr w:type="spellStart"/>
      <w:r w:rsidRPr="009D590F">
        <w:rPr>
          <w:rFonts w:ascii="Times New Roman" w:hAnsi="Times New Roman"/>
        </w:rPr>
        <w:t>Doci</w:t>
      </w:r>
      <w:r w:rsidR="00D45F28" w:rsidRPr="009D590F">
        <w:rPr>
          <w:rFonts w:ascii="Times New Roman" w:hAnsi="Times New Roman"/>
        </w:rPr>
        <w:t>m</w:t>
      </w:r>
      <w:r w:rsidRPr="009D590F">
        <w:rPr>
          <w:rFonts w:ascii="Times New Roman" w:hAnsi="Times New Roman"/>
        </w:rPr>
        <w:t>ium</w:t>
      </w:r>
      <w:proofErr w:type="spellEnd"/>
      <w:r w:rsidR="00D45F28" w:rsidRPr="009D590F">
        <w:rPr>
          <w:rFonts w:ascii="Times New Roman" w:hAnsi="Times New Roman"/>
        </w:rPr>
        <w:t xml:space="preserve"> had come under imperial control is, once more, unknown, but the Augustan period </w:t>
      </w:r>
      <w:r w:rsidR="00A8234F">
        <w:rPr>
          <w:rFonts w:ascii="Times New Roman" w:hAnsi="Times New Roman"/>
        </w:rPr>
        <w:t>seems likely</w:t>
      </w:r>
      <w:r w:rsidR="00D45F28" w:rsidRPr="009D590F">
        <w:rPr>
          <w:rFonts w:ascii="Times New Roman" w:hAnsi="Times New Roman"/>
        </w:rPr>
        <w:t>.</w:t>
      </w:r>
      <w:r w:rsidR="00D45F28" w:rsidRPr="009D590F">
        <w:rPr>
          <w:rStyle w:val="FootnoteReference"/>
          <w:rFonts w:ascii="Times New Roman" w:hAnsi="Times New Roman"/>
        </w:rPr>
        <w:footnoteReference w:id="41"/>
      </w:r>
      <w:r w:rsidR="00D45F28" w:rsidRPr="009D590F">
        <w:rPr>
          <w:rFonts w:ascii="Times New Roman" w:hAnsi="Times New Roman"/>
        </w:rPr>
        <w:t xml:space="preserve"> In Egypt, </w:t>
      </w:r>
      <w:r w:rsidR="003271FD" w:rsidRPr="009D590F">
        <w:rPr>
          <w:rFonts w:ascii="Times New Roman" w:hAnsi="Times New Roman"/>
        </w:rPr>
        <w:t>further</w:t>
      </w:r>
      <w:r w:rsidR="00D45F28" w:rsidRPr="009D590F">
        <w:rPr>
          <w:rFonts w:ascii="Times New Roman" w:hAnsi="Times New Roman"/>
        </w:rPr>
        <w:t xml:space="preserve"> quarries were newly opened under Augustus and Tiberius, as Pliny indicates (</w:t>
      </w:r>
      <w:r w:rsidRPr="009D590F">
        <w:rPr>
          <w:rFonts w:ascii="Times New Roman" w:hAnsi="Times New Roman"/>
        </w:rPr>
        <w:t xml:space="preserve">36.55); the inscribed stele of </w:t>
      </w:r>
      <w:r w:rsidR="00D45F28" w:rsidRPr="009D590F">
        <w:rPr>
          <w:rFonts w:ascii="Times New Roman" w:hAnsi="Times New Roman"/>
        </w:rPr>
        <w:t xml:space="preserve">C. </w:t>
      </w:r>
      <w:proofErr w:type="spellStart"/>
      <w:r w:rsidR="00D45F28" w:rsidRPr="009D590F">
        <w:rPr>
          <w:rFonts w:ascii="Times New Roman" w:hAnsi="Times New Roman"/>
        </w:rPr>
        <w:t>Cominius</w:t>
      </w:r>
      <w:proofErr w:type="spellEnd"/>
      <w:r w:rsidR="00D45F28" w:rsidRPr="009D590F">
        <w:rPr>
          <w:rFonts w:ascii="Times New Roman" w:hAnsi="Times New Roman"/>
        </w:rPr>
        <w:t xml:space="preserve"> </w:t>
      </w:r>
      <w:proofErr w:type="spellStart"/>
      <w:r w:rsidR="00D45F28" w:rsidRPr="009D590F">
        <w:rPr>
          <w:rFonts w:ascii="Times New Roman" w:hAnsi="Times New Roman"/>
        </w:rPr>
        <w:t>Leugas</w:t>
      </w:r>
      <w:proofErr w:type="spellEnd"/>
      <w:r w:rsidR="00D45F28" w:rsidRPr="009D590F">
        <w:rPr>
          <w:rFonts w:ascii="Times New Roman" w:hAnsi="Times New Roman"/>
        </w:rPr>
        <w:t xml:space="preserve"> at Mons </w:t>
      </w:r>
      <w:r w:rsidR="00DE0C82">
        <w:rPr>
          <w:rFonts w:ascii="Times New Roman" w:hAnsi="Times New Roman"/>
        </w:rPr>
        <w:t xml:space="preserve">Porphyrites </w:t>
      </w:r>
      <w:r w:rsidR="00D45F28" w:rsidRPr="009D590F">
        <w:rPr>
          <w:rFonts w:ascii="Times New Roman" w:hAnsi="Times New Roman"/>
        </w:rPr>
        <w:t>, who ‘discovered’ the porphyrite deposits there (</w:t>
      </w:r>
      <w:r w:rsidR="00D45F28" w:rsidRPr="009D590F">
        <w:rPr>
          <w:rFonts w:ascii="Times New Roman" w:hAnsi="Times New Roman"/>
          <w:i/>
        </w:rPr>
        <w:t>SEG</w:t>
      </w:r>
      <w:r w:rsidR="00D45F28" w:rsidRPr="009D590F">
        <w:rPr>
          <w:rFonts w:ascii="Times New Roman" w:hAnsi="Times New Roman"/>
        </w:rPr>
        <w:t xml:space="preserve"> 45: 2097), an</w:t>
      </w:r>
      <w:r w:rsidR="00A8234F">
        <w:rPr>
          <w:rFonts w:ascii="Times New Roman" w:hAnsi="Times New Roman"/>
        </w:rPr>
        <w:t xml:space="preserve">d the names of the quarries of </w:t>
      </w:r>
      <w:proofErr w:type="spellStart"/>
      <w:r w:rsidR="00A8234F">
        <w:rPr>
          <w:rFonts w:ascii="Times New Roman" w:hAnsi="Times New Roman"/>
        </w:rPr>
        <w:t>Tiberiane</w:t>
      </w:r>
      <w:proofErr w:type="spellEnd"/>
      <w:r w:rsidR="00A8234F">
        <w:rPr>
          <w:rFonts w:ascii="Times New Roman" w:hAnsi="Times New Roman"/>
        </w:rPr>
        <w:t xml:space="preserve"> or Mons </w:t>
      </w:r>
      <w:proofErr w:type="spellStart"/>
      <w:r w:rsidR="00A8234F">
        <w:rPr>
          <w:rFonts w:ascii="Times New Roman" w:hAnsi="Times New Roman"/>
        </w:rPr>
        <w:t>Claudianus</w:t>
      </w:r>
      <w:proofErr w:type="spellEnd"/>
      <w:r w:rsidR="00D45F28" w:rsidRPr="009D590F">
        <w:rPr>
          <w:rFonts w:ascii="Times New Roman" w:hAnsi="Times New Roman"/>
        </w:rPr>
        <w:t xml:space="preserve"> may well reflect an imperial drive to secure new sources of coloured and distinctive marbles for large scale construction projects in Rome.</w:t>
      </w:r>
      <w:r w:rsidR="00D45F28" w:rsidRPr="009D590F">
        <w:rPr>
          <w:rStyle w:val="FootnoteReference"/>
          <w:rFonts w:ascii="Times New Roman" w:hAnsi="Times New Roman"/>
        </w:rPr>
        <w:footnoteReference w:id="42"/>
      </w:r>
      <w:r w:rsidR="00D45F28" w:rsidRPr="009D590F">
        <w:rPr>
          <w:rFonts w:ascii="Times New Roman" w:hAnsi="Times New Roman"/>
        </w:rPr>
        <w:t xml:space="preserve"> </w:t>
      </w:r>
    </w:p>
    <w:p w14:paraId="5E266699" w14:textId="69CC9858" w:rsidR="002C300E" w:rsidRPr="009D590F" w:rsidRDefault="003271FD" w:rsidP="003271FD">
      <w:pPr>
        <w:tabs>
          <w:tab w:val="left" w:pos="567"/>
          <w:tab w:val="left" w:pos="3189"/>
        </w:tabs>
        <w:jc w:val="both"/>
        <w:rPr>
          <w:rFonts w:ascii="Times New Roman" w:hAnsi="Times New Roman"/>
        </w:rPr>
      </w:pPr>
      <w:r w:rsidRPr="009D590F">
        <w:rPr>
          <w:rFonts w:ascii="Times New Roman" w:hAnsi="Times New Roman"/>
        </w:rPr>
        <w:tab/>
        <w:t>Why emperors</w:t>
      </w:r>
      <w:r w:rsidR="008C2694">
        <w:rPr>
          <w:rFonts w:ascii="Times New Roman" w:hAnsi="Times New Roman"/>
        </w:rPr>
        <w:t xml:space="preserve"> like Augustus, Tiberius, or Claudius</w:t>
      </w:r>
      <w:r w:rsidRPr="009D590F">
        <w:rPr>
          <w:rFonts w:ascii="Times New Roman" w:hAnsi="Times New Roman"/>
        </w:rPr>
        <w:t xml:space="preserve"> </w:t>
      </w:r>
      <w:r w:rsidR="008C2694">
        <w:rPr>
          <w:rFonts w:ascii="Times New Roman" w:hAnsi="Times New Roman"/>
        </w:rPr>
        <w:t xml:space="preserve">continued to import, even </w:t>
      </w:r>
      <w:r w:rsidRPr="009D590F">
        <w:rPr>
          <w:rFonts w:ascii="Times New Roman" w:hAnsi="Times New Roman"/>
        </w:rPr>
        <w:t>expand</w:t>
      </w:r>
      <w:r w:rsidR="008C2694">
        <w:rPr>
          <w:rFonts w:ascii="Times New Roman" w:hAnsi="Times New Roman"/>
        </w:rPr>
        <w:t xml:space="preserve"> a variety of coloured</w:t>
      </w:r>
      <w:r w:rsidRPr="009D590F">
        <w:rPr>
          <w:rFonts w:ascii="Times New Roman" w:hAnsi="Times New Roman"/>
        </w:rPr>
        <w:t xml:space="preserve"> marbles to Rome is, again, not </w:t>
      </w:r>
      <w:r w:rsidR="00FF51D4" w:rsidRPr="009D590F">
        <w:rPr>
          <w:rFonts w:ascii="Times New Roman" w:hAnsi="Times New Roman"/>
        </w:rPr>
        <w:t xml:space="preserve">part of Roman </w:t>
      </w:r>
      <w:r w:rsidRPr="009D590F">
        <w:rPr>
          <w:rFonts w:ascii="Times New Roman" w:hAnsi="Times New Roman"/>
        </w:rPr>
        <w:t xml:space="preserve">literary </w:t>
      </w:r>
      <w:r w:rsidR="00FF51D4" w:rsidRPr="009D590F">
        <w:rPr>
          <w:rFonts w:ascii="Times New Roman" w:hAnsi="Times New Roman"/>
        </w:rPr>
        <w:t>discourse</w:t>
      </w:r>
      <w:r w:rsidRPr="009D590F">
        <w:rPr>
          <w:rFonts w:ascii="Times New Roman" w:hAnsi="Times New Roman"/>
        </w:rPr>
        <w:t xml:space="preserve">. The senate and people of Rome aside, the only </w:t>
      </w:r>
      <w:r w:rsidRPr="009D590F">
        <w:rPr>
          <w:rFonts w:ascii="Times New Roman" w:hAnsi="Times New Roman"/>
        </w:rPr>
        <w:lastRenderedPageBreak/>
        <w:t>person commissioning buildings in th</w:t>
      </w:r>
      <w:r w:rsidR="008C2694">
        <w:rPr>
          <w:rFonts w:ascii="Times New Roman" w:hAnsi="Times New Roman"/>
        </w:rPr>
        <w:t>e public sphere was the emperor, which would have allowed him to cease the import of these ‘luxuries’.</w:t>
      </w:r>
      <w:r w:rsidRPr="009D590F">
        <w:rPr>
          <w:rFonts w:ascii="Times New Roman" w:hAnsi="Times New Roman"/>
        </w:rPr>
        <w:t xml:space="preserve"> Yet, by the early days of the Principate </w:t>
      </w:r>
      <w:r w:rsidR="002C300E" w:rsidRPr="009D590F">
        <w:rPr>
          <w:rFonts w:ascii="Times New Roman" w:hAnsi="Times New Roman"/>
        </w:rPr>
        <w:t xml:space="preserve">the people of Rome </w:t>
      </w:r>
      <w:r w:rsidRPr="009D590F">
        <w:rPr>
          <w:rFonts w:ascii="Times New Roman" w:hAnsi="Times New Roman"/>
        </w:rPr>
        <w:t>had long become</w:t>
      </w:r>
      <w:r w:rsidR="002C300E" w:rsidRPr="009D590F">
        <w:rPr>
          <w:rFonts w:ascii="Times New Roman" w:hAnsi="Times New Roman"/>
        </w:rPr>
        <w:t xml:space="preserve"> accustomed </w:t>
      </w:r>
      <w:r w:rsidRPr="009D590F">
        <w:rPr>
          <w:rFonts w:ascii="Times New Roman" w:hAnsi="Times New Roman"/>
        </w:rPr>
        <w:t xml:space="preserve">to </w:t>
      </w:r>
      <w:proofErr w:type="spellStart"/>
      <w:r w:rsidRPr="009D590F">
        <w:rPr>
          <w:rFonts w:ascii="Times New Roman" w:hAnsi="Times New Roman"/>
          <w:i/>
        </w:rPr>
        <w:t>magnificentia</w:t>
      </w:r>
      <w:proofErr w:type="spellEnd"/>
      <w:r w:rsidRPr="009D590F">
        <w:rPr>
          <w:rFonts w:ascii="Times New Roman" w:hAnsi="Times New Roman"/>
          <w:i/>
        </w:rPr>
        <w:t xml:space="preserve"> </w:t>
      </w:r>
      <w:proofErr w:type="spellStart"/>
      <w:r w:rsidRPr="009D590F">
        <w:rPr>
          <w:rFonts w:ascii="Times New Roman" w:hAnsi="Times New Roman"/>
          <w:i/>
        </w:rPr>
        <w:t>publica</w:t>
      </w:r>
      <w:proofErr w:type="spellEnd"/>
      <w:r w:rsidR="002C300E" w:rsidRPr="009D590F">
        <w:rPr>
          <w:rFonts w:ascii="Times New Roman" w:hAnsi="Times New Roman"/>
        </w:rPr>
        <w:t xml:space="preserve"> </w:t>
      </w:r>
      <w:r w:rsidRPr="009D590F">
        <w:rPr>
          <w:rFonts w:ascii="Times New Roman" w:hAnsi="Times New Roman"/>
        </w:rPr>
        <w:t>(</w:t>
      </w:r>
      <w:proofErr w:type="spellStart"/>
      <w:r w:rsidRPr="009D590F">
        <w:rPr>
          <w:rFonts w:ascii="Times New Roman" w:hAnsi="Times New Roman"/>
        </w:rPr>
        <w:t>Vell</w:t>
      </w:r>
      <w:proofErr w:type="spellEnd"/>
      <w:r w:rsidRPr="009D590F">
        <w:rPr>
          <w:rFonts w:ascii="Times New Roman" w:hAnsi="Times New Roman"/>
        </w:rPr>
        <w:t xml:space="preserve">. 2.1.1f.) </w:t>
      </w:r>
      <w:r w:rsidR="002C300E" w:rsidRPr="009D590F">
        <w:rPr>
          <w:rFonts w:ascii="Times New Roman" w:hAnsi="Times New Roman"/>
        </w:rPr>
        <w:t>and public buildings were expected to have lavishly decorated interiors and exteriors.</w:t>
      </w:r>
      <w:r w:rsidRPr="009D590F">
        <w:rPr>
          <w:rFonts w:ascii="Times New Roman" w:hAnsi="Times New Roman"/>
        </w:rPr>
        <w:t xml:space="preserve"> E</w:t>
      </w:r>
      <w:r w:rsidR="008C2694">
        <w:rPr>
          <w:rFonts w:ascii="Times New Roman" w:hAnsi="Times New Roman"/>
        </w:rPr>
        <w:t>ven though</w:t>
      </w:r>
      <w:r w:rsidR="0018187A">
        <w:rPr>
          <w:rFonts w:ascii="Times New Roman" w:hAnsi="Times New Roman"/>
        </w:rPr>
        <w:t xml:space="preserve"> </w:t>
      </w:r>
      <w:r w:rsidR="002C300E" w:rsidRPr="009D590F">
        <w:rPr>
          <w:rFonts w:ascii="Times New Roman" w:hAnsi="Times New Roman"/>
        </w:rPr>
        <w:t>no senatorial elite challenge</w:t>
      </w:r>
      <w:r w:rsidR="0018187A">
        <w:rPr>
          <w:rFonts w:ascii="Times New Roman" w:hAnsi="Times New Roman"/>
        </w:rPr>
        <w:t>d</w:t>
      </w:r>
      <w:r w:rsidR="002C300E" w:rsidRPr="009D590F">
        <w:rPr>
          <w:rFonts w:ascii="Times New Roman" w:hAnsi="Times New Roman"/>
        </w:rPr>
        <w:t xml:space="preserve"> the emperor’s visual dominance of the memorial landscape that was Rome, each and every building set up by a Roman emperor stood in competition with existing monuments and monumental buildings not only of his predecessors in office, but with the Republican past as well.</w:t>
      </w:r>
      <w:r w:rsidR="0018187A">
        <w:rPr>
          <w:rStyle w:val="FootnoteReference"/>
          <w:rFonts w:ascii="Times New Roman" w:hAnsi="Times New Roman"/>
        </w:rPr>
        <w:footnoteReference w:id="43"/>
      </w:r>
      <w:r w:rsidR="002C300E" w:rsidRPr="009D590F">
        <w:rPr>
          <w:rFonts w:ascii="Times New Roman" w:hAnsi="Times New Roman"/>
        </w:rPr>
        <w:t xml:space="preserve"> It is this continued competition, the requirement to outdo those who went before, and the expectation of </w:t>
      </w:r>
      <w:proofErr w:type="spellStart"/>
      <w:r w:rsidR="002C300E" w:rsidRPr="009D590F">
        <w:rPr>
          <w:rFonts w:ascii="Times New Roman" w:hAnsi="Times New Roman"/>
          <w:i/>
        </w:rPr>
        <w:t>liberalitas</w:t>
      </w:r>
      <w:proofErr w:type="spellEnd"/>
      <w:r w:rsidR="002C300E" w:rsidRPr="009D590F">
        <w:rPr>
          <w:rFonts w:ascii="Times New Roman" w:hAnsi="Times New Roman"/>
        </w:rPr>
        <w:t xml:space="preserve"> from the emperor, which drove imperial building activity in Rome in general, and the imperial demand for </w:t>
      </w:r>
      <w:r w:rsidRPr="009D590F">
        <w:rPr>
          <w:rFonts w:ascii="Times New Roman" w:hAnsi="Times New Roman"/>
        </w:rPr>
        <w:t>specific polychrome stones of symbolic value</w:t>
      </w:r>
      <w:r w:rsidR="002C300E" w:rsidRPr="009D590F">
        <w:rPr>
          <w:rFonts w:ascii="Times New Roman" w:hAnsi="Times New Roman"/>
        </w:rPr>
        <w:t xml:space="preserve"> in particular. </w:t>
      </w:r>
      <w:r w:rsidR="00842047" w:rsidRPr="009D590F">
        <w:rPr>
          <w:rFonts w:ascii="Times New Roman" w:hAnsi="Times New Roman"/>
        </w:rPr>
        <w:t>One therefore might expect that the sole purpose of quarries under imperial control was to supply construction projects in Rome and chosen cities receiving columns as imperial gifts.</w:t>
      </w:r>
      <w:r w:rsidR="00842047" w:rsidRPr="009D590F">
        <w:rPr>
          <w:rStyle w:val="FootnoteReference"/>
          <w:rFonts w:ascii="Times New Roman" w:hAnsi="Times New Roman"/>
        </w:rPr>
        <w:footnoteReference w:id="44"/>
      </w:r>
      <w:r w:rsidR="00842047" w:rsidRPr="009D590F">
        <w:rPr>
          <w:rFonts w:ascii="Times New Roman" w:hAnsi="Times New Roman"/>
        </w:rPr>
        <w:t xml:space="preserve"> </w:t>
      </w:r>
      <w:r w:rsidR="008269E3" w:rsidRPr="009D590F">
        <w:rPr>
          <w:rFonts w:ascii="Times New Roman" w:hAnsi="Times New Roman"/>
        </w:rPr>
        <w:t>In short, quarries under imperial control were not run for profit, but in order to ensure the supply of (coloured) marble to Rome in continuance of Republican traditions</w:t>
      </w:r>
      <w:r w:rsidR="008C2694">
        <w:rPr>
          <w:rFonts w:ascii="Times New Roman" w:hAnsi="Times New Roman"/>
        </w:rPr>
        <w:t xml:space="preserve"> now centred on the emperor</w:t>
      </w:r>
      <w:r w:rsidR="008269E3" w:rsidRPr="009D590F">
        <w:rPr>
          <w:rFonts w:ascii="Times New Roman" w:hAnsi="Times New Roman"/>
        </w:rPr>
        <w:t xml:space="preserve">. </w:t>
      </w:r>
    </w:p>
    <w:p w14:paraId="7C60712B" w14:textId="77777777" w:rsidR="003271FD" w:rsidRPr="009D590F" w:rsidRDefault="003271FD" w:rsidP="003271FD">
      <w:pPr>
        <w:spacing w:before="120" w:after="120"/>
        <w:jc w:val="center"/>
        <w:rPr>
          <w:rFonts w:ascii="Times New Roman" w:hAnsi="Times New Roman"/>
          <w:b/>
        </w:rPr>
      </w:pPr>
      <w:r w:rsidRPr="009D590F">
        <w:rPr>
          <w:rFonts w:ascii="Times New Roman" w:hAnsi="Times New Roman"/>
          <w:b/>
        </w:rPr>
        <w:t>iii. Ephesus</w:t>
      </w:r>
    </w:p>
    <w:p w14:paraId="06A8DCC2" w14:textId="631C83E1" w:rsidR="00842047" w:rsidRPr="009D590F" w:rsidRDefault="008269E3" w:rsidP="003271FD">
      <w:pPr>
        <w:jc w:val="both"/>
        <w:rPr>
          <w:rFonts w:ascii="Times New Roman" w:hAnsi="Times New Roman"/>
        </w:rPr>
      </w:pPr>
      <w:r w:rsidRPr="009D590F">
        <w:rPr>
          <w:rFonts w:ascii="Times New Roman" w:hAnsi="Times New Roman"/>
        </w:rPr>
        <w:t>A recent discovery may pro</w:t>
      </w:r>
      <w:r w:rsidR="00FF51D4" w:rsidRPr="009D590F">
        <w:rPr>
          <w:rFonts w:ascii="Times New Roman" w:hAnsi="Times New Roman"/>
        </w:rPr>
        <w:t xml:space="preserve">vide a slight corrective to this </w:t>
      </w:r>
      <w:r w:rsidRPr="009D590F">
        <w:rPr>
          <w:rFonts w:ascii="Times New Roman" w:hAnsi="Times New Roman"/>
        </w:rPr>
        <w:t xml:space="preserve">picture. </w:t>
      </w:r>
      <w:r w:rsidR="003271FD" w:rsidRPr="009D590F">
        <w:rPr>
          <w:rFonts w:ascii="Times New Roman" w:hAnsi="Times New Roman"/>
        </w:rPr>
        <w:t xml:space="preserve">In 2014, </w:t>
      </w:r>
      <w:r w:rsidR="00A8234F">
        <w:rPr>
          <w:rFonts w:ascii="Times New Roman" w:hAnsi="Times New Roman"/>
        </w:rPr>
        <w:t xml:space="preserve">the published </w:t>
      </w:r>
      <w:r w:rsidR="003271FD" w:rsidRPr="009D590F">
        <w:rPr>
          <w:rFonts w:ascii="Times New Roman" w:hAnsi="Times New Roman"/>
        </w:rPr>
        <w:t xml:space="preserve">excavation report of House 6 </w:t>
      </w:r>
      <w:r w:rsidR="00FF51D4" w:rsidRPr="009D590F">
        <w:rPr>
          <w:rFonts w:ascii="Times New Roman" w:hAnsi="Times New Roman"/>
        </w:rPr>
        <w:t>in</w:t>
      </w:r>
      <w:r w:rsidR="003271FD" w:rsidRPr="009D590F">
        <w:rPr>
          <w:rFonts w:ascii="Times New Roman" w:hAnsi="Times New Roman"/>
        </w:rPr>
        <w:t xml:space="preserve"> ‘</w:t>
      </w:r>
      <w:proofErr w:type="spellStart"/>
      <w:r w:rsidR="003271FD" w:rsidRPr="009D590F">
        <w:rPr>
          <w:rFonts w:ascii="Times New Roman" w:hAnsi="Times New Roman"/>
        </w:rPr>
        <w:t>Hanghaus</w:t>
      </w:r>
      <w:proofErr w:type="spellEnd"/>
      <w:r w:rsidR="003271FD" w:rsidRPr="009D590F">
        <w:rPr>
          <w:rFonts w:ascii="Times New Roman" w:hAnsi="Times New Roman"/>
        </w:rPr>
        <w:t xml:space="preserve"> 2’ provided a full account of the spectacular marble decorations found</w:t>
      </w:r>
      <w:r w:rsidR="00FF51D4" w:rsidRPr="009D590F">
        <w:rPr>
          <w:rFonts w:ascii="Times New Roman" w:hAnsi="Times New Roman"/>
        </w:rPr>
        <w:t xml:space="preserve"> in this private house at Ephesu</w:t>
      </w:r>
      <w:r w:rsidR="003271FD" w:rsidRPr="009D590F">
        <w:rPr>
          <w:rFonts w:ascii="Times New Roman" w:hAnsi="Times New Roman"/>
        </w:rPr>
        <w:t>s. The ‘</w:t>
      </w:r>
      <w:proofErr w:type="spellStart"/>
      <w:r w:rsidR="003271FD" w:rsidRPr="009D590F">
        <w:rPr>
          <w:rFonts w:ascii="Times New Roman" w:hAnsi="Times New Roman"/>
        </w:rPr>
        <w:t>Hanghaus</w:t>
      </w:r>
      <w:proofErr w:type="spellEnd"/>
      <w:r w:rsidR="003271FD" w:rsidRPr="009D590F">
        <w:rPr>
          <w:rFonts w:ascii="Times New Roman" w:hAnsi="Times New Roman"/>
        </w:rPr>
        <w:t xml:space="preserve"> 2’, the </w:t>
      </w:r>
      <w:r w:rsidR="003271FD" w:rsidRPr="009D590F">
        <w:rPr>
          <w:rFonts w:ascii="Times New Roman" w:hAnsi="Times New Roman"/>
          <w:i/>
        </w:rPr>
        <w:t>insula</w:t>
      </w:r>
      <w:r w:rsidR="003271FD" w:rsidRPr="009D590F">
        <w:rPr>
          <w:rFonts w:ascii="Times New Roman" w:hAnsi="Times New Roman"/>
        </w:rPr>
        <w:t xml:space="preserve"> on the northern slope of the </w:t>
      </w:r>
      <w:proofErr w:type="spellStart"/>
      <w:r w:rsidR="003271FD" w:rsidRPr="009D590F">
        <w:rPr>
          <w:rFonts w:ascii="Times New Roman" w:hAnsi="Times New Roman"/>
        </w:rPr>
        <w:t>Bülbüldağ</w:t>
      </w:r>
      <w:proofErr w:type="spellEnd"/>
      <w:r w:rsidR="003271FD" w:rsidRPr="009D590F">
        <w:rPr>
          <w:rFonts w:ascii="Times New Roman" w:hAnsi="Times New Roman"/>
        </w:rPr>
        <w:t xml:space="preserve"> was divided into three terraces; the topmost terrace </w:t>
      </w:r>
      <w:r w:rsidR="00A8234F">
        <w:rPr>
          <w:rFonts w:ascii="Times New Roman" w:hAnsi="Times New Roman"/>
        </w:rPr>
        <w:t>included the H</w:t>
      </w:r>
      <w:r w:rsidR="003271FD" w:rsidRPr="009D590F">
        <w:rPr>
          <w:rFonts w:ascii="Times New Roman" w:hAnsi="Times New Roman"/>
        </w:rPr>
        <w:t xml:space="preserve">ouses 1 and 2, the middle terrace the </w:t>
      </w:r>
      <w:r w:rsidR="009D0974">
        <w:rPr>
          <w:rFonts w:ascii="Times New Roman" w:hAnsi="Times New Roman"/>
        </w:rPr>
        <w:t>Houses</w:t>
      </w:r>
      <w:r w:rsidR="003271FD" w:rsidRPr="009D590F">
        <w:rPr>
          <w:rFonts w:ascii="Times New Roman" w:hAnsi="Times New Roman"/>
        </w:rPr>
        <w:t xml:space="preserve"> 3, 4, and 5, and the lowest terrace the </w:t>
      </w:r>
      <w:r w:rsidR="009D0974">
        <w:rPr>
          <w:rFonts w:ascii="Times New Roman" w:hAnsi="Times New Roman"/>
        </w:rPr>
        <w:t>Houses</w:t>
      </w:r>
      <w:r w:rsidR="003271FD" w:rsidRPr="009D590F">
        <w:rPr>
          <w:rFonts w:ascii="Times New Roman" w:hAnsi="Times New Roman"/>
        </w:rPr>
        <w:t xml:space="preserve"> 6 and 7. Immediately adjacent to the north and looking onto the ‘Street of the </w:t>
      </w:r>
      <w:proofErr w:type="spellStart"/>
      <w:r w:rsidR="003271FD" w:rsidRPr="009D590F">
        <w:rPr>
          <w:rFonts w:ascii="Times New Roman" w:hAnsi="Times New Roman"/>
        </w:rPr>
        <w:t>Kuretes</w:t>
      </w:r>
      <w:proofErr w:type="spellEnd"/>
      <w:r w:rsidR="003271FD" w:rsidRPr="009D590F">
        <w:rPr>
          <w:rFonts w:ascii="Times New Roman" w:hAnsi="Times New Roman"/>
        </w:rPr>
        <w:t>’ were market stalls and workshops.</w:t>
      </w:r>
      <w:r w:rsidR="003271FD" w:rsidRPr="009D590F">
        <w:rPr>
          <w:rStyle w:val="FootnoteReference"/>
          <w:rFonts w:ascii="Times New Roman" w:hAnsi="Times New Roman"/>
        </w:rPr>
        <w:footnoteReference w:id="45"/>
      </w:r>
      <w:r w:rsidR="00FF51D4" w:rsidRPr="009D590F">
        <w:rPr>
          <w:rFonts w:ascii="Times New Roman" w:hAnsi="Times New Roman"/>
        </w:rPr>
        <w:t xml:space="preserve"> </w:t>
      </w:r>
      <w:r w:rsidR="003271FD" w:rsidRPr="009D590F">
        <w:rPr>
          <w:rFonts w:ascii="Times New Roman" w:hAnsi="Times New Roman"/>
        </w:rPr>
        <w:t>In the 2</w:t>
      </w:r>
      <w:r w:rsidR="003271FD" w:rsidRPr="009D590F">
        <w:rPr>
          <w:rFonts w:ascii="Times New Roman" w:hAnsi="Times New Roman"/>
          <w:vertAlign w:val="superscript"/>
        </w:rPr>
        <w:t>nd</w:t>
      </w:r>
      <w:r w:rsidR="003271FD" w:rsidRPr="009D590F">
        <w:rPr>
          <w:rFonts w:ascii="Times New Roman" w:hAnsi="Times New Roman"/>
        </w:rPr>
        <w:t xml:space="preserve"> century</w:t>
      </w:r>
      <w:r w:rsidR="00A8234F">
        <w:rPr>
          <w:rFonts w:ascii="Times New Roman" w:hAnsi="Times New Roman"/>
        </w:rPr>
        <w:t>, entry to ‘House 6’</w:t>
      </w:r>
      <w:r w:rsidR="003271FD" w:rsidRPr="009D590F">
        <w:rPr>
          <w:rFonts w:ascii="Times New Roman" w:hAnsi="Times New Roman"/>
        </w:rPr>
        <w:t xml:space="preserve"> was gained </w:t>
      </w:r>
      <w:r w:rsidR="00FF51D4" w:rsidRPr="009D590F">
        <w:rPr>
          <w:rFonts w:ascii="Times New Roman" w:hAnsi="Times New Roman"/>
        </w:rPr>
        <w:t>via</w:t>
      </w:r>
      <w:r w:rsidR="00A8234F">
        <w:rPr>
          <w:rFonts w:ascii="Times New Roman" w:hAnsi="Times New Roman"/>
        </w:rPr>
        <w:t xml:space="preserve"> a staircase leading on to a vestibule</w:t>
      </w:r>
      <w:r w:rsidR="003271FD" w:rsidRPr="009D590F">
        <w:rPr>
          <w:rFonts w:ascii="Times New Roman" w:hAnsi="Times New Roman"/>
        </w:rPr>
        <w:t>; from this room one stepped into a peris</w:t>
      </w:r>
      <w:r w:rsidR="00A8234F">
        <w:rPr>
          <w:rFonts w:ascii="Times New Roman" w:hAnsi="Times New Roman"/>
        </w:rPr>
        <w:t>tyle court with twelve columns</w:t>
      </w:r>
      <w:r w:rsidR="003271FD" w:rsidRPr="009D590F">
        <w:rPr>
          <w:rFonts w:ascii="Times New Roman" w:hAnsi="Times New Roman"/>
        </w:rPr>
        <w:t>. This splendidly decorated room sported a fountain and revealed the owner of the house, whose portrait bust was presented</w:t>
      </w:r>
      <w:r w:rsidR="00FF51D4" w:rsidRPr="009D590F">
        <w:rPr>
          <w:rFonts w:ascii="Times New Roman" w:hAnsi="Times New Roman"/>
        </w:rPr>
        <w:t xml:space="preserve"> on a pilaster</w:t>
      </w:r>
      <w:r w:rsidR="003271FD" w:rsidRPr="009D590F">
        <w:rPr>
          <w:rFonts w:ascii="Times New Roman" w:hAnsi="Times New Roman"/>
        </w:rPr>
        <w:t>. From this central room the visitor could either enter the built-in baths along the eastern wall of the c</w:t>
      </w:r>
      <w:r w:rsidR="00A8234F">
        <w:rPr>
          <w:rFonts w:ascii="Times New Roman" w:hAnsi="Times New Roman"/>
        </w:rPr>
        <w:t>ourt, the latrines</w:t>
      </w:r>
      <w:r w:rsidR="003271FD" w:rsidRPr="009D590F">
        <w:rPr>
          <w:rFonts w:ascii="Times New Roman" w:hAnsi="Times New Roman"/>
        </w:rPr>
        <w:t>, and the reception an</w:t>
      </w:r>
      <w:r w:rsidR="00A8234F">
        <w:rPr>
          <w:rFonts w:ascii="Times New Roman" w:hAnsi="Times New Roman"/>
        </w:rPr>
        <w:t>d banquet rooms</w:t>
      </w:r>
      <w:r w:rsidR="003271FD" w:rsidRPr="009D590F">
        <w:rPr>
          <w:rFonts w:ascii="Times New Roman" w:hAnsi="Times New Roman"/>
        </w:rPr>
        <w:t xml:space="preserve">. Water was provided </w:t>
      </w:r>
      <w:r w:rsidR="00A8234F">
        <w:rPr>
          <w:rFonts w:ascii="Times New Roman" w:hAnsi="Times New Roman"/>
        </w:rPr>
        <w:t xml:space="preserve">by a well </w:t>
      </w:r>
      <w:r w:rsidR="003271FD" w:rsidRPr="009D590F">
        <w:rPr>
          <w:rFonts w:ascii="Times New Roman" w:hAnsi="Times New Roman"/>
        </w:rPr>
        <w:t>a</w:t>
      </w:r>
      <w:r w:rsidR="00A8234F">
        <w:rPr>
          <w:rFonts w:ascii="Times New Roman" w:hAnsi="Times New Roman"/>
        </w:rPr>
        <w:t>nd a</w:t>
      </w:r>
      <w:r w:rsidR="003271FD" w:rsidRPr="009D590F">
        <w:rPr>
          <w:rFonts w:ascii="Times New Roman" w:hAnsi="Times New Roman"/>
        </w:rPr>
        <w:t xml:space="preserve"> conduit</w:t>
      </w:r>
      <w:r w:rsidR="00A8234F">
        <w:rPr>
          <w:rFonts w:ascii="Times New Roman" w:hAnsi="Times New Roman"/>
        </w:rPr>
        <w:t>, allowing</w:t>
      </w:r>
      <w:r w:rsidR="003271FD" w:rsidRPr="009D590F">
        <w:rPr>
          <w:rFonts w:ascii="Times New Roman" w:hAnsi="Times New Roman"/>
        </w:rPr>
        <w:t xml:space="preserve"> the installation of the bath and fountains during extensive refurbishments </w:t>
      </w:r>
      <w:r w:rsidR="00A8234F">
        <w:rPr>
          <w:rFonts w:ascii="Times New Roman" w:hAnsi="Times New Roman"/>
        </w:rPr>
        <w:t xml:space="preserve">of ‘House 6’ </w:t>
      </w:r>
      <w:r w:rsidR="003271FD" w:rsidRPr="009D590F">
        <w:rPr>
          <w:rFonts w:ascii="Times New Roman" w:hAnsi="Times New Roman"/>
        </w:rPr>
        <w:t>in the mid 2</w:t>
      </w:r>
      <w:r w:rsidR="003271FD" w:rsidRPr="009D590F">
        <w:rPr>
          <w:rFonts w:ascii="Times New Roman" w:hAnsi="Times New Roman"/>
          <w:vertAlign w:val="superscript"/>
        </w:rPr>
        <w:t>nd</w:t>
      </w:r>
      <w:r w:rsidR="003271FD" w:rsidRPr="009D590F">
        <w:rPr>
          <w:rFonts w:ascii="Times New Roman" w:hAnsi="Times New Roman"/>
        </w:rPr>
        <w:t xml:space="preserve"> century AD.</w:t>
      </w:r>
      <w:r w:rsidR="003271FD" w:rsidRPr="009D590F">
        <w:rPr>
          <w:rStyle w:val="FootnoteReference"/>
          <w:rFonts w:ascii="Times New Roman" w:hAnsi="Times New Roman"/>
        </w:rPr>
        <w:footnoteReference w:id="46"/>
      </w:r>
      <w:r w:rsidR="003271FD" w:rsidRPr="009D590F">
        <w:rPr>
          <w:rFonts w:ascii="Times New Roman" w:hAnsi="Times New Roman"/>
        </w:rPr>
        <w:t xml:space="preserve"> The ornamentation of these rooms in </w:t>
      </w:r>
      <w:r w:rsidR="00A8234F">
        <w:rPr>
          <w:rFonts w:ascii="Times New Roman" w:hAnsi="Times New Roman"/>
        </w:rPr>
        <w:t>this period</w:t>
      </w:r>
      <w:r w:rsidR="003271FD" w:rsidRPr="009D590F">
        <w:rPr>
          <w:rFonts w:ascii="Times New Roman" w:hAnsi="Times New Roman"/>
        </w:rPr>
        <w:t xml:space="preserve"> represented a significant </w:t>
      </w:r>
      <w:r w:rsidR="003271FD" w:rsidRPr="009D590F">
        <w:rPr>
          <w:rFonts w:ascii="Times New Roman" w:hAnsi="Times New Roman"/>
        </w:rPr>
        <w:lastRenderedPageBreak/>
        <w:t xml:space="preserve">departure from the </w:t>
      </w:r>
      <w:r w:rsidR="008A6DF8">
        <w:rPr>
          <w:rFonts w:ascii="Times New Roman" w:hAnsi="Times New Roman"/>
        </w:rPr>
        <w:t>earlier</w:t>
      </w:r>
      <w:r w:rsidR="003271FD" w:rsidRPr="009D590F">
        <w:rPr>
          <w:rFonts w:ascii="Times New Roman" w:hAnsi="Times New Roman"/>
        </w:rPr>
        <w:t xml:space="preserve"> wall paintings and mosaics; most notably the </w:t>
      </w:r>
      <w:r w:rsidR="00A8234F">
        <w:rPr>
          <w:rFonts w:ascii="Times New Roman" w:hAnsi="Times New Roman"/>
        </w:rPr>
        <w:t>‘marble court’</w:t>
      </w:r>
      <w:r w:rsidR="003271FD" w:rsidRPr="009D590F">
        <w:rPr>
          <w:rFonts w:ascii="Times New Roman" w:hAnsi="Times New Roman"/>
        </w:rPr>
        <w:t xml:space="preserve"> </w:t>
      </w:r>
      <w:r w:rsidR="00A8234F">
        <w:rPr>
          <w:rFonts w:ascii="Times New Roman" w:hAnsi="Times New Roman"/>
        </w:rPr>
        <w:t>(</w:t>
      </w:r>
      <w:r w:rsidR="003271FD" w:rsidRPr="009D590F">
        <w:rPr>
          <w:rFonts w:ascii="Times New Roman" w:hAnsi="Times New Roman"/>
        </w:rPr>
        <w:t>31</w:t>
      </w:r>
      <w:r w:rsidR="00A8234F">
        <w:rPr>
          <w:rFonts w:ascii="Times New Roman" w:hAnsi="Times New Roman"/>
        </w:rPr>
        <w:t>)</w:t>
      </w:r>
      <w:r w:rsidR="003271FD" w:rsidRPr="009D590F">
        <w:rPr>
          <w:rFonts w:ascii="Times New Roman" w:hAnsi="Times New Roman"/>
        </w:rPr>
        <w:t xml:space="preserve"> and the peristyle court </w:t>
      </w:r>
      <w:r w:rsidR="00A8234F">
        <w:rPr>
          <w:rFonts w:ascii="Times New Roman" w:hAnsi="Times New Roman"/>
        </w:rPr>
        <w:t>(</w:t>
      </w:r>
      <w:r w:rsidR="003271FD" w:rsidRPr="009D590F">
        <w:rPr>
          <w:rFonts w:ascii="Times New Roman" w:hAnsi="Times New Roman"/>
        </w:rPr>
        <w:t>31a</w:t>
      </w:r>
      <w:r w:rsidR="00A8234F">
        <w:rPr>
          <w:rFonts w:ascii="Times New Roman" w:hAnsi="Times New Roman"/>
        </w:rPr>
        <w:t>)</w:t>
      </w:r>
      <w:r w:rsidR="003271FD" w:rsidRPr="009D590F">
        <w:rPr>
          <w:rFonts w:ascii="Times New Roman" w:hAnsi="Times New Roman"/>
        </w:rPr>
        <w:t xml:space="preserve"> saw marble floors and wall panels being fitted, and many of the rooms on the ground floor were embellished with marble decoration. The ‘</w:t>
      </w:r>
      <w:proofErr w:type="spellStart"/>
      <w:r w:rsidR="003271FD" w:rsidRPr="009D590F">
        <w:rPr>
          <w:rFonts w:ascii="Times New Roman" w:hAnsi="Times New Roman"/>
        </w:rPr>
        <w:t>Marmorsaal</w:t>
      </w:r>
      <w:proofErr w:type="spellEnd"/>
      <w:r w:rsidR="003271FD" w:rsidRPr="009D590F">
        <w:rPr>
          <w:rFonts w:ascii="Times New Roman" w:hAnsi="Times New Roman"/>
        </w:rPr>
        <w:t xml:space="preserve">’ (31) stood up to 8.6 m high with its floor and walls being covered in marble panels made of white marble of local provenience, in </w:t>
      </w:r>
      <w:proofErr w:type="spellStart"/>
      <w:r w:rsidR="003271FD" w:rsidRPr="009D590F">
        <w:rPr>
          <w:rFonts w:ascii="Times New Roman" w:hAnsi="Times New Roman"/>
          <w:i/>
        </w:rPr>
        <w:t>verde</w:t>
      </w:r>
      <w:proofErr w:type="spellEnd"/>
      <w:r w:rsidR="003271FD" w:rsidRPr="009D590F">
        <w:rPr>
          <w:rFonts w:ascii="Times New Roman" w:hAnsi="Times New Roman"/>
          <w:i/>
        </w:rPr>
        <w:t xml:space="preserve"> antico</w:t>
      </w:r>
      <w:r w:rsidR="003271FD" w:rsidRPr="009D590F">
        <w:rPr>
          <w:rFonts w:ascii="Times New Roman" w:hAnsi="Times New Roman"/>
        </w:rPr>
        <w:t xml:space="preserve">, </w:t>
      </w:r>
      <w:proofErr w:type="spellStart"/>
      <w:r w:rsidR="003271FD" w:rsidRPr="009D590F">
        <w:rPr>
          <w:rFonts w:ascii="Times New Roman" w:hAnsi="Times New Roman"/>
          <w:i/>
        </w:rPr>
        <w:t>cipollino</w:t>
      </w:r>
      <w:proofErr w:type="spellEnd"/>
      <w:r w:rsidR="003271FD" w:rsidRPr="009D590F">
        <w:rPr>
          <w:rFonts w:ascii="Times New Roman" w:hAnsi="Times New Roman"/>
          <w:i/>
        </w:rPr>
        <w:t xml:space="preserve"> </w:t>
      </w:r>
      <w:proofErr w:type="spellStart"/>
      <w:r w:rsidR="003271FD" w:rsidRPr="009D590F">
        <w:rPr>
          <w:rFonts w:ascii="Times New Roman" w:hAnsi="Times New Roman"/>
          <w:i/>
        </w:rPr>
        <w:t>verde</w:t>
      </w:r>
      <w:proofErr w:type="spellEnd"/>
      <w:r w:rsidR="003271FD" w:rsidRPr="009D590F">
        <w:rPr>
          <w:rFonts w:ascii="Times New Roman" w:hAnsi="Times New Roman"/>
        </w:rPr>
        <w:t xml:space="preserve">, </w:t>
      </w:r>
      <w:proofErr w:type="spellStart"/>
      <w:r w:rsidR="003271FD" w:rsidRPr="009D590F">
        <w:rPr>
          <w:rFonts w:ascii="Times New Roman" w:hAnsi="Times New Roman"/>
          <w:i/>
        </w:rPr>
        <w:t>rosso</w:t>
      </w:r>
      <w:proofErr w:type="spellEnd"/>
      <w:r w:rsidR="003271FD" w:rsidRPr="009D590F">
        <w:rPr>
          <w:rFonts w:ascii="Times New Roman" w:hAnsi="Times New Roman"/>
          <w:i/>
        </w:rPr>
        <w:t xml:space="preserve"> </w:t>
      </w:r>
      <w:proofErr w:type="spellStart"/>
      <w:r w:rsidR="003271FD" w:rsidRPr="009D590F">
        <w:rPr>
          <w:rFonts w:ascii="Times New Roman" w:hAnsi="Times New Roman"/>
          <w:i/>
        </w:rPr>
        <w:t>brecciato</w:t>
      </w:r>
      <w:proofErr w:type="spellEnd"/>
      <w:r w:rsidR="003271FD" w:rsidRPr="009D590F">
        <w:rPr>
          <w:rFonts w:ascii="Times New Roman" w:hAnsi="Times New Roman"/>
        </w:rPr>
        <w:t xml:space="preserve">, </w:t>
      </w:r>
      <w:proofErr w:type="spellStart"/>
      <w:r w:rsidR="003271FD" w:rsidRPr="009D590F">
        <w:rPr>
          <w:rFonts w:ascii="Times New Roman" w:hAnsi="Times New Roman"/>
          <w:i/>
        </w:rPr>
        <w:t>bigio</w:t>
      </w:r>
      <w:proofErr w:type="spellEnd"/>
      <w:r w:rsidR="003271FD" w:rsidRPr="009D590F">
        <w:rPr>
          <w:rFonts w:ascii="Times New Roman" w:hAnsi="Times New Roman"/>
          <w:i/>
        </w:rPr>
        <w:t xml:space="preserve"> antico</w:t>
      </w:r>
      <w:r w:rsidR="003271FD" w:rsidRPr="009D590F">
        <w:rPr>
          <w:rFonts w:ascii="Times New Roman" w:hAnsi="Times New Roman"/>
        </w:rPr>
        <w:t>, etc.</w:t>
      </w:r>
      <w:r w:rsidR="003271FD" w:rsidRPr="009D590F">
        <w:rPr>
          <w:rStyle w:val="FootnoteReference"/>
          <w:rFonts w:ascii="Times New Roman" w:hAnsi="Times New Roman"/>
        </w:rPr>
        <w:footnoteReference w:id="47"/>
      </w:r>
      <w:r w:rsidR="003271FD" w:rsidRPr="009D590F">
        <w:rPr>
          <w:rFonts w:ascii="Times New Roman" w:hAnsi="Times New Roman"/>
        </w:rPr>
        <w:t xml:space="preserve"> Most notable is the use of white and violet </w:t>
      </w:r>
      <w:r w:rsidR="003271FD" w:rsidRPr="009D590F">
        <w:rPr>
          <w:rFonts w:ascii="Times New Roman" w:hAnsi="Times New Roman"/>
          <w:i/>
        </w:rPr>
        <w:t xml:space="preserve">pavonazzetto </w:t>
      </w:r>
      <w:r w:rsidR="003271FD" w:rsidRPr="009D590F">
        <w:rPr>
          <w:rFonts w:ascii="Times New Roman" w:hAnsi="Times New Roman"/>
        </w:rPr>
        <w:t xml:space="preserve">panels, a white marble with grey to violet veins hailing from the </w:t>
      </w:r>
      <w:proofErr w:type="spellStart"/>
      <w:r w:rsidR="003271FD" w:rsidRPr="009D590F">
        <w:rPr>
          <w:rFonts w:ascii="Times New Roman" w:hAnsi="Times New Roman"/>
        </w:rPr>
        <w:t>Bacakale</w:t>
      </w:r>
      <w:proofErr w:type="spellEnd"/>
      <w:r w:rsidR="003271FD" w:rsidRPr="009D590F">
        <w:rPr>
          <w:rFonts w:ascii="Times New Roman" w:hAnsi="Times New Roman"/>
        </w:rPr>
        <w:t xml:space="preserve"> quarries near </w:t>
      </w:r>
      <w:proofErr w:type="spellStart"/>
      <w:r w:rsidR="003271FD" w:rsidRPr="009D590F">
        <w:rPr>
          <w:rFonts w:ascii="Times New Roman" w:hAnsi="Times New Roman"/>
        </w:rPr>
        <w:t>Docimium</w:t>
      </w:r>
      <w:proofErr w:type="spellEnd"/>
      <w:r w:rsidR="003271FD" w:rsidRPr="009D590F">
        <w:rPr>
          <w:rFonts w:ascii="Times New Roman" w:hAnsi="Times New Roman"/>
        </w:rPr>
        <w:t xml:space="preserve">/mod </w:t>
      </w:r>
      <w:proofErr w:type="spellStart"/>
      <w:r w:rsidR="003271FD" w:rsidRPr="009D590F">
        <w:rPr>
          <w:rFonts w:ascii="Times New Roman" w:hAnsi="Times New Roman"/>
        </w:rPr>
        <w:t>Iscehisar</w:t>
      </w:r>
      <w:proofErr w:type="spellEnd"/>
      <w:r w:rsidR="003271FD" w:rsidRPr="009D590F">
        <w:rPr>
          <w:rFonts w:ascii="Times New Roman" w:hAnsi="Times New Roman"/>
        </w:rPr>
        <w:t xml:space="preserve"> in Asia Minor. The back of some of these panels display engraved notes, which were read by the editor Hans </w:t>
      </w:r>
      <w:proofErr w:type="spellStart"/>
      <w:r w:rsidR="003271FD" w:rsidRPr="009D590F">
        <w:rPr>
          <w:rFonts w:ascii="Times New Roman" w:hAnsi="Times New Roman"/>
        </w:rPr>
        <w:t>Taeuber</w:t>
      </w:r>
      <w:proofErr w:type="spellEnd"/>
      <w:r w:rsidR="003271FD" w:rsidRPr="009D590F">
        <w:rPr>
          <w:rFonts w:ascii="Times New Roman" w:hAnsi="Times New Roman"/>
        </w:rPr>
        <w:t xml:space="preserve"> as follows: </w:t>
      </w:r>
    </w:p>
    <w:p w14:paraId="09942758" w14:textId="77777777" w:rsidR="00842047" w:rsidRPr="009D590F" w:rsidRDefault="00842047" w:rsidP="003271FD">
      <w:pPr>
        <w:jc w:val="both"/>
        <w:rPr>
          <w:rFonts w:ascii="Times New Roman" w:hAnsi="Times New Roman"/>
        </w:rPr>
      </w:pPr>
    </w:p>
    <w:p w14:paraId="2BEFACFB" w14:textId="6DBD1323" w:rsidR="00842047" w:rsidRPr="00814D41" w:rsidRDefault="003271FD" w:rsidP="00842047">
      <w:pPr>
        <w:jc w:val="center"/>
        <w:rPr>
          <w:rFonts w:ascii="Times New Roman" w:hAnsi="Times New Roman"/>
          <w:sz w:val="20"/>
          <w:szCs w:val="20"/>
          <w:lang w:val="it-IT"/>
        </w:rPr>
      </w:pPr>
      <w:proofErr w:type="spellStart"/>
      <w:r w:rsidRPr="00814D41">
        <w:rPr>
          <w:rFonts w:ascii="Times New Roman" w:hAnsi="Times New Roman"/>
          <w:i/>
          <w:sz w:val="20"/>
          <w:szCs w:val="20"/>
          <w:lang w:val="it-IT"/>
        </w:rPr>
        <w:t>Hadriano</w:t>
      </w:r>
      <w:proofErr w:type="spellEnd"/>
      <w:r w:rsidRPr="00814D41">
        <w:rPr>
          <w:rFonts w:ascii="Times New Roman" w:hAnsi="Times New Roman"/>
          <w:i/>
          <w:sz w:val="20"/>
          <w:szCs w:val="20"/>
          <w:lang w:val="it-IT"/>
        </w:rPr>
        <w:t xml:space="preserve"> III co</w:t>
      </w:r>
      <w:r w:rsidRPr="00814D41">
        <w:rPr>
          <w:rFonts w:ascii="Times New Roman" w:hAnsi="Times New Roman"/>
          <w:sz w:val="20"/>
          <w:szCs w:val="20"/>
          <w:lang w:val="it-IT"/>
        </w:rPr>
        <w:t>(</w:t>
      </w:r>
      <w:r w:rsidRPr="00814D41">
        <w:rPr>
          <w:rFonts w:ascii="Times New Roman" w:hAnsi="Times New Roman"/>
          <w:i/>
          <w:sz w:val="20"/>
          <w:szCs w:val="20"/>
          <w:lang w:val="it-IT"/>
        </w:rPr>
        <w:t>n</w:t>
      </w:r>
      <w:r w:rsidRPr="00814D41">
        <w:rPr>
          <w:rFonts w:ascii="Times New Roman" w:hAnsi="Times New Roman"/>
          <w:sz w:val="20"/>
          <w:szCs w:val="20"/>
          <w:lang w:val="it-IT"/>
        </w:rPr>
        <w:t>)</w:t>
      </w:r>
      <w:r w:rsidRPr="00814D41">
        <w:rPr>
          <w:rFonts w:ascii="Times New Roman" w:hAnsi="Times New Roman"/>
          <w:i/>
          <w:sz w:val="20"/>
          <w:szCs w:val="20"/>
          <w:lang w:val="it-IT"/>
        </w:rPr>
        <w:t>s</w:t>
      </w:r>
      <w:r w:rsidRPr="00814D41">
        <w:rPr>
          <w:rFonts w:ascii="Times New Roman" w:hAnsi="Times New Roman"/>
          <w:sz w:val="20"/>
          <w:szCs w:val="20"/>
          <w:lang w:val="it-IT"/>
        </w:rPr>
        <w:t>(</w:t>
      </w:r>
      <w:proofErr w:type="spellStart"/>
      <w:r w:rsidRPr="00814D41">
        <w:rPr>
          <w:rFonts w:ascii="Times New Roman" w:hAnsi="Times New Roman"/>
          <w:i/>
          <w:sz w:val="20"/>
          <w:szCs w:val="20"/>
          <w:lang w:val="it-IT"/>
        </w:rPr>
        <w:t>ule</w:t>
      </w:r>
      <w:proofErr w:type="spellEnd"/>
      <w:r w:rsidRPr="00814D41">
        <w:rPr>
          <w:rFonts w:ascii="Times New Roman" w:hAnsi="Times New Roman"/>
          <w:sz w:val="20"/>
          <w:szCs w:val="20"/>
          <w:lang w:val="it-IT"/>
        </w:rPr>
        <w:t xml:space="preserve">) </w:t>
      </w:r>
      <w:proofErr w:type="spellStart"/>
      <w:proofErr w:type="gramStart"/>
      <w:r w:rsidRPr="00814D41">
        <w:rPr>
          <w:rFonts w:ascii="Times New Roman" w:hAnsi="Times New Roman"/>
          <w:i/>
          <w:sz w:val="20"/>
          <w:szCs w:val="20"/>
          <w:lang w:val="it-IT"/>
        </w:rPr>
        <w:t>dex</w:t>
      </w:r>
      <w:proofErr w:type="spellEnd"/>
      <w:r w:rsidRPr="00814D41">
        <w:rPr>
          <w:rFonts w:ascii="Times New Roman" w:hAnsi="Times New Roman"/>
          <w:sz w:val="20"/>
          <w:szCs w:val="20"/>
          <w:lang w:val="it-IT"/>
        </w:rPr>
        <w:t>(</w:t>
      </w:r>
      <w:proofErr w:type="gramEnd"/>
      <w:r w:rsidRPr="00814D41">
        <w:rPr>
          <w:rFonts w:ascii="Times New Roman" w:hAnsi="Times New Roman"/>
          <w:sz w:val="20"/>
          <w:szCs w:val="20"/>
          <w:lang w:val="it-IT"/>
        </w:rPr>
        <w:t>) LI[.</w:t>
      </w:r>
    </w:p>
    <w:p w14:paraId="13B617BD" w14:textId="77777777" w:rsidR="00842047" w:rsidRPr="0083656D" w:rsidRDefault="00842047" w:rsidP="00842047">
      <w:pPr>
        <w:jc w:val="center"/>
        <w:rPr>
          <w:rFonts w:ascii="Times New Roman" w:hAnsi="Times New Roman"/>
          <w:lang w:val="it-IT"/>
        </w:rPr>
      </w:pPr>
    </w:p>
    <w:p w14:paraId="239958D3" w14:textId="77777777" w:rsidR="00842047" w:rsidRPr="009D590F" w:rsidRDefault="003271FD" w:rsidP="003271FD">
      <w:pPr>
        <w:jc w:val="both"/>
        <w:rPr>
          <w:rFonts w:ascii="Times New Roman" w:hAnsi="Times New Roman"/>
        </w:rPr>
      </w:pPr>
      <w:r w:rsidRPr="009D590F">
        <w:rPr>
          <w:rFonts w:ascii="Times New Roman" w:hAnsi="Times New Roman"/>
        </w:rPr>
        <w:t>The inscription on this particular revetment panel is dated by consular date, when Hadrian was consul for the third time, so the year AD 119.</w:t>
      </w:r>
      <w:r w:rsidRPr="009D590F">
        <w:rPr>
          <w:rStyle w:val="FootnoteReference"/>
          <w:rFonts w:ascii="Times New Roman" w:hAnsi="Times New Roman"/>
        </w:rPr>
        <w:footnoteReference w:id="48"/>
      </w:r>
      <w:r w:rsidRPr="009D590F">
        <w:rPr>
          <w:rFonts w:ascii="Times New Roman" w:hAnsi="Times New Roman"/>
        </w:rPr>
        <w:t xml:space="preserve"> Given similar inscriptions found on blocks in the quarries of </w:t>
      </w:r>
      <w:proofErr w:type="spellStart"/>
      <w:r w:rsidRPr="009D590F">
        <w:rPr>
          <w:rFonts w:ascii="Times New Roman" w:hAnsi="Times New Roman"/>
        </w:rPr>
        <w:t>Bacakale</w:t>
      </w:r>
      <w:proofErr w:type="spellEnd"/>
      <w:r w:rsidRPr="009D590F">
        <w:rPr>
          <w:rFonts w:ascii="Times New Roman" w:hAnsi="Times New Roman"/>
        </w:rPr>
        <w:t xml:space="preserve">, we are more likely to read </w:t>
      </w:r>
      <w:proofErr w:type="spellStart"/>
      <w:r w:rsidRPr="009D590F">
        <w:rPr>
          <w:rFonts w:ascii="Times New Roman" w:hAnsi="Times New Roman"/>
          <w:i/>
          <w:lang w:val="en-US"/>
        </w:rPr>
        <w:t>Hadriano</w:t>
      </w:r>
      <w:proofErr w:type="spellEnd"/>
      <w:r w:rsidRPr="009D590F">
        <w:rPr>
          <w:rFonts w:ascii="Times New Roman" w:hAnsi="Times New Roman"/>
          <w:i/>
          <w:lang w:val="en-US"/>
        </w:rPr>
        <w:t xml:space="preserve"> III co</w:t>
      </w:r>
      <w:r w:rsidRPr="009D590F">
        <w:rPr>
          <w:rFonts w:ascii="Times New Roman" w:hAnsi="Times New Roman"/>
          <w:lang w:val="en-US"/>
        </w:rPr>
        <w:t>(</w:t>
      </w:r>
      <w:r w:rsidRPr="009D590F">
        <w:rPr>
          <w:rFonts w:ascii="Times New Roman" w:hAnsi="Times New Roman"/>
          <w:i/>
          <w:lang w:val="en-US"/>
        </w:rPr>
        <w:t>n</w:t>
      </w:r>
      <w:r w:rsidRPr="009D590F">
        <w:rPr>
          <w:rFonts w:ascii="Times New Roman" w:hAnsi="Times New Roman"/>
          <w:lang w:val="en-US"/>
        </w:rPr>
        <w:t>)</w:t>
      </w:r>
      <w:r w:rsidRPr="009D590F">
        <w:rPr>
          <w:rFonts w:ascii="Times New Roman" w:hAnsi="Times New Roman"/>
          <w:i/>
          <w:lang w:val="en-US"/>
        </w:rPr>
        <w:t>s</w:t>
      </w:r>
      <w:r w:rsidRPr="009D590F">
        <w:rPr>
          <w:rFonts w:ascii="Times New Roman" w:hAnsi="Times New Roman"/>
          <w:lang w:val="en-US"/>
        </w:rPr>
        <w:t>(</w:t>
      </w:r>
      <w:proofErr w:type="spellStart"/>
      <w:r w:rsidRPr="009D590F">
        <w:rPr>
          <w:rFonts w:ascii="Times New Roman" w:hAnsi="Times New Roman"/>
          <w:i/>
          <w:lang w:val="en-US"/>
        </w:rPr>
        <w:t>ule</w:t>
      </w:r>
      <w:proofErr w:type="spellEnd"/>
      <w:r w:rsidRPr="009D590F">
        <w:rPr>
          <w:rFonts w:ascii="Times New Roman" w:hAnsi="Times New Roman"/>
          <w:lang w:val="en-US"/>
        </w:rPr>
        <w:t xml:space="preserve">) </w:t>
      </w:r>
      <w:r w:rsidRPr="009D590F">
        <w:rPr>
          <w:rFonts w:ascii="Times New Roman" w:hAnsi="Times New Roman"/>
          <w:i/>
          <w:lang w:val="en-US"/>
        </w:rPr>
        <w:t xml:space="preserve">de </w:t>
      </w:r>
      <w:proofErr w:type="gramStart"/>
      <w:r w:rsidRPr="009D590F">
        <w:rPr>
          <w:rFonts w:ascii="Times New Roman" w:hAnsi="Times New Roman"/>
          <w:i/>
          <w:lang w:val="en-US"/>
        </w:rPr>
        <w:t>XLI</w:t>
      </w:r>
      <w:r w:rsidRPr="009D590F">
        <w:rPr>
          <w:rFonts w:ascii="Times New Roman" w:hAnsi="Times New Roman"/>
          <w:lang w:val="en-US"/>
        </w:rPr>
        <w:t>[</w:t>
      </w:r>
      <w:proofErr w:type="gramEnd"/>
      <w:r w:rsidRPr="009D590F">
        <w:rPr>
          <w:rFonts w:ascii="Times New Roman" w:hAnsi="Times New Roman"/>
          <w:lang w:val="en-US"/>
        </w:rPr>
        <w:t>.</w:t>
      </w:r>
      <w:r w:rsidRPr="009D590F">
        <w:rPr>
          <w:rStyle w:val="FootnoteReference"/>
          <w:rFonts w:ascii="Times New Roman" w:hAnsi="Times New Roman"/>
        </w:rPr>
        <w:footnoteReference w:id="49"/>
      </w:r>
      <w:r w:rsidRPr="009D590F">
        <w:rPr>
          <w:rFonts w:ascii="Times New Roman" w:hAnsi="Times New Roman"/>
        </w:rPr>
        <w:t xml:space="preserve"> The back of another </w:t>
      </w:r>
      <w:r w:rsidRPr="009D590F">
        <w:rPr>
          <w:rFonts w:ascii="Times New Roman" w:hAnsi="Times New Roman"/>
          <w:i/>
        </w:rPr>
        <w:t>pavonazzetto</w:t>
      </w:r>
      <w:r w:rsidRPr="009D590F">
        <w:rPr>
          <w:rFonts w:ascii="Times New Roman" w:hAnsi="Times New Roman"/>
        </w:rPr>
        <w:t xml:space="preserve"> panel provides a further consular date, this time of AD 121 when Cn. </w:t>
      </w:r>
      <w:proofErr w:type="spellStart"/>
      <w:r w:rsidRPr="009D590F">
        <w:rPr>
          <w:rFonts w:ascii="Times New Roman" w:hAnsi="Times New Roman"/>
        </w:rPr>
        <w:t>Arrius</w:t>
      </w:r>
      <w:proofErr w:type="spellEnd"/>
      <w:r w:rsidRPr="009D590F">
        <w:rPr>
          <w:rFonts w:ascii="Times New Roman" w:hAnsi="Times New Roman"/>
        </w:rPr>
        <w:t xml:space="preserve"> Augur held the post: </w:t>
      </w:r>
    </w:p>
    <w:p w14:paraId="7CEC4D38" w14:textId="77777777" w:rsidR="00842047" w:rsidRPr="009D590F" w:rsidRDefault="00842047" w:rsidP="003271FD">
      <w:pPr>
        <w:jc w:val="both"/>
        <w:rPr>
          <w:rFonts w:ascii="Times New Roman" w:hAnsi="Times New Roman"/>
          <w:i/>
        </w:rPr>
      </w:pPr>
    </w:p>
    <w:p w14:paraId="64EE4986" w14:textId="105B590E" w:rsidR="00842047" w:rsidRPr="00814D41" w:rsidRDefault="003271FD" w:rsidP="00842047">
      <w:pPr>
        <w:jc w:val="center"/>
        <w:rPr>
          <w:rFonts w:ascii="Times New Roman" w:hAnsi="Times New Roman"/>
          <w:sz w:val="20"/>
          <w:szCs w:val="20"/>
        </w:rPr>
      </w:pPr>
      <w:r w:rsidRPr="00814D41">
        <w:rPr>
          <w:rFonts w:ascii="Times New Roman" w:hAnsi="Times New Roman"/>
          <w:i/>
          <w:sz w:val="20"/>
          <w:szCs w:val="20"/>
        </w:rPr>
        <w:t>Augur</w:t>
      </w:r>
      <w:r w:rsidRPr="00814D41">
        <w:rPr>
          <w:rFonts w:ascii="Times New Roman" w:hAnsi="Times New Roman"/>
          <w:sz w:val="20"/>
          <w:szCs w:val="20"/>
        </w:rPr>
        <w:t>(</w:t>
      </w:r>
      <w:r w:rsidRPr="00814D41">
        <w:rPr>
          <w:rFonts w:ascii="Times New Roman" w:hAnsi="Times New Roman"/>
          <w:i/>
          <w:sz w:val="20"/>
          <w:szCs w:val="20"/>
        </w:rPr>
        <w:t>e</w:t>
      </w:r>
      <w:r w:rsidRPr="00814D41">
        <w:rPr>
          <w:rFonts w:ascii="Times New Roman" w:hAnsi="Times New Roman"/>
          <w:sz w:val="20"/>
          <w:szCs w:val="20"/>
        </w:rPr>
        <w:t xml:space="preserve">) </w:t>
      </w:r>
      <w:r w:rsidRPr="00814D41">
        <w:rPr>
          <w:rFonts w:ascii="Times New Roman" w:hAnsi="Times New Roman"/>
          <w:i/>
          <w:sz w:val="20"/>
          <w:szCs w:val="20"/>
        </w:rPr>
        <w:t>co</w:t>
      </w:r>
      <w:r w:rsidRPr="00814D41">
        <w:rPr>
          <w:rFonts w:ascii="Times New Roman" w:hAnsi="Times New Roman"/>
          <w:sz w:val="20"/>
          <w:szCs w:val="20"/>
        </w:rPr>
        <w:t>(</w:t>
      </w:r>
      <w:r w:rsidRPr="00814D41">
        <w:rPr>
          <w:rFonts w:ascii="Times New Roman" w:hAnsi="Times New Roman"/>
          <w:i/>
          <w:sz w:val="20"/>
          <w:szCs w:val="20"/>
        </w:rPr>
        <w:t>n</w:t>
      </w:r>
      <w:r w:rsidRPr="00814D41">
        <w:rPr>
          <w:rFonts w:ascii="Times New Roman" w:hAnsi="Times New Roman"/>
          <w:sz w:val="20"/>
          <w:szCs w:val="20"/>
        </w:rPr>
        <w:t>)</w:t>
      </w:r>
      <w:r w:rsidRPr="00814D41">
        <w:rPr>
          <w:rFonts w:ascii="Times New Roman" w:hAnsi="Times New Roman"/>
          <w:i/>
          <w:sz w:val="20"/>
          <w:szCs w:val="20"/>
        </w:rPr>
        <w:t>s</w:t>
      </w:r>
      <w:r w:rsidRPr="00814D41">
        <w:rPr>
          <w:rFonts w:ascii="Times New Roman" w:hAnsi="Times New Roman"/>
          <w:sz w:val="20"/>
          <w:szCs w:val="20"/>
        </w:rPr>
        <w:t>(</w:t>
      </w:r>
      <w:proofErr w:type="spellStart"/>
      <w:r w:rsidRPr="00814D41">
        <w:rPr>
          <w:rFonts w:ascii="Times New Roman" w:hAnsi="Times New Roman"/>
          <w:sz w:val="20"/>
          <w:szCs w:val="20"/>
          <w:u w:val="single"/>
        </w:rPr>
        <w:t>ule</w:t>
      </w:r>
      <w:proofErr w:type="spellEnd"/>
      <w:r w:rsidRPr="00814D41">
        <w:rPr>
          <w:rFonts w:ascii="Times New Roman" w:hAnsi="Times New Roman"/>
          <w:sz w:val="20"/>
          <w:szCs w:val="20"/>
        </w:rPr>
        <w:t xml:space="preserve">) </w:t>
      </w:r>
      <w:r w:rsidRPr="00814D41">
        <w:rPr>
          <w:rFonts w:ascii="Times New Roman" w:hAnsi="Times New Roman"/>
          <w:i/>
          <w:sz w:val="20"/>
          <w:szCs w:val="20"/>
        </w:rPr>
        <w:t>L</w:t>
      </w:r>
      <w:r w:rsidRPr="00814D41">
        <w:rPr>
          <w:rFonts w:ascii="Times New Roman" w:hAnsi="Times New Roman"/>
          <w:sz w:val="20"/>
          <w:szCs w:val="20"/>
        </w:rPr>
        <w:t xml:space="preserve"> </w:t>
      </w:r>
      <w:proofErr w:type="gramStart"/>
      <w:r w:rsidRPr="00814D41">
        <w:rPr>
          <w:rFonts w:ascii="Times New Roman" w:hAnsi="Times New Roman"/>
          <w:i/>
          <w:sz w:val="20"/>
          <w:szCs w:val="20"/>
        </w:rPr>
        <w:t>Ṣ</w:t>
      </w:r>
      <w:r w:rsidRPr="00814D41">
        <w:rPr>
          <w:rFonts w:ascii="Times New Roman" w:hAnsi="Times New Roman"/>
          <w:sz w:val="20"/>
          <w:szCs w:val="20"/>
        </w:rPr>
        <w:t>[</w:t>
      </w:r>
      <w:proofErr w:type="gramEnd"/>
      <w:r w:rsidRPr="00814D41">
        <w:rPr>
          <w:rFonts w:ascii="Times New Roman" w:hAnsi="Times New Roman"/>
          <w:sz w:val="20"/>
          <w:szCs w:val="20"/>
        </w:rPr>
        <w:t>.</w:t>
      </w:r>
      <w:r w:rsidRPr="00814D41">
        <w:rPr>
          <w:rStyle w:val="FootnoteReference"/>
          <w:rFonts w:ascii="Times New Roman" w:hAnsi="Times New Roman"/>
          <w:sz w:val="20"/>
          <w:szCs w:val="20"/>
        </w:rPr>
        <w:footnoteReference w:id="50"/>
      </w:r>
    </w:p>
    <w:p w14:paraId="7B9E2487" w14:textId="77777777" w:rsidR="00842047" w:rsidRPr="009D590F" w:rsidRDefault="00842047" w:rsidP="003271FD">
      <w:pPr>
        <w:jc w:val="both"/>
        <w:rPr>
          <w:rFonts w:ascii="Times New Roman" w:hAnsi="Times New Roman"/>
        </w:rPr>
      </w:pPr>
    </w:p>
    <w:p w14:paraId="7B7095B1" w14:textId="391273D4" w:rsidR="003271FD" w:rsidRPr="009D590F" w:rsidRDefault="003271FD" w:rsidP="003271FD">
      <w:pPr>
        <w:jc w:val="both"/>
        <w:rPr>
          <w:rFonts w:ascii="Times New Roman" w:hAnsi="Times New Roman"/>
        </w:rPr>
      </w:pPr>
      <w:r w:rsidRPr="009D590F">
        <w:rPr>
          <w:rFonts w:ascii="Times New Roman" w:hAnsi="Times New Roman"/>
        </w:rPr>
        <w:t xml:space="preserve">The consular date also provides us with the </w:t>
      </w:r>
      <w:r w:rsidRPr="009D590F">
        <w:rPr>
          <w:rFonts w:ascii="Times New Roman" w:hAnsi="Times New Roman"/>
          <w:i/>
        </w:rPr>
        <w:t xml:space="preserve">terminus post </w:t>
      </w:r>
      <w:proofErr w:type="spellStart"/>
      <w:r w:rsidRPr="009D590F">
        <w:rPr>
          <w:rFonts w:ascii="Times New Roman" w:hAnsi="Times New Roman"/>
          <w:i/>
        </w:rPr>
        <w:t>quem</w:t>
      </w:r>
      <w:proofErr w:type="spellEnd"/>
      <w:r w:rsidRPr="009D590F">
        <w:rPr>
          <w:rFonts w:ascii="Times New Roman" w:hAnsi="Times New Roman"/>
        </w:rPr>
        <w:t xml:space="preserve"> for the extensive re</w:t>
      </w:r>
      <w:r w:rsidR="00FF51D4" w:rsidRPr="009D590F">
        <w:rPr>
          <w:rFonts w:ascii="Times New Roman" w:hAnsi="Times New Roman"/>
        </w:rPr>
        <w:t>furbishment and aggrandizement o</w:t>
      </w:r>
      <w:r w:rsidRPr="009D590F">
        <w:rPr>
          <w:rFonts w:ascii="Times New Roman" w:hAnsi="Times New Roman"/>
        </w:rPr>
        <w:t xml:space="preserve">f ‘House 6’. Other </w:t>
      </w:r>
      <w:r w:rsidRPr="009D590F">
        <w:rPr>
          <w:rFonts w:ascii="Times New Roman" w:hAnsi="Times New Roman"/>
          <w:i/>
        </w:rPr>
        <w:t>pavonazzetto</w:t>
      </w:r>
      <w:r w:rsidRPr="009D590F">
        <w:rPr>
          <w:rFonts w:ascii="Times New Roman" w:hAnsi="Times New Roman"/>
        </w:rPr>
        <w:t xml:space="preserve">(?) panels showed the abbreviation for the quarry section: </w:t>
      </w:r>
      <w:r w:rsidRPr="009D590F">
        <w:rPr>
          <w:rFonts w:ascii="Times New Roman" w:hAnsi="Times New Roman"/>
          <w:i/>
        </w:rPr>
        <w:t>b</w:t>
      </w:r>
      <w:r w:rsidRPr="009D590F">
        <w:rPr>
          <w:rFonts w:ascii="Times New Roman" w:hAnsi="Times New Roman"/>
        </w:rPr>
        <w:t>(</w:t>
      </w:r>
      <w:proofErr w:type="spellStart"/>
      <w:r w:rsidRPr="009D590F">
        <w:rPr>
          <w:rFonts w:ascii="Times New Roman" w:hAnsi="Times New Roman"/>
          <w:i/>
        </w:rPr>
        <w:t>racchio</w:t>
      </w:r>
      <w:proofErr w:type="spellEnd"/>
      <w:r w:rsidRPr="009D590F">
        <w:rPr>
          <w:rFonts w:ascii="Times New Roman" w:hAnsi="Times New Roman"/>
        </w:rPr>
        <w:t xml:space="preserve">) </w:t>
      </w:r>
      <w:r w:rsidRPr="009D590F">
        <w:rPr>
          <w:rFonts w:ascii="Times New Roman" w:hAnsi="Times New Roman"/>
          <w:i/>
        </w:rPr>
        <w:t>quart</w:t>
      </w:r>
      <w:r w:rsidRPr="009D590F">
        <w:rPr>
          <w:rFonts w:ascii="Times New Roman" w:hAnsi="Times New Roman"/>
        </w:rPr>
        <w:t>(</w:t>
      </w:r>
      <w:r w:rsidRPr="009D590F">
        <w:rPr>
          <w:rFonts w:ascii="Times New Roman" w:hAnsi="Times New Roman"/>
          <w:i/>
        </w:rPr>
        <w:t>o</w:t>
      </w:r>
      <w:r w:rsidRPr="009D590F">
        <w:rPr>
          <w:rFonts w:ascii="Times New Roman" w:hAnsi="Times New Roman"/>
        </w:rPr>
        <w:t>).</w:t>
      </w:r>
      <w:r w:rsidRPr="009D590F">
        <w:rPr>
          <w:rStyle w:val="FootnoteReference"/>
          <w:rFonts w:ascii="Times New Roman" w:hAnsi="Times New Roman"/>
        </w:rPr>
        <w:footnoteReference w:id="51"/>
      </w:r>
      <w:r w:rsidRPr="009D590F">
        <w:rPr>
          <w:rFonts w:ascii="Times New Roman" w:hAnsi="Times New Roman"/>
        </w:rPr>
        <w:t xml:space="preserve"> Furthermore, a lead seal was found inserted in a cavity of a further </w:t>
      </w:r>
      <w:r w:rsidRPr="009D590F">
        <w:rPr>
          <w:rFonts w:ascii="Times New Roman" w:hAnsi="Times New Roman"/>
          <w:i/>
        </w:rPr>
        <w:t>pavonazzetto</w:t>
      </w:r>
      <w:r w:rsidRPr="009D590F">
        <w:rPr>
          <w:rFonts w:ascii="Times New Roman" w:hAnsi="Times New Roman"/>
        </w:rPr>
        <w:t xml:space="preserve"> revetment panel. </w:t>
      </w:r>
      <w:proofErr w:type="spellStart"/>
      <w:r w:rsidRPr="009D590F">
        <w:rPr>
          <w:rFonts w:ascii="Times New Roman" w:hAnsi="Times New Roman"/>
        </w:rPr>
        <w:t>Taeuber</w:t>
      </w:r>
      <w:proofErr w:type="spellEnd"/>
      <w:r w:rsidRPr="009D590F">
        <w:rPr>
          <w:rFonts w:ascii="Times New Roman" w:hAnsi="Times New Roman"/>
        </w:rPr>
        <w:t xml:space="preserve"> deciphered LIBE /</w:t>
      </w:r>
      <w:r w:rsidR="00BA7D6C">
        <w:rPr>
          <w:rFonts w:ascii="Times New Roman" w:hAnsi="Times New Roman"/>
        </w:rPr>
        <w:t xml:space="preserve"> AR / ES, but other readings remain </w:t>
      </w:r>
      <w:r w:rsidRPr="009D590F">
        <w:rPr>
          <w:rFonts w:ascii="Times New Roman" w:hAnsi="Times New Roman"/>
        </w:rPr>
        <w:t>possible.</w:t>
      </w:r>
      <w:r w:rsidRPr="009D590F">
        <w:rPr>
          <w:rStyle w:val="FootnoteReference"/>
          <w:rFonts w:ascii="Times New Roman" w:hAnsi="Times New Roman"/>
        </w:rPr>
        <w:footnoteReference w:id="52"/>
      </w:r>
      <w:r w:rsidRPr="009D590F">
        <w:rPr>
          <w:rFonts w:ascii="Times New Roman" w:hAnsi="Times New Roman"/>
        </w:rPr>
        <w:t xml:space="preserve"> </w:t>
      </w:r>
    </w:p>
    <w:p w14:paraId="7062F0B5" w14:textId="22CF81C3" w:rsidR="00A20BF3" w:rsidRPr="009D590F" w:rsidRDefault="003271FD" w:rsidP="00A20BF3">
      <w:pPr>
        <w:jc w:val="both"/>
        <w:rPr>
          <w:rFonts w:ascii="Times New Roman" w:hAnsi="Times New Roman"/>
        </w:rPr>
      </w:pPr>
      <w:r w:rsidRPr="009D590F">
        <w:rPr>
          <w:rFonts w:ascii="Times New Roman" w:hAnsi="Times New Roman"/>
        </w:rPr>
        <w:tab/>
        <w:t xml:space="preserve">All inscriptions noted so far were carved into the stone; one graffito on the back of a pavonazzetto panel, however, had been applied in red paint and reads </w:t>
      </w:r>
      <w:proofErr w:type="spellStart"/>
      <w:r w:rsidRPr="009D590F">
        <w:rPr>
          <w:rFonts w:ascii="Times New Roman" w:hAnsi="Times New Roman"/>
          <w:i/>
        </w:rPr>
        <w:t>Furi</w:t>
      </w:r>
      <w:proofErr w:type="spellEnd"/>
      <w:r w:rsidRPr="009D590F">
        <w:rPr>
          <w:rFonts w:ascii="Times New Roman" w:hAnsi="Times New Roman"/>
          <w:i/>
        </w:rPr>
        <w:t xml:space="preserve"> </w:t>
      </w:r>
      <w:proofErr w:type="spellStart"/>
      <w:r w:rsidRPr="009D590F">
        <w:rPr>
          <w:rFonts w:ascii="Times New Roman" w:hAnsi="Times New Roman"/>
          <w:i/>
        </w:rPr>
        <w:t>Apti</w:t>
      </w:r>
      <w:proofErr w:type="spellEnd"/>
      <w:r w:rsidRPr="009D590F">
        <w:rPr>
          <w:rFonts w:ascii="Times New Roman" w:hAnsi="Times New Roman"/>
        </w:rPr>
        <w:t xml:space="preserve">, ‘of </w:t>
      </w:r>
      <w:proofErr w:type="spellStart"/>
      <w:r w:rsidRPr="009D590F">
        <w:rPr>
          <w:rFonts w:ascii="Times New Roman" w:hAnsi="Times New Roman"/>
        </w:rPr>
        <w:t>Furius</w:t>
      </w:r>
      <w:proofErr w:type="spellEnd"/>
      <w:r w:rsidRPr="009D590F">
        <w:rPr>
          <w:rFonts w:ascii="Times New Roman" w:hAnsi="Times New Roman"/>
        </w:rPr>
        <w:t xml:space="preserve"> </w:t>
      </w:r>
      <w:proofErr w:type="spellStart"/>
      <w:r w:rsidRPr="009D590F">
        <w:rPr>
          <w:rFonts w:ascii="Times New Roman" w:hAnsi="Times New Roman"/>
        </w:rPr>
        <w:t>Aptus</w:t>
      </w:r>
      <w:proofErr w:type="spellEnd"/>
      <w:r w:rsidRPr="009D590F">
        <w:rPr>
          <w:rFonts w:ascii="Times New Roman" w:hAnsi="Times New Roman"/>
        </w:rPr>
        <w:t>’.</w:t>
      </w:r>
      <w:r w:rsidRPr="009D590F">
        <w:rPr>
          <w:rStyle w:val="FootnoteReference"/>
          <w:rFonts w:ascii="Times New Roman" w:hAnsi="Times New Roman"/>
        </w:rPr>
        <w:footnoteReference w:id="53"/>
      </w:r>
      <w:r w:rsidRPr="009D590F">
        <w:rPr>
          <w:rFonts w:ascii="Times New Roman" w:hAnsi="Times New Roman"/>
        </w:rPr>
        <w:t xml:space="preserve"> According to the excavators</w:t>
      </w:r>
      <w:r w:rsidR="00962AA1">
        <w:rPr>
          <w:rFonts w:ascii="Times New Roman" w:hAnsi="Times New Roman"/>
        </w:rPr>
        <w:t>,</w:t>
      </w:r>
      <w:r w:rsidRPr="009D590F">
        <w:rPr>
          <w:rFonts w:ascii="Times New Roman" w:hAnsi="Times New Roman"/>
        </w:rPr>
        <w:t xml:space="preserve"> a C. Flavius </w:t>
      </w:r>
      <w:proofErr w:type="spellStart"/>
      <w:r w:rsidRPr="009D590F">
        <w:rPr>
          <w:rFonts w:ascii="Times New Roman" w:hAnsi="Times New Roman"/>
        </w:rPr>
        <w:t>Furius</w:t>
      </w:r>
      <w:proofErr w:type="spellEnd"/>
      <w:r w:rsidRPr="009D590F">
        <w:rPr>
          <w:rFonts w:ascii="Times New Roman" w:hAnsi="Times New Roman"/>
        </w:rPr>
        <w:t xml:space="preserve"> </w:t>
      </w:r>
      <w:proofErr w:type="spellStart"/>
      <w:r w:rsidRPr="009D590F">
        <w:rPr>
          <w:rFonts w:ascii="Times New Roman" w:hAnsi="Times New Roman"/>
        </w:rPr>
        <w:t>Aptus</w:t>
      </w:r>
      <w:proofErr w:type="spellEnd"/>
      <w:r w:rsidRPr="009D590F">
        <w:rPr>
          <w:rFonts w:ascii="Times New Roman" w:hAnsi="Times New Roman"/>
        </w:rPr>
        <w:t xml:space="preserve"> is li</w:t>
      </w:r>
      <w:r w:rsidR="00EA0E64">
        <w:rPr>
          <w:rFonts w:ascii="Times New Roman" w:hAnsi="Times New Roman"/>
        </w:rPr>
        <w:t>kely to be the owner of unit 6, whose full name is</w:t>
      </w:r>
      <w:r w:rsidRPr="009D590F">
        <w:rPr>
          <w:rFonts w:ascii="Times New Roman" w:hAnsi="Times New Roman"/>
        </w:rPr>
        <w:t xml:space="preserve"> inscribed pediment on </w:t>
      </w:r>
      <w:r w:rsidR="00EA0E64">
        <w:rPr>
          <w:rFonts w:ascii="Times New Roman" w:hAnsi="Times New Roman"/>
        </w:rPr>
        <w:t>a</w:t>
      </w:r>
      <w:r w:rsidRPr="009D590F">
        <w:rPr>
          <w:rFonts w:ascii="Times New Roman" w:hAnsi="Times New Roman"/>
        </w:rPr>
        <w:t xml:space="preserve"> fountain pilaster in peristyle court 31a</w:t>
      </w:r>
      <w:r w:rsidR="00EA0E64">
        <w:rPr>
          <w:rFonts w:ascii="Times New Roman" w:hAnsi="Times New Roman"/>
        </w:rPr>
        <w:t>.</w:t>
      </w:r>
      <w:r w:rsidRPr="009D590F">
        <w:rPr>
          <w:rFonts w:ascii="Times New Roman" w:hAnsi="Times New Roman"/>
        </w:rPr>
        <w:t xml:space="preserve"> This </w:t>
      </w:r>
      <w:proofErr w:type="spellStart"/>
      <w:r w:rsidRPr="009D590F">
        <w:rPr>
          <w:rFonts w:ascii="Times New Roman" w:hAnsi="Times New Roman"/>
        </w:rPr>
        <w:t>Furius</w:t>
      </w:r>
      <w:proofErr w:type="spellEnd"/>
      <w:r w:rsidRPr="009D590F">
        <w:rPr>
          <w:rFonts w:ascii="Times New Roman" w:hAnsi="Times New Roman"/>
        </w:rPr>
        <w:t xml:space="preserve"> </w:t>
      </w:r>
      <w:proofErr w:type="spellStart"/>
      <w:r w:rsidRPr="009D590F">
        <w:rPr>
          <w:rFonts w:ascii="Times New Roman" w:hAnsi="Times New Roman"/>
        </w:rPr>
        <w:t>Aptus</w:t>
      </w:r>
      <w:proofErr w:type="spellEnd"/>
      <w:r w:rsidRPr="009D590F">
        <w:rPr>
          <w:rFonts w:ascii="Times New Roman" w:hAnsi="Times New Roman"/>
        </w:rPr>
        <w:t xml:space="preserve"> is likely to be the instigator of the significant refurbishment in ‘House 6’.</w:t>
      </w:r>
      <w:r w:rsidRPr="009D590F">
        <w:rPr>
          <w:rStyle w:val="FootnoteReference"/>
          <w:rFonts w:ascii="Times New Roman" w:hAnsi="Times New Roman"/>
        </w:rPr>
        <w:footnoteReference w:id="54"/>
      </w:r>
      <w:r w:rsidR="00A20BF3" w:rsidRPr="009D590F">
        <w:rPr>
          <w:rFonts w:ascii="Times New Roman" w:hAnsi="Times New Roman"/>
        </w:rPr>
        <w:t xml:space="preserve"> </w:t>
      </w:r>
    </w:p>
    <w:p w14:paraId="4E21C059" w14:textId="7B48C90A" w:rsidR="00A20BF3" w:rsidRPr="009D590F" w:rsidRDefault="00EA0E64" w:rsidP="00EA0E64">
      <w:pPr>
        <w:tabs>
          <w:tab w:val="left" w:pos="4612"/>
        </w:tabs>
        <w:jc w:val="both"/>
        <w:rPr>
          <w:rFonts w:ascii="Times New Roman" w:hAnsi="Times New Roman"/>
        </w:rPr>
      </w:pPr>
      <w:r>
        <w:rPr>
          <w:rFonts w:ascii="Times New Roman" w:hAnsi="Times New Roman"/>
        </w:rPr>
        <w:tab/>
      </w:r>
    </w:p>
    <w:p w14:paraId="539D2EED" w14:textId="44A22D64" w:rsidR="00FF51D4" w:rsidRPr="009D590F" w:rsidRDefault="003271FD" w:rsidP="00A20BF3">
      <w:pPr>
        <w:jc w:val="both"/>
        <w:rPr>
          <w:rFonts w:ascii="Times New Roman" w:hAnsi="Times New Roman"/>
        </w:rPr>
      </w:pPr>
      <w:r w:rsidRPr="009D590F">
        <w:rPr>
          <w:rFonts w:ascii="Times New Roman" w:hAnsi="Times New Roman"/>
        </w:rPr>
        <w:lastRenderedPageBreak/>
        <w:t xml:space="preserve">The find of </w:t>
      </w:r>
      <w:r w:rsidRPr="009D590F">
        <w:rPr>
          <w:rFonts w:ascii="Times New Roman" w:hAnsi="Times New Roman"/>
          <w:i/>
        </w:rPr>
        <w:t>pavonazzetto</w:t>
      </w:r>
      <w:r w:rsidRPr="009D590F">
        <w:rPr>
          <w:rFonts w:ascii="Times New Roman" w:hAnsi="Times New Roman"/>
        </w:rPr>
        <w:t xml:space="preserve"> panels inscribed with quarry markings in a private context</w:t>
      </w:r>
      <w:r w:rsidR="00FF51D4" w:rsidRPr="009D590F">
        <w:rPr>
          <w:rFonts w:ascii="Times New Roman" w:hAnsi="Times New Roman"/>
        </w:rPr>
        <w:t xml:space="preserve"> in Ephesu</w:t>
      </w:r>
      <w:r w:rsidRPr="009D590F">
        <w:rPr>
          <w:rFonts w:ascii="Times New Roman" w:hAnsi="Times New Roman"/>
        </w:rPr>
        <w:t xml:space="preserve">s raises </w:t>
      </w:r>
      <w:r w:rsidR="00A20BF3" w:rsidRPr="009D590F">
        <w:rPr>
          <w:rFonts w:ascii="Times New Roman" w:hAnsi="Times New Roman"/>
        </w:rPr>
        <w:t xml:space="preserve">two </w:t>
      </w:r>
      <w:r w:rsidRPr="009D590F">
        <w:rPr>
          <w:rFonts w:ascii="Times New Roman" w:hAnsi="Times New Roman"/>
        </w:rPr>
        <w:t>important questions</w:t>
      </w:r>
      <w:r w:rsidR="00A20BF3" w:rsidRPr="009D590F">
        <w:rPr>
          <w:rFonts w:ascii="Times New Roman" w:hAnsi="Times New Roman"/>
        </w:rPr>
        <w:t>: H</w:t>
      </w:r>
      <w:r w:rsidRPr="009D590F">
        <w:rPr>
          <w:rFonts w:ascii="Times New Roman" w:hAnsi="Times New Roman"/>
        </w:rPr>
        <w:t xml:space="preserve">ow </w:t>
      </w:r>
      <w:r w:rsidR="00A20BF3" w:rsidRPr="009D590F">
        <w:rPr>
          <w:rFonts w:ascii="Times New Roman" w:hAnsi="Times New Roman"/>
        </w:rPr>
        <w:t xml:space="preserve">did </w:t>
      </w:r>
      <w:proofErr w:type="spellStart"/>
      <w:r w:rsidRPr="009D590F">
        <w:rPr>
          <w:rFonts w:ascii="Times New Roman" w:hAnsi="Times New Roman"/>
        </w:rPr>
        <w:t>Furius</w:t>
      </w:r>
      <w:proofErr w:type="spellEnd"/>
      <w:r w:rsidRPr="009D590F">
        <w:rPr>
          <w:rFonts w:ascii="Times New Roman" w:hAnsi="Times New Roman"/>
        </w:rPr>
        <w:t xml:space="preserve"> </w:t>
      </w:r>
      <w:proofErr w:type="spellStart"/>
      <w:r w:rsidRPr="009D590F">
        <w:rPr>
          <w:rFonts w:ascii="Times New Roman" w:hAnsi="Times New Roman"/>
        </w:rPr>
        <w:t>Aptus</w:t>
      </w:r>
      <w:proofErr w:type="spellEnd"/>
      <w:r w:rsidRPr="009D590F">
        <w:rPr>
          <w:rFonts w:ascii="Times New Roman" w:hAnsi="Times New Roman"/>
        </w:rPr>
        <w:t xml:space="preserve"> </w:t>
      </w:r>
      <w:r w:rsidR="00A20BF3" w:rsidRPr="009D590F">
        <w:rPr>
          <w:rFonts w:ascii="Times New Roman" w:hAnsi="Times New Roman"/>
        </w:rPr>
        <w:t>gain</w:t>
      </w:r>
      <w:r w:rsidRPr="009D590F">
        <w:rPr>
          <w:rFonts w:ascii="Times New Roman" w:hAnsi="Times New Roman"/>
        </w:rPr>
        <w:t xml:space="preserve"> access to or </w:t>
      </w:r>
      <w:r w:rsidR="00A20BF3" w:rsidRPr="009D590F">
        <w:rPr>
          <w:rFonts w:ascii="Times New Roman" w:hAnsi="Times New Roman"/>
        </w:rPr>
        <w:t xml:space="preserve">acquire these specific marbles? And how does the ostentatious display of </w:t>
      </w:r>
      <w:r w:rsidR="00A20BF3" w:rsidRPr="009D590F">
        <w:rPr>
          <w:rFonts w:ascii="Times New Roman" w:hAnsi="Times New Roman"/>
          <w:i/>
        </w:rPr>
        <w:t>pavonazzetto</w:t>
      </w:r>
      <w:r w:rsidR="00A20BF3" w:rsidRPr="009D590F">
        <w:rPr>
          <w:rFonts w:ascii="Times New Roman" w:hAnsi="Times New Roman"/>
        </w:rPr>
        <w:t xml:space="preserve"> by a wealthy provincial square with the notion of </w:t>
      </w:r>
      <w:proofErr w:type="spellStart"/>
      <w:r w:rsidR="00A20BF3" w:rsidRPr="009D590F">
        <w:rPr>
          <w:rFonts w:ascii="Times New Roman" w:hAnsi="Times New Roman"/>
          <w:i/>
        </w:rPr>
        <w:t>marmor</w:t>
      </w:r>
      <w:proofErr w:type="spellEnd"/>
      <w:r w:rsidR="00A20BF3" w:rsidRPr="009D590F">
        <w:rPr>
          <w:rFonts w:ascii="Times New Roman" w:hAnsi="Times New Roman"/>
          <w:i/>
        </w:rPr>
        <w:t xml:space="preserve"> </w:t>
      </w:r>
      <w:proofErr w:type="spellStart"/>
      <w:r w:rsidR="00A20BF3" w:rsidRPr="009D590F">
        <w:rPr>
          <w:rFonts w:ascii="Times New Roman" w:hAnsi="Times New Roman"/>
          <w:i/>
        </w:rPr>
        <w:t>Phrygium</w:t>
      </w:r>
      <w:proofErr w:type="spellEnd"/>
      <w:r w:rsidR="00A20BF3" w:rsidRPr="009D590F">
        <w:rPr>
          <w:rFonts w:ascii="Times New Roman" w:hAnsi="Times New Roman"/>
        </w:rPr>
        <w:t xml:space="preserve"> and other coloured marbles being exclusive to the emperor?</w:t>
      </w:r>
      <w:r w:rsidR="00EA0E64">
        <w:rPr>
          <w:rFonts w:ascii="Times New Roman" w:hAnsi="Times New Roman"/>
        </w:rPr>
        <w:t xml:space="preserve"> </w:t>
      </w:r>
      <w:r w:rsidR="00A20BF3" w:rsidRPr="009D590F">
        <w:rPr>
          <w:rFonts w:ascii="Times New Roman" w:hAnsi="Times New Roman"/>
        </w:rPr>
        <w:t xml:space="preserve">Eck observed that during the Principate the restrictions to self-presentation by means of honorific statues and buildings by the aristocratic elite in public </w:t>
      </w:r>
      <w:r w:rsidR="00EA7AE5" w:rsidRPr="009D590F">
        <w:rPr>
          <w:rFonts w:ascii="Times New Roman" w:hAnsi="Times New Roman"/>
        </w:rPr>
        <w:t>space</w:t>
      </w:r>
      <w:r w:rsidR="00FF51D4" w:rsidRPr="009D590F">
        <w:rPr>
          <w:rFonts w:ascii="Times New Roman" w:hAnsi="Times New Roman"/>
        </w:rPr>
        <w:t>s</w:t>
      </w:r>
      <w:r w:rsidR="00EA7AE5" w:rsidRPr="009D590F">
        <w:rPr>
          <w:rFonts w:ascii="Times New Roman" w:hAnsi="Times New Roman"/>
        </w:rPr>
        <w:t xml:space="preserve">, </w:t>
      </w:r>
      <w:r w:rsidR="00A20BF3" w:rsidRPr="009D590F">
        <w:rPr>
          <w:rFonts w:ascii="Times New Roman" w:hAnsi="Times New Roman"/>
        </w:rPr>
        <w:t xml:space="preserve">which </w:t>
      </w:r>
      <w:r w:rsidR="00EA7AE5" w:rsidRPr="009D590F">
        <w:rPr>
          <w:rFonts w:ascii="Times New Roman" w:hAnsi="Times New Roman"/>
        </w:rPr>
        <w:t>are</w:t>
      </w:r>
      <w:r w:rsidR="00A20BF3" w:rsidRPr="009D590F">
        <w:rPr>
          <w:rFonts w:ascii="Times New Roman" w:hAnsi="Times New Roman"/>
        </w:rPr>
        <w:t xml:space="preserve"> evident in the city of Rome</w:t>
      </w:r>
      <w:r w:rsidR="00EA7AE5" w:rsidRPr="009D590F">
        <w:rPr>
          <w:rFonts w:ascii="Times New Roman" w:hAnsi="Times New Roman"/>
        </w:rPr>
        <w:t>,</w:t>
      </w:r>
      <w:r w:rsidR="00A20BF3" w:rsidRPr="009D590F">
        <w:rPr>
          <w:rFonts w:ascii="Times New Roman" w:hAnsi="Times New Roman"/>
        </w:rPr>
        <w:t xml:space="preserve"> d</w:t>
      </w:r>
      <w:r w:rsidR="0063159A" w:rsidRPr="009D590F">
        <w:rPr>
          <w:rFonts w:ascii="Times New Roman" w:hAnsi="Times New Roman"/>
        </w:rPr>
        <w:t xml:space="preserve">id not apply </w:t>
      </w:r>
      <w:r w:rsidR="00FF51D4" w:rsidRPr="009D590F">
        <w:rPr>
          <w:rFonts w:ascii="Times New Roman" w:hAnsi="Times New Roman"/>
        </w:rPr>
        <w:t>in Italy or the provinces</w:t>
      </w:r>
      <w:r w:rsidR="0063159A" w:rsidRPr="009D590F">
        <w:rPr>
          <w:rFonts w:ascii="Times New Roman" w:hAnsi="Times New Roman"/>
        </w:rPr>
        <w:t xml:space="preserve">. In Rome, </w:t>
      </w:r>
      <w:r w:rsidR="00A20BF3" w:rsidRPr="009D590F">
        <w:rPr>
          <w:rFonts w:ascii="Times New Roman" w:hAnsi="Times New Roman"/>
        </w:rPr>
        <w:t xml:space="preserve">senators </w:t>
      </w:r>
      <w:r w:rsidR="0072590A">
        <w:rPr>
          <w:rFonts w:ascii="Times New Roman" w:hAnsi="Times New Roman"/>
        </w:rPr>
        <w:t>who accepted</w:t>
      </w:r>
      <w:r w:rsidR="00297A44" w:rsidRPr="009D590F">
        <w:rPr>
          <w:rFonts w:ascii="Times New Roman" w:hAnsi="Times New Roman"/>
        </w:rPr>
        <w:t xml:space="preserve"> honorific monuments from cli</w:t>
      </w:r>
      <w:r w:rsidR="00DD3F86">
        <w:rPr>
          <w:rFonts w:ascii="Times New Roman" w:hAnsi="Times New Roman"/>
        </w:rPr>
        <w:t>ents and provincial communities</w:t>
      </w:r>
      <w:r w:rsidR="00297A44" w:rsidRPr="009D590F">
        <w:rPr>
          <w:rFonts w:ascii="Times New Roman" w:hAnsi="Times New Roman"/>
        </w:rPr>
        <w:t xml:space="preserve"> </w:t>
      </w:r>
      <w:r w:rsidR="00A20BF3" w:rsidRPr="009D590F">
        <w:rPr>
          <w:rFonts w:ascii="Times New Roman" w:hAnsi="Times New Roman"/>
        </w:rPr>
        <w:t xml:space="preserve">were limited to the domestic sphere and their </w:t>
      </w:r>
      <w:r w:rsidR="00FF51D4" w:rsidRPr="009D590F">
        <w:rPr>
          <w:rFonts w:ascii="Times New Roman" w:hAnsi="Times New Roman"/>
        </w:rPr>
        <w:t xml:space="preserve">private </w:t>
      </w:r>
      <w:r w:rsidR="00A20BF3" w:rsidRPr="009D590F">
        <w:rPr>
          <w:rFonts w:ascii="Times New Roman" w:hAnsi="Times New Roman"/>
        </w:rPr>
        <w:t>gardens</w:t>
      </w:r>
      <w:r w:rsidR="0072590A">
        <w:rPr>
          <w:rFonts w:ascii="Times New Roman" w:hAnsi="Times New Roman"/>
        </w:rPr>
        <w:t xml:space="preserve"> when displaying these honours</w:t>
      </w:r>
      <w:r w:rsidR="00297A44" w:rsidRPr="009D590F">
        <w:rPr>
          <w:rFonts w:ascii="Times New Roman" w:hAnsi="Times New Roman"/>
        </w:rPr>
        <w:t>.</w:t>
      </w:r>
      <w:r w:rsidR="00A20BF3" w:rsidRPr="009D590F">
        <w:rPr>
          <w:rStyle w:val="FootnoteReference"/>
          <w:rFonts w:ascii="Times New Roman" w:hAnsi="Times New Roman"/>
        </w:rPr>
        <w:footnoteReference w:id="55"/>
      </w:r>
      <w:r w:rsidR="00A20BF3" w:rsidRPr="009D590F">
        <w:rPr>
          <w:rFonts w:ascii="Times New Roman" w:hAnsi="Times New Roman"/>
        </w:rPr>
        <w:t xml:space="preserve"> </w:t>
      </w:r>
      <w:r w:rsidR="00FF51D4" w:rsidRPr="009D590F">
        <w:rPr>
          <w:rFonts w:ascii="Times New Roman" w:hAnsi="Times New Roman"/>
        </w:rPr>
        <w:t>In the public places of Italian and provincial towns senators, equestrians, and local elites funded h</w:t>
      </w:r>
      <w:r w:rsidR="00A20BF3" w:rsidRPr="009D590F">
        <w:rPr>
          <w:rFonts w:ascii="Times New Roman" w:hAnsi="Times New Roman"/>
        </w:rPr>
        <w:t xml:space="preserve">onorific statues and public buildings, often in direct competition with ‘imperial’ buildings and statues. </w:t>
      </w:r>
      <w:r w:rsidR="00FF51D4" w:rsidRPr="009D590F">
        <w:rPr>
          <w:rFonts w:ascii="Times New Roman" w:hAnsi="Times New Roman"/>
        </w:rPr>
        <w:t xml:space="preserve">The </w:t>
      </w:r>
      <w:r w:rsidR="00A20BF3" w:rsidRPr="009D590F">
        <w:rPr>
          <w:rFonts w:ascii="Times New Roman" w:hAnsi="Times New Roman"/>
        </w:rPr>
        <w:t>most notable example</w:t>
      </w:r>
      <w:r w:rsidR="00FF51D4" w:rsidRPr="009D590F">
        <w:rPr>
          <w:rFonts w:ascii="Times New Roman" w:hAnsi="Times New Roman"/>
        </w:rPr>
        <w:t xml:space="preserve"> in Italy</w:t>
      </w:r>
      <w:r w:rsidR="00A20BF3" w:rsidRPr="009D590F">
        <w:rPr>
          <w:rFonts w:ascii="Times New Roman" w:hAnsi="Times New Roman"/>
        </w:rPr>
        <w:t xml:space="preserve"> is M. </w:t>
      </w:r>
      <w:proofErr w:type="spellStart"/>
      <w:r w:rsidR="00A20BF3" w:rsidRPr="009D590F">
        <w:rPr>
          <w:rFonts w:ascii="Times New Roman" w:hAnsi="Times New Roman"/>
        </w:rPr>
        <w:t>N</w:t>
      </w:r>
      <w:r w:rsidR="00861D55" w:rsidRPr="009D590F">
        <w:rPr>
          <w:rFonts w:ascii="Times New Roman" w:hAnsi="Times New Roman"/>
        </w:rPr>
        <w:t>onius</w:t>
      </w:r>
      <w:proofErr w:type="spellEnd"/>
      <w:r w:rsidR="00861D55" w:rsidRPr="009D590F">
        <w:rPr>
          <w:rFonts w:ascii="Times New Roman" w:hAnsi="Times New Roman"/>
        </w:rPr>
        <w:t xml:space="preserve"> </w:t>
      </w:r>
      <w:proofErr w:type="spellStart"/>
      <w:r w:rsidR="00861D55" w:rsidRPr="009D590F">
        <w:rPr>
          <w:rFonts w:ascii="Times New Roman" w:hAnsi="Times New Roman"/>
        </w:rPr>
        <w:t>Balbus</w:t>
      </w:r>
      <w:proofErr w:type="spellEnd"/>
      <w:r w:rsidR="00861D55" w:rsidRPr="009D590F">
        <w:rPr>
          <w:rFonts w:ascii="Times New Roman" w:hAnsi="Times New Roman"/>
        </w:rPr>
        <w:t xml:space="preserve">, whose statues are </w:t>
      </w:r>
      <w:r w:rsidR="00DD3F86">
        <w:rPr>
          <w:rFonts w:ascii="Times New Roman" w:hAnsi="Times New Roman"/>
        </w:rPr>
        <w:t>omni</w:t>
      </w:r>
      <w:r w:rsidR="00A20BF3" w:rsidRPr="009D590F">
        <w:rPr>
          <w:rFonts w:ascii="Times New Roman" w:hAnsi="Times New Roman"/>
        </w:rPr>
        <w:t xml:space="preserve">present </w:t>
      </w:r>
      <w:r w:rsidR="00FF51D4" w:rsidRPr="009D590F">
        <w:rPr>
          <w:rFonts w:ascii="Times New Roman" w:hAnsi="Times New Roman"/>
        </w:rPr>
        <w:t>throughout</w:t>
      </w:r>
      <w:r w:rsidR="00065314" w:rsidRPr="009D590F">
        <w:rPr>
          <w:rFonts w:ascii="Times New Roman" w:hAnsi="Times New Roman"/>
        </w:rPr>
        <w:t xml:space="preserve"> </w:t>
      </w:r>
      <w:r w:rsidR="00A20BF3" w:rsidRPr="009D590F">
        <w:rPr>
          <w:rFonts w:ascii="Times New Roman" w:hAnsi="Times New Roman"/>
        </w:rPr>
        <w:t xml:space="preserve">Herculaneum. </w:t>
      </w:r>
      <w:r w:rsidR="00FF51D4" w:rsidRPr="009D590F">
        <w:rPr>
          <w:rFonts w:ascii="Times New Roman" w:hAnsi="Times New Roman"/>
        </w:rPr>
        <w:t xml:space="preserve">Even more conspicuous are provincial forms of self-presentation where </w:t>
      </w:r>
      <w:r w:rsidR="00914BAB" w:rsidRPr="009D590F">
        <w:rPr>
          <w:rFonts w:ascii="Times New Roman" w:hAnsi="Times New Roman"/>
        </w:rPr>
        <w:t xml:space="preserve">senators </w:t>
      </w:r>
      <w:r w:rsidR="00FF51D4" w:rsidRPr="009D590F">
        <w:rPr>
          <w:rFonts w:ascii="Times New Roman" w:hAnsi="Times New Roman"/>
        </w:rPr>
        <w:t>have themselves monumentalised riding</w:t>
      </w:r>
      <w:r w:rsidR="00914BAB" w:rsidRPr="009D590F">
        <w:rPr>
          <w:rFonts w:ascii="Times New Roman" w:hAnsi="Times New Roman"/>
        </w:rPr>
        <w:t xml:space="preserve"> horses or </w:t>
      </w:r>
      <w:r w:rsidR="00FF51D4" w:rsidRPr="009D590F">
        <w:rPr>
          <w:rFonts w:ascii="Times New Roman" w:hAnsi="Times New Roman"/>
        </w:rPr>
        <w:t>driving</w:t>
      </w:r>
      <w:r w:rsidR="00914BAB" w:rsidRPr="009D590F">
        <w:rPr>
          <w:rFonts w:ascii="Times New Roman" w:hAnsi="Times New Roman"/>
        </w:rPr>
        <w:t xml:space="preserve"> chariots (</w:t>
      </w:r>
      <w:proofErr w:type="spellStart"/>
      <w:r w:rsidR="00914BAB" w:rsidRPr="009D590F">
        <w:rPr>
          <w:rFonts w:ascii="Times New Roman" w:hAnsi="Times New Roman"/>
          <w:i/>
        </w:rPr>
        <w:t>biga</w:t>
      </w:r>
      <w:proofErr w:type="spellEnd"/>
      <w:r w:rsidR="00914BAB" w:rsidRPr="009D590F">
        <w:rPr>
          <w:rFonts w:ascii="Times New Roman" w:hAnsi="Times New Roman"/>
        </w:rPr>
        <w:t xml:space="preserve">, </w:t>
      </w:r>
      <w:r w:rsidR="00914BAB" w:rsidRPr="009D590F">
        <w:rPr>
          <w:rFonts w:ascii="Times New Roman" w:hAnsi="Times New Roman"/>
          <w:i/>
        </w:rPr>
        <w:t>quadriga</w:t>
      </w:r>
      <w:r w:rsidR="00914BAB" w:rsidRPr="009D590F">
        <w:rPr>
          <w:rFonts w:ascii="Times New Roman" w:hAnsi="Times New Roman"/>
        </w:rPr>
        <w:t xml:space="preserve">): </w:t>
      </w:r>
      <w:r w:rsidR="006E4816" w:rsidRPr="009D590F">
        <w:rPr>
          <w:rFonts w:ascii="Times New Roman" w:hAnsi="Times New Roman"/>
        </w:rPr>
        <w:t xml:space="preserve">at </w:t>
      </w:r>
      <w:proofErr w:type="spellStart"/>
      <w:r w:rsidR="006E4816" w:rsidRPr="009D590F">
        <w:rPr>
          <w:rFonts w:ascii="Times New Roman" w:hAnsi="Times New Roman"/>
        </w:rPr>
        <w:t>Thamugadi</w:t>
      </w:r>
      <w:proofErr w:type="spellEnd"/>
      <w:r w:rsidR="006E4816" w:rsidRPr="009D590F">
        <w:rPr>
          <w:rFonts w:ascii="Times New Roman" w:hAnsi="Times New Roman"/>
        </w:rPr>
        <w:t xml:space="preserve"> </w:t>
      </w:r>
      <w:r w:rsidR="00EB5FE7" w:rsidRPr="009D590F">
        <w:rPr>
          <w:rFonts w:ascii="Times New Roman" w:hAnsi="Times New Roman"/>
        </w:rPr>
        <w:t xml:space="preserve">senators, </w:t>
      </w:r>
      <w:r w:rsidR="00FF51D4" w:rsidRPr="009D590F">
        <w:rPr>
          <w:rFonts w:ascii="Times New Roman" w:hAnsi="Times New Roman"/>
        </w:rPr>
        <w:t>amongst</w:t>
      </w:r>
      <w:r w:rsidR="00EB5FE7" w:rsidRPr="009D590F">
        <w:rPr>
          <w:rFonts w:ascii="Times New Roman" w:hAnsi="Times New Roman"/>
        </w:rPr>
        <w:t xml:space="preserve"> them two </w:t>
      </w:r>
      <w:proofErr w:type="spellStart"/>
      <w:r w:rsidR="00EB5FE7" w:rsidRPr="009D590F">
        <w:rPr>
          <w:rFonts w:ascii="Times New Roman" w:hAnsi="Times New Roman"/>
          <w:i/>
        </w:rPr>
        <w:t>legati</w:t>
      </w:r>
      <w:proofErr w:type="spellEnd"/>
      <w:r w:rsidR="00EB5FE7" w:rsidRPr="009D590F">
        <w:rPr>
          <w:rFonts w:ascii="Times New Roman" w:hAnsi="Times New Roman"/>
        </w:rPr>
        <w:t xml:space="preserve"> of </w:t>
      </w:r>
      <w:proofErr w:type="spellStart"/>
      <w:r w:rsidR="00FF51D4" w:rsidRPr="009D590F">
        <w:rPr>
          <w:rFonts w:ascii="Times New Roman" w:hAnsi="Times New Roman"/>
        </w:rPr>
        <w:t>legio</w:t>
      </w:r>
      <w:proofErr w:type="spellEnd"/>
      <w:r w:rsidR="00EB5FE7" w:rsidRPr="009D590F">
        <w:rPr>
          <w:rFonts w:ascii="Times New Roman" w:hAnsi="Times New Roman"/>
        </w:rPr>
        <w:t xml:space="preserve"> III Augusta</w:t>
      </w:r>
      <w:r w:rsidR="006C2B8B" w:rsidRPr="009D590F">
        <w:rPr>
          <w:rFonts w:ascii="Times New Roman" w:hAnsi="Times New Roman"/>
        </w:rPr>
        <w:t>, received</w:t>
      </w:r>
      <w:r w:rsidR="00AF2128" w:rsidRPr="009D590F">
        <w:rPr>
          <w:rFonts w:ascii="Times New Roman" w:hAnsi="Times New Roman"/>
        </w:rPr>
        <w:t xml:space="preserve"> chariot</w:t>
      </w:r>
      <w:r w:rsidR="006C2B8B" w:rsidRPr="009D590F">
        <w:rPr>
          <w:rFonts w:ascii="Times New Roman" w:hAnsi="Times New Roman"/>
        </w:rPr>
        <w:t xml:space="preserve"> monuments</w:t>
      </w:r>
      <w:r w:rsidR="00E617BC" w:rsidRPr="009D590F">
        <w:rPr>
          <w:rFonts w:ascii="Times New Roman" w:hAnsi="Times New Roman"/>
        </w:rPr>
        <w:t xml:space="preserve"> </w:t>
      </w:r>
      <w:r w:rsidR="00C546DB" w:rsidRPr="009D590F">
        <w:rPr>
          <w:rFonts w:ascii="Times New Roman" w:hAnsi="Times New Roman"/>
        </w:rPr>
        <w:t>(</w:t>
      </w:r>
      <w:proofErr w:type="spellStart"/>
      <w:r w:rsidR="00C546DB" w:rsidRPr="009D590F">
        <w:rPr>
          <w:rFonts w:ascii="Times New Roman" w:hAnsi="Times New Roman"/>
          <w:i/>
        </w:rPr>
        <w:t>biga</w:t>
      </w:r>
      <w:proofErr w:type="spellEnd"/>
      <w:r w:rsidR="00C546DB" w:rsidRPr="009D590F">
        <w:rPr>
          <w:rFonts w:ascii="Times New Roman" w:hAnsi="Times New Roman"/>
        </w:rPr>
        <w:t xml:space="preserve">, </w:t>
      </w:r>
      <w:r w:rsidR="00C546DB" w:rsidRPr="009D590F">
        <w:rPr>
          <w:rFonts w:ascii="Times New Roman" w:hAnsi="Times New Roman"/>
          <w:i/>
        </w:rPr>
        <w:t>quadriga</w:t>
      </w:r>
      <w:r w:rsidR="00C546DB" w:rsidRPr="009D590F">
        <w:rPr>
          <w:rFonts w:ascii="Times New Roman" w:hAnsi="Times New Roman"/>
        </w:rPr>
        <w:t>)</w:t>
      </w:r>
      <w:r w:rsidR="00AF2128" w:rsidRPr="009D590F">
        <w:rPr>
          <w:rFonts w:ascii="Times New Roman" w:hAnsi="Times New Roman"/>
        </w:rPr>
        <w:t xml:space="preserve"> </w:t>
      </w:r>
      <w:r w:rsidR="000F453A" w:rsidRPr="009D590F">
        <w:rPr>
          <w:rFonts w:ascii="Times New Roman" w:hAnsi="Times New Roman"/>
        </w:rPr>
        <w:t xml:space="preserve">which were similar in style and size as the monuments honouring </w:t>
      </w:r>
      <w:r w:rsidR="00FF51D4" w:rsidRPr="009D590F">
        <w:rPr>
          <w:rFonts w:ascii="Times New Roman" w:hAnsi="Times New Roman"/>
        </w:rPr>
        <w:t xml:space="preserve">the </w:t>
      </w:r>
      <w:r w:rsidR="000F453A" w:rsidRPr="009D590F">
        <w:rPr>
          <w:rFonts w:ascii="Times New Roman" w:hAnsi="Times New Roman"/>
        </w:rPr>
        <w:t>Antonine</w:t>
      </w:r>
      <w:r w:rsidR="00FF51D4" w:rsidRPr="009D590F">
        <w:rPr>
          <w:rFonts w:ascii="Times New Roman" w:hAnsi="Times New Roman"/>
        </w:rPr>
        <w:t>s</w:t>
      </w:r>
      <w:r w:rsidR="000F453A" w:rsidRPr="009D590F">
        <w:rPr>
          <w:rFonts w:ascii="Times New Roman" w:hAnsi="Times New Roman"/>
        </w:rPr>
        <w:t>.</w:t>
      </w:r>
      <w:r w:rsidR="000F453A" w:rsidRPr="009D590F">
        <w:rPr>
          <w:rStyle w:val="FootnoteReference"/>
          <w:rFonts w:ascii="Times New Roman" w:hAnsi="Times New Roman"/>
        </w:rPr>
        <w:footnoteReference w:id="56"/>
      </w:r>
      <w:r w:rsidR="00FF51D4" w:rsidRPr="009D590F">
        <w:rPr>
          <w:rFonts w:ascii="Times New Roman" w:hAnsi="Times New Roman"/>
        </w:rPr>
        <w:t xml:space="preserve"> </w:t>
      </w:r>
    </w:p>
    <w:p w14:paraId="5D557E76" w14:textId="301EDC2C" w:rsidR="00A20BF3" w:rsidRPr="009D590F" w:rsidRDefault="00FF51D4" w:rsidP="00A20BF3">
      <w:pPr>
        <w:jc w:val="both"/>
        <w:rPr>
          <w:rFonts w:ascii="Times New Roman" w:hAnsi="Times New Roman"/>
        </w:rPr>
      </w:pPr>
      <w:r w:rsidRPr="009D590F">
        <w:rPr>
          <w:rFonts w:ascii="Times New Roman" w:hAnsi="Times New Roman"/>
        </w:rPr>
        <w:tab/>
        <w:t xml:space="preserve">Similar observations apply to </w:t>
      </w:r>
      <w:proofErr w:type="spellStart"/>
      <w:r w:rsidRPr="009D590F">
        <w:rPr>
          <w:rFonts w:ascii="Times New Roman" w:hAnsi="Times New Roman"/>
        </w:rPr>
        <w:t>Ephesos</w:t>
      </w:r>
      <w:proofErr w:type="spellEnd"/>
      <w:r w:rsidRPr="009D590F">
        <w:rPr>
          <w:rFonts w:ascii="Times New Roman" w:hAnsi="Times New Roman"/>
        </w:rPr>
        <w:t>:</w:t>
      </w:r>
      <w:r w:rsidR="00A20BF3" w:rsidRPr="009D590F">
        <w:rPr>
          <w:rFonts w:ascii="Times New Roman" w:hAnsi="Times New Roman"/>
        </w:rPr>
        <w:t xml:space="preserve"> Iulius </w:t>
      </w:r>
      <w:proofErr w:type="spellStart"/>
      <w:r w:rsidR="00A20BF3" w:rsidRPr="009D590F">
        <w:rPr>
          <w:rFonts w:ascii="Times New Roman" w:hAnsi="Times New Roman"/>
        </w:rPr>
        <w:t>Celsus</w:t>
      </w:r>
      <w:proofErr w:type="spellEnd"/>
      <w:r w:rsidR="00A20BF3" w:rsidRPr="009D590F">
        <w:rPr>
          <w:rFonts w:ascii="Times New Roman" w:hAnsi="Times New Roman"/>
        </w:rPr>
        <w:t xml:space="preserve"> </w:t>
      </w:r>
      <w:proofErr w:type="spellStart"/>
      <w:r w:rsidR="00A20BF3" w:rsidRPr="009D590F">
        <w:rPr>
          <w:rFonts w:ascii="Times New Roman" w:hAnsi="Times New Roman"/>
        </w:rPr>
        <w:t>Polemaeanus</w:t>
      </w:r>
      <w:proofErr w:type="spellEnd"/>
      <w:r w:rsidR="00A20BF3" w:rsidRPr="009D590F">
        <w:rPr>
          <w:rFonts w:ascii="Times New Roman" w:hAnsi="Times New Roman"/>
        </w:rPr>
        <w:t xml:space="preserve"> from Sardis</w:t>
      </w:r>
      <w:r w:rsidR="00DD3F86">
        <w:rPr>
          <w:rFonts w:ascii="Times New Roman" w:hAnsi="Times New Roman"/>
        </w:rPr>
        <w:t xml:space="preserve"> (</w:t>
      </w:r>
      <w:r w:rsidR="00DD3F86">
        <w:rPr>
          <w:rFonts w:ascii="Times New Roman" w:hAnsi="Times New Roman"/>
          <w:i/>
        </w:rPr>
        <w:t>cos.</w:t>
      </w:r>
      <w:r w:rsidR="00A20BF3" w:rsidRPr="009D590F">
        <w:rPr>
          <w:rFonts w:ascii="Times New Roman" w:hAnsi="Times New Roman"/>
          <w:i/>
        </w:rPr>
        <w:t xml:space="preserve"> suff</w:t>
      </w:r>
      <w:r w:rsidR="00DD3F86">
        <w:rPr>
          <w:rFonts w:ascii="Times New Roman" w:hAnsi="Times New Roman"/>
          <w:i/>
        </w:rPr>
        <w:t>.</w:t>
      </w:r>
      <w:r w:rsidR="00A20BF3" w:rsidRPr="009D590F">
        <w:rPr>
          <w:rFonts w:ascii="Times New Roman" w:hAnsi="Times New Roman"/>
        </w:rPr>
        <w:t xml:space="preserve"> AD 92</w:t>
      </w:r>
      <w:r w:rsidR="00DD3F86">
        <w:rPr>
          <w:rFonts w:ascii="Times New Roman" w:hAnsi="Times New Roman"/>
        </w:rPr>
        <w:t>)</w:t>
      </w:r>
      <w:r w:rsidR="00A20BF3" w:rsidRPr="009D590F">
        <w:rPr>
          <w:rFonts w:ascii="Times New Roman" w:hAnsi="Times New Roman"/>
        </w:rPr>
        <w:t xml:space="preserve">, </w:t>
      </w:r>
      <w:r w:rsidR="00DD3F86">
        <w:rPr>
          <w:rFonts w:ascii="Times New Roman" w:hAnsi="Times New Roman"/>
        </w:rPr>
        <w:t>had</w:t>
      </w:r>
      <w:r w:rsidR="00A20BF3" w:rsidRPr="009D590F">
        <w:rPr>
          <w:rFonts w:ascii="Times New Roman" w:hAnsi="Times New Roman"/>
        </w:rPr>
        <w:t xml:space="preserve"> a gigantic library</w:t>
      </w:r>
      <w:r w:rsidR="00DD3F86">
        <w:rPr>
          <w:rFonts w:ascii="Times New Roman" w:hAnsi="Times New Roman"/>
        </w:rPr>
        <w:t xml:space="preserve"> built</w:t>
      </w:r>
      <w:r w:rsidR="00A20BF3" w:rsidRPr="009D590F">
        <w:rPr>
          <w:rFonts w:ascii="Times New Roman" w:hAnsi="Times New Roman"/>
        </w:rPr>
        <w:t xml:space="preserve">, </w:t>
      </w:r>
      <w:r w:rsidR="00DD3F86">
        <w:rPr>
          <w:rFonts w:ascii="Times New Roman" w:hAnsi="Times New Roman"/>
        </w:rPr>
        <w:t>outmatching</w:t>
      </w:r>
      <w:r w:rsidR="00A20BF3" w:rsidRPr="009D590F">
        <w:rPr>
          <w:rFonts w:ascii="Times New Roman" w:hAnsi="Times New Roman"/>
        </w:rPr>
        <w:t xml:space="preserve"> the neighbouring </w:t>
      </w:r>
      <w:r w:rsidR="00A20BF3" w:rsidRPr="009D590F">
        <w:rPr>
          <w:rFonts w:ascii="Times New Roman" w:hAnsi="Times New Roman"/>
          <w:i/>
        </w:rPr>
        <w:t>agora</w:t>
      </w:r>
      <w:r w:rsidR="00DD3F86">
        <w:rPr>
          <w:rFonts w:ascii="Times New Roman" w:hAnsi="Times New Roman"/>
        </w:rPr>
        <w:t xml:space="preserve">, </w:t>
      </w:r>
      <w:proofErr w:type="gramStart"/>
      <w:r w:rsidR="00A20BF3" w:rsidRPr="009D590F">
        <w:rPr>
          <w:rFonts w:ascii="Times New Roman" w:hAnsi="Times New Roman"/>
        </w:rPr>
        <w:t>a</w:t>
      </w:r>
      <w:proofErr w:type="gramEnd"/>
      <w:r w:rsidR="00A20BF3" w:rsidRPr="009D590F">
        <w:rPr>
          <w:rFonts w:ascii="Times New Roman" w:hAnsi="Times New Roman"/>
        </w:rPr>
        <w:t xml:space="preserve"> honorific monument to Augustus and Agrippa</w:t>
      </w:r>
      <w:r w:rsidR="00DD3F86">
        <w:rPr>
          <w:rFonts w:ascii="Times New Roman" w:hAnsi="Times New Roman"/>
        </w:rPr>
        <w:t>; t</w:t>
      </w:r>
      <w:r w:rsidR="00A20BF3" w:rsidRPr="009D590F">
        <w:rPr>
          <w:rFonts w:ascii="Times New Roman" w:hAnsi="Times New Roman"/>
        </w:rPr>
        <w:t xml:space="preserve">he </w:t>
      </w:r>
      <w:proofErr w:type="spellStart"/>
      <w:r w:rsidR="00A20BF3" w:rsidRPr="009D590F">
        <w:rPr>
          <w:rFonts w:ascii="Times New Roman" w:hAnsi="Times New Roman"/>
        </w:rPr>
        <w:t>Celsus</w:t>
      </w:r>
      <w:proofErr w:type="spellEnd"/>
      <w:r w:rsidR="00A20BF3" w:rsidRPr="009D590F">
        <w:rPr>
          <w:rFonts w:ascii="Times New Roman" w:hAnsi="Times New Roman"/>
        </w:rPr>
        <w:t xml:space="preserve"> Library sported </w:t>
      </w:r>
      <w:r w:rsidR="00DD3F86" w:rsidRPr="00DD3F86">
        <w:rPr>
          <w:rFonts w:ascii="Times New Roman" w:hAnsi="Times New Roman"/>
          <w:i/>
        </w:rPr>
        <w:t>pavonazzetto</w:t>
      </w:r>
      <w:r w:rsidR="00DD3F86" w:rsidRPr="009D590F">
        <w:rPr>
          <w:rFonts w:ascii="Times New Roman" w:hAnsi="Times New Roman"/>
        </w:rPr>
        <w:t xml:space="preserve"> </w:t>
      </w:r>
      <w:r w:rsidR="00A20BF3" w:rsidRPr="009D590F">
        <w:rPr>
          <w:rFonts w:ascii="Times New Roman" w:hAnsi="Times New Roman"/>
        </w:rPr>
        <w:t>columns which Ti. Iulius Aquila</w:t>
      </w:r>
      <w:r w:rsidR="00DD3F86">
        <w:rPr>
          <w:rFonts w:ascii="Times New Roman" w:hAnsi="Times New Roman"/>
        </w:rPr>
        <w:t xml:space="preserve"> (</w:t>
      </w:r>
      <w:r w:rsidR="00DD3F86">
        <w:rPr>
          <w:rFonts w:ascii="Times New Roman" w:hAnsi="Times New Roman"/>
          <w:i/>
        </w:rPr>
        <w:t>cos.</w:t>
      </w:r>
      <w:r w:rsidR="00A20BF3" w:rsidRPr="009D590F">
        <w:rPr>
          <w:rFonts w:ascii="Times New Roman" w:hAnsi="Times New Roman"/>
          <w:i/>
        </w:rPr>
        <w:t xml:space="preserve"> suff</w:t>
      </w:r>
      <w:r w:rsidR="00DD3F86">
        <w:rPr>
          <w:rFonts w:ascii="Times New Roman" w:hAnsi="Times New Roman"/>
          <w:i/>
        </w:rPr>
        <w:t>.</w:t>
      </w:r>
      <w:r w:rsidR="00A20BF3" w:rsidRPr="009D590F">
        <w:rPr>
          <w:rFonts w:ascii="Times New Roman" w:hAnsi="Times New Roman"/>
        </w:rPr>
        <w:t xml:space="preserve"> </w:t>
      </w:r>
      <w:r w:rsidR="00FE3A67" w:rsidRPr="009D590F">
        <w:rPr>
          <w:rFonts w:ascii="Times New Roman" w:hAnsi="Times New Roman"/>
        </w:rPr>
        <w:t>AD</w:t>
      </w:r>
      <w:r w:rsidR="00A20BF3" w:rsidRPr="009D590F">
        <w:rPr>
          <w:rFonts w:ascii="Times New Roman" w:hAnsi="Times New Roman"/>
        </w:rPr>
        <w:t xml:space="preserve"> 110</w:t>
      </w:r>
      <w:r w:rsidR="00DD3F86">
        <w:rPr>
          <w:rFonts w:ascii="Times New Roman" w:hAnsi="Times New Roman"/>
        </w:rPr>
        <w:t>)</w:t>
      </w:r>
      <w:r w:rsidR="00A20BF3" w:rsidRPr="009D590F">
        <w:rPr>
          <w:rFonts w:ascii="Times New Roman" w:hAnsi="Times New Roman"/>
        </w:rPr>
        <w:t>, had secured for his father’s library/tomb.</w:t>
      </w:r>
      <w:r w:rsidR="00A20BF3" w:rsidRPr="009D590F">
        <w:rPr>
          <w:rFonts w:ascii="Times New Roman" w:hAnsi="Times New Roman"/>
          <w:vertAlign w:val="superscript"/>
        </w:rPr>
        <w:footnoteReference w:id="57"/>
      </w:r>
      <w:r w:rsidR="00A20BF3" w:rsidRPr="009D590F">
        <w:rPr>
          <w:rFonts w:ascii="Times New Roman" w:hAnsi="Times New Roman"/>
        </w:rPr>
        <w:t xml:space="preserve"> Phrygian marble was on public display elsewhere in Ephesus: the ‘Marble Hall’ of the </w:t>
      </w:r>
      <w:proofErr w:type="spellStart"/>
      <w:r w:rsidR="00A20BF3" w:rsidRPr="009D590F">
        <w:rPr>
          <w:rFonts w:ascii="Times New Roman" w:hAnsi="Times New Roman"/>
        </w:rPr>
        <w:t>Vedius</w:t>
      </w:r>
      <w:proofErr w:type="spellEnd"/>
      <w:r w:rsidR="00A20BF3" w:rsidRPr="009D590F">
        <w:rPr>
          <w:rFonts w:ascii="Times New Roman" w:hAnsi="Times New Roman"/>
        </w:rPr>
        <w:t xml:space="preserve"> Gymnasium</w:t>
      </w:r>
      <w:r w:rsidR="00C378B3" w:rsidRPr="00C378B3">
        <w:rPr>
          <w:rFonts w:ascii="Times New Roman" w:hAnsi="Times New Roman"/>
        </w:rPr>
        <w:t xml:space="preserve"> </w:t>
      </w:r>
      <w:r w:rsidR="00C378B3">
        <w:rPr>
          <w:rFonts w:ascii="Times New Roman" w:hAnsi="Times New Roman"/>
        </w:rPr>
        <w:t>inaugurated between AD 147-149 —</w:t>
      </w:r>
      <w:r w:rsidR="00A20BF3" w:rsidRPr="009D590F">
        <w:rPr>
          <w:rFonts w:ascii="Times New Roman" w:hAnsi="Times New Roman"/>
        </w:rPr>
        <w:t xml:space="preserve"> a benefaction of M. Claudius P. </w:t>
      </w:r>
      <w:proofErr w:type="spellStart"/>
      <w:r w:rsidR="00A20BF3" w:rsidRPr="009D590F">
        <w:rPr>
          <w:rFonts w:ascii="Times New Roman" w:hAnsi="Times New Roman"/>
        </w:rPr>
        <w:t>Vedius</w:t>
      </w:r>
      <w:proofErr w:type="spellEnd"/>
      <w:r w:rsidR="00A20BF3" w:rsidRPr="009D590F">
        <w:rPr>
          <w:rFonts w:ascii="Times New Roman" w:hAnsi="Times New Roman"/>
        </w:rPr>
        <w:t xml:space="preserve"> </w:t>
      </w:r>
      <w:proofErr w:type="spellStart"/>
      <w:r w:rsidR="00A20BF3" w:rsidRPr="009D590F">
        <w:rPr>
          <w:rFonts w:ascii="Times New Roman" w:hAnsi="Times New Roman"/>
        </w:rPr>
        <w:t>Antoninus</w:t>
      </w:r>
      <w:proofErr w:type="spellEnd"/>
      <w:r w:rsidR="00A20BF3" w:rsidRPr="009D590F">
        <w:rPr>
          <w:rFonts w:ascii="Times New Roman" w:hAnsi="Times New Roman"/>
        </w:rPr>
        <w:t xml:space="preserve"> Phaedrus </w:t>
      </w:r>
      <w:proofErr w:type="spellStart"/>
      <w:r w:rsidR="00A20BF3" w:rsidRPr="009D590F">
        <w:rPr>
          <w:rFonts w:ascii="Times New Roman" w:hAnsi="Times New Roman"/>
        </w:rPr>
        <w:t>Sabinianus</w:t>
      </w:r>
      <w:proofErr w:type="spellEnd"/>
      <w:r w:rsidR="00A20BF3" w:rsidRPr="009D590F">
        <w:rPr>
          <w:rFonts w:ascii="Times New Roman" w:hAnsi="Times New Roman"/>
        </w:rPr>
        <w:t xml:space="preserve">, senator </w:t>
      </w:r>
      <w:r w:rsidR="00C378B3">
        <w:rPr>
          <w:rFonts w:ascii="Times New Roman" w:hAnsi="Times New Roman"/>
        </w:rPr>
        <w:t>and Ephesian ambassador to Rome —</w:t>
      </w:r>
      <w:r w:rsidR="00A20BF3" w:rsidRPr="009D590F">
        <w:rPr>
          <w:rFonts w:ascii="Times New Roman" w:hAnsi="Times New Roman"/>
        </w:rPr>
        <w:t xml:space="preserve"> was also equipped with </w:t>
      </w:r>
      <w:r w:rsidR="00A20BF3" w:rsidRPr="009D590F">
        <w:rPr>
          <w:rFonts w:ascii="Times New Roman" w:hAnsi="Times New Roman"/>
          <w:i/>
        </w:rPr>
        <w:t>pavonazzetto</w:t>
      </w:r>
      <w:r w:rsidR="00C378B3">
        <w:rPr>
          <w:rFonts w:ascii="Times New Roman" w:hAnsi="Times New Roman"/>
        </w:rPr>
        <w:t xml:space="preserve"> columns</w:t>
      </w:r>
      <w:r w:rsidR="00A20BF3" w:rsidRPr="009D590F">
        <w:rPr>
          <w:rFonts w:ascii="Times New Roman" w:hAnsi="Times New Roman"/>
        </w:rPr>
        <w:t>.</w:t>
      </w:r>
      <w:r w:rsidR="00A20BF3" w:rsidRPr="009D590F">
        <w:rPr>
          <w:rFonts w:ascii="Times New Roman" w:hAnsi="Times New Roman"/>
          <w:vertAlign w:val="superscript"/>
        </w:rPr>
        <w:footnoteReference w:id="58"/>
      </w:r>
      <w:r w:rsidR="00A20BF3" w:rsidRPr="009D590F">
        <w:rPr>
          <w:rFonts w:ascii="Times New Roman" w:hAnsi="Times New Roman"/>
        </w:rPr>
        <w:t xml:space="preserve"> His daughter </w:t>
      </w:r>
      <w:proofErr w:type="spellStart"/>
      <w:r w:rsidR="00A20BF3" w:rsidRPr="009D590F">
        <w:rPr>
          <w:rFonts w:ascii="Times New Roman" w:hAnsi="Times New Roman"/>
        </w:rPr>
        <w:t>Vedia</w:t>
      </w:r>
      <w:proofErr w:type="spellEnd"/>
      <w:r w:rsidR="00A20BF3" w:rsidRPr="009D590F">
        <w:rPr>
          <w:rFonts w:ascii="Times New Roman" w:hAnsi="Times New Roman"/>
        </w:rPr>
        <w:t xml:space="preserve"> </w:t>
      </w:r>
      <w:proofErr w:type="spellStart"/>
      <w:r w:rsidR="00A20BF3" w:rsidRPr="009D590F">
        <w:rPr>
          <w:rFonts w:ascii="Times New Roman" w:hAnsi="Times New Roman"/>
        </w:rPr>
        <w:t>Phaedrina</w:t>
      </w:r>
      <w:proofErr w:type="spellEnd"/>
      <w:r w:rsidR="00A20BF3" w:rsidRPr="009D590F">
        <w:rPr>
          <w:rFonts w:ascii="Times New Roman" w:hAnsi="Times New Roman"/>
        </w:rPr>
        <w:t xml:space="preserve">, who was married to the sophist T. Flavius </w:t>
      </w:r>
      <w:proofErr w:type="spellStart"/>
      <w:r w:rsidR="00A20BF3" w:rsidRPr="009D590F">
        <w:rPr>
          <w:rFonts w:ascii="Times New Roman" w:hAnsi="Times New Roman"/>
        </w:rPr>
        <w:t>Damianus</w:t>
      </w:r>
      <w:proofErr w:type="spellEnd"/>
      <w:r w:rsidR="00A20BF3" w:rsidRPr="009D590F">
        <w:rPr>
          <w:rFonts w:ascii="Times New Roman" w:hAnsi="Times New Roman"/>
        </w:rPr>
        <w:t>, added a banqueting hall to the Artemis temple, which was adorned with Phrygian stone (</w:t>
      </w:r>
      <w:proofErr w:type="spellStart"/>
      <w:r w:rsidR="00A20BF3" w:rsidRPr="009D590F">
        <w:rPr>
          <w:rFonts w:ascii="Times New Roman" w:hAnsi="Times New Roman"/>
        </w:rPr>
        <w:t>Philostr</w:t>
      </w:r>
      <w:proofErr w:type="spellEnd"/>
      <w:r w:rsidR="00A20BF3" w:rsidRPr="009D590F">
        <w:rPr>
          <w:rFonts w:ascii="Times New Roman" w:hAnsi="Times New Roman"/>
        </w:rPr>
        <w:t xml:space="preserve">. </w:t>
      </w:r>
      <w:r w:rsidR="00A20BF3" w:rsidRPr="009D590F">
        <w:rPr>
          <w:rFonts w:ascii="Times New Roman" w:hAnsi="Times New Roman"/>
          <w:i/>
        </w:rPr>
        <w:t>Soph</w:t>
      </w:r>
      <w:r w:rsidR="00A20BF3" w:rsidRPr="009D590F">
        <w:rPr>
          <w:rFonts w:ascii="Times New Roman" w:hAnsi="Times New Roman"/>
        </w:rPr>
        <w:t>. 2.25.605).</w:t>
      </w:r>
      <w:r w:rsidR="00A20BF3" w:rsidRPr="009D590F">
        <w:rPr>
          <w:rFonts w:ascii="Times New Roman" w:hAnsi="Times New Roman"/>
          <w:vertAlign w:val="superscript"/>
        </w:rPr>
        <w:footnoteReference w:id="59"/>
      </w:r>
      <w:r w:rsidR="00A20BF3" w:rsidRPr="009D590F">
        <w:rPr>
          <w:rFonts w:ascii="Times New Roman" w:hAnsi="Times New Roman"/>
        </w:rPr>
        <w:t xml:space="preserve"> Patrizio </w:t>
      </w:r>
      <w:proofErr w:type="spellStart"/>
      <w:r w:rsidR="00A20BF3" w:rsidRPr="009D590F">
        <w:rPr>
          <w:rFonts w:ascii="Times New Roman" w:hAnsi="Times New Roman"/>
        </w:rPr>
        <w:t>Pensabene</w:t>
      </w:r>
      <w:proofErr w:type="spellEnd"/>
      <w:r w:rsidR="00A20BF3" w:rsidRPr="009D590F">
        <w:rPr>
          <w:rFonts w:ascii="Times New Roman" w:hAnsi="Times New Roman"/>
        </w:rPr>
        <w:t xml:space="preserve"> argued that the aristocratic elites of Ephesus and elsewhere in Asia acquired </w:t>
      </w:r>
      <w:r w:rsidR="00A20BF3" w:rsidRPr="009D590F">
        <w:rPr>
          <w:rFonts w:ascii="Times New Roman" w:hAnsi="Times New Roman"/>
          <w:i/>
        </w:rPr>
        <w:t>pavonazzetto</w:t>
      </w:r>
      <w:r w:rsidR="00A20BF3" w:rsidRPr="009D590F">
        <w:rPr>
          <w:rFonts w:ascii="Times New Roman" w:hAnsi="Times New Roman"/>
        </w:rPr>
        <w:t xml:space="preserve"> from the emperor for public and even private use; this required not only wealth but also good connections to the emperor, which men like </w:t>
      </w:r>
      <w:proofErr w:type="spellStart"/>
      <w:r w:rsidR="00A20BF3" w:rsidRPr="009D590F">
        <w:rPr>
          <w:rFonts w:ascii="Times New Roman" w:hAnsi="Times New Roman"/>
        </w:rPr>
        <w:lastRenderedPageBreak/>
        <w:t>Celsus</w:t>
      </w:r>
      <w:proofErr w:type="spellEnd"/>
      <w:r w:rsidR="00A20BF3" w:rsidRPr="009D590F">
        <w:rPr>
          <w:rFonts w:ascii="Times New Roman" w:hAnsi="Times New Roman"/>
        </w:rPr>
        <w:t xml:space="preserve">, </w:t>
      </w:r>
      <w:proofErr w:type="spellStart"/>
      <w:r w:rsidR="00A20BF3" w:rsidRPr="009D590F">
        <w:rPr>
          <w:rFonts w:ascii="Times New Roman" w:hAnsi="Times New Roman"/>
        </w:rPr>
        <w:t>Vedius</w:t>
      </w:r>
      <w:proofErr w:type="spellEnd"/>
      <w:r w:rsidR="00A20BF3" w:rsidRPr="009D590F">
        <w:rPr>
          <w:rFonts w:ascii="Times New Roman" w:hAnsi="Times New Roman"/>
        </w:rPr>
        <w:t xml:space="preserve">, and </w:t>
      </w:r>
      <w:proofErr w:type="spellStart"/>
      <w:r w:rsidR="00A20BF3" w:rsidRPr="009D590F">
        <w:rPr>
          <w:rFonts w:ascii="Times New Roman" w:hAnsi="Times New Roman"/>
        </w:rPr>
        <w:t>Damianus</w:t>
      </w:r>
      <w:proofErr w:type="spellEnd"/>
      <w:r w:rsidR="00A20BF3" w:rsidRPr="009D590F">
        <w:rPr>
          <w:rFonts w:ascii="Times New Roman" w:hAnsi="Times New Roman"/>
        </w:rPr>
        <w:t xml:space="preserve"> certainly had. Little demonstrated proximity to the emperor</w:t>
      </w:r>
      <w:r w:rsidR="00B162CC">
        <w:rPr>
          <w:rFonts w:ascii="Times New Roman" w:hAnsi="Times New Roman"/>
        </w:rPr>
        <w:t xml:space="preserve"> and imperial patronage</w:t>
      </w:r>
      <w:r w:rsidR="00A20BF3" w:rsidRPr="009D590F">
        <w:rPr>
          <w:rFonts w:ascii="Times New Roman" w:hAnsi="Times New Roman"/>
        </w:rPr>
        <w:t xml:space="preserve"> more than using ‘his’ marble in a public context.</w:t>
      </w:r>
      <w:r w:rsidR="009272FD" w:rsidRPr="009D590F">
        <w:rPr>
          <w:rFonts w:ascii="Times New Roman" w:hAnsi="Times New Roman"/>
          <w:vertAlign w:val="superscript"/>
        </w:rPr>
        <w:footnoteReference w:id="60"/>
      </w:r>
      <w:r w:rsidR="009272FD" w:rsidRPr="009D590F">
        <w:rPr>
          <w:rFonts w:ascii="Times New Roman" w:hAnsi="Times New Roman"/>
        </w:rPr>
        <w:t xml:space="preserve"> </w:t>
      </w:r>
    </w:p>
    <w:p w14:paraId="33E16EC7" w14:textId="4764272F" w:rsidR="00A20BF3" w:rsidRPr="009D590F" w:rsidRDefault="005D01AA" w:rsidP="00767F61">
      <w:pPr>
        <w:ind w:firstLine="720"/>
        <w:jc w:val="both"/>
        <w:rPr>
          <w:rFonts w:ascii="Times New Roman" w:hAnsi="Times New Roman"/>
        </w:rPr>
      </w:pPr>
      <w:r w:rsidRPr="009D590F">
        <w:rPr>
          <w:rFonts w:ascii="Times New Roman" w:hAnsi="Times New Roman"/>
        </w:rPr>
        <w:t>But does this apply to other members of the Ephesian elite</w:t>
      </w:r>
      <w:r w:rsidR="00A20BF3" w:rsidRPr="009D590F">
        <w:rPr>
          <w:rFonts w:ascii="Times New Roman" w:hAnsi="Times New Roman"/>
        </w:rPr>
        <w:t xml:space="preserve">? In around AD 130 we learn from an inscription that a </w:t>
      </w:r>
      <w:proofErr w:type="spellStart"/>
      <w:r w:rsidR="00A20BF3" w:rsidRPr="009D590F">
        <w:rPr>
          <w:rFonts w:ascii="Times New Roman" w:hAnsi="Times New Roman"/>
        </w:rPr>
        <w:t>Dionysios</w:t>
      </w:r>
      <w:proofErr w:type="spellEnd"/>
      <w:r w:rsidR="00A20BF3" w:rsidRPr="009D590F">
        <w:rPr>
          <w:rFonts w:ascii="Times New Roman" w:hAnsi="Times New Roman"/>
        </w:rPr>
        <w:t xml:space="preserve">, son of </w:t>
      </w:r>
      <w:proofErr w:type="spellStart"/>
      <w:r w:rsidR="00A20BF3" w:rsidRPr="009D590F">
        <w:rPr>
          <w:rFonts w:ascii="Times New Roman" w:hAnsi="Times New Roman"/>
        </w:rPr>
        <w:t>Nikephoros</w:t>
      </w:r>
      <w:proofErr w:type="spellEnd"/>
      <w:r w:rsidR="00A20BF3" w:rsidRPr="009D590F">
        <w:rPr>
          <w:rFonts w:ascii="Times New Roman" w:hAnsi="Times New Roman"/>
        </w:rPr>
        <w:t xml:space="preserve">, </w:t>
      </w:r>
      <w:proofErr w:type="spellStart"/>
      <w:r w:rsidR="00A20BF3" w:rsidRPr="009D590F">
        <w:rPr>
          <w:rFonts w:ascii="Times New Roman" w:hAnsi="Times New Roman"/>
          <w:i/>
        </w:rPr>
        <w:t>prytanis</w:t>
      </w:r>
      <w:proofErr w:type="spellEnd"/>
      <w:r w:rsidR="00A20BF3" w:rsidRPr="009D590F">
        <w:rPr>
          <w:rFonts w:ascii="Times New Roman" w:hAnsi="Times New Roman"/>
          <w:i/>
        </w:rPr>
        <w:t xml:space="preserve">, </w:t>
      </w:r>
      <w:r w:rsidR="00A20BF3" w:rsidRPr="009D590F">
        <w:rPr>
          <w:rFonts w:ascii="Times New Roman" w:hAnsi="Times New Roman"/>
        </w:rPr>
        <w:t xml:space="preserve">chief magistrate in </w:t>
      </w:r>
      <w:proofErr w:type="spellStart"/>
      <w:r w:rsidR="00A20BF3" w:rsidRPr="009D590F">
        <w:rPr>
          <w:rFonts w:ascii="Times New Roman" w:hAnsi="Times New Roman"/>
        </w:rPr>
        <w:t>Ephesos</w:t>
      </w:r>
      <w:proofErr w:type="spellEnd"/>
      <w:r w:rsidR="00A20BF3" w:rsidRPr="009D590F">
        <w:rPr>
          <w:rFonts w:ascii="Times New Roman" w:hAnsi="Times New Roman"/>
        </w:rPr>
        <w:t>, provided the missing columns of ‘</w:t>
      </w:r>
      <w:proofErr w:type="spellStart"/>
      <w:r w:rsidR="00A20BF3" w:rsidRPr="009D590F">
        <w:rPr>
          <w:rFonts w:ascii="Times New Roman" w:hAnsi="Times New Roman"/>
        </w:rPr>
        <w:t>Docimian</w:t>
      </w:r>
      <w:proofErr w:type="spellEnd"/>
      <w:r w:rsidR="00A20BF3" w:rsidRPr="009D590F">
        <w:rPr>
          <w:rFonts w:ascii="Times New Roman" w:hAnsi="Times New Roman"/>
        </w:rPr>
        <w:t xml:space="preserve"> marble’ of 25 ½ feet (7.5m) in length for the </w:t>
      </w:r>
      <w:proofErr w:type="spellStart"/>
      <w:r w:rsidR="00A20BF3" w:rsidRPr="009D590F">
        <w:rPr>
          <w:rFonts w:ascii="Times New Roman" w:hAnsi="Times New Roman"/>
          <w:i/>
        </w:rPr>
        <w:t>Sebaston</w:t>
      </w:r>
      <w:proofErr w:type="spellEnd"/>
      <w:r w:rsidR="00A20BF3" w:rsidRPr="009D590F">
        <w:rPr>
          <w:rFonts w:ascii="Times New Roman" w:hAnsi="Times New Roman"/>
          <w:i/>
        </w:rPr>
        <w:t xml:space="preserve"> </w:t>
      </w:r>
      <w:proofErr w:type="spellStart"/>
      <w:r w:rsidR="00A20BF3" w:rsidRPr="009D590F">
        <w:rPr>
          <w:rFonts w:ascii="Times New Roman" w:hAnsi="Times New Roman"/>
          <w:i/>
        </w:rPr>
        <w:t>gymnasion</w:t>
      </w:r>
      <w:proofErr w:type="spellEnd"/>
      <w:r w:rsidR="009E0831">
        <w:rPr>
          <w:rFonts w:ascii="Times New Roman" w:hAnsi="Times New Roman"/>
          <w:i/>
        </w:rPr>
        <w:t xml:space="preserve">. </w:t>
      </w:r>
      <w:r w:rsidR="00A20BF3" w:rsidRPr="009D590F">
        <w:rPr>
          <w:rFonts w:ascii="Times New Roman" w:hAnsi="Times New Roman"/>
        </w:rPr>
        <w:t>He appears to have paid for the missing columns himself.</w:t>
      </w:r>
      <w:r w:rsidR="00A20BF3" w:rsidRPr="009D590F">
        <w:rPr>
          <w:rFonts w:ascii="Times New Roman" w:hAnsi="Times New Roman"/>
          <w:vertAlign w:val="superscript"/>
        </w:rPr>
        <w:footnoteReference w:id="61"/>
      </w:r>
      <w:r w:rsidR="00A20BF3" w:rsidRPr="009D590F">
        <w:rPr>
          <w:rFonts w:ascii="Times New Roman" w:hAnsi="Times New Roman"/>
        </w:rPr>
        <w:t xml:space="preserve"> So far, there is no clear evidence for </w:t>
      </w:r>
      <w:proofErr w:type="spellStart"/>
      <w:r w:rsidR="00A20BF3" w:rsidRPr="009D590F">
        <w:rPr>
          <w:rFonts w:ascii="Times New Roman" w:hAnsi="Times New Roman"/>
        </w:rPr>
        <w:t>Dionysios</w:t>
      </w:r>
      <w:proofErr w:type="spellEnd"/>
      <w:r w:rsidR="00A20BF3" w:rsidRPr="009D590F">
        <w:rPr>
          <w:rFonts w:ascii="Times New Roman" w:hAnsi="Times New Roman"/>
        </w:rPr>
        <w:t xml:space="preserve"> having made the acquaintance of Hadrian or another emperor which allowed him to secure access to Phrygian marble. We are equally in the dark about potential imperial connections of </w:t>
      </w:r>
      <w:proofErr w:type="spellStart"/>
      <w:r w:rsidR="00A20BF3" w:rsidRPr="009D590F">
        <w:rPr>
          <w:rFonts w:ascii="Times New Roman" w:hAnsi="Times New Roman"/>
        </w:rPr>
        <w:t>Furius</w:t>
      </w:r>
      <w:proofErr w:type="spellEnd"/>
      <w:r w:rsidR="00A20BF3" w:rsidRPr="009D590F">
        <w:rPr>
          <w:rFonts w:ascii="Times New Roman" w:hAnsi="Times New Roman"/>
        </w:rPr>
        <w:t xml:space="preserve"> </w:t>
      </w:r>
      <w:proofErr w:type="spellStart"/>
      <w:r w:rsidR="00A20BF3" w:rsidRPr="009D590F">
        <w:rPr>
          <w:rFonts w:ascii="Times New Roman" w:hAnsi="Times New Roman"/>
        </w:rPr>
        <w:t>Aptus</w:t>
      </w:r>
      <w:proofErr w:type="spellEnd"/>
      <w:r w:rsidR="00A20BF3" w:rsidRPr="009D590F">
        <w:rPr>
          <w:rFonts w:ascii="Times New Roman" w:hAnsi="Times New Roman"/>
        </w:rPr>
        <w:t xml:space="preserve">, who displays </w:t>
      </w:r>
      <w:r w:rsidR="00A20BF3" w:rsidRPr="009D590F">
        <w:rPr>
          <w:rFonts w:ascii="Times New Roman" w:hAnsi="Times New Roman"/>
          <w:i/>
        </w:rPr>
        <w:t>pavonazzetto</w:t>
      </w:r>
      <w:r w:rsidR="00A20BF3" w:rsidRPr="009D590F">
        <w:rPr>
          <w:rFonts w:ascii="Times New Roman" w:hAnsi="Times New Roman"/>
        </w:rPr>
        <w:t xml:space="preserve"> in the context of his house 6 but not in a private context, strictly spoken. After all, the Peristyle Court and the Marble Hall were very much the ‘public’ part of this residence. As far as we can tell </w:t>
      </w:r>
      <w:proofErr w:type="spellStart"/>
      <w:r w:rsidR="00A20BF3" w:rsidRPr="009D590F">
        <w:rPr>
          <w:rFonts w:ascii="Times New Roman" w:hAnsi="Times New Roman"/>
        </w:rPr>
        <w:t>Aptus</w:t>
      </w:r>
      <w:proofErr w:type="spellEnd"/>
      <w:r w:rsidR="00A20BF3" w:rsidRPr="009D590F">
        <w:rPr>
          <w:rFonts w:ascii="Times New Roman" w:hAnsi="Times New Roman"/>
        </w:rPr>
        <w:t xml:space="preserve"> was a member of a wealthy and influential family in Ephesus whose members had been </w:t>
      </w:r>
      <w:proofErr w:type="spellStart"/>
      <w:r w:rsidR="00A20BF3" w:rsidRPr="009D590F">
        <w:rPr>
          <w:rFonts w:ascii="Times New Roman" w:hAnsi="Times New Roman"/>
          <w:i/>
        </w:rPr>
        <w:t>asiarchs</w:t>
      </w:r>
      <w:proofErr w:type="spellEnd"/>
      <w:r w:rsidR="00A20BF3" w:rsidRPr="009D590F">
        <w:rPr>
          <w:rFonts w:ascii="Times New Roman" w:hAnsi="Times New Roman"/>
        </w:rPr>
        <w:t xml:space="preserve"> and </w:t>
      </w:r>
      <w:r w:rsidR="00A20BF3" w:rsidRPr="009D590F">
        <w:rPr>
          <w:rFonts w:ascii="Times New Roman" w:hAnsi="Times New Roman"/>
          <w:i/>
        </w:rPr>
        <w:t>gymnasiarchs</w:t>
      </w:r>
      <w:r w:rsidR="00A20BF3" w:rsidRPr="009D590F">
        <w:rPr>
          <w:rFonts w:ascii="Times New Roman" w:hAnsi="Times New Roman"/>
        </w:rPr>
        <w:t xml:space="preserve">. His father, T. Flavius Aristobulus, had been </w:t>
      </w:r>
      <w:r w:rsidR="00A20BF3" w:rsidRPr="009D590F">
        <w:rPr>
          <w:rFonts w:ascii="Times New Roman" w:hAnsi="Times New Roman"/>
          <w:i/>
        </w:rPr>
        <w:t>grammateus</w:t>
      </w:r>
      <w:r w:rsidR="00A20BF3" w:rsidRPr="009D590F">
        <w:rPr>
          <w:rFonts w:ascii="Times New Roman" w:hAnsi="Times New Roman"/>
        </w:rPr>
        <w:t xml:space="preserve"> and </w:t>
      </w:r>
      <w:proofErr w:type="spellStart"/>
      <w:r w:rsidR="00A20BF3" w:rsidRPr="009D590F">
        <w:rPr>
          <w:rFonts w:ascii="Times New Roman" w:hAnsi="Times New Roman"/>
          <w:i/>
        </w:rPr>
        <w:t>prytanis</w:t>
      </w:r>
      <w:proofErr w:type="spellEnd"/>
      <w:r w:rsidR="00A20BF3" w:rsidRPr="009D590F">
        <w:rPr>
          <w:rFonts w:ascii="Times New Roman" w:hAnsi="Times New Roman"/>
          <w:i/>
        </w:rPr>
        <w:t xml:space="preserve"> </w:t>
      </w:r>
      <w:r w:rsidR="00A20BF3" w:rsidRPr="009D590F">
        <w:rPr>
          <w:rFonts w:ascii="Times New Roman" w:hAnsi="Times New Roman"/>
        </w:rPr>
        <w:t xml:space="preserve">in Ephesus, his uncle even </w:t>
      </w:r>
      <w:proofErr w:type="spellStart"/>
      <w:r w:rsidR="00A20BF3" w:rsidRPr="009D590F">
        <w:rPr>
          <w:rFonts w:ascii="Times New Roman" w:hAnsi="Times New Roman"/>
          <w:i/>
        </w:rPr>
        <w:t>archiereus</w:t>
      </w:r>
      <w:proofErr w:type="spellEnd"/>
      <w:r w:rsidR="00A20BF3" w:rsidRPr="009D590F">
        <w:rPr>
          <w:rFonts w:ascii="Times New Roman" w:hAnsi="Times New Roman"/>
          <w:i/>
        </w:rPr>
        <w:t xml:space="preserve"> </w:t>
      </w:r>
      <w:proofErr w:type="spellStart"/>
      <w:r w:rsidR="00A20BF3" w:rsidRPr="009D590F">
        <w:rPr>
          <w:rFonts w:ascii="Times New Roman" w:hAnsi="Times New Roman"/>
          <w:i/>
        </w:rPr>
        <w:t>Asias</w:t>
      </w:r>
      <w:proofErr w:type="spellEnd"/>
      <w:r w:rsidR="00A20BF3" w:rsidRPr="009D590F">
        <w:rPr>
          <w:rFonts w:ascii="Times New Roman" w:hAnsi="Times New Roman"/>
        </w:rPr>
        <w:t xml:space="preserve">, chief-priest of the province of Asia; both achieved these high offices in the later years of Trajan and the early years of Hadrian. </w:t>
      </w:r>
      <w:proofErr w:type="spellStart"/>
      <w:r w:rsidR="00A20BF3" w:rsidRPr="009D590F">
        <w:rPr>
          <w:rFonts w:ascii="Times New Roman" w:hAnsi="Times New Roman"/>
        </w:rPr>
        <w:t>Furius</w:t>
      </w:r>
      <w:proofErr w:type="spellEnd"/>
      <w:r w:rsidR="00A20BF3" w:rsidRPr="009D590F">
        <w:rPr>
          <w:rFonts w:ascii="Times New Roman" w:hAnsi="Times New Roman"/>
        </w:rPr>
        <w:t xml:space="preserve"> </w:t>
      </w:r>
      <w:proofErr w:type="spellStart"/>
      <w:r w:rsidR="00A20BF3" w:rsidRPr="009D590F">
        <w:rPr>
          <w:rFonts w:ascii="Times New Roman" w:hAnsi="Times New Roman"/>
        </w:rPr>
        <w:t>Aptus</w:t>
      </w:r>
      <w:proofErr w:type="spellEnd"/>
      <w:r w:rsidR="00A20BF3" w:rsidRPr="009D590F">
        <w:rPr>
          <w:rFonts w:ascii="Times New Roman" w:hAnsi="Times New Roman"/>
        </w:rPr>
        <w:t xml:space="preserve"> possibly attained civic offices under Antoninus Pius and became </w:t>
      </w:r>
      <w:r w:rsidR="00A20BF3" w:rsidRPr="009D590F">
        <w:rPr>
          <w:rFonts w:ascii="Times New Roman" w:hAnsi="Times New Roman"/>
          <w:i/>
        </w:rPr>
        <w:t>alytarch</w:t>
      </w:r>
      <w:r w:rsidR="00A20BF3" w:rsidRPr="009D590F">
        <w:rPr>
          <w:rFonts w:ascii="Times New Roman" w:hAnsi="Times New Roman"/>
        </w:rPr>
        <w:t xml:space="preserve">, chief of police, under Marcus Aurelius. Given that </w:t>
      </w:r>
      <w:proofErr w:type="spellStart"/>
      <w:r w:rsidR="00A20BF3" w:rsidRPr="009D590F">
        <w:rPr>
          <w:rFonts w:ascii="Times New Roman" w:hAnsi="Times New Roman"/>
        </w:rPr>
        <w:t>Aptus</w:t>
      </w:r>
      <w:proofErr w:type="spellEnd"/>
      <w:r w:rsidR="00A20BF3" w:rsidRPr="009D590F">
        <w:rPr>
          <w:rFonts w:ascii="Times New Roman" w:hAnsi="Times New Roman"/>
        </w:rPr>
        <w:t xml:space="preserve">’ son, T. Flavius </w:t>
      </w:r>
      <w:proofErr w:type="spellStart"/>
      <w:r w:rsidR="00A20BF3" w:rsidRPr="009D590F">
        <w:rPr>
          <w:rFonts w:ascii="Times New Roman" w:hAnsi="Times New Roman"/>
        </w:rPr>
        <w:t>Lollianus</w:t>
      </w:r>
      <w:proofErr w:type="spellEnd"/>
      <w:r w:rsidR="00A20BF3" w:rsidRPr="009D590F">
        <w:rPr>
          <w:rFonts w:ascii="Times New Roman" w:hAnsi="Times New Roman"/>
        </w:rPr>
        <w:t xml:space="preserve"> Aristobulus, was the first of his family to become member of the senatorial order (probably under Marcus Aurelius), </w:t>
      </w:r>
      <w:proofErr w:type="spellStart"/>
      <w:r w:rsidR="00A20BF3" w:rsidRPr="009D590F">
        <w:rPr>
          <w:rFonts w:ascii="Times New Roman" w:hAnsi="Times New Roman"/>
        </w:rPr>
        <w:t>Aptus</w:t>
      </w:r>
      <w:proofErr w:type="spellEnd"/>
      <w:r w:rsidR="00A20BF3" w:rsidRPr="009D590F">
        <w:rPr>
          <w:rFonts w:ascii="Times New Roman" w:hAnsi="Times New Roman"/>
        </w:rPr>
        <w:t xml:space="preserve"> was likely of equestrian rank.</w:t>
      </w:r>
      <w:r w:rsidR="00A20BF3" w:rsidRPr="009D590F">
        <w:rPr>
          <w:rFonts w:ascii="Times New Roman" w:hAnsi="Times New Roman"/>
          <w:vertAlign w:val="superscript"/>
        </w:rPr>
        <w:footnoteReference w:id="62"/>
      </w:r>
      <w:r w:rsidR="00A20BF3" w:rsidRPr="009D590F">
        <w:rPr>
          <w:rFonts w:ascii="Times New Roman" w:hAnsi="Times New Roman"/>
        </w:rPr>
        <w:t xml:space="preserve"> In short, </w:t>
      </w:r>
      <w:proofErr w:type="spellStart"/>
      <w:r w:rsidR="00A20BF3" w:rsidRPr="009D590F">
        <w:rPr>
          <w:rFonts w:ascii="Times New Roman" w:hAnsi="Times New Roman"/>
        </w:rPr>
        <w:t>Furius</w:t>
      </w:r>
      <w:proofErr w:type="spellEnd"/>
      <w:r w:rsidR="00A20BF3" w:rsidRPr="009D590F">
        <w:rPr>
          <w:rFonts w:ascii="Times New Roman" w:hAnsi="Times New Roman"/>
        </w:rPr>
        <w:t xml:space="preserve"> </w:t>
      </w:r>
      <w:proofErr w:type="spellStart"/>
      <w:r w:rsidR="00A20BF3" w:rsidRPr="009D590F">
        <w:rPr>
          <w:rFonts w:ascii="Times New Roman" w:hAnsi="Times New Roman"/>
        </w:rPr>
        <w:t>Aptus</w:t>
      </w:r>
      <w:proofErr w:type="spellEnd"/>
      <w:r w:rsidR="00A20BF3" w:rsidRPr="009D590F">
        <w:rPr>
          <w:rFonts w:ascii="Times New Roman" w:hAnsi="Times New Roman"/>
        </w:rPr>
        <w:t xml:space="preserve"> belonged not only to the local elite, but by the mid-</w:t>
      </w:r>
      <w:r w:rsidRPr="009D590F">
        <w:rPr>
          <w:rFonts w:ascii="Times New Roman" w:hAnsi="Times New Roman"/>
        </w:rPr>
        <w:t xml:space="preserve">second </w:t>
      </w:r>
      <w:r w:rsidR="00A20BF3" w:rsidRPr="009D590F">
        <w:rPr>
          <w:rFonts w:ascii="Times New Roman" w:hAnsi="Times New Roman"/>
        </w:rPr>
        <w:t xml:space="preserve">century AD had established himself in the higher echelons of provincial society. </w:t>
      </w:r>
    </w:p>
    <w:p w14:paraId="0C772B9B" w14:textId="77777777" w:rsidR="005F160E" w:rsidRDefault="00A20BF3" w:rsidP="005F160E">
      <w:pPr>
        <w:ind w:firstLine="720"/>
        <w:jc w:val="both"/>
        <w:rPr>
          <w:rFonts w:ascii="Times New Roman" w:hAnsi="Times New Roman"/>
        </w:rPr>
      </w:pPr>
      <w:r w:rsidRPr="009D590F">
        <w:rPr>
          <w:rFonts w:ascii="Times New Roman" w:hAnsi="Times New Roman"/>
        </w:rPr>
        <w:t xml:space="preserve">As for the </w:t>
      </w:r>
      <w:r w:rsidRPr="009D590F">
        <w:rPr>
          <w:rFonts w:ascii="Times New Roman" w:hAnsi="Times New Roman"/>
          <w:i/>
        </w:rPr>
        <w:t>pavonazzetto</w:t>
      </w:r>
      <w:r w:rsidRPr="009D590F">
        <w:rPr>
          <w:rFonts w:ascii="Times New Roman" w:hAnsi="Times New Roman"/>
        </w:rPr>
        <w:t xml:space="preserve"> </w:t>
      </w:r>
      <w:proofErr w:type="spellStart"/>
      <w:r w:rsidRPr="009D590F">
        <w:rPr>
          <w:rFonts w:ascii="Times New Roman" w:hAnsi="Times New Roman"/>
        </w:rPr>
        <w:t>Aptus</w:t>
      </w:r>
      <w:proofErr w:type="spellEnd"/>
      <w:r w:rsidRPr="009D590F">
        <w:rPr>
          <w:rFonts w:ascii="Times New Roman" w:hAnsi="Times New Roman"/>
        </w:rPr>
        <w:t xml:space="preserve"> used in his refurbished </w:t>
      </w:r>
      <w:r w:rsidR="00376954" w:rsidRPr="009D590F">
        <w:rPr>
          <w:rFonts w:ascii="Times New Roman" w:hAnsi="Times New Roman"/>
        </w:rPr>
        <w:t>‘</w:t>
      </w:r>
      <w:r w:rsidRPr="009D590F">
        <w:rPr>
          <w:rFonts w:ascii="Times New Roman" w:hAnsi="Times New Roman"/>
        </w:rPr>
        <w:t>terraced</w:t>
      </w:r>
      <w:r w:rsidR="00376954" w:rsidRPr="009D590F">
        <w:rPr>
          <w:rFonts w:ascii="Times New Roman" w:hAnsi="Times New Roman"/>
        </w:rPr>
        <w:t>’ house (</w:t>
      </w:r>
      <w:r w:rsidRPr="009D590F">
        <w:rPr>
          <w:rFonts w:ascii="Times New Roman" w:hAnsi="Times New Roman"/>
        </w:rPr>
        <w:t>possibly delivered to him in the shape of two blocks weighing some 2077 kg, and 829 kg respectively</w:t>
      </w:r>
      <w:r w:rsidR="00376954" w:rsidRPr="009D590F">
        <w:rPr>
          <w:rFonts w:ascii="Times New Roman" w:hAnsi="Times New Roman"/>
        </w:rPr>
        <w:t>)</w:t>
      </w:r>
      <w:r w:rsidRPr="009D590F">
        <w:rPr>
          <w:rFonts w:ascii="Times New Roman" w:hAnsi="Times New Roman"/>
        </w:rPr>
        <w:t xml:space="preserve"> — the inscriptions on the back of the revetments only indicate the year when the blocks were quarried (AD 119, AD 121), not when they were acquired by </w:t>
      </w:r>
      <w:proofErr w:type="spellStart"/>
      <w:r w:rsidRPr="009D590F">
        <w:rPr>
          <w:rFonts w:ascii="Times New Roman" w:hAnsi="Times New Roman"/>
        </w:rPr>
        <w:t>Aptus</w:t>
      </w:r>
      <w:proofErr w:type="spellEnd"/>
      <w:r w:rsidRPr="009D590F">
        <w:rPr>
          <w:rFonts w:ascii="Times New Roman" w:hAnsi="Times New Roman"/>
        </w:rPr>
        <w:t>.</w:t>
      </w:r>
      <w:r w:rsidR="00376954" w:rsidRPr="009D590F">
        <w:rPr>
          <w:rFonts w:ascii="Times New Roman" w:hAnsi="Times New Roman"/>
          <w:vertAlign w:val="superscript"/>
        </w:rPr>
        <w:footnoteReference w:id="63"/>
      </w:r>
      <w:r w:rsidRPr="009D590F">
        <w:rPr>
          <w:rFonts w:ascii="Times New Roman" w:hAnsi="Times New Roman"/>
        </w:rPr>
        <w:t xml:space="preserve"> Neither do we learn anything </w:t>
      </w:r>
      <w:r w:rsidR="001D248C" w:rsidRPr="009D590F">
        <w:rPr>
          <w:rFonts w:ascii="Times New Roman" w:hAnsi="Times New Roman"/>
        </w:rPr>
        <w:t>about</w:t>
      </w:r>
      <w:r w:rsidRPr="009D590F">
        <w:rPr>
          <w:rFonts w:ascii="Times New Roman" w:hAnsi="Times New Roman"/>
        </w:rPr>
        <w:t xml:space="preserve"> the circumstances of their acquisition: whether young </w:t>
      </w:r>
      <w:proofErr w:type="spellStart"/>
      <w:r w:rsidRPr="009D590F">
        <w:rPr>
          <w:rFonts w:ascii="Times New Roman" w:hAnsi="Times New Roman"/>
        </w:rPr>
        <w:t>Aptus</w:t>
      </w:r>
      <w:proofErr w:type="spellEnd"/>
      <w:r w:rsidRPr="009D590F">
        <w:rPr>
          <w:rFonts w:ascii="Times New Roman" w:hAnsi="Times New Roman"/>
        </w:rPr>
        <w:t xml:space="preserve"> had made the acquaintance of Hadrian, when the emperor visited Asia and </w:t>
      </w:r>
      <w:proofErr w:type="spellStart"/>
      <w:r w:rsidRPr="009D590F">
        <w:rPr>
          <w:rFonts w:ascii="Times New Roman" w:hAnsi="Times New Roman"/>
        </w:rPr>
        <w:t>Ephesos</w:t>
      </w:r>
      <w:proofErr w:type="spellEnd"/>
      <w:r w:rsidRPr="009D590F">
        <w:rPr>
          <w:rFonts w:ascii="Times New Roman" w:hAnsi="Times New Roman"/>
        </w:rPr>
        <w:t xml:space="preserve"> in AD 124 and 129, or whether he befriended </w:t>
      </w:r>
      <w:proofErr w:type="spellStart"/>
      <w:r w:rsidRPr="009D590F">
        <w:rPr>
          <w:rFonts w:ascii="Times New Roman" w:hAnsi="Times New Roman"/>
        </w:rPr>
        <w:t>Antoninus</w:t>
      </w:r>
      <w:proofErr w:type="spellEnd"/>
      <w:r w:rsidRPr="009D590F">
        <w:rPr>
          <w:rFonts w:ascii="Times New Roman" w:hAnsi="Times New Roman"/>
        </w:rPr>
        <w:t xml:space="preserve"> Pius in AD 135 w</w:t>
      </w:r>
      <w:r w:rsidR="00376954" w:rsidRPr="009D590F">
        <w:rPr>
          <w:rFonts w:ascii="Times New Roman" w:hAnsi="Times New Roman"/>
        </w:rPr>
        <w:t>hen the latter resided at Ephesu</w:t>
      </w:r>
      <w:r w:rsidRPr="009D590F">
        <w:rPr>
          <w:rFonts w:ascii="Times New Roman" w:hAnsi="Times New Roman"/>
        </w:rPr>
        <w:t>s as governor remains unknown.</w:t>
      </w:r>
      <w:r w:rsidRPr="009D590F">
        <w:rPr>
          <w:rFonts w:ascii="Times New Roman" w:hAnsi="Times New Roman"/>
          <w:vertAlign w:val="superscript"/>
        </w:rPr>
        <w:footnoteReference w:id="64"/>
      </w:r>
      <w:r w:rsidRPr="009D590F">
        <w:rPr>
          <w:rFonts w:ascii="Times New Roman" w:hAnsi="Times New Roman"/>
        </w:rPr>
        <w:t xml:space="preserve"> </w:t>
      </w:r>
    </w:p>
    <w:p w14:paraId="6A639012" w14:textId="2273291A" w:rsidR="00A20BF3" w:rsidRPr="009D590F" w:rsidRDefault="00A20BF3" w:rsidP="005F160E">
      <w:pPr>
        <w:ind w:firstLine="720"/>
        <w:jc w:val="both"/>
        <w:rPr>
          <w:rFonts w:ascii="Times New Roman" w:hAnsi="Times New Roman"/>
        </w:rPr>
      </w:pPr>
      <w:r w:rsidRPr="009D590F">
        <w:rPr>
          <w:rFonts w:ascii="Times New Roman" w:hAnsi="Times New Roman"/>
        </w:rPr>
        <w:t xml:space="preserve">Without clear evidence of </w:t>
      </w:r>
      <w:r w:rsidR="00FE16D9">
        <w:rPr>
          <w:rFonts w:ascii="Times New Roman" w:hAnsi="Times New Roman"/>
        </w:rPr>
        <w:t xml:space="preserve">imperial </w:t>
      </w:r>
      <w:proofErr w:type="gramStart"/>
      <w:r w:rsidR="00FE16D9">
        <w:rPr>
          <w:rFonts w:ascii="Times New Roman" w:hAnsi="Times New Roman"/>
        </w:rPr>
        <w:t>patronage</w:t>
      </w:r>
      <w:proofErr w:type="gramEnd"/>
      <w:r w:rsidR="0023070C">
        <w:rPr>
          <w:rFonts w:ascii="Times New Roman" w:hAnsi="Times New Roman"/>
        </w:rPr>
        <w:t xml:space="preserve"> </w:t>
      </w:r>
      <w:r w:rsidRPr="009D590F">
        <w:rPr>
          <w:rFonts w:ascii="Times New Roman" w:hAnsi="Times New Roman"/>
        </w:rPr>
        <w:t xml:space="preserve">we must also entertain the possibility that </w:t>
      </w:r>
      <w:proofErr w:type="spellStart"/>
      <w:r w:rsidRPr="009D590F">
        <w:rPr>
          <w:rFonts w:ascii="Times New Roman" w:hAnsi="Times New Roman"/>
        </w:rPr>
        <w:t>Aptus</w:t>
      </w:r>
      <w:proofErr w:type="spellEnd"/>
      <w:r w:rsidRPr="009D590F">
        <w:rPr>
          <w:rFonts w:ascii="Times New Roman" w:hAnsi="Times New Roman"/>
        </w:rPr>
        <w:t xml:space="preserve"> acquired the </w:t>
      </w:r>
      <w:r w:rsidRPr="009D590F">
        <w:rPr>
          <w:rFonts w:ascii="Times New Roman" w:hAnsi="Times New Roman"/>
          <w:i/>
        </w:rPr>
        <w:t>pavonazzetto</w:t>
      </w:r>
      <w:r w:rsidRPr="009D590F">
        <w:rPr>
          <w:rFonts w:ascii="Times New Roman" w:hAnsi="Times New Roman"/>
        </w:rPr>
        <w:t xml:space="preserve"> blocks on the private market either from a contractor </w:t>
      </w:r>
      <w:r w:rsidR="00376954" w:rsidRPr="009D590F">
        <w:rPr>
          <w:rFonts w:ascii="Times New Roman" w:hAnsi="Times New Roman"/>
        </w:rPr>
        <w:t xml:space="preserve">at </w:t>
      </w:r>
      <w:proofErr w:type="spellStart"/>
      <w:r w:rsidR="00376954" w:rsidRPr="009D590F">
        <w:rPr>
          <w:rFonts w:ascii="Times New Roman" w:hAnsi="Times New Roman"/>
        </w:rPr>
        <w:t>Bacakale</w:t>
      </w:r>
      <w:proofErr w:type="spellEnd"/>
      <w:r w:rsidR="00376954" w:rsidRPr="009D590F">
        <w:rPr>
          <w:rFonts w:ascii="Times New Roman" w:hAnsi="Times New Roman"/>
        </w:rPr>
        <w:t xml:space="preserve"> or perhaps at Ephesus itself;</w:t>
      </w:r>
      <w:r w:rsidRPr="009D590F">
        <w:rPr>
          <w:rFonts w:ascii="Times New Roman" w:hAnsi="Times New Roman"/>
        </w:rPr>
        <w:t xml:space="preserve"> we </w:t>
      </w:r>
      <w:r w:rsidRPr="009D590F">
        <w:rPr>
          <w:rFonts w:ascii="Times New Roman" w:hAnsi="Times New Roman"/>
        </w:rPr>
        <w:lastRenderedPageBreak/>
        <w:t>know that marble was stapled in the harbour area</w:t>
      </w:r>
      <w:r w:rsidR="00376954" w:rsidRPr="009D590F">
        <w:rPr>
          <w:rFonts w:ascii="Times New Roman" w:hAnsi="Times New Roman"/>
        </w:rPr>
        <w:t xml:space="preserve"> (at least temporarily)</w:t>
      </w:r>
      <w:r w:rsidR="00FC2C5E" w:rsidRPr="009D590F">
        <w:rPr>
          <w:rFonts w:ascii="Times New Roman" w:hAnsi="Times New Roman"/>
        </w:rPr>
        <w:t>. We learn from an edict of AD 146/7, emitted by the proconsul of Asia L.</w:t>
      </w:r>
      <w:r w:rsidR="00376954" w:rsidRPr="009D590F">
        <w:rPr>
          <w:rFonts w:ascii="Times New Roman" w:hAnsi="Times New Roman"/>
        </w:rPr>
        <w:t xml:space="preserve"> Antonius Albus</w:t>
      </w:r>
      <w:r w:rsidR="00FC2C5E" w:rsidRPr="009D590F">
        <w:rPr>
          <w:rFonts w:ascii="Times New Roman" w:hAnsi="Times New Roman"/>
        </w:rPr>
        <w:t xml:space="preserve"> that</w:t>
      </w:r>
      <w:r w:rsidR="00376954" w:rsidRPr="009D590F">
        <w:rPr>
          <w:rFonts w:ascii="Times New Roman" w:hAnsi="Times New Roman"/>
        </w:rPr>
        <w:t>,</w:t>
      </w:r>
      <w:r w:rsidR="00FC2C5E" w:rsidRPr="009D590F">
        <w:rPr>
          <w:rFonts w:ascii="Times New Roman" w:hAnsi="Times New Roman"/>
        </w:rPr>
        <w:t xml:space="preserve"> in order to protect the harbour of Ephesus from damage</w:t>
      </w:r>
      <w:r w:rsidR="00376954" w:rsidRPr="009D590F">
        <w:rPr>
          <w:rFonts w:ascii="Times New Roman" w:hAnsi="Times New Roman"/>
        </w:rPr>
        <w:t>,</w:t>
      </w:r>
      <w:r w:rsidR="00FC2C5E" w:rsidRPr="009D590F">
        <w:rPr>
          <w:rFonts w:ascii="Times New Roman" w:hAnsi="Times New Roman"/>
        </w:rPr>
        <w:t xml:space="preserve"> merchants </w:t>
      </w:r>
      <w:r w:rsidR="00F01F1E" w:rsidRPr="009D590F">
        <w:rPr>
          <w:rFonts w:ascii="Times New Roman" w:hAnsi="Times New Roman"/>
        </w:rPr>
        <w:t>were</w:t>
      </w:r>
      <w:r w:rsidR="00FC2C5E" w:rsidRPr="009D590F">
        <w:rPr>
          <w:rFonts w:ascii="Times New Roman" w:hAnsi="Times New Roman"/>
        </w:rPr>
        <w:t xml:space="preserve"> prohibited to staple wood and cut stones they import</w:t>
      </w:r>
      <w:r w:rsidR="001D248C" w:rsidRPr="009D590F">
        <w:rPr>
          <w:rFonts w:ascii="Times New Roman" w:hAnsi="Times New Roman"/>
        </w:rPr>
        <w:t xml:space="preserve">ed </w:t>
      </w:r>
      <w:r w:rsidR="00FC2C5E" w:rsidRPr="009D590F">
        <w:rPr>
          <w:rFonts w:ascii="Times New Roman" w:hAnsi="Times New Roman"/>
        </w:rPr>
        <w:t>(</w:t>
      </w:r>
      <w:r w:rsidR="00FC2C5E" w:rsidRPr="009D590F">
        <w:rPr>
          <w:rFonts w:ascii="Times New Roman" w:hAnsi="Times New Roman"/>
          <w:i/>
        </w:rPr>
        <w:t xml:space="preserve">I. </w:t>
      </w:r>
      <w:proofErr w:type="spellStart"/>
      <w:r w:rsidR="00FC2C5E" w:rsidRPr="009D590F">
        <w:rPr>
          <w:rFonts w:ascii="Times New Roman" w:hAnsi="Times New Roman"/>
          <w:i/>
        </w:rPr>
        <w:t>Eph</w:t>
      </w:r>
      <w:proofErr w:type="spellEnd"/>
      <w:r w:rsidR="001D248C" w:rsidRPr="009D590F">
        <w:rPr>
          <w:rFonts w:ascii="Times New Roman" w:hAnsi="Times New Roman"/>
        </w:rPr>
        <w:t xml:space="preserve"> I </w:t>
      </w:r>
      <w:proofErr w:type="spellStart"/>
      <w:r w:rsidR="001D248C" w:rsidRPr="009D590F">
        <w:rPr>
          <w:rFonts w:ascii="Times New Roman" w:hAnsi="Times New Roman"/>
        </w:rPr>
        <w:t>a</w:t>
      </w:r>
      <w:proofErr w:type="spellEnd"/>
      <w:r w:rsidR="001D248C" w:rsidRPr="009D590F">
        <w:rPr>
          <w:rFonts w:ascii="Times New Roman" w:hAnsi="Times New Roman"/>
        </w:rPr>
        <w:t xml:space="preserve"> 23).</w:t>
      </w:r>
      <w:r w:rsidR="00144FEB" w:rsidRPr="009D590F">
        <w:rPr>
          <w:rFonts w:ascii="Times New Roman" w:hAnsi="Times New Roman"/>
        </w:rPr>
        <w:t xml:space="preserve"> A year later, still under the governorship of Albus in Asia, the gymnasium of </w:t>
      </w:r>
      <w:proofErr w:type="spellStart"/>
      <w:r w:rsidR="00144FEB" w:rsidRPr="009D590F">
        <w:rPr>
          <w:rFonts w:ascii="Times New Roman" w:hAnsi="Times New Roman"/>
        </w:rPr>
        <w:t>Vedius</w:t>
      </w:r>
      <w:proofErr w:type="spellEnd"/>
      <w:r w:rsidR="00144FEB" w:rsidRPr="009D590F">
        <w:rPr>
          <w:rFonts w:ascii="Times New Roman" w:hAnsi="Times New Roman"/>
        </w:rPr>
        <w:t xml:space="preserve">, was completed, suggesting that perhaps some of the marble mentioned in the previous edict might have been stapled in the harbour to supply the construction project. Perhaps </w:t>
      </w:r>
      <w:proofErr w:type="spellStart"/>
      <w:r w:rsidR="00144FEB" w:rsidRPr="009D590F">
        <w:rPr>
          <w:rFonts w:ascii="Times New Roman" w:hAnsi="Times New Roman"/>
        </w:rPr>
        <w:t>Aptus</w:t>
      </w:r>
      <w:proofErr w:type="spellEnd"/>
      <w:r w:rsidR="00144FEB" w:rsidRPr="009D590F">
        <w:rPr>
          <w:rFonts w:ascii="Times New Roman" w:hAnsi="Times New Roman"/>
        </w:rPr>
        <w:t xml:space="preserve"> redirected two blocks of </w:t>
      </w:r>
      <w:proofErr w:type="spellStart"/>
      <w:r w:rsidR="00144FEB" w:rsidRPr="009D590F">
        <w:rPr>
          <w:rFonts w:ascii="Times New Roman" w:hAnsi="Times New Roman"/>
          <w:i/>
        </w:rPr>
        <w:t>marmor</w:t>
      </w:r>
      <w:proofErr w:type="spellEnd"/>
      <w:r w:rsidR="00144FEB" w:rsidRPr="009D590F">
        <w:rPr>
          <w:rFonts w:ascii="Times New Roman" w:hAnsi="Times New Roman"/>
          <w:i/>
        </w:rPr>
        <w:t xml:space="preserve"> </w:t>
      </w:r>
      <w:proofErr w:type="spellStart"/>
      <w:r w:rsidR="00144FEB" w:rsidRPr="009D590F">
        <w:rPr>
          <w:rFonts w:ascii="Times New Roman" w:hAnsi="Times New Roman"/>
          <w:i/>
        </w:rPr>
        <w:t>Phrygium</w:t>
      </w:r>
      <w:proofErr w:type="spellEnd"/>
      <w:r w:rsidR="00144FEB" w:rsidRPr="009D590F">
        <w:rPr>
          <w:rFonts w:ascii="Times New Roman" w:hAnsi="Times New Roman"/>
        </w:rPr>
        <w:t xml:space="preserve"> </w:t>
      </w:r>
      <w:r w:rsidR="00376954" w:rsidRPr="009D590F">
        <w:rPr>
          <w:rFonts w:ascii="Times New Roman" w:hAnsi="Times New Roman"/>
        </w:rPr>
        <w:t xml:space="preserve">from this stock </w:t>
      </w:r>
      <w:r w:rsidR="00144FEB" w:rsidRPr="009D590F">
        <w:rPr>
          <w:rFonts w:ascii="Times New Roman" w:hAnsi="Times New Roman"/>
        </w:rPr>
        <w:t xml:space="preserve">to his house. </w:t>
      </w:r>
    </w:p>
    <w:p w14:paraId="49594752" w14:textId="77777777" w:rsidR="00294627" w:rsidRPr="009D590F" w:rsidRDefault="00294627" w:rsidP="00144FEB">
      <w:pPr>
        <w:jc w:val="both"/>
        <w:rPr>
          <w:rFonts w:ascii="Times New Roman" w:hAnsi="Times New Roman"/>
        </w:rPr>
      </w:pPr>
    </w:p>
    <w:p w14:paraId="01120363" w14:textId="6B6559FF" w:rsidR="00294627" w:rsidRPr="009D590F" w:rsidRDefault="00294627" w:rsidP="00294627">
      <w:pPr>
        <w:jc w:val="center"/>
        <w:rPr>
          <w:rFonts w:ascii="Times New Roman" w:hAnsi="Times New Roman"/>
          <w:b/>
        </w:rPr>
      </w:pPr>
      <w:r w:rsidRPr="009D590F">
        <w:rPr>
          <w:rFonts w:ascii="Times New Roman" w:hAnsi="Times New Roman"/>
          <w:b/>
        </w:rPr>
        <w:t xml:space="preserve">iv. </w:t>
      </w:r>
      <w:proofErr w:type="spellStart"/>
      <w:r w:rsidRPr="009D590F">
        <w:rPr>
          <w:rFonts w:ascii="Times New Roman" w:hAnsi="Times New Roman"/>
          <w:b/>
        </w:rPr>
        <w:t>Bacakale</w:t>
      </w:r>
      <w:proofErr w:type="spellEnd"/>
    </w:p>
    <w:p w14:paraId="2B18A457" w14:textId="77777777" w:rsidR="00294627" w:rsidRPr="009D590F" w:rsidRDefault="00294627" w:rsidP="00144FEB">
      <w:pPr>
        <w:jc w:val="both"/>
        <w:rPr>
          <w:rFonts w:ascii="Times New Roman" w:hAnsi="Times New Roman"/>
        </w:rPr>
      </w:pPr>
    </w:p>
    <w:p w14:paraId="02388882" w14:textId="5A866860" w:rsidR="0041381A" w:rsidRDefault="00144FEB" w:rsidP="0028447A">
      <w:pPr>
        <w:jc w:val="both"/>
        <w:rPr>
          <w:rFonts w:ascii="Times New Roman" w:hAnsi="Times New Roman"/>
        </w:rPr>
      </w:pPr>
      <w:proofErr w:type="spellStart"/>
      <w:r w:rsidRPr="009D590F">
        <w:rPr>
          <w:rFonts w:ascii="Times New Roman" w:hAnsi="Times New Roman"/>
        </w:rPr>
        <w:t>Aptus</w:t>
      </w:r>
      <w:proofErr w:type="spellEnd"/>
      <w:r w:rsidRPr="009D590F">
        <w:rPr>
          <w:rFonts w:ascii="Times New Roman" w:hAnsi="Times New Roman"/>
        </w:rPr>
        <w:t xml:space="preserve"> </w:t>
      </w:r>
      <w:r w:rsidR="008269E3" w:rsidRPr="009D590F">
        <w:rPr>
          <w:rFonts w:ascii="Times New Roman" w:hAnsi="Times New Roman"/>
        </w:rPr>
        <w:t>may</w:t>
      </w:r>
      <w:r w:rsidRPr="009D590F">
        <w:rPr>
          <w:rFonts w:ascii="Times New Roman" w:hAnsi="Times New Roman"/>
        </w:rPr>
        <w:t xml:space="preserve"> also have bought these blocks off the quarrymen at </w:t>
      </w:r>
      <w:proofErr w:type="spellStart"/>
      <w:r w:rsidRPr="009D590F">
        <w:rPr>
          <w:rFonts w:ascii="Times New Roman" w:hAnsi="Times New Roman"/>
        </w:rPr>
        <w:t>Bacakale</w:t>
      </w:r>
      <w:proofErr w:type="spellEnd"/>
      <w:r w:rsidRPr="009D590F">
        <w:rPr>
          <w:rFonts w:ascii="Times New Roman" w:hAnsi="Times New Roman"/>
        </w:rPr>
        <w:t xml:space="preserve">. </w:t>
      </w:r>
      <w:r w:rsidR="00E572BA" w:rsidRPr="009D590F">
        <w:rPr>
          <w:rFonts w:ascii="Times New Roman" w:hAnsi="Times New Roman"/>
        </w:rPr>
        <w:t xml:space="preserve">If </w:t>
      </w:r>
      <w:r w:rsidRPr="009D590F">
        <w:rPr>
          <w:rFonts w:ascii="Times New Roman" w:hAnsi="Times New Roman"/>
        </w:rPr>
        <w:t xml:space="preserve">so, </w:t>
      </w:r>
      <w:r w:rsidR="00E572BA" w:rsidRPr="009D590F">
        <w:rPr>
          <w:rFonts w:ascii="Times New Roman" w:hAnsi="Times New Roman"/>
        </w:rPr>
        <w:t xml:space="preserve">we must reconsider the basis upon which the imperial quarries </w:t>
      </w:r>
      <w:r w:rsidRPr="009D590F">
        <w:rPr>
          <w:rFonts w:ascii="Times New Roman" w:hAnsi="Times New Roman"/>
        </w:rPr>
        <w:t>there were</w:t>
      </w:r>
      <w:r w:rsidR="00E572BA" w:rsidRPr="009D590F">
        <w:rPr>
          <w:rFonts w:ascii="Times New Roman" w:hAnsi="Times New Roman"/>
        </w:rPr>
        <w:t xml:space="preserve"> run. </w:t>
      </w:r>
      <w:r w:rsidR="00C8071A" w:rsidRPr="009D590F">
        <w:rPr>
          <w:rFonts w:ascii="Times New Roman" w:hAnsi="Times New Roman"/>
        </w:rPr>
        <w:t xml:space="preserve">This is not the place to reiterate the organisational pattern revealed by quarry labels on </w:t>
      </w:r>
      <w:r w:rsidR="00C8071A" w:rsidRPr="009D590F">
        <w:rPr>
          <w:rFonts w:ascii="Times New Roman" w:hAnsi="Times New Roman"/>
          <w:i/>
        </w:rPr>
        <w:t>pavonazzetto</w:t>
      </w:r>
      <w:r w:rsidR="00C8071A" w:rsidRPr="009D590F">
        <w:rPr>
          <w:rFonts w:ascii="Times New Roman" w:hAnsi="Times New Roman"/>
        </w:rPr>
        <w:t xml:space="preserve"> blocks and architectural elements in detail; a brief summary must suffice</w:t>
      </w:r>
      <w:r w:rsidR="00C8071A">
        <w:rPr>
          <w:rFonts w:ascii="Times New Roman" w:hAnsi="Times New Roman"/>
        </w:rPr>
        <w:t>.</w:t>
      </w:r>
      <w:r w:rsidR="00E973CA">
        <w:rPr>
          <w:rFonts w:ascii="Times New Roman" w:hAnsi="Times New Roman"/>
        </w:rPr>
        <w:t xml:space="preserve"> </w:t>
      </w:r>
      <w:r w:rsidR="0041381A">
        <w:rPr>
          <w:rFonts w:ascii="Times New Roman" w:hAnsi="Times New Roman"/>
        </w:rPr>
        <w:t>What is clear from the evidence, though, is that the quarries were under the oversight of imperial officials.</w:t>
      </w:r>
      <w:r w:rsidR="0041381A">
        <w:rPr>
          <w:rStyle w:val="FootnoteReference"/>
          <w:rFonts w:ascii="Times New Roman" w:hAnsi="Times New Roman"/>
        </w:rPr>
        <w:footnoteReference w:id="65"/>
      </w:r>
    </w:p>
    <w:p w14:paraId="2FCA123C" w14:textId="007FE0B1" w:rsidR="00C8071A" w:rsidRDefault="0041381A" w:rsidP="0028447A">
      <w:pPr>
        <w:jc w:val="both"/>
        <w:rPr>
          <w:rFonts w:ascii="Times New Roman" w:hAnsi="Times New Roman"/>
        </w:rPr>
      </w:pPr>
      <w:r>
        <w:rPr>
          <w:rFonts w:ascii="Times New Roman" w:hAnsi="Times New Roman"/>
        </w:rPr>
        <w:tab/>
      </w:r>
      <w:r w:rsidR="00E572BA" w:rsidRPr="009D590F">
        <w:rPr>
          <w:rFonts w:ascii="Times New Roman" w:hAnsi="Times New Roman"/>
        </w:rPr>
        <w:t xml:space="preserve">The inscriptions on </w:t>
      </w:r>
      <w:proofErr w:type="spellStart"/>
      <w:r w:rsidR="005F160E">
        <w:rPr>
          <w:rFonts w:ascii="Times New Roman" w:hAnsi="Times New Roman"/>
        </w:rPr>
        <w:t>Aptus</w:t>
      </w:r>
      <w:proofErr w:type="spellEnd"/>
      <w:r w:rsidR="005F160E">
        <w:rPr>
          <w:rFonts w:ascii="Times New Roman" w:hAnsi="Times New Roman"/>
        </w:rPr>
        <w:t>’</w:t>
      </w:r>
      <w:r w:rsidR="00E572BA" w:rsidRPr="009D590F">
        <w:rPr>
          <w:rFonts w:ascii="Times New Roman" w:hAnsi="Times New Roman"/>
        </w:rPr>
        <w:t xml:space="preserve"> </w:t>
      </w:r>
      <w:r w:rsidR="00E572BA" w:rsidRPr="009D590F">
        <w:rPr>
          <w:rFonts w:ascii="Times New Roman" w:hAnsi="Times New Roman"/>
          <w:i/>
        </w:rPr>
        <w:t>pavonazzetto</w:t>
      </w:r>
      <w:r w:rsidR="00E572BA" w:rsidRPr="009D590F">
        <w:rPr>
          <w:rFonts w:ascii="Times New Roman" w:hAnsi="Times New Roman"/>
        </w:rPr>
        <w:t xml:space="preserve"> panels are </w:t>
      </w:r>
      <w:r w:rsidR="00E973CA">
        <w:rPr>
          <w:rFonts w:ascii="Times New Roman" w:hAnsi="Times New Roman"/>
        </w:rPr>
        <w:t>typical of the brief notes applied to quarried items</w:t>
      </w:r>
      <w:r w:rsidR="00E572BA" w:rsidRPr="009D590F">
        <w:rPr>
          <w:rFonts w:ascii="Times New Roman" w:hAnsi="Times New Roman"/>
        </w:rPr>
        <w:t xml:space="preserve"> at </w:t>
      </w:r>
      <w:r w:rsidR="0023070C">
        <w:rPr>
          <w:rFonts w:ascii="Times New Roman" w:hAnsi="Times New Roman"/>
        </w:rPr>
        <w:t xml:space="preserve">the imperial quarries of </w:t>
      </w:r>
      <w:proofErr w:type="spellStart"/>
      <w:r w:rsidR="00E572BA" w:rsidRPr="009D590F">
        <w:rPr>
          <w:rFonts w:ascii="Times New Roman" w:hAnsi="Times New Roman"/>
        </w:rPr>
        <w:t>Bacakale</w:t>
      </w:r>
      <w:proofErr w:type="spellEnd"/>
      <w:r>
        <w:rPr>
          <w:rFonts w:ascii="Times New Roman" w:hAnsi="Times New Roman"/>
        </w:rPr>
        <w:t xml:space="preserve"> from </w:t>
      </w:r>
      <w:r w:rsidR="00E973CA">
        <w:rPr>
          <w:rFonts w:ascii="Times New Roman" w:hAnsi="Times New Roman"/>
        </w:rPr>
        <w:t>the earliest days of imperial control</w:t>
      </w:r>
      <w:r>
        <w:rPr>
          <w:rFonts w:ascii="Times New Roman" w:hAnsi="Times New Roman"/>
        </w:rPr>
        <w:t xml:space="preserve"> </w:t>
      </w:r>
      <w:r w:rsidR="00E973CA">
        <w:rPr>
          <w:rFonts w:ascii="Times New Roman" w:hAnsi="Times New Roman"/>
        </w:rPr>
        <w:t>to</w:t>
      </w:r>
      <w:r w:rsidR="00E572BA" w:rsidRPr="009D590F">
        <w:rPr>
          <w:rFonts w:ascii="Times New Roman" w:hAnsi="Times New Roman"/>
        </w:rPr>
        <w:t xml:space="preserve"> the t</w:t>
      </w:r>
      <w:r w:rsidR="00814D41">
        <w:rPr>
          <w:rFonts w:ascii="Times New Roman" w:hAnsi="Times New Roman"/>
        </w:rPr>
        <w:t>wilight years of Hadrian’s rule: t</w:t>
      </w:r>
      <w:r w:rsidR="00E572BA" w:rsidRPr="009D590F">
        <w:rPr>
          <w:rFonts w:ascii="Times New Roman" w:hAnsi="Times New Roman"/>
        </w:rPr>
        <w:t>he</w:t>
      </w:r>
      <w:r w:rsidR="00E973CA">
        <w:rPr>
          <w:rFonts w:ascii="Times New Roman" w:hAnsi="Times New Roman"/>
        </w:rPr>
        <w:t>se</w:t>
      </w:r>
      <w:r w:rsidR="00E572BA" w:rsidRPr="009D590F">
        <w:rPr>
          <w:rFonts w:ascii="Times New Roman" w:hAnsi="Times New Roman"/>
        </w:rPr>
        <w:t xml:space="preserve"> brief notes </w:t>
      </w:r>
      <w:r w:rsidR="00814D41">
        <w:rPr>
          <w:rFonts w:ascii="Times New Roman" w:hAnsi="Times New Roman"/>
        </w:rPr>
        <w:t>mention</w:t>
      </w:r>
      <w:r w:rsidR="00E572BA" w:rsidRPr="009D590F">
        <w:rPr>
          <w:rFonts w:ascii="Times New Roman" w:hAnsi="Times New Roman"/>
        </w:rPr>
        <w:t xml:space="preserve"> consular dates, a location where the stone was cut, serial numbers, </w:t>
      </w:r>
      <w:r w:rsidR="008269E3" w:rsidRPr="009D590F">
        <w:rPr>
          <w:rFonts w:ascii="Times New Roman" w:hAnsi="Times New Roman"/>
        </w:rPr>
        <w:t>together with</w:t>
      </w:r>
      <w:r w:rsidR="00E572BA" w:rsidRPr="009D590F">
        <w:rPr>
          <w:rFonts w:ascii="Times New Roman" w:hAnsi="Times New Roman"/>
        </w:rPr>
        <w:t xml:space="preserve"> undecipherable abbreviations</w:t>
      </w:r>
      <w:r w:rsidR="00814D41">
        <w:rPr>
          <w:rFonts w:ascii="Times New Roman" w:hAnsi="Times New Roman"/>
        </w:rPr>
        <w:t xml:space="preserve">. </w:t>
      </w:r>
      <w:r w:rsidR="00E973CA">
        <w:rPr>
          <w:rFonts w:ascii="Times New Roman" w:hAnsi="Times New Roman"/>
        </w:rPr>
        <w:t>I</w:t>
      </w:r>
      <w:r w:rsidR="00E973CA">
        <w:rPr>
          <w:rFonts w:ascii="Times New Roman" w:hAnsi="Times New Roman"/>
        </w:rPr>
        <w:t xml:space="preserve">n </w:t>
      </w:r>
      <w:r w:rsidR="00E973CA">
        <w:rPr>
          <w:rFonts w:ascii="Times New Roman" w:hAnsi="Times New Roman"/>
        </w:rPr>
        <w:t xml:space="preserve">the </w:t>
      </w:r>
      <w:r w:rsidR="00E973CA">
        <w:rPr>
          <w:rFonts w:ascii="Times New Roman" w:hAnsi="Times New Roman"/>
        </w:rPr>
        <w:t xml:space="preserve">late years of Hadrian’s reign </w:t>
      </w:r>
      <w:r w:rsidR="00E973CA">
        <w:rPr>
          <w:rFonts w:ascii="Times New Roman" w:hAnsi="Times New Roman"/>
        </w:rPr>
        <w:t>t</w:t>
      </w:r>
      <w:r w:rsidR="00814D41">
        <w:rPr>
          <w:rFonts w:ascii="Times New Roman" w:hAnsi="Times New Roman"/>
        </w:rPr>
        <w:t>hese notes</w:t>
      </w:r>
      <w:r w:rsidR="00E572BA" w:rsidRPr="009D590F">
        <w:rPr>
          <w:rFonts w:ascii="Times New Roman" w:hAnsi="Times New Roman"/>
        </w:rPr>
        <w:t xml:space="preserve"> are replaced with </w:t>
      </w:r>
      <w:r w:rsidR="008269E3" w:rsidRPr="009D590F">
        <w:rPr>
          <w:rFonts w:ascii="Times New Roman" w:hAnsi="Times New Roman"/>
        </w:rPr>
        <w:t xml:space="preserve">more informative </w:t>
      </w:r>
      <w:r w:rsidR="00E572BA" w:rsidRPr="009D590F">
        <w:rPr>
          <w:rFonts w:ascii="Times New Roman" w:hAnsi="Times New Roman"/>
        </w:rPr>
        <w:t>quarry labels</w:t>
      </w:r>
      <w:r>
        <w:rPr>
          <w:rFonts w:ascii="Times New Roman" w:hAnsi="Times New Roman"/>
        </w:rPr>
        <w:t xml:space="preserve"> which allow us to gain better insight into the organization</w:t>
      </w:r>
      <w:r w:rsidR="00E973CA">
        <w:rPr>
          <w:rFonts w:ascii="Times New Roman" w:hAnsi="Times New Roman"/>
        </w:rPr>
        <w:t xml:space="preserve"> of these quarries</w:t>
      </w:r>
      <w:r>
        <w:rPr>
          <w:rFonts w:ascii="Times New Roman" w:hAnsi="Times New Roman"/>
        </w:rPr>
        <w:t xml:space="preserve">. </w:t>
      </w:r>
      <w:r w:rsidR="008269E3" w:rsidRPr="009D590F">
        <w:rPr>
          <w:rFonts w:ascii="Times New Roman" w:hAnsi="Times New Roman"/>
        </w:rPr>
        <w:t xml:space="preserve"> Besides d</w:t>
      </w:r>
      <w:r w:rsidR="00E572BA" w:rsidRPr="009D590F">
        <w:rPr>
          <w:rFonts w:ascii="Times New Roman" w:hAnsi="Times New Roman"/>
        </w:rPr>
        <w:t xml:space="preserve">ate of production, provenance within the quarries, and serial numbers, </w:t>
      </w:r>
      <w:proofErr w:type="spellStart"/>
      <w:r w:rsidR="00E572BA" w:rsidRPr="009D590F">
        <w:rPr>
          <w:rFonts w:ascii="Times New Roman" w:hAnsi="Times New Roman"/>
        </w:rPr>
        <w:t>the</w:t>
      </w:r>
      <w:r w:rsidR="00E973CA">
        <w:rPr>
          <w:rFonts w:ascii="Times New Roman" w:hAnsi="Times New Roman"/>
        </w:rPr>
        <w:t>ses</w:t>
      </w:r>
      <w:proofErr w:type="spellEnd"/>
      <w:r w:rsidR="00E572BA" w:rsidRPr="009D590F">
        <w:rPr>
          <w:rFonts w:ascii="Times New Roman" w:hAnsi="Times New Roman"/>
        </w:rPr>
        <w:t xml:space="preserve"> </w:t>
      </w:r>
      <w:r w:rsidR="00C8071A">
        <w:rPr>
          <w:rFonts w:ascii="Times New Roman" w:hAnsi="Times New Roman"/>
        </w:rPr>
        <w:t xml:space="preserve">new </w:t>
      </w:r>
      <w:r w:rsidR="00E572BA" w:rsidRPr="009D590F">
        <w:rPr>
          <w:rFonts w:ascii="Times New Roman" w:hAnsi="Times New Roman"/>
        </w:rPr>
        <w:t>labels allow us to differentiate responsibilities and determ</w:t>
      </w:r>
      <w:r>
        <w:rPr>
          <w:rFonts w:ascii="Times New Roman" w:hAnsi="Times New Roman"/>
        </w:rPr>
        <w:t>ine work processes more clearly, e.g.</w:t>
      </w:r>
      <w:r w:rsidR="00C8071A">
        <w:rPr>
          <w:rFonts w:ascii="Times New Roman" w:hAnsi="Times New Roman"/>
        </w:rPr>
        <w:t xml:space="preserve"> </w:t>
      </w:r>
    </w:p>
    <w:p w14:paraId="25D67D60" w14:textId="3094893E" w:rsidR="00C8071A" w:rsidRDefault="00C8071A" w:rsidP="0028447A">
      <w:pPr>
        <w:jc w:val="both"/>
        <w:rPr>
          <w:rFonts w:ascii="Times New Roman" w:hAnsi="Times New Roman"/>
        </w:rPr>
      </w:pPr>
    </w:p>
    <w:p w14:paraId="6D31EAF4" w14:textId="77777777" w:rsidR="00C8071A" w:rsidRPr="00814D41" w:rsidRDefault="00C8071A" w:rsidP="00C8071A">
      <w:pPr>
        <w:ind w:left="567"/>
        <w:jc w:val="both"/>
        <w:rPr>
          <w:rFonts w:ascii="Times New Roman" w:hAnsi="Times New Roman"/>
          <w:sz w:val="20"/>
          <w:szCs w:val="20"/>
        </w:rPr>
      </w:pPr>
      <w:r w:rsidRPr="00814D41">
        <w:rPr>
          <w:rFonts w:ascii="Times New Roman" w:hAnsi="Times New Roman"/>
          <w:sz w:val="20"/>
          <w:szCs w:val="20"/>
        </w:rPr>
        <w:t>Hirt 2010 App. 222 (AD 157)</w:t>
      </w:r>
      <w:r w:rsidRPr="00814D41">
        <w:rPr>
          <w:rFonts w:ascii="Times New Roman" w:hAnsi="Times New Roman"/>
          <w:sz w:val="20"/>
          <w:szCs w:val="20"/>
        </w:rPr>
        <w:tab/>
      </w:r>
    </w:p>
    <w:p w14:paraId="2F0F8223" w14:textId="2D5AA7BF" w:rsidR="00C8071A" w:rsidRPr="00814D41" w:rsidRDefault="00C8071A" w:rsidP="00C8071A">
      <w:pPr>
        <w:ind w:left="567"/>
        <w:jc w:val="both"/>
        <w:rPr>
          <w:rFonts w:ascii="Times New Roman" w:hAnsi="Times New Roman"/>
          <w:sz w:val="20"/>
          <w:szCs w:val="20"/>
        </w:rPr>
      </w:pPr>
      <w:r w:rsidRPr="00814D41">
        <w:rPr>
          <w:rFonts w:ascii="Times New Roman" w:hAnsi="Times New Roman"/>
          <w:sz w:val="20"/>
          <w:szCs w:val="20"/>
        </w:rPr>
        <w:t xml:space="preserve">a) </w:t>
      </w:r>
      <w:r w:rsidRPr="00814D41">
        <w:rPr>
          <w:rFonts w:ascii="Times New Roman" w:hAnsi="Times New Roman"/>
          <w:i/>
          <w:iCs/>
          <w:sz w:val="20"/>
          <w:szCs w:val="20"/>
        </w:rPr>
        <w:t>loco IIII b</w:t>
      </w:r>
      <w:r w:rsidRPr="00814D41">
        <w:rPr>
          <w:rFonts w:ascii="Times New Roman" w:hAnsi="Times New Roman"/>
          <w:sz w:val="20"/>
          <w:szCs w:val="20"/>
        </w:rPr>
        <w:t>(</w:t>
      </w:r>
      <w:proofErr w:type="spellStart"/>
      <w:r w:rsidRPr="00814D41">
        <w:rPr>
          <w:rFonts w:ascii="Times New Roman" w:hAnsi="Times New Roman"/>
          <w:i/>
          <w:iCs/>
          <w:sz w:val="20"/>
          <w:szCs w:val="20"/>
        </w:rPr>
        <w:t>racchio</w:t>
      </w:r>
      <w:proofErr w:type="spellEnd"/>
      <w:r w:rsidRPr="00814D41">
        <w:rPr>
          <w:rFonts w:ascii="Times New Roman" w:hAnsi="Times New Roman"/>
          <w:sz w:val="20"/>
          <w:szCs w:val="20"/>
        </w:rPr>
        <w:t xml:space="preserve">) </w:t>
      </w:r>
      <w:r w:rsidRPr="00814D41">
        <w:rPr>
          <w:rFonts w:ascii="Times New Roman" w:hAnsi="Times New Roman"/>
          <w:i/>
          <w:iCs/>
          <w:sz w:val="20"/>
          <w:szCs w:val="20"/>
        </w:rPr>
        <w:t>III</w:t>
      </w:r>
      <w:r w:rsidRPr="00814D41">
        <w:rPr>
          <w:rFonts w:ascii="Times New Roman" w:hAnsi="Times New Roman"/>
          <w:sz w:val="20"/>
          <w:szCs w:val="20"/>
        </w:rPr>
        <w:t xml:space="preserve"> | </w:t>
      </w:r>
      <w:proofErr w:type="spellStart"/>
      <w:r w:rsidR="0041381A" w:rsidRPr="00814D41">
        <w:rPr>
          <w:rFonts w:ascii="Times New Roman" w:hAnsi="Times New Roman"/>
          <w:i/>
          <w:iCs/>
          <w:sz w:val="20"/>
          <w:szCs w:val="20"/>
        </w:rPr>
        <w:t>Barbaro</w:t>
      </w:r>
      <w:proofErr w:type="spellEnd"/>
      <w:r w:rsidR="0041381A" w:rsidRPr="00814D41">
        <w:rPr>
          <w:rFonts w:ascii="Times New Roman" w:hAnsi="Times New Roman"/>
          <w:i/>
          <w:iCs/>
          <w:sz w:val="20"/>
          <w:szCs w:val="20"/>
        </w:rPr>
        <w:t xml:space="preserve"> et </w:t>
      </w:r>
      <w:proofErr w:type="spellStart"/>
      <w:r w:rsidR="0041381A" w:rsidRPr="00814D41">
        <w:rPr>
          <w:rFonts w:ascii="Times New Roman" w:hAnsi="Times New Roman"/>
          <w:i/>
          <w:iCs/>
          <w:sz w:val="20"/>
          <w:szCs w:val="20"/>
        </w:rPr>
        <w:t>Regulo</w:t>
      </w:r>
      <w:proofErr w:type="spellEnd"/>
      <w:r w:rsidR="0041381A" w:rsidRPr="00814D41">
        <w:rPr>
          <w:rFonts w:ascii="Times New Roman" w:hAnsi="Times New Roman"/>
          <w:i/>
          <w:iCs/>
          <w:sz w:val="20"/>
          <w:szCs w:val="20"/>
        </w:rPr>
        <w:t xml:space="preserve"> </w:t>
      </w:r>
      <w:r w:rsidRPr="00814D41">
        <w:rPr>
          <w:rFonts w:ascii="Times New Roman" w:hAnsi="Times New Roman"/>
          <w:i/>
          <w:iCs/>
          <w:sz w:val="20"/>
          <w:szCs w:val="20"/>
        </w:rPr>
        <w:t>co</w:t>
      </w:r>
      <w:r w:rsidRPr="00814D41">
        <w:rPr>
          <w:rFonts w:ascii="Times New Roman" w:hAnsi="Times New Roman"/>
          <w:sz w:val="20"/>
          <w:szCs w:val="20"/>
        </w:rPr>
        <w:t>(</w:t>
      </w:r>
      <w:r w:rsidRPr="00814D41">
        <w:rPr>
          <w:rFonts w:ascii="Times New Roman" w:hAnsi="Times New Roman"/>
          <w:i/>
          <w:iCs/>
          <w:sz w:val="20"/>
          <w:szCs w:val="20"/>
        </w:rPr>
        <w:t>n</w:t>
      </w:r>
      <w:r w:rsidRPr="00814D41">
        <w:rPr>
          <w:rFonts w:ascii="Times New Roman" w:hAnsi="Times New Roman"/>
          <w:sz w:val="20"/>
          <w:szCs w:val="20"/>
        </w:rPr>
        <w:t>)</w:t>
      </w:r>
      <w:r w:rsidRPr="00814D41">
        <w:rPr>
          <w:rFonts w:ascii="Times New Roman" w:hAnsi="Times New Roman"/>
          <w:i/>
          <w:iCs/>
          <w:sz w:val="20"/>
          <w:szCs w:val="20"/>
        </w:rPr>
        <w:t>s</w:t>
      </w:r>
      <w:r w:rsidRPr="00814D41">
        <w:rPr>
          <w:rFonts w:ascii="Times New Roman" w:hAnsi="Times New Roman"/>
          <w:sz w:val="20"/>
          <w:szCs w:val="20"/>
        </w:rPr>
        <w:t>(</w:t>
      </w:r>
      <w:proofErr w:type="spellStart"/>
      <w:r w:rsidRPr="00814D41">
        <w:rPr>
          <w:rFonts w:ascii="Times New Roman" w:hAnsi="Times New Roman"/>
          <w:i/>
          <w:iCs/>
          <w:sz w:val="20"/>
          <w:szCs w:val="20"/>
        </w:rPr>
        <w:t>ulibus</w:t>
      </w:r>
      <w:proofErr w:type="spellEnd"/>
      <w:r w:rsidRPr="00814D41">
        <w:rPr>
          <w:rFonts w:ascii="Times New Roman" w:hAnsi="Times New Roman"/>
          <w:sz w:val="20"/>
          <w:szCs w:val="20"/>
        </w:rPr>
        <w:t xml:space="preserve">) </w:t>
      </w:r>
      <w:r w:rsidRPr="00814D41">
        <w:rPr>
          <w:rFonts w:ascii="Times New Roman" w:hAnsi="Times New Roman"/>
          <w:b/>
          <w:i/>
          <w:iCs/>
          <w:sz w:val="20"/>
          <w:szCs w:val="20"/>
        </w:rPr>
        <w:t>ex off</w:t>
      </w:r>
      <w:r w:rsidRPr="00814D41">
        <w:rPr>
          <w:rFonts w:ascii="Times New Roman" w:hAnsi="Times New Roman"/>
          <w:b/>
          <w:sz w:val="20"/>
          <w:szCs w:val="20"/>
        </w:rPr>
        <w:t>(</w:t>
      </w:r>
      <w:proofErr w:type="spellStart"/>
      <w:r w:rsidRPr="00814D41">
        <w:rPr>
          <w:rFonts w:ascii="Times New Roman" w:hAnsi="Times New Roman"/>
          <w:b/>
          <w:i/>
          <w:iCs/>
          <w:sz w:val="20"/>
          <w:szCs w:val="20"/>
        </w:rPr>
        <w:t>icina</w:t>
      </w:r>
      <w:proofErr w:type="spellEnd"/>
      <w:r w:rsidRPr="00814D41">
        <w:rPr>
          <w:rFonts w:ascii="Times New Roman" w:hAnsi="Times New Roman"/>
          <w:b/>
          <w:sz w:val="20"/>
          <w:szCs w:val="20"/>
        </w:rPr>
        <w:t>)</w:t>
      </w:r>
      <w:r w:rsidRPr="00814D41">
        <w:rPr>
          <w:rFonts w:ascii="Times New Roman" w:hAnsi="Times New Roman"/>
          <w:sz w:val="20"/>
          <w:szCs w:val="20"/>
        </w:rPr>
        <w:t xml:space="preserve"> </w:t>
      </w:r>
      <w:r w:rsidRPr="00814D41">
        <w:rPr>
          <w:rFonts w:ascii="Times New Roman" w:hAnsi="Times New Roman"/>
          <w:i/>
          <w:iCs/>
          <w:sz w:val="20"/>
          <w:szCs w:val="20"/>
        </w:rPr>
        <w:t>Pela</w:t>
      </w:r>
      <w:r w:rsidRPr="00814D41">
        <w:rPr>
          <w:rFonts w:ascii="Times New Roman" w:hAnsi="Times New Roman"/>
          <w:sz w:val="20"/>
          <w:szCs w:val="20"/>
        </w:rPr>
        <w:t>(</w:t>
      </w:r>
      <w:proofErr w:type="spellStart"/>
      <w:r w:rsidRPr="00814D41">
        <w:rPr>
          <w:rFonts w:ascii="Times New Roman" w:hAnsi="Times New Roman"/>
          <w:i/>
          <w:iCs/>
          <w:sz w:val="20"/>
          <w:szCs w:val="20"/>
        </w:rPr>
        <w:t>goni</w:t>
      </w:r>
      <w:proofErr w:type="spellEnd"/>
      <w:r w:rsidRPr="00814D41">
        <w:rPr>
          <w:rFonts w:ascii="Times New Roman" w:hAnsi="Times New Roman"/>
          <w:sz w:val="20"/>
          <w:szCs w:val="20"/>
        </w:rPr>
        <w:t xml:space="preserve">) | </w:t>
      </w:r>
      <w:r w:rsidRPr="00814D41">
        <w:rPr>
          <w:rFonts w:ascii="Times New Roman" w:hAnsi="Times New Roman"/>
          <w:b/>
          <w:i/>
          <w:iCs/>
          <w:sz w:val="20"/>
          <w:szCs w:val="20"/>
        </w:rPr>
        <w:t xml:space="preserve">ex   </w:t>
      </w:r>
      <w:proofErr w:type="spellStart"/>
      <w:r w:rsidRPr="00814D41">
        <w:rPr>
          <w:rFonts w:ascii="Times New Roman" w:hAnsi="Times New Roman"/>
          <w:b/>
          <w:i/>
          <w:iCs/>
          <w:sz w:val="20"/>
          <w:szCs w:val="20"/>
        </w:rPr>
        <w:t>cae</w:t>
      </w:r>
      <w:proofErr w:type="spellEnd"/>
      <w:r w:rsidRPr="00814D41">
        <w:rPr>
          <w:rFonts w:ascii="Times New Roman" w:hAnsi="Times New Roman"/>
          <w:b/>
          <w:sz w:val="20"/>
          <w:szCs w:val="20"/>
        </w:rPr>
        <w:t>(</w:t>
      </w:r>
      <w:proofErr w:type="spellStart"/>
      <w:r w:rsidRPr="00814D41">
        <w:rPr>
          <w:rFonts w:ascii="Times New Roman" w:hAnsi="Times New Roman"/>
          <w:b/>
          <w:i/>
          <w:iCs/>
          <w:sz w:val="20"/>
          <w:szCs w:val="20"/>
        </w:rPr>
        <w:t>sura</w:t>
      </w:r>
      <w:proofErr w:type="spellEnd"/>
      <w:r w:rsidRPr="00814D41">
        <w:rPr>
          <w:rFonts w:ascii="Times New Roman" w:hAnsi="Times New Roman"/>
          <w:b/>
          <w:sz w:val="20"/>
          <w:szCs w:val="20"/>
        </w:rPr>
        <w:t>)</w:t>
      </w:r>
      <w:r w:rsidRPr="00814D41">
        <w:rPr>
          <w:rFonts w:ascii="Times New Roman" w:hAnsi="Times New Roman"/>
          <w:sz w:val="20"/>
          <w:szCs w:val="20"/>
        </w:rPr>
        <w:t xml:space="preserve"> </w:t>
      </w:r>
      <w:proofErr w:type="spellStart"/>
      <w:r w:rsidRPr="00814D41">
        <w:rPr>
          <w:rFonts w:ascii="Times New Roman" w:hAnsi="Times New Roman"/>
          <w:i/>
          <w:iCs/>
          <w:sz w:val="20"/>
          <w:szCs w:val="20"/>
        </w:rPr>
        <w:t>Zosi</w:t>
      </w:r>
      <w:proofErr w:type="spellEnd"/>
      <w:r w:rsidRPr="00814D41">
        <w:rPr>
          <w:rFonts w:ascii="Times New Roman" w:hAnsi="Times New Roman"/>
          <w:sz w:val="20"/>
          <w:szCs w:val="20"/>
        </w:rPr>
        <w:t>(</w:t>
      </w:r>
      <w:r w:rsidRPr="00814D41">
        <w:rPr>
          <w:rFonts w:ascii="Times New Roman" w:hAnsi="Times New Roman"/>
          <w:i/>
          <w:iCs/>
          <w:sz w:val="20"/>
          <w:szCs w:val="20"/>
        </w:rPr>
        <w:t>mi</w:t>
      </w:r>
      <w:r w:rsidRPr="00814D41">
        <w:rPr>
          <w:rFonts w:ascii="Times New Roman" w:hAnsi="Times New Roman"/>
          <w:sz w:val="20"/>
          <w:szCs w:val="20"/>
        </w:rPr>
        <w:t xml:space="preserve">) </w:t>
      </w:r>
    </w:p>
    <w:p w14:paraId="010036FC" w14:textId="21516239" w:rsidR="00C8071A" w:rsidRPr="00814D41" w:rsidRDefault="00C8071A" w:rsidP="00C8071A">
      <w:pPr>
        <w:ind w:left="567"/>
        <w:jc w:val="both"/>
        <w:rPr>
          <w:rFonts w:ascii="Times New Roman" w:hAnsi="Times New Roman"/>
          <w:sz w:val="20"/>
          <w:szCs w:val="20"/>
        </w:rPr>
      </w:pPr>
      <w:r w:rsidRPr="00814D41">
        <w:rPr>
          <w:rFonts w:ascii="Times New Roman" w:hAnsi="Times New Roman"/>
          <w:sz w:val="20"/>
          <w:szCs w:val="20"/>
        </w:rPr>
        <w:t xml:space="preserve">b) </w:t>
      </w:r>
      <w:r w:rsidRPr="00814D41">
        <w:rPr>
          <w:rFonts w:ascii="Times New Roman" w:hAnsi="Times New Roman"/>
          <w:i/>
          <w:iCs/>
          <w:sz w:val="20"/>
          <w:szCs w:val="20"/>
        </w:rPr>
        <w:t>PAL</w:t>
      </w:r>
    </w:p>
    <w:p w14:paraId="4D61E04C" w14:textId="77777777" w:rsidR="00C8071A" w:rsidRDefault="00C8071A" w:rsidP="0028447A">
      <w:pPr>
        <w:jc w:val="both"/>
        <w:rPr>
          <w:rFonts w:ascii="Times New Roman" w:hAnsi="Times New Roman"/>
        </w:rPr>
      </w:pPr>
    </w:p>
    <w:p w14:paraId="6E7439D2" w14:textId="6475499F" w:rsidR="00963174" w:rsidRPr="009D590F" w:rsidRDefault="00144FEB" w:rsidP="0028447A">
      <w:pPr>
        <w:jc w:val="both"/>
        <w:rPr>
          <w:rFonts w:ascii="Times New Roman" w:hAnsi="Times New Roman"/>
        </w:rPr>
      </w:pPr>
      <w:r w:rsidRPr="009D590F">
        <w:rPr>
          <w:rFonts w:ascii="Times New Roman" w:hAnsi="Times New Roman"/>
        </w:rPr>
        <w:t>The key terms</w:t>
      </w:r>
      <w:r w:rsidR="008269E3" w:rsidRPr="009D590F">
        <w:rPr>
          <w:rFonts w:ascii="Times New Roman" w:hAnsi="Times New Roman"/>
        </w:rPr>
        <w:t xml:space="preserve"> </w:t>
      </w:r>
      <w:r w:rsidRPr="009D590F">
        <w:rPr>
          <w:rFonts w:ascii="Times New Roman" w:hAnsi="Times New Roman"/>
        </w:rPr>
        <w:t xml:space="preserve">are </w:t>
      </w:r>
      <w:r w:rsidRPr="00C8071A">
        <w:rPr>
          <w:rFonts w:ascii="Times New Roman" w:hAnsi="Times New Roman"/>
          <w:i/>
        </w:rPr>
        <w:t>caesura</w:t>
      </w:r>
      <w:r w:rsidRPr="009D590F">
        <w:rPr>
          <w:rFonts w:ascii="Times New Roman" w:hAnsi="Times New Roman"/>
        </w:rPr>
        <w:t xml:space="preserve"> and </w:t>
      </w:r>
      <w:proofErr w:type="spellStart"/>
      <w:r w:rsidRPr="00C8071A">
        <w:rPr>
          <w:rFonts w:ascii="Times New Roman" w:hAnsi="Times New Roman"/>
          <w:i/>
        </w:rPr>
        <w:t>officina</w:t>
      </w:r>
      <w:proofErr w:type="spellEnd"/>
      <w:r w:rsidR="008269E3" w:rsidRPr="009D590F">
        <w:rPr>
          <w:rFonts w:ascii="Times New Roman" w:hAnsi="Times New Roman"/>
        </w:rPr>
        <w:t>. A</w:t>
      </w:r>
      <w:r w:rsidRPr="009D590F">
        <w:rPr>
          <w:rFonts w:ascii="Times New Roman" w:hAnsi="Times New Roman"/>
        </w:rPr>
        <w:t xml:space="preserve">t </w:t>
      </w:r>
      <w:proofErr w:type="spellStart"/>
      <w:r w:rsidRPr="009D590F">
        <w:rPr>
          <w:rFonts w:ascii="Times New Roman" w:hAnsi="Times New Roman"/>
          <w:i/>
        </w:rPr>
        <w:t>officinae</w:t>
      </w:r>
      <w:proofErr w:type="spellEnd"/>
      <w:r w:rsidRPr="009D590F">
        <w:rPr>
          <w:rFonts w:ascii="Times New Roman" w:hAnsi="Times New Roman"/>
        </w:rPr>
        <w:t xml:space="preserve">, ‘workshops’, blocks and columns were dressed and different construction elements (capitals, column shafts, etc.) were roughed out. </w:t>
      </w:r>
      <w:r w:rsidR="00C8071A">
        <w:rPr>
          <w:rFonts w:ascii="Times New Roman" w:hAnsi="Times New Roman"/>
        </w:rPr>
        <w:t xml:space="preserve">A </w:t>
      </w:r>
      <w:r w:rsidR="00C8071A" w:rsidRPr="00C8071A">
        <w:rPr>
          <w:rFonts w:ascii="Times New Roman" w:hAnsi="Times New Roman"/>
          <w:i/>
        </w:rPr>
        <w:t>caesura</w:t>
      </w:r>
      <w:r w:rsidR="00E973CA">
        <w:rPr>
          <w:rFonts w:ascii="Times New Roman" w:hAnsi="Times New Roman"/>
        </w:rPr>
        <w:t xml:space="preserve"> identified</w:t>
      </w:r>
      <w:r w:rsidR="00C8071A">
        <w:rPr>
          <w:rFonts w:ascii="Times New Roman" w:hAnsi="Times New Roman"/>
        </w:rPr>
        <w:t xml:space="preserve"> </w:t>
      </w:r>
      <w:r w:rsidR="00814D41">
        <w:rPr>
          <w:rFonts w:ascii="Times New Roman" w:hAnsi="Times New Roman"/>
        </w:rPr>
        <w:t xml:space="preserve">an area of responsibility </w:t>
      </w:r>
      <w:r w:rsidR="00C8071A">
        <w:rPr>
          <w:rFonts w:ascii="Times New Roman" w:hAnsi="Times New Roman"/>
        </w:rPr>
        <w:t>within a quarrying district.</w:t>
      </w:r>
      <w:r w:rsidR="0028447A" w:rsidRPr="009D590F">
        <w:rPr>
          <w:rFonts w:ascii="Times New Roman" w:hAnsi="Times New Roman"/>
        </w:rPr>
        <w:t xml:space="preserve"> </w:t>
      </w:r>
      <w:r w:rsidR="00C8071A">
        <w:rPr>
          <w:rFonts w:ascii="Times New Roman" w:hAnsi="Times New Roman"/>
        </w:rPr>
        <w:t>I</w:t>
      </w:r>
      <w:r w:rsidR="0028447A" w:rsidRPr="009D590F">
        <w:rPr>
          <w:rFonts w:ascii="Times New Roman" w:hAnsi="Times New Roman"/>
        </w:rPr>
        <w:t xml:space="preserve">n the bureaucratic language at </w:t>
      </w:r>
      <w:proofErr w:type="spellStart"/>
      <w:r w:rsidR="0028447A" w:rsidRPr="009D590F">
        <w:rPr>
          <w:rFonts w:ascii="Times New Roman" w:hAnsi="Times New Roman"/>
        </w:rPr>
        <w:t>Bacakale</w:t>
      </w:r>
      <w:proofErr w:type="spellEnd"/>
      <w:r w:rsidR="0028447A" w:rsidRPr="009D590F">
        <w:rPr>
          <w:rFonts w:ascii="Times New Roman" w:hAnsi="Times New Roman"/>
        </w:rPr>
        <w:t xml:space="preserve"> the term is accompanied by a name in the genitive clause</w:t>
      </w:r>
      <w:r w:rsidR="0041381A">
        <w:rPr>
          <w:rFonts w:ascii="Times New Roman" w:hAnsi="Times New Roman"/>
        </w:rPr>
        <w:t xml:space="preserve"> (e.g. </w:t>
      </w:r>
      <w:proofErr w:type="spellStart"/>
      <w:r w:rsidR="0041381A" w:rsidRPr="0041381A">
        <w:rPr>
          <w:rFonts w:ascii="Times New Roman" w:hAnsi="Times New Roman"/>
          <w:i/>
        </w:rPr>
        <w:t>Zosimi</w:t>
      </w:r>
      <w:proofErr w:type="spellEnd"/>
      <w:r w:rsidR="0041381A">
        <w:rPr>
          <w:rFonts w:ascii="Times New Roman" w:hAnsi="Times New Roman"/>
        </w:rPr>
        <w:t>)</w:t>
      </w:r>
      <w:r w:rsidR="0028447A" w:rsidRPr="009D590F">
        <w:rPr>
          <w:rFonts w:ascii="Times New Roman" w:hAnsi="Times New Roman"/>
        </w:rPr>
        <w:t>. The name has been understood to refer to the person responsible for a quarry section; the onomastic material suggests these to be</w:t>
      </w:r>
      <w:r w:rsidR="005F160E">
        <w:rPr>
          <w:rFonts w:ascii="Times New Roman" w:hAnsi="Times New Roman"/>
        </w:rPr>
        <w:t xml:space="preserve"> mostly</w:t>
      </w:r>
      <w:r w:rsidR="0028447A" w:rsidRPr="009D590F">
        <w:rPr>
          <w:rFonts w:ascii="Times New Roman" w:hAnsi="Times New Roman"/>
        </w:rPr>
        <w:t xml:space="preserve"> free men</w:t>
      </w:r>
      <w:r w:rsidR="0023070C">
        <w:rPr>
          <w:rFonts w:ascii="Times New Roman" w:hAnsi="Times New Roman"/>
        </w:rPr>
        <w:t xml:space="preserve"> (and imperial </w:t>
      </w:r>
      <w:r w:rsidR="0023070C">
        <w:rPr>
          <w:rFonts w:ascii="Times New Roman" w:hAnsi="Times New Roman"/>
        </w:rPr>
        <w:lastRenderedPageBreak/>
        <w:t>freedmen)</w:t>
      </w:r>
      <w:r w:rsidR="008269E3" w:rsidRPr="009D590F">
        <w:rPr>
          <w:rFonts w:ascii="Times New Roman" w:hAnsi="Times New Roman"/>
        </w:rPr>
        <w:t xml:space="preserve"> </w:t>
      </w:r>
      <w:r w:rsidR="00376954" w:rsidRPr="009D590F">
        <w:rPr>
          <w:rFonts w:ascii="Times New Roman" w:hAnsi="Times New Roman"/>
        </w:rPr>
        <w:t>taking on such responsibilities</w:t>
      </w:r>
      <w:r w:rsidR="0028447A" w:rsidRPr="009D590F">
        <w:rPr>
          <w:rFonts w:ascii="Times New Roman" w:hAnsi="Times New Roman"/>
        </w:rPr>
        <w:t>.</w:t>
      </w:r>
      <w:r w:rsidR="0041381A" w:rsidRPr="009D590F">
        <w:rPr>
          <w:rStyle w:val="FootnoteReference"/>
          <w:rFonts w:ascii="Times New Roman" w:hAnsi="Times New Roman"/>
        </w:rPr>
        <w:footnoteReference w:id="66"/>
      </w:r>
      <w:r w:rsidR="0041381A">
        <w:rPr>
          <w:rFonts w:ascii="Times New Roman" w:hAnsi="Times New Roman"/>
        </w:rPr>
        <w:t xml:space="preserve"> In other words, the operation of </w:t>
      </w:r>
      <w:r w:rsidR="0041381A" w:rsidRPr="00814D41">
        <w:rPr>
          <w:rFonts w:ascii="Times New Roman" w:hAnsi="Times New Roman"/>
          <w:i/>
        </w:rPr>
        <w:t>caesurae</w:t>
      </w:r>
      <w:r w:rsidR="0041381A">
        <w:rPr>
          <w:rFonts w:ascii="Times New Roman" w:hAnsi="Times New Roman"/>
        </w:rPr>
        <w:t xml:space="preserve"> could be contracted out to private individuals. </w:t>
      </w:r>
    </w:p>
    <w:p w14:paraId="5B793793" w14:textId="62898612" w:rsidR="0041381A" w:rsidRDefault="0041381A" w:rsidP="0028447A">
      <w:pPr>
        <w:jc w:val="both"/>
        <w:rPr>
          <w:rFonts w:ascii="Times New Roman" w:hAnsi="Times New Roman"/>
        </w:rPr>
      </w:pPr>
      <w:r>
        <w:rPr>
          <w:rFonts w:ascii="Times New Roman" w:hAnsi="Times New Roman"/>
        </w:rPr>
        <w:tab/>
        <w:t xml:space="preserve">How these contracts with private partners worked is not clear from the usual </w:t>
      </w:r>
      <w:r w:rsidR="00E973CA">
        <w:rPr>
          <w:rFonts w:ascii="Times New Roman" w:hAnsi="Times New Roman"/>
        </w:rPr>
        <w:t>labels</w:t>
      </w:r>
      <w:r>
        <w:rPr>
          <w:rFonts w:ascii="Times New Roman" w:hAnsi="Times New Roman"/>
        </w:rPr>
        <w:t xml:space="preserve"> found on the quarried items. O</w:t>
      </w:r>
      <w:r w:rsidR="0028447A" w:rsidRPr="009D590F">
        <w:rPr>
          <w:rFonts w:ascii="Times New Roman" w:hAnsi="Times New Roman"/>
        </w:rPr>
        <w:t xml:space="preserve">wing to three rather ambiguous </w:t>
      </w:r>
      <w:r w:rsidR="00E973CA">
        <w:rPr>
          <w:rFonts w:ascii="Times New Roman" w:hAnsi="Times New Roman"/>
        </w:rPr>
        <w:t>labels</w:t>
      </w:r>
      <w:r w:rsidR="0028447A" w:rsidRPr="009D590F">
        <w:rPr>
          <w:rFonts w:ascii="Times New Roman" w:hAnsi="Times New Roman"/>
        </w:rPr>
        <w:t>,</w:t>
      </w:r>
      <w:r>
        <w:rPr>
          <w:rFonts w:ascii="Times New Roman" w:hAnsi="Times New Roman"/>
        </w:rPr>
        <w:t xml:space="preserve"> </w:t>
      </w:r>
      <w:r w:rsidR="00D86617">
        <w:rPr>
          <w:rFonts w:ascii="Times New Roman" w:hAnsi="Times New Roman"/>
        </w:rPr>
        <w:t>though</w:t>
      </w:r>
      <w:r>
        <w:rPr>
          <w:rFonts w:ascii="Times New Roman" w:hAnsi="Times New Roman"/>
        </w:rPr>
        <w:t xml:space="preserve">, </w:t>
      </w:r>
      <w:r w:rsidR="0028447A" w:rsidRPr="009D590F">
        <w:rPr>
          <w:rFonts w:ascii="Times New Roman" w:hAnsi="Times New Roman"/>
        </w:rPr>
        <w:t xml:space="preserve">we can glimpse internal accounting procedures in relation to </w:t>
      </w:r>
      <w:r w:rsidR="00963174" w:rsidRPr="009D590F">
        <w:rPr>
          <w:rFonts w:ascii="Times New Roman" w:hAnsi="Times New Roman"/>
        </w:rPr>
        <w:t>a</w:t>
      </w:r>
      <w:r w:rsidR="0028447A" w:rsidRPr="009D590F">
        <w:rPr>
          <w:rFonts w:ascii="Times New Roman" w:hAnsi="Times New Roman"/>
        </w:rPr>
        <w:t xml:space="preserve"> </w:t>
      </w:r>
      <w:r w:rsidR="0028447A" w:rsidRPr="009D590F">
        <w:rPr>
          <w:rFonts w:ascii="Times New Roman" w:hAnsi="Times New Roman"/>
          <w:i/>
        </w:rPr>
        <w:t>caesura</w:t>
      </w:r>
      <w:r w:rsidR="00814D41">
        <w:rPr>
          <w:rFonts w:ascii="Times New Roman" w:hAnsi="Times New Roman"/>
        </w:rPr>
        <w:t xml:space="preserve">. These allow us to reconstruct the contractual basis for the involvement of private individuals in </w:t>
      </w:r>
      <w:r w:rsidR="006A119B">
        <w:rPr>
          <w:rFonts w:ascii="Times New Roman" w:hAnsi="Times New Roman"/>
        </w:rPr>
        <w:t>im</w:t>
      </w:r>
      <w:r w:rsidR="00814D41">
        <w:rPr>
          <w:rFonts w:ascii="Times New Roman" w:hAnsi="Times New Roman"/>
        </w:rPr>
        <w:t>p</w:t>
      </w:r>
      <w:r w:rsidR="006A119B">
        <w:rPr>
          <w:rFonts w:ascii="Times New Roman" w:hAnsi="Times New Roman"/>
        </w:rPr>
        <w:t>e</w:t>
      </w:r>
      <w:r w:rsidR="00814D41">
        <w:rPr>
          <w:rFonts w:ascii="Times New Roman" w:hAnsi="Times New Roman"/>
        </w:rPr>
        <w:t>rial quarrying operations</w:t>
      </w:r>
      <w:r w:rsidR="00E973CA">
        <w:rPr>
          <w:rFonts w:ascii="Times New Roman" w:hAnsi="Times New Roman"/>
        </w:rPr>
        <w:t xml:space="preserve"> at </w:t>
      </w:r>
      <w:proofErr w:type="spellStart"/>
      <w:r w:rsidR="00E973CA">
        <w:rPr>
          <w:rFonts w:ascii="Times New Roman" w:hAnsi="Times New Roman"/>
        </w:rPr>
        <w:t>Bacakale</w:t>
      </w:r>
      <w:proofErr w:type="spellEnd"/>
      <w:r w:rsidR="00814D41">
        <w:rPr>
          <w:rFonts w:ascii="Times New Roman" w:hAnsi="Times New Roman"/>
        </w:rPr>
        <w:t>.</w:t>
      </w:r>
    </w:p>
    <w:p w14:paraId="69A7672B" w14:textId="77777777" w:rsidR="0041381A" w:rsidRDefault="0041381A" w:rsidP="0041381A">
      <w:pPr>
        <w:ind w:left="567"/>
        <w:jc w:val="both"/>
      </w:pPr>
    </w:p>
    <w:p w14:paraId="2F09F887" w14:textId="3CE649BB" w:rsidR="0041381A" w:rsidRPr="00814D41" w:rsidRDefault="0041381A" w:rsidP="0041381A">
      <w:pPr>
        <w:ind w:left="567"/>
        <w:jc w:val="both"/>
        <w:rPr>
          <w:sz w:val="20"/>
          <w:szCs w:val="20"/>
        </w:rPr>
      </w:pPr>
      <w:r w:rsidRPr="00814D41">
        <w:rPr>
          <w:sz w:val="20"/>
          <w:szCs w:val="20"/>
        </w:rPr>
        <w:t>Hirt 2010 App. no. 295 (no. 296 is similar)</w:t>
      </w:r>
    </w:p>
    <w:p w14:paraId="2C9022D8" w14:textId="57C7F0D1" w:rsidR="0041381A" w:rsidRPr="00814D41" w:rsidRDefault="0041381A" w:rsidP="0041381A">
      <w:pPr>
        <w:ind w:left="567"/>
        <w:jc w:val="both"/>
        <w:rPr>
          <w:rFonts w:ascii="Times New Roman" w:hAnsi="Times New Roman"/>
          <w:i/>
          <w:iCs/>
          <w:sz w:val="20"/>
          <w:szCs w:val="20"/>
        </w:rPr>
      </w:pPr>
      <w:proofErr w:type="spellStart"/>
      <w:r w:rsidRPr="00814D41">
        <w:rPr>
          <w:rFonts w:ascii="Times New Roman" w:hAnsi="Times New Roman"/>
          <w:i/>
          <w:iCs/>
          <w:sz w:val="20"/>
          <w:szCs w:val="20"/>
        </w:rPr>
        <w:t>Commodo</w:t>
      </w:r>
      <w:proofErr w:type="spellEnd"/>
      <w:r w:rsidRPr="00814D41">
        <w:rPr>
          <w:rFonts w:ascii="Times New Roman" w:hAnsi="Times New Roman"/>
          <w:i/>
          <w:iCs/>
          <w:sz w:val="20"/>
          <w:szCs w:val="20"/>
        </w:rPr>
        <w:t xml:space="preserve"> </w:t>
      </w:r>
      <w:proofErr w:type="spellStart"/>
      <w:r w:rsidRPr="00814D41">
        <w:rPr>
          <w:rFonts w:ascii="Times New Roman" w:hAnsi="Times New Roman"/>
          <w:i/>
          <w:iCs/>
          <w:sz w:val="20"/>
          <w:szCs w:val="20"/>
        </w:rPr>
        <w:t>dom</w:t>
      </w:r>
      <w:proofErr w:type="spellEnd"/>
      <w:r w:rsidRPr="00814D41">
        <w:rPr>
          <w:rFonts w:ascii="Times New Roman" w:hAnsi="Times New Roman"/>
          <w:iCs/>
          <w:sz w:val="20"/>
          <w:szCs w:val="20"/>
        </w:rPr>
        <w:t>(</w:t>
      </w:r>
      <w:proofErr w:type="spellStart"/>
      <w:r w:rsidRPr="00814D41">
        <w:rPr>
          <w:rFonts w:ascii="Times New Roman" w:hAnsi="Times New Roman"/>
          <w:i/>
          <w:iCs/>
          <w:sz w:val="20"/>
          <w:szCs w:val="20"/>
        </w:rPr>
        <w:t>ino</w:t>
      </w:r>
      <w:proofErr w:type="spellEnd"/>
      <w:r w:rsidRPr="00814D41">
        <w:rPr>
          <w:rFonts w:ascii="Times New Roman" w:hAnsi="Times New Roman"/>
          <w:iCs/>
          <w:sz w:val="20"/>
          <w:szCs w:val="20"/>
        </w:rPr>
        <w:t>)</w:t>
      </w:r>
      <w:r w:rsidRPr="00814D41">
        <w:rPr>
          <w:rFonts w:ascii="Times New Roman" w:hAnsi="Times New Roman"/>
          <w:i/>
          <w:iCs/>
          <w:sz w:val="20"/>
          <w:szCs w:val="20"/>
        </w:rPr>
        <w:t xml:space="preserve"> n</w:t>
      </w:r>
      <w:r w:rsidRPr="00814D41">
        <w:rPr>
          <w:rFonts w:ascii="Times New Roman" w:hAnsi="Times New Roman"/>
          <w:iCs/>
          <w:sz w:val="20"/>
          <w:szCs w:val="20"/>
        </w:rPr>
        <w:t>(</w:t>
      </w:r>
      <w:proofErr w:type="spellStart"/>
      <w:r w:rsidRPr="00814D41">
        <w:rPr>
          <w:rFonts w:ascii="Times New Roman" w:hAnsi="Times New Roman"/>
          <w:i/>
          <w:iCs/>
          <w:sz w:val="20"/>
          <w:szCs w:val="20"/>
        </w:rPr>
        <w:t>ostro</w:t>
      </w:r>
      <w:proofErr w:type="spellEnd"/>
      <w:r w:rsidRPr="00814D41">
        <w:rPr>
          <w:rFonts w:ascii="Times New Roman" w:hAnsi="Times New Roman"/>
          <w:iCs/>
          <w:sz w:val="20"/>
          <w:szCs w:val="20"/>
        </w:rPr>
        <w:t>)</w:t>
      </w:r>
      <w:r w:rsidRPr="00814D41">
        <w:rPr>
          <w:rFonts w:ascii="Times New Roman" w:hAnsi="Times New Roman"/>
          <w:i/>
          <w:iCs/>
          <w:sz w:val="20"/>
          <w:szCs w:val="20"/>
        </w:rPr>
        <w:t xml:space="preserve"> II et </w:t>
      </w:r>
      <w:proofErr w:type="spellStart"/>
      <w:r w:rsidRPr="00814D41">
        <w:rPr>
          <w:rFonts w:ascii="Times New Roman" w:hAnsi="Times New Roman"/>
          <w:i/>
          <w:iCs/>
          <w:sz w:val="20"/>
          <w:szCs w:val="20"/>
        </w:rPr>
        <w:t>Martio</w:t>
      </w:r>
      <w:proofErr w:type="spellEnd"/>
      <w:r w:rsidRPr="00814D41">
        <w:rPr>
          <w:rFonts w:ascii="Times New Roman" w:hAnsi="Times New Roman"/>
          <w:i/>
          <w:iCs/>
          <w:sz w:val="20"/>
          <w:szCs w:val="20"/>
        </w:rPr>
        <w:t xml:space="preserve"> | Vero II co</w:t>
      </w:r>
      <w:r w:rsidRPr="00814D41">
        <w:rPr>
          <w:rFonts w:ascii="Times New Roman" w:hAnsi="Times New Roman"/>
          <w:iCs/>
          <w:sz w:val="20"/>
          <w:szCs w:val="20"/>
        </w:rPr>
        <w:t>(</w:t>
      </w:r>
      <w:r w:rsidRPr="00814D41">
        <w:rPr>
          <w:rFonts w:ascii="Times New Roman" w:hAnsi="Times New Roman"/>
          <w:i/>
          <w:iCs/>
          <w:sz w:val="20"/>
          <w:szCs w:val="20"/>
        </w:rPr>
        <w:t>n</w:t>
      </w:r>
      <w:r w:rsidRPr="00814D41">
        <w:rPr>
          <w:rFonts w:ascii="Times New Roman" w:hAnsi="Times New Roman"/>
          <w:iCs/>
          <w:sz w:val="20"/>
          <w:szCs w:val="20"/>
        </w:rPr>
        <w:t>)</w:t>
      </w:r>
      <w:r w:rsidRPr="00814D41">
        <w:rPr>
          <w:rFonts w:ascii="Times New Roman" w:hAnsi="Times New Roman"/>
          <w:i/>
          <w:iCs/>
          <w:sz w:val="20"/>
          <w:szCs w:val="20"/>
        </w:rPr>
        <w:t>s</w:t>
      </w:r>
      <w:r w:rsidRPr="00814D41">
        <w:rPr>
          <w:rFonts w:ascii="Times New Roman" w:hAnsi="Times New Roman"/>
          <w:iCs/>
          <w:sz w:val="20"/>
          <w:szCs w:val="20"/>
        </w:rPr>
        <w:t>(</w:t>
      </w:r>
      <w:proofErr w:type="spellStart"/>
      <w:r w:rsidRPr="00814D41">
        <w:rPr>
          <w:rFonts w:ascii="Times New Roman" w:hAnsi="Times New Roman"/>
          <w:i/>
          <w:iCs/>
          <w:sz w:val="20"/>
          <w:szCs w:val="20"/>
        </w:rPr>
        <w:t>ulibus</w:t>
      </w:r>
      <w:proofErr w:type="spellEnd"/>
      <w:r w:rsidR="00814D41" w:rsidRPr="00814D41">
        <w:rPr>
          <w:rFonts w:ascii="Times New Roman" w:hAnsi="Times New Roman"/>
          <w:iCs/>
          <w:sz w:val="20"/>
          <w:szCs w:val="20"/>
        </w:rPr>
        <w:t>) (AD 179)</w:t>
      </w:r>
      <w:r w:rsidRPr="00814D41">
        <w:rPr>
          <w:rFonts w:ascii="Times New Roman" w:hAnsi="Times New Roman"/>
          <w:i/>
          <w:iCs/>
          <w:sz w:val="20"/>
          <w:szCs w:val="20"/>
        </w:rPr>
        <w:t xml:space="preserve"> </w:t>
      </w:r>
      <w:proofErr w:type="spellStart"/>
      <w:r w:rsidRPr="00814D41">
        <w:rPr>
          <w:rFonts w:ascii="Times New Roman" w:hAnsi="Times New Roman"/>
          <w:b/>
          <w:i/>
          <w:iCs/>
          <w:sz w:val="20"/>
          <w:szCs w:val="20"/>
        </w:rPr>
        <w:t>recept</w:t>
      </w:r>
      <w:r w:rsidRPr="00814D41">
        <w:rPr>
          <w:rFonts w:ascii="Times New Roman" w:hAnsi="Times New Roman"/>
          <w:b/>
          <w:i/>
          <w:sz w:val="20"/>
          <w:szCs w:val="20"/>
        </w:rPr>
        <w:t>̣i</w:t>
      </w:r>
      <w:proofErr w:type="spellEnd"/>
      <w:r w:rsidRPr="00814D41">
        <w:rPr>
          <w:rFonts w:ascii="Times New Roman" w:hAnsi="Times New Roman"/>
          <w:b/>
          <w:i/>
          <w:sz w:val="20"/>
          <w:szCs w:val="20"/>
        </w:rPr>
        <w:t xml:space="preserve"> </w:t>
      </w:r>
      <w:r w:rsidRPr="00814D41">
        <w:rPr>
          <w:rFonts w:ascii="Times New Roman" w:hAnsi="Times New Roman"/>
          <w:b/>
          <w:i/>
          <w:iCs/>
          <w:sz w:val="20"/>
          <w:szCs w:val="20"/>
        </w:rPr>
        <w:t>a</w:t>
      </w:r>
      <w:r w:rsidRPr="00814D41">
        <w:rPr>
          <w:rFonts w:ascii="Times New Roman" w:hAnsi="Times New Roman"/>
          <w:b/>
          <w:i/>
          <w:sz w:val="20"/>
          <w:szCs w:val="20"/>
        </w:rPr>
        <w:t xml:space="preserve"> </w:t>
      </w:r>
      <w:r w:rsidRPr="00814D41">
        <w:rPr>
          <w:rFonts w:ascii="Times New Roman" w:hAnsi="Times New Roman"/>
          <w:b/>
          <w:i/>
          <w:iCs/>
          <w:sz w:val="20"/>
          <w:szCs w:val="20"/>
        </w:rPr>
        <w:t xml:space="preserve">Tito | </w:t>
      </w:r>
      <w:proofErr w:type="spellStart"/>
      <w:r w:rsidRPr="00814D41">
        <w:rPr>
          <w:rFonts w:ascii="Times New Roman" w:hAnsi="Times New Roman"/>
          <w:b/>
          <w:i/>
          <w:iCs/>
          <w:sz w:val="20"/>
          <w:szCs w:val="20"/>
        </w:rPr>
        <w:t>nomene</w:t>
      </w:r>
      <w:proofErr w:type="spellEnd"/>
      <w:r w:rsidRPr="00814D41">
        <w:rPr>
          <w:rFonts w:ascii="Times New Roman" w:hAnsi="Times New Roman"/>
          <w:i/>
          <w:iCs/>
          <w:sz w:val="20"/>
          <w:szCs w:val="20"/>
        </w:rPr>
        <w:t xml:space="preserve"> </w:t>
      </w:r>
      <w:r w:rsidRPr="00814D41">
        <w:rPr>
          <w:rFonts w:ascii="Times New Roman" w:hAnsi="Times New Roman"/>
          <w:sz w:val="20"/>
          <w:szCs w:val="20"/>
        </w:rPr>
        <w:t xml:space="preserve">(!) </w:t>
      </w:r>
      <w:r w:rsidRPr="00814D41">
        <w:rPr>
          <w:rFonts w:ascii="Times New Roman" w:hAnsi="Times New Roman"/>
          <w:i/>
          <w:sz w:val="20"/>
          <w:szCs w:val="20"/>
        </w:rPr>
        <w:t>ZNT IOVI</w:t>
      </w:r>
      <w:r w:rsidRPr="00814D41">
        <w:rPr>
          <w:rFonts w:ascii="Times New Roman" w:hAnsi="Times New Roman"/>
          <w:sz w:val="20"/>
          <w:szCs w:val="20"/>
        </w:rPr>
        <w:t xml:space="preserve">[.] | [...] </w:t>
      </w:r>
      <w:r w:rsidRPr="00814D41">
        <w:rPr>
          <w:rFonts w:ascii="Times New Roman" w:hAnsi="Times New Roman"/>
          <w:i/>
          <w:sz w:val="20"/>
          <w:szCs w:val="20"/>
        </w:rPr>
        <w:t>b</w:t>
      </w:r>
      <w:r w:rsidRPr="00814D41">
        <w:rPr>
          <w:rFonts w:ascii="Times New Roman" w:hAnsi="Times New Roman"/>
          <w:sz w:val="20"/>
          <w:szCs w:val="20"/>
        </w:rPr>
        <w:t>(</w:t>
      </w:r>
      <w:proofErr w:type="spellStart"/>
      <w:r w:rsidRPr="00814D41">
        <w:rPr>
          <w:rFonts w:ascii="Times New Roman" w:hAnsi="Times New Roman"/>
          <w:i/>
          <w:sz w:val="20"/>
          <w:szCs w:val="20"/>
        </w:rPr>
        <w:t>racchio</w:t>
      </w:r>
      <w:proofErr w:type="spellEnd"/>
      <w:r w:rsidRPr="00814D41">
        <w:rPr>
          <w:rFonts w:ascii="Times New Roman" w:hAnsi="Times New Roman"/>
          <w:sz w:val="20"/>
          <w:szCs w:val="20"/>
        </w:rPr>
        <w:t xml:space="preserve">) </w:t>
      </w:r>
      <w:proofErr w:type="spellStart"/>
      <w:r w:rsidRPr="00814D41">
        <w:rPr>
          <w:rFonts w:ascii="Times New Roman" w:hAnsi="Times New Roman"/>
          <w:i/>
          <w:sz w:val="20"/>
          <w:szCs w:val="20"/>
        </w:rPr>
        <w:t>quar</w:t>
      </w:r>
      <w:proofErr w:type="spellEnd"/>
      <w:r w:rsidRPr="00814D41">
        <w:rPr>
          <w:rFonts w:ascii="Times New Roman" w:hAnsi="Times New Roman"/>
          <w:sz w:val="20"/>
          <w:szCs w:val="20"/>
        </w:rPr>
        <w:t>(</w:t>
      </w:r>
      <w:r w:rsidRPr="00814D41">
        <w:rPr>
          <w:rFonts w:ascii="Times New Roman" w:hAnsi="Times New Roman"/>
          <w:i/>
          <w:sz w:val="20"/>
          <w:szCs w:val="20"/>
        </w:rPr>
        <w:t>to</w:t>
      </w:r>
      <w:r w:rsidRPr="00814D41">
        <w:rPr>
          <w:rFonts w:ascii="Times New Roman" w:hAnsi="Times New Roman"/>
          <w:sz w:val="20"/>
          <w:szCs w:val="20"/>
        </w:rPr>
        <w:t>)</w:t>
      </w:r>
      <w:r w:rsidRPr="00814D41">
        <w:rPr>
          <w:rFonts w:ascii="Times New Roman" w:hAnsi="Times New Roman"/>
          <w:i/>
          <w:iCs/>
          <w:sz w:val="20"/>
          <w:szCs w:val="20"/>
        </w:rPr>
        <w:t xml:space="preserve"> </w:t>
      </w:r>
    </w:p>
    <w:p w14:paraId="2E89ADCF" w14:textId="77777777" w:rsidR="0041381A" w:rsidRPr="00814D41" w:rsidRDefault="0041381A" w:rsidP="0041381A">
      <w:pPr>
        <w:ind w:left="567"/>
        <w:jc w:val="both"/>
        <w:rPr>
          <w:rFonts w:ascii="Times New Roman" w:hAnsi="Times New Roman"/>
          <w:sz w:val="20"/>
          <w:szCs w:val="20"/>
        </w:rPr>
      </w:pPr>
    </w:p>
    <w:p w14:paraId="30957D1B" w14:textId="1A725092" w:rsidR="0041381A" w:rsidRPr="00814D41" w:rsidRDefault="0041381A" w:rsidP="0041381A">
      <w:pPr>
        <w:ind w:left="567"/>
        <w:jc w:val="both"/>
        <w:rPr>
          <w:rFonts w:ascii="Times New Roman" w:hAnsi="Times New Roman"/>
          <w:sz w:val="20"/>
          <w:szCs w:val="20"/>
        </w:rPr>
      </w:pPr>
      <w:r w:rsidRPr="00814D41">
        <w:rPr>
          <w:rFonts w:ascii="Times New Roman" w:hAnsi="Times New Roman"/>
          <w:sz w:val="20"/>
          <w:szCs w:val="20"/>
        </w:rPr>
        <w:t xml:space="preserve">‘received from Titus, in the name of … (?)’. </w:t>
      </w:r>
    </w:p>
    <w:p w14:paraId="2C3F7B84" w14:textId="77777777" w:rsidR="0041381A" w:rsidRPr="00814D41" w:rsidRDefault="0041381A" w:rsidP="0041381A">
      <w:pPr>
        <w:ind w:left="567"/>
        <w:jc w:val="both"/>
        <w:rPr>
          <w:rFonts w:ascii="Times New Roman" w:hAnsi="Times New Roman"/>
          <w:sz w:val="20"/>
          <w:szCs w:val="20"/>
        </w:rPr>
      </w:pPr>
    </w:p>
    <w:p w14:paraId="71ED36F8" w14:textId="6A71D684" w:rsidR="0041381A" w:rsidRPr="00814D41" w:rsidRDefault="0041381A" w:rsidP="0041381A">
      <w:pPr>
        <w:ind w:left="567"/>
        <w:jc w:val="both"/>
        <w:rPr>
          <w:rFonts w:ascii="Times New Roman" w:hAnsi="Times New Roman"/>
          <w:sz w:val="20"/>
          <w:szCs w:val="20"/>
        </w:rPr>
      </w:pPr>
      <w:r w:rsidRPr="00814D41">
        <w:rPr>
          <w:rFonts w:ascii="Times New Roman" w:hAnsi="Times New Roman"/>
          <w:sz w:val="20"/>
          <w:szCs w:val="20"/>
        </w:rPr>
        <w:t>Hirt 2010 App. no.300</w:t>
      </w:r>
    </w:p>
    <w:p w14:paraId="3462B0D8" w14:textId="52D25AC3" w:rsidR="0041381A" w:rsidRPr="00814D41" w:rsidRDefault="0041381A" w:rsidP="0041381A">
      <w:pPr>
        <w:ind w:left="567"/>
        <w:jc w:val="both"/>
        <w:rPr>
          <w:rFonts w:ascii="Times New Roman" w:hAnsi="Times New Roman"/>
          <w:i/>
          <w:iCs/>
          <w:sz w:val="20"/>
          <w:szCs w:val="20"/>
        </w:rPr>
      </w:pPr>
      <w:proofErr w:type="spellStart"/>
      <w:r w:rsidRPr="00814D41">
        <w:rPr>
          <w:rFonts w:ascii="Times New Roman" w:hAnsi="Times New Roman"/>
          <w:i/>
          <w:iCs/>
          <w:sz w:val="20"/>
          <w:szCs w:val="20"/>
        </w:rPr>
        <w:t>Commodo</w:t>
      </w:r>
      <w:proofErr w:type="spellEnd"/>
      <w:r w:rsidRPr="00814D41">
        <w:rPr>
          <w:rFonts w:ascii="Times New Roman" w:hAnsi="Times New Roman"/>
          <w:i/>
          <w:iCs/>
          <w:sz w:val="20"/>
          <w:szCs w:val="20"/>
        </w:rPr>
        <w:t xml:space="preserve"> </w:t>
      </w:r>
      <w:proofErr w:type="spellStart"/>
      <w:r w:rsidRPr="00814D41">
        <w:rPr>
          <w:rFonts w:ascii="Times New Roman" w:hAnsi="Times New Roman"/>
          <w:i/>
          <w:iCs/>
          <w:sz w:val="20"/>
          <w:szCs w:val="20"/>
        </w:rPr>
        <w:t>dom</w:t>
      </w:r>
      <w:proofErr w:type="spellEnd"/>
      <w:r w:rsidRPr="00814D41">
        <w:rPr>
          <w:rFonts w:ascii="Times New Roman" w:hAnsi="Times New Roman"/>
          <w:iCs/>
          <w:sz w:val="20"/>
          <w:szCs w:val="20"/>
        </w:rPr>
        <w:t>(</w:t>
      </w:r>
      <w:proofErr w:type="spellStart"/>
      <w:r w:rsidRPr="00814D41">
        <w:rPr>
          <w:rFonts w:ascii="Times New Roman" w:hAnsi="Times New Roman"/>
          <w:i/>
          <w:iCs/>
          <w:sz w:val="20"/>
          <w:szCs w:val="20"/>
        </w:rPr>
        <w:t>ino</w:t>
      </w:r>
      <w:proofErr w:type="spellEnd"/>
      <w:r w:rsidRPr="00814D41">
        <w:rPr>
          <w:rFonts w:ascii="Times New Roman" w:hAnsi="Times New Roman"/>
          <w:iCs/>
          <w:sz w:val="20"/>
          <w:szCs w:val="20"/>
        </w:rPr>
        <w:t>)</w:t>
      </w:r>
      <w:r w:rsidRPr="00814D41">
        <w:rPr>
          <w:rFonts w:ascii="Times New Roman" w:hAnsi="Times New Roman"/>
          <w:i/>
          <w:iCs/>
          <w:sz w:val="20"/>
          <w:szCs w:val="20"/>
        </w:rPr>
        <w:t xml:space="preserve"> n</w:t>
      </w:r>
      <w:r w:rsidRPr="00814D41">
        <w:rPr>
          <w:rFonts w:ascii="Times New Roman" w:hAnsi="Times New Roman"/>
          <w:iCs/>
          <w:sz w:val="20"/>
          <w:szCs w:val="20"/>
        </w:rPr>
        <w:t>(</w:t>
      </w:r>
      <w:proofErr w:type="spellStart"/>
      <w:r w:rsidRPr="00814D41">
        <w:rPr>
          <w:rFonts w:ascii="Times New Roman" w:hAnsi="Times New Roman"/>
          <w:i/>
          <w:iCs/>
          <w:sz w:val="20"/>
          <w:szCs w:val="20"/>
        </w:rPr>
        <w:t>ostro</w:t>
      </w:r>
      <w:proofErr w:type="spellEnd"/>
      <w:r w:rsidRPr="00814D41">
        <w:rPr>
          <w:rFonts w:ascii="Times New Roman" w:hAnsi="Times New Roman"/>
          <w:iCs/>
          <w:sz w:val="20"/>
          <w:szCs w:val="20"/>
        </w:rPr>
        <w:t>)</w:t>
      </w:r>
      <w:r w:rsidRPr="00814D41">
        <w:rPr>
          <w:rFonts w:ascii="Times New Roman" w:hAnsi="Times New Roman"/>
          <w:i/>
          <w:iCs/>
          <w:sz w:val="20"/>
          <w:szCs w:val="20"/>
        </w:rPr>
        <w:t xml:space="preserve"> II et </w:t>
      </w:r>
      <w:r w:rsidRPr="00814D41">
        <w:rPr>
          <w:rFonts w:ascii="Times New Roman" w:hAnsi="Times New Roman"/>
          <w:iCs/>
          <w:sz w:val="20"/>
          <w:szCs w:val="20"/>
        </w:rPr>
        <w:t>[</w:t>
      </w:r>
      <w:proofErr w:type="spellStart"/>
      <w:proofErr w:type="gramStart"/>
      <w:r w:rsidRPr="00814D41">
        <w:rPr>
          <w:rFonts w:ascii="Times New Roman" w:hAnsi="Times New Roman"/>
          <w:i/>
          <w:iCs/>
          <w:sz w:val="20"/>
          <w:szCs w:val="20"/>
        </w:rPr>
        <w:t>Martio</w:t>
      </w:r>
      <w:proofErr w:type="spellEnd"/>
      <w:r w:rsidRPr="00814D41">
        <w:rPr>
          <w:rFonts w:ascii="Times New Roman" w:hAnsi="Times New Roman"/>
          <w:i/>
          <w:iCs/>
          <w:sz w:val="20"/>
          <w:szCs w:val="20"/>
        </w:rPr>
        <w:t xml:space="preserve">  Vero</w:t>
      </w:r>
      <w:proofErr w:type="gramEnd"/>
      <w:r w:rsidRPr="00814D41">
        <w:rPr>
          <w:rFonts w:ascii="Times New Roman" w:hAnsi="Times New Roman"/>
          <w:i/>
          <w:iCs/>
          <w:sz w:val="20"/>
          <w:szCs w:val="20"/>
        </w:rPr>
        <w:t xml:space="preserve"> co</w:t>
      </w:r>
      <w:r w:rsidRPr="00814D41">
        <w:rPr>
          <w:rFonts w:ascii="Times New Roman" w:hAnsi="Times New Roman"/>
          <w:iCs/>
          <w:sz w:val="20"/>
          <w:szCs w:val="20"/>
        </w:rPr>
        <w:t>(</w:t>
      </w:r>
      <w:r w:rsidRPr="00814D41">
        <w:rPr>
          <w:rFonts w:ascii="Times New Roman" w:hAnsi="Times New Roman"/>
          <w:i/>
          <w:iCs/>
          <w:sz w:val="20"/>
          <w:szCs w:val="20"/>
        </w:rPr>
        <w:t>n</w:t>
      </w:r>
      <w:r w:rsidRPr="00814D41">
        <w:rPr>
          <w:rFonts w:ascii="Times New Roman" w:hAnsi="Times New Roman"/>
          <w:iCs/>
          <w:sz w:val="20"/>
          <w:szCs w:val="20"/>
        </w:rPr>
        <w:t>)</w:t>
      </w:r>
      <w:r w:rsidRPr="00814D41">
        <w:rPr>
          <w:rFonts w:ascii="Times New Roman" w:hAnsi="Times New Roman"/>
          <w:i/>
          <w:iCs/>
          <w:sz w:val="20"/>
          <w:szCs w:val="20"/>
        </w:rPr>
        <w:t>s</w:t>
      </w:r>
      <w:r w:rsidRPr="00814D41">
        <w:rPr>
          <w:rFonts w:ascii="Times New Roman" w:hAnsi="Times New Roman"/>
          <w:iCs/>
          <w:sz w:val="20"/>
          <w:szCs w:val="20"/>
        </w:rPr>
        <w:t>(</w:t>
      </w:r>
      <w:proofErr w:type="spellStart"/>
      <w:r w:rsidRPr="00814D41">
        <w:rPr>
          <w:rFonts w:ascii="Times New Roman" w:hAnsi="Times New Roman"/>
          <w:i/>
          <w:iCs/>
          <w:sz w:val="20"/>
          <w:szCs w:val="20"/>
        </w:rPr>
        <w:t>ulibus</w:t>
      </w:r>
      <w:proofErr w:type="spellEnd"/>
      <w:r w:rsidRPr="00814D41">
        <w:rPr>
          <w:rFonts w:ascii="Times New Roman" w:hAnsi="Times New Roman"/>
          <w:iCs/>
          <w:sz w:val="20"/>
          <w:szCs w:val="20"/>
        </w:rPr>
        <w:t>)</w:t>
      </w:r>
      <w:r w:rsidRPr="00814D41">
        <w:rPr>
          <w:rFonts w:ascii="Times New Roman" w:hAnsi="Times New Roman"/>
          <w:i/>
          <w:iCs/>
          <w:sz w:val="20"/>
          <w:szCs w:val="20"/>
        </w:rPr>
        <w:t xml:space="preserve"> II</w:t>
      </w:r>
      <w:r w:rsidR="00814D41" w:rsidRPr="00814D41">
        <w:rPr>
          <w:rFonts w:ascii="Times New Roman" w:hAnsi="Times New Roman"/>
          <w:iCs/>
          <w:sz w:val="20"/>
          <w:szCs w:val="20"/>
        </w:rPr>
        <w:t>(AD 179)</w:t>
      </w:r>
      <w:r w:rsidRPr="00814D41">
        <w:rPr>
          <w:rFonts w:ascii="Times New Roman" w:hAnsi="Times New Roman"/>
          <w:i/>
          <w:iCs/>
          <w:sz w:val="20"/>
          <w:szCs w:val="20"/>
        </w:rPr>
        <w:t xml:space="preserve"> </w:t>
      </w:r>
      <w:r w:rsidRPr="00814D41">
        <w:rPr>
          <w:rFonts w:ascii="Times New Roman" w:hAnsi="Times New Roman"/>
          <w:iCs/>
          <w:sz w:val="20"/>
          <w:szCs w:val="20"/>
        </w:rPr>
        <w:t>]</w:t>
      </w:r>
      <w:proofErr w:type="spellStart"/>
      <w:r w:rsidRPr="00814D41">
        <w:rPr>
          <w:rFonts w:ascii="Times New Roman" w:hAnsi="Times New Roman"/>
          <w:b/>
          <w:i/>
          <w:iCs/>
          <w:sz w:val="20"/>
          <w:szCs w:val="20"/>
        </w:rPr>
        <w:t>recepti</w:t>
      </w:r>
      <w:proofErr w:type="spellEnd"/>
      <w:r w:rsidRPr="00814D41">
        <w:rPr>
          <w:rFonts w:ascii="Times New Roman" w:hAnsi="Times New Roman"/>
          <w:b/>
          <w:i/>
          <w:iCs/>
          <w:sz w:val="20"/>
          <w:szCs w:val="20"/>
        </w:rPr>
        <w:t xml:space="preserve"> ex </w:t>
      </w:r>
      <w:proofErr w:type="spellStart"/>
      <w:r w:rsidRPr="00814D41">
        <w:rPr>
          <w:rFonts w:ascii="Times New Roman" w:hAnsi="Times New Roman"/>
          <w:b/>
          <w:i/>
          <w:iCs/>
          <w:sz w:val="20"/>
          <w:szCs w:val="20"/>
        </w:rPr>
        <w:t>officina</w:t>
      </w:r>
      <w:proofErr w:type="spellEnd"/>
      <w:r w:rsidRPr="00814D41">
        <w:rPr>
          <w:rFonts w:ascii="Times New Roman" w:hAnsi="Times New Roman"/>
          <w:b/>
          <w:i/>
          <w:iCs/>
          <w:sz w:val="20"/>
          <w:szCs w:val="20"/>
        </w:rPr>
        <w:t xml:space="preserve"> </w:t>
      </w:r>
      <w:proofErr w:type="spellStart"/>
      <w:r w:rsidRPr="00814D41">
        <w:rPr>
          <w:rFonts w:ascii="Times New Roman" w:hAnsi="Times New Roman"/>
          <w:b/>
          <w:i/>
          <w:iCs/>
          <w:sz w:val="20"/>
          <w:szCs w:val="20"/>
        </w:rPr>
        <w:t>Prusaen</w:t>
      </w:r>
      <w:proofErr w:type="spellEnd"/>
      <w:r w:rsidRPr="00814D41">
        <w:rPr>
          <w:rFonts w:ascii="Times New Roman" w:hAnsi="Times New Roman"/>
          <w:b/>
          <w:sz w:val="20"/>
          <w:szCs w:val="20"/>
        </w:rPr>
        <w:t>[</w:t>
      </w:r>
      <w:proofErr w:type="spellStart"/>
      <w:r w:rsidRPr="00814D41">
        <w:rPr>
          <w:rFonts w:ascii="Times New Roman" w:hAnsi="Times New Roman"/>
          <w:b/>
          <w:i/>
          <w:iCs/>
          <w:sz w:val="20"/>
          <w:szCs w:val="20"/>
        </w:rPr>
        <w:t>si</w:t>
      </w:r>
      <w:proofErr w:type="spellEnd"/>
      <w:r w:rsidRPr="00814D41">
        <w:rPr>
          <w:rFonts w:ascii="Times New Roman" w:hAnsi="Times New Roman"/>
          <w:b/>
          <w:sz w:val="20"/>
          <w:szCs w:val="20"/>
        </w:rPr>
        <w:t>—]/</w:t>
      </w:r>
      <w:r w:rsidRPr="00814D41">
        <w:rPr>
          <w:rFonts w:ascii="Times New Roman" w:hAnsi="Times New Roman"/>
          <w:b/>
          <w:i/>
          <w:iCs/>
          <w:sz w:val="20"/>
          <w:szCs w:val="20"/>
        </w:rPr>
        <w:t>in</w:t>
      </w:r>
      <w:r w:rsidRPr="00814D41">
        <w:rPr>
          <w:rFonts w:ascii="Times New Roman" w:hAnsi="Times New Roman"/>
          <w:b/>
          <w:sz w:val="20"/>
          <w:szCs w:val="20"/>
        </w:rPr>
        <w:t xml:space="preserve"> </w:t>
      </w:r>
      <w:proofErr w:type="spellStart"/>
      <w:r w:rsidRPr="00814D41">
        <w:rPr>
          <w:rFonts w:ascii="Times New Roman" w:hAnsi="Times New Roman"/>
          <w:b/>
          <w:i/>
          <w:iCs/>
          <w:sz w:val="20"/>
          <w:szCs w:val="20"/>
        </w:rPr>
        <w:t>loc</w:t>
      </w:r>
      <w:proofErr w:type="spellEnd"/>
      <w:r w:rsidRPr="00814D41">
        <w:rPr>
          <w:rFonts w:ascii="Times New Roman" w:hAnsi="Times New Roman"/>
          <w:b/>
          <w:sz w:val="20"/>
          <w:szCs w:val="20"/>
        </w:rPr>
        <w:t>{</w:t>
      </w:r>
      <w:r w:rsidRPr="00814D41">
        <w:rPr>
          <w:rFonts w:ascii="Times New Roman" w:hAnsi="Times New Roman"/>
          <w:b/>
          <w:i/>
          <w:iCs/>
          <w:sz w:val="20"/>
          <w:szCs w:val="20"/>
        </w:rPr>
        <w:t>q</w:t>
      </w:r>
      <w:r w:rsidRPr="00814D41">
        <w:rPr>
          <w:rFonts w:ascii="Times New Roman" w:hAnsi="Times New Roman"/>
          <w:b/>
          <w:sz w:val="20"/>
          <w:szCs w:val="20"/>
        </w:rPr>
        <w:t>}</w:t>
      </w:r>
      <w:r w:rsidRPr="00814D41">
        <w:rPr>
          <w:rFonts w:ascii="Times New Roman" w:hAnsi="Times New Roman"/>
          <w:b/>
          <w:i/>
          <w:iCs/>
          <w:sz w:val="20"/>
          <w:szCs w:val="20"/>
        </w:rPr>
        <w:t>um</w:t>
      </w:r>
      <w:r w:rsidRPr="00814D41">
        <w:rPr>
          <w:rFonts w:ascii="Times New Roman" w:hAnsi="Times New Roman"/>
          <w:b/>
          <w:sz w:val="20"/>
          <w:szCs w:val="20"/>
        </w:rPr>
        <w:t xml:space="preserve"> </w:t>
      </w:r>
      <w:proofErr w:type="spellStart"/>
      <w:r w:rsidRPr="00814D41">
        <w:rPr>
          <w:rFonts w:ascii="Times New Roman" w:hAnsi="Times New Roman"/>
          <w:b/>
          <w:i/>
          <w:iCs/>
          <w:sz w:val="20"/>
          <w:szCs w:val="20"/>
        </w:rPr>
        <w:t>lapidum</w:t>
      </w:r>
      <w:proofErr w:type="spellEnd"/>
      <w:r w:rsidRPr="00814D41">
        <w:rPr>
          <w:rFonts w:ascii="Times New Roman" w:hAnsi="Times New Roman"/>
          <w:b/>
          <w:i/>
          <w:iCs/>
          <w:sz w:val="20"/>
          <w:szCs w:val="20"/>
        </w:rPr>
        <w:t xml:space="preserve"> </w:t>
      </w:r>
      <w:proofErr w:type="spellStart"/>
      <w:r w:rsidRPr="00814D41">
        <w:rPr>
          <w:rFonts w:ascii="Times New Roman" w:hAnsi="Times New Roman"/>
          <w:b/>
          <w:i/>
          <w:iCs/>
          <w:sz w:val="20"/>
          <w:szCs w:val="20"/>
        </w:rPr>
        <w:t>quọṣ</w:t>
      </w:r>
      <w:proofErr w:type="spellEnd"/>
      <w:r w:rsidRPr="00814D41">
        <w:rPr>
          <w:rFonts w:ascii="Times New Roman" w:hAnsi="Times New Roman"/>
          <w:b/>
          <w:i/>
          <w:iCs/>
          <w:sz w:val="20"/>
          <w:szCs w:val="20"/>
        </w:rPr>
        <w:t xml:space="preserve"> </w:t>
      </w:r>
      <w:proofErr w:type="spellStart"/>
      <w:r w:rsidRPr="00814D41">
        <w:rPr>
          <w:rFonts w:ascii="Times New Roman" w:hAnsi="Times New Roman"/>
          <w:b/>
          <w:i/>
          <w:iCs/>
          <w:sz w:val="20"/>
          <w:szCs w:val="20"/>
        </w:rPr>
        <w:t>receperat</w:t>
      </w:r>
      <w:proofErr w:type="spellEnd"/>
      <w:r w:rsidRPr="00814D41">
        <w:rPr>
          <w:rFonts w:ascii="Times New Roman" w:hAnsi="Times New Roman"/>
          <w:b/>
          <w:i/>
          <w:iCs/>
          <w:sz w:val="20"/>
          <w:szCs w:val="20"/>
        </w:rPr>
        <w:t xml:space="preserve"> </w:t>
      </w:r>
      <w:proofErr w:type="spellStart"/>
      <w:r w:rsidRPr="00814D41">
        <w:rPr>
          <w:rFonts w:ascii="Times New Roman" w:hAnsi="Times New Roman"/>
          <w:b/>
          <w:i/>
          <w:iCs/>
          <w:sz w:val="20"/>
          <w:szCs w:val="20"/>
        </w:rPr>
        <w:t>promutuo</w:t>
      </w:r>
      <w:proofErr w:type="spellEnd"/>
      <w:r w:rsidRPr="00814D41">
        <w:rPr>
          <w:rFonts w:ascii="Times New Roman" w:hAnsi="Times New Roman"/>
          <w:b/>
          <w:i/>
          <w:iCs/>
          <w:sz w:val="20"/>
          <w:szCs w:val="20"/>
        </w:rPr>
        <w:t xml:space="preserve"> Titus ex caesura </w:t>
      </w:r>
      <w:proofErr w:type="spellStart"/>
      <w:r w:rsidRPr="00814D41">
        <w:rPr>
          <w:rFonts w:ascii="Times New Roman" w:hAnsi="Times New Roman"/>
          <w:b/>
          <w:i/>
          <w:iCs/>
          <w:sz w:val="20"/>
          <w:szCs w:val="20"/>
        </w:rPr>
        <w:t>Veteris</w:t>
      </w:r>
      <w:proofErr w:type="spellEnd"/>
      <w:r w:rsidRPr="00814D41">
        <w:rPr>
          <w:rFonts w:ascii="Times New Roman" w:hAnsi="Times New Roman"/>
          <w:b/>
          <w:sz w:val="20"/>
          <w:szCs w:val="20"/>
        </w:rPr>
        <w:t xml:space="preserve">, </w:t>
      </w:r>
    </w:p>
    <w:p w14:paraId="242D8910" w14:textId="77777777" w:rsidR="0041381A" w:rsidRPr="00814D41" w:rsidRDefault="0041381A" w:rsidP="0041381A">
      <w:pPr>
        <w:ind w:left="567"/>
        <w:jc w:val="both"/>
        <w:rPr>
          <w:rFonts w:ascii="Times New Roman" w:hAnsi="Times New Roman"/>
          <w:sz w:val="20"/>
          <w:szCs w:val="20"/>
        </w:rPr>
      </w:pPr>
      <w:r w:rsidRPr="00814D41">
        <w:rPr>
          <w:rFonts w:ascii="Times New Roman" w:hAnsi="Times New Roman"/>
          <w:sz w:val="20"/>
          <w:szCs w:val="20"/>
        </w:rPr>
        <w:t xml:space="preserve"> </w:t>
      </w:r>
    </w:p>
    <w:p w14:paraId="492725E9" w14:textId="539F5FDD" w:rsidR="0041381A" w:rsidRPr="00814D41" w:rsidRDefault="0041381A" w:rsidP="0041381A">
      <w:pPr>
        <w:ind w:left="567"/>
        <w:jc w:val="both"/>
        <w:rPr>
          <w:rFonts w:ascii="Times New Roman" w:hAnsi="Times New Roman"/>
          <w:sz w:val="20"/>
          <w:szCs w:val="20"/>
        </w:rPr>
      </w:pPr>
      <w:r w:rsidRPr="00814D41">
        <w:rPr>
          <w:rFonts w:ascii="Times New Roman" w:hAnsi="Times New Roman"/>
          <w:sz w:val="20"/>
          <w:szCs w:val="20"/>
        </w:rPr>
        <w:t xml:space="preserve">‘(stones) received from the </w:t>
      </w:r>
      <w:proofErr w:type="spellStart"/>
      <w:r w:rsidRPr="00814D41">
        <w:rPr>
          <w:rFonts w:ascii="Times New Roman" w:hAnsi="Times New Roman"/>
          <w:i/>
          <w:iCs/>
          <w:sz w:val="20"/>
          <w:szCs w:val="20"/>
        </w:rPr>
        <w:t>officina</w:t>
      </w:r>
      <w:proofErr w:type="spellEnd"/>
      <w:r w:rsidRPr="00814D41">
        <w:rPr>
          <w:rFonts w:ascii="Times New Roman" w:hAnsi="Times New Roman"/>
          <w:i/>
          <w:iCs/>
          <w:sz w:val="20"/>
          <w:szCs w:val="20"/>
        </w:rPr>
        <w:t xml:space="preserve"> </w:t>
      </w:r>
      <w:r w:rsidRPr="00814D41">
        <w:rPr>
          <w:rFonts w:ascii="Times New Roman" w:hAnsi="Times New Roman"/>
          <w:sz w:val="20"/>
          <w:szCs w:val="20"/>
        </w:rPr>
        <w:t xml:space="preserve">of </w:t>
      </w:r>
      <w:proofErr w:type="spellStart"/>
      <w:r w:rsidRPr="00814D41">
        <w:rPr>
          <w:rFonts w:ascii="Times New Roman" w:hAnsi="Times New Roman"/>
          <w:sz w:val="20"/>
          <w:szCs w:val="20"/>
        </w:rPr>
        <w:t>Prusa</w:t>
      </w:r>
      <w:proofErr w:type="spellEnd"/>
      <w:r w:rsidRPr="00814D41">
        <w:rPr>
          <w:rFonts w:ascii="Times New Roman" w:hAnsi="Times New Roman"/>
          <w:sz w:val="20"/>
          <w:szCs w:val="20"/>
        </w:rPr>
        <w:t xml:space="preserve"> [—] in place of the stones which Titus received as a loan (</w:t>
      </w:r>
      <w:proofErr w:type="spellStart"/>
      <w:r w:rsidRPr="00814D41">
        <w:rPr>
          <w:rFonts w:ascii="Times New Roman" w:hAnsi="Times New Roman"/>
          <w:i/>
          <w:iCs/>
          <w:sz w:val="20"/>
          <w:szCs w:val="20"/>
        </w:rPr>
        <w:t>promutuo</w:t>
      </w:r>
      <w:proofErr w:type="spellEnd"/>
      <w:r w:rsidRPr="00814D41">
        <w:rPr>
          <w:rFonts w:ascii="Times New Roman" w:hAnsi="Times New Roman"/>
          <w:sz w:val="20"/>
          <w:szCs w:val="20"/>
        </w:rPr>
        <w:t xml:space="preserve">) from the </w:t>
      </w:r>
      <w:r w:rsidRPr="00814D41">
        <w:rPr>
          <w:rFonts w:ascii="Times New Roman" w:hAnsi="Times New Roman"/>
          <w:i/>
          <w:iCs/>
          <w:sz w:val="20"/>
          <w:szCs w:val="20"/>
        </w:rPr>
        <w:t xml:space="preserve">caesura </w:t>
      </w:r>
      <w:r w:rsidRPr="00814D41">
        <w:rPr>
          <w:rFonts w:ascii="Times New Roman" w:hAnsi="Times New Roman"/>
          <w:sz w:val="20"/>
          <w:szCs w:val="20"/>
        </w:rPr>
        <w:t xml:space="preserve">of </w:t>
      </w:r>
      <w:proofErr w:type="spellStart"/>
      <w:r w:rsidRPr="00814D41">
        <w:rPr>
          <w:rFonts w:ascii="Times New Roman" w:hAnsi="Times New Roman"/>
          <w:sz w:val="20"/>
          <w:szCs w:val="20"/>
        </w:rPr>
        <w:t>Vetus</w:t>
      </w:r>
      <w:proofErr w:type="spellEnd"/>
      <w:r w:rsidRPr="00814D41">
        <w:rPr>
          <w:rFonts w:ascii="Times New Roman" w:hAnsi="Times New Roman"/>
          <w:sz w:val="20"/>
          <w:szCs w:val="20"/>
        </w:rPr>
        <w:t xml:space="preserve">’. </w:t>
      </w:r>
    </w:p>
    <w:p w14:paraId="057260A2" w14:textId="0FF1D383" w:rsidR="0041381A" w:rsidRDefault="0041381A" w:rsidP="0028447A">
      <w:pPr>
        <w:jc w:val="both"/>
        <w:rPr>
          <w:rFonts w:ascii="Times New Roman" w:hAnsi="Times New Roman"/>
        </w:rPr>
      </w:pPr>
    </w:p>
    <w:p w14:paraId="040A9A1B" w14:textId="5AC0E2C3" w:rsidR="00D86617" w:rsidRDefault="00366A56" w:rsidP="006F4F94">
      <w:pPr>
        <w:jc w:val="both"/>
        <w:rPr>
          <w:rFonts w:ascii="Times New Roman" w:hAnsi="Times New Roman"/>
        </w:rPr>
      </w:pPr>
      <w:r w:rsidRPr="009D590F">
        <w:rPr>
          <w:rFonts w:ascii="Times New Roman" w:hAnsi="Times New Roman"/>
        </w:rPr>
        <w:t xml:space="preserve">These inscriptions seem to indicate that </w:t>
      </w:r>
      <w:r w:rsidR="0028447A" w:rsidRPr="009D590F">
        <w:rPr>
          <w:rFonts w:ascii="Times New Roman" w:hAnsi="Times New Roman"/>
        </w:rPr>
        <w:t xml:space="preserve">stones </w:t>
      </w:r>
      <w:r w:rsidRPr="009D590F">
        <w:rPr>
          <w:rFonts w:ascii="Times New Roman" w:hAnsi="Times New Roman"/>
        </w:rPr>
        <w:t>were</w:t>
      </w:r>
      <w:r w:rsidR="0028447A" w:rsidRPr="009D590F">
        <w:rPr>
          <w:rFonts w:ascii="Times New Roman" w:hAnsi="Times New Roman"/>
        </w:rPr>
        <w:t xml:space="preserve"> delivered from </w:t>
      </w:r>
      <w:r w:rsidR="00963174" w:rsidRPr="009D590F">
        <w:rPr>
          <w:rFonts w:ascii="Times New Roman" w:hAnsi="Times New Roman"/>
        </w:rPr>
        <w:t>an</w:t>
      </w:r>
      <w:r w:rsidR="0028447A" w:rsidRPr="009D590F">
        <w:rPr>
          <w:rFonts w:ascii="Times New Roman" w:hAnsi="Times New Roman"/>
        </w:rPr>
        <w:t xml:space="preserve"> </w:t>
      </w:r>
      <w:proofErr w:type="spellStart"/>
      <w:r w:rsidR="0028447A" w:rsidRPr="009D590F">
        <w:rPr>
          <w:rFonts w:ascii="Times New Roman" w:hAnsi="Times New Roman"/>
          <w:i/>
        </w:rPr>
        <w:t>officina</w:t>
      </w:r>
      <w:proofErr w:type="spellEnd"/>
      <w:r w:rsidR="0028447A" w:rsidRPr="009D590F">
        <w:rPr>
          <w:rFonts w:ascii="Times New Roman" w:hAnsi="Times New Roman"/>
          <w:i/>
        </w:rPr>
        <w:t xml:space="preserve"> </w:t>
      </w:r>
      <w:proofErr w:type="spellStart"/>
      <w:r w:rsidR="0028447A" w:rsidRPr="009D590F">
        <w:rPr>
          <w:rFonts w:ascii="Times New Roman" w:hAnsi="Times New Roman"/>
          <w:i/>
        </w:rPr>
        <w:t>Prusaensis</w:t>
      </w:r>
      <w:proofErr w:type="spellEnd"/>
      <w:r w:rsidR="0028447A" w:rsidRPr="009D590F">
        <w:rPr>
          <w:rFonts w:ascii="Times New Roman" w:hAnsi="Times New Roman"/>
        </w:rPr>
        <w:t xml:space="preserve"> to an unknown location as a substitute for a delivery of stones from the </w:t>
      </w:r>
      <w:r w:rsidR="0028447A" w:rsidRPr="009D590F">
        <w:rPr>
          <w:rFonts w:ascii="Times New Roman" w:hAnsi="Times New Roman"/>
          <w:i/>
        </w:rPr>
        <w:t xml:space="preserve">caesura </w:t>
      </w:r>
      <w:r w:rsidRPr="009D590F">
        <w:rPr>
          <w:rFonts w:ascii="Times New Roman" w:hAnsi="Times New Roman"/>
        </w:rPr>
        <w:t xml:space="preserve">of </w:t>
      </w:r>
      <w:proofErr w:type="spellStart"/>
      <w:r w:rsidRPr="009D590F">
        <w:rPr>
          <w:rFonts w:ascii="Times New Roman" w:hAnsi="Times New Roman"/>
        </w:rPr>
        <w:t>Vetus</w:t>
      </w:r>
      <w:proofErr w:type="spellEnd"/>
      <w:r w:rsidR="0028447A" w:rsidRPr="009D590F">
        <w:rPr>
          <w:rFonts w:ascii="Times New Roman" w:hAnsi="Times New Roman"/>
        </w:rPr>
        <w:t xml:space="preserve">. The </w:t>
      </w:r>
      <w:r w:rsidR="0028447A" w:rsidRPr="009D590F">
        <w:rPr>
          <w:rFonts w:ascii="Times New Roman" w:hAnsi="Times New Roman"/>
          <w:i/>
        </w:rPr>
        <w:t>caesura</w:t>
      </w:r>
      <w:r w:rsidR="0028447A" w:rsidRPr="009D590F">
        <w:rPr>
          <w:rFonts w:ascii="Times New Roman" w:hAnsi="Times New Roman"/>
        </w:rPr>
        <w:t xml:space="preserve">-holder </w:t>
      </w:r>
      <w:proofErr w:type="spellStart"/>
      <w:r w:rsidR="0028447A" w:rsidRPr="009D590F">
        <w:rPr>
          <w:rFonts w:ascii="Times New Roman" w:hAnsi="Times New Roman"/>
        </w:rPr>
        <w:t>Vetus</w:t>
      </w:r>
      <w:proofErr w:type="spellEnd"/>
      <w:r w:rsidR="0028447A" w:rsidRPr="009D590F">
        <w:rPr>
          <w:rFonts w:ascii="Times New Roman" w:hAnsi="Times New Roman"/>
        </w:rPr>
        <w:t xml:space="preserve"> had given quarried blocks </w:t>
      </w:r>
      <w:r w:rsidRPr="009D590F">
        <w:rPr>
          <w:rFonts w:ascii="Times New Roman" w:hAnsi="Times New Roman"/>
        </w:rPr>
        <w:t>“</w:t>
      </w:r>
      <w:r w:rsidR="0028447A" w:rsidRPr="009D590F">
        <w:rPr>
          <w:rFonts w:ascii="Times New Roman" w:hAnsi="Times New Roman"/>
        </w:rPr>
        <w:t>as a loan</w:t>
      </w:r>
      <w:r w:rsidRPr="009D590F">
        <w:rPr>
          <w:rFonts w:ascii="Times New Roman" w:hAnsi="Times New Roman"/>
        </w:rPr>
        <w:t>” (</w:t>
      </w:r>
      <w:proofErr w:type="spellStart"/>
      <w:r w:rsidRPr="009D590F">
        <w:rPr>
          <w:rFonts w:ascii="Times New Roman" w:hAnsi="Times New Roman"/>
          <w:i/>
        </w:rPr>
        <w:t>promutuo</w:t>
      </w:r>
      <w:proofErr w:type="spellEnd"/>
      <w:r w:rsidRPr="009D590F">
        <w:rPr>
          <w:rFonts w:ascii="Times New Roman" w:hAnsi="Times New Roman"/>
        </w:rPr>
        <w:t>)</w:t>
      </w:r>
      <w:r w:rsidR="0028447A" w:rsidRPr="009D590F">
        <w:rPr>
          <w:rFonts w:ascii="Times New Roman" w:hAnsi="Times New Roman"/>
        </w:rPr>
        <w:t xml:space="preserve"> to Titus, who had not returned the loan in time, that is, the equivalent amount or blocks. </w:t>
      </w:r>
      <w:r w:rsidR="008269E3" w:rsidRPr="009D590F">
        <w:rPr>
          <w:rFonts w:ascii="Times New Roman" w:hAnsi="Times New Roman"/>
        </w:rPr>
        <w:t>T</w:t>
      </w:r>
      <w:r w:rsidR="0028447A" w:rsidRPr="009D590F">
        <w:rPr>
          <w:rFonts w:ascii="Times New Roman" w:hAnsi="Times New Roman"/>
        </w:rPr>
        <w:t xml:space="preserve">he transfer of stones between the holders of a </w:t>
      </w:r>
      <w:r w:rsidR="0028447A" w:rsidRPr="009D590F">
        <w:rPr>
          <w:rFonts w:ascii="Times New Roman" w:hAnsi="Times New Roman"/>
          <w:i/>
        </w:rPr>
        <w:t xml:space="preserve">caesura </w:t>
      </w:r>
      <w:r w:rsidR="0028447A" w:rsidRPr="009D590F">
        <w:rPr>
          <w:rFonts w:ascii="Times New Roman" w:hAnsi="Times New Roman"/>
        </w:rPr>
        <w:t xml:space="preserve">and the option of receiving quarried stones ‘on loan’ suggests that the administration expected a fixed number of items to be produced, prompting the holder of a </w:t>
      </w:r>
      <w:r w:rsidR="0028447A" w:rsidRPr="009D590F">
        <w:rPr>
          <w:rFonts w:ascii="Times New Roman" w:hAnsi="Times New Roman"/>
          <w:i/>
          <w:iCs/>
        </w:rPr>
        <w:t xml:space="preserve">caesura </w:t>
      </w:r>
      <w:r w:rsidR="008269E3" w:rsidRPr="009D590F">
        <w:rPr>
          <w:rFonts w:ascii="Times New Roman" w:hAnsi="Times New Roman"/>
          <w:iCs/>
        </w:rPr>
        <w:t>(</w:t>
      </w:r>
      <w:r w:rsidR="0028447A" w:rsidRPr="009D590F">
        <w:rPr>
          <w:rFonts w:ascii="Times New Roman" w:hAnsi="Times New Roman"/>
        </w:rPr>
        <w:t>such as Titus</w:t>
      </w:r>
      <w:r w:rsidR="008269E3" w:rsidRPr="009D590F">
        <w:rPr>
          <w:rFonts w:ascii="Times New Roman" w:hAnsi="Times New Roman"/>
        </w:rPr>
        <w:t>)</w:t>
      </w:r>
      <w:r w:rsidR="0028447A" w:rsidRPr="009D590F">
        <w:rPr>
          <w:rFonts w:ascii="Times New Roman" w:hAnsi="Times New Roman"/>
        </w:rPr>
        <w:t xml:space="preserve"> to loan stones from the </w:t>
      </w:r>
      <w:r w:rsidR="0028447A" w:rsidRPr="009D590F">
        <w:rPr>
          <w:rFonts w:ascii="Times New Roman" w:hAnsi="Times New Roman"/>
          <w:i/>
          <w:iCs/>
        </w:rPr>
        <w:t xml:space="preserve">caesura </w:t>
      </w:r>
      <w:r w:rsidR="0028447A" w:rsidRPr="009D590F">
        <w:rPr>
          <w:rFonts w:ascii="Times New Roman" w:hAnsi="Times New Roman"/>
        </w:rPr>
        <w:t xml:space="preserve">of </w:t>
      </w:r>
      <w:proofErr w:type="spellStart"/>
      <w:r w:rsidR="0028447A" w:rsidRPr="009D590F">
        <w:rPr>
          <w:rFonts w:ascii="Times New Roman" w:hAnsi="Times New Roman"/>
        </w:rPr>
        <w:t>Vetus</w:t>
      </w:r>
      <w:proofErr w:type="spellEnd"/>
      <w:r w:rsidR="0028447A" w:rsidRPr="009D590F">
        <w:rPr>
          <w:rFonts w:ascii="Times New Roman" w:hAnsi="Times New Roman"/>
        </w:rPr>
        <w:t xml:space="preserve"> to meet the set target. The consular date and serial number could indicate that a fixe</w:t>
      </w:r>
      <w:r w:rsidR="0041381A">
        <w:rPr>
          <w:rFonts w:ascii="Times New Roman" w:hAnsi="Times New Roman"/>
        </w:rPr>
        <w:t>d amount was expected per annum. W</w:t>
      </w:r>
      <w:r w:rsidR="0028447A" w:rsidRPr="009D590F">
        <w:rPr>
          <w:rFonts w:ascii="Times New Roman" w:hAnsi="Times New Roman"/>
        </w:rPr>
        <w:t xml:space="preserve">e </w:t>
      </w:r>
      <w:r w:rsidR="0041381A">
        <w:rPr>
          <w:rFonts w:ascii="Times New Roman" w:hAnsi="Times New Roman"/>
        </w:rPr>
        <w:t>may</w:t>
      </w:r>
      <w:r w:rsidR="008269E3" w:rsidRPr="009D590F">
        <w:rPr>
          <w:rFonts w:ascii="Times New Roman" w:hAnsi="Times New Roman"/>
        </w:rPr>
        <w:t xml:space="preserve"> </w:t>
      </w:r>
      <w:r w:rsidR="0028447A" w:rsidRPr="009D590F">
        <w:rPr>
          <w:rFonts w:ascii="Times New Roman" w:hAnsi="Times New Roman"/>
        </w:rPr>
        <w:t>presume</w:t>
      </w:r>
      <w:r w:rsidR="0041381A">
        <w:rPr>
          <w:rFonts w:ascii="Times New Roman" w:hAnsi="Times New Roman"/>
        </w:rPr>
        <w:t xml:space="preserve"> </w:t>
      </w:r>
      <w:r w:rsidR="0028447A" w:rsidRPr="009D590F">
        <w:rPr>
          <w:rFonts w:ascii="Times New Roman" w:hAnsi="Times New Roman"/>
        </w:rPr>
        <w:t xml:space="preserve">that </w:t>
      </w:r>
      <w:r w:rsidR="0041381A">
        <w:rPr>
          <w:rFonts w:ascii="Times New Roman" w:hAnsi="Times New Roman"/>
        </w:rPr>
        <w:t>a set amount of</w:t>
      </w:r>
      <w:r w:rsidR="0028447A" w:rsidRPr="009D590F">
        <w:rPr>
          <w:rFonts w:ascii="Times New Roman" w:hAnsi="Times New Roman"/>
        </w:rPr>
        <w:t xml:space="preserve"> marble elements for specific </w:t>
      </w:r>
      <w:r w:rsidR="008269E3" w:rsidRPr="009D590F">
        <w:rPr>
          <w:rFonts w:ascii="Times New Roman" w:hAnsi="Times New Roman"/>
        </w:rPr>
        <w:t xml:space="preserve">imperial </w:t>
      </w:r>
      <w:r w:rsidR="0028447A" w:rsidRPr="009D590F">
        <w:rPr>
          <w:rFonts w:ascii="Times New Roman" w:hAnsi="Times New Roman"/>
        </w:rPr>
        <w:t xml:space="preserve">building projects </w:t>
      </w:r>
      <w:r w:rsidR="00731105">
        <w:rPr>
          <w:rFonts w:ascii="Times New Roman" w:hAnsi="Times New Roman"/>
        </w:rPr>
        <w:t>was</w:t>
      </w:r>
      <w:bookmarkStart w:id="0" w:name="_GoBack"/>
      <w:bookmarkEnd w:id="0"/>
      <w:r w:rsidR="0028447A" w:rsidRPr="009D590F">
        <w:rPr>
          <w:rFonts w:ascii="Times New Roman" w:hAnsi="Times New Roman"/>
        </w:rPr>
        <w:t xml:space="preserve"> </w:t>
      </w:r>
      <w:r w:rsidR="0041381A">
        <w:rPr>
          <w:rFonts w:ascii="Times New Roman" w:hAnsi="Times New Roman"/>
        </w:rPr>
        <w:t xml:space="preserve">requested from </w:t>
      </w:r>
      <w:proofErr w:type="spellStart"/>
      <w:r w:rsidR="0041381A">
        <w:rPr>
          <w:rFonts w:ascii="Times New Roman" w:hAnsi="Times New Roman"/>
        </w:rPr>
        <w:t>Bacakale</w:t>
      </w:r>
      <w:proofErr w:type="spellEnd"/>
      <w:r w:rsidR="0041381A">
        <w:rPr>
          <w:rFonts w:ascii="Times New Roman" w:hAnsi="Times New Roman"/>
        </w:rPr>
        <w:t xml:space="preserve">, which the imperial officials translated into fixed </w:t>
      </w:r>
      <w:r w:rsidR="0028447A" w:rsidRPr="009D590F">
        <w:rPr>
          <w:rFonts w:ascii="Times New Roman" w:hAnsi="Times New Roman"/>
        </w:rPr>
        <w:t xml:space="preserve">numbers of blocks, capitals, and column shafts </w:t>
      </w:r>
      <w:r w:rsidR="0041381A">
        <w:rPr>
          <w:rFonts w:ascii="Times New Roman" w:hAnsi="Times New Roman"/>
        </w:rPr>
        <w:t>demanded from</w:t>
      </w:r>
      <w:r w:rsidR="0028447A" w:rsidRPr="009D590F">
        <w:rPr>
          <w:rFonts w:ascii="Times New Roman" w:hAnsi="Times New Roman"/>
        </w:rPr>
        <w:t xml:space="preserve"> individual </w:t>
      </w:r>
      <w:r w:rsidR="006A119B">
        <w:rPr>
          <w:rFonts w:ascii="Times New Roman" w:hAnsi="Times New Roman"/>
        </w:rPr>
        <w:t xml:space="preserve">contractors of </w:t>
      </w:r>
      <w:r w:rsidR="006A119B" w:rsidRPr="006A119B">
        <w:rPr>
          <w:rFonts w:ascii="Times New Roman" w:hAnsi="Times New Roman"/>
          <w:i/>
        </w:rPr>
        <w:t>caesurae</w:t>
      </w:r>
      <w:r w:rsidR="0028447A" w:rsidRPr="009D590F">
        <w:rPr>
          <w:rFonts w:ascii="Times New Roman" w:hAnsi="Times New Roman"/>
        </w:rPr>
        <w:t>.</w:t>
      </w:r>
      <w:r w:rsidR="00294627" w:rsidRPr="009D590F">
        <w:rPr>
          <w:rStyle w:val="FootnoteReference"/>
          <w:rFonts w:ascii="Times New Roman" w:hAnsi="Times New Roman"/>
        </w:rPr>
        <w:footnoteReference w:id="67"/>
      </w:r>
      <w:r w:rsidR="0028447A" w:rsidRPr="009D590F">
        <w:rPr>
          <w:rFonts w:ascii="Times New Roman" w:hAnsi="Times New Roman"/>
        </w:rPr>
        <w:t xml:space="preserve"> </w:t>
      </w:r>
    </w:p>
    <w:p w14:paraId="1970A5F6" w14:textId="04FECCAC" w:rsidR="0041381A" w:rsidRDefault="00D86617" w:rsidP="006F4F94">
      <w:pPr>
        <w:jc w:val="both"/>
        <w:rPr>
          <w:rFonts w:ascii="Times New Roman" w:hAnsi="Times New Roman"/>
        </w:rPr>
      </w:pPr>
      <w:r>
        <w:rPr>
          <w:rFonts w:ascii="Times New Roman" w:hAnsi="Times New Roman"/>
        </w:rPr>
        <w:tab/>
      </w:r>
      <w:r w:rsidR="008269E3" w:rsidRPr="009D590F">
        <w:rPr>
          <w:rFonts w:ascii="Times New Roman" w:hAnsi="Times New Roman"/>
        </w:rPr>
        <w:t xml:space="preserve">The use of the term </w:t>
      </w:r>
      <w:proofErr w:type="spellStart"/>
      <w:r w:rsidR="008269E3" w:rsidRPr="009D590F">
        <w:rPr>
          <w:rFonts w:ascii="Times New Roman" w:hAnsi="Times New Roman"/>
          <w:i/>
        </w:rPr>
        <w:t>promutuo</w:t>
      </w:r>
      <w:proofErr w:type="spellEnd"/>
      <w:r w:rsidR="008269E3" w:rsidRPr="009D590F">
        <w:rPr>
          <w:rFonts w:ascii="Times New Roman" w:hAnsi="Times New Roman"/>
        </w:rPr>
        <w:t xml:space="preserve">, ‘loan’, in relation to quarried items may indicate that </w:t>
      </w:r>
      <w:r w:rsidR="008269E3" w:rsidRPr="009D590F">
        <w:rPr>
          <w:rFonts w:ascii="Times New Roman" w:hAnsi="Times New Roman"/>
          <w:i/>
        </w:rPr>
        <w:t>caesura</w:t>
      </w:r>
      <w:r w:rsidR="008269E3" w:rsidRPr="009D590F">
        <w:rPr>
          <w:rFonts w:ascii="Times New Roman" w:hAnsi="Times New Roman"/>
        </w:rPr>
        <w:t xml:space="preserve">-holders could acquire private property of (some of the) blocks they cut and dress within the imperial district at </w:t>
      </w:r>
      <w:proofErr w:type="spellStart"/>
      <w:r w:rsidR="008269E3" w:rsidRPr="009D590F">
        <w:rPr>
          <w:rFonts w:ascii="Times New Roman" w:hAnsi="Times New Roman"/>
        </w:rPr>
        <w:t>Bacakale</w:t>
      </w:r>
      <w:proofErr w:type="spellEnd"/>
      <w:r w:rsidR="008269E3" w:rsidRPr="009D590F">
        <w:rPr>
          <w:rFonts w:ascii="Times New Roman" w:hAnsi="Times New Roman"/>
        </w:rPr>
        <w:t xml:space="preserve">. If this is so, then </w:t>
      </w:r>
      <w:r w:rsidR="008269E3" w:rsidRPr="009D590F">
        <w:rPr>
          <w:rFonts w:ascii="Times New Roman" w:hAnsi="Times New Roman"/>
          <w:i/>
          <w:iCs/>
        </w:rPr>
        <w:t xml:space="preserve">caesurae </w:t>
      </w:r>
      <w:r w:rsidR="008269E3" w:rsidRPr="009D590F">
        <w:rPr>
          <w:rFonts w:ascii="Times New Roman" w:hAnsi="Times New Roman"/>
        </w:rPr>
        <w:t xml:space="preserve">were perhaps contracted out on the basis of a </w:t>
      </w:r>
      <w:proofErr w:type="spellStart"/>
      <w:r w:rsidR="008269E3" w:rsidRPr="009D590F">
        <w:rPr>
          <w:rFonts w:ascii="Times New Roman" w:hAnsi="Times New Roman"/>
          <w:i/>
        </w:rPr>
        <w:t>locatio</w:t>
      </w:r>
      <w:proofErr w:type="spellEnd"/>
      <w:r w:rsidR="008269E3" w:rsidRPr="009D590F">
        <w:rPr>
          <w:rFonts w:ascii="Times New Roman" w:hAnsi="Times New Roman"/>
          <w:i/>
        </w:rPr>
        <w:t xml:space="preserve"> </w:t>
      </w:r>
      <w:proofErr w:type="spellStart"/>
      <w:r w:rsidR="008269E3" w:rsidRPr="009D590F">
        <w:rPr>
          <w:rFonts w:ascii="Times New Roman" w:hAnsi="Times New Roman"/>
          <w:i/>
        </w:rPr>
        <w:t>conductio</w:t>
      </w:r>
      <w:proofErr w:type="spellEnd"/>
      <w:r w:rsidR="008269E3" w:rsidRPr="009D590F">
        <w:rPr>
          <w:rFonts w:ascii="Times New Roman" w:hAnsi="Times New Roman"/>
          <w:i/>
        </w:rPr>
        <w:t xml:space="preserve"> rei</w:t>
      </w:r>
      <w:r w:rsidR="008269E3" w:rsidRPr="009D590F">
        <w:rPr>
          <w:rFonts w:ascii="Times New Roman" w:hAnsi="Times New Roman"/>
        </w:rPr>
        <w:t xml:space="preserve">, which would see the contractor lease a quarry section and pay rent to the imperial officials for doing so. Given that there seems to be no real </w:t>
      </w:r>
      <w:r w:rsidR="008269E3" w:rsidRPr="009D590F">
        <w:rPr>
          <w:rFonts w:ascii="Times New Roman" w:hAnsi="Times New Roman"/>
        </w:rPr>
        <w:lastRenderedPageBreak/>
        <w:t xml:space="preserve">free market distribution of </w:t>
      </w:r>
      <w:r w:rsidR="00963174" w:rsidRPr="009D590F">
        <w:rPr>
          <w:rFonts w:ascii="Times New Roman" w:hAnsi="Times New Roman"/>
        </w:rPr>
        <w:t>quarried</w:t>
      </w:r>
      <w:r w:rsidR="008269E3" w:rsidRPr="009D590F">
        <w:rPr>
          <w:rFonts w:ascii="Times New Roman" w:hAnsi="Times New Roman"/>
        </w:rPr>
        <w:t xml:space="preserve"> items</w:t>
      </w:r>
      <w:r w:rsidR="0041381A">
        <w:rPr>
          <w:rFonts w:ascii="Times New Roman" w:hAnsi="Times New Roman"/>
        </w:rPr>
        <w:t>,</w:t>
      </w:r>
      <w:r w:rsidR="008269E3" w:rsidRPr="009D590F">
        <w:rPr>
          <w:rFonts w:ascii="Times New Roman" w:hAnsi="Times New Roman"/>
        </w:rPr>
        <w:t xml:space="preserve"> a </w:t>
      </w:r>
      <w:proofErr w:type="spellStart"/>
      <w:r w:rsidR="008269E3" w:rsidRPr="009D590F">
        <w:rPr>
          <w:rFonts w:ascii="Times New Roman" w:hAnsi="Times New Roman"/>
          <w:i/>
        </w:rPr>
        <w:t>locatio</w:t>
      </w:r>
      <w:proofErr w:type="spellEnd"/>
      <w:r w:rsidR="008269E3" w:rsidRPr="009D590F">
        <w:rPr>
          <w:rFonts w:ascii="Times New Roman" w:hAnsi="Times New Roman"/>
          <w:i/>
        </w:rPr>
        <w:t xml:space="preserve"> </w:t>
      </w:r>
      <w:proofErr w:type="spellStart"/>
      <w:r w:rsidR="008269E3" w:rsidRPr="009D590F">
        <w:rPr>
          <w:rFonts w:ascii="Times New Roman" w:hAnsi="Times New Roman"/>
          <w:i/>
        </w:rPr>
        <w:t>conductio</w:t>
      </w:r>
      <w:proofErr w:type="spellEnd"/>
      <w:r w:rsidR="008269E3" w:rsidRPr="009D590F">
        <w:rPr>
          <w:rFonts w:ascii="Times New Roman" w:hAnsi="Times New Roman"/>
          <w:i/>
        </w:rPr>
        <w:t xml:space="preserve"> rei</w:t>
      </w:r>
      <w:r w:rsidR="008269E3" w:rsidRPr="009D590F">
        <w:rPr>
          <w:rFonts w:ascii="Times New Roman" w:hAnsi="Times New Roman"/>
        </w:rPr>
        <w:t xml:space="preserve"> </w:t>
      </w:r>
      <w:r w:rsidR="00963174" w:rsidRPr="009D590F">
        <w:rPr>
          <w:rFonts w:ascii="Times New Roman" w:hAnsi="Times New Roman"/>
        </w:rPr>
        <w:t>is</w:t>
      </w:r>
      <w:r w:rsidR="008269E3" w:rsidRPr="009D590F">
        <w:rPr>
          <w:rFonts w:ascii="Times New Roman" w:hAnsi="Times New Roman"/>
        </w:rPr>
        <w:t xml:space="preserve"> less likely.</w:t>
      </w:r>
      <w:r w:rsidR="008269E3" w:rsidRPr="009D590F">
        <w:rPr>
          <w:rStyle w:val="FootnoteReference"/>
          <w:rFonts w:ascii="Times New Roman" w:hAnsi="Times New Roman"/>
        </w:rPr>
        <w:footnoteReference w:id="68"/>
      </w:r>
      <w:r w:rsidR="008269E3" w:rsidRPr="009D590F">
        <w:rPr>
          <w:rFonts w:ascii="Times New Roman" w:hAnsi="Times New Roman"/>
        </w:rPr>
        <w:t xml:space="preserve"> </w:t>
      </w:r>
      <w:r w:rsidR="0041381A">
        <w:rPr>
          <w:rFonts w:ascii="Times New Roman" w:hAnsi="Times New Roman"/>
        </w:rPr>
        <w:t xml:space="preserve"> If so, a</w:t>
      </w:r>
      <w:r w:rsidR="008269E3" w:rsidRPr="009D590F">
        <w:rPr>
          <w:rFonts w:ascii="Times New Roman" w:hAnsi="Times New Roman"/>
        </w:rPr>
        <w:t xml:space="preserve"> </w:t>
      </w:r>
      <w:proofErr w:type="spellStart"/>
      <w:r w:rsidR="008269E3" w:rsidRPr="009D590F">
        <w:rPr>
          <w:rFonts w:ascii="Times New Roman" w:hAnsi="Times New Roman"/>
          <w:i/>
          <w:iCs/>
        </w:rPr>
        <w:t>locatio</w:t>
      </w:r>
      <w:proofErr w:type="spellEnd"/>
      <w:r w:rsidR="008269E3" w:rsidRPr="009D590F">
        <w:rPr>
          <w:rFonts w:ascii="Times New Roman" w:hAnsi="Times New Roman"/>
          <w:i/>
          <w:iCs/>
        </w:rPr>
        <w:t xml:space="preserve"> </w:t>
      </w:r>
      <w:proofErr w:type="spellStart"/>
      <w:r w:rsidR="008269E3" w:rsidRPr="009D590F">
        <w:rPr>
          <w:rFonts w:ascii="Times New Roman" w:hAnsi="Times New Roman"/>
          <w:i/>
          <w:iCs/>
        </w:rPr>
        <w:t>conductio</w:t>
      </w:r>
      <w:proofErr w:type="spellEnd"/>
      <w:r w:rsidR="008269E3" w:rsidRPr="009D590F">
        <w:rPr>
          <w:rFonts w:ascii="Times New Roman" w:hAnsi="Times New Roman"/>
          <w:i/>
          <w:iCs/>
        </w:rPr>
        <w:t xml:space="preserve"> </w:t>
      </w:r>
      <w:proofErr w:type="spellStart"/>
      <w:r w:rsidR="008269E3" w:rsidRPr="009D590F">
        <w:rPr>
          <w:rFonts w:ascii="Times New Roman" w:hAnsi="Times New Roman"/>
          <w:i/>
          <w:iCs/>
        </w:rPr>
        <w:t>operis</w:t>
      </w:r>
      <w:proofErr w:type="spellEnd"/>
      <w:r w:rsidR="008269E3" w:rsidRPr="009D590F">
        <w:rPr>
          <w:rFonts w:ascii="Times New Roman" w:hAnsi="Times New Roman"/>
          <w:i/>
          <w:iCs/>
        </w:rPr>
        <w:t xml:space="preserve"> </w:t>
      </w:r>
      <w:proofErr w:type="spellStart"/>
      <w:r w:rsidR="008269E3" w:rsidRPr="009D590F">
        <w:rPr>
          <w:rFonts w:ascii="Times New Roman" w:hAnsi="Times New Roman"/>
          <w:i/>
          <w:iCs/>
        </w:rPr>
        <w:t>faciendi</w:t>
      </w:r>
      <w:proofErr w:type="spellEnd"/>
      <w:r w:rsidR="008269E3" w:rsidRPr="009D590F">
        <w:rPr>
          <w:rFonts w:ascii="Times New Roman" w:hAnsi="Times New Roman"/>
        </w:rPr>
        <w:t xml:space="preserve"> seems more plausible: the contractor receives a fixed payment in return for a set amount of quarried blocks made of </w:t>
      </w:r>
      <w:r w:rsidR="008269E3" w:rsidRPr="009D590F">
        <w:rPr>
          <w:rFonts w:ascii="Times New Roman" w:hAnsi="Times New Roman"/>
          <w:i/>
        </w:rPr>
        <w:t>pavonazzetto</w:t>
      </w:r>
      <w:r w:rsidR="008269E3" w:rsidRPr="009D590F">
        <w:rPr>
          <w:rFonts w:ascii="Times New Roman" w:hAnsi="Times New Roman"/>
        </w:rPr>
        <w:t xml:space="preserve"> to be delivered within a set period of time (perhaps within a year, hence the consular dates noted on labels); those running the </w:t>
      </w:r>
      <w:r w:rsidR="008269E3" w:rsidRPr="009D590F">
        <w:rPr>
          <w:rFonts w:ascii="Times New Roman" w:hAnsi="Times New Roman"/>
          <w:i/>
        </w:rPr>
        <w:t>caesura</w:t>
      </w:r>
      <w:r w:rsidR="008269E3" w:rsidRPr="009D590F">
        <w:rPr>
          <w:rFonts w:ascii="Times New Roman" w:hAnsi="Times New Roman"/>
        </w:rPr>
        <w:t xml:space="preserve"> may have been allowed to keep and sell any additional Phrygian marble quarried during the agreed period.</w:t>
      </w:r>
      <w:r w:rsidR="00294627" w:rsidRPr="009D590F">
        <w:rPr>
          <w:rStyle w:val="FootnoteReference"/>
          <w:rFonts w:ascii="Times New Roman" w:hAnsi="Times New Roman"/>
        </w:rPr>
        <w:footnoteReference w:id="69"/>
      </w:r>
      <w:r w:rsidR="0028447A" w:rsidRPr="009D590F">
        <w:rPr>
          <w:rFonts w:ascii="Times New Roman" w:hAnsi="Times New Roman"/>
        </w:rPr>
        <w:t xml:space="preserve"> </w:t>
      </w:r>
      <w:r w:rsidR="0041381A">
        <w:rPr>
          <w:rFonts w:ascii="Times New Roman" w:hAnsi="Times New Roman"/>
        </w:rPr>
        <w:t>Therefore,</w:t>
      </w:r>
      <w:r w:rsidR="008269E3" w:rsidRPr="009D590F">
        <w:rPr>
          <w:rFonts w:ascii="Times New Roman" w:hAnsi="Times New Roman"/>
        </w:rPr>
        <w:t xml:space="preserve"> one</w:t>
      </w:r>
      <w:r w:rsidR="0028447A" w:rsidRPr="009D590F">
        <w:rPr>
          <w:rFonts w:ascii="Times New Roman" w:hAnsi="Times New Roman"/>
        </w:rPr>
        <w:t xml:space="preserve"> could argue that stones </w:t>
      </w:r>
      <w:r w:rsidR="008269E3" w:rsidRPr="009D590F">
        <w:rPr>
          <w:rFonts w:ascii="Times New Roman" w:hAnsi="Times New Roman"/>
        </w:rPr>
        <w:t>received on</w:t>
      </w:r>
      <w:r w:rsidR="0028447A" w:rsidRPr="009D590F">
        <w:rPr>
          <w:rFonts w:ascii="Times New Roman" w:hAnsi="Times New Roman"/>
        </w:rPr>
        <w:t xml:space="preserve"> ‘loan’, may indicate private property of (some of the) blocks quarr</w:t>
      </w:r>
      <w:r w:rsidR="008269E3" w:rsidRPr="009D590F">
        <w:rPr>
          <w:rFonts w:ascii="Times New Roman" w:hAnsi="Times New Roman"/>
        </w:rPr>
        <w:t xml:space="preserve">ied by </w:t>
      </w:r>
      <w:r>
        <w:rPr>
          <w:rFonts w:ascii="Times New Roman" w:hAnsi="Times New Roman"/>
        </w:rPr>
        <w:t xml:space="preserve">private </w:t>
      </w:r>
      <w:r w:rsidR="008269E3" w:rsidRPr="009D590F">
        <w:rPr>
          <w:rFonts w:ascii="Times New Roman" w:hAnsi="Times New Roman"/>
        </w:rPr>
        <w:t xml:space="preserve">contractors at </w:t>
      </w:r>
      <w:proofErr w:type="spellStart"/>
      <w:r w:rsidR="008269E3" w:rsidRPr="009D590F">
        <w:rPr>
          <w:rFonts w:ascii="Times New Roman" w:hAnsi="Times New Roman"/>
        </w:rPr>
        <w:t>Bacakale</w:t>
      </w:r>
      <w:proofErr w:type="spellEnd"/>
      <w:r w:rsidR="008269E3" w:rsidRPr="009D590F">
        <w:rPr>
          <w:rFonts w:ascii="Times New Roman" w:hAnsi="Times New Roman"/>
        </w:rPr>
        <w:t>.</w:t>
      </w:r>
      <w:r>
        <w:rPr>
          <w:rFonts w:ascii="Times New Roman" w:hAnsi="Times New Roman"/>
        </w:rPr>
        <w:t xml:space="preserve"> This would have meant that at least some blocks became available on the free market.</w:t>
      </w:r>
      <w:r w:rsidR="008269E3" w:rsidRPr="009D590F">
        <w:rPr>
          <w:rFonts w:ascii="Times New Roman" w:hAnsi="Times New Roman"/>
        </w:rPr>
        <w:t xml:space="preserve"> </w:t>
      </w:r>
    </w:p>
    <w:p w14:paraId="55ABA85A" w14:textId="29E589EA" w:rsidR="0041381A" w:rsidRPr="009D590F" w:rsidRDefault="0041381A" w:rsidP="006F4F94">
      <w:pPr>
        <w:jc w:val="both"/>
        <w:rPr>
          <w:rFonts w:ascii="Times New Roman" w:hAnsi="Times New Roman"/>
        </w:rPr>
      </w:pPr>
      <w:r>
        <w:rPr>
          <w:rFonts w:ascii="Times New Roman" w:hAnsi="Times New Roman"/>
        </w:rPr>
        <w:tab/>
      </w:r>
      <w:r w:rsidR="006F4F94" w:rsidRPr="009D590F">
        <w:rPr>
          <w:rFonts w:ascii="Times New Roman" w:hAnsi="Times New Roman"/>
        </w:rPr>
        <w:t xml:space="preserve">In short, given our current knowledge of the distribution of </w:t>
      </w:r>
      <w:r w:rsidR="006F4F94" w:rsidRPr="009D590F">
        <w:rPr>
          <w:rFonts w:ascii="Times New Roman" w:hAnsi="Times New Roman"/>
          <w:i/>
        </w:rPr>
        <w:t>pavonazzetto</w:t>
      </w:r>
      <w:r w:rsidR="006F4F94" w:rsidRPr="009D590F">
        <w:rPr>
          <w:rFonts w:ascii="Times New Roman" w:hAnsi="Times New Roman"/>
        </w:rPr>
        <w:t xml:space="preserve"> in Asia Minor</w:t>
      </w:r>
      <w:r w:rsidR="00366A56" w:rsidRPr="009D590F">
        <w:rPr>
          <w:rFonts w:ascii="Times New Roman" w:hAnsi="Times New Roman"/>
        </w:rPr>
        <w:t xml:space="preserve"> a</w:t>
      </w:r>
      <w:r w:rsidR="006F4F94" w:rsidRPr="009D590F">
        <w:rPr>
          <w:rFonts w:ascii="Times New Roman" w:hAnsi="Times New Roman"/>
        </w:rPr>
        <w:t xml:space="preserve"> real free market for </w:t>
      </w:r>
      <w:r w:rsidR="006F4F94" w:rsidRPr="009D590F">
        <w:rPr>
          <w:rFonts w:ascii="Times New Roman" w:hAnsi="Times New Roman"/>
          <w:i/>
        </w:rPr>
        <w:t>pavonazzetto</w:t>
      </w:r>
      <w:r w:rsidR="006F4F94" w:rsidRPr="009D590F">
        <w:rPr>
          <w:rFonts w:ascii="Times New Roman" w:hAnsi="Times New Roman"/>
        </w:rPr>
        <w:t xml:space="preserve"> </w:t>
      </w:r>
      <w:r w:rsidR="00366A56" w:rsidRPr="009D590F">
        <w:rPr>
          <w:rFonts w:ascii="Times New Roman" w:hAnsi="Times New Roman"/>
        </w:rPr>
        <w:t>did not exist, but</w:t>
      </w:r>
      <w:r w:rsidR="006F4F94" w:rsidRPr="009D590F">
        <w:rPr>
          <w:rFonts w:ascii="Times New Roman" w:hAnsi="Times New Roman"/>
        </w:rPr>
        <w:t xml:space="preserve"> the </w:t>
      </w:r>
      <w:r w:rsidR="00D86617">
        <w:rPr>
          <w:rFonts w:ascii="Times New Roman" w:hAnsi="Times New Roman"/>
        </w:rPr>
        <w:t xml:space="preserve">private </w:t>
      </w:r>
      <w:r w:rsidR="006F4F94" w:rsidRPr="009D590F">
        <w:rPr>
          <w:rFonts w:ascii="Times New Roman" w:hAnsi="Times New Roman"/>
        </w:rPr>
        <w:t xml:space="preserve">contractors at </w:t>
      </w:r>
      <w:proofErr w:type="spellStart"/>
      <w:r w:rsidR="006F4F94" w:rsidRPr="009D590F">
        <w:rPr>
          <w:rFonts w:ascii="Times New Roman" w:hAnsi="Times New Roman"/>
        </w:rPr>
        <w:t>Bacakale</w:t>
      </w:r>
      <w:proofErr w:type="spellEnd"/>
      <w:r w:rsidR="006F4F94" w:rsidRPr="009D590F">
        <w:rPr>
          <w:rFonts w:ascii="Times New Roman" w:hAnsi="Times New Roman"/>
        </w:rPr>
        <w:t xml:space="preserve"> quarrying this stone probably </w:t>
      </w:r>
      <w:r w:rsidR="00366A56" w:rsidRPr="009D590F">
        <w:rPr>
          <w:rFonts w:ascii="Times New Roman" w:hAnsi="Times New Roman"/>
        </w:rPr>
        <w:t xml:space="preserve">might have been </w:t>
      </w:r>
      <w:r w:rsidR="006F4F94" w:rsidRPr="009D590F">
        <w:rPr>
          <w:rFonts w:ascii="Times New Roman" w:hAnsi="Times New Roman"/>
        </w:rPr>
        <w:t>allowed to sell off any excess mater</w:t>
      </w:r>
      <w:r>
        <w:rPr>
          <w:rFonts w:ascii="Times New Roman" w:hAnsi="Times New Roman"/>
        </w:rPr>
        <w:t xml:space="preserve">ial to </w:t>
      </w:r>
      <w:r w:rsidR="00C02A96">
        <w:rPr>
          <w:rFonts w:ascii="Times New Roman" w:hAnsi="Times New Roman"/>
        </w:rPr>
        <w:t>customers</w:t>
      </w:r>
      <w:r>
        <w:rPr>
          <w:rFonts w:ascii="Times New Roman" w:hAnsi="Times New Roman"/>
        </w:rPr>
        <w:t xml:space="preserve"> on their own. And it is perhaps </w:t>
      </w:r>
      <w:r w:rsidR="00D86617">
        <w:rPr>
          <w:rFonts w:ascii="Times New Roman" w:hAnsi="Times New Roman"/>
        </w:rPr>
        <w:t>in this manner that</w:t>
      </w:r>
      <w:r>
        <w:rPr>
          <w:rFonts w:ascii="Times New Roman" w:hAnsi="Times New Roman"/>
        </w:rPr>
        <w:t xml:space="preserve"> </w:t>
      </w:r>
      <w:proofErr w:type="spellStart"/>
      <w:r>
        <w:rPr>
          <w:rFonts w:ascii="Times New Roman" w:hAnsi="Times New Roman"/>
        </w:rPr>
        <w:t>Furius</w:t>
      </w:r>
      <w:proofErr w:type="spellEnd"/>
      <w:r>
        <w:rPr>
          <w:rFonts w:ascii="Times New Roman" w:hAnsi="Times New Roman"/>
        </w:rPr>
        <w:t xml:space="preserve"> </w:t>
      </w:r>
      <w:proofErr w:type="spellStart"/>
      <w:r>
        <w:rPr>
          <w:rFonts w:ascii="Times New Roman" w:hAnsi="Times New Roman"/>
        </w:rPr>
        <w:t>Aptus</w:t>
      </w:r>
      <w:proofErr w:type="spellEnd"/>
      <w:r>
        <w:rPr>
          <w:rFonts w:ascii="Times New Roman" w:hAnsi="Times New Roman"/>
        </w:rPr>
        <w:t xml:space="preserve"> </w:t>
      </w:r>
      <w:r w:rsidR="00D86617">
        <w:rPr>
          <w:rFonts w:ascii="Times New Roman" w:hAnsi="Times New Roman"/>
        </w:rPr>
        <w:t xml:space="preserve">acquired the </w:t>
      </w:r>
      <w:r w:rsidR="00D86617" w:rsidRPr="00D86617">
        <w:rPr>
          <w:rFonts w:ascii="Times New Roman" w:hAnsi="Times New Roman"/>
          <w:i/>
        </w:rPr>
        <w:t>pavonazzetto</w:t>
      </w:r>
      <w:r w:rsidR="00D86617">
        <w:rPr>
          <w:rFonts w:ascii="Times New Roman" w:hAnsi="Times New Roman"/>
        </w:rPr>
        <w:t xml:space="preserve"> panels for his home.</w:t>
      </w:r>
    </w:p>
    <w:p w14:paraId="77E34765" w14:textId="0BE5ADBC" w:rsidR="0024256E" w:rsidRPr="009D590F" w:rsidRDefault="00555DC1" w:rsidP="008E3FEE">
      <w:pPr>
        <w:ind w:left="284" w:hanging="284"/>
        <w:rPr>
          <w:rFonts w:ascii="Times New Roman" w:hAnsi="Times New Roman"/>
        </w:rPr>
      </w:pPr>
    </w:p>
    <w:p w14:paraId="3BE29610" w14:textId="6DE03FCF" w:rsidR="008269E3" w:rsidRPr="009D590F" w:rsidRDefault="008269E3" w:rsidP="008269E3">
      <w:pPr>
        <w:ind w:left="284" w:hanging="284"/>
        <w:jc w:val="center"/>
        <w:rPr>
          <w:rFonts w:ascii="Times New Roman" w:hAnsi="Times New Roman"/>
          <w:b/>
        </w:rPr>
      </w:pPr>
      <w:r w:rsidRPr="009D590F">
        <w:rPr>
          <w:rFonts w:ascii="Times New Roman" w:hAnsi="Times New Roman"/>
          <w:b/>
        </w:rPr>
        <w:t>v. Conclusion</w:t>
      </w:r>
    </w:p>
    <w:p w14:paraId="19DA7C53" w14:textId="77777777" w:rsidR="008269E3" w:rsidRPr="009D590F" w:rsidRDefault="008269E3" w:rsidP="008E3FEE">
      <w:pPr>
        <w:ind w:left="284" w:hanging="284"/>
        <w:rPr>
          <w:rFonts w:ascii="Times New Roman" w:hAnsi="Times New Roman"/>
        </w:rPr>
      </w:pPr>
    </w:p>
    <w:p w14:paraId="4EFCE93A" w14:textId="2F411957" w:rsidR="008269E3" w:rsidRDefault="008269E3" w:rsidP="008269E3">
      <w:pPr>
        <w:jc w:val="both"/>
        <w:rPr>
          <w:rFonts w:ascii="Times New Roman" w:hAnsi="Times New Roman"/>
        </w:rPr>
      </w:pPr>
      <w:r w:rsidRPr="009D590F">
        <w:rPr>
          <w:rFonts w:ascii="Times New Roman" w:hAnsi="Times New Roman"/>
        </w:rPr>
        <w:t xml:space="preserve">The display of marble revetments in the house of G. Flavius </w:t>
      </w:r>
      <w:proofErr w:type="spellStart"/>
      <w:r w:rsidRPr="009D590F">
        <w:rPr>
          <w:rFonts w:ascii="Times New Roman" w:hAnsi="Times New Roman"/>
        </w:rPr>
        <w:t>Furius</w:t>
      </w:r>
      <w:proofErr w:type="spellEnd"/>
      <w:r w:rsidRPr="009D590F">
        <w:rPr>
          <w:rFonts w:ascii="Times New Roman" w:hAnsi="Times New Roman"/>
        </w:rPr>
        <w:t xml:space="preserve"> </w:t>
      </w:r>
      <w:proofErr w:type="spellStart"/>
      <w:r w:rsidRPr="009D590F">
        <w:rPr>
          <w:rFonts w:ascii="Times New Roman" w:hAnsi="Times New Roman"/>
        </w:rPr>
        <w:t>Aptus</w:t>
      </w:r>
      <w:proofErr w:type="spellEnd"/>
      <w:r w:rsidRPr="009D590F">
        <w:rPr>
          <w:rFonts w:ascii="Times New Roman" w:hAnsi="Times New Roman"/>
        </w:rPr>
        <w:t xml:space="preserve"> at Ephesus in the mid second century AD has forced us to reconsider some of the organizational patterns in the imperial district of </w:t>
      </w:r>
      <w:proofErr w:type="spellStart"/>
      <w:r w:rsidRPr="009D590F">
        <w:rPr>
          <w:rFonts w:ascii="Times New Roman" w:hAnsi="Times New Roman"/>
        </w:rPr>
        <w:t>Bacakale</w:t>
      </w:r>
      <w:proofErr w:type="spellEnd"/>
      <w:r w:rsidRPr="009D590F">
        <w:rPr>
          <w:rFonts w:ascii="Times New Roman" w:hAnsi="Times New Roman"/>
        </w:rPr>
        <w:t xml:space="preserve">. The limited use of </w:t>
      </w:r>
      <w:proofErr w:type="spellStart"/>
      <w:r w:rsidRPr="009D590F">
        <w:rPr>
          <w:rFonts w:ascii="Times New Roman" w:hAnsi="Times New Roman"/>
          <w:i/>
        </w:rPr>
        <w:t>marmor</w:t>
      </w:r>
      <w:proofErr w:type="spellEnd"/>
      <w:r w:rsidRPr="009D590F">
        <w:rPr>
          <w:rFonts w:ascii="Times New Roman" w:hAnsi="Times New Roman"/>
          <w:i/>
        </w:rPr>
        <w:t xml:space="preserve"> </w:t>
      </w:r>
      <w:proofErr w:type="spellStart"/>
      <w:r w:rsidRPr="009D590F">
        <w:rPr>
          <w:rFonts w:ascii="Times New Roman" w:hAnsi="Times New Roman"/>
          <w:i/>
        </w:rPr>
        <w:t>Phrygium</w:t>
      </w:r>
      <w:proofErr w:type="spellEnd"/>
      <w:r w:rsidRPr="009D590F">
        <w:rPr>
          <w:rFonts w:ascii="Times New Roman" w:hAnsi="Times New Roman"/>
        </w:rPr>
        <w:t xml:space="preserve"> beyond imperial building projects and the distribution patterns distinct from those observed of other marbles </w:t>
      </w:r>
      <w:r w:rsidR="00FE1AB9" w:rsidRPr="009D590F">
        <w:rPr>
          <w:rFonts w:ascii="Times New Roman" w:hAnsi="Times New Roman"/>
        </w:rPr>
        <w:t>indicate</w:t>
      </w:r>
      <w:r w:rsidRPr="009D590F">
        <w:rPr>
          <w:rFonts w:ascii="Times New Roman" w:hAnsi="Times New Roman"/>
        </w:rPr>
        <w:t xml:space="preserve"> a significant distortion of the market for Phrygian marble by the imperial monopsony. This limited the ways by which </w:t>
      </w:r>
      <w:proofErr w:type="spellStart"/>
      <w:r w:rsidRPr="009D590F">
        <w:rPr>
          <w:rFonts w:ascii="Times New Roman" w:hAnsi="Times New Roman"/>
        </w:rPr>
        <w:t>Aptus</w:t>
      </w:r>
      <w:proofErr w:type="spellEnd"/>
      <w:r w:rsidRPr="009D590F">
        <w:rPr>
          <w:rFonts w:ascii="Times New Roman" w:hAnsi="Times New Roman"/>
        </w:rPr>
        <w:t xml:space="preserve"> acquired </w:t>
      </w:r>
      <w:r w:rsidRPr="009D590F">
        <w:rPr>
          <w:rFonts w:ascii="Times New Roman" w:hAnsi="Times New Roman"/>
          <w:i/>
        </w:rPr>
        <w:t>pavonazzetto</w:t>
      </w:r>
      <w:r w:rsidRPr="009D590F">
        <w:rPr>
          <w:rFonts w:ascii="Times New Roman" w:hAnsi="Times New Roman"/>
        </w:rPr>
        <w:t xml:space="preserve">: although the </w:t>
      </w:r>
      <w:r w:rsidRPr="009D590F">
        <w:rPr>
          <w:rFonts w:ascii="Times New Roman" w:hAnsi="Times New Roman"/>
          <w:i/>
        </w:rPr>
        <w:t>princeps’</w:t>
      </w:r>
      <w:r w:rsidRPr="009D590F">
        <w:rPr>
          <w:rFonts w:ascii="Times New Roman" w:hAnsi="Times New Roman"/>
        </w:rPr>
        <w:t xml:space="preserve"> patronage remains a possible option, the </w:t>
      </w:r>
      <w:r w:rsidR="00024B59">
        <w:rPr>
          <w:rFonts w:ascii="Times New Roman" w:hAnsi="Times New Roman"/>
        </w:rPr>
        <w:t>private acquisition</w:t>
      </w:r>
      <w:r w:rsidRPr="009D590F">
        <w:rPr>
          <w:rFonts w:ascii="Times New Roman" w:hAnsi="Times New Roman"/>
        </w:rPr>
        <w:t xml:space="preserve"> of Phrygian marb</w:t>
      </w:r>
      <w:r w:rsidR="00024B59">
        <w:rPr>
          <w:rFonts w:ascii="Times New Roman" w:hAnsi="Times New Roman"/>
        </w:rPr>
        <w:t xml:space="preserve">le could explain how two blocks, later </w:t>
      </w:r>
      <w:r w:rsidRPr="009D590F">
        <w:rPr>
          <w:rFonts w:ascii="Times New Roman" w:hAnsi="Times New Roman"/>
        </w:rPr>
        <w:t>cut into panels and hung in the ‘</w:t>
      </w:r>
      <w:proofErr w:type="spellStart"/>
      <w:r w:rsidRPr="009D590F">
        <w:rPr>
          <w:rFonts w:ascii="Times New Roman" w:hAnsi="Times New Roman"/>
        </w:rPr>
        <w:t>Marmorsaal</w:t>
      </w:r>
      <w:proofErr w:type="spellEnd"/>
      <w:r w:rsidRPr="009D590F">
        <w:rPr>
          <w:rFonts w:ascii="Times New Roman" w:hAnsi="Times New Roman"/>
        </w:rPr>
        <w:t>’</w:t>
      </w:r>
      <w:r w:rsidR="00024B59">
        <w:rPr>
          <w:rFonts w:ascii="Times New Roman" w:hAnsi="Times New Roman"/>
        </w:rPr>
        <w:t>, arrived</w:t>
      </w:r>
      <w:r w:rsidRPr="009D590F">
        <w:rPr>
          <w:rFonts w:ascii="Times New Roman" w:hAnsi="Times New Roman"/>
        </w:rPr>
        <w:t xml:space="preserve"> </w:t>
      </w:r>
      <w:r w:rsidR="00024B59">
        <w:rPr>
          <w:rFonts w:ascii="Times New Roman" w:hAnsi="Times New Roman"/>
        </w:rPr>
        <w:t>at</w:t>
      </w:r>
      <w:r w:rsidRPr="009D590F">
        <w:rPr>
          <w:rFonts w:ascii="Times New Roman" w:hAnsi="Times New Roman"/>
        </w:rPr>
        <w:t xml:space="preserve"> House 6. Given the imperial monopoly on the </w:t>
      </w:r>
      <w:proofErr w:type="gramStart"/>
      <w:r w:rsidRPr="009D590F">
        <w:rPr>
          <w:rFonts w:ascii="Times New Roman" w:hAnsi="Times New Roman"/>
        </w:rPr>
        <w:t>large scale</w:t>
      </w:r>
      <w:proofErr w:type="gramEnd"/>
      <w:r w:rsidRPr="009D590F">
        <w:rPr>
          <w:rFonts w:ascii="Times New Roman" w:hAnsi="Times New Roman"/>
        </w:rPr>
        <w:t xml:space="preserve"> display of certain marbles in the public space that is Rome, accessibility to these marbles was strongly restricted —</w:t>
      </w:r>
      <w:r w:rsidR="00024B59">
        <w:rPr>
          <w:rFonts w:ascii="Times New Roman" w:hAnsi="Times New Roman"/>
        </w:rPr>
        <w:t xml:space="preserve"> </w:t>
      </w:r>
      <w:r w:rsidRPr="009D590F">
        <w:rPr>
          <w:rFonts w:ascii="Times New Roman" w:hAnsi="Times New Roman"/>
        </w:rPr>
        <w:t>a consequence of the usurpation by Augustus and his successors of Republican traditions closely linked to the commemoration of military victors (</w:t>
      </w:r>
      <w:proofErr w:type="spellStart"/>
      <w:r w:rsidRPr="009D590F">
        <w:rPr>
          <w:rFonts w:ascii="Times New Roman" w:hAnsi="Times New Roman"/>
          <w:i/>
        </w:rPr>
        <w:t>triumphatores</w:t>
      </w:r>
      <w:proofErr w:type="spellEnd"/>
      <w:r w:rsidRPr="009D590F">
        <w:rPr>
          <w:rFonts w:ascii="Times New Roman" w:hAnsi="Times New Roman"/>
        </w:rPr>
        <w:t xml:space="preserve">) and underpinned by a moral code professed by Cicero and Pliny and centred on the concept of </w:t>
      </w:r>
      <w:proofErr w:type="spellStart"/>
      <w:r w:rsidRPr="009D590F">
        <w:rPr>
          <w:rFonts w:ascii="Times New Roman" w:hAnsi="Times New Roman"/>
          <w:i/>
        </w:rPr>
        <w:t>dignitas</w:t>
      </w:r>
      <w:proofErr w:type="spellEnd"/>
      <w:r w:rsidRPr="009D590F">
        <w:rPr>
          <w:rFonts w:ascii="Times New Roman" w:hAnsi="Times New Roman"/>
        </w:rPr>
        <w:t xml:space="preserve">. Even so, these ideas seem not to have played in Italy or the provinces: financially potent provincials in Ephesus and elsewhere throughout the province of Asia may well have spent their cash on acquiring Phrygian and other marbles for building </w:t>
      </w:r>
      <w:r w:rsidR="0079676C">
        <w:rPr>
          <w:rFonts w:ascii="Times New Roman" w:hAnsi="Times New Roman"/>
        </w:rPr>
        <w:t>venues</w:t>
      </w:r>
      <w:r w:rsidRPr="009D590F">
        <w:rPr>
          <w:rFonts w:ascii="Times New Roman" w:hAnsi="Times New Roman"/>
        </w:rPr>
        <w:t xml:space="preserve"> they </w:t>
      </w:r>
      <w:r w:rsidRPr="009D590F">
        <w:rPr>
          <w:rFonts w:ascii="Times New Roman" w:hAnsi="Times New Roman"/>
        </w:rPr>
        <w:lastRenderedPageBreak/>
        <w:t xml:space="preserve">either funded as public benefactors or as private house owners. And </w:t>
      </w:r>
      <w:proofErr w:type="spellStart"/>
      <w:r w:rsidRPr="009D590F">
        <w:rPr>
          <w:rFonts w:ascii="Times New Roman" w:hAnsi="Times New Roman"/>
        </w:rPr>
        <w:t>Aptus</w:t>
      </w:r>
      <w:proofErr w:type="spellEnd"/>
      <w:r w:rsidRPr="009D590F">
        <w:rPr>
          <w:rFonts w:ascii="Times New Roman" w:hAnsi="Times New Roman"/>
        </w:rPr>
        <w:t xml:space="preserve"> was </w:t>
      </w:r>
      <w:r w:rsidR="00FE1AB9" w:rsidRPr="009D590F">
        <w:rPr>
          <w:rFonts w:ascii="Times New Roman" w:hAnsi="Times New Roman"/>
        </w:rPr>
        <w:t>wily</w:t>
      </w:r>
      <w:r w:rsidRPr="009D590F">
        <w:rPr>
          <w:rFonts w:ascii="Times New Roman" w:hAnsi="Times New Roman"/>
        </w:rPr>
        <w:t xml:space="preserve"> enough to accumulate the funds to acquire a small ‘scrap’ of imperial marble for his pleasure.</w:t>
      </w:r>
    </w:p>
    <w:p w14:paraId="3E67B6F3" w14:textId="77777777" w:rsidR="004C26AD" w:rsidRDefault="004C26AD" w:rsidP="008269E3">
      <w:pPr>
        <w:jc w:val="both"/>
        <w:rPr>
          <w:rFonts w:ascii="Times New Roman" w:hAnsi="Times New Roman"/>
        </w:rPr>
      </w:pPr>
    </w:p>
    <w:p w14:paraId="27C3C019" w14:textId="77777777" w:rsidR="004C26AD" w:rsidRPr="006D5F07" w:rsidRDefault="004C26AD" w:rsidP="004C26AD">
      <w:pPr>
        <w:rPr>
          <w:b/>
        </w:rPr>
      </w:pPr>
      <w:r w:rsidRPr="006D5F07">
        <w:rPr>
          <w:b/>
        </w:rPr>
        <w:t>Bibliography</w:t>
      </w:r>
    </w:p>
    <w:p w14:paraId="1BAD3D93" w14:textId="525DB3ED" w:rsidR="004C26AD" w:rsidRDefault="00A8234F" w:rsidP="004C26AD">
      <w:pPr>
        <w:ind w:left="284" w:hanging="284"/>
      </w:pPr>
      <w:r>
        <w:t>Albers 2013: J. Albers,</w:t>
      </w:r>
      <w:r w:rsidR="004C26AD" w:rsidRPr="0068017D">
        <w:t xml:space="preserve"> </w:t>
      </w:r>
      <w:r w:rsidR="004C26AD" w:rsidRPr="0068017D">
        <w:rPr>
          <w:i/>
        </w:rPr>
        <w:t xml:space="preserve">Campus Martius. Die urbane </w:t>
      </w:r>
      <w:proofErr w:type="spellStart"/>
      <w:r w:rsidR="004C26AD" w:rsidRPr="0068017D">
        <w:rPr>
          <w:i/>
        </w:rPr>
        <w:t>Entwicklung</w:t>
      </w:r>
      <w:proofErr w:type="spellEnd"/>
      <w:r w:rsidR="004C26AD" w:rsidRPr="0068017D">
        <w:rPr>
          <w:i/>
        </w:rPr>
        <w:t xml:space="preserve"> des </w:t>
      </w:r>
      <w:proofErr w:type="spellStart"/>
      <w:r w:rsidR="004C26AD" w:rsidRPr="0068017D">
        <w:rPr>
          <w:i/>
        </w:rPr>
        <w:t>Marsfeldes</w:t>
      </w:r>
      <w:proofErr w:type="spellEnd"/>
      <w:r w:rsidR="004C26AD" w:rsidRPr="0068017D">
        <w:rPr>
          <w:i/>
        </w:rPr>
        <w:t xml:space="preserve"> von der </w:t>
      </w:r>
      <w:proofErr w:type="spellStart"/>
      <w:r w:rsidR="004C26AD" w:rsidRPr="0068017D">
        <w:rPr>
          <w:i/>
        </w:rPr>
        <w:t>Republik</w:t>
      </w:r>
      <w:proofErr w:type="spellEnd"/>
      <w:r w:rsidR="004C26AD" w:rsidRPr="0068017D">
        <w:rPr>
          <w:i/>
        </w:rPr>
        <w:t xml:space="preserve"> </w:t>
      </w:r>
      <w:proofErr w:type="spellStart"/>
      <w:r w:rsidR="004C26AD" w:rsidRPr="0068017D">
        <w:rPr>
          <w:i/>
        </w:rPr>
        <w:t>bis</w:t>
      </w:r>
      <w:proofErr w:type="spellEnd"/>
      <w:r w:rsidR="004C26AD" w:rsidRPr="0068017D">
        <w:rPr>
          <w:i/>
        </w:rPr>
        <w:t xml:space="preserve"> </w:t>
      </w:r>
      <w:proofErr w:type="spellStart"/>
      <w:r w:rsidR="004C26AD" w:rsidRPr="0068017D">
        <w:rPr>
          <w:i/>
        </w:rPr>
        <w:t>zur</w:t>
      </w:r>
      <w:proofErr w:type="spellEnd"/>
      <w:r w:rsidR="004C26AD" w:rsidRPr="0068017D">
        <w:rPr>
          <w:i/>
        </w:rPr>
        <w:t xml:space="preserve"> </w:t>
      </w:r>
      <w:proofErr w:type="spellStart"/>
      <w:r w:rsidR="004C26AD" w:rsidRPr="0068017D">
        <w:rPr>
          <w:i/>
        </w:rPr>
        <w:t>mittleren</w:t>
      </w:r>
      <w:proofErr w:type="spellEnd"/>
      <w:r w:rsidR="004C26AD" w:rsidRPr="0068017D">
        <w:rPr>
          <w:i/>
        </w:rPr>
        <w:t xml:space="preserve"> </w:t>
      </w:r>
      <w:proofErr w:type="spellStart"/>
      <w:r w:rsidR="004C26AD" w:rsidRPr="0068017D">
        <w:rPr>
          <w:i/>
        </w:rPr>
        <w:t>Kaiserzeit</w:t>
      </w:r>
      <w:proofErr w:type="spellEnd"/>
      <w:r w:rsidR="004C26AD" w:rsidRPr="0068017D">
        <w:t xml:space="preserve"> (</w:t>
      </w:r>
      <w:proofErr w:type="spellStart"/>
      <w:r w:rsidR="004C26AD" w:rsidRPr="0068017D">
        <w:t>Studien</w:t>
      </w:r>
      <w:proofErr w:type="spellEnd"/>
      <w:r w:rsidR="004C26AD" w:rsidRPr="0068017D">
        <w:t xml:space="preserve"> </w:t>
      </w:r>
      <w:proofErr w:type="spellStart"/>
      <w:r w:rsidR="004C26AD" w:rsidRPr="0068017D">
        <w:t>zur</w:t>
      </w:r>
      <w:proofErr w:type="spellEnd"/>
      <w:r w:rsidR="004C26AD" w:rsidRPr="0068017D">
        <w:t xml:space="preserve"> </w:t>
      </w:r>
      <w:proofErr w:type="spellStart"/>
      <w:r w:rsidR="004C26AD">
        <w:t>antiken</w:t>
      </w:r>
      <w:proofErr w:type="spellEnd"/>
      <w:r w:rsidR="004C26AD">
        <w:t xml:space="preserve"> Stadt 11), Wiesbaden</w:t>
      </w:r>
      <w:r>
        <w:t>, 2013</w:t>
      </w:r>
      <w:r w:rsidR="004C26AD">
        <w:t>.</w:t>
      </w:r>
    </w:p>
    <w:p w14:paraId="601FF69C" w14:textId="6C418000" w:rsidR="004C26AD" w:rsidRDefault="0079676C" w:rsidP="004C26AD">
      <w:pPr>
        <w:ind w:left="284" w:hanging="284"/>
      </w:pPr>
      <w:r>
        <w:t xml:space="preserve">Aubert 1994: </w:t>
      </w:r>
      <w:r w:rsidRPr="00064D15">
        <w:t xml:space="preserve">J.-J. </w:t>
      </w:r>
      <w:r>
        <w:t>Aubert,</w:t>
      </w:r>
      <w:r w:rsidR="004C26AD" w:rsidRPr="00064D15">
        <w:t xml:space="preserve"> </w:t>
      </w:r>
      <w:r w:rsidR="004C26AD" w:rsidRPr="00064D15">
        <w:rPr>
          <w:i/>
        </w:rPr>
        <w:t>Business Managers in Ancient Rome. A Social a</w:t>
      </w:r>
      <w:r>
        <w:rPr>
          <w:i/>
        </w:rPr>
        <w:t xml:space="preserve">nd Economic Study of </w:t>
      </w:r>
      <w:proofErr w:type="spellStart"/>
      <w:r>
        <w:rPr>
          <w:i/>
        </w:rPr>
        <w:t>Institores</w:t>
      </w:r>
      <w:proofErr w:type="spellEnd"/>
      <w:r w:rsidR="004C26AD" w:rsidRPr="00064D15">
        <w:rPr>
          <w:i/>
        </w:rPr>
        <w:t>, 200 BC - AD 250</w:t>
      </w:r>
      <w:r w:rsidR="004C26AD" w:rsidRPr="00064D15">
        <w:t>, Leiden et al</w:t>
      </w:r>
      <w:r>
        <w:t>., 1994</w:t>
      </w:r>
    </w:p>
    <w:p w14:paraId="4544A014" w14:textId="23C0F2A4" w:rsidR="004C26AD" w:rsidRDefault="0079676C" w:rsidP="004C26AD">
      <w:pPr>
        <w:ind w:left="284" w:hanging="284"/>
      </w:pPr>
      <w:proofErr w:type="spellStart"/>
      <w:r>
        <w:t>Baltrusch</w:t>
      </w:r>
      <w:proofErr w:type="spellEnd"/>
      <w:r>
        <w:t xml:space="preserve"> 1989: E. </w:t>
      </w:r>
      <w:proofErr w:type="spellStart"/>
      <w:r w:rsidR="004C26AD">
        <w:t>Baltrusch</w:t>
      </w:r>
      <w:proofErr w:type="spellEnd"/>
      <w:r w:rsidR="004C26AD">
        <w:t xml:space="preserve">, </w:t>
      </w:r>
      <w:r w:rsidR="004C26AD" w:rsidRPr="006D5F07">
        <w:rPr>
          <w:i/>
        </w:rPr>
        <w:t xml:space="preserve">Regimen </w:t>
      </w:r>
      <w:proofErr w:type="spellStart"/>
      <w:r w:rsidR="004C26AD" w:rsidRPr="006D5F07">
        <w:rPr>
          <w:i/>
        </w:rPr>
        <w:t>morum</w:t>
      </w:r>
      <w:proofErr w:type="spellEnd"/>
      <w:r w:rsidR="004C26AD" w:rsidRPr="006D5F07">
        <w:rPr>
          <w:i/>
        </w:rPr>
        <w:t xml:space="preserve">. Die </w:t>
      </w:r>
      <w:proofErr w:type="spellStart"/>
      <w:r w:rsidR="004C26AD" w:rsidRPr="006D5F07">
        <w:rPr>
          <w:i/>
        </w:rPr>
        <w:t>Reglementierung</w:t>
      </w:r>
      <w:proofErr w:type="spellEnd"/>
      <w:r w:rsidR="004C26AD" w:rsidRPr="006D5F07">
        <w:rPr>
          <w:i/>
        </w:rPr>
        <w:t xml:space="preserve"> des </w:t>
      </w:r>
      <w:proofErr w:type="spellStart"/>
      <w:r w:rsidR="004C26AD" w:rsidRPr="006D5F07">
        <w:rPr>
          <w:i/>
        </w:rPr>
        <w:t>Privatlebens</w:t>
      </w:r>
      <w:proofErr w:type="spellEnd"/>
      <w:r w:rsidR="004C26AD" w:rsidRPr="006D5F07">
        <w:rPr>
          <w:i/>
        </w:rPr>
        <w:t xml:space="preserve"> der </w:t>
      </w:r>
      <w:proofErr w:type="spellStart"/>
      <w:r w:rsidR="004C26AD" w:rsidRPr="006D5F07">
        <w:rPr>
          <w:i/>
        </w:rPr>
        <w:t>Senatoren</w:t>
      </w:r>
      <w:proofErr w:type="spellEnd"/>
      <w:r w:rsidR="004C26AD" w:rsidRPr="006D5F07">
        <w:rPr>
          <w:i/>
        </w:rPr>
        <w:t xml:space="preserve"> und Ritter in der </w:t>
      </w:r>
      <w:proofErr w:type="spellStart"/>
      <w:r w:rsidR="004C26AD" w:rsidRPr="006D5F07">
        <w:rPr>
          <w:i/>
        </w:rPr>
        <w:t>römischen</w:t>
      </w:r>
      <w:proofErr w:type="spellEnd"/>
      <w:r w:rsidR="004C26AD" w:rsidRPr="006D5F07">
        <w:rPr>
          <w:i/>
        </w:rPr>
        <w:t xml:space="preserve"> </w:t>
      </w:r>
      <w:proofErr w:type="spellStart"/>
      <w:r w:rsidR="004C26AD" w:rsidRPr="006D5F07">
        <w:rPr>
          <w:i/>
        </w:rPr>
        <w:t>Republik</w:t>
      </w:r>
      <w:proofErr w:type="spellEnd"/>
      <w:r w:rsidR="004C26AD" w:rsidRPr="006D5F07">
        <w:rPr>
          <w:i/>
        </w:rPr>
        <w:t xml:space="preserve"> und der </w:t>
      </w:r>
      <w:proofErr w:type="spellStart"/>
      <w:r w:rsidR="004C26AD" w:rsidRPr="006D5F07">
        <w:rPr>
          <w:i/>
        </w:rPr>
        <w:t>frühen</w:t>
      </w:r>
      <w:proofErr w:type="spellEnd"/>
      <w:r w:rsidR="004C26AD" w:rsidRPr="006D5F07">
        <w:rPr>
          <w:i/>
        </w:rPr>
        <w:t xml:space="preserve"> </w:t>
      </w:r>
      <w:proofErr w:type="spellStart"/>
      <w:r w:rsidR="004C26AD" w:rsidRPr="006D5F07">
        <w:rPr>
          <w:i/>
        </w:rPr>
        <w:t>Kaiserzeit</w:t>
      </w:r>
      <w:proofErr w:type="spellEnd"/>
      <w:r>
        <w:t xml:space="preserve">, </w:t>
      </w:r>
      <w:proofErr w:type="spellStart"/>
      <w:r>
        <w:t>München</w:t>
      </w:r>
      <w:proofErr w:type="spellEnd"/>
      <w:r>
        <w:t>, 1989.</w:t>
      </w:r>
    </w:p>
    <w:p w14:paraId="74BDFE32" w14:textId="71014986" w:rsidR="004C26AD" w:rsidRPr="0083656D" w:rsidRDefault="0079676C" w:rsidP="004C26AD">
      <w:pPr>
        <w:ind w:left="284" w:hanging="284"/>
        <w:rPr>
          <w:lang w:val="it-IT"/>
        </w:rPr>
      </w:pPr>
      <w:r>
        <w:rPr>
          <w:lang w:val="it-IT"/>
        </w:rPr>
        <w:t xml:space="preserve">Barresi 2003: </w:t>
      </w:r>
      <w:r w:rsidRPr="0083656D">
        <w:rPr>
          <w:lang w:val="it-IT"/>
        </w:rPr>
        <w:t xml:space="preserve">P. </w:t>
      </w:r>
      <w:r>
        <w:rPr>
          <w:lang w:val="it-IT"/>
        </w:rPr>
        <w:t>Barresi,</w:t>
      </w:r>
      <w:r w:rsidR="004C26AD" w:rsidRPr="0083656D">
        <w:rPr>
          <w:lang w:val="it-IT"/>
        </w:rPr>
        <w:t xml:space="preserve"> </w:t>
      </w:r>
      <w:r w:rsidR="00A8234F">
        <w:rPr>
          <w:i/>
          <w:lang w:val="it-IT"/>
        </w:rPr>
        <w:t>Province dell’</w:t>
      </w:r>
      <w:r w:rsidR="004C26AD" w:rsidRPr="0083656D">
        <w:rPr>
          <w:i/>
          <w:lang w:val="it-IT"/>
        </w:rPr>
        <w:t>Asia Minore. Costo dei marmi architettura pubblica e committenza</w:t>
      </w:r>
      <w:r>
        <w:rPr>
          <w:lang w:val="it-IT"/>
        </w:rPr>
        <w:t>, Roma, 2003</w:t>
      </w:r>
    </w:p>
    <w:p w14:paraId="37CDC9B0" w14:textId="369C13A7" w:rsidR="004C26AD" w:rsidRPr="00665120" w:rsidRDefault="0079676C" w:rsidP="004C26AD">
      <w:pPr>
        <w:ind w:left="284" w:hanging="284"/>
      </w:pPr>
      <w:r>
        <w:t xml:space="preserve">Bernard 2010: </w:t>
      </w:r>
      <w:r w:rsidRPr="00665120">
        <w:t>S.</w:t>
      </w:r>
      <w:r>
        <w:t>G. Bernard,</w:t>
      </w:r>
      <w:r w:rsidR="00A8234F">
        <w:t xml:space="preserve"> «</w:t>
      </w:r>
      <w:r w:rsidR="004C26AD" w:rsidRPr="00665120">
        <w:t xml:space="preserve">Pentelic marble in architecture at Rome </w:t>
      </w:r>
      <w:r w:rsidR="00A8234F">
        <w:t>and the Republican marble trade</w:t>
      </w:r>
      <w:r>
        <w:t>»</w:t>
      </w:r>
      <w:r w:rsidR="004C26AD" w:rsidRPr="00665120">
        <w:t xml:space="preserve">, </w:t>
      </w:r>
      <w:r w:rsidR="004C26AD" w:rsidRPr="00665120">
        <w:rPr>
          <w:i/>
        </w:rPr>
        <w:t>Journal of Roman Archaeology</w:t>
      </w:r>
      <w:r w:rsidR="00A8234F">
        <w:rPr>
          <w:i/>
        </w:rPr>
        <w:t>,</w:t>
      </w:r>
      <w:r w:rsidR="00A8234F">
        <w:t xml:space="preserve"> 23, </w:t>
      </w:r>
      <w:r>
        <w:t xml:space="preserve">2010, </w:t>
      </w:r>
      <w:r w:rsidR="00A8234F">
        <w:t>p.</w:t>
      </w:r>
      <w:r w:rsidR="004C26AD" w:rsidRPr="00665120">
        <w:t xml:space="preserve"> 35-54.</w:t>
      </w:r>
    </w:p>
    <w:p w14:paraId="6CBF32C9" w14:textId="70CE4D25" w:rsidR="004C26AD" w:rsidRPr="008D209E" w:rsidRDefault="0079676C" w:rsidP="004C26AD">
      <w:pPr>
        <w:ind w:left="284" w:hanging="284"/>
      </w:pPr>
      <w:r>
        <w:t xml:space="preserve">Birley 1997: A.R. </w:t>
      </w:r>
      <w:r w:rsidR="004C26AD">
        <w:t xml:space="preserve">Birley, </w:t>
      </w:r>
      <w:r w:rsidR="004C26AD">
        <w:rPr>
          <w:i/>
        </w:rPr>
        <w:t xml:space="preserve">Hadrian the Restless Emperor, </w:t>
      </w:r>
      <w:r w:rsidR="004C26AD">
        <w:t>London/New York</w:t>
      </w:r>
      <w:r>
        <w:t>, 1997</w:t>
      </w:r>
      <w:r w:rsidR="004C26AD">
        <w:t>.</w:t>
      </w:r>
    </w:p>
    <w:p w14:paraId="7E0C3EA7" w14:textId="6A4C8BDE" w:rsidR="004C26AD" w:rsidRDefault="00EB42C2" w:rsidP="004C26AD">
      <w:pPr>
        <w:ind w:left="284" w:hanging="284"/>
      </w:pPr>
      <w:r>
        <w:t>Bradley 2006: M. Bradley, «</w:t>
      </w:r>
      <w:r w:rsidR="004C26AD" w:rsidRPr="00096AAE">
        <w:t>Colour an</w:t>
      </w:r>
      <w:r>
        <w:t>d marble in Early Imperial Rome»</w:t>
      </w:r>
      <w:r w:rsidR="004C26AD" w:rsidRPr="00096AAE">
        <w:t xml:space="preserve">, </w:t>
      </w:r>
      <w:r w:rsidR="004C26AD" w:rsidRPr="00096AAE">
        <w:rPr>
          <w:i/>
        </w:rPr>
        <w:t>Proceedings of the Cambridge Philological Society</w:t>
      </w:r>
      <w:r>
        <w:t>, 2006, p.</w:t>
      </w:r>
      <w:r w:rsidR="004C26AD">
        <w:t>1-22.</w:t>
      </w:r>
    </w:p>
    <w:p w14:paraId="027ABFFC" w14:textId="7D416555" w:rsidR="004C26AD" w:rsidRPr="0083656D" w:rsidRDefault="00C06B55" w:rsidP="004C26AD">
      <w:pPr>
        <w:spacing w:line="260" w:lineRule="exact"/>
        <w:ind w:left="567" w:hanging="567"/>
        <w:jc w:val="both"/>
        <w:rPr>
          <w:lang w:val="it-IT"/>
        </w:rPr>
      </w:pPr>
      <w:proofErr w:type="spellStart"/>
      <w:r>
        <w:rPr>
          <w:lang w:val="it-IT"/>
        </w:rPr>
        <w:t>Bruzza</w:t>
      </w:r>
      <w:proofErr w:type="spellEnd"/>
      <w:r>
        <w:rPr>
          <w:lang w:val="it-IT"/>
        </w:rPr>
        <w:t xml:space="preserve"> 1870; L. </w:t>
      </w:r>
      <w:proofErr w:type="spellStart"/>
      <w:r w:rsidR="004C26AD" w:rsidRPr="0083656D">
        <w:rPr>
          <w:lang w:val="it-IT"/>
        </w:rPr>
        <w:t>Bruzza</w:t>
      </w:r>
      <w:proofErr w:type="spellEnd"/>
      <w:r w:rsidR="004C26AD" w:rsidRPr="0083656D">
        <w:rPr>
          <w:lang w:val="it-IT"/>
        </w:rPr>
        <w:t xml:space="preserve">, </w:t>
      </w:r>
      <w:r>
        <w:rPr>
          <w:lang w:val="it-IT"/>
        </w:rPr>
        <w:t>«</w:t>
      </w:r>
      <w:r w:rsidR="004C26AD" w:rsidRPr="0083656D">
        <w:rPr>
          <w:lang w:val="it-IT"/>
        </w:rPr>
        <w:t>Iscrizioni dei marmi grezzi</w:t>
      </w:r>
      <w:r>
        <w:rPr>
          <w:lang w:val="it-IT"/>
        </w:rPr>
        <w:t>»</w:t>
      </w:r>
      <w:r w:rsidR="004C26AD" w:rsidRPr="0083656D">
        <w:rPr>
          <w:lang w:val="it-IT"/>
        </w:rPr>
        <w:t xml:space="preserve">, </w:t>
      </w:r>
      <w:r w:rsidR="004C26AD" w:rsidRPr="0083656D">
        <w:rPr>
          <w:i/>
          <w:lang w:val="it-IT"/>
        </w:rPr>
        <w:t xml:space="preserve">Annali </w:t>
      </w:r>
      <w:proofErr w:type="gramStart"/>
      <w:r w:rsidR="004C26AD" w:rsidRPr="0083656D">
        <w:rPr>
          <w:i/>
          <w:lang w:val="it-IT"/>
        </w:rPr>
        <w:t xml:space="preserve">dell’ </w:t>
      </w:r>
      <w:proofErr w:type="spellStart"/>
      <w:r w:rsidR="004C26AD" w:rsidRPr="0083656D">
        <w:rPr>
          <w:i/>
          <w:lang w:val="it-IT"/>
        </w:rPr>
        <w:t>Instituto</w:t>
      </w:r>
      <w:proofErr w:type="spellEnd"/>
      <w:proofErr w:type="gramEnd"/>
      <w:r w:rsidR="004C26AD" w:rsidRPr="0083656D">
        <w:rPr>
          <w:i/>
          <w:lang w:val="it-IT"/>
        </w:rPr>
        <w:t xml:space="preserve"> di Corrispondenza </w:t>
      </w:r>
      <w:proofErr w:type="spellStart"/>
      <w:r w:rsidR="004C26AD" w:rsidRPr="0083656D">
        <w:rPr>
          <w:i/>
          <w:lang w:val="it-IT"/>
        </w:rPr>
        <w:t>Archaeologica</w:t>
      </w:r>
      <w:proofErr w:type="spellEnd"/>
      <w:r>
        <w:rPr>
          <w:i/>
          <w:lang w:val="it-IT"/>
        </w:rPr>
        <w:t>,</w:t>
      </w:r>
      <w:r>
        <w:rPr>
          <w:lang w:val="it-IT"/>
        </w:rPr>
        <w:t xml:space="preserve"> 42, 1870,</w:t>
      </w:r>
      <w:r w:rsidR="004C26AD" w:rsidRPr="0083656D">
        <w:rPr>
          <w:lang w:val="it-IT"/>
        </w:rPr>
        <w:t xml:space="preserve"> </w:t>
      </w:r>
      <w:r>
        <w:rPr>
          <w:lang w:val="it-IT"/>
        </w:rPr>
        <w:t>p.</w:t>
      </w:r>
      <w:r w:rsidR="004C26AD" w:rsidRPr="0083656D">
        <w:rPr>
          <w:lang w:val="it-IT"/>
        </w:rPr>
        <w:t>106-204.</w:t>
      </w:r>
    </w:p>
    <w:p w14:paraId="3A23E616" w14:textId="50D960AC" w:rsidR="004C26AD" w:rsidRDefault="00C06B55" w:rsidP="004C26AD">
      <w:pPr>
        <w:ind w:left="284" w:hanging="284"/>
      </w:pPr>
      <w:r>
        <w:t xml:space="preserve">Carey 2003: </w:t>
      </w:r>
      <w:r w:rsidRPr="00BD2085">
        <w:t xml:space="preserve">S. </w:t>
      </w:r>
      <w:r>
        <w:t>Carey,</w:t>
      </w:r>
      <w:r w:rsidR="004C26AD" w:rsidRPr="00BD2085">
        <w:t xml:space="preserve"> </w:t>
      </w:r>
      <w:r>
        <w:rPr>
          <w:i/>
        </w:rPr>
        <w:t>Pliny’</w:t>
      </w:r>
      <w:r w:rsidR="004C26AD" w:rsidRPr="00BD2085">
        <w:rPr>
          <w:i/>
        </w:rPr>
        <w:t>s Catalogue of Culture. Art and Empire in the Natural History</w:t>
      </w:r>
      <w:r w:rsidR="004C26AD" w:rsidRPr="00BD2085">
        <w:t>, Oxford</w:t>
      </w:r>
      <w:r>
        <w:t>, 2003.</w:t>
      </w:r>
    </w:p>
    <w:p w14:paraId="0E3EB509" w14:textId="3097C955" w:rsidR="004C26AD" w:rsidRDefault="00C06B55" w:rsidP="004C26AD">
      <w:pPr>
        <w:ind w:left="284" w:hanging="284"/>
        <w:rPr>
          <w:lang w:val="en-US"/>
        </w:rPr>
      </w:pPr>
      <w:r>
        <w:t>Corcoran &amp; De Laine 1994: S. Corcoran and J. De Laine, «</w:t>
      </w:r>
      <w:r w:rsidR="004C26AD">
        <w:t>The Unit of Measurement of Marb</w:t>
      </w:r>
      <w:r>
        <w:t>le in Diocletian’s Prices Edict»</w:t>
      </w:r>
      <w:r w:rsidR="004C26AD">
        <w:t xml:space="preserve">, </w:t>
      </w:r>
      <w:r w:rsidR="004C26AD">
        <w:rPr>
          <w:i/>
        </w:rPr>
        <w:t>Journal of Roman Archaeology</w:t>
      </w:r>
      <w:r w:rsidRPr="00C06B55">
        <w:t>,</w:t>
      </w:r>
      <w:r w:rsidR="004C26AD">
        <w:rPr>
          <w:i/>
        </w:rPr>
        <w:t xml:space="preserve"> </w:t>
      </w:r>
      <w:r w:rsidR="004C26AD" w:rsidRPr="00CC34E1">
        <w:t>7</w:t>
      </w:r>
      <w:r>
        <w:t xml:space="preserve">, 1994, p. </w:t>
      </w:r>
      <w:r w:rsidR="004C26AD">
        <w:t>263-267.</w:t>
      </w:r>
    </w:p>
    <w:p w14:paraId="0C9816AA" w14:textId="603FDEFB" w:rsidR="004C26AD" w:rsidRDefault="005C5DE0" w:rsidP="004C26AD">
      <w:pPr>
        <w:ind w:left="284" w:hanging="284"/>
      </w:pPr>
      <w:proofErr w:type="spellStart"/>
      <w:r>
        <w:t>Coudry</w:t>
      </w:r>
      <w:proofErr w:type="spellEnd"/>
      <w:r>
        <w:t xml:space="preserve"> &amp; Humm 2009: M. </w:t>
      </w:r>
      <w:proofErr w:type="spellStart"/>
      <w:r>
        <w:t>Coudry</w:t>
      </w:r>
      <w:proofErr w:type="spellEnd"/>
      <w:r>
        <w:t xml:space="preserve"> and M. Humm,</w:t>
      </w:r>
      <w:r w:rsidR="004C26AD" w:rsidRPr="006E6477">
        <w:t xml:space="preserve"> </w:t>
      </w:r>
      <w:proofErr w:type="spellStart"/>
      <w:r w:rsidR="004C26AD" w:rsidRPr="006E6477">
        <w:rPr>
          <w:i/>
        </w:rPr>
        <w:t>Praeda</w:t>
      </w:r>
      <w:proofErr w:type="spellEnd"/>
      <w:r w:rsidR="004C26AD" w:rsidRPr="006E6477">
        <w:rPr>
          <w:i/>
        </w:rPr>
        <w:t xml:space="preserve">. </w:t>
      </w:r>
      <w:proofErr w:type="spellStart"/>
      <w:r w:rsidR="004C26AD" w:rsidRPr="006E6477">
        <w:rPr>
          <w:i/>
        </w:rPr>
        <w:t>Butin</w:t>
      </w:r>
      <w:proofErr w:type="spellEnd"/>
      <w:r w:rsidR="004C26AD" w:rsidRPr="006E6477">
        <w:rPr>
          <w:i/>
        </w:rPr>
        <w:t xml:space="preserve"> de guerre et </w:t>
      </w:r>
      <w:proofErr w:type="spellStart"/>
      <w:r w:rsidR="004C26AD" w:rsidRPr="006E6477">
        <w:rPr>
          <w:i/>
        </w:rPr>
        <w:t>sociéte</w:t>
      </w:r>
      <w:proofErr w:type="spellEnd"/>
      <w:r w:rsidR="004C26AD" w:rsidRPr="006E6477">
        <w:rPr>
          <w:i/>
        </w:rPr>
        <w:t xml:space="preserve">́ </w:t>
      </w:r>
      <w:proofErr w:type="spellStart"/>
      <w:r w:rsidR="004C26AD" w:rsidRPr="006E6477">
        <w:rPr>
          <w:i/>
        </w:rPr>
        <w:t>dans</w:t>
      </w:r>
      <w:proofErr w:type="spellEnd"/>
      <w:r w:rsidR="004C26AD" w:rsidRPr="006E6477">
        <w:rPr>
          <w:i/>
        </w:rPr>
        <w:t xml:space="preserve"> la Rome </w:t>
      </w:r>
      <w:proofErr w:type="spellStart"/>
      <w:r w:rsidR="004C26AD" w:rsidRPr="006E6477">
        <w:rPr>
          <w:i/>
        </w:rPr>
        <w:t>républicaine</w:t>
      </w:r>
      <w:proofErr w:type="spellEnd"/>
      <w:r w:rsidR="004C26AD" w:rsidRPr="006E6477">
        <w:rPr>
          <w:i/>
        </w:rPr>
        <w:t xml:space="preserve"> / </w:t>
      </w:r>
      <w:proofErr w:type="spellStart"/>
      <w:r w:rsidR="004C26AD" w:rsidRPr="006E6477">
        <w:rPr>
          <w:i/>
        </w:rPr>
        <w:t>Kriegsbeute</w:t>
      </w:r>
      <w:proofErr w:type="spellEnd"/>
      <w:r w:rsidR="004C26AD" w:rsidRPr="006E6477">
        <w:rPr>
          <w:i/>
        </w:rPr>
        <w:t xml:space="preserve"> und Gesellschaft </w:t>
      </w:r>
      <w:proofErr w:type="spellStart"/>
      <w:r w:rsidR="004C26AD" w:rsidRPr="006E6477">
        <w:rPr>
          <w:i/>
        </w:rPr>
        <w:t>im</w:t>
      </w:r>
      <w:proofErr w:type="spellEnd"/>
      <w:r w:rsidR="004C26AD" w:rsidRPr="006E6477">
        <w:rPr>
          <w:i/>
        </w:rPr>
        <w:t xml:space="preserve"> </w:t>
      </w:r>
      <w:proofErr w:type="spellStart"/>
      <w:r w:rsidR="004C26AD" w:rsidRPr="006E6477">
        <w:rPr>
          <w:i/>
        </w:rPr>
        <w:t>republikanischen</w:t>
      </w:r>
      <w:proofErr w:type="spellEnd"/>
      <w:r w:rsidR="004C26AD" w:rsidRPr="006E6477">
        <w:rPr>
          <w:i/>
        </w:rPr>
        <w:t xml:space="preserve"> Rom</w:t>
      </w:r>
      <w:r w:rsidR="004C26AD">
        <w:t>, Stuttgart</w:t>
      </w:r>
      <w:r>
        <w:t>, 2009</w:t>
      </w:r>
      <w:r w:rsidR="004C26AD">
        <w:t>.</w:t>
      </w:r>
    </w:p>
    <w:p w14:paraId="123218FC" w14:textId="6B43C5DD" w:rsidR="0023070C" w:rsidRDefault="0023070C" w:rsidP="0023070C">
      <w:pPr>
        <w:spacing w:line="260" w:lineRule="exact"/>
        <w:ind w:left="567" w:hanging="567"/>
        <w:jc w:val="both"/>
      </w:pPr>
      <w:r>
        <w:t xml:space="preserve">Dall Rosa 2016: A. </w:t>
      </w:r>
      <w:proofErr w:type="spellStart"/>
      <w:r>
        <w:t>Dalla</w:t>
      </w:r>
      <w:proofErr w:type="spellEnd"/>
      <w:r>
        <w:t xml:space="preserve"> Rosa, «From Exploitation to Integration. Imperial Quarries. Estates and Freedmen, and the Integration of Rural Phrygia», </w:t>
      </w:r>
      <w:proofErr w:type="spellStart"/>
      <w:r w:rsidRPr="0023070C">
        <w:rPr>
          <w:i/>
        </w:rPr>
        <w:t>Studi</w:t>
      </w:r>
      <w:proofErr w:type="spellEnd"/>
      <w:r w:rsidRPr="0023070C">
        <w:rPr>
          <w:i/>
        </w:rPr>
        <w:t xml:space="preserve"> </w:t>
      </w:r>
      <w:proofErr w:type="spellStart"/>
      <w:r w:rsidRPr="0023070C">
        <w:rPr>
          <w:i/>
        </w:rPr>
        <w:t>Ellenistichi</w:t>
      </w:r>
      <w:proofErr w:type="spellEnd"/>
      <w:r>
        <w:t>, 30, 2016, p. 305-330.</w:t>
      </w:r>
    </w:p>
    <w:p w14:paraId="41AA2670" w14:textId="07CB3EEC" w:rsidR="004C26AD" w:rsidRDefault="005C5DE0" w:rsidP="004C26AD">
      <w:pPr>
        <w:spacing w:line="260" w:lineRule="exact"/>
        <w:ind w:left="567" w:hanging="567"/>
        <w:jc w:val="both"/>
      </w:pPr>
      <w:proofErr w:type="spellStart"/>
      <w:r>
        <w:t>Dickmann</w:t>
      </w:r>
      <w:proofErr w:type="spellEnd"/>
      <w:r>
        <w:t xml:space="preserve"> 1999: J.-A. </w:t>
      </w:r>
      <w:proofErr w:type="spellStart"/>
      <w:r>
        <w:t>Dickmann</w:t>
      </w:r>
      <w:proofErr w:type="spellEnd"/>
      <w:r>
        <w:t>,</w:t>
      </w:r>
      <w:r w:rsidR="004C26AD">
        <w:t xml:space="preserve"> </w:t>
      </w:r>
      <w:r w:rsidR="004C26AD" w:rsidRPr="003347D9">
        <w:rPr>
          <w:i/>
        </w:rPr>
        <w:t xml:space="preserve">Domus </w:t>
      </w:r>
      <w:proofErr w:type="spellStart"/>
      <w:r w:rsidR="004C26AD" w:rsidRPr="003347D9">
        <w:rPr>
          <w:i/>
        </w:rPr>
        <w:t>frequentata</w:t>
      </w:r>
      <w:proofErr w:type="spellEnd"/>
      <w:r w:rsidR="004C26AD" w:rsidRPr="003347D9">
        <w:rPr>
          <w:i/>
        </w:rPr>
        <w:t xml:space="preserve">. </w:t>
      </w:r>
      <w:proofErr w:type="spellStart"/>
      <w:r w:rsidR="004C26AD" w:rsidRPr="003347D9">
        <w:rPr>
          <w:i/>
        </w:rPr>
        <w:t>Anspruchsvolles</w:t>
      </w:r>
      <w:proofErr w:type="spellEnd"/>
      <w:r w:rsidR="004C26AD" w:rsidRPr="003347D9">
        <w:rPr>
          <w:i/>
        </w:rPr>
        <w:t xml:space="preserve"> </w:t>
      </w:r>
      <w:proofErr w:type="spellStart"/>
      <w:r w:rsidR="004C26AD" w:rsidRPr="003347D9">
        <w:rPr>
          <w:i/>
        </w:rPr>
        <w:t>Wohnen</w:t>
      </w:r>
      <w:proofErr w:type="spellEnd"/>
      <w:r w:rsidR="004C26AD" w:rsidRPr="003347D9">
        <w:rPr>
          <w:i/>
        </w:rPr>
        <w:t xml:space="preserve"> </w:t>
      </w:r>
      <w:proofErr w:type="spellStart"/>
      <w:r w:rsidR="004C26AD" w:rsidRPr="003347D9">
        <w:rPr>
          <w:i/>
        </w:rPr>
        <w:t>im</w:t>
      </w:r>
      <w:proofErr w:type="spellEnd"/>
      <w:r w:rsidR="004C26AD" w:rsidRPr="003347D9">
        <w:rPr>
          <w:i/>
        </w:rPr>
        <w:t xml:space="preserve"> </w:t>
      </w:r>
      <w:proofErr w:type="spellStart"/>
      <w:r w:rsidR="004C26AD" w:rsidRPr="003347D9">
        <w:rPr>
          <w:i/>
        </w:rPr>
        <w:t>pompejanischen</w:t>
      </w:r>
      <w:proofErr w:type="spellEnd"/>
      <w:r w:rsidR="004C26AD" w:rsidRPr="003347D9">
        <w:rPr>
          <w:i/>
        </w:rPr>
        <w:t xml:space="preserve"> </w:t>
      </w:r>
      <w:proofErr w:type="spellStart"/>
      <w:r w:rsidR="004C26AD" w:rsidRPr="003347D9">
        <w:rPr>
          <w:i/>
        </w:rPr>
        <w:t>Stadthaus</w:t>
      </w:r>
      <w:proofErr w:type="spellEnd"/>
      <w:r>
        <w:t xml:space="preserve">, </w:t>
      </w:r>
      <w:proofErr w:type="spellStart"/>
      <w:r>
        <w:t>München</w:t>
      </w:r>
      <w:proofErr w:type="spellEnd"/>
      <w:r>
        <w:t>, 2009.</w:t>
      </w:r>
    </w:p>
    <w:p w14:paraId="379176BF" w14:textId="67DFB705" w:rsidR="004C26AD" w:rsidRPr="0083656D" w:rsidRDefault="005C5DE0" w:rsidP="004C26AD">
      <w:pPr>
        <w:spacing w:line="260" w:lineRule="exact"/>
        <w:ind w:left="567" w:hanging="567"/>
        <w:jc w:val="both"/>
        <w:rPr>
          <w:lang w:val="fr-FR"/>
        </w:rPr>
      </w:pPr>
      <w:r>
        <w:rPr>
          <w:lang w:val="fr-FR"/>
        </w:rPr>
        <w:t xml:space="preserve">Dubois </w:t>
      </w:r>
      <w:proofErr w:type="gramStart"/>
      <w:r>
        <w:rPr>
          <w:lang w:val="fr-FR"/>
        </w:rPr>
        <w:t>1908:</w:t>
      </w:r>
      <w:proofErr w:type="gramEnd"/>
      <w:r>
        <w:rPr>
          <w:lang w:val="fr-FR"/>
        </w:rPr>
        <w:t xml:space="preserve"> C. Dubois, </w:t>
      </w:r>
      <w:r w:rsidR="004C26AD" w:rsidRPr="0083656D">
        <w:rPr>
          <w:i/>
          <w:lang w:val="fr-FR"/>
        </w:rPr>
        <w:t>Étude sur l’administration et l’exploitation des carrières marbres, porphyre, granit, etc. dans la monde romain</w:t>
      </w:r>
      <w:r w:rsidR="004C26AD" w:rsidRPr="0083656D">
        <w:rPr>
          <w:lang w:val="fr-FR"/>
        </w:rPr>
        <w:t>, Paris</w:t>
      </w:r>
      <w:r>
        <w:rPr>
          <w:lang w:val="fr-FR"/>
        </w:rPr>
        <w:t>, 1908</w:t>
      </w:r>
      <w:r w:rsidR="004C26AD" w:rsidRPr="0083656D">
        <w:rPr>
          <w:lang w:val="fr-FR"/>
        </w:rPr>
        <w:t>.</w:t>
      </w:r>
    </w:p>
    <w:p w14:paraId="2FA6E6CC" w14:textId="3D5DF16B" w:rsidR="004C26AD" w:rsidRPr="00F6157A" w:rsidRDefault="005C5DE0" w:rsidP="004C26AD">
      <w:pPr>
        <w:ind w:left="284" w:hanging="284"/>
      </w:pPr>
      <w:r>
        <w:t xml:space="preserve">Eck 1999: W. </w:t>
      </w:r>
      <w:r w:rsidR="009F103E">
        <w:t>Eck, «</w:t>
      </w:r>
      <w:proofErr w:type="spellStart"/>
      <w:r w:rsidR="004C26AD" w:rsidRPr="00F6157A">
        <w:t>Kaiserliche</w:t>
      </w:r>
      <w:proofErr w:type="spellEnd"/>
      <w:r w:rsidR="004C26AD" w:rsidRPr="00F6157A">
        <w:t xml:space="preserve"> </w:t>
      </w:r>
      <w:proofErr w:type="spellStart"/>
      <w:r w:rsidR="004C26AD" w:rsidRPr="00F6157A">
        <w:t>Imperatorenakklam</w:t>
      </w:r>
      <w:r w:rsidR="009F103E">
        <w:t>ation</w:t>
      </w:r>
      <w:proofErr w:type="spellEnd"/>
      <w:r w:rsidR="009F103E">
        <w:t xml:space="preserve"> und </w:t>
      </w:r>
      <w:proofErr w:type="spellStart"/>
      <w:r w:rsidR="009F103E">
        <w:t>ornamenta</w:t>
      </w:r>
      <w:proofErr w:type="spellEnd"/>
      <w:r w:rsidR="009F103E">
        <w:t xml:space="preserve"> </w:t>
      </w:r>
      <w:proofErr w:type="spellStart"/>
      <w:r w:rsidR="009F103E">
        <w:t>triumphalia</w:t>
      </w:r>
      <w:proofErr w:type="spellEnd"/>
      <w:r w:rsidR="009F103E">
        <w:t>»</w:t>
      </w:r>
      <w:r w:rsidR="004C26AD" w:rsidRPr="00F6157A">
        <w:t xml:space="preserve">, </w:t>
      </w:r>
      <w:proofErr w:type="spellStart"/>
      <w:r w:rsidR="004C26AD" w:rsidRPr="00F6157A">
        <w:rPr>
          <w:i/>
        </w:rPr>
        <w:t>Zeitschrift</w:t>
      </w:r>
      <w:proofErr w:type="spellEnd"/>
      <w:r w:rsidR="004C26AD" w:rsidRPr="00F6157A">
        <w:rPr>
          <w:i/>
        </w:rPr>
        <w:t xml:space="preserve"> </w:t>
      </w:r>
      <w:proofErr w:type="spellStart"/>
      <w:r w:rsidR="004C26AD" w:rsidRPr="00F6157A">
        <w:rPr>
          <w:i/>
        </w:rPr>
        <w:t>für</w:t>
      </w:r>
      <w:proofErr w:type="spellEnd"/>
      <w:r w:rsidR="004C26AD" w:rsidRPr="00F6157A">
        <w:rPr>
          <w:i/>
        </w:rPr>
        <w:t xml:space="preserve"> </w:t>
      </w:r>
      <w:proofErr w:type="spellStart"/>
      <w:r w:rsidR="004C26AD" w:rsidRPr="00F6157A">
        <w:rPr>
          <w:i/>
        </w:rPr>
        <w:t>Papyrologie</w:t>
      </w:r>
      <w:proofErr w:type="spellEnd"/>
      <w:r w:rsidR="004C26AD" w:rsidRPr="00F6157A">
        <w:rPr>
          <w:i/>
        </w:rPr>
        <w:t xml:space="preserve"> und </w:t>
      </w:r>
      <w:proofErr w:type="spellStart"/>
      <w:r w:rsidR="004C26AD" w:rsidRPr="00F6157A">
        <w:rPr>
          <w:i/>
        </w:rPr>
        <w:t>Epigraphik</w:t>
      </w:r>
      <w:proofErr w:type="spellEnd"/>
      <w:r>
        <w:t xml:space="preserve"> 124, 1999, p. </w:t>
      </w:r>
      <w:r w:rsidR="004C26AD">
        <w:t>223–</w:t>
      </w:r>
      <w:r>
        <w:t>22</w:t>
      </w:r>
      <w:r w:rsidR="004C26AD" w:rsidRPr="00F6157A">
        <w:t>7</w:t>
      </w:r>
      <w:r w:rsidR="004C26AD">
        <w:t>.</w:t>
      </w:r>
    </w:p>
    <w:p w14:paraId="30F0E711" w14:textId="102FA923" w:rsidR="004C26AD" w:rsidRDefault="009F103E" w:rsidP="004C26AD">
      <w:pPr>
        <w:ind w:left="284" w:hanging="284"/>
      </w:pPr>
      <w:r>
        <w:t>Eck 2010</w:t>
      </w:r>
      <w:r w:rsidRPr="009F103E">
        <w:rPr>
          <w:i/>
        </w:rPr>
        <w:t>a</w:t>
      </w:r>
      <w:r>
        <w:t>: W. Eck,</w:t>
      </w:r>
      <w:r w:rsidR="005C5DE0">
        <w:t xml:space="preserve"> </w:t>
      </w:r>
      <w:r>
        <w:t>«</w:t>
      </w:r>
      <w:r w:rsidR="004C26AD" w:rsidRPr="008E3FEE">
        <w:t xml:space="preserve">Emperor and senatorial aristocracy </w:t>
      </w:r>
      <w:r>
        <w:t>in competition for public space»</w:t>
      </w:r>
      <w:r w:rsidR="004C26AD" w:rsidRPr="008E3FEE">
        <w:t xml:space="preserve">, in B.C. </w:t>
      </w:r>
      <w:r w:rsidR="004C26AD">
        <w:t xml:space="preserve">Ewald </w:t>
      </w:r>
      <w:r>
        <w:t>&amp;</w:t>
      </w:r>
      <w:r w:rsidR="004C26AD">
        <w:t xml:space="preserve"> </w:t>
      </w:r>
      <w:r>
        <w:t xml:space="preserve">C. F. </w:t>
      </w:r>
      <w:proofErr w:type="spellStart"/>
      <w:r>
        <w:t>Noreña</w:t>
      </w:r>
      <w:proofErr w:type="spellEnd"/>
      <w:r>
        <w:t xml:space="preserve">, </w:t>
      </w:r>
      <w:r w:rsidR="004C26AD" w:rsidRPr="008E3FEE">
        <w:t>eds.</w:t>
      </w:r>
      <w:r>
        <w:t>,</w:t>
      </w:r>
      <w:r w:rsidR="004C26AD" w:rsidRPr="008E3FEE">
        <w:t xml:space="preserve"> </w:t>
      </w:r>
      <w:r w:rsidR="004C26AD" w:rsidRPr="008E3FEE">
        <w:rPr>
          <w:i/>
        </w:rPr>
        <w:t xml:space="preserve">The Emperor and </w:t>
      </w:r>
      <w:r w:rsidR="004C26AD" w:rsidRPr="008E3FEE">
        <w:rPr>
          <w:i/>
        </w:rPr>
        <w:lastRenderedPageBreak/>
        <w:t>Rome. Space, Representation, and Ritual</w:t>
      </w:r>
      <w:r w:rsidR="004C26AD" w:rsidRPr="008E3FEE">
        <w:t xml:space="preserve"> (Yale C</w:t>
      </w:r>
      <w:r>
        <w:t>lassical Studies 35), Cambridge, 2010, p.</w:t>
      </w:r>
      <w:r w:rsidR="004C26AD" w:rsidRPr="008E3FEE">
        <w:t xml:space="preserve"> 89-110</w:t>
      </w:r>
      <w:r w:rsidR="004C26AD">
        <w:t>.</w:t>
      </w:r>
    </w:p>
    <w:p w14:paraId="24DD518B" w14:textId="3E85C282" w:rsidR="004C26AD" w:rsidRPr="00F6157A" w:rsidRDefault="00450134" w:rsidP="004C26AD">
      <w:pPr>
        <w:ind w:left="284" w:hanging="284"/>
      </w:pPr>
      <w:r>
        <w:t xml:space="preserve">Eck </w:t>
      </w:r>
      <w:r w:rsidRPr="0008766B">
        <w:t>2010</w:t>
      </w:r>
      <w:r w:rsidRPr="0008766B">
        <w:rPr>
          <w:i/>
        </w:rPr>
        <w:t>b</w:t>
      </w:r>
      <w:r w:rsidRPr="00450134">
        <w:t>:</w:t>
      </w:r>
      <w:r>
        <w:t xml:space="preserve"> W. Eck, «</w:t>
      </w:r>
      <w:proofErr w:type="spellStart"/>
      <w:r w:rsidR="004C26AD" w:rsidRPr="0008766B">
        <w:t>Senatorische</w:t>
      </w:r>
      <w:proofErr w:type="spellEnd"/>
      <w:r w:rsidR="004C26AD" w:rsidRPr="0008766B">
        <w:t xml:space="preserve"> </w:t>
      </w:r>
      <w:proofErr w:type="spellStart"/>
      <w:r w:rsidR="004C26AD" w:rsidRPr="0008766B">
        <w:t>Selbstdarstellung</w:t>
      </w:r>
      <w:proofErr w:type="spellEnd"/>
      <w:r w:rsidR="004C26AD" w:rsidRPr="0008766B">
        <w:t xml:space="preserve"> und </w:t>
      </w:r>
      <w:proofErr w:type="spellStart"/>
      <w:r w:rsidR="004C26AD">
        <w:t>kaiserzeitliche</w:t>
      </w:r>
      <w:proofErr w:type="spellEnd"/>
      <w:r w:rsidR="004C26AD">
        <w:t xml:space="preserve"> </w:t>
      </w:r>
      <w:proofErr w:type="spellStart"/>
      <w:r w:rsidR="004C26AD">
        <w:t>Epigraphik</w:t>
      </w:r>
      <w:proofErr w:type="spellEnd"/>
      <w:r>
        <w:t>», in</w:t>
      </w:r>
      <w:r w:rsidR="004C26AD">
        <w:t xml:space="preserve"> W. Eck.</w:t>
      </w:r>
      <w:r w:rsidR="004C26AD" w:rsidRPr="00F6157A">
        <w:t xml:space="preserve"> </w:t>
      </w:r>
      <w:r w:rsidR="004C26AD" w:rsidRPr="00F6157A">
        <w:rPr>
          <w:i/>
        </w:rPr>
        <w:t xml:space="preserve">Monument und </w:t>
      </w:r>
      <w:proofErr w:type="spellStart"/>
      <w:r w:rsidR="004C26AD" w:rsidRPr="00F6157A">
        <w:rPr>
          <w:i/>
        </w:rPr>
        <w:t>Inschrift</w:t>
      </w:r>
      <w:proofErr w:type="spellEnd"/>
      <w:r w:rsidR="004C26AD" w:rsidRPr="00F6157A">
        <w:rPr>
          <w:i/>
        </w:rPr>
        <w:t xml:space="preserve">. </w:t>
      </w:r>
      <w:proofErr w:type="spellStart"/>
      <w:r w:rsidR="004C26AD" w:rsidRPr="00F6157A">
        <w:rPr>
          <w:i/>
        </w:rPr>
        <w:t>Gesammelte</w:t>
      </w:r>
      <w:proofErr w:type="spellEnd"/>
      <w:r w:rsidR="004C26AD" w:rsidRPr="00F6157A">
        <w:rPr>
          <w:i/>
        </w:rPr>
        <w:t xml:space="preserve"> </w:t>
      </w:r>
      <w:proofErr w:type="spellStart"/>
      <w:r w:rsidR="004C26AD" w:rsidRPr="00F6157A">
        <w:rPr>
          <w:i/>
        </w:rPr>
        <w:t>Aufsätze</w:t>
      </w:r>
      <w:proofErr w:type="spellEnd"/>
      <w:r w:rsidR="004C26AD" w:rsidRPr="00F6157A">
        <w:rPr>
          <w:i/>
        </w:rPr>
        <w:t xml:space="preserve"> </w:t>
      </w:r>
      <w:proofErr w:type="spellStart"/>
      <w:r w:rsidR="004C26AD" w:rsidRPr="00F6157A">
        <w:rPr>
          <w:i/>
        </w:rPr>
        <w:t>zur</w:t>
      </w:r>
      <w:proofErr w:type="spellEnd"/>
      <w:r w:rsidR="004C26AD" w:rsidRPr="00F6157A">
        <w:rPr>
          <w:i/>
        </w:rPr>
        <w:t xml:space="preserve"> </w:t>
      </w:r>
      <w:proofErr w:type="spellStart"/>
      <w:r w:rsidR="004C26AD" w:rsidRPr="00F6157A">
        <w:rPr>
          <w:i/>
        </w:rPr>
        <w:t>senatorische</w:t>
      </w:r>
      <w:proofErr w:type="spellEnd"/>
      <w:r w:rsidR="004C26AD" w:rsidRPr="00F6157A">
        <w:rPr>
          <w:i/>
        </w:rPr>
        <w:t xml:space="preserve"> </w:t>
      </w:r>
      <w:proofErr w:type="spellStart"/>
      <w:r w:rsidR="004C26AD" w:rsidRPr="00F6157A">
        <w:rPr>
          <w:i/>
        </w:rPr>
        <w:t>Repräsentation</w:t>
      </w:r>
      <w:proofErr w:type="spellEnd"/>
      <w:r w:rsidR="004C26AD" w:rsidRPr="00F6157A">
        <w:rPr>
          <w:i/>
        </w:rPr>
        <w:t xml:space="preserve"> in der </w:t>
      </w:r>
      <w:proofErr w:type="spellStart"/>
      <w:r w:rsidR="004C26AD" w:rsidRPr="00F6157A">
        <w:rPr>
          <w:i/>
        </w:rPr>
        <w:t>Kaiserzeit</w:t>
      </w:r>
      <w:proofErr w:type="spellEnd"/>
      <w:r w:rsidR="004C26AD" w:rsidRPr="00F6157A">
        <w:t xml:space="preserve"> (</w:t>
      </w:r>
      <w:proofErr w:type="spellStart"/>
      <w:r>
        <w:t>edd</w:t>
      </w:r>
      <w:proofErr w:type="spellEnd"/>
      <w:r>
        <w:t>. by</w:t>
      </w:r>
      <w:r w:rsidR="004C26AD" w:rsidRPr="00F6157A">
        <w:t xml:space="preserve"> W. </w:t>
      </w:r>
      <w:proofErr w:type="spellStart"/>
      <w:r w:rsidR="004C26AD" w:rsidRPr="00F6157A">
        <w:t>A</w:t>
      </w:r>
      <w:r>
        <w:t>meling</w:t>
      </w:r>
      <w:proofErr w:type="spellEnd"/>
      <w:r>
        <w:t xml:space="preserve"> u. J. Heinrichs), Berlin, 2010, p.</w:t>
      </w:r>
      <w:r w:rsidR="004C26AD" w:rsidRPr="0008766B">
        <w:t>1-43</w:t>
      </w:r>
    </w:p>
    <w:p w14:paraId="598DF738" w14:textId="6F7B69EE" w:rsidR="004C26AD" w:rsidRDefault="00450134" w:rsidP="004C26AD">
      <w:pPr>
        <w:ind w:left="284" w:hanging="284"/>
      </w:pPr>
      <w:r>
        <w:t xml:space="preserve">Eck </w:t>
      </w:r>
      <w:r w:rsidRPr="0008766B">
        <w:t>2010</w:t>
      </w:r>
      <w:r>
        <w:rPr>
          <w:i/>
        </w:rPr>
        <w:t>c</w:t>
      </w:r>
      <w:r w:rsidRPr="00450134">
        <w:t>:</w:t>
      </w:r>
      <w:r>
        <w:t xml:space="preserve"> W. </w:t>
      </w:r>
      <w:r w:rsidR="005C5DE0">
        <w:t xml:space="preserve">Eck, </w:t>
      </w:r>
      <w:r>
        <w:t>«</w:t>
      </w:r>
      <w:r w:rsidR="004C26AD" w:rsidRPr="00F6157A">
        <w:t xml:space="preserve">Cum dignitate </w:t>
      </w:r>
      <w:proofErr w:type="spellStart"/>
      <w:r w:rsidR="004C26AD" w:rsidRPr="00F6157A">
        <w:t>otium</w:t>
      </w:r>
      <w:proofErr w:type="spellEnd"/>
      <w:r w:rsidR="004C26AD" w:rsidRPr="00F6157A">
        <w:t xml:space="preserve">. </w:t>
      </w:r>
      <w:proofErr w:type="spellStart"/>
      <w:r w:rsidR="004C26AD" w:rsidRPr="00F6157A">
        <w:t>Senatorische</w:t>
      </w:r>
      <w:proofErr w:type="spellEnd"/>
      <w:r w:rsidR="004C26AD" w:rsidRPr="00F6157A">
        <w:t xml:space="preserve"> </w:t>
      </w:r>
      <w:proofErr w:type="spellStart"/>
      <w:r>
        <w:t>Häuser</w:t>
      </w:r>
      <w:proofErr w:type="spellEnd"/>
      <w:r>
        <w:t xml:space="preserve"> </w:t>
      </w:r>
      <w:proofErr w:type="spellStart"/>
      <w:r>
        <w:t>im</w:t>
      </w:r>
      <w:proofErr w:type="spellEnd"/>
      <w:r>
        <w:t xml:space="preserve"> </w:t>
      </w:r>
      <w:proofErr w:type="spellStart"/>
      <w:r>
        <w:t>kaiserzeitlichen</w:t>
      </w:r>
      <w:proofErr w:type="spellEnd"/>
      <w:r>
        <w:t xml:space="preserve"> Rom», in</w:t>
      </w:r>
      <w:r w:rsidR="004C26AD" w:rsidRPr="000545D8">
        <w:t xml:space="preserve"> </w:t>
      </w:r>
      <w:r>
        <w:t>W. Eck,</w:t>
      </w:r>
      <w:r w:rsidR="004C26AD" w:rsidRPr="00F6157A">
        <w:t xml:space="preserve"> </w:t>
      </w:r>
      <w:r w:rsidR="004C26AD" w:rsidRPr="00F6157A">
        <w:rPr>
          <w:i/>
        </w:rPr>
        <w:t xml:space="preserve">Monument und </w:t>
      </w:r>
      <w:proofErr w:type="spellStart"/>
      <w:r w:rsidR="004C26AD" w:rsidRPr="00F6157A">
        <w:rPr>
          <w:i/>
        </w:rPr>
        <w:t>Inschrift</w:t>
      </w:r>
      <w:proofErr w:type="spellEnd"/>
      <w:r w:rsidR="004C26AD" w:rsidRPr="00F6157A">
        <w:rPr>
          <w:i/>
        </w:rPr>
        <w:t xml:space="preserve">. </w:t>
      </w:r>
      <w:proofErr w:type="spellStart"/>
      <w:r w:rsidR="004C26AD" w:rsidRPr="00F6157A">
        <w:rPr>
          <w:i/>
        </w:rPr>
        <w:t>Gesammelte</w:t>
      </w:r>
      <w:proofErr w:type="spellEnd"/>
      <w:r w:rsidR="004C26AD" w:rsidRPr="00F6157A">
        <w:rPr>
          <w:i/>
        </w:rPr>
        <w:t xml:space="preserve"> </w:t>
      </w:r>
      <w:proofErr w:type="spellStart"/>
      <w:r w:rsidR="004C26AD" w:rsidRPr="00F6157A">
        <w:rPr>
          <w:i/>
        </w:rPr>
        <w:t>Aufsätze</w:t>
      </w:r>
      <w:proofErr w:type="spellEnd"/>
      <w:r w:rsidR="004C26AD" w:rsidRPr="00F6157A">
        <w:rPr>
          <w:i/>
        </w:rPr>
        <w:t xml:space="preserve"> </w:t>
      </w:r>
      <w:proofErr w:type="spellStart"/>
      <w:r w:rsidR="004C26AD" w:rsidRPr="00F6157A">
        <w:rPr>
          <w:i/>
        </w:rPr>
        <w:t>zur</w:t>
      </w:r>
      <w:proofErr w:type="spellEnd"/>
      <w:r w:rsidR="004C26AD" w:rsidRPr="00F6157A">
        <w:rPr>
          <w:i/>
        </w:rPr>
        <w:t xml:space="preserve"> </w:t>
      </w:r>
      <w:proofErr w:type="spellStart"/>
      <w:r w:rsidR="004C26AD" w:rsidRPr="00F6157A">
        <w:rPr>
          <w:i/>
        </w:rPr>
        <w:t>senatorische</w:t>
      </w:r>
      <w:proofErr w:type="spellEnd"/>
      <w:r w:rsidR="004C26AD" w:rsidRPr="00F6157A">
        <w:rPr>
          <w:i/>
        </w:rPr>
        <w:t xml:space="preserve"> </w:t>
      </w:r>
      <w:proofErr w:type="spellStart"/>
      <w:r w:rsidR="004C26AD" w:rsidRPr="00F6157A">
        <w:rPr>
          <w:i/>
        </w:rPr>
        <w:t>Repräsentation</w:t>
      </w:r>
      <w:proofErr w:type="spellEnd"/>
      <w:r w:rsidR="004C26AD" w:rsidRPr="00F6157A">
        <w:rPr>
          <w:i/>
        </w:rPr>
        <w:t xml:space="preserve"> in der </w:t>
      </w:r>
      <w:proofErr w:type="spellStart"/>
      <w:r w:rsidR="004C26AD" w:rsidRPr="00F6157A">
        <w:rPr>
          <w:i/>
        </w:rPr>
        <w:t>Kaiserzeit</w:t>
      </w:r>
      <w:proofErr w:type="spellEnd"/>
      <w:r w:rsidR="004C26AD" w:rsidRPr="00F6157A">
        <w:t xml:space="preserve"> (</w:t>
      </w:r>
      <w:proofErr w:type="spellStart"/>
      <w:r>
        <w:t>edd</w:t>
      </w:r>
      <w:proofErr w:type="spellEnd"/>
      <w:r>
        <w:t>. by</w:t>
      </w:r>
      <w:r w:rsidR="004C26AD" w:rsidRPr="00F6157A">
        <w:t xml:space="preserve"> W. </w:t>
      </w:r>
      <w:proofErr w:type="spellStart"/>
      <w:r w:rsidR="004C26AD" w:rsidRPr="00F6157A">
        <w:t>A</w:t>
      </w:r>
      <w:r w:rsidR="005C5DE0">
        <w:t>meling</w:t>
      </w:r>
      <w:proofErr w:type="spellEnd"/>
      <w:r w:rsidR="005C5DE0">
        <w:t xml:space="preserve"> u. J. Heinrichs), Berlin</w:t>
      </w:r>
      <w:r>
        <w:t>, 2010</w:t>
      </w:r>
      <w:r w:rsidR="005C5DE0">
        <w:t>, p. 207-240</w:t>
      </w:r>
      <w:r w:rsidR="004C26AD">
        <w:t>.</w:t>
      </w:r>
    </w:p>
    <w:p w14:paraId="36520240" w14:textId="20173658" w:rsidR="004C26AD" w:rsidRPr="00BE3EFD" w:rsidRDefault="00450134" w:rsidP="004C26AD">
      <w:pPr>
        <w:ind w:left="284" w:hanging="284"/>
        <w:rPr>
          <w:i/>
        </w:rPr>
      </w:pPr>
      <w:proofErr w:type="spellStart"/>
      <w:r>
        <w:t>Fant</w:t>
      </w:r>
      <w:proofErr w:type="spellEnd"/>
      <w:r>
        <w:t xml:space="preserve"> </w:t>
      </w:r>
      <w:r w:rsidRPr="00BE3EFD">
        <w:t>1989</w:t>
      </w:r>
      <w:r w:rsidRPr="00BE3EFD">
        <w:rPr>
          <w:i/>
        </w:rPr>
        <w:t>a</w:t>
      </w:r>
      <w:r>
        <w:t xml:space="preserve">: J.C. </w:t>
      </w:r>
      <w:proofErr w:type="spellStart"/>
      <w:r>
        <w:t>Fant</w:t>
      </w:r>
      <w:proofErr w:type="spellEnd"/>
      <w:r>
        <w:t>,</w:t>
      </w:r>
      <w:r w:rsidR="004C26AD" w:rsidRPr="00BE3EFD">
        <w:t xml:space="preserve"> </w:t>
      </w:r>
      <w:r w:rsidR="004C26AD" w:rsidRPr="00BE3EFD">
        <w:rPr>
          <w:i/>
        </w:rPr>
        <w:t xml:space="preserve">Cavum Antrum </w:t>
      </w:r>
      <w:proofErr w:type="spellStart"/>
      <w:r w:rsidR="004C26AD" w:rsidRPr="00BE3EFD">
        <w:rPr>
          <w:i/>
        </w:rPr>
        <w:t>Phrygiae</w:t>
      </w:r>
      <w:proofErr w:type="spellEnd"/>
      <w:r w:rsidR="004C26AD" w:rsidRPr="00BE3EFD">
        <w:rPr>
          <w:i/>
        </w:rPr>
        <w:t>. The Organization and Operations of the Roman Imperial Marble Quarries in Phrygia</w:t>
      </w:r>
      <w:r w:rsidR="004C26AD" w:rsidRPr="00BE3EFD">
        <w:t xml:space="preserve"> (BAR International Series 48</w:t>
      </w:r>
      <w:r>
        <w:t>2), Oxford, 1989.</w:t>
      </w:r>
      <w:r w:rsidR="004C26AD" w:rsidRPr="00BE3EFD">
        <w:rPr>
          <w:rFonts w:ascii="MS Mincho" w:eastAsia="MS Mincho" w:hAnsi="MS Mincho" w:cs="MS Mincho"/>
        </w:rPr>
        <w:t> </w:t>
      </w:r>
    </w:p>
    <w:p w14:paraId="032D221A" w14:textId="5A96F98E" w:rsidR="004C26AD" w:rsidRDefault="00450134" w:rsidP="004C26AD">
      <w:pPr>
        <w:ind w:left="284" w:hanging="284"/>
      </w:pPr>
      <w:proofErr w:type="spellStart"/>
      <w:r>
        <w:t>Fant</w:t>
      </w:r>
      <w:proofErr w:type="spellEnd"/>
      <w:r>
        <w:t xml:space="preserve"> </w:t>
      </w:r>
      <w:r w:rsidRPr="0083656D">
        <w:rPr>
          <w:lang w:val="fr-FR"/>
        </w:rPr>
        <w:t>1989</w:t>
      </w:r>
      <w:r w:rsidRPr="0083656D">
        <w:rPr>
          <w:i/>
          <w:lang w:val="fr-FR"/>
        </w:rPr>
        <w:t>b</w:t>
      </w:r>
      <w:r>
        <w:rPr>
          <w:lang w:val="fr-FR"/>
        </w:rPr>
        <w:t>:</w:t>
      </w:r>
      <w:r w:rsidRPr="0083656D">
        <w:rPr>
          <w:lang w:val="fr-FR"/>
        </w:rPr>
        <w:t xml:space="preserve"> J.C. </w:t>
      </w:r>
      <w:proofErr w:type="spellStart"/>
      <w:r w:rsidR="004C26AD" w:rsidRPr="0083656D">
        <w:rPr>
          <w:lang w:val="fr-FR"/>
        </w:rPr>
        <w:t>Fant</w:t>
      </w:r>
      <w:proofErr w:type="spellEnd"/>
      <w:r w:rsidR="004C26AD" w:rsidRPr="0083656D">
        <w:rPr>
          <w:lang w:val="fr-FR"/>
        </w:rPr>
        <w:t xml:space="preserve">, </w:t>
      </w:r>
      <w:r>
        <w:rPr>
          <w:lang w:val="fr-FR"/>
        </w:rPr>
        <w:t>«</w:t>
      </w:r>
      <w:proofErr w:type="spellStart"/>
      <w:r w:rsidR="004C26AD" w:rsidRPr="0083656D">
        <w:rPr>
          <w:lang w:val="fr-FR"/>
        </w:rPr>
        <w:t>Poikiloi</w:t>
      </w:r>
      <w:proofErr w:type="spellEnd"/>
      <w:r w:rsidR="004C26AD" w:rsidRPr="0083656D">
        <w:rPr>
          <w:lang w:val="fr-FR"/>
        </w:rPr>
        <w:t xml:space="preserve"> </w:t>
      </w:r>
      <w:proofErr w:type="spellStart"/>
      <w:r w:rsidR="004C26AD" w:rsidRPr="0083656D">
        <w:rPr>
          <w:lang w:val="fr-FR"/>
        </w:rPr>
        <w:t>lithoi</w:t>
      </w:r>
      <w:proofErr w:type="spellEnd"/>
      <w:r w:rsidR="004C26AD" w:rsidRPr="0083656D">
        <w:rPr>
          <w:lang w:val="fr-FR"/>
        </w:rPr>
        <w:t xml:space="preserve">. </w:t>
      </w:r>
      <w:r w:rsidR="004C26AD" w:rsidRPr="00665120">
        <w:t>The anomalous economics of the Roman</w:t>
      </w:r>
      <w:r>
        <w:t xml:space="preserve"> imperial marble quarry at </w:t>
      </w:r>
      <w:proofErr w:type="spellStart"/>
      <w:r>
        <w:t>Teos</w:t>
      </w:r>
      <w:proofErr w:type="spellEnd"/>
      <w:r>
        <w:t>», in</w:t>
      </w:r>
      <w:r w:rsidR="004C26AD" w:rsidRPr="00665120">
        <w:t xml:space="preserve"> </w:t>
      </w:r>
      <w:r w:rsidR="004C26AD" w:rsidRPr="00665120">
        <w:rPr>
          <w:i/>
        </w:rPr>
        <w:t>The Greek Renaissance in the Roman Empire. Papers from the Tenth British Museum Classical Colloquium, London 1986</w:t>
      </w:r>
      <w:r w:rsidR="004C26AD" w:rsidRPr="00665120">
        <w:t xml:space="preserve"> (BICS Suppl. 55), London</w:t>
      </w:r>
      <w:r>
        <w:t xml:space="preserve">, 1993, p. </w:t>
      </w:r>
      <w:r w:rsidR="004C26AD" w:rsidRPr="00665120">
        <w:t>206-</w:t>
      </w:r>
      <w:r>
        <w:t>2</w:t>
      </w:r>
      <w:r w:rsidR="004C26AD" w:rsidRPr="00665120">
        <w:t>18.</w:t>
      </w:r>
    </w:p>
    <w:p w14:paraId="7581F28B" w14:textId="4D6AF69E" w:rsidR="004C26AD" w:rsidRDefault="00450134" w:rsidP="004C26AD">
      <w:pPr>
        <w:ind w:left="284" w:hanging="284"/>
      </w:pPr>
      <w:proofErr w:type="spellStart"/>
      <w:r>
        <w:t>Fant</w:t>
      </w:r>
      <w:proofErr w:type="spellEnd"/>
      <w:r>
        <w:t xml:space="preserve"> 1993</w:t>
      </w:r>
      <w:r w:rsidRPr="004D17B6">
        <w:rPr>
          <w:i/>
        </w:rPr>
        <w:t>a</w:t>
      </w:r>
      <w:r>
        <w:t xml:space="preserve">: J.C. </w:t>
      </w:r>
      <w:proofErr w:type="spellStart"/>
      <w:r>
        <w:t>Fant</w:t>
      </w:r>
      <w:proofErr w:type="spellEnd"/>
      <w:r>
        <w:t>, «</w:t>
      </w:r>
      <w:r w:rsidR="004C26AD" w:rsidRPr="0068017D">
        <w:t>Ideology, Gift, and Trade. A Distribution Model</w:t>
      </w:r>
      <w:r>
        <w:t xml:space="preserve"> for the Roman Imperial Marbles»</w:t>
      </w:r>
      <w:r w:rsidR="004C26AD" w:rsidRPr="0068017D">
        <w:t>, in</w:t>
      </w:r>
      <w:r w:rsidR="004C26AD">
        <w:t xml:space="preserve"> W.V. Harris ed., </w:t>
      </w:r>
      <w:r w:rsidR="004C26AD" w:rsidRPr="0068017D">
        <w:rPr>
          <w:i/>
        </w:rPr>
        <w:t>The Inscribed Economy</w:t>
      </w:r>
      <w:r w:rsidR="004C26AD" w:rsidRPr="0068017D">
        <w:t xml:space="preserve">. </w:t>
      </w:r>
      <w:r w:rsidR="004C26AD">
        <w:rPr>
          <w:i/>
        </w:rPr>
        <w:t>Production and Dist</w:t>
      </w:r>
      <w:r w:rsidR="004C26AD" w:rsidRPr="0068017D">
        <w:rPr>
          <w:i/>
        </w:rPr>
        <w:t>r</w:t>
      </w:r>
      <w:r w:rsidR="004C26AD">
        <w:rPr>
          <w:i/>
        </w:rPr>
        <w:t>i</w:t>
      </w:r>
      <w:r w:rsidR="004C26AD" w:rsidRPr="0068017D">
        <w:rPr>
          <w:i/>
        </w:rPr>
        <w:t xml:space="preserve">bution in the Roman Empire in the Light of </w:t>
      </w:r>
      <w:proofErr w:type="spellStart"/>
      <w:r w:rsidR="004C26AD" w:rsidRPr="0068017D">
        <w:rPr>
          <w:i/>
        </w:rPr>
        <w:t>Instrumentum</w:t>
      </w:r>
      <w:proofErr w:type="spellEnd"/>
      <w:r w:rsidR="004C26AD" w:rsidRPr="0068017D">
        <w:rPr>
          <w:i/>
        </w:rPr>
        <w:t xml:space="preserve"> </w:t>
      </w:r>
      <w:proofErr w:type="spellStart"/>
      <w:r w:rsidR="004C26AD" w:rsidRPr="0068017D">
        <w:rPr>
          <w:i/>
        </w:rPr>
        <w:t>Domesticum</w:t>
      </w:r>
      <w:proofErr w:type="spellEnd"/>
      <w:r w:rsidR="004C26AD" w:rsidRPr="0068017D">
        <w:t xml:space="preserve"> (JRA Suppl. Ser.6), Ann </w:t>
      </w:r>
      <w:proofErr w:type="spellStart"/>
      <w:r w:rsidR="004C26AD" w:rsidRPr="0068017D">
        <w:t>Arbor</w:t>
      </w:r>
      <w:proofErr w:type="spellEnd"/>
      <w:r w:rsidR="004C26AD" w:rsidRPr="0068017D">
        <w:t>,</w:t>
      </w:r>
      <w:r>
        <w:t xml:space="preserve"> 1993,</w:t>
      </w:r>
      <w:r w:rsidR="004C26AD" w:rsidRPr="0068017D">
        <w:t xml:space="preserve"> 145-</w:t>
      </w:r>
      <w:r w:rsidR="004C26AD">
        <w:t>1</w:t>
      </w:r>
      <w:r w:rsidR="004C26AD" w:rsidRPr="0068017D">
        <w:t>70</w:t>
      </w:r>
      <w:r w:rsidR="004C26AD">
        <w:t>.</w:t>
      </w:r>
    </w:p>
    <w:p w14:paraId="1542BA0F" w14:textId="6B5D8C61" w:rsidR="004C26AD" w:rsidRPr="0083656D" w:rsidRDefault="00450134" w:rsidP="004C26AD">
      <w:pPr>
        <w:ind w:left="284" w:hanging="284"/>
        <w:rPr>
          <w:lang w:val="it-IT"/>
        </w:rPr>
      </w:pPr>
      <w:proofErr w:type="spellStart"/>
      <w:r>
        <w:t>Fant</w:t>
      </w:r>
      <w:proofErr w:type="spellEnd"/>
      <w:r>
        <w:t xml:space="preserve"> 1993</w:t>
      </w:r>
      <w:r>
        <w:rPr>
          <w:i/>
        </w:rPr>
        <w:t>b</w:t>
      </w:r>
      <w:r>
        <w:t>:</w:t>
      </w:r>
      <w:r w:rsidRPr="004D17B6">
        <w:t xml:space="preserve"> </w:t>
      </w:r>
      <w:r>
        <w:t>J.</w:t>
      </w:r>
      <w:r w:rsidRPr="004D17B6">
        <w:t xml:space="preserve">C. </w:t>
      </w:r>
      <w:proofErr w:type="spellStart"/>
      <w:r w:rsidR="004C26AD" w:rsidRPr="004D17B6">
        <w:t>Fant</w:t>
      </w:r>
      <w:proofErr w:type="spellEnd"/>
      <w:r w:rsidR="004C26AD" w:rsidRPr="004D17B6">
        <w:t xml:space="preserve">, </w:t>
      </w:r>
      <w:r>
        <w:t>«</w:t>
      </w:r>
      <w:r w:rsidR="004C26AD" w:rsidRPr="004D17B6">
        <w:t xml:space="preserve">The Roman imperial marble trade. </w:t>
      </w:r>
      <w:r>
        <w:rPr>
          <w:lang w:val="it-IT"/>
        </w:rPr>
        <w:t xml:space="preserve">A </w:t>
      </w:r>
      <w:proofErr w:type="spellStart"/>
      <w:r>
        <w:rPr>
          <w:lang w:val="it-IT"/>
        </w:rPr>
        <w:t>distribution</w:t>
      </w:r>
      <w:proofErr w:type="spellEnd"/>
      <w:r>
        <w:rPr>
          <w:lang w:val="it-IT"/>
        </w:rPr>
        <w:t xml:space="preserve"> model», in</w:t>
      </w:r>
      <w:r w:rsidR="004C26AD" w:rsidRPr="0083656D">
        <w:rPr>
          <w:lang w:val="it-IT"/>
        </w:rPr>
        <w:t xml:space="preserve"> R. </w:t>
      </w:r>
      <w:proofErr w:type="spellStart"/>
      <w:r w:rsidR="004C26AD" w:rsidRPr="0083656D">
        <w:rPr>
          <w:lang w:val="it-IT"/>
        </w:rPr>
        <w:t>Francovich</w:t>
      </w:r>
      <w:proofErr w:type="spellEnd"/>
      <w:r w:rsidR="004C26AD" w:rsidRPr="0083656D">
        <w:rPr>
          <w:lang w:val="it-IT"/>
        </w:rPr>
        <w:t xml:space="preserve"> ed., </w:t>
      </w:r>
      <w:r w:rsidR="004C26AD" w:rsidRPr="0083656D">
        <w:rPr>
          <w:i/>
          <w:lang w:val="it-IT"/>
        </w:rPr>
        <w:t xml:space="preserve">Archeologia delle attività estrattive e metallurgiche. V Ciclo di Lezioni sulla Ricerca Applicata in Archeologia Certosa di </w:t>
      </w:r>
      <w:proofErr w:type="spellStart"/>
      <w:r w:rsidR="004C26AD" w:rsidRPr="0083656D">
        <w:rPr>
          <w:i/>
          <w:lang w:val="it-IT"/>
        </w:rPr>
        <w:t>Pontignano</w:t>
      </w:r>
      <w:proofErr w:type="spellEnd"/>
      <w:r w:rsidR="004C26AD" w:rsidRPr="0083656D">
        <w:rPr>
          <w:i/>
          <w:lang w:val="it-IT"/>
        </w:rPr>
        <w:t xml:space="preserve"> (SI)-Campiglia Marittima (LI), 9-21 settembre 1991</w:t>
      </w:r>
      <w:r w:rsidR="004C26AD" w:rsidRPr="0083656D">
        <w:rPr>
          <w:lang w:val="it-IT"/>
        </w:rPr>
        <w:t>, Florence</w:t>
      </w:r>
      <w:r>
        <w:rPr>
          <w:lang w:val="it-IT"/>
        </w:rPr>
        <w:t>, 1993, p. 71-96.</w:t>
      </w:r>
    </w:p>
    <w:p w14:paraId="3BE889B9" w14:textId="005FF688" w:rsidR="004C26AD" w:rsidRPr="0083656D" w:rsidRDefault="00450134" w:rsidP="004C26AD">
      <w:pPr>
        <w:ind w:left="284" w:hanging="284"/>
        <w:rPr>
          <w:lang w:val="fr-FR"/>
        </w:rPr>
      </w:pPr>
      <w:proofErr w:type="spellStart"/>
      <w:r>
        <w:t>Fant</w:t>
      </w:r>
      <w:proofErr w:type="spellEnd"/>
      <w:r>
        <w:t xml:space="preserve"> 1995: J.C. </w:t>
      </w:r>
      <w:proofErr w:type="spellStart"/>
      <w:r>
        <w:t>Fant</w:t>
      </w:r>
      <w:proofErr w:type="spellEnd"/>
      <w:r>
        <w:t>,</w:t>
      </w:r>
      <w:r w:rsidR="004C26AD" w:rsidRPr="0068017D">
        <w:t xml:space="preserve"> </w:t>
      </w:r>
      <w:r>
        <w:t>«</w:t>
      </w:r>
      <w:r w:rsidR="004C26AD" w:rsidRPr="0068017D">
        <w:t>Augustus and the City of Marble</w:t>
      </w:r>
      <w:r>
        <w:t>», in</w:t>
      </w:r>
      <w:r w:rsidR="004C26AD">
        <w:t xml:space="preserve"> M. </w:t>
      </w:r>
      <w:proofErr w:type="spellStart"/>
      <w:r w:rsidR="004C26AD">
        <w:t>Schvoerer</w:t>
      </w:r>
      <w:proofErr w:type="spellEnd"/>
      <w:r w:rsidR="004C26AD">
        <w:t xml:space="preserve"> ed., </w:t>
      </w:r>
      <w:proofErr w:type="spellStart"/>
      <w:r w:rsidR="004C26AD" w:rsidRPr="0068017D">
        <w:rPr>
          <w:i/>
        </w:rPr>
        <w:t>Archéomatériaux</w:t>
      </w:r>
      <w:proofErr w:type="spellEnd"/>
      <w:r w:rsidR="004C26AD" w:rsidRPr="0068017D">
        <w:rPr>
          <w:i/>
        </w:rPr>
        <w:t xml:space="preserve">. </w:t>
      </w:r>
      <w:r w:rsidR="004C26AD" w:rsidRPr="0083656D">
        <w:rPr>
          <w:i/>
          <w:lang w:val="fr-FR"/>
        </w:rPr>
        <w:t>Marbres et autres roches</w:t>
      </w:r>
      <w:r w:rsidR="004C26AD" w:rsidRPr="0083656D">
        <w:rPr>
          <w:lang w:val="fr-FR"/>
        </w:rPr>
        <w:t xml:space="preserve">. </w:t>
      </w:r>
      <w:r w:rsidR="004C26AD" w:rsidRPr="00450134">
        <w:rPr>
          <w:i/>
          <w:lang w:val="fr-FR"/>
        </w:rPr>
        <w:t>ASMOSIA IV. Bordeaux – Talence 9-1</w:t>
      </w:r>
      <w:r w:rsidRPr="00450134">
        <w:rPr>
          <w:i/>
          <w:lang w:val="fr-FR"/>
        </w:rPr>
        <w:t>3 octobre 1995,</w:t>
      </w:r>
      <w:r>
        <w:rPr>
          <w:lang w:val="fr-FR"/>
        </w:rPr>
        <w:t xml:space="preserve"> Bordeaux, 1995,</w:t>
      </w:r>
      <w:r w:rsidR="004C26AD" w:rsidRPr="0083656D">
        <w:rPr>
          <w:lang w:val="fr-FR"/>
        </w:rPr>
        <w:t xml:space="preserve"> </w:t>
      </w:r>
      <w:r>
        <w:rPr>
          <w:lang w:val="fr-FR"/>
        </w:rPr>
        <w:t xml:space="preserve">p. </w:t>
      </w:r>
      <w:r w:rsidR="004C26AD" w:rsidRPr="0083656D">
        <w:rPr>
          <w:lang w:val="fr-FR"/>
        </w:rPr>
        <w:t>277-280.</w:t>
      </w:r>
    </w:p>
    <w:p w14:paraId="62F8417E" w14:textId="3F9AE8A7" w:rsidR="004C26AD" w:rsidRDefault="00450134" w:rsidP="004C26AD">
      <w:pPr>
        <w:ind w:left="284" w:hanging="284"/>
      </w:pPr>
      <w:proofErr w:type="spellStart"/>
      <w:r>
        <w:t>Fant</w:t>
      </w:r>
      <w:proofErr w:type="spellEnd"/>
      <w:r>
        <w:t xml:space="preserve"> 2008: J.C. </w:t>
      </w:r>
      <w:proofErr w:type="spellStart"/>
      <w:r>
        <w:t>Fant</w:t>
      </w:r>
      <w:proofErr w:type="spellEnd"/>
      <w:r>
        <w:t>,</w:t>
      </w:r>
      <w:r w:rsidR="004C26AD">
        <w:t xml:space="preserve"> ‘Chap. 5. </w:t>
      </w:r>
      <w:r>
        <w:t xml:space="preserve">Quarrying and </w:t>
      </w:r>
      <w:proofErr w:type="spellStart"/>
      <w:r>
        <w:t>Stoneworking</w:t>
      </w:r>
      <w:proofErr w:type="spellEnd"/>
      <w:r>
        <w:t>’, in J.P. Oleson, ed.,</w:t>
      </w:r>
      <w:r w:rsidR="004C26AD">
        <w:t xml:space="preserve"> </w:t>
      </w:r>
      <w:r w:rsidR="004C26AD" w:rsidRPr="00845104">
        <w:rPr>
          <w:i/>
        </w:rPr>
        <w:t>The Oxford Handbook of Engineering and Technology in the Classical World</w:t>
      </w:r>
      <w:r>
        <w:t>, Oxford, 2008,</w:t>
      </w:r>
      <w:r w:rsidR="004C26AD">
        <w:t xml:space="preserve"> </w:t>
      </w:r>
      <w:r>
        <w:t xml:space="preserve">p. </w:t>
      </w:r>
      <w:r w:rsidR="004C26AD">
        <w:t>121-</w:t>
      </w:r>
      <w:r>
        <w:t>1</w:t>
      </w:r>
      <w:r w:rsidR="004C26AD">
        <w:t>35.</w:t>
      </w:r>
    </w:p>
    <w:p w14:paraId="68F55CF5" w14:textId="65DEEE09" w:rsidR="004C26AD" w:rsidRDefault="003E2552" w:rsidP="004C26AD">
      <w:pPr>
        <w:ind w:left="284" w:hanging="284"/>
      </w:pPr>
      <w:r>
        <w:t>Flower 1996: H.I.</w:t>
      </w:r>
      <w:r w:rsidRPr="007D054F">
        <w:t xml:space="preserve"> </w:t>
      </w:r>
      <w:r>
        <w:t xml:space="preserve">Flower, </w:t>
      </w:r>
      <w:r w:rsidR="004C26AD" w:rsidRPr="007D054F">
        <w:rPr>
          <w:i/>
        </w:rPr>
        <w:t>Ancestor Masks and Aristocratic Power in Roman Culture</w:t>
      </w:r>
      <w:r w:rsidR="004C26AD">
        <w:t>, Oxford</w:t>
      </w:r>
      <w:r>
        <w:t>, 1996</w:t>
      </w:r>
      <w:r w:rsidR="004C26AD">
        <w:t>.</w:t>
      </w:r>
    </w:p>
    <w:p w14:paraId="0AFA06CE" w14:textId="0170EDD7" w:rsidR="004C26AD" w:rsidRDefault="003E2552" w:rsidP="004C26AD">
      <w:pPr>
        <w:ind w:left="284" w:hanging="284"/>
      </w:pPr>
      <w:proofErr w:type="spellStart"/>
      <w:r>
        <w:t>Halfmann</w:t>
      </w:r>
      <w:proofErr w:type="spellEnd"/>
      <w:r>
        <w:t xml:space="preserve"> 1986: </w:t>
      </w:r>
      <w:r w:rsidRPr="001152EF">
        <w:t xml:space="preserve">H. </w:t>
      </w:r>
      <w:proofErr w:type="spellStart"/>
      <w:r w:rsidR="004C26AD" w:rsidRPr="001152EF">
        <w:t>Halfmann</w:t>
      </w:r>
      <w:proofErr w:type="spellEnd"/>
      <w:r w:rsidR="004C26AD" w:rsidRPr="001152EF">
        <w:t xml:space="preserve">, </w:t>
      </w:r>
      <w:proofErr w:type="spellStart"/>
      <w:r w:rsidR="004C26AD" w:rsidRPr="001152EF">
        <w:rPr>
          <w:i/>
        </w:rPr>
        <w:t>Itinera</w:t>
      </w:r>
      <w:proofErr w:type="spellEnd"/>
      <w:r w:rsidR="004C26AD" w:rsidRPr="001152EF">
        <w:rPr>
          <w:i/>
        </w:rPr>
        <w:t xml:space="preserve"> </w:t>
      </w:r>
      <w:proofErr w:type="spellStart"/>
      <w:r w:rsidR="004C26AD" w:rsidRPr="001152EF">
        <w:rPr>
          <w:i/>
        </w:rPr>
        <w:t>principum</w:t>
      </w:r>
      <w:proofErr w:type="spellEnd"/>
      <w:r w:rsidR="004C26AD" w:rsidRPr="001152EF">
        <w:rPr>
          <w:i/>
        </w:rPr>
        <w:t xml:space="preserve">. </w:t>
      </w:r>
      <w:proofErr w:type="spellStart"/>
      <w:r w:rsidR="004C26AD" w:rsidRPr="001152EF">
        <w:rPr>
          <w:i/>
        </w:rPr>
        <w:t>Geschichte</w:t>
      </w:r>
      <w:proofErr w:type="spellEnd"/>
      <w:r w:rsidR="004C26AD" w:rsidRPr="001152EF">
        <w:rPr>
          <w:i/>
        </w:rPr>
        <w:t xml:space="preserve"> und </w:t>
      </w:r>
      <w:proofErr w:type="spellStart"/>
      <w:r w:rsidR="004C26AD" w:rsidRPr="001152EF">
        <w:rPr>
          <w:i/>
        </w:rPr>
        <w:t>Typologie</w:t>
      </w:r>
      <w:proofErr w:type="spellEnd"/>
      <w:r w:rsidR="004C26AD" w:rsidRPr="001152EF">
        <w:rPr>
          <w:i/>
        </w:rPr>
        <w:t xml:space="preserve"> der </w:t>
      </w:r>
      <w:proofErr w:type="spellStart"/>
      <w:r w:rsidR="004C26AD" w:rsidRPr="001152EF">
        <w:rPr>
          <w:i/>
        </w:rPr>
        <w:t>Kaiserreisen</w:t>
      </w:r>
      <w:proofErr w:type="spellEnd"/>
      <w:r w:rsidR="004C26AD" w:rsidRPr="001152EF">
        <w:rPr>
          <w:i/>
        </w:rPr>
        <w:t xml:space="preserve"> </w:t>
      </w:r>
      <w:proofErr w:type="spellStart"/>
      <w:r w:rsidR="004C26AD" w:rsidRPr="001152EF">
        <w:rPr>
          <w:i/>
        </w:rPr>
        <w:t>im</w:t>
      </w:r>
      <w:proofErr w:type="spellEnd"/>
      <w:r w:rsidR="004C26AD" w:rsidRPr="001152EF">
        <w:rPr>
          <w:i/>
        </w:rPr>
        <w:t xml:space="preserve"> </w:t>
      </w:r>
      <w:proofErr w:type="spellStart"/>
      <w:r w:rsidR="004C26AD" w:rsidRPr="001152EF">
        <w:rPr>
          <w:i/>
        </w:rPr>
        <w:t>Römischen</w:t>
      </w:r>
      <w:proofErr w:type="spellEnd"/>
      <w:r w:rsidR="004C26AD" w:rsidRPr="001152EF">
        <w:rPr>
          <w:i/>
        </w:rPr>
        <w:t xml:space="preserve"> Reich</w:t>
      </w:r>
      <w:r w:rsidR="004C26AD">
        <w:t>, Wiesbaden</w:t>
      </w:r>
      <w:r>
        <w:t>, 1986</w:t>
      </w:r>
      <w:r w:rsidR="004C26AD">
        <w:t>.</w:t>
      </w:r>
    </w:p>
    <w:p w14:paraId="34E3CA6E" w14:textId="1EAE910F" w:rsidR="004C26AD" w:rsidRDefault="003E2552" w:rsidP="004C26AD">
      <w:pPr>
        <w:ind w:left="284" w:hanging="284"/>
      </w:pPr>
      <w:proofErr w:type="spellStart"/>
      <w:r>
        <w:t>Hesberg</w:t>
      </w:r>
      <w:proofErr w:type="spellEnd"/>
      <w:r>
        <w:t xml:space="preserve"> 1994: H. von </w:t>
      </w:r>
      <w:proofErr w:type="spellStart"/>
      <w:r>
        <w:t>Hesberg</w:t>
      </w:r>
      <w:proofErr w:type="spellEnd"/>
      <w:r>
        <w:t xml:space="preserve">, «Die </w:t>
      </w:r>
      <w:proofErr w:type="spellStart"/>
      <w:r>
        <w:t>Architekturteile</w:t>
      </w:r>
      <w:proofErr w:type="spellEnd"/>
      <w:r>
        <w:t>», in</w:t>
      </w:r>
      <w:r w:rsidR="004C26AD">
        <w:t xml:space="preserve"> G. </w:t>
      </w:r>
      <w:proofErr w:type="spellStart"/>
      <w:r w:rsidR="004C26AD">
        <w:t>Hellenkemper</w:t>
      </w:r>
      <w:proofErr w:type="spellEnd"/>
      <w:r w:rsidR="004C26AD">
        <w:t xml:space="preserve"> </w:t>
      </w:r>
      <w:proofErr w:type="spellStart"/>
      <w:r w:rsidR="004C26AD">
        <w:t>Salies</w:t>
      </w:r>
      <w:proofErr w:type="spellEnd"/>
      <w:r w:rsidR="004C26AD">
        <w:t xml:space="preserve"> et al. eds. </w:t>
      </w:r>
      <w:r w:rsidR="004C26AD" w:rsidRPr="00076713">
        <w:rPr>
          <w:i/>
        </w:rPr>
        <w:t xml:space="preserve">Das Wrack. Der </w:t>
      </w:r>
      <w:proofErr w:type="spellStart"/>
      <w:r w:rsidR="004C26AD" w:rsidRPr="00076713">
        <w:rPr>
          <w:i/>
        </w:rPr>
        <w:t>antike</w:t>
      </w:r>
      <w:proofErr w:type="spellEnd"/>
      <w:r w:rsidR="004C26AD" w:rsidRPr="00076713">
        <w:rPr>
          <w:i/>
        </w:rPr>
        <w:t xml:space="preserve"> </w:t>
      </w:r>
      <w:proofErr w:type="spellStart"/>
      <w:r w:rsidR="004C26AD" w:rsidRPr="00076713">
        <w:rPr>
          <w:i/>
        </w:rPr>
        <w:t>Schiffsfund</w:t>
      </w:r>
      <w:proofErr w:type="spellEnd"/>
      <w:r w:rsidR="004C26AD" w:rsidRPr="00076713">
        <w:rPr>
          <w:i/>
        </w:rPr>
        <w:t xml:space="preserve"> von </w:t>
      </w:r>
      <w:proofErr w:type="spellStart"/>
      <w:r w:rsidR="004C26AD" w:rsidRPr="00076713">
        <w:rPr>
          <w:i/>
        </w:rPr>
        <w:t>Mahdia</w:t>
      </w:r>
      <w:proofErr w:type="spellEnd"/>
      <w:r>
        <w:t>, Vol. 1, Bonn, 1994,</w:t>
      </w:r>
      <w:r w:rsidR="004C26AD">
        <w:t xml:space="preserve"> </w:t>
      </w:r>
      <w:r>
        <w:t xml:space="preserve">p. </w:t>
      </w:r>
      <w:r w:rsidR="004C26AD">
        <w:t>175-194.</w:t>
      </w:r>
    </w:p>
    <w:p w14:paraId="21D99D47" w14:textId="298AEDEC" w:rsidR="004C26AD" w:rsidRDefault="003E2552" w:rsidP="004C26AD">
      <w:pPr>
        <w:ind w:left="284" w:hanging="284"/>
      </w:pPr>
      <w:proofErr w:type="spellStart"/>
      <w:r>
        <w:t>Hesberg</w:t>
      </w:r>
      <w:proofErr w:type="spellEnd"/>
      <w:r>
        <w:t xml:space="preserve"> 2005: H. von </w:t>
      </w:r>
      <w:proofErr w:type="spellStart"/>
      <w:r>
        <w:t>Hesberg</w:t>
      </w:r>
      <w:proofErr w:type="spellEnd"/>
      <w:r>
        <w:t>,</w:t>
      </w:r>
      <w:r w:rsidR="004C26AD" w:rsidRPr="00DD4514">
        <w:t xml:space="preserve"> </w:t>
      </w:r>
      <w:r>
        <w:t>«</w:t>
      </w:r>
      <w:r w:rsidR="004C26AD" w:rsidRPr="00DD4514">
        <w:t xml:space="preserve">Die </w:t>
      </w:r>
      <w:proofErr w:type="spellStart"/>
      <w:r w:rsidR="004C26AD" w:rsidRPr="00DD4514">
        <w:t>Häuser</w:t>
      </w:r>
      <w:proofErr w:type="spellEnd"/>
      <w:r w:rsidR="004C26AD" w:rsidRPr="00DD4514">
        <w:t xml:space="preserve"> der </w:t>
      </w:r>
      <w:proofErr w:type="spellStart"/>
      <w:r w:rsidR="004C26AD" w:rsidRPr="00DD4514">
        <w:t>Senatoren</w:t>
      </w:r>
      <w:proofErr w:type="spellEnd"/>
      <w:r w:rsidR="004C26AD" w:rsidRPr="00DD4514">
        <w:t xml:space="preserve"> in Rom. </w:t>
      </w:r>
      <w:proofErr w:type="spellStart"/>
      <w:r w:rsidR="004C26AD" w:rsidRPr="00DD4514">
        <w:t>Gesellschaf</w:t>
      </w:r>
      <w:r>
        <w:t>tliche</w:t>
      </w:r>
      <w:proofErr w:type="spellEnd"/>
      <w:r>
        <w:t xml:space="preserve"> und </w:t>
      </w:r>
      <w:proofErr w:type="spellStart"/>
      <w:r>
        <w:t>politische</w:t>
      </w:r>
      <w:proofErr w:type="spellEnd"/>
      <w:r>
        <w:t xml:space="preserve"> </w:t>
      </w:r>
      <w:proofErr w:type="spellStart"/>
      <w:r>
        <w:t>Funktion</w:t>
      </w:r>
      <w:proofErr w:type="spellEnd"/>
      <w:r>
        <w:t>»</w:t>
      </w:r>
      <w:r w:rsidR="004C26AD">
        <w:t>,</w:t>
      </w:r>
      <w:r w:rsidR="004C26AD" w:rsidRPr="00DD4514">
        <w:t xml:space="preserve"> in</w:t>
      </w:r>
      <w:r>
        <w:t xml:space="preserve"> W. Eck and </w:t>
      </w:r>
      <w:r w:rsidR="004C26AD" w:rsidRPr="00DD4514">
        <w:t>M. Heil</w:t>
      </w:r>
      <w:r>
        <w:t>,</w:t>
      </w:r>
      <w:r w:rsidR="004C26AD" w:rsidRPr="00DD4514">
        <w:t xml:space="preserve"> eds. </w:t>
      </w:r>
      <w:proofErr w:type="spellStart"/>
      <w:r w:rsidR="004C26AD" w:rsidRPr="0083656D">
        <w:rPr>
          <w:i/>
          <w:lang w:val="it-IT"/>
        </w:rPr>
        <w:t>Senatores</w:t>
      </w:r>
      <w:proofErr w:type="spellEnd"/>
      <w:r w:rsidR="004C26AD" w:rsidRPr="0083656D">
        <w:rPr>
          <w:i/>
          <w:lang w:val="it-IT"/>
        </w:rPr>
        <w:t xml:space="preserve"> </w:t>
      </w:r>
      <w:proofErr w:type="spellStart"/>
      <w:r w:rsidR="004C26AD" w:rsidRPr="0083656D">
        <w:rPr>
          <w:i/>
          <w:lang w:val="it-IT"/>
        </w:rPr>
        <w:t>populi</w:t>
      </w:r>
      <w:proofErr w:type="spellEnd"/>
      <w:r w:rsidR="004C26AD" w:rsidRPr="0083656D">
        <w:rPr>
          <w:i/>
          <w:lang w:val="it-IT"/>
        </w:rPr>
        <w:t xml:space="preserve"> Romani. </w:t>
      </w:r>
      <w:proofErr w:type="spellStart"/>
      <w:r w:rsidR="004C26AD" w:rsidRPr="0083656D">
        <w:rPr>
          <w:i/>
          <w:lang w:val="it-IT"/>
        </w:rPr>
        <w:t>Realität</w:t>
      </w:r>
      <w:proofErr w:type="spellEnd"/>
      <w:r w:rsidR="004C26AD" w:rsidRPr="0083656D">
        <w:rPr>
          <w:i/>
          <w:lang w:val="it-IT"/>
        </w:rPr>
        <w:t xml:space="preserve"> und mediale </w:t>
      </w:r>
      <w:proofErr w:type="spellStart"/>
      <w:r w:rsidR="004C26AD" w:rsidRPr="0083656D">
        <w:rPr>
          <w:i/>
          <w:lang w:val="it-IT"/>
        </w:rPr>
        <w:t>Präsentation</w:t>
      </w:r>
      <w:proofErr w:type="spellEnd"/>
      <w:r w:rsidR="004C26AD" w:rsidRPr="0083656D">
        <w:rPr>
          <w:i/>
          <w:lang w:val="it-IT"/>
        </w:rPr>
        <w:t xml:space="preserve"> </w:t>
      </w:r>
      <w:proofErr w:type="spellStart"/>
      <w:r w:rsidR="004C26AD" w:rsidRPr="0083656D">
        <w:rPr>
          <w:i/>
          <w:lang w:val="it-IT"/>
        </w:rPr>
        <w:t>einer</w:t>
      </w:r>
      <w:proofErr w:type="spellEnd"/>
      <w:r w:rsidR="004C26AD" w:rsidRPr="0083656D">
        <w:rPr>
          <w:i/>
          <w:lang w:val="it-IT"/>
        </w:rPr>
        <w:t xml:space="preserve"> </w:t>
      </w:r>
      <w:proofErr w:type="spellStart"/>
      <w:r w:rsidR="004C26AD" w:rsidRPr="0083656D">
        <w:rPr>
          <w:i/>
          <w:lang w:val="it-IT"/>
        </w:rPr>
        <w:lastRenderedPageBreak/>
        <w:t>Führungsschicht</w:t>
      </w:r>
      <w:proofErr w:type="spellEnd"/>
      <w:r w:rsidR="004C26AD" w:rsidRPr="0083656D">
        <w:rPr>
          <w:lang w:val="it-IT"/>
        </w:rPr>
        <w:t xml:space="preserve">. </w:t>
      </w:r>
      <w:proofErr w:type="spellStart"/>
      <w:r w:rsidR="004C26AD" w:rsidRPr="0083656D">
        <w:rPr>
          <w:i/>
          <w:lang w:val="it-IT"/>
        </w:rPr>
        <w:t>Kolloquium</w:t>
      </w:r>
      <w:proofErr w:type="spellEnd"/>
      <w:r w:rsidR="004C26AD" w:rsidRPr="0083656D">
        <w:rPr>
          <w:i/>
          <w:lang w:val="it-IT"/>
        </w:rPr>
        <w:t xml:space="preserve"> </w:t>
      </w:r>
      <w:proofErr w:type="spellStart"/>
      <w:r w:rsidR="004C26AD" w:rsidRPr="0083656D">
        <w:rPr>
          <w:i/>
          <w:lang w:val="it-IT"/>
        </w:rPr>
        <w:t>der</w:t>
      </w:r>
      <w:proofErr w:type="spellEnd"/>
      <w:r w:rsidR="004C26AD" w:rsidRPr="0083656D">
        <w:rPr>
          <w:i/>
          <w:lang w:val="it-IT"/>
        </w:rPr>
        <w:t xml:space="preserve"> </w:t>
      </w:r>
      <w:proofErr w:type="spellStart"/>
      <w:r w:rsidR="004C26AD" w:rsidRPr="0083656D">
        <w:rPr>
          <w:i/>
          <w:lang w:val="it-IT"/>
        </w:rPr>
        <w:t>Prosopographia</w:t>
      </w:r>
      <w:proofErr w:type="spellEnd"/>
      <w:r w:rsidR="004C26AD" w:rsidRPr="0083656D">
        <w:rPr>
          <w:i/>
          <w:lang w:val="it-IT"/>
        </w:rPr>
        <w:t xml:space="preserve"> Imperii Romani </w:t>
      </w:r>
      <w:proofErr w:type="spellStart"/>
      <w:r w:rsidR="004C26AD" w:rsidRPr="0083656D">
        <w:rPr>
          <w:i/>
          <w:lang w:val="it-IT"/>
        </w:rPr>
        <w:t>vom</w:t>
      </w:r>
      <w:proofErr w:type="spellEnd"/>
      <w:r w:rsidR="004C26AD" w:rsidRPr="0083656D">
        <w:rPr>
          <w:i/>
          <w:lang w:val="it-IT"/>
        </w:rPr>
        <w:t xml:space="preserve"> </w:t>
      </w:r>
      <w:proofErr w:type="gramStart"/>
      <w:r w:rsidR="004C26AD" w:rsidRPr="0083656D">
        <w:rPr>
          <w:i/>
          <w:lang w:val="it-IT"/>
        </w:rPr>
        <w:t>11.-</w:t>
      </w:r>
      <w:proofErr w:type="gramEnd"/>
      <w:r w:rsidR="004C26AD" w:rsidRPr="0083656D">
        <w:rPr>
          <w:i/>
          <w:lang w:val="it-IT"/>
        </w:rPr>
        <w:t xml:space="preserve">13. </w:t>
      </w:r>
      <w:proofErr w:type="spellStart"/>
      <w:r w:rsidR="004C26AD" w:rsidRPr="00DD4514">
        <w:rPr>
          <w:i/>
        </w:rPr>
        <w:t>Juni</w:t>
      </w:r>
      <w:proofErr w:type="spellEnd"/>
      <w:r w:rsidR="004C26AD" w:rsidRPr="00DD4514">
        <w:rPr>
          <w:i/>
        </w:rPr>
        <w:t xml:space="preserve"> 2004</w:t>
      </w:r>
      <w:r w:rsidR="004C26AD">
        <w:t>, Stuttgart</w:t>
      </w:r>
      <w:r>
        <w:t>, 2005,</w:t>
      </w:r>
      <w:r w:rsidR="004C26AD">
        <w:t xml:space="preserve"> </w:t>
      </w:r>
      <w:r>
        <w:t xml:space="preserve">p. </w:t>
      </w:r>
      <w:r w:rsidR="004C26AD">
        <w:t>19-52.</w:t>
      </w:r>
    </w:p>
    <w:p w14:paraId="347372ED" w14:textId="7B790DA6" w:rsidR="004C26AD" w:rsidRPr="00707E49" w:rsidRDefault="003E2552" w:rsidP="004C26AD">
      <w:pPr>
        <w:ind w:left="284" w:hanging="284"/>
      </w:pPr>
      <w:r>
        <w:t xml:space="preserve">Hirt 2010: </w:t>
      </w:r>
      <w:r w:rsidR="00044C3F">
        <w:t xml:space="preserve">A.M. </w:t>
      </w:r>
      <w:r>
        <w:t xml:space="preserve">Hirt, </w:t>
      </w:r>
      <w:r w:rsidR="004C26AD">
        <w:rPr>
          <w:i/>
        </w:rPr>
        <w:t>Imperial Mines and Quarries in The Roman World</w:t>
      </w:r>
      <w:r w:rsidR="004C26AD">
        <w:t xml:space="preserve">. </w:t>
      </w:r>
      <w:r w:rsidR="004C26AD" w:rsidRPr="00707E49">
        <w:rPr>
          <w:i/>
        </w:rPr>
        <w:t>Organizational Aspects 27 BC – AD 235</w:t>
      </w:r>
      <w:r w:rsidR="004C26AD">
        <w:t>, Oxford</w:t>
      </w:r>
      <w:r w:rsidR="00044C3F">
        <w:t>, 2010</w:t>
      </w:r>
      <w:r w:rsidR="004C26AD">
        <w:t>.</w:t>
      </w:r>
    </w:p>
    <w:p w14:paraId="4C0CC889" w14:textId="32AEEAF8" w:rsidR="004C26AD" w:rsidRPr="00707E49" w:rsidRDefault="00044C3F" w:rsidP="004C26AD">
      <w:pPr>
        <w:ind w:left="284" w:hanging="284"/>
        <w:rPr>
          <w:bCs/>
        </w:rPr>
      </w:pPr>
      <w:r>
        <w:t>Hirt 2015: A.M. Hirt, «</w:t>
      </w:r>
      <w:r w:rsidR="004C26AD">
        <w:t>Centur</w:t>
      </w:r>
      <w:r>
        <w:t>ions, Quarries, and the Emperor», in</w:t>
      </w:r>
      <w:r w:rsidR="004C26AD">
        <w:t xml:space="preserve"> P. </w:t>
      </w:r>
      <w:proofErr w:type="spellStart"/>
      <w:r w:rsidR="004C26AD">
        <w:t>Erdkamp</w:t>
      </w:r>
      <w:proofErr w:type="spellEnd"/>
      <w:r w:rsidR="004C26AD">
        <w:t xml:space="preserve">, K. </w:t>
      </w:r>
      <w:proofErr w:type="spellStart"/>
      <w:r w:rsidR="004C26AD">
        <w:t>Verboven</w:t>
      </w:r>
      <w:proofErr w:type="spellEnd"/>
      <w:r w:rsidR="004C26AD">
        <w:t xml:space="preserve">, &amp; A. </w:t>
      </w:r>
      <w:proofErr w:type="spellStart"/>
      <w:r w:rsidR="004C26AD">
        <w:t>Zuiderhoek</w:t>
      </w:r>
      <w:proofErr w:type="spellEnd"/>
      <w:r>
        <w:t>,</w:t>
      </w:r>
      <w:r w:rsidR="004C26AD">
        <w:t xml:space="preserve"> eds., </w:t>
      </w:r>
      <w:r w:rsidR="004C26AD" w:rsidRPr="00707E49">
        <w:rPr>
          <w:bCs/>
          <w:i/>
        </w:rPr>
        <w:t>Ownership and Exploitation of Land and Natural Resources in the Roman World</w:t>
      </w:r>
      <w:r w:rsidR="004C26AD">
        <w:rPr>
          <w:b/>
          <w:bCs/>
        </w:rPr>
        <w:t xml:space="preserve">, </w:t>
      </w:r>
      <w:r>
        <w:rPr>
          <w:bCs/>
        </w:rPr>
        <w:t>Oxford, 2015, p.</w:t>
      </w:r>
      <w:r w:rsidR="004C26AD">
        <w:rPr>
          <w:bCs/>
        </w:rPr>
        <w:t xml:space="preserve"> 289-314.</w:t>
      </w:r>
    </w:p>
    <w:p w14:paraId="217612D4" w14:textId="3DF4F7D8" w:rsidR="004C26AD" w:rsidRDefault="00044C3F" w:rsidP="004C26AD">
      <w:pPr>
        <w:ind w:left="284" w:hanging="284"/>
      </w:pPr>
      <w:proofErr w:type="spellStart"/>
      <w:r>
        <w:t>Hölkeskamp</w:t>
      </w:r>
      <w:proofErr w:type="spellEnd"/>
      <w:r>
        <w:t xml:space="preserve"> 1993: K.-J. </w:t>
      </w:r>
      <w:proofErr w:type="spellStart"/>
      <w:r>
        <w:t>Hölkeskamp</w:t>
      </w:r>
      <w:proofErr w:type="spellEnd"/>
      <w:r>
        <w:t>, «</w:t>
      </w:r>
      <w:r w:rsidR="004C26AD" w:rsidRPr="009B1A7F">
        <w:t>Conquest, Competition and Consensus. Roman Expansion in It</w:t>
      </w:r>
      <w:r>
        <w:t>aly and the Rise of "</w:t>
      </w:r>
      <w:proofErr w:type="spellStart"/>
      <w:r>
        <w:t>Nobilitas</w:t>
      </w:r>
      <w:proofErr w:type="spellEnd"/>
      <w:r>
        <w:t>"»</w:t>
      </w:r>
      <w:r w:rsidR="004C26AD" w:rsidRPr="009B1A7F">
        <w:t xml:space="preserve">, </w:t>
      </w:r>
      <w:r w:rsidR="004C26AD" w:rsidRPr="009B1A7F">
        <w:rPr>
          <w:i/>
        </w:rPr>
        <w:t>Historia</w:t>
      </w:r>
      <w:r>
        <w:t xml:space="preserve"> 42, 1993, p. </w:t>
      </w:r>
      <w:r w:rsidR="004C26AD" w:rsidRPr="009B1A7F">
        <w:t>12-39</w:t>
      </w:r>
      <w:r>
        <w:t>.</w:t>
      </w:r>
    </w:p>
    <w:p w14:paraId="73D324E8" w14:textId="0E018DDC" w:rsidR="004C26AD" w:rsidRDefault="00044C3F" w:rsidP="004C26AD">
      <w:pPr>
        <w:ind w:left="284" w:hanging="284"/>
      </w:pPr>
      <w:proofErr w:type="spellStart"/>
      <w:r>
        <w:t>Hölkeskamp</w:t>
      </w:r>
      <w:proofErr w:type="spellEnd"/>
      <w:r>
        <w:t xml:space="preserve"> 2005: K.-J. </w:t>
      </w:r>
      <w:proofErr w:type="spellStart"/>
      <w:r w:rsidR="004C26AD">
        <w:t>Hölkes</w:t>
      </w:r>
      <w:r>
        <w:t>kamp</w:t>
      </w:r>
      <w:proofErr w:type="spellEnd"/>
      <w:r>
        <w:t>, «</w:t>
      </w:r>
      <w:r w:rsidR="004C26AD" w:rsidRPr="009B1A7F">
        <w:t>Images of Power. Memory, Myth and Monuments in the Roman Republic</w:t>
      </w:r>
      <w:r>
        <w:t>»</w:t>
      </w:r>
      <w:r w:rsidR="004C26AD" w:rsidRPr="009B1A7F">
        <w:t xml:space="preserve">, </w:t>
      </w:r>
      <w:proofErr w:type="spellStart"/>
      <w:r w:rsidR="004C26AD" w:rsidRPr="009B1A7F">
        <w:rPr>
          <w:i/>
        </w:rPr>
        <w:t>Scripta</w:t>
      </w:r>
      <w:proofErr w:type="spellEnd"/>
      <w:r w:rsidR="004C26AD" w:rsidRPr="009B1A7F">
        <w:rPr>
          <w:i/>
        </w:rPr>
        <w:t xml:space="preserve"> Classica </w:t>
      </w:r>
      <w:proofErr w:type="spellStart"/>
      <w:r w:rsidR="004C26AD" w:rsidRPr="009B1A7F">
        <w:rPr>
          <w:i/>
        </w:rPr>
        <w:t>Israelica</w:t>
      </w:r>
      <w:proofErr w:type="spellEnd"/>
      <w:r w:rsidRPr="00044C3F">
        <w:t>,</w:t>
      </w:r>
      <w:r>
        <w:t xml:space="preserve"> 24,</w:t>
      </w:r>
      <w:r w:rsidR="004C26AD">
        <w:t xml:space="preserve"> </w:t>
      </w:r>
      <w:r>
        <w:t xml:space="preserve">2005, p. </w:t>
      </w:r>
      <w:r w:rsidR="004C26AD">
        <w:t>249-271.</w:t>
      </w:r>
    </w:p>
    <w:p w14:paraId="063BD497" w14:textId="2148C7C1" w:rsidR="004C26AD" w:rsidRDefault="00044C3F" w:rsidP="004C26AD">
      <w:pPr>
        <w:ind w:left="284" w:hanging="284"/>
      </w:pPr>
      <w:proofErr w:type="spellStart"/>
      <w:r>
        <w:t>Hölkeskamp</w:t>
      </w:r>
      <w:proofErr w:type="spellEnd"/>
      <w:r>
        <w:t xml:space="preserve"> 2010: </w:t>
      </w:r>
      <w:r w:rsidRPr="009B1A7F">
        <w:t>K.</w:t>
      </w:r>
      <w:r>
        <w:t>-</w:t>
      </w:r>
      <w:r w:rsidRPr="009B1A7F">
        <w:t xml:space="preserve">J. </w:t>
      </w:r>
      <w:proofErr w:type="spellStart"/>
      <w:r>
        <w:t>Hölkeskamp</w:t>
      </w:r>
      <w:proofErr w:type="spellEnd"/>
      <w:r>
        <w:t>,</w:t>
      </w:r>
      <w:r w:rsidR="004C26AD" w:rsidRPr="009B1A7F">
        <w:t xml:space="preserve"> </w:t>
      </w:r>
      <w:r>
        <w:rPr>
          <w:i/>
        </w:rPr>
        <w:t>Reconstructing the Roman Republ</w:t>
      </w:r>
      <w:r w:rsidR="004C26AD" w:rsidRPr="009B1A7F">
        <w:rPr>
          <w:i/>
        </w:rPr>
        <w:t>i</w:t>
      </w:r>
      <w:r>
        <w:rPr>
          <w:i/>
        </w:rPr>
        <w:t>c</w:t>
      </w:r>
      <w:r w:rsidR="004C26AD" w:rsidRPr="009B1A7F">
        <w:rPr>
          <w:i/>
        </w:rPr>
        <w:t>. An Ancient Political Culture and Modern Research</w:t>
      </w:r>
      <w:r w:rsidR="004C26AD" w:rsidRPr="009B1A7F">
        <w:t>, Princeton / Oxford</w:t>
      </w:r>
    </w:p>
    <w:p w14:paraId="3DEDB65F" w14:textId="3603ACD2" w:rsidR="000E623D" w:rsidRPr="000E623D" w:rsidRDefault="000E623D" w:rsidP="000E623D">
      <w:proofErr w:type="spellStart"/>
      <w:r w:rsidRPr="000D164B">
        <w:t>Hurlet</w:t>
      </w:r>
      <w:proofErr w:type="spellEnd"/>
      <w:r>
        <w:t xml:space="preserve"> 2012: F. </w:t>
      </w:r>
      <w:proofErr w:type="spellStart"/>
      <w:r>
        <w:t>Hurlet</w:t>
      </w:r>
      <w:proofErr w:type="spellEnd"/>
      <w:r>
        <w:t>, «</w:t>
      </w:r>
      <w:r w:rsidRPr="000E623D">
        <w:t xml:space="preserve">Concurrence </w:t>
      </w:r>
      <w:proofErr w:type="spellStart"/>
      <w:r w:rsidRPr="000E623D">
        <w:t>gentilice</w:t>
      </w:r>
      <w:proofErr w:type="spellEnd"/>
      <w:r w:rsidRPr="000E623D">
        <w:t xml:space="preserve"> et arbitrage </w:t>
      </w:r>
      <w:proofErr w:type="spellStart"/>
      <w:r w:rsidRPr="000E623D">
        <w:t>impérial</w:t>
      </w:r>
      <w:proofErr w:type="spellEnd"/>
      <w:r w:rsidRPr="000E623D">
        <w:t xml:space="preserve">. Les </w:t>
      </w:r>
      <w:proofErr w:type="spellStart"/>
      <w:r w:rsidRPr="000E623D">
        <w:t>pratiques</w:t>
      </w:r>
      <w:proofErr w:type="spellEnd"/>
      <w:r w:rsidRPr="000E623D">
        <w:t xml:space="preserve"> politiques de </w:t>
      </w:r>
      <w:proofErr w:type="spellStart"/>
      <w:r w:rsidRPr="000E623D">
        <w:t>l’aristocratie</w:t>
      </w:r>
      <w:proofErr w:type="spellEnd"/>
      <w:r w:rsidRPr="000E623D">
        <w:t xml:space="preserve"> </w:t>
      </w:r>
      <w:proofErr w:type="spellStart"/>
      <w:r w:rsidRPr="000E623D">
        <w:t>augustéenne</w:t>
      </w:r>
      <w:proofErr w:type="spellEnd"/>
      <w:r w:rsidRPr="000E623D">
        <w:t xml:space="preserve"> », </w:t>
      </w:r>
      <w:proofErr w:type="spellStart"/>
      <w:r w:rsidRPr="000E623D">
        <w:rPr>
          <w:i/>
        </w:rPr>
        <w:t>Politica</w:t>
      </w:r>
      <w:proofErr w:type="spellEnd"/>
      <w:r w:rsidRPr="000E623D">
        <w:rPr>
          <w:i/>
        </w:rPr>
        <w:t xml:space="preserve"> Antica. </w:t>
      </w:r>
      <w:proofErr w:type="spellStart"/>
      <w:r w:rsidRPr="000E623D">
        <w:rPr>
          <w:i/>
        </w:rPr>
        <w:t>Rivista</w:t>
      </w:r>
      <w:proofErr w:type="spellEnd"/>
      <w:r w:rsidRPr="000E623D">
        <w:rPr>
          <w:i/>
        </w:rPr>
        <w:t xml:space="preserve"> di </w:t>
      </w:r>
      <w:proofErr w:type="spellStart"/>
      <w:r w:rsidRPr="000E623D">
        <w:rPr>
          <w:i/>
        </w:rPr>
        <w:t>prassi</w:t>
      </w:r>
      <w:proofErr w:type="spellEnd"/>
      <w:r w:rsidRPr="000E623D">
        <w:rPr>
          <w:i/>
        </w:rPr>
        <w:t xml:space="preserve"> e </w:t>
      </w:r>
      <w:proofErr w:type="spellStart"/>
      <w:r w:rsidRPr="000E623D">
        <w:rPr>
          <w:i/>
        </w:rPr>
        <w:t>cultura</w:t>
      </w:r>
      <w:proofErr w:type="spellEnd"/>
      <w:r w:rsidRPr="000E623D">
        <w:rPr>
          <w:i/>
        </w:rPr>
        <w:t xml:space="preserve"> </w:t>
      </w:r>
      <w:proofErr w:type="spellStart"/>
      <w:r w:rsidRPr="000E623D">
        <w:rPr>
          <w:i/>
        </w:rPr>
        <w:t>politica</w:t>
      </w:r>
      <w:proofErr w:type="spellEnd"/>
      <w:r w:rsidRPr="000E623D">
        <w:rPr>
          <w:i/>
        </w:rPr>
        <w:t xml:space="preserve"> </w:t>
      </w:r>
      <w:proofErr w:type="spellStart"/>
      <w:r w:rsidRPr="000E623D">
        <w:rPr>
          <w:i/>
        </w:rPr>
        <w:t>nel</w:t>
      </w:r>
      <w:proofErr w:type="spellEnd"/>
      <w:r w:rsidRPr="000E623D">
        <w:rPr>
          <w:i/>
        </w:rPr>
        <w:t xml:space="preserve"> </w:t>
      </w:r>
      <w:proofErr w:type="spellStart"/>
      <w:r w:rsidRPr="000E623D">
        <w:rPr>
          <w:i/>
        </w:rPr>
        <w:t>mondo</w:t>
      </w:r>
      <w:proofErr w:type="spellEnd"/>
      <w:r w:rsidRPr="000E623D">
        <w:rPr>
          <w:i/>
        </w:rPr>
        <w:t xml:space="preserve"> </w:t>
      </w:r>
      <w:proofErr w:type="spellStart"/>
      <w:r w:rsidRPr="000E623D">
        <w:rPr>
          <w:i/>
        </w:rPr>
        <w:t>greco</w:t>
      </w:r>
      <w:proofErr w:type="spellEnd"/>
      <w:r w:rsidRPr="000E623D">
        <w:rPr>
          <w:i/>
        </w:rPr>
        <w:t xml:space="preserve"> e </w:t>
      </w:r>
      <w:proofErr w:type="spellStart"/>
      <w:r w:rsidRPr="000E623D">
        <w:rPr>
          <w:i/>
        </w:rPr>
        <w:t>romano</w:t>
      </w:r>
      <w:proofErr w:type="spellEnd"/>
      <w:r w:rsidRPr="000E623D">
        <w:t>, 2, 2012, p. 33-54</w:t>
      </w:r>
      <w:r>
        <w:t>.</w:t>
      </w:r>
    </w:p>
    <w:p w14:paraId="6C6FA682" w14:textId="1253B0EE" w:rsidR="000E623D" w:rsidRDefault="000D164B" w:rsidP="004C26AD">
      <w:pPr>
        <w:ind w:left="284" w:hanging="284"/>
      </w:pPr>
      <w:proofErr w:type="spellStart"/>
      <w:r w:rsidRPr="000D164B">
        <w:t>Hurlet</w:t>
      </w:r>
      <w:proofErr w:type="spellEnd"/>
      <w:r>
        <w:t xml:space="preserve"> 2015: </w:t>
      </w:r>
      <w:r w:rsidRPr="000D164B">
        <w:t xml:space="preserve">F. </w:t>
      </w:r>
      <w:proofErr w:type="spellStart"/>
      <w:r>
        <w:t>Hurlet</w:t>
      </w:r>
      <w:proofErr w:type="spellEnd"/>
      <w:r>
        <w:t>, «</w:t>
      </w:r>
      <w:r w:rsidRPr="000D164B">
        <w:t xml:space="preserve">La </w:t>
      </w:r>
      <w:proofErr w:type="spellStart"/>
      <w:r w:rsidRPr="000D164B">
        <w:t>suprématie</w:t>
      </w:r>
      <w:proofErr w:type="spellEnd"/>
      <w:r w:rsidRPr="000D164B">
        <w:t xml:space="preserve"> </w:t>
      </w:r>
      <w:proofErr w:type="spellStart"/>
      <w:r w:rsidRPr="000D164B">
        <w:t>auspiciale</w:t>
      </w:r>
      <w:proofErr w:type="spellEnd"/>
      <w:r w:rsidRPr="000D164B">
        <w:t xml:space="preserve"> du prince en question(s). Une no</w:t>
      </w:r>
      <w:r>
        <w:t xml:space="preserve">uvelle </w:t>
      </w:r>
      <w:proofErr w:type="spellStart"/>
      <w:r>
        <w:t>hiérarchie</w:t>
      </w:r>
      <w:proofErr w:type="spellEnd"/>
      <w:r>
        <w:t xml:space="preserve"> des auspices», </w:t>
      </w:r>
      <w:r w:rsidRPr="000D164B">
        <w:rPr>
          <w:i/>
        </w:rPr>
        <w:t>Cahiers du Centre Gustave-</w:t>
      </w:r>
      <w:proofErr w:type="spellStart"/>
      <w:r w:rsidRPr="000D164B">
        <w:rPr>
          <w:i/>
        </w:rPr>
        <w:t>Glotz</w:t>
      </w:r>
      <w:proofErr w:type="spellEnd"/>
      <w:r>
        <w:t xml:space="preserve">, </w:t>
      </w:r>
      <w:r w:rsidRPr="000D164B">
        <w:t xml:space="preserve">26, </w:t>
      </w:r>
      <w:r>
        <w:t xml:space="preserve">2015, p. </w:t>
      </w:r>
      <w:r w:rsidRPr="000D164B">
        <w:t>289-305</w:t>
      </w:r>
      <w:r>
        <w:t>.</w:t>
      </w:r>
    </w:p>
    <w:p w14:paraId="73DE6FC9" w14:textId="1C1B8F45" w:rsidR="004C26AD" w:rsidRDefault="00044C3F" w:rsidP="004C26AD">
      <w:pPr>
        <w:ind w:left="284" w:hanging="284"/>
      </w:pPr>
      <w:proofErr w:type="spellStart"/>
      <w:r>
        <w:t>Itgenshort</w:t>
      </w:r>
      <w:proofErr w:type="spellEnd"/>
      <w:r>
        <w:t xml:space="preserve"> 2005: </w:t>
      </w:r>
      <w:r w:rsidRPr="0083656D">
        <w:rPr>
          <w:lang w:val="it-IT"/>
        </w:rPr>
        <w:t xml:space="preserve">T. </w:t>
      </w:r>
      <w:proofErr w:type="spellStart"/>
      <w:r>
        <w:rPr>
          <w:lang w:val="it-IT"/>
        </w:rPr>
        <w:t>Itgenshorst</w:t>
      </w:r>
      <w:proofErr w:type="spellEnd"/>
      <w:r>
        <w:rPr>
          <w:lang w:val="it-IT"/>
        </w:rPr>
        <w:t>,</w:t>
      </w:r>
      <w:r w:rsidR="004C26AD" w:rsidRPr="0083656D">
        <w:rPr>
          <w:lang w:val="it-IT"/>
        </w:rPr>
        <w:t xml:space="preserve"> </w:t>
      </w:r>
      <w:r w:rsidR="004C26AD" w:rsidRPr="0083656D">
        <w:rPr>
          <w:i/>
          <w:lang w:val="it-IT"/>
        </w:rPr>
        <w:t xml:space="preserve">Tota </w:t>
      </w:r>
      <w:proofErr w:type="spellStart"/>
      <w:r w:rsidR="004C26AD" w:rsidRPr="0083656D">
        <w:rPr>
          <w:i/>
          <w:lang w:val="it-IT"/>
        </w:rPr>
        <w:t>illa</w:t>
      </w:r>
      <w:proofErr w:type="spellEnd"/>
      <w:r w:rsidR="004C26AD" w:rsidRPr="0083656D">
        <w:rPr>
          <w:i/>
          <w:lang w:val="it-IT"/>
        </w:rPr>
        <w:t xml:space="preserve"> pompa. </w:t>
      </w:r>
      <w:r w:rsidR="004C26AD" w:rsidRPr="00444566">
        <w:rPr>
          <w:i/>
        </w:rPr>
        <w:t xml:space="preserve">Der Triumph in der </w:t>
      </w:r>
      <w:proofErr w:type="spellStart"/>
      <w:r w:rsidR="004C26AD" w:rsidRPr="00444566">
        <w:rPr>
          <w:i/>
        </w:rPr>
        <w:t>römischen</w:t>
      </w:r>
      <w:proofErr w:type="spellEnd"/>
      <w:r w:rsidR="004C26AD" w:rsidRPr="00444566">
        <w:rPr>
          <w:i/>
        </w:rPr>
        <w:t xml:space="preserve"> </w:t>
      </w:r>
      <w:proofErr w:type="spellStart"/>
      <w:r w:rsidR="004C26AD" w:rsidRPr="00444566">
        <w:rPr>
          <w:i/>
        </w:rPr>
        <w:t>Republik</w:t>
      </w:r>
      <w:proofErr w:type="spellEnd"/>
      <w:r w:rsidR="004C26AD" w:rsidRPr="00444566">
        <w:t xml:space="preserve"> (</w:t>
      </w:r>
      <w:proofErr w:type="spellStart"/>
      <w:r w:rsidR="004C26AD" w:rsidRPr="00444566">
        <w:t>Hy</w:t>
      </w:r>
      <w:r w:rsidR="004C26AD">
        <w:t>pomnemata</w:t>
      </w:r>
      <w:proofErr w:type="spellEnd"/>
      <w:r w:rsidR="004C26AD">
        <w:t xml:space="preserve"> 161), 2 vols., </w:t>
      </w:r>
      <w:proofErr w:type="spellStart"/>
      <w:r w:rsidR="004C26AD">
        <w:t>Göttingen</w:t>
      </w:r>
      <w:proofErr w:type="spellEnd"/>
      <w:r>
        <w:t xml:space="preserve">, </w:t>
      </w:r>
      <w:r w:rsidRPr="0083656D">
        <w:rPr>
          <w:lang w:val="it-IT"/>
        </w:rPr>
        <w:t>2005</w:t>
      </w:r>
      <w:r w:rsidR="004C26AD">
        <w:t>.</w:t>
      </w:r>
    </w:p>
    <w:p w14:paraId="3773755F" w14:textId="3DC097E0" w:rsidR="004C26AD" w:rsidRPr="0083656D" w:rsidRDefault="00044C3F" w:rsidP="00044C3F">
      <w:pPr>
        <w:widowControl w:val="0"/>
        <w:autoSpaceDE w:val="0"/>
        <w:autoSpaceDN w:val="0"/>
        <w:adjustRightInd w:val="0"/>
        <w:spacing w:line="280" w:lineRule="atLeast"/>
        <w:ind w:left="284" w:hanging="284"/>
        <w:rPr>
          <w:rFonts w:cs="Times"/>
          <w:color w:val="000000"/>
          <w:lang w:val="fr-FR"/>
        </w:rPr>
      </w:pPr>
      <w:proofErr w:type="spellStart"/>
      <w:r>
        <w:rPr>
          <w:rFonts w:cs="Times"/>
          <w:color w:val="000000"/>
          <w:lang w:val="fr-FR"/>
        </w:rPr>
        <w:t>Kaser</w:t>
      </w:r>
      <w:proofErr w:type="spellEnd"/>
      <w:r>
        <w:rPr>
          <w:rFonts w:cs="Times"/>
          <w:color w:val="000000"/>
          <w:lang w:val="fr-FR"/>
        </w:rPr>
        <w:t xml:space="preserve"> &amp; </w:t>
      </w:r>
      <w:proofErr w:type="spellStart"/>
      <w:r>
        <w:rPr>
          <w:rFonts w:cs="Times"/>
          <w:color w:val="000000"/>
          <w:lang w:val="fr-FR"/>
        </w:rPr>
        <w:t>Knüttel</w:t>
      </w:r>
      <w:proofErr w:type="spellEnd"/>
      <w:r>
        <w:rPr>
          <w:rFonts w:cs="Times"/>
          <w:color w:val="000000"/>
          <w:lang w:val="fr-FR"/>
        </w:rPr>
        <w:t xml:space="preserve"> </w:t>
      </w:r>
      <w:proofErr w:type="gramStart"/>
      <w:r>
        <w:rPr>
          <w:rFonts w:cs="Times"/>
          <w:color w:val="000000"/>
          <w:lang w:val="fr-FR"/>
        </w:rPr>
        <w:t>2005:</w:t>
      </w:r>
      <w:proofErr w:type="gramEnd"/>
      <w:r>
        <w:rPr>
          <w:rFonts w:cs="Times"/>
          <w:color w:val="000000"/>
          <w:lang w:val="fr-FR"/>
        </w:rPr>
        <w:t xml:space="preserve"> </w:t>
      </w:r>
      <w:r w:rsidRPr="0083656D">
        <w:rPr>
          <w:rFonts w:cs="Times"/>
          <w:color w:val="000000"/>
          <w:lang w:val="fr-FR"/>
        </w:rPr>
        <w:t>M</w:t>
      </w:r>
      <w:r>
        <w:rPr>
          <w:rFonts w:cs="Times"/>
          <w:color w:val="000000"/>
          <w:lang w:val="fr-FR"/>
        </w:rPr>
        <w:t>.</w:t>
      </w:r>
      <w:r w:rsidRPr="0083656D">
        <w:rPr>
          <w:rFonts w:cs="Times"/>
          <w:color w:val="000000"/>
          <w:lang w:val="fr-FR"/>
        </w:rPr>
        <w:t xml:space="preserve"> </w:t>
      </w:r>
      <w:proofErr w:type="spellStart"/>
      <w:r w:rsidR="004C26AD" w:rsidRPr="0083656D">
        <w:rPr>
          <w:rFonts w:cs="Times"/>
          <w:color w:val="000000"/>
          <w:lang w:val="fr-FR"/>
        </w:rPr>
        <w:t>Kaser</w:t>
      </w:r>
      <w:proofErr w:type="spellEnd"/>
      <w:r w:rsidR="004C26AD" w:rsidRPr="0083656D">
        <w:rPr>
          <w:rFonts w:cs="Times"/>
          <w:color w:val="000000"/>
          <w:lang w:val="fr-FR"/>
        </w:rPr>
        <w:t xml:space="preserve">, </w:t>
      </w:r>
      <w:proofErr w:type="spellStart"/>
      <w:r>
        <w:rPr>
          <w:rFonts w:cs="Times"/>
          <w:color w:val="000000"/>
          <w:lang w:val="fr-FR"/>
        </w:rPr>
        <w:t>und</w:t>
      </w:r>
      <w:proofErr w:type="spellEnd"/>
      <w:r w:rsidR="004C26AD" w:rsidRPr="0083656D">
        <w:rPr>
          <w:rFonts w:cs="Times"/>
          <w:color w:val="000000"/>
          <w:lang w:val="fr-FR"/>
        </w:rPr>
        <w:t xml:space="preserve"> R. </w:t>
      </w:r>
      <w:proofErr w:type="spellStart"/>
      <w:r w:rsidR="004C26AD" w:rsidRPr="0083656D">
        <w:rPr>
          <w:rFonts w:cs="Times"/>
          <w:color w:val="000000"/>
          <w:lang w:val="fr-FR"/>
        </w:rPr>
        <w:t>Knüt</w:t>
      </w:r>
      <w:r w:rsidR="00A8234F">
        <w:rPr>
          <w:rFonts w:cs="Times"/>
          <w:color w:val="000000"/>
          <w:lang w:val="fr-FR"/>
        </w:rPr>
        <w:t>t</w:t>
      </w:r>
      <w:r>
        <w:rPr>
          <w:rFonts w:cs="Times"/>
          <w:color w:val="000000"/>
          <w:lang w:val="fr-FR"/>
        </w:rPr>
        <w:t>el</w:t>
      </w:r>
      <w:proofErr w:type="spellEnd"/>
      <w:r w:rsidR="004C26AD" w:rsidRPr="0083656D">
        <w:rPr>
          <w:rFonts w:cs="Times"/>
          <w:color w:val="000000"/>
          <w:lang w:val="fr-FR"/>
        </w:rPr>
        <w:t xml:space="preserve">, </w:t>
      </w:r>
      <w:proofErr w:type="spellStart"/>
      <w:r w:rsidR="004C26AD" w:rsidRPr="0083656D">
        <w:rPr>
          <w:rFonts w:cs="Times"/>
          <w:i/>
          <w:color w:val="000000"/>
          <w:lang w:val="fr-FR"/>
        </w:rPr>
        <w:t>Römisches</w:t>
      </w:r>
      <w:proofErr w:type="spellEnd"/>
      <w:r w:rsidR="004C26AD" w:rsidRPr="0083656D">
        <w:rPr>
          <w:rFonts w:cs="Times"/>
          <w:i/>
          <w:color w:val="000000"/>
          <w:lang w:val="fr-FR"/>
        </w:rPr>
        <w:t xml:space="preserve"> </w:t>
      </w:r>
      <w:proofErr w:type="spellStart"/>
      <w:r w:rsidR="004C26AD" w:rsidRPr="0083656D">
        <w:rPr>
          <w:rFonts w:cs="Times"/>
          <w:i/>
          <w:color w:val="000000"/>
          <w:lang w:val="fr-FR"/>
        </w:rPr>
        <w:t>Privatrecht</w:t>
      </w:r>
      <w:proofErr w:type="spellEnd"/>
      <w:r w:rsidR="004C26AD" w:rsidRPr="0083656D">
        <w:rPr>
          <w:rFonts w:cs="Times"/>
          <w:color w:val="000000"/>
          <w:lang w:val="fr-FR"/>
        </w:rPr>
        <w:t xml:space="preserve">, </w:t>
      </w:r>
      <w:r w:rsidR="004C26AD" w:rsidRPr="00044C3F">
        <w:rPr>
          <w:rFonts w:cs="Times"/>
          <w:color w:val="000000"/>
          <w:lang w:val="fr-FR"/>
        </w:rPr>
        <w:t>Munich</w:t>
      </w:r>
      <w:r w:rsidR="004C26AD" w:rsidRPr="00044C3F">
        <w:rPr>
          <w:rFonts w:cs="Times"/>
          <w:color w:val="000000"/>
          <w:vertAlign w:val="superscript"/>
          <w:lang w:val="fr-FR"/>
        </w:rPr>
        <w:t>18</w:t>
      </w:r>
      <w:r>
        <w:rPr>
          <w:rFonts w:eastAsia="MS Mincho" w:cs="MS Mincho"/>
          <w:color w:val="000000"/>
          <w:lang w:val="fr-FR"/>
        </w:rPr>
        <w:t>, 2005.</w:t>
      </w:r>
    </w:p>
    <w:p w14:paraId="636A8105" w14:textId="66DC0AE9" w:rsidR="004C26AD" w:rsidRPr="0083656D" w:rsidRDefault="00044C3F" w:rsidP="00044C3F">
      <w:pPr>
        <w:widowControl w:val="0"/>
        <w:autoSpaceDE w:val="0"/>
        <w:autoSpaceDN w:val="0"/>
        <w:adjustRightInd w:val="0"/>
        <w:spacing w:line="280" w:lineRule="atLeast"/>
        <w:ind w:left="284" w:hanging="284"/>
        <w:rPr>
          <w:rFonts w:cs="Times"/>
          <w:color w:val="000000"/>
          <w:lang w:val="fr-FR"/>
        </w:rPr>
      </w:pPr>
      <w:proofErr w:type="spellStart"/>
      <w:r w:rsidRPr="0083656D">
        <w:rPr>
          <w:lang w:val="fr-FR"/>
        </w:rPr>
        <w:t>Lassère</w:t>
      </w:r>
      <w:proofErr w:type="spellEnd"/>
      <w:r w:rsidRPr="0083656D">
        <w:rPr>
          <w:lang w:val="fr-FR"/>
        </w:rPr>
        <w:t xml:space="preserve"> </w:t>
      </w:r>
      <w:proofErr w:type="gramStart"/>
      <w:r>
        <w:rPr>
          <w:lang w:val="fr-FR"/>
        </w:rPr>
        <w:t>1980:</w:t>
      </w:r>
      <w:proofErr w:type="gramEnd"/>
      <w:r>
        <w:rPr>
          <w:lang w:val="fr-FR"/>
        </w:rPr>
        <w:t xml:space="preserve"> J.</w:t>
      </w:r>
      <w:r w:rsidRPr="0083656D">
        <w:rPr>
          <w:lang w:val="fr-FR"/>
        </w:rPr>
        <w:t xml:space="preserve">M. </w:t>
      </w:r>
      <w:proofErr w:type="spellStart"/>
      <w:r w:rsidR="004C26AD" w:rsidRPr="0083656D">
        <w:rPr>
          <w:lang w:val="fr-FR"/>
        </w:rPr>
        <w:t>Lassère</w:t>
      </w:r>
      <w:proofErr w:type="spellEnd"/>
      <w:r w:rsidR="004C26AD" w:rsidRPr="0083656D">
        <w:rPr>
          <w:lang w:val="fr-FR"/>
        </w:rPr>
        <w:t xml:space="preserve">, </w:t>
      </w:r>
      <w:r>
        <w:rPr>
          <w:lang w:val="fr-FR"/>
        </w:rPr>
        <w:t>«</w:t>
      </w:r>
      <w:r w:rsidR="004C26AD" w:rsidRPr="0083656D">
        <w:rPr>
          <w:lang w:val="fr-FR"/>
        </w:rPr>
        <w:t xml:space="preserve">Le peuplement de la </w:t>
      </w:r>
      <w:proofErr w:type="spellStart"/>
      <w:r w:rsidR="004C26AD" w:rsidRPr="0083656D">
        <w:rPr>
          <w:lang w:val="fr-FR"/>
        </w:rPr>
        <w:t>colonia</w:t>
      </w:r>
      <w:proofErr w:type="spellEnd"/>
      <w:r w:rsidR="004C26AD" w:rsidRPr="0083656D">
        <w:rPr>
          <w:lang w:val="fr-FR"/>
        </w:rPr>
        <w:t xml:space="preserve"> Iulia Augusta </w:t>
      </w:r>
      <w:proofErr w:type="spellStart"/>
      <w:r w:rsidR="004C26AD" w:rsidRPr="0083656D">
        <w:rPr>
          <w:lang w:val="fr-FR"/>
        </w:rPr>
        <w:t>Numidica</w:t>
      </w:r>
      <w:proofErr w:type="spellEnd"/>
      <w:r w:rsidR="004C26AD" w:rsidRPr="0083656D">
        <w:rPr>
          <w:lang w:val="fr-FR"/>
        </w:rPr>
        <w:t xml:space="preserve"> </w:t>
      </w:r>
      <w:proofErr w:type="spellStart"/>
      <w:r w:rsidR="004C26AD" w:rsidRPr="0083656D">
        <w:rPr>
          <w:lang w:val="fr-FR"/>
        </w:rPr>
        <w:t>Simitthus</w:t>
      </w:r>
      <w:proofErr w:type="spellEnd"/>
      <w:r w:rsidR="004C26AD" w:rsidRPr="0083656D">
        <w:rPr>
          <w:lang w:val="fr-FR"/>
        </w:rPr>
        <w:t>’</w:t>
      </w:r>
      <w:r>
        <w:rPr>
          <w:lang w:val="fr-FR"/>
        </w:rPr>
        <w:t>»</w:t>
      </w:r>
      <w:r w:rsidR="004C26AD" w:rsidRPr="0083656D">
        <w:rPr>
          <w:lang w:val="fr-FR"/>
        </w:rPr>
        <w:t xml:space="preserve">, </w:t>
      </w:r>
      <w:r w:rsidR="004C26AD" w:rsidRPr="0083656D">
        <w:rPr>
          <w:i/>
          <w:lang w:val="fr-FR"/>
        </w:rPr>
        <w:t>Antiquités Africaines</w:t>
      </w:r>
      <w:r>
        <w:rPr>
          <w:lang w:val="fr-FR"/>
        </w:rPr>
        <w:t xml:space="preserve">, </w:t>
      </w:r>
      <w:r w:rsidR="004C26AD" w:rsidRPr="0083656D">
        <w:rPr>
          <w:lang w:val="fr-FR"/>
        </w:rPr>
        <w:t>16</w:t>
      </w:r>
      <w:r>
        <w:rPr>
          <w:lang w:val="fr-FR"/>
        </w:rPr>
        <w:t>, 1980,</w:t>
      </w:r>
      <w:r w:rsidR="004C26AD" w:rsidRPr="0083656D">
        <w:rPr>
          <w:lang w:val="fr-FR"/>
        </w:rPr>
        <w:t xml:space="preserve"> 27-44.</w:t>
      </w:r>
    </w:p>
    <w:p w14:paraId="2DD923EF" w14:textId="4125C160" w:rsidR="004C26AD" w:rsidRDefault="00044C3F" w:rsidP="004C26AD">
      <w:pPr>
        <w:ind w:left="284" w:hanging="284"/>
      </w:pPr>
      <w:r>
        <w:t xml:space="preserve">Mc Dermott: 1983: </w:t>
      </w:r>
      <w:r w:rsidR="004C26AD" w:rsidRPr="00394B0B">
        <w:t>McDermott, W.C. (1983). ‘</w:t>
      </w:r>
      <w:proofErr w:type="spellStart"/>
      <w:r w:rsidR="004C26AD" w:rsidRPr="00394B0B">
        <w:t>Mamurra</w:t>
      </w:r>
      <w:proofErr w:type="spellEnd"/>
      <w:r w:rsidR="004C26AD" w:rsidRPr="00394B0B">
        <w:t xml:space="preserve">, eques </w:t>
      </w:r>
      <w:proofErr w:type="spellStart"/>
      <w:r w:rsidR="004C26AD" w:rsidRPr="00394B0B">
        <w:t>Formianus</w:t>
      </w:r>
      <w:proofErr w:type="spellEnd"/>
      <w:r w:rsidR="004C26AD" w:rsidRPr="00394B0B">
        <w:t xml:space="preserve">’, </w:t>
      </w:r>
      <w:proofErr w:type="spellStart"/>
      <w:r w:rsidR="004C26AD" w:rsidRPr="007D054F">
        <w:rPr>
          <w:i/>
        </w:rPr>
        <w:t>Rheinisches</w:t>
      </w:r>
      <w:proofErr w:type="spellEnd"/>
      <w:r w:rsidR="004C26AD" w:rsidRPr="007D054F">
        <w:rPr>
          <w:i/>
        </w:rPr>
        <w:t xml:space="preserve"> Museum </w:t>
      </w:r>
      <w:proofErr w:type="spellStart"/>
      <w:r w:rsidR="004C26AD" w:rsidRPr="007D054F">
        <w:rPr>
          <w:i/>
        </w:rPr>
        <w:t>für</w:t>
      </w:r>
      <w:proofErr w:type="spellEnd"/>
      <w:r w:rsidR="004C26AD" w:rsidRPr="007D054F">
        <w:rPr>
          <w:i/>
        </w:rPr>
        <w:t xml:space="preserve"> </w:t>
      </w:r>
      <w:proofErr w:type="spellStart"/>
      <w:r w:rsidR="004C26AD" w:rsidRPr="007D054F">
        <w:rPr>
          <w:i/>
        </w:rPr>
        <w:t>Philologie</w:t>
      </w:r>
      <w:proofErr w:type="spellEnd"/>
      <w:r w:rsidR="004C26AD" w:rsidRPr="007D054F">
        <w:rPr>
          <w:i/>
        </w:rPr>
        <w:t xml:space="preserve"> </w:t>
      </w:r>
      <w:r w:rsidR="004C26AD">
        <w:t>126:</w:t>
      </w:r>
      <w:r w:rsidR="004C26AD" w:rsidRPr="00394B0B">
        <w:t xml:space="preserve"> 292-307.</w:t>
      </w:r>
    </w:p>
    <w:p w14:paraId="7E446136" w14:textId="3998E92E" w:rsidR="004C26AD" w:rsidRDefault="00044C3F" w:rsidP="004C26AD">
      <w:pPr>
        <w:spacing w:line="260" w:lineRule="exact"/>
        <w:ind w:left="567" w:hanging="567"/>
        <w:jc w:val="both"/>
      </w:pPr>
      <w:r>
        <w:t>Millar 1992: F. Millar,</w:t>
      </w:r>
      <w:r w:rsidR="004C26AD">
        <w:t xml:space="preserve"> </w:t>
      </w:r>
      <w:r w:rsidR="004C26AD">
        <w:rPr>
          <w:i/>
        </w:rPr>
        <w:t>The Emperor in the Roman World</w:t>
      </w:r>
      <w:r w:rsidR="004C26AD">
        <w:t>, London</w:t>
      </w:r>
      <w:r w:rsidR="004C26AD" w:rsidRPr="00C76A65">
        <w:rPr>
          <w:vertAlign w:val="superscript"/>
        </w:rPr>
        <w:t>2</w:t>
      </w:r>
      <w:r>
        <w:t>, 1992.</w:t>
      </w:r>
    </w:p>
    <w:p w14:paraId="20524935" w14:textId="765C65EE" w:rsidR="004C26AD" w:rsidRDefault="00044C3F" w:rsidP="00044C3F">
      <w:pPr>
        <w:spacing w:line="260" w:lineRule="exact"/>
        <w:ind w:left="284" w:hanging="284"/>
        <w:jc w:val="both"/>
      </w:pPr>
      <w:proofErr w:type="spellStart"/>
      <w:r>
        <w:t>Ostenberg</w:t>
      </w:r>
      <w:proofErr w:type="spellEnd"/>
      <w:r>
        <w:t xml:space="preserve"> 2009: </w:t>
      </w:r>
      <w:r w:rsidRPr="00DF3640">
        <w:t xml:space="preserve">I. </w:t>
      </w:r>
      <w:proofErr w:type="spellStart"/>
      <w:r>
        <w:t>Ostenberg</w:t>
      </w:r>
      <w:proofErr w:type="spellEnd"/>
      <w:r>
        <w:t>,</w:t>
      </w:r>
      <w:r w:rsidR="004C26AD" w:rsidRPr="00DF3640">
        <w:t xml:space="preserve"> </w:t>
      </w:r>
      <w:r w:rsidR="004C26AD" w:rsidRPr="00DF3640">
        <w:rPr>
          <w:i/>
        </w:rPr>
        <w:t>Staging the World. Spoils, Captives, and Representations in the Roman Triumphal Procession</w:t>
      </w:r>
      <w:r w:rsidR="004C26AD" w:rsidRPr="00DF3640">
        <w:t>, Oxford</w:t>
      </w:r>
      <w:r>
        <w:t>, 2009</w:t>
      </w:r>
      <w:r w:rsidR="004C26AD">
        <w:t>.</w:t>
      </w:r>
    </w:p>
    <w:p w14:paraId="1D2412B5" w14:textId="5CA7F744" w:rsidR="004C26AD" w:rsidRDefault="00044C3F" w:rsidP="004C26AD">
      <w:pPr>
        <w:spacing w:line="260" w:lineRule="exact"/>
        <w:ind w:left="567" w:hanging="567"/>
        <w:jc w:val="both"/>
      </w:pPr>
      <w:r>
        <w:t xml:space="preserve">Pape 1975: </w:t>
      </w:r>
      <w:r w:rsidRPr="00096AAE">
        <w:t xml:space="preserve">M. </w:t>
      </w:r>
      <w:r>
        <w:t>Pape,</w:t>
      </w:r>
      <w:r w:rsidR="004C26AD" w:rsidRPr="00096AAE">
        <w:t xml:space="preserve"> </w:t>
      </w:r>
      <w:proofErr w:type="spellStart"/>
      <w:r>
        <w:rPr>
          <w:i/>
        </w:rPr>
        <w:t>Griechische</w:t>
      </w:r>
      <w:proofErr w:type="spellEnd"/>
      <w:r>
        <w:rPr>
          <w:i/>
        </w:rPr>
        <w:t xml:space="preserve"> </w:t>
      </w:r>
      <w:proofErr w:type="spellStart"/>
      <w:r>
        <w:rPr>
          <w:i/>
        </w:rPr>
        <w:t>Kunstwerke</w:t>
      </w:r>
      <w:proofErr w:type="spellEnd"/>
      <w:r>
        <w:rPr>
          <w:i/>
        </w:rPr>
        <w:t xml:space="preserve"> </w:t>
      </w:r>
      <w:proofErr w:type="spellStart"/>
      <w:r>
        <w:rPr>
          <w:i/>
        </w:rPr>
        <w:t>aus</w:t>
      </w:r>
      <w:proofErr w:type="spellEnd"/>
      <w:r>
        <w:rPr>
          <w:i/>
        </w:rPr>
        <w:t xml:space="preserve"> </w:t>
      </w:r>
      <w:proofErr w:type="spellStart"/>
      <w:r>
        <w:rPr>
          <w:i/>
        </w:rPr>
        <w:t>Kr</w:t>
      </w:r>
      <w:r w:rsidR="004C26AD" w:rsidRPr="00096AAE">
        <w:rPr>
          <w:i/>
        </w:rPr>
        <w:t>i</w:t>
      </w:r>
      <w:r>
        <w:rPr>
          <w:i/>
        </w:rPr>
        <w:t>e</w:t>
      </w:r>
      <w:r w:rsidR="004C26AD" w:rsidRPr="00096AAE">
        <w:rPr>
          <w:i/>
        </w:rPr>
        <w:t>gsbeute</w:t>
      </w:r>
      <w:proofErr w:type="spellEnd"/>
      <w:r w:rsidR="004C26AD" w:rsidRPr="00096AAE">
        <w:rPr>
          <w:i/>
        </w:rPr>
        <w:t xml:space="preserve"> und </w:t>
      </w:r>
      <w:proofErr w:type="spellStart"/>
      <w:r w:rsidR="004C26AD" w:rsidRPr="00096AAE">
        <w:rPr>
          <w:i/>
        </w:rPr>
        <w:t>ihre</w:t>
      </w:r>
      <w:proofErr w:type="spellEnd"/>
      <w:r w:rsidR="004C26AD" w:rsidRPr="00096AAE">
        <w:rPr>
          <w:i/>
        </w:rPr>
        <w:t xml:space="preserve"> </w:t>
      </w:r>
      <w:proofErr w:type="spellStart"/>
      <w:r w:rsidR="004C26AD" w:rsidRPr="00096AAE">
        <w:rPr>
          <w:i/>
        </w:rPr>
        <w:t>öffentliche</w:t>
      </w:r>
      <w:proofErr w:type="spellEnd"/>
      <w:r w:rsidR="004C26AD" w:rsidRPr="00096AAE">
        <w:rPr>
          <w:i/>
        </w:rPr>
        <w:t xml:space="preserve"> </w:t>
      </w:r>
      <w:proofErr w:type="spellStart"/>
      <w:r w:rsidR="004C26AD" w:rsidRPr="00096AAE">
        <w:rPr>
          <w:i/>
        </w:rPr>
        <w:t>Aufstellung</w:t>
      </w:r>
      <w:proofErr w:type="spellEnd"/>
      <w:r w:rsidR="004C26AD" w:rsidRPr="00096AAE">
        <w:rPr>
          <w:i/>
        </w:rPr>
        <w:t xml:space="preserve"> in Rom. Von der </w:t>
      </w:r>
      <w:proofErr w:type="spellStart"/>
      <w:r w:rsidR="004C26AD" w:rsidRPr="00096AAE">
        <w:rPr>
          <w:i/>
        </w:rPr>
        <w:t>Eroberung</w:t>
      </w:r>
      <w:proofErr w:type="spellEnd"/>
      <w:r w:rsidR="004C26AD" w:rsidRPr="00096AAE">
        <w:rPr>
          <w:i/>
        </w:rPr>
        <w:t xml:space="preserve"> von </w:t>
      </w:r>
      <w:proofErr w:type="spellStart"/>
      <w:r w:rsidR="004C26AD" w:rsidRPr="00096AAE">
        <w:rPr>
          <w:i/>
        </w:rPr>
        <w:t>Syrakus</w:t>
      </w:r>
      <w:proofErr w:type="spellEnd"/>
      <w:r w:rsidR="004C26AD" w:rsidRPr="00096AAE">
        <w:rPr>
          <w:i/>
        </w:rPr>
        <w:t xml:space="preserve"> </w:t>
      </w:r>
      <w:proofErr w:type="spellStart"/>
      <w:r w:rsidR="004C26AD" w:rsidRPr="00096AAE">
        <w:rPr>
          <w:i/>
        </w:rPr>
        <w:t>bis</w:t>
      </w:r>
      <w:proofErr w:type="spellEnd"/>
      <w:r w:rsidR="004C26AD" w:rsidRPr="00096AAE">
        <w:rPr>
          <w:i/>
        </w:rPr>
        <w:t xml:space="preserve"> in </w:t>
      </w:r>
      <w:proofErr w:type="spellStart"/>
      <w:r w:rsidR="004C26AD" w:rsidRPr="00096AAE">
        <w:rPr>
          <w:i/>
        </w:rPr>
        <w:t>augusteische</w:t>
      </w:r>
      <w:proofErr w:type="spellEnd"/>
      <w:r w:rsidR="004C26AD" w:rsidRPr="00096AAE">
        <w:rPr>
          <w:i/>
        </w:rPr>
        <w:t xml:space="preserve"> Zeit</w:t>
      </w:r>
      <w:r w:rsidR="004C26AD">
        <w:t>, Hamburg</w:t>
      </w:r>
      <w:r>
        <w:t>, 1975</w:t>
      </w:r>
      <w:r w:rsidR="004C26AD">
        <w:t>.</w:t>
      </w:r>
    </w:p>
    <w:p w14:paraId="28F13C6F" w14:textId="3A943E78" w:rsidR="0072590A" w:rsidRDefault="0072590A" w:rsidP="004C26AD">
      <w:pPr>
        <w:spacing w:line="260" w:lineRule="exact"/>
        <w:ind w:left="567" w:hanging="567"/>
        <w:jc w:val="both"/>
      </w:pPr>
      <w:proofErr w:type="spellStart"/>
      <w:r>
        <w:t>Pappalardo</w:t>
      </w:r>
      <w:proofErr w:type="spellEnd"/>
      <w:r>
        <w:t xml:space="preserve"> 2005: U. </w:t>
      </w:r>
      <w:proofErr w:type="spellStart"/>
      <w:r>
        <w:t>Pappalardo</w:t>
      </w:r>
      <w:proofErr w:type="spellEnd"/>
      <w:r>
        <w:t xml:space="preserve">, </w:t>
      </w:r>
      <w:r w:rsidR="00044C3F">
        <w:t>«</w:t>
      </w:r>
      <w:r w:rsidRPr="0072590A">
        <w:t xml:space="preserve">Marcus </w:t>
      </w:r>
      <w:proofErr w:type="spellStart"/>
      <w:r w:rsidRPr="0072590A">
        <w:t>Nonius</w:t>
      </w:r>
      <w:proofErr w:type="spellEnd"/>
      <w:r w:rsidRPr="0072590A">
        <w:t xml:space="preserve"> </w:t>
      </w:r>
      <w:proofErr w:type="spellStart"/>
      <w:r w:rsidRPr="0072590A">
        <w:t>Balbu</w:t>
      </w:r>
      <w:r>
        <w:t>s</w:t>
      </w:r>
      <w:proofErr w:type="spellEnd"/>
      <w:r>
        <w:t xml:space="preserve">. Der </w:t>
      </w:r>
      <w:proofErr w:type="spellStart"/>
      <w:r>
        <w:t>patronus</w:t>
      </w:r>
      <w:proofErr w:type="spellEnd"/>
      <w:r>
        <w:t xml:space="preserve"> von Herculaneum</w:t>
      </w:r>
      <w:r w:rsidR="00044C3F">
        <w:t>»</w:t>
      </w:r>
      <w:r w:rsidRPr="0072590A">
        <w:t xml:space="preserve">, </w:t>
      </w:r>
      <w:r>
        <w:t xml:space="preserve">in J. </w:t>
      </w:r>
      <w:proofErr w:type="spellStart"/>
      <w:r>
        <w:t>Mühlenbrock</w:t>
      </w:r>
      <w:proofErr w:type="spellEnd"/>
      <w:r>
        <w:t xml:space="preserve"> &amp; D. Richter eds.</w:t>
      </w:r>
      <w:r w:rsidRPr="0072590A">
        <w:t xml:space="preserve"> </w:t>
      </w:r>
      <w:proofErr w:type="spellStart"/>
      <w:r w:rsidRPr="0072590A">
        <w:rPr>
          <w:i/>
        </w:rPr>
        <w:t>Verschüttet</w:t>
      </w:r>
      <w:proofErr w:type="spellEnd"/>
      <w:r w:rsidRPr="0072590A">
        <w:rPr>
          <w:i/>
        </w:rPr>
        <w:t xml:space="preserve"> </w:t>
      </w:r>
      <w:proofErr w:type="spellStart"/>
      <w:r w:rsidRPr="0072590A">
        <w:rPr>
          <w:i/>
        </w:rPr>
        <w:t>vom</w:t>
      </w:r>
      <w:proofErr w:type="spellEnd"/>
      <w:r w:rsidRPr="0072590A">
        <w:rPr>
          <w:i/>
        </w:rPr>
        <w:t xml:space="preserve"> </w:t>
      </w:r>
      <w:proofErr w:type="spellStart"/>
      <w:r w:rsidRPr="0072590A">
        <w:rPr>
          <w:i/>
        </w:rPr>
        <w:t>Vesuv</w:t>
      </w:r>
      <w:proofErr w:type="spellEnd"/>
      <w:r w:rsidRPr="0072590A">
        <w:rPr>
          <w:i/>
        </w:rPr>
        <w:t xml:space="preserve">. Die </w:t>
      </w:r>
      <w:proofErr w:type="spellStart"/>
      <w:r w:rsidRPr="0072590A">
        <w:rPr>
          <w:i/>
        </w:rPr>
        <w:t>letzten</w:t>
      </w:r>
      <w:proofErr w:type="spellEnd"/>
      <w:r w:rsidRPr="0072590A">
        <w:rPr>
          <w:i/>
        </w:rPr>
        <w:t xml:space="preserve"> </w:t>
      </w:r>
      <w:proofErr w:type="spellStart"/>
      <w:r w:rsidRPr="0072590A">
        <w:rPr>
          <w:i/>
        </w:rPr>
        <w:t>Stunden</w:t>
      </w:r>
      <w:proofErr w:type="spellEnd"/>
      <w:r w:rsidRPr="0072590A">
        <w:rPr>
          <w:i/>
        </w:rPr>
        <w:t xml:space="preserve"> von Herculaneum</w:t>
      </w:r>
      <w:r w:rsidRPr="0072590A">
        <w:t xml:space="preserve">, Mainz, </w:t>
      </w:r>
      <w:r>
        <w:t xml:space="preserve">2005, p. </w:t>
      </w:r>
      <w:r w:rsidRPr="0072590A">
        <w:t>171-181</w:t>
      </w:r>
      <w:r>
        <w:t>.</w:t>
      </w:r>
    </w:p>
    <w:p w14:paraId="0BEE6447" w14:textId="07AE803D" w:rsidR="004C26AD" w:rsidRDefault="00044C3F" w:rsidP="004C26AD">
      <w:pPr>
        <w:spacing w:line="260" w:lineRule="exact"/>
        <w:ind w:left="567" w:hanging="567"/>
        <w:jc w:val="both"/>
      </w:pPr>
      <w:r>
        <w:t xml:space="preserve">Peacock 1992: D.P.S. Peacock, </w:t>
      </w:r>
      <w:r w:rsidR="004C26AD" w:rsidRPr="00817A78">
        <w:rPr>
          <w:i/>
        </w:rPr>
        <w:t>Rome in the Desert. A Symbol of Power</w:t>
      </w:r>
      <w:r>
        <w:t>, Southampton, 1992.</w:t>
      </w:r>
    </w:p>
    <w:p w14:paraId="62B030EB" w14:textId="42CAF5E5" w:rsidR="004C26AD" w:rsidRPr="0083656D" w:rsidRDefault="00044C3F" w:rsidP="004C26AD">
      <w:pPr>
        <w:ind w:left="284" w:hanging="284"/>
        <w:rPr>
          <w:lang w:val="it-IT"/>
        </w:rPr>
      </w:pPr>
      <w:proofErr w:type="spellStart"/>
      <w:r>
        <w:rPr>
          <w:lang w:val="it-IT"/>
        </w:rPr>
        <w:t>Pensabene</w:t>
      </w:r>
      <w:proofErr w:type="spellEnd"/>
      <w:r>
        <w:rPr>
          <w:lang w:val="it-IT"/>
        </w:rPr>
        <w:t xml:space="preserve"> 2010: </w:t>
      </w:r>
      <w:r w:rsidRPr="0083656D">
        <w:rPr>
          <w:lang w:val="it-IT"/>
        </w:rPr>
        <w:t xml:space="preserve">P. </w:t>
      </w:r>
      <w:proofErr w:type="spellStart"/>
      <w:r>
        <w:rPr>
          <w:lang w:val="it-IT"/>
        </w:rPr>
        <w:t>Pensabene</w:t>
      </w:r>
      <w:proofErr w:type="spellEnd"/>
      <w:r>
        <w:rPr>
          <w:lang w:val="it-IT"/>
        </w:rPr>
        <w:t>, «</w:t>
      </w:r>
      <w:r w:rsidR="004C26AD" w:rsidRPr="0083656D">
        <w:rPr>
          <w:lang w:val="it-IT"/>
        </w:rPr>
        <w:t>Cave di marmo bianco e pavonazzetto in Frigia. Sulla p</w:t>
      </w:r>
      <w:r>
        <w:rPr>
          <w:lang w:val="it-IT"/>
        </w:rPr>
        <w:t>roduzione e sui dati epigrafici»</w:t>
      </w:r>
      <w:r w:rsidR="004C26AD" w:rsidRPr="0083656D">
        <w:rPr>
          <w:lang w:val="it-IT"/>
        </w:rPr>
        <w:t xml:space="preserve">, </w:t>
      </w:r>
      <w:r w:rsidR="004C26AD" w:rsidRPr="0083656D">
        <w:rPr>
          <w:i/>
          <w:lang w:val="it-IT"/>
        </w:rPr>
        <w:t>Marmora</w:t>
      </w:r>
      <w:r>
        <w:rPr>
          <w:i/>
          <w:lang w:val="it-IT"/>
        </w:rPr>
        <w:t>,</w:t>
      </w:r>
      <w:r>
        <w:rPr>
          <w:lang w:val="it-IT"/>
        </w:rPr>
        <w:t xml:space="preserve"> 6,</w:t>
      </w:r>
      <w:r w:rsidR="004C26AD" w:rsidRPr="0083656D">
        <w:rPr>
          <w:lang w:val="it-IT"/>
        </w:rPr>
        <w:t xml:space="preserve"> </w:t>
      </w:r>
      <w:r>
        <w:rPr>
          <w:lang w:val="it-IT"/>
        </w:rPr>
        <w:t xml:space="preserve">2010, p. </w:t>
      </w:r>
      <w:r w:rsidR="004C26AD" w:rsidRPr="0083656D">
        <w:rPr>
          <w:lang w:val="it-IT"/>
        </w:rPr>
        <w:t xml:space="preserve">71-134. </w:t>
      </w:r>
    </w:p>
    <w:p w14:paraId="1C5198D1" w14:textId="5C2EA5D9" w:rsidR="004C26AD" w:rsidRPr="0083656D" w:rsidRDefault="00044C3F" w:rsidP="004C26AD">
      <w:pPr>
        <w:ind w:left="284" w:hanging="284"/>
        <w:rPr>
          <w:lang w:val="it-IT"/>
        </w:rPr>
      </w:pPr>
      <w:proofErr w:type="spellStart"/>
      <w:r>
        <w:rPr>
          <w:lang w:val="it-IT"/>
        </w:rPr>
        <w:t>Pensabene</w:t>
      </w:r>
      <w:proofErr w:type="spellEnd"/>
      <w:r>
        <w:rPr>
          <w:lang w:val="it-IT"/>
        </w:rPr>
        <w:t xml:space="preserve"> 2013: </w:t>
      </w:r>
      <w:r w:rsidRPr="0083656D">
        <w:rPr>
          <w:lang w:val="it-IT"/>
        </w:rPr>
        <w:t xml:space="preserve">P. </w:t>
      </w:r>
      <w:proofErr w:type="spellStart"/>
      <w:r>
        <w:rPr>
          <w:lang w:val="it-IT"/>
        </w:rPr>
        <w:t>Pensabene</w:t>
      </w:r>
      <w:proofErr w:type="spellEnd"/>
      <w:r>
        <w:rPr>
          <w:lang w:val="it-IT"/>
        </w:rPr>
        <w:t>,</w:t>
      </w:r>
      <w:r w:rsidR="004C26AD" w:rsidRPr="0083656D">
        <w:rPr>
          <w:lang w:val="it-IT"/>
        </w:rPr>
        <w:t xml:space="preserve"> </w:t>
      </w:r>
      <w:r w:rsidR="004C26AD" w:rsidRPr="0083656D">
        <w:rPr>
          <w:i/>
          <w:lang w:val="it-IT"/>
        </w:rPr>
        <w:t>I marmi nella Roma antica</w:t>
      </w:r>
      <w:r w:rsidR="004C26AD" w:rsidRPr="0083656D">
        <w:rPr>
          <w:lang w:val="it-IT"/>
        </w:rPr>
        <w:t>, Roma.</w:t>
      </w:r>
    </w:p>
    <w:p w14:paraId="01603D8E" w14:textId="2CA4D65F" w:rsidR="004C26AD" w:rsidRDefault="00044C3F" w:rsidP="004C26AD">
      <w:pPr>
        <w:spacing w:line="260" w:lineRule="exact"/>
        <w:ind w:left="567" w:hanging="567"/>
        <w:jc w:val="both"/>
      </w:pPr>
      <w:proofErr w:type="spellStart"/>
      <w:r>
        <w:lastRenderedPageBreak/>
        <w:t>Quass</w:t>
      </w:r>
      <w:proofErr w:type="spellEnd"/>
      <w:r>
        <w:t xml:space="preserve"> 1993: F. </w:t>
      </w:r>
      <w:proofErr w:type="spellStart"/>
      <w:r>
        <w:t>Quass</w:t>
      </w:r>
      <w:proofErr w:type="spellEnd"/>
      <w:r>
        <w:t>,</w:t>
      </w:r>
      <w:r w:rsidR="004C26AD">
        <w:t xml:space="preserve"> </w:t>
      </w:r>
      <w:r w:rsidR="004C26AD" w:rsidRPr="00011307">
        <w:rPr>
          <w:i/>
        </w:rPr>
        <w:t xml:space="preserve">Die </w:t>
      </w:r>
      <w:proofErr w:type="spellStart"/>
      <w:r w:rsidR="004C26AD" w:rsidRPr="00011307">
        <w:rPr>
          <w:i/>
        </w:rPr>
        <w:t>Honoratiorenschicht</w:t>
      </w:r>
      <w:proofErr w:type="spellEnd"/>
      <w:r w:rsidR="004C26AD" w:rsidRPr="00011307">
        <w:rPr>
          <w:i/>
        </w:rPr>
        <w:t xml:space="preserve"> in den </w:t>
      </w:r>
      <w:proofErr w:type="spellStart"/>
      <w:r w:rsidR="004C26AD" w:rsidRPr="00011307">
        <w:rPr>
          <w:i/>
        </w:rPr>
        <w:t>Städten</w:t>
      </w:r>
      <w:proofErr w:type="spellEnd"/>
      <w:r w:rsidR="004C26AD" w:rsidRPr="00011307">
        <w:rPr>
          <w:i/>
        </w:rPr>
        <w:t xml:space="preserve"> des </w:t>
      </w:r>
      <w:proofErr w:type="spellStart"/>
      <w:r w:rsidR="004C26AD" w:rsidRPr="00011307">
        <w:rPr>
          <w:i/>
        </w:rPr>
        <w:t>griechischen</w:t>
      </w:r>
      <w:proofErr w:type="spellEnd"/>
      <w:r w:rsidR="004C26AD" w:rsidRPr="00011307">
        <w:rPr>
          <w:i/>
        </w:rPr>
        <w:t xml:space="preserve"> </w:t>
      </w:r>
      <w:proofErr w:type="spellStart"/>
      <w:r w:rsidR="004C26AD" w:rsidRPr="00011307">
        <w:rPr>
          <w:i/>
        </w:rPr>
        <w:t>Ostens</w:t>
      </w:r>
      <w:proofErr w:type="spellEnd"/>
      <w:r w:rsidR="004C26AD" w:rsidRPr="00011307">
        <w:rPr>
          <w:i/>
        </w:rPr>
        <w:t xml:space="preserve">. </w:t>
      </w:r>
      <w:proofErr w:type="spellStart"/>
      <w:r w:rsidR="004C26AD" w:rsidRPr="00011307">
        <w:rPr>
          <w:i/>
        </w:rPr>
        <w:t>Untersuchungen</w:t>
      </w:r>
      <w:proofErr w:type="spellEnd"/>
      <w:r w:rsidR="004C26AD" w:rsidRPr="00011307">
        <w:rPr>
          <w:i/>
        </w:rPr>
        <w:t xml:space="preserve"> </w:t>
      </w:r>
      <w:proofErr w:type="spellStart"/>
      <w:r w:rsidR="004C26AD" w:rsidRPr="00011307">
        <w:rPr>
          <w:i/>
        </w:rPr>
        <w:t>zur</w:t>
      </w:r>
      <w:proofErr w:type="spellEnd"/>
      <w:r w:rsidR="004C26AD" w:rsidRPr="00011307">
        <w:rPr>
          <w:i/>
        </w:rPr>
        <w:t xml:space="preserve"> </w:t>
      </w:r>
      <w:proofErr w:type="spellStart"/>
      <w:r w:rsidR="004C26AD" w:rsidRPr="00011307">
        <w:rPr>
          <w:i/>
        </w:rPr>
        <w:t>politisch</w:t>
      </w:r>
      <w:r w:rsidR="004C26AD">
        <w:rPr>
          <w:i/>
        </w:rPr>
        <w:t>en</w:t>
      </w:r>
      <w:proofErr w:type="spellEnd"/>
      <w:r w:rsidR="004C26AD">
        <w:rPr>
          <w:i/>
        </w:rPr>
        <w:t xml:space="preserve"> und </w:t>
      </w:r>
      <w:proofErr w:type="spellStart"/>
      <w:r w:rsidR="004C26AD">
        <w:rPr>
          <w:i/>
        </w:rPr>
        <w:t>sozialen</w:t>
      </w:r>
      <w:proofErr w:type="spellEnd"/>
      <w:r w:rsidR="004C26AD">
        <w:rPr>
          <w:i/>
        </w:rPr>
        <w:t xml:space="preserve"> </w:t>
      </w:r>
      <w:proofErr w:type="spellStart"/>
      <w:r w:rsidR="004C26AD">
        <w:rPr>
          <w:i/>
        </w:rPr>
        <w:t>Entwicklung</w:t>
      </w:r>
      <w:proofErr w:type="spellEnd"/>
      <w:r w:rsidR="004C26AD">
        <w:rPr>
          <w:i/>
        </w:rPr>
        <w:t xml:space="preserve"> in </w:t>
      </w:r>
      <w:proofErr w:type="spellStart"/>
      <w:r w:rsidR="004C26AD" w:rsidRPr="00011307">
        <w:rPr>
          <w:i/>
        </w:rPr>
        <w:t>hellenistischer</w:t>
      </w:r>
      <w:proofErr w:type="spellEnd"/>
      <w:r w:rsidR="004C26AD" w:rsidRPr="00011307">
        <w:rPr>
          <w:i/>
        </w:rPr>
        <w:t xml:space="preserve"> und </w:t>
      </w:r>
      <w:proofErr w:type="spellStart"/>
      <w:r w:rsidR="004C26AD" w:rsidRPr="00011307">
        <w:rPr>
          <w:i/>
        </w:rPr>
        <w:t>römischer</w:t>
      </w:r>
      <w:proofErr w:type="spellEnd"/>
      <w:r w:rsidR="004C26AD" w:rsidRPr="00011307">
        <w:rPr>
          <w:i/>
        </w:rPr>
        <w:t xml:space="preserve"> Zeit</w:t>
      </w:r>
      <w:r w:rsidR="004C26AD">
        <w:t>, Stuttgart</w:t>
      </w:r>
      <w:r>
        <w:t>, 1993</w:t>
      </w:r>
      <w:r w:rsidR="004C26AD">
        <w:t>.</w:t>
      </w:r>
    </w:p>
    <w:p w14:paraId="642629D4" w14:textId="0A215E94" w:rsidR="004C26AD" w:rsidRDefault="004C26AD" w:rsidP="004C26AD">
      <w:pPr>
        <w:ind w:left="284" w:hanging="284"/>
      </w:pPr>
      <w:proofErr w:type="spellStart"/>
      <w:r>
        <w:t>Rakob</w:t>
      </w:r>
      <w:proofErr w:type="spellEnd"/>
      <w:r w:rsidR="00044C3F">
        <w:t xml:space="preserve"> 1993: </w:t>
      </w:r>
      <w:r>
        <w:t xml:space="preserve">F. </w:t>
      </w:r>
      <w:proofErr w:type="spellStart"/>
      <w:r w:rsidR="00044C3F">
        <w:t>Rakob</w:t>
      </w:r>
      <w:proofErr w:type="spellEnd"/>
      <w:r w:rsidR="00044C3F">
        <w:t xml:space="preserve"> </w:t>
      </w:r>
      <w:r>
        <w:t xml:space="preserve">(1993), ‘I. </w:t>
      </w:r>
      <w:proofErr w:type="spellStart"/>
      <w:r>
        <w:t>Zur</w:t>
      </w:r>
      <w:proofErr w:type="spellEnd"/>
      <w:r>
        <w:t xml:space="preserve"> </w:t>
      </w:r>
      <w:proofErr w:type="spellStart"/>
      <w:r>
        <w:t>Siedlungstopogra</w:t>
      </w:r>
      <w:r w:rsidR="00044C3F">
        <w:t>phie</w:t>
      </w:r>
      <w:proofErr w:type="spellEnd"/>
      <w:r w:rsidR="00044C3F">
        <w:t xml:space="preserve"> von </w:t>
      </w:r>
      <w:proofErr w:type="spellStart"/>
      <w:r w:rsidR="00044C3F">
        <w:t>Chemtou</w:t>
      </w:r>
      <w:proofErr w:type="spellEnd"/>
      <w:r w:rsidR="00044C3F">
        <w:t>/</w:t>
      </w:r>
      <w:proofErr w:type="spellStart"/>
      <w:r w:rsidR="00044C3F">
        <w:t>Simitthus</w:t>
      </w:r>
      <w:proofErr w:type="spellEnd"/>
      <w:r w:rsidR="00044C3F">
        <w:t>’, in</w:t>
      </w:r>
      <w:r>
        <w:t xml:space="preserve"> F. </w:t>
      </w:r>
      <w:proofErr w:type="spellStart"/>
      <w:r>
        <w:t>Rakob</w:t>
      </w:r>
      <w:proofErr w:type="spellEnd"/>
      <w:r>
        <w:t xml:space="preserve"> (ed.), </w:t>
      </w:r>
      <w:proofErr w:type="spellStart"/>
      <w:r w:rsidRPr="004D17B6">
        <w:rPr>
          <w:i/>
        </w:rPr>
        <w:t>Simitthus</w:t>
      </w:r>
      <w:proofErr w:type="spellEnd"/>
      <w:r w:rsidRPr="004D17B6">
        <w:rPr>
          <w:i/>
        </w:rPr>
        <w:t xml:space="preserve"> I. Die </w:t>
      </w:r>
      <w:proofErr w:type="spellStart"/>
      <w:r w:rsidRPr="004D17B6">
        <w:rPr>
          <w:i/>
        </w:rPr>
        <w:t>Steinbrüche</w:t>
      </w:r>
      <w:proofErr w:type="spellEnd"/>
      <w:r w:rsidRPr="004D17B6">
        <w:rPr>
          <w:i/>
        </w:rPr>
        <w:t xml:space="preserve"> und die </w:t>
      </w:r>
      <w:proofErr w:type="spellStart"/>
      <w:r w:rsidRPr="004D17B6">
        <w:rPr>
          <w:i/>
        </w:rPr>
        <w:t>antike</w:t>
      </w:r>
      <w:proofErr w:type="spellEnd"/>
      <w:r w:rsidRPr="004D17B6">
        <w:rPr>
          <w:i/>
        </w:rPr>
        <w:t xml:space="preserve"> Stadt</w:t>
      </w:r>
      <w:r>
        <w:t>, Mainz: 1-16.</w:t>
      </w:r>
    </w:p>
    <w:p w14:paraId="0384927C" w14:textId="7DB64379" w:rsidR="004C26AD" w:rsidRDefault="00044C3F" w:rsidP="004C26AD">
      <w:pPr>
        <w:ind w:left="284" w:hanging="284"/>
      </w:pPr>
      <w:proofErr w:type="spellStart"/>
      <w:r>
        <w:t>Rathmayr</w:t>
      </w:r>
      <w:proofErr w:type="spellEnd"/>
      <w:r>
        <w:t xml:space="preserve"> 2009: E. </w:t>
      </w:r>
      <w:proofErr w:type="spellStart"/>
      <w:r w:rsidR="004C26AD">
        <w:t>Rathmayr</w:t>
      </w:r>
      <w:proofErr w:type="spellEnd"/>
      <w:r w:rsidR="004C26AD">
        <w:t xml:space="preserve">, </w:t>
      </w:r>
      <w:r>
        <w:t>«</w:t>
      </w:r>
      <w:r w:rsidR="004C26AD" w:rsidRPr="00003A75">
        <w:t xml:space="preserve">Das Haus des </w:t>
      </w:r>
      <w:proofErr w:type="spellStart"/>
      <w:r w:rsidR="004C26AD" w:rsidRPr="00003A75">
        <w:t>Ritters</w:t>
      </w:r>
      <w:proofErr w:type="spellEnd"/>
      <w:r w:rsidR="004C26AD" w:rsidRPr="00003A75">
        <w:t xml:space="preserve"> C. Flavius </w:t>
      </w:r>
      <w:proofErr w:type="spellStart"/>
      <w:r w:rsidR="004C26AD" w:rsidRPr="00003A75">
        <w:t>Furius</w:t>
      </w:r>
      <w:proofErr w:type="spellEnd"/>
      <w:r w:rsidR="004C26AD" w:rsidRPr="00003A75">
        <w:t xml:space="preserve"> </w:t>
      </w:r>
      <w:proofErr w:type="spellStart"/>
      <w:r w:rsidR="004C26AD" w:rsidRPr="00003A75">
        <w:t>Aptus</w:t>
      </w:r>
      <w:proofErr w:type="spellEnd"/>
      <w:r w:rsidR="004C26AD" w:rsidRPr="00003A75">
        <w:t xml:space="preserve">. </w:t>
      </w:r>
      <w:proofErr w:type="spellStart"/>
      <w:r w:rsidR="004C26AD" w:rsidRPr="00003A75">
        <w:t>Beobachtungen</w:t>
      </w:r>
      <w:proofErr w:type="spellEnd"/>
      <w:r w:rsidR="004C26AD" w:rsidRPr="00003A75">
        <w:t xml:space="preserve"> </w:t>
      </w:r>
      <w:proofErr w:type="spellStart"/>
      <w:r w:rsidR="004C26AD" w:rsidRPr="00003A75">
        <w:t>zur</w:t>
      </w:r>
      <w:proofErr w:type="spellEnd"/>
      <w:r w:rsidR="004C26AD" w:rsidRPr="00003A75">
        <w:t xml:space="preserve"> </w:t>
      </w:r>
      <w:proofErr w:type="spellStart"/>
      <w:r w:rsidR="004C26AD" w:rsidRPr="00003A75">
        <w:t>Einflussnahme</w:t>
      </w:r>
      <w:proofErr w:type="spellEnd"/>
      <w:r w:rsidR="004C26AD" w:rsidRPr="00003A75">
        <w:t xml:space="preserve"> von </w:t>
      </w:r>
      <w:proofErr w:type="spellStart"/>
      <w:r w:rsidR="004C26AD" w:rsidRPr="00003A75">
        <w:t>Hausbesitzern</w:t>
      </w:r>
      <w:proofErr w:type="spellEnd"/>
      <w:r w:rsidR="004C26AD" w:rsidRPr="00003A75">
        <w:t xml:space="preserve"> an </w:t>
      </w:r>
      <w:proofErr w:type="spellStart"/>
      <w:r w:rsidR="004C26AD" w:rsidRPr="00003A75">
        <w:t>Architektur</w:t>
      </w:r>
      <w:proofErr w:type="spellEnd"/>
      <w:r w:rsidR="004C26AD" w:rsidRPr="00003A75">
        <w:t xml:space="preserve"> und </w:t>
      </w:r>
      <w:proofErr w:type="spellStart"/>
      <w:r w:rsidR="004C26AD" w:rsidRPr="00003A75">
        <w:t>Ausstattungen</w:t>
      </w:r>
      <w:proofErr w:type="spellEnd"/>
      <w:r w:rsidR="004C26AD" w:rsidRPr="00003A75">
        <w:t xml:space="preserve"> in der </w:t>
      </w:r>
      <w:proofErr w:type="spellStart"/>
      <w:r w:rsidR="004C26AD" w:rsidRPr="00003A75">
        <w:t>Wohneinheit</w:t>
      </w:r>
      <w:proofErr w:type="spellEnd"/>
      <w:r w:rsidR="004C26AD" w:rsidRPr="00003A75">
        <w:t xml:space="preserve"> 6 d</w:t>
      </w:r>
      <w:r>
        <w:t xml:space="preserve">es </w:t>
      </w:r>
      <w:proofErr w:type="spellStart"/>
      <w:r>
        <w:t>Hanghauses</w:t>
      </w:r>
      <w:proofErr w:type="spellEnd"/>
      <w:r>
        <w:t xml:space="preserve"> 2 in </w:t>
      </w:r>
      <w:proofErr w:type="spellStart"/>
      <w:r>
        <w:t>Ephesos</w:t>
      </w:r>
      <w:proofErr w:type="spellEnd"/>
      <w:r>
        <w:t>»</w:t>
      </w:r>
      <w:r w:rsidR="004C26AD" w:rsidRPr="00003A75">
        <w:t xml:space="preserve">, </w:t>
      </w:r>
      <w:proofErr w:type="spellStart"/>
      <w:r w:rsidR="004C26AD" w:rsidRPr="00003A75">
        <w:rPr>
          <w:i/>
        </w:rPr>
        <w:t>Istanbuler</w:t>
      </w:r>
      <w:proofErr w:type="spellEnd"/>
      <w:r w:rsidR="004C26AD" w:rsidRPr="00003A75">
        <w:rPr>
          <w:i/>
        </w:rPr>
        <w:t xml:space="preserve"> </w:t>
      </w:r>
      <w:proofErr w:type="spellStart"/>
      <w:r w:rsidR="004C26AD" w:rsidRPr="00003A75">
        <w:rPr>
          <w:i/>
        </w:rPr>
        <w:t>Mitteilungen</w:t>
      </w:r>
      <w:proofErr w:type="spellEnd"/>
      <w:r w:rsidR="004C26AD">
        <w:t xml:space="preserve"> 59</w:t>
      </w:r>
      <w:r>
        <w:t>, 2009,</w:t>
      </w:r>
      <w:r w:rsidR="004C26AD" w:rsidRPr="00003A75">
        <w:t xml:space="preserve"> 307-336.</w:t>
      </w:r>
    </w:p>
    <w:p w14:paraId="2C704072" w14:textId="614AFE57" w:rsidR="004C26AD" w:rsidRDefault="00044C3F" w:rsidP="004C26AD">
      <w:pPr>
        <w:ind w:left="284" w:hanging="284"/>
      </w:pPr>
      <w:proofErr w:type="spellStart"/>
      <w:r>
        <w:t>Rathmayer</w:t>
      </w:r>
      <w:proofErr w:type="spellEnd"/>
      <w:r>
        <w:t xml:space="preserve"> 2016: </w:t>
      </w:r>
      <w:r w:rsidR="000C5EF0" w:rsidRPr="00986EAF">
        <w:t>E.</w:t>
      </w:r>
      <w:r w:rsidR="000C5EF0">
        <w:t xml:space="preserve"> </w:t>
      </w:r>
      <w:proofErr w:type="spellStart"/>
      <w:r w:rsidR="004C26AD" w:rsidRPr="00986EAF">
        <w:t>Rathmayr</w:t>
      </w:r>
      <w:proofErr w:type="spellEnd"/>
      <w:r w:rsidR="004C26AD" w:rsidRPr="00986EAF">
        <w:t xml:space="preserve">, </w:t>
      </w:r>
      <w:r>
        <w:t>ed.,</w:t>
      </w:r>
      <w:r w:rsidR="004C26AD" w:rsidRPr="00986EAF">
        <w:t xml:space="preserve"> </w:t>
      </w:r>
      <w:proofErr w:type="spellStart"/>
      <w:r w:rsidR="004C26AD" w:rsidRPr="00986EAF">
        <w:rPr>
          <w:i/>
        </w:rPr>
        <w:t>Hanghaus</w:t>
      </w:r>
      <w:proofErr w:type="spellEnd"/>
      <w:r w:rsidR="004C26AD" w:rsidRPr="00986EAF">
        <w:rPr>
          <w:i/>
        </w:rPr>
        <w:t xml:space="preserve"> 2 in </w:t>
      </w:r>
      <w:proofErr w:type="spellStart"/>
      <w:r w:rsidR="004C26AD" w:rsidRPr="00986EAF">
        <w:rPr>
          <w:i/>
        </w:rPr>
        <w:t>Ephesos</w:t>
      </w:r>
      <w:proofErr w:type="spellEnd"/>
      <w:r w:rsidR="004C26AD" w:rsidRPr="00986EAF">
        <w:rPr>
          <w:i/>
        </w:rPr>
        <w:t xml:space="preserve">. Die </w:t>
      </w:r>
      <w:proofErr w:type="spellStart"/>
      <w:r w:rsidR="004C26AD" w:rsidRPr="00986EAF">
        <w:rPr>
          <w:i/>
        </w:rPr>
        <w:t>Wohneinheit</w:t>
      </w:r>
      <w:proofErr w:type="spellEnd"/>
      <w:r w:rsidR="004C26AD" w:rsidRPr="00986EAF">
        <w:rPr>
          <w:i/>
        </w:rPr>
        <w:t xml:space="preserve"> 7. </w:t>
      </w:r>
      <w:proofErr w:type="spellStart"/>
      <w:r w:rsidR="004C26AD" w:rsidRPr="00986EAF">
        <w:rPr>
          <w:i/>
        </w:rPr>
        <w:t>Baubefun</w:t>
      </w:r>
      <w:r w:rsidR="004C26AD">
        <w:rPr>
          <w:i/>
        </w:rPr>
        <w:t>d</w:t>
      </w:r>
      <w:proofErr w:type="spellEnd"/>
      <w:r w:rsidR="004C26AD">
        <w:rPr>
          <w:i/>
        </w:rPr>
        <w:t xml:space="preserve">, </w:t>
      </w:r>
      <w:proofErr w:type="spellStart"/>
      <w:r w:rsidR="004C26AD">
        <w:rPr>
          <w:i/>
        </w:rPr>
        <w:t>Ausstattung</w:t>
      </w:r>
      <w:proofErr w:type="spellEnd"/>
      <w:r w:rsidR="004C26AD">
        <w:rPr>
          <w:i/>
        </w:rPr>
        <w:t xml:space="preserve">, </w:t>
      </w:r>
      <w:proofErr w:type="spellStart"/>
      <w:r w:rsidR="004C26AD">
        <w:rPr>
          <w:i/>
        </w:rPr>
        <w:t>Funde</w:t>
      </w:r>
      <w:proofErr w:type="spellEnd"/>
      <w:r w:rsidR="004C26AD" w:rsidRPr="00986EAF">
        <w:t xml:space="preserve"> (</w:t>
      </w:r>
      <w:proofErr w:type="spellStart"/>
      <w:r w:rsidR="004C26AD" w:rsidRPr="00986EAF">
        <w:t>FiE</w:t>
      </w:r>
      <w:proofErr w:type="spellEnd"/>
      <w:r w:rsidR="004C26AD" w:rsidRPr="00986EAF">
        <w:t xml:space="preserve"> VIII/10), Wien</w:t>
      </w:r>
      <w:r>
        <w:t>, 2016</w:t>
      </w:r>
      <w:r w:rsidR="004C26AD">
        <w:t>.</w:t>
      </w:r>
    </w:p>
    <w:p w14:paraId="696526A2" w14:textId="521F28FC" w:rsidR="004C26AD" w:rsidRDefault="000C5EF0" w:rsidP="004C26AD">
      <w:pPr>
        <w:ind w:left="284" w:hanging="284"/>
      </w:pPr>
      <w:r>
        <w:t xml:space="preserve">Richardson 1992: </w:t>
      </w:r>
      <w:r w:rsidRPr="00076713">
        <w:t xml:space="preserve">L. </w:t>
      </w:r>
      <w:r w:rsidR="004C26AD" w:rsidRPr="00076713">
        <w:t xml:space="preserve">Richardson, </w:t>
      </w:r>
      <w:r>
        <w:t>ed.,</w:t>
      </w:r>
      <w:r w:rsidR="004C26AD" w:rsidRPr="00076713">
        <w:t xml:space="preserve"> </w:t>
      </w:r>
      <w:r w:rsidR="004C26AD" w:rsidRPr="00076713">
        <w:rPr>
          <w:i/>
        </w:rPr>
        <w:t>A New Topographical Dictionary of Ancient Rome</w:t>
      </w:r>
      <w:r w:rsidR="004C26AD" w:rsidRPr="00076713">
        <w:t xml:space="preserve">, </w:t>
      </w:r>
      <w:r w:rsidR="004C26AD">
        <w:t>Baltimore &amp; London</w:t>
      </w:r>
      <w:r>
        <w:t>, 1992</w:t>
      </w:r>
      <w:r w:rsidR="004C26AD">
        <w:t>.</w:t>
      </w:r>
    </w:p>
    <w:p w14:paraId="68881128" w14:textId="795FAAF0" w:rsidR="004C26AD" w:rsidRPr="0083656D" w:rsidRDefault="000C5EF0" w:rsidP="004C26AD">
      <w:pPr>
        <w:ind w:left="284" w:hanging="284"/>
        <w:rPr>
          <w:lang w:val="fr-FR"/>
        </w:rPr>
      </w:pPr>
      <w:proofErr w:type="spellStart"/>
      <w:r>
        <w:rPr>
          <w:lang w:val="fr-FR"/>
        </w:rPr>
        <w:t>Roddaz</w:t>
      </w:r>
      <w:proofErr w:type="spellEnd"/>
      <w:r>
        <w:rPr>
          <w:lang w:val="fr-FR"/>
        </w:rPr>
        <w:t xml:space="preserve"> </w:t>
      </w:r>
      <w:proofErr w:type="gramStart"/>
      <w:r>
        <w:rPr>
          <w:lang w:val="fr-FR"/>
        </w:rPr>
        <w:t>1984:</w:t>
      </w:r>
      <w:proofErr w:type="gramEnd"/>
      <w:r>
        <w:rPr>
          <w:lang w:val="fr-FR"/>
        </w:rPr>
        <w:t xml:space="preserve"> </w:t>
      </w:r>
      <w:r w:rsidRPr="0083656D">
        <w:rPr>
          <w:lang w:val="fr-FR"/>
        </w:rPr>
        <w:t xml:space="preserve">J.-M. </w:t>
      </w:r>
      <w:proofErr w:type="spellStart"/>
      <w:r w:rsidR="004C26AD" w:rsidRPr="0083656D">
        <w:rPr>
          <w:lang w:val="fr-FR"/>
        </w:rPr>
        <w:t>Roddaz</w:t>
      </w:r>
      <w:proofErr w:type="spellEnd"/>
      <w:r w:rsidR="004C26AD" w:rsidRPr="0083656D">
        <w:rPr>
          <w:lang w:val="fr-FR"/>
        </w:rPr>
        <w:t xml:space="preserve">, </w:t>
      </w:r>
      <w:r w:rsidR="004C26AD" w:rsidRPr="0083656D">
        <w:rPr>
          <w:i/>
          <w:lang w:val="fr-FR"/>
        </w:rPr>
        <w:t>Marcus Agrippa</w:t>
      </w:r>
      <w:r w:rsidR="004C26AD" w:rsidRPr="0083656D">
        <w:rPr>
          <w:lang w:val="fr-FR"/>
        </w:rPr>
        <w:t xml:space="preserve"> (</w:t>
      </w:r>
      <w:proofErr w:type="spellStart"/>
      <w:r w:rsidR="004C26AD" w:rsidRPr="0083656D">
        <w:rPr>
          <w:lang w:val="fr-FR"/>
        </w:rPr>
        <w:t>Bibliothèque</w:t>
      </w:r>
      <w:proofErr w:type="spellEnd"/>
      <w:r>
        <w:rPr>
          <w:lang w:val="fr-FR"/>
        </w:rPr>
        <w:t xml:space="preserve"> des Écoles françaises d’ </w:t>
      </w:r>
      <w:r w:rsidR="004C26AD" w:rsidRPr="0083656D">
        <w:rPr>
          <w:lang w:val="fr-FR"/>
        </w:rPr>
        <w:t>Athènes et de Rome, 253), Rome</w:t>
      </w:r>
      <w:r>
        <w:rPr>
          <w:lang w:val="fr-FR"/>
        </w:rPr>
        <w:t>, 1984</w:t>
      </w:r>
      <w:r w:rsidR="004C26AD" w:rsidRPr="0083656D">
        <w:rPr>
          <w:lang w:val="fr-FR"/>
        </w:rPr>
        <w:t>.</w:t>
      </w:r>
    </w:p>
    <w:p w14:paraId="755CE88C" w14:textId="35EF2E61" w:rsidR="004C26AD" w:rsidRDefault="000C5EF0" w:rsidP="004C26AD">
      <w:pPr>
        <w:spacing w:line="260" w:lineRule="exact"/>
        <w:ind w:left="567" w:hanging="567"/>
        <w:jc w:val="both"/>
      </w:pPr>
      <w:r>
        <w:t xml:space="preserve">Russel 2009: B. </w:t>
      </w:r>
      <w:r w:rsidR="008F0F25">
        <w:t>Russell, «</w:t>
      </w:r>
      <w:r w:rsidR="004C26AD" w:rsidRPr="00540933">
        <w:t>The dynamics of stone transport between the Roman Mediterranean and its hinterland</w:t>
      </w:r>
      <w:r w:rsidR="008F0F25">
        <w:t>»,</w:t>
      </w:r>
      <w:r w:rsidR="004C26AD">
        <w:t xml:space="preserve"> </w:t>
      </w:r>
      <w:proofErr w:type="spellStart"/>
      <w:r w:rsidR="004C26AD" w:rsidRPr="00CA15C8">
        <w:rPr>
          <w:i/>
        </w:rPr>
        <w:t>Facta</w:t>
      </w:r>
      <w:proofErr w:type="spellEnd"/>
      <w:r w:rsidR="004C26AD" w:rsidRPr="00CA15C8">
        <w:rPr>
          <w:i/>
        </w:rPr>
        <w:t>. A Journal of Roman Material Culture Studies</w:t>
      </w:r>
      <w:r w:rsidR="004C26AD">
        <w:t xml:space="preserve"> 2</w:t>
      </w:r>
      <w:r w:rsidR="008F0F25">
        <w:t>, 2009,</w:t>
      </w:r>
      <w:r w:rsidR="004C26AD">
        <w:t xml:space="preserve"> </w:t>
      </w:r>
      <w:r w:rsidR="008F0F25">
        <w:t xml:space="preserve">p. </w:t>
      </w:r>
      <w:r w:rsidR="004C26AD">
        <w:t>107-</w:t>
      </w:r>
      <w:r w:rsidR="008F0F25">
        <w:t>1</w:t>
      </w:r>
      <w:r w:rsidR="004C26AD">
        <w:t>26.</w:t>
      </w:r>
    </w:p>
    <w:p w14:paraId="08524A55" w14:textId="39DB79EA" w:rsidR="004C26AD" w:rsidRPr="00027C23" w:rsidRDefault="000C5EF0" w:rsidP="000C5EF0">
      <w:pPr>
        <w:ind w:left="284" w:hanging="284"/>
      </w:pPr>
      <w:r>
        <w:t xml:space="preserve">Russel 2013: B. </w:t>
      </w:r>
      <w:r w:rsidR="004C26AD">
        <w:t>Russel</w:t>
      </w:r>
      <w:r w:rsidR="00A8234F">
        <w:t>l</w:t>
      </w:r>
      <w:r>
        <w:t>,</w:t>
      </w:r>
      <w:r w:rsidR="004C26AD">
        <w:t xml:space="preserve"> </w:t>
      </w:r>
      <w:r w:rsidR="004C26AD" w:rsidRPr="00027C23">
        <w:rPr>
          <w:i/>
        </w:rPr>
        <w:t>The Economics of the Roman Stone Trade</w:t>
      </w:r>
      <w:r w:rsidR="004C26AD">
        <w:t>, Oxford</w:t>
      </w:r>
      <w:r>
        <w:t>, 2013.</w:t>
      </w:r>
    </w:p>
    <w:p w14:paraId="57FA61F0" w14:textId="7D8030C2" w:rsidR="004C26AD" w:rsidRDefault="000C5EF0" w:rsidP="004C26AD">
      <w:pPr>
        <w:ind w:left="284" w:hanging="284"/>
      </w:pPr>
      <w:proofErr w:type="spellStart"/>
      <w:r w:rsidRPr="0083656D">
        <w:rPr>
          <w:lang w:val="it-IT"/>
        </w:rPr>
        <w:t>Rüpke</w:t>
      </w:r>
      <w:proofErr w:type="spellEnd"/>
      <w:r w:rsidRPr="0083656D">
        <w:rPr>
          <w:lang w:val="it-IT"/>
        </w:rPr>
        <w:t xml:space="preserve"> </w:t>
      </w:r>
      <w:r>
        <w:rPr>
          <w:lang w:val="it-IT"/>
        </w:rPr>
        <w:t xml:space="preserve">1990: </w:t>
      </w:r>
      <w:r w:rsidRPr="0083656D">
        <w:rPr>
          <w:lang w:val="it-IT"/>
        </w:rPr>
        <w:t xml:space="preserve">J. </w:t>
      </w:r>
      <w:proofErr w:type="spellStart"/>
      <w:r>
        <w:rPr>
          <w:lang w:val="it-IT"/>
        </w:rPr>
        <w:t>Rüpke</w:t>
      </w:r>
      <w:proofErr w:type="spellEnd"/>
      <w:r>
        <w:rPr>
          <w:lang w:val="it-IT"/>
        </w:rPr>
        <w:t>,</w:t>
      </w:r>
      <w:r w:rsidR="004C26AD" w:rsidRPr="0083656D">
        <w:rPr>
          <w:lang w:val="it-IT"/>
        </w:rPr>
        <w:t xml:space="preserve"> </w:t>
      </w:r>
      <w:r w:rsidR="004C26AD" w:rsidRPr="0083656D">
        <w:rPr>
          <w:i/>
          <w:lang w:val="it-IT"/>
        </w:rPr>
        <w:t xml:space="preserve">Domi </w:t>
      </w:r>
      <w:proofErr w:type="spellStart"/>
      <w:r w:rsidR="004C26AD" w:rsidRPr="0083656D">
        <w:rPr>
          <w:i/>
          <w:lang w:val="it-IT"/>
        </w:rPr>
        <w:t>Militiae</w:t>
      </w:r>
      <w:proofErr w:type="spellEnd"/>
      <w:r w:rsidR="004C26AD" w:rsidRPr="0083656D">
        <w:rPr>
          <w:i/>
          <w:lang w:val="it-IT"/>
        </w:rPr>
        <w:t xml:space="preserve">. </w:t>
      </w:r>
      <w:r w:rsidR="004C26AD" w:rsidRPr="0008766B">
        <w:rPr>
          <w:i/>
        </w:rPr>
        <w:t xml:space="preserve">Die </w:t>
      </w:r>
      <w:proofErr w:type="spellStart"/>
      <w:r w:rsidR="004C26AD" w:rsidRPr="0008766B">
        <w:rPr>
          <w:i/>
        </w:rPr>
        <w:t>religiöse</w:t>
      </w:r>
      <w:proofErr w:type="spellEnd"/>
      <w:r w:rsidR="004C26AD" w:rsidRPr="0008766B">
        <w:rPr>
          <w:i/>
        </w:rPr>
        <w:t xml:space="preserve"> </w:t>
      </w:r>
      <w:proofErr w:type="spellStart"/>
      <w:r w:rsidR="004C26AD" w:rsidRPr="0008766B">
        <w:rPr>
          <w:i/>
        </w:rPr>
        <w:t>Konstruktion</w:t>
      </w:r>
      <w:proofErr w:type="spellEnd"/>
      <w:r w:rsidR="004C26AD" w:rsidRPr="0008766B">
        <w:rPr>
          <w:i/>
        </w:rPr>
        <w:t xml:space="preserve"> des </w:t>
      </w:r>
      <w:proofErr w:type="spellStart"/>
      <w:r w:rsidR="004C26AD" w:rsidRPr="0008766B">
        <w:rPr>
          <w:i/>
        </w:rPr>
        <w:t>Krieges</w:t>
      </w:r>
      <w:proofErr w:type="spellEnd"/>
      <w:r w:rsidR="004C26AD" w:rsidRPr="0008766B">
        <w:rPr>
          <w:i/>
        </w:rPr>
        <w:t xml:space="preserve"> in Rom</w:t>
      </w:r>
      <w:r w:rsidR="004C26AD">
        <w:t>, Stuttgart</w:t>
      </w:r>
      <w:r>
        <w:t xml:space="preserve">, </w:t>
      </w:r>
      <w:r w:rsidRPr="0083656D">
        <w:rPr>
          <w:lang w:val="it-IT"/>
        </w:rPr>
        <w:t>1990</w:t>
      </w:r>
      <w:r w:rsidR="004C26AD">
        <w:t>.</w:t>
      </w:r>
    </w:p>
    <w:p w14:paraId="0A476E96" w14:textId="48976921" w:rsidR="004C26AD" w:rsidRDefault="008F0F25" w:rsidP="004C26AD">
      <w:pPr>
        <w:ind w:left="284" w:hanging="284"/>
        <w:rPr>
          <w:lang w:val="en-US"/>
        </w:rPr>
      </w:pPr>
      <w:proofErr w:type="spellStart"/>
      <w:r>
        <w:rPr>
          <w:lang w:val="en-US"/>
        </w:rPr>
        <w:t>Schäfer</w:t>
      </w:r>
      <w:proofErr w:type="spellEnd"/>
      <w:r>
        <w:rPr>
          <w:lang w:val="en-US"/>
        </w:rPr>
        <w:t xml:space="preserve"> 1979: Th. </w:t>
      </w:r>
      <w:proofErr w:type="spellStart"/>
      <w:r>
        <w:rPr>
          <w:lang w:val="en-US"/>
        </w:rPr>
        <w:t>Schäfer</w:t>
      </w:r>
      <w:proofErr w:type="spellEnd"/>
      <w:r>
        <w:rPr>
          <w:lang w:val="en-US"/>
        </w:rPr>
        <w:t>, «</w:t>
      </w:r>
      <w:r w:rsidR="004C26AD">
        <w:rPr>
          <w:lang w:val="en-US"/>
        </w:rPr>
        <w:t>Das</w:t>
      </w:r>
      <w:r>
        <w:rPr>
          <w:lang w:val="en-US"/>
        </w:rPr>
        <w:t xml:space="preserve"> </w:t>
      </w:r>
      <w:proofErr w:type="spellStart"/>
      <w:r>
        <w:rPr>
          <w:lang w:val="en-US"/>
        </w:rPr>
        <w:t>Siegesdenkmal</w:t>
      </w:r>
      <w:proofErr w:type="spellEnd"/>
      <w:r>
        <w:rPr>
          <w:lang w:val="en-US"/>
        </w:rPr>
        <w:t xml:space="preserve"> </w:t>
      </w:r>
      <w:proofErr w:type="spellStart"/>
      <w:r>
        <w:rPr>
          <w:lang w:val="en-US"/>
        </w:rPr>
        <w:t>vom</w:t>
      </w:r>
      <w:proofErr w:type="spellEnd"/>
      <w:r>
        <w:rPr>
          <w:lang w:val="en-US"/>
        </w:rPr>
        <w:t xml:space="preserve"> </w:t>
      </w:r>
      <w:proofErr w:type="spellStart"/>
      <w:r>
        <w:rPr>
          <w:lang w:val="en-US"/>
        </w:rPr>
        <w:t>Kapitol</w:t>
      </w:r>
      <w:proofErr w:type="spellEnd"/>
      <w:r>
        <w:rPr>
          <w:lang w:val="en-US"/>
        </w:rPr>
        <w:t xml:space="preserve">», in H. G. Horn and Chr. B. </w:t>
      </w:r>
      <w:proofErr w:type="spellStart"/>
      <w:r>
        <w:rPr>
          <w:lang w:val="en-US"/>
        </w:rPr>
        <w:t>Rüger</w:t>
      </w:r>
      <w:proofErr w:type="spellEnd"/>
      <w:r>
        <w:rPr>
          <w:lang w:val="en-US"/>
        </w:rPr>
        <w:t>, eds.,</w:t>
      </w:r>
      <w:r w:rsidR="004C26AD">
        <w:rPr>
          <w:lang w:val="en-US"/>
        </w:rPr>
        <w:t xml:space="preserve"> </w:t>
      </w:r>
      <w:r w:rsidR="004C26AD" w:rsidRPr="00D105AB">
        <w:rPr>
          <w:i/>
          <w:lang w:val="en-US"/>
        </w:rPr>
        <w:t xml:space="preserve">Die </w:t>
      </w:r>
      <w:proofErr w:type="spellStart"/>
      <w:r w:rsidR="004C26AD" w:rsidRPr="00D105AB">
        <w:rPr>
          <w:i/>
          <w:lang w:val="en-US"/>
        </w:rPr>
        <w:t>Numider</w:t>
      </w:r>
      <w:proofErr w:type="spellEnd"/>
      <w:r w:rsidR="004C26AD" w:rsidRPr="00D105AB">
        <w:rPr>
          <w:i/>
          <w:lang w:val="en-US"/>
        </w:rPr>
        <w:t xml:space="preserve">. Reiter und </w:t>
      </w:r>
      <w:proofErr w:type="spellStart"/>
      <w:r w:rsidR="004C26AD" w:rsidRPr="00D105AB">
        <w:rPr>
          <w:i/>
          <w:lang w:val="en-US"/>
        </w:rPr>
        <w:t>Könige</w:t>
      </w:r>
      <w:proofErr w:type="spellEnd"/>
      <w:r w:rsidR="004C26AD" w:rsidRPr="00D105AB">
        <w:rPr>
          <w:i/>
          <w:lang w:val="en-US"/>
        </w:rPr>
        <w:t xml:space="preserve"> </w:t>
      </w:r>
      <w:proofErr w:type="spellStart"/>
      <w:r w:rsidR="004C26AD" w:rsidRPr="00D105AB">
        <w:rPr>
          <w:i/>
          <w:lang w:val="en-US"/>
        </w:rPr>
        <w:t>nördlich</w:t>
      </w:r>
      <w:proofErr w:type="spellEnd"/>
      <w:r w:rsidR="004C26AD" w:rsidRPr="00D105AB">
        <w:rPr>
          <w:i/>
          <w:lang w:val="en-US"/>
        </w:rPr>
        <w:t xml:space="preserve"> der Sahara</w:t>
      </w:r>
      <w:r>
        <w:rPr>
          <w:lang w:val="en-US"/>
        </w:rPr>
        <w:t xml:space="preserve">, Bonn, 1979, p. </w:t>
      </w:r>
      <w:r w:rsidR="004C26AD">
        <w:rPr>
          <w:lang w:val="en-US"/>
        </w:rPr>
        <w:t>243-250.</w:t>
      </w:r>
    </w:p>
    <w:p w14:paraId="716A198D" w14:textId="6E71C7BE" w:rsidR="004C26AD" w:rsidRDefault="008F0F25" w:rsidP="004C26AD">
      <w:pPr>
        <w:ind w:left="284" w:hanging="284"/>
      </w:pPr>
      <w:r>
        <w:t>Scherrer 1996: P. Scherrer, «</w:t>
      </w:r>
      <w:r w:rsidR="004C26AD">
        <w:t xml:space="preserve">The City of </w:t>
      </w:r>
      <w:proofErr w:type="spellStart"/>
      <w:r w:rsidR="004C26AD">
        <w:t>Ephesos</w:t>
      </w:r>
      <w:proofErr w:type="spellEnd"/>
      <w:r w:rsidR="004C26AD">
        <w:t>. From the Roman Period to Late Ant</w:t>
      </w:r>
      <w:r>
        <w:t>iquity», in H. Koester, ed.</w:t>
      </w:r>
      <w:r w:rsidR="004C26AD">
        <w:t xml:space="preserve">, </w:t>
      </w:r>
      <w:proofErr w:type="spellStart"/>
      <w:r w:rsidR="004C26AD">
        <w:rPr>
          <w:i/>
        </w:rPr>
        <w:t>Ephesos</w:t>
      </w:r>
      <w:proofErr w:type="spellEnd"/>
      <w:r w:rsidR="004C26AD">
        <w:rPr>
          <w:i/>
        </w:rPr>
        <w:t xml:space="preserve"> Metropolis of Asia. An Interdisciplinary Approach to its Archaeology, Religion, and </w:t>
      </w:r>
      <w:r w:rsidR="004C26AD" w:rsidRPr="007234D5">
        <w:rPr>
          <w:i/>
        </w:rPr>
        <w:t>Culture</w:t>
      </w:r>
      <w:r w:rsidR="004C26AD">
        <w:rPr>
          <w:i/>
        </w:rPr>
        <w:t xml:space="preserve"> </w:t>
      </w:r>
      <w:r w:rsidR="004C26AD">
        <w:t xml:space="preserve">(Harvard </w:t>
      </w:r>
      <w:proofErr w:type="spellStart"/>
      <w:r w:rsidR="004C26AD">
        <w:t>Theologcal</w:t>
      </w:r>
      <w:proofErr w:type="spellEnd"/>
      <w:r w:rsidR="004C26AD">
        <w:t xml:space="preserve"> Studies 41), Valley Forge PA</w:t>
      </w:r>
      <w:r>
        <w:t xml:space="preserve">, 1996, </w:t>
      </w:r>
      <w:r w:rsidR="004C26AD" w:rsidRPr="007234D5">
        <w:t>1</w:t>
      </w:r>
      <w:r w:rsidR="004C26AD">
        <w:t>-25.</w:t>
      </w:r>
    </w:p>
    <w:p w14:paraId="0E6324BF" w14:textId="43004B14" w:rsidR="004C26AD" w:rsidRDefault="008F0F25" w:rsidP="004C26AD">
      <w:pPr>
        <w:ind w:left="284" w:hanging="284"/>
      </w:pPr>
      <w:r w:rsidRPr="00BD2085">
        <w:t xml:space="preserve">Schneider </w:t>
      </w:r>
      <w:r>
        <w:t>1986: R.M</w:t>
      </w:r>
      <w:r w:rsidRPr="00BD2085">
        <w:t>.</w:t>
      </w:r>
      <w:r>
        <w:t xml:space="preserve"> Schneider, </w:t>
      </w:r>
      <w:proofErr w:type="spellStart"/>
      <w:r w:rsidR="004C26AD" w:rsidRPr="00BD2085">
        <w:rPr>
          <w:i/>
        </w:rPr>
        <w:t>Bunte</w:t>
      </w:r>
      <w:proofErr w:type="spellEnd"/>
      <w:r w:rsidR="004C26AD" w:rsidRPr="00BD2085">
        <w:rPr>
          <w:i/>
        </w:rPr>
        <w:t xml:space="preserve"> </w:t>
      </w:r>
      <w:proofErr w:type="spellStart"/>
      <w:r w:rsidR="004C26AD" w:rsidRPr="00BD2085">
        <w:rPr>
          <w:i/>
        </w:rPr>
        <w:t>Barbaren</w:t>
      </w:r>
      <w:proofErr w:type="spellEnd"/>
      <w:r w:rsidR="004C26AD" w:rsidRPr="00BD2085">
        <w:rPr>
          <w:i/>
        </w:rPr>
        <w:t xml:space="preserve">. </w:t>
      </w:r>
      <w:proofErr w:type="spellStart"/>
      <w:r w:rsidR="004C26AD" w:rsidRPr="00BD2085">
        <w:rPr>
          <w:i/>
        </w:rPr>
        <w:t>Orientalenstatuen</w:t>
      </w:r>
      <w:proofErr w:type="spellEnd"/>
      <w:r w:rsidR="004C26AD" w:rsidRPr="00BD2085">
        <w:rPr>
          <w:i/>
        </w:rPr>
        <w:t xml:space="preserve"> </w:t>
      </w:r>
      <w:proofErr w:type="spellStart"/>
      <w:r w:rsidR="004C26AD" w:rsidRPr="00BD2085">
        <w:rPr>
          <w:i/>
        </w:rPr>
        <w:t>aus</w:t>
      </w:r>
      <w:proofErr w:type="spellEnd"/>
      <w:r w:rsidR="004C26AD" w:rsidRPr="00BD2085">
        <w:rPr>
          <w:i/>
        </w:rPr>
        <w:t xml:space="preserve"> </w:t>
      </w:r>
      <w:proofErr w:type="spellStart"/>
      <w:r w:rsidR="004C26AD" w:rsidRPr="00BD2085">
        <w:rPr>
          <w:i/>
        </w:rPr>
        <w:t>farbigem</w:t>
      </w:r>
      <w:proofErr w:type="spellEnd"/>
      <w:r w:rsidR="004C26AD" w:rsidRPr="00BD2085">
        <w:rPr>
          <w:i/>
        </w:rPr>
        <w:t xml:space="preserve"> </w:t>
      </w:r>
      <w:proofErr w:type="spellStart"/>
      <w:r w:rsidR="004C26AD" w:rsidRPr="00BD2085">
        <w:rPr>
          <w:i/>
        </w:rPr>
        <w:t>Marmor</w:t>
      </w:r>
      <w:proofErr w:type="spellEnd"/>
      <w:r w:rsidR="004C26AD" w:rsidRPr="00BD2085">
        <w:rPr>
          <w:i/>
        </w:rPr>
        <w:t xml:space="preserve"> in der </w:t>
      </w:r>
      <w:proofErr w:type="spellStart"/>
      <w:r w:rsidR="004C26AD" w:rsidRPr="00BD2085">
        <w:rPr>
          <w:i/>
        </w:rPr>
        <w:t>römischen</w:t>
      </w:r>
      <w:proofErr w:type="spellEnd"/>
      <w:r w:rsidR="004C26AD" w:rsidRPr="00BD2085">
        <w:rPr>
          <w:i/>
        </w:rPr>
        <w:t xml:space="preserve"> </w:t>
      </w:r>
      <w:proofErr w:type="spellStart"/>
      <w:r w:rsidR="004C26AD" w:rsidRPr="00BD2085">
        <w:rPr>
          <w:i/>
        </w:rPr>
        <w:t>Repräsentationskunst</w:t>
      </w:r>
      <w:proofErr w:type="spellEnd"/>
      <w:r w:rsidR="004C26AD">
        <w:t>, Worms</w:t>
      </w:r>
      <w:r>
        <w:t>, 1986</w:t>
      </w:r>
      <w:r w:rsidR="004C26AD">
        <w:t>.</w:t>
      </w:r>
    </w:p>
    <w:p w14:paraId="0C8563DE" w14:textId="0739EC6D" w:rsidR="004C26AD" w:rsidRPr="0083656D" w:rsidRDefault="008F0F25" w:rsidP="004C26AD">
      <w:pPr>
        <w:ind w:left="284" w:hanging="284"/>
        <w:rPr>
          <w:lang w:val="it-IT"/>
        </w:rPr>
      </w:pPr>
      <w:r>
        <w:rPr>
          <w:lang w:val="it-IT"/>
        </w:rPr>
        <w:t xml:space="preserve">Schneider 2002: </w:t>
      </w:r>
      <w:r w:rsidRPr="0083656D">
        <w:rPr>
          <w:lang w:val="it-IT"/>
        </w:rPr>
        <w:t xml:space="preserve">R.M. </w:t>
      </w:r>
      <w:r w:rsidR="00A45C56">
        <w:rPr>
          <w:lang w:val="it-IT"/>
        </w:rPr>
        <w:t>Schneider,</w:t>
      </w:r>
      <w:r>
        <w:rPr>
          <w:lang w:val="it-IT"/>
        </w:rPr>
        <w:t xml:space="preserve"> «</w:t>
      </w:r>
      <w:r w:rsidR="004C26AD" w:rsidRPr="0083656D">
        <w:rPr>
          <w:lang w:val="it-IT"/>
        </w:rPr>
        <w:t>Nuove immagini del potere romano. Sculture in ma</w:t>
      </w:r>
      <w:r>
        <w:rPr>
          <w:lang w:val="it-IT"/>
        </w:rPr>
        <w:t xml:space="preserve">rmo colorato nell’impero romano», in M. De </w:t>
      </w:r>
      <w:proofErr w:type="spellStart"/>
      <w:r>
        <w:rPr>
          <w:lang w:val="it-IT"/>
        </w:rPr>
        <w:t>Nucio</w:t>
      </w:r>
      <w:proofErr w:type="spellEnd"/>
      <w:r>
        <w:rPr>
          <w:lang w:val="it-IT"/>
        </w:rPr>
        <w:t xml:space="preserve"> and L. Ungaro, </w:t>
      </w:r>
      <w:proofErr w:type="spellStart"/>
      <w:r>
        <w:rPr>
          <w:lang w:val="it-IT"/>
        </w:rPr>
        <w:t>eds</w:t>
      </w:r>
      <w:proofErr w:type="spellEnd"/>
      <w:r>
        <w:rPr>
          <w:lang w:val="it-IT"/>
        </w:rPr>
        <w:t>.</w:t>
      </w:r>
      <w:r w:rsidR="004C26AD" w:rsidRPr="0083656D">
        <w:rPr>
          <w:lang w:val="it-IT"/>
        </w:rPr>
        <w:t xml:space="preserve">, </w:t>
      </w:r>
      <w:r w:rsidR="004C26AD" w:rsidRPr="0083656D">
        <w:rPr>
          <w:i/>
          <w:iCs/>
          <w:lang w:val="it-IT"/>
        </w:rPr>
        <w:t>I marmi colorati della Roma imperiale</w:t>
      </w:r>
      <w:r w:rsidR="004C26AD" w:rsidRPr="0083656D">
        <w:rPr>
          <w:lang w:val="it-IT"/>
        </w:rPr>
        <w:t>, Venice</w:t>
      </w:r>
      <w:r>
        <w:rPr>
          <w:lang w:val="it-IT"/>
        </w:rPr>
        <w:t>, 2002,</w:t>
      </w:r>
      <w:r w:rsidR="004C26AD" w:rsidRPr="0083656D">
        <w:rPr>
          <w:lang w:val="it-IT"/>
        </w:rPr>
        <w:t xml:space="preserve"> </w:t>
      </w:r>
      <w:r>
        <w:rPr>
          <w:lang w:val="it-IT"/>
        </w:rPr>
        <w:t>p.</w:t>
      </w:r>
      <w:r w:rsidR="004C26AD" w:rsidRPr="0083656D">
        <w:rPr>
          <w:lang w:val="it-IT"/>
        </w:rPr>
        <w:t xml:space="preserve">8-105. </w:t>
      </w:r>
    </w:p>
    <w:p w14:paraId="74550321" w14:textId="41224C8F" w:rsidR="004C26AD" w:rsidRPr="0083656D" w:rsidRDefault="008F0F25" w:rsidP="004C26AD">
      <w:pPr>
        <w:ind w:left="284" w:hanging="284"/>
        <w:rPr>
          <w:lang w:val="it-IT"/>
        </w:rPr>
      </w:pPr>
      <w:r>
        <w:t>Schultze 2011: C. Schultze, «</w:t>
      </w:r>
      <w:r w:rsidR="004C26AD" w:rsidRPr="00665120">
        <w:t>Encyc</w:t>
      </w:r>
      <w:r w:rsidR="004C26AD">
        <w:t>l</w:t>
      </w:r>
      <w:r w:rsidR="004C26AD" w:rsidRPr="00665120">
        <w:t>opaedic</w:t>
      </w:r>
      <w:r>
        <w:t xml:space="preserve"> exemplarity in Pliny the Elder», in</w:t>
      </w:r>
      <w:r w:rsidR="004C26AD" w:rsidRPr="00665120">
        <w:t xml:space="preserve"> R.K. Gibso</w:t>
      </w:r>
      <w:r>
        <w:t>n and</w:t>
      </w:r>
      <w:r w:rsidR="004C26AD">
        <w:t xml:space="preserve"> R. Morello</w:t>
      </w:r>
      <w:r>
        <w:t>,</w:t>
      </w:r>
      <w:r w:rsidR="004C26AD" w:rsidRPr="00665120">
        <w:t xml:space="preserve"> eds., </w:t>
      </w:r>
      <w:r w:rsidR="004C26AD" w:rsidRPr="00665120">
        <w:rPr>
          <w:i/>
        </w:rPr>
        <w:t xml:space="preserve">Pliny the Elder. </w:t>
      </w:r>
      <w:proofErr w:type="spellStart"/>
      <w:r w:rsidR="004C26AD" w:rsidRPr="0083656D">
        <w:rPr>
          <w:i/>
          <w:lang w:val="it-IT"/>
        </w:rPr>
        <w:t>Themes</w:t>
      </w:r>
      <w:proofErr w:type="spellEnd"/>
      <w:r w:rsidR="004C26AD" w:rsidRPr="0083656D">
        <w:rPr>
          <w:i/>
          <w:lang w:val="it-IT"/>
        </w:rPr>
        <w:t xml:space="preserve"> and </w:t>
      </w:r>
      <w:proofErr w:type="spellStart"/>
      <w:r w:rsidR="004C26AD" w:rsidRPr="0083656D">
        <w:rPr>
          <w:i/>
          <w:lang w:val="it-IT"/>
        </w:rPr>
        <w:t>Contexts</w:t>
      </w:r>
      <w:proofErr w:type="spellEnd"/>
      <w:r>
        <w:rPr>
          <w:lang w:val="it-IT"/>
        </w:rPr>
        <w:t xml:space="preserve"> (</w:t>
      </w:r>
      <w:proofErr w:type="spellStart"/>
      <w:r>
        <w:rPr>
          <w:lang w:val="it-IT"/>
        </w:rPr>
        <w:t>Mnemosyne</w:t>
      </w:r>
      <w:proofErr w:type="spellEnd"/>
      <w:r>
        <w:rPr>
          <w:lang w:val="it-IT"/>
        </w:rPr>
        <w:t xml:space="preserve"> 329), Leiden / Boston, 2011,</w:t>
      </w:r>
      <w:r w:rsidR="004C26AD" w:rsidRPr="0083656D">
        <w:rPr>
          <w:lang w:val="it-IT"/>
        </w:rPr>
        <w:t xml:space="preserve"> </w:t>
      </w:r>
      <w:r>
        <w:rPr>
          <w:lang w:val="it-IT"/>
        </w:rPr>
        <w:t>p.</w:t>
      </w:r>
      <w:r w:rsidR="004C26AD" w:rsidRPr="0083656D">
        <w:rPr>
          <w:lang w:val="it-IT"/>
        </w:rPr>
        <w:t>167-186.</w:t>
      </w:r>
    </w:p>
    <w:p w14:paraId="7C65EDC3" w14:textId="02C9B25B" w:rsidR="004C26AD" w:rsidRPr="0083656D" w:rsidRDefault="008F0F25" w:rsidP="004C26AD">
      <w:pPr>
        <w:ind w:left="284" w:hanging="284"/>
        <w:rPr>
          <w:lang w:val="it-IT"/>
        </w:rPr>
      </w:pPr>
      <w:proofErr w:type="spellStart"/>
      <w:r>
        <w:rPr>
          <w:lang w:val="it-IT"/>
        </w:rPr>
        <w:t>Steinby</w:t>
      </w:r>
      <w:proofErr w:type="spellEnd"/>
      <w:r>
        <w:rPr>
          <w:lang w:val="it-IT"/>
        </w:rPr>
        <w:t xml:space="preserve"> 2012: </w:t>
      </w:r>
      <w:r w:rsidRPr="0083656D">
        <w:rPr>
          <w:lang w:val="it-IT"/>
        </w:rPr>
        <w:t xml:space="preserve">E. M. </w:t>
      </w:r>
      <w:proofErr w:type="spellStart"/>
      <w:r w:rsidR="004C26AD" w:rsidRPr="0083656D">
        <w:rPr>
          <w:lang w:val="it-IT"/>
        </w:rPr>
        <w:t>Steinby</w:t>
      </w:r>
      <w:proofErr w:type="spellEnd"/>
      <w:r w:rsidR="004C26AD" w:rsidRPr="0083656D">
        <w:rPr>
          <w:lang w:val="it-IT"/>
        </w:rPr>
        <w:t xml:space="preserve">, </w:t>
      </w:r>
      <w:r w:rsidR="004C26AD" w:rsidRPr="0083656D">
        <w:rPr>
          <w:i/>
          <w:lang w:val="it-IT"/>
        </w:rPr>
        <w:t>Edilizia pubblica e potere politico nella Roma repubblicana</w:t>
      </w:r>
      <w:r w:rsidR="004C26AD" w:rsidRPr="0083656D">
        <w:rPr>
          <w:lang w:val="it-IT"/>
        </w:rPr>
        <w:t>, Rome</w:t>
      </w:r>
      <w:r>
        <w:rPr>
          <w:lang w:val="it-IT"/>
        </w:rPr>
        <w:t>, 2012</w:t>
      </w:r>
      <w:r w:rsidR="004C26AD" w:rsidRPr="0083656D">
        <w:rPr>
          <w:lang w:val="it-IT"/>
        </w:rPr>
        <w:t>.</w:t>
      </w:r>
    </w:p>
    <w:p w14:paraId="6D5F5DE1" w14:textId="3B6C738E" w:rsidR="004C26AD" w:rsidRPr="0083656D" w:rsidRDefault="008F0F25" w:rsidP="004C26AD">
      <w:pPr>
        <w:ind w:left="284" w:hanging="284"/>
        <w:rPr>
          <w:lang w:val="it-IT"/>
        </w:rPr>
      </w:pPr>
      <w:r w:rsidRPr="0083656D">
        <w:rPr>
          <w:lang w:val="it-IT"/>
        </w:rPr>
        <w:t>Stein-</w:t>
      </w:r>
      <w:proofErr w:type="spellStart"/>
      <w:r w:rsidRPr="0083656D">
        <w:rPr>
          <w:lang w:val="it-IT"/>
        </w:rPr>
        <w:t>Hölkeskamp</w:t>
      </w:r>
      <w:proofErr w:type="spellEnd"/>
      <w:r w:rsidRPr="0083656D">
        <w:rPr>
          <w:lang w:val="it-IT"/>
        </w:rPr>
        <w:t xml:space="preserve"> </w:t>
      </w:r>
      <w:r>
        <w:rPr>
          <w:lang w:val="it-IT"/>
        </w:rPr>
        <w:t xml:space="preserve">2006: </w:t>
      </w:r>
      <w:r w:rsidRPr="0083656D">
        <w:rPr>
          <w:lang w:val="it-IT"/>
        </w:rPr>
        <w:t>E</w:t>
      </w:r>
      <w:r>
        <w:rPr>
          <w:lang w:val="it-IT"/>
        </w:rPr>
        <w:t>.</w:t>
      </w:r>
      <w:r w:rsidRPr="0083656D">
        <w:rPr>
          <w:lang w:val="it-IT"/>
        </w:rPr>
        <w:t xml:space="preserve"> </w:t>
      </w:r>
      <w:r>
        <w:rPr>
          <w:lang w:val="it-IT"/>
        </w:rPr>
        <w:t>Stein-</w:t>
      </w:r>
      <w:proofErr w:type="spellStart"/>
      <w:r>
        <w:rPr>
          <w:lang w:val="it-IT"/>
        </w:rPr>
        <w:t>Hölkeskamp</w:t>
      </w:r>
      <w:proofErr w:type="spellEnd"/>
      <w:r>
        <w:rPr>
          <w:lang w:val="it-IT"/>
        </w:rPr>
        <w:t>, «</w:t>
      </w:r>
      <w:proofErr w:type="spellStart"/>
      <w:r w:rsidR="004C26AD" w:rsidRPr="0083656D">
        <w:rPr>
          <w:lang w:val="it-IT"/>
        </w:rPr>
        <w:t>Das</w:t>
      </w:r>
      <w:proofErr w:type="spellEnd"/>
      <w:r w:rsidR="004C26AD" w:rsidRPr="0083656D">
        <w:rPr>
          <w:lang w:val="it-IT"/>
        </w:rPr>
        <w:t xml:space="preserve"> </w:t>
      </w:r>
      <w:proofErr w:type="spellStart"/>
      <w:r w:rsidR="004C26AD" w:rsidRPr="0083656D">
        <w:rPr>
          <w:lang w:val="it-IT"/>
        </w:rPr>
        <w:t>römische</w:t>
      </w:r>
      <w:proofErr w:type="spellEnd"/>
      <w:r w:rsidR="004C26AD" w:rsidRPr="0083656D">
        <w:rPr>
          <w:lang w:val="it-IT"/>
        </w:rPr>
        <w:t xml:space="preserve"> </w:t>
      </w:r>
      <w:proofErr w:type="spellStart"/>
      <w:r w:rsidR="004C26AD" w:rsidRPr="0083656D">
        <w:rPr>
          <w:lang w:val="it-IT"/>
        </w:rPr>
        <w:t>Haus</w:t>
      </w:r>
      <w:proofErr w:type="spellEnd"/>
      <w:r w:rsidR="004C26AD" w:rsidRPr="0083656D">
        <w:rPr>
          <w:lang w:val="it-IT"/>
        </w:rPr>
        <w:t xml:space="preserve"> – die </w:t>
      </w:r>
      <w:r w:rsidR="004C26AD" w:rsidRPr="0083656D">
        <w:rPr>
          <w:i/>
          <w:lang w:val="it-IT"/>
        </w:rPr>
        <w:t>memoria</w:t>
      </w:r>
      <w:r>
        <w:rPr>
          <w:lang w:val="it-IT"/>
        </w:rPr>
        <w:t xml:space="preserve"> </w:t>
      </w:r>
      <w:proofErr w:type="spellStart"/>
      <w:r>
        <w:rPr>
          <w:lang w:val="it-IT"/>
        </w:rPr>
        <w:t>der</w:t>
      </w:r>
      <w:proofErr w:type="spellEnd"/>
      <w:r>
        <w:rPr>
          <w:lang w:val="it-IT"/>
        </w:rPr>
        <w:t xml:space="preserve"> </w:t>
      </w:r>
      <w:proofErr w:type="spellStart"/>
      <w:r>
        <w:rPr>
          <w:lang w:val="it-IT"/>
        </w:rPr>
        <w:t>Mauern</w:t>
      </w:r>
      <w:proofErr w:type="spellEnd"/>
      <w:r>
        <w:rPr>
          <w:lang w:val="it-IT"/>
        </w:rPr>
        <w:t>», in</w:t>
      </w:r>
      <w:r w:rsidR="004C26AD" w:rsidRPr="0083656D">
        <w:rPr>
          <w:lang w:val="it-IT"/>
        </w:rPr>
        <w:t xml:space="preserve"> E. Stein-</w:t>
      </w:r>
      <w:proofErr w:type="spellStart"/>
      <w:r w:rsidR="004C26AD" w:rsidRPr="0083656D">
        <w:rPr>
          <w:lang w:val="it-IT"/>
        </w:rPr>
        <w:t>Hölkeskamp</w:t>
      </w:r>
      <w:proofErr w:type="spellEnd"/>
      <w:r w:rsidR="004C26AD" w:rsidRPr="0083656D">
        <w:rPr>
          <w:lang w:val="it-IT"/>
        </w:rPr>
        <w:t xml:space="preserve"> &amp; K.-J. </w:t>
      </w:r>
      <w:proofErr w:type="spellStart"/>
      <w:r w:rsidR="004C26AD" w:rsidRPr="0083656D">
        <w:rPr>
          <w:lang w:val="it-IT"/>
        </w:rPr>
        <w:t>Hölkeskamp</w:t>
      </w:r>
      <w:proofErr w:type="spellEnd"/>
      <w:r>
        <w:rPr>
          <w:lang w:val="it-IT"/>
        </w:rPr>
        <w:t>,</w:t>
      </w:r>
      <w:r w:rsidR="004C26AD" w:rsidRPr="0083656D">
        <w:rPr>
          <w:lang w:val="it-IT"/>
        </w:rPr>
        <w:t xml:space="preserve"> </w:t>
      </w:r>
      <w:proofErr w:type="spellStart"/>
      <w:r w:rsidR="004C26AD" w:rsidRPr="0083656D">
        <w:rPr>
          <w:lang w:val="it-IT"/>
        </w:rPr>
        <w:lastRenderedPageBreak/>
        <w:t>eds</w:t>
      </w:r>
      <w:proofErr w:type="spellEnd"/>
      <w:r w:rsidR="004C26AD" w:rsidRPr="0083656D">
        <w:rPr>
          <w:lang w:val="it-IT"/>
        </w:rPr>
        <w:t xml:space="preserve">., </w:t>
      </w:r>
      <w:proofErr w:type="spellStart"/>
      <w:r w:rsidR="004C26AD" w:rsidRPr="0083656D">
        <w:rPr>
          <w:i/>
          <w:lang w:val="it-IT"/>
        </w:rPr>
        <w:t>Erinnerungsorte</w:t>
      </w:r>
      <w:proofErr w:type="spellEnd"/>
      <w:r w:rsidR="004C26AD" w:rsidRPr="0083656D">
        <w:rPr>
          <w:i/>
          <w:lang w:val="it-IT"/>
        </w:rPr>
        <w:t xml:space="preserve"> </w:t>
      </w:r>
      <w:proofErr w:type="spellStart"/>
      <w:r w:rsidR="004C26AD" w:rsidRPr="0083656D">
        <w:rPr>
          <w:i/>
          <w:lang w:val="it-IT"/>
        </w:rPr>
        <w:t>der</w:t>
      </w:r>
      <w:proofErr w:type="spellEnd"/>
      <w:r w:rsidR="004C26AD" w:rsidRPr="0083656D">
        <w:rPr>
          <w:i/>
          <w:lang w:val="it-IT"/>
        </w:rPr>
        <w:t xml:space="preserve"> </w:t>
      </w:r>
      <w:proofErr w:type="spellStart"/>
      <w:r w:rsidR="004C26AD" w:rsidRPr="0083656D">
        <w:rPr>
          <w:i/>
          <w:lang w:val="it-IT"/>
        </w:rPr>
        <w:t>Antike</w:t>
      </w:r>
      <w:proofErr w:type="spellEnd"/>
      <w:r w:rsidR="004C26AD" w:rsidRPr="0083656D">
        <w:rPr>
          <w:i/>
          <w:lang w:val="it-IT"/>
        </w:rPr>
        <w:t xml:space="preserve">. Die </w:t>
      </w:r>
      <w:proofErr w:type="spellStart"/>
      <w:r w:rsidR="004C26AD" w:rsidRPr="0083656D">
        <w:rPr>
          <w:i/>
          <w:lang w:val="it-IT"/>
        </w:rPr>
        <w:t>römische</w:t>
      </w:r>
      <w:proofErr w:type="spellEnd"/>
      <w:r w:rsidR="004C26AD" w:rsidRPr="0083656D">
        <w:rPr>
          <w:i/>
          <w:lang w:val="it-IT"/>
        </w:rPr>
        <w:t xml:space="preserve"> </w:t>
      </w:r>
      <w:proofErr w:type="spellStart"/>
      <w:r w:rsidR="004C26AD" w:rsidRPr="0083656D">
        <w:rPr>
          <w:i/>
          <w:lang w:val="it-IT"/>
        </w:rPr>
        <w:t>Welt</w:t>
      </w:r>
      <w:proofErr w:type="spellEnd"/>
      <w:r w:rsidR="004C26AD" w:rsidRPr="0083656D">
        <w:rPr>
          <w:i/>
          <w:lang w:val="it-IT"/>
        </w:rPr>
        <w:t xml:space="preserve">, </w:t>
      </w:r>
      <w:r w:rsidR="004C26AD" w:rsidRPr="0083656D">
        <w:rPr>
          <w:lang w:val="it-IT"/>
        </w:rPr>
        <w:t>München</w:t>
      </w:r>
      <w:r>
        <w:rPr>
          <w:lang w:val="it-IT"/>
        </w:rPr>
        <w:t>, 2006, p.</w:t>
      </w:r>
      <w:r w:rsidR="004C26AD" w:rsidRPr="0083656D">
        <w:rPr>
          <w:lang w:val="it-IT"/>
        </w:rPr>
        <w:t xml:space="preserve"> 300-320.</w:t>
      </w:r>
    </w:p>
    <w:p w14:paraId="7EA16D4E" w14:textId="4761C188" w:rsidR="004C26AD" w:rsidRPr="0083656D" w:rsidRDefault="008F0F25" w:rsidP="004C26AD">
      <w:pPr>
        <w:ind w:left="284" w:hanging="284"/>
        <w:rPr>
          <w:lang w:val="it-IT"/>
        </w:rPr>
      </w:pPr>
      <w:proofErr w:type="spellStart"/>
      <w:r>
        <w:rPr>
          <w:lang w:val="it-IT"/>
        </w:rPr>
        <w:t>Steksal</w:t>
      </w:r>
      <w:proofErr w:type="spellEnd"/>
      <w:r>
        <w:rPr>
          <w:lang w:val="it-IT"/>
        </w:rPr>
        <w:t xml:space="preserve"> &amp; Torre 2008: M.</w:t>
      </w:r>
      <w:r w:rsidRPr="0083656D">
        <w:rPr>
          <w:lang w:val="it-IT"/>
        </w:rPr>
        <w:t xml:space="preserve"> </w:t>
      </w:r>
      <w:proofErr w:type="spellStart"/>
      <w:r>
        <w:rPr>
          <w:lang w:val="it-IT"/>
        </w:rPr>
        <w:t>Steksal</w:t>
      </w:r>
      <w:proofErr w:type="spellEnd"/>
      <w:r>
        <w:rPr>
          <w:lang w:val="it-IT"/>
        </w:rPr>
        <w:t xml:space="preserve"> and M. La Torre</w:t>
      </w:r>
      <w:r w:rsidR="004C26AD" w:rsidRPr="0083656D">
        <w:rPr>
          <w:lang w:val="it-IT"/>
        </w:rPr>
        <w:t xml:space="preserve">, </w:t>
      </w:r>
      <w:proofErr w:type="spellStart"/>
      <w:r w:rsidR="004C26AD" w:rsidRPr="0083656D">
        <w:rPr>
          <w:i/>
          <w:lang w:val="it-IT"/>
        </w:rPr>
        <w:t>Das</w:t>
      </w:r>
      <w:proofErr w:type="spellEnd"/>
      <w:r w:rsidR="004C26AD" w:rsidRPr="0083656D">
        <w:rPr>
          <w:i/>
          <w:lang w:val="it-IT"/>
        </w:rPr>
        <w:t xml:space="preserve"> </w:t>
      </w:r>
      <w:proofErr w:type="spellStart"/>
      <w:r w:rsidR="004C26AD" w:rsidRPr="0083656D">
        <w:rPr>
          <w:i/>
          <w:lang w:val="it-IT"/>
        </w:rPr>
        <w:t>Vediusgymnasium</w:t>
      </w:r>
      <w:proofErr w:type="spellEnd"/>
      <w:r w:rsidR="004C26AD" w:rsidRPr="0083656D">
        <w:rPr>
          <w:i/>
          <w:lang w:val="it-IT"/>
        </w:rPr>
        <w:t xml:space="preserve"> in </w:t>
      </w:r>
      <w:proofErr w:type="spellStart"/>
      <w:r w:rsidR="004C26AD" w:rsidRPr="0083656D">
        <w:rPr>
          <w:i/>
          <w:lang w:val="it-IT"/>
        </w:rPr>
        <w:t>Ephesos</w:t>
      </w:r>
      <w:proofErr w:type="spellEnd"/>
      <w:r w:rsidR="004C26AD" w:rsidRPr="0083656D">
        <w:rPr>
          <w:i/>
          <w:lang w:val="it-IT"/>
        </w:rPr>
        <w:t xml:space="preserve">. </w:t>
      </w:r>
      <w:proofErr w:type="spellStart"/>
      <w:r w:rsidR="004C26AD" w:rsidRPr="0083656D">
        <w:rPr>
          <w:i/>
          <w:lang w:val="it-IT"/>
        </w:rPr>
        <w:t>Archäologie</w:t>
      </w:r>
      <w:proofErr w:type="spellEnd"/>
      <w:r w:rsidR="004C26AD" w:rsidRPr="0083656D">
        <w:rPr>
          <w:i/>
          <w:lang w:val="it-IT"/>
        </w:rPr>
        <w:t xml:space="preserve"> und </w:t>
      </w:r>
      <w:proofErr w:type="spellStart"/>
      <w:r w:rsidR="004C26AD" w:rsidRPr="0083656D">
        <w:rPr>
          <w:i/>
          <w:lang w:val="it-IT"/>
        </w:rPr>
        <w:t>Baubefund</w:t>
      </w:r>
      <w:proofErr w:type="spellEnd"/>
      <w:r w:rsidR="004C26AD" w:rsidRPr="0083656D">
        <w:rPr>
          <w:i/>
          <w:lang w:val="it-IT"/>
        </w:rPr>
        <w:t xml:space="preserve"> </w:t>
      </w:r>
      <w:r w:rsidR="004C26AD" w:rsidRPr="0083656D">
        <w:rPr>
          <w:lang w:val="it-IT"/>
        </w:rPr>
        <w:t>(</w:t>
      </w:r>
      <w:proofErr w:type="spellStart"/>
      <w:r w:rsidR="004C26AD" w:rsidRPr="0083656D">
        <w:rPr>
          <w:lang w:val="it-IT"/>
        </w:rPr>
        <w:t>Forschungen</w:t>
      </w:r>
      <w:proofErr w:type="spellEnd"/>
      <w:r w:rsidR="004C26AD" w:rsidRPr="0083656D">
        <w:rPr>
          <w:lang w:val="it-IT"/>
        </w:rPr>
        <w:t xml:space="preserve"> in </w:t>
      </w:r>
      <w:proofErr w:type="spellStart"/>
      <w:r w:rsidR="004C26AD" w:rsidRPr="0083656D">
        <w:rPr>
          <w:lang w:val="it-IT"/>
        </w:rPr>
        <w:t>Ephesos</w:t>
      </w:r>
      <w:proofErr w:type="spellEnd"/>
      <w:r w:rsidR="004C26AD" w:rsidRPr="0083656D">
        <w:rPr>
          <w:lang w:val="it-IT"/>
        </w:rPr>
        <w:t xml:space="preserve"> XIV/1), Graz</w:t>
      </w:r>
      <w:r>
        <w:rPr>
          <w:lang w:val="it-IT"/>
        </w:rPr>
        <w:t>, 2008</w:t>
      </w:r>
      <w:r w:rsidR="004C26AD" w:rsidRPr="0083656D">
        <w:rPr>
          <w:lang w:val="it-IT"/>
        </w:rPr>
        <w:t>.</w:t>
      </w:r>
    </w:p>
    <w:p w14:paraId="0C4A4A89" w14:textId="5A9BDDE0" w:rsidR="008F0F25" w:rsidRDefault="008F0F25" w:rsidP="004C26AD">
      <w:pPr>
        <w:ind w:left="284" w:hanging="284"/>
      </w:pPr>
      <w:r>
        <w:t>Strobel 1987: K. Strobel «</w:t>
      </w:r>
      <w:proofErr w:type="spellStart"/>
      <w:r w:rsidRPr="008F0F25">
        <w:t>Einige</w:t>
      </w:r>
      <w:proofErr w:type="spellEnd"/>
      <w:r w:rsidRPr="008F0F25">
        <w:t xml:space="preserve"> </w:t>
      </w:r>
      <w:proofErr w:type="spellStart"/>
      <w:r w:rsidRPr="008F0F25">
        <w:t>Bem</w:t>
      </w:r>
      <w:r>
        <w:t>erkungen</w:t>
      </w:r>
      <w:proofErr w:type="spellEnd"/>
      <w:r>
        <w:t xml:space="preserve"> </w:t>
      </w:r>
      <w:proofErr w:type="spellStart"/>
      <w:r>
        <w:t>zu</w:t>
      </w:r>
      <w:proofErr w:type="spellEnd"/>
      <w:r>
        <w:t xml:space="preserve"> den </w:t>
      </w:r>
      <w:proofErr w:type="spellStart"/>
      <w:r>
        <w:t>historisch-archä</w:t>
      </w:r>
      <w:r w:rsidRPr="008F0F25">
        <w:t>ologischen</w:t>
      </w:r>
      <w:proofErr w:type="spellEnd"/>
      <w:r w:rsidRPr="008F0F25">
        <w:t xml:space="preserve"> </w:t>
      </w:r>
      <w:proofErr w:type="spellStart"/>
      <w:r w:rsidRPr="008F0F25">
        <w:t>Grundlagen</w:t>
      </w:r>
      <w:proofErr w:type="spellEnd"/>
      <w:r w:rsidRPr="008F0F25">
        <w:t xml:space="preserve"> </w:t>
      </w:r>
      <w:proofErr w:type="spellStart"/>
      <w:r w:rsidRPr="008F0F25">
        <w:t>einer</w:t>
      </w:r>
      <w:proofErr w:type="spellEnd"/>
      <w:r w:rsidRPr="008F0F25">
        <w:t xml:space="preserve"> </w:t>
      </w:r>
      <w:proofErr w:type="spellStart"/>
      <w:r w:rsidRPr="008F0F25">
        <w:t>Neuformulierun</w:t>
      </w:r>
      <w:r>
        <w:t>g</w:t>
      </w:r>
      <w:proofErr w:type="spellEnd"/>
      <w:r>
        <w:t xml:space="preserve"> der </w:t>
      </w:r>
      <w:proofErr w:type="spellStart"/>
      <w:r>
        <w:t>Sigillatenchronologie</w:t>
      </w:r>
      <w:proofErr w:type="spellEnd"/>
      <w:r>
        <w:t xml:space="preserve"> </w:t>
      </w:r>
      <w:proofErr w:type="spellStart"/>
      <w:r>
        <w:t>für</w:t>
      </w:r>
      <w:proofErr w:type="spellEnd"/>
      <w:r>
        <w:t xml:space="preserve"> </w:t>
      </w:r>
      <w:proofErr w:type="spellStart"/>
      <w:r>
        <w:t>Germanien</w:t>
      </w:r>
      <w:proofErr w:type="spellEnd"/>
      <w:r>
        <w:t xml:space="preserve"> und </w:t>
      </w:r>
      <w:proofErr w:type="spellStart"/>
      <w:r>
        <w:t>Rä</w:t>
      </w:r>
      <w:r w:rsidRPr="008F0F25">
        <w:t>tien</w:t>
      </w:r>
      <w:proofErr w:type="spellEnd"/>
      <w:r w:rsidRPr="008F0F25">
        <w:t xml:space="preserve"> und </w:t>
      </w:r>
      <w:proofErr w:type="spellStart"/>
      <w:r w:rsidRPr="008F0F25">
        <w:t>zu</w:t>
      </w:r>
      <w:proofErr w:type="spellEnd"/>
      <w:r w:rsidRPr="008F0F25">
        <w:t xml:space="preserve"> </w:t>
      </w:r>
      <w:proofErr w:type="spellStart"/>
      <w:r w:rsidRPr="008F0F25">
        <w:t>wirtschaftsg</w:t>
      </w:r>
      <w:r>
        <w:t>eschichtlichen</w:t>
      </w:r>
      <w:proofErr w:type="spellEnd"/>
      <w:r>
        <w:t xml:space="preserve"> </w:t>
      </w:r>
      <w:proofErr w:type="spellStart"/>
      <w:r>
        <w:t>Aspekten</w:t>
      </w:r>
      <w:proofErr w:type="spellEnd"/>
      <w:r>
        <w:t xml:space="preserve"> der </w:t>
      </w:r>
      <w:proofErr w:type="spellStart"/>
      <w:r>
        <w:t>römischen</w:t>
      </w:r>
      <w:proofErr w:type="spellEnd"/>
      <w:r>
        <w:t xml:space="preserve"> </w:t>
      </w:r>
      <w:proofErr w:type="spellStart"/>
      <w:r>
        <w:t>Keramikindustrie</w:t>
      </w:r>
      <w:proofErr w:type="spellEnd"/>
      <w:r>
        <w:t xml:space="preserve">», </w:t>
      </w:r>
      <w:proofErr w:type="spellStart"/>
      <w:r w:rsidRPr="008F0F25">
        <w:rPr>
          <w:i/>
        </w:rPr>
        <w:t>Münstersche</w:t>
      </w:r>
      <w:proofErr w:type="spellEnd"/>
      <w:r w:rsidRPr="008F0F25">
        <w:rPr>
          <w:i/>
        </w:rPr>
        <w:t xml:space="preserve"> </w:t>
      </w:r>
      <w:proofErr w:type="spellStart"/>
      <w:r w:rsidRPr="008F0F25">
        <w:rPr>
          <w:i/>
        </w:rPr>
        <w:t>Beiträge</w:t>
      </w:r>
      <w:proofErr w:type="spellEnd"/>
      <w:r w:rsidRPr="008F0F25">
        <w:rPr>
          <w:i/>
        </w:rPr>
        <w:t xml:space="preserve"> </w:t>
      </w:r>
      <w:proofErr w:type="spellStart"/>
      <w:r w:rsidRPr="008F0F25">
        <w:rPr>
          <w:i/>
        </w:rPr>
        <w:t>zur</w:t>
      </w:r>
      <w:proofErr w:type="spellEnd"/>
      <w:r w:rsidRPr="008F0F25">
        <w:rPr>
          <w:i/>
        </w:rPr>
        <w:t xml:space="preserve"> </w:t>
      </w:r>
      <w:proofErr w:type="spellStart"/>
      <w:r w:rsidRPr="008F0F25">
        <w:rPr>
          <w:i/>
        </w:rPr>
        <w:t>Antiken</w:t>
      </w:r>
      <w:proofErr w:type="spellEnd"/>
      <w:r w:rsidRPr="008F0F25">
        <w:rPr>
          <w:i/>
        </w:rPr>
        <w:t xml:space="preserve"> </w:t>
      </w:r>
      <w:proofErr w:type="spellStart"/>
      <w:r w:rsidRPr="008F0F25">
        <w:rPr>
          <w:i/>
        </w:rPr>
        <w:t>Handelsgeschichte</w:t>
      </w:r>
      <w:proofErr w:type="spellEnd"/>
      <w:r>
        <w:t xml:space="preserve"> 6/2, 1987, p.</w:t>
      </w:r>
      <w:r w:rsidRPr="008F0F25">
        <w:t xml:space="preserve"> 75–115.</w:t>
      </w:r>
    </w:p>
    <w:p w14:paraId="1CE33CF2" w14:textId="11195500" w:rsidR="004C26AD" w:rsidRDefault="00A45C56" w:rsidP="004C26AD">
      <w:pPr>
        <w:ind w:left="284" w:hanging="284"/>
      </w:pPr>
      <w:proofErr w:type="spellStart"/>
      <w:r>
        <w:t>Tarpin</w:t>
      </w:r>
      <w:proofErr w:type="spellEnd"/>
      <w:r>
        <w:t xml:space="preserve"> 2013: M. </w:t>
      </w:r>
      <w:proofErr w:type="spellStart"/>
      <w:r w:rsidR="004C26AD" w:rsidRPr="0083656D">
        <w:rPr>
          <w:lang w:val="fr-FR"/>
        </w:rPr>
        <w:t>Tarpin</w:t>
      </w:r>
      <w:proofErr w:type="spellEnd"/>
      <w:r w:rsidR="004C26AD" w:rsidRPr="0083656D">
        <w:rPr>
          <w:lang w:val="fr-FR"/>
        </w:rPr>
        <w:t xml:space="preserve">, </w:t>
      </w:r>
      <w:r w:rsidR="00A8234F">
        <w:rPr>
          <w:lang w:val="fr-FR"/>
        </w:rPr>
        <w:t>«</w:t>
      </w:r>
      <w:r w:rsidR="004C26AD" w:rsidRPr="0083656D">
        <w:rPr>
          <w:lang w:val="fr-FR"/>
        </w:rPr>
        <w:t>Devenir riche par le butin. Données qua</w:t>
      </w:r>
      <w:r w:rsidR="00A8234F">
        <w:rPr>
          <w:lang w:val="fr-FR"/>
        </w:rPr>
        <w:t xml:space="preserve">ntitatives dans l'empire </w:t>
      </w:r>
      <w:proofErr w:type="gramStart"/>
      <w:r w:rsidR="00A8234F">
        <w:rPr>
          <w:lang w:val="fr-FR"/>
        </w:rPr>
        <w:t>romain</w:t>
      </w:r>
      <w:r>
        <w:rPr>
          <w:lang w:val="fr-FR"/>
        </w:rPr>
        <w:t>»</w:t>
      </w:r>
      <w:proofErr w:type="gramEnd"/>
      <w:r w:rsidR="004C26AD" w:rsidRPr="0083656D">
        <w:rPr>
          <w:lang w:val="fr-FR"/>
        </w:rPr>
        <w:t xml:space="preserve">, </w:t>
      </w:r>
      <w:r>
        <w:rPr>
          <w:lang w:val="fr-FR"/>
        </w:rPr>
        <w:t>in C. Baroin and</w:t>
      </w:r>
      <w:r w:rsidR="004C26AD" w:rsidRPr="0083656D">
        <w:rPr>
          <w:lang w:val="fr-FR"/>
        </w:rPr>
        <w:t xml:space="preserve"> C</w:t>
      </w:r>
      <w:r>
        <w:rPr>
          <w:lang w:val="fr-FR"/>
        </w:rPr>
        <w:t>.</w:t>
      </w:r>
      <w:r w:rsidR="004C26AD" w:rsidRPr="0083656D">
        <w:rPr>
          <w:lang w:val="fr-FR"/>
        </w:rPr>
        <w:t xml:space="preserve"> Michel</w:t>
      </w:r>
      <w:r>
        <w:rPr>
          <w:lang w:val="fr-FR"/>
        </w:rPr>
        <w:t>,</w:t>
      </w:r>
      <w:r w:rsidR="004C26AD" w:rsidRPr="0083656D">
        <w:rPr>
          <w:lang w:val="fr-FR"/>
        </w:rPr>
        <w:t xml:space="preserve"> </w:t>
      </w:r>
      <w:proofErr w:type="spellStart"/>
      <w:r w:rsidR="004C26AD" w:rsidRPr="0083656D">
        <w:rPr>
          <w:lang w:val="fr-FR"/>
        </w:rPr>
        <w:t>eds</w:t>
      </w:r>
      <w:proofErr w:type="spellEnd"/>
      <w:r w:rsidR="004C26AD" w:rsidRPr="0083656D">
        <w:rPr>
          <w:lang w:val="fr-FR"/>
        </w:rPr>
        <w:t>.</w:t>
      </w:r>
      <w:r>
        <w:rPr>
          <w:lang w:val="fr-FR"/>
        </w:rPr>
        <w:t>,</w:t>
      </w:r>
      <w:r w:rsidR="004C26AD" w:rsidRPr="0083656D">
        <w:rPr>
          <w:lang w:val="fr-FR"/>
        </w:rPr>
        <w:t xml:space="preserve"> </w:t>
      </w:r>
      <w:r w:rsidR="004C26AD" w:rsidRPr="006E6477">
        <w:rPr>
          <w:i/>
        </w:rPr>
        <w:t xml:space="preserve">Richesses et </w:t>
      </w:r>
      <w:proofErr w:type="spellStart"/>
      <w:r w:rsidR="004C26AD" w:rsidRPr="006E6477">
        <w:rPr>
          <w:i/>
        </w:rPr>
        <w:t>Sociétés</w:t>
      </w:r>
      <w:proofErr w:type="spellEnd"/>
      <w:r w:rsidR="004C26AD" w:rsidRPr="006E6477">
        <w:t xml:space="preserve">, </w:t>
      </w:r>
      <w:r>
        <w:t>Paris, 2013,</w:t>
      </w:r>
      <w:r w:rsidR="004C26AD">
        <w:t xml:space="preserve"> </w:t>
      </w:r>
      <w:r>
        <w:t>p.</w:t>
      </w:r>
      <w:r w:rsidR="004C26AD" w:rsidRPr="006E6477">
        <w:t>69-80</w:t>
      </w:r>
      <w:r w:rsidR="004C26AD">
        <w:t>.</w:t>
      </w:r>
    </w:p>
    <w:p w14:paraId="54A5D9DE" w14:textId="16542E33" w:rsidR="004C26AD" w:rsidRDefault="00A45C56" w:rsidP="004C26AD">
      <w:pPr>
        <w:ind w:left="284" w:hanging="284"/>
      </w:pPr>
      <w:r>
        <w:t xml:space="preserve">Thomas 2007: </w:t>
      </w:r>
      <w:r w:rsidRPr="002D172C">
        <w:t xml:space="preserve">E. </w:t>
      </w:r>
      <w:r>
        <w:t>Thomas,</w:t>
      </w:r>
      <w:r w:rsidR="004C26AD" w:rsidRPr="002D172C">
        <w:t xml:space="preserve"> </w:t>
      </w:r>
      <w:r w:rsidR="004C26AD" w:rsidRPr="002D172C">
        <w:rPr>
          <w:i/>
        </w:rPr>
        <w:t>Monumentality and the Roman Empire. Architecture in the Antonine Age</w:t>
      </w:r>
      <w:r w:rsidR="004C26AD" w:rsidRPr="002D172C">
        <w:t>, Oxford</w:t>
      </w:r>
      <w:r>
        <w:t xml:space="preserve">, </w:t>
      </w:r>
      <w:r w:rsidRPr="002D172C">
        <w:t>2007</w:t>
      </w:r>
      <w:r w:rsidR="004C26AD">
        <w:t>.</w:t>
      </w:r>
    </w:p>
    <w:p w14:paraId="79A3FE33" w14:textId="721B5638" w:rsidR="004C26AD" w:rsidRPr="0083656D" w:rsidRDefault="00A45C56" w:rsidP="004C26AD">
      <w:pPr>
        <w:ind w:left="284" w:hanging="284"/>
        <w:rPr>
          <w:lang w:val="it-IT"/>
        </w:rPr>
      </w:pPr>
      <w:proofErr w:type="spellStart"/>
      <w:r>
        <w:t>Thür</w:t>
      </w:r>
      <w:proofErr w:type="spellEnd"/>
      <w:r>
        <w:t xml:space="preserve"> &amp; </w:t>
      </w:r>
      <w:proofErr w:type="spellStart"/>
      <w:r>
        <w:t>Rathmayr</w:t>
      </w:r>
      <w:proofErr w:type="spellEnd"/>
      <w:r>
        <w:t xml:space="preserve"> 2014: </w:t>
      </w:r>
      <w:r w:rsidRPr="00986EAF">
        <w:t xml:space="preserve">H. </w:t>
      </w:r>
      <w:proofErr w:type="spellStart"/>
      <w:r>
        <w:t>Thür</w:t>
      </w:r>
      <w:proofErr w:type="spellEnd"/>
      <w:r w:rsidR="004C26AD" w:rsidRPr="00986EAF">
        <w:t xml:space="preserve"> </w:t>
      </w:r>
      <w:r>
        <w:t>and</w:t>
      </w:r>
      <w:r w:rsidR="004C26AD" w:rsidRPr="00986EAF">
        <w:t xml:space="preserve"> E. </w:t>
      </w:r>
      <w:proofErr w:type="spellStart"/>
      <w:r w:rsidR="004C26AD" w:rsidRPr="00986EAF">
        <w:t>Rathmayr</w:t>
      </w:r>
      <w:proofErr w:type="spellEnd"/>
      <w:r>
        <w:t>,</w:t>
      </w:r>
      <w:r w:rsidR="004C26AD" w:rsidRPr="00986EAF">
        <w:t xml:space="preserve"> eds.</w:t>
      </w:r>
      <w:r>
        <w:t>,</w:t>
      </w:r>
      <w:r w:rsidR="004C26AD" w:rsidRPr="00986EAF">
        <w:t xml:space="preserve"> </w:t>
      </w:r>
      <w:proofErr w:type="spellStart"/>
      <w:r w:rsidR="004C26AD" w:rsidRPr="00986EAF">
        <w:rPr>
          <w:i/>
        </w:rPr>
        <w:t>Hanghaus</w:t>
      </w:r>
      <w:proofErr w:type="spellEnd"/>
      <w:r w:rsidR="004C26AD" w:rsidRPr="00986EAF">
        <w:rPr>
          <w:i/>
        </w:rPr>
        <w:t xml:space="preserve"> 2 in </w:t>
      </w:r>
      <w:proofErr w:type="spellStart"/>
      <w:r w:rsidR="004C26AD" w:rsidRPr="00986EAF">
        <w:rPr>
          <w:i/>
        </w:rPr>
        <w:t>Ephesos</w:t>
      </w:r>
      <w:proofErr w:type="spellEnd"/>
      <w:r w:rsidR="004C26AD" w:rsidRPr="00986EAF">
        <w:rPr>
          <w:i/>
        </w:rPr>
        <w:t xml:space="preserve">. Die </w:t>
      </w:r>
      <w:proofErr w:type="spellStart"/>
      <w:r w:rsidR="004C26AD" w:rsidRPr="00986EAF">
        <w:rPr>
          <w:i/>
        </w:rPr>
        <w:t>Wohneinheit</w:t>
      </w:r>
      <w:proofErr w:type="spellEnd"/>
      <w:r w:rsidR="004C26AD" w:rsidRPr="00986EAF">
        <w:rPr>
          <w:i/>
        </w:rPr>
        <w:t xml:space="preserve"> 6. </w:t>
      </w:r>
      <w:proofErr w:type="spellStart"/>
      <w:r w:rsidR="004C26AD" w:rsidRPr="0083656D">
        <w:rPr>
          <w:i/>
          <w:lang w:val="it-IT"/>
        </w:rPr>
        <w:t>Baubefund</w:t>
      </w:r>
      <w:proofErr w:type="spellEnd"/>
      <w:r w:rsidR="004C26AD" w:rsidRPr="0083656D">
        <w:rPr>
          <w:i/>
          <w:lang w:val="it-IT"/>
        </w:rPr>
        <w:t xml:space="preserve">, </w:t>
      </w:r>
      <w:proofErr w:type="spellStart"/>
      <w:r w:rsidR="004C26AD" w:rsidRPr="0083656D">
        <w:rPr>
          <w:i/>
          <w:lang w:val="it-IT"/>
        </w:rPr>
        <w:t>Ausstattung</w:t>
      </w:r>
      <w:proofErr w:type="spellEnd"/>
      <w:r w:rsidR="004C26AD" w:rsidRPr="0083656D">
        <w:rPr>
          <w:i/>
          <w:lang w:val="it-IT"/>
        </w:rPr>
        <w:t xml:space="preserve">, </w:t>
      </w:r>
      <w:proofErr w:type="spellStart"/>
      <w:r w:rsidR="004C26AD" w:rsidRPr="0083656D">
        <w:rPr>
          <w:i/>
          <w:lang w:val="it-IT"/>
        </w:rPr>
        <w:t>Funde</w:t>
      </w:r>
      <w:proofErr w:type="spellEnd"/>
      <w:r w:rsidR="004C26AD" w:rsidRPr="0083656D">
        <w:rPr>
          <w:lang w:val="it-IT"/>
        </w:rPr>
        <w:t xml:space="preserve"> (</w:t>
      </w:r>
      <w:proofErr w:type="spellStart"/>
      <w:r w:rsidR="004C26AD" w:rsidRPr="0083656D">
        <w:rPr>
          <w:lang w:val="it-IT"/>
        </w:rPr>
        <w:t>FiE</w:t>
      </w:r>
      <w:proofErr w:type="spellEnd"/>
      <w:r w:rsidR="004C26AD" w:rsidRPr="0083656D">
        <w:rPr>
          <w:lang w:val="it-IT"/>
        </w:rPr>
        <w:t xml:space="preserve"> VIII.9), Wien</w:t>
      </w:r>
      <w:r>
        <w:rPr>
          <w:lang w:val="it-IT"/>
        </w:rPr>
        <w:t>, 2014</w:t>
      </w:r>
      <w:r w:rsidR="004C26AD" w:rsidRPr="0083656D">
        <w:rPr>
          <w:lang w:val="it-IT"/>
        </w:rPr>
        <w:t>.</w:t>
      </w:r>
    </w:p>
    <w:p w14:paraId="235BE197" w14:textId="73CFF924" w:rsidR="004C26AD" w:rsidRPr="0083656D" w:rsidRDefault="00A45C56" w:rsidP="004C26AD">
      <w:pPr>
        <w:ind w:left="284" w:hanging="284"/>
        <w:rPr>
          <w:lang w:val="it-IT"/>
        </w:rPr>
      </w:pPr>
      <w:r>
        <w:rPr>
          <w:lang w:val="it-IT"/>
        </w:rPr>
        <w:t>Ungaro, L.</w:t>
      </w:r>
      <w:proofErr w:type="gramStart"/>
      <w:r>
        <w:rPr>
          <w:lang w:val="it-IT"/>
        </w:rPr>
        <w:t xml:space="preserve">, </w:t>
      </w:r>
      <w:r w:rsidR="004C26AD" w:rsidRPr="0083656D">
        <w:rPr>
          <w:lang w:val="it-IT"/>
        </w:rPr>
        <w:t xml:space="preserve"> </w:t>
      </w:r>
      <w:r>
        <w:rPr>
          <w:lang w:val="it-IT"/>
        </w:rPr>
        <w:t>«</w:t>
      </w:r>
      <w:proofErr w:type="gramEnd"/>
      <w:r w:rsidR="004C26AD" w:rsidRPr="0083656D">
        <w:rPr>
          <w:lang w:val="it-IT"/>
        </w:rPr>
        <w:t>Il foro di Augusto</w:t>
      </w:r>
      <w:r>
        <w:rPr>
          <w:lang w:val="it-IT"/>
        </w:rPr>
        <w:t>», in M. De Nuccio and</w:t>
      </w:r>
      <w:r w:rsidR="004C26AD" w:rsidRPr="0083656D">
        <w:rPr>
          <w:lang w:val="it-IT"/>
        </w:rPr>
        <w:t xml:space="preserve"> L. Ungaro</w:t>
      </w:r>
      <w:r>
        <w:rPr>
          <w:lang w:val="it-IT"/>
        </w:rPr>
        <w:t>,</w:t>
      </w:r>
      <w:r w:rsidR="004C26AD" w:rsidRPr="0083656D">
        <w:rPr>
          <w:lang w:val="it-IT"/>
        </w:rPr>
        <w:t xml:space="preserve"> </w:t>
      </w:r>
      <w:proofErr w:type="spellStart"/>
      <w:r w:rsidR="004C26AD" w:rsidRPr="0083656D">
        <w:rPr>
          <w:lang w:val="it-IT"/>
        </w:rPr>
        <w:t>eds</w:t>
      </w:r>
      <w:proofErr w:type="spellEnd"/>
      <w:r w:rsidR="004C26AD" w:rsidRPr="0083656D">
        <w:rPr>
          <w:lang w:val="it-IT"/>
        </w:rPr>
        <w:t>.</w:t>
      </w:r>
      <w:r>
        <w:rPr>
          <w:lang w:val="it-IT"/>
        </w:rPr>
        <w:t>,</w:t>
      </w:r>
      <w:r w:rsidR="004C26AD" w:rsidRPr="0083656D">
        <w:rPr>
          <w:lang w:val="it-IT"/>
        </w:rPr>
        <w:t xml:space="preserve"> </w:t>
      </w:r>
      <w:r w:rsidR="004C26AD" w:rsidRPr="0083656D">
        <w:rPr>
          <w:i/>
          <w:lang w:val="it-IT"/>
        </w:rPr>
        <w:t>I marmi colorati della Roma imperiale</w:t>
      </w:r>
      <w:r w:rsidR="004C26AD" w:rsidRPr="0083656D">
        <w:rPr>
          <w:lang w:val="it-IT"/>
        </w:rPr>
        <w:t>, Roma</w:t>
      </w:r>
      <w:r>
        <w:rPr>
          <w:lang w:val="it-IT"/>
        </w:rPr>
        <w:t xml:space="preserve">, </w:t>
      </w:r>
      <w:r w:rsidRPr="0083656D">
        <w:rPr>
          <w:lang w:val="it-IT"/>
        </w:rPr>
        <w:t>2002</w:t>
      </w:r>
      <w:r>
        <w:rPr>
          <w:lang w:val="it-IT"/>
        </w:rPr>
        <w:t>, p.</w:t>
      </w:r>
      <w:r w:rsidR="004C26AD" w:rsidRPr="0083656D">
        <w:rPr>
          <w:lang w:val="it-IT"/>
        </w:rPr>
        <w:t>109-121.</w:t>
      </w:r>
    </w:p>
    <w:p w14:paraId="16EA2976" w14:textId="27AAC13D" w:rsidR="004C26AD" w:rsidRPr="00DA5690" w:rsidRDefault="00A45C56" w:rsidP="004C26AD">
      <w:pPr>
        <w:ind w:left="284" w:hanging="284"/>
        <w:rPr>
          <w:lang w:val="en-US"/>
        </w:rPr>
      </w:pPr>
      <w:proofErr w:type="spellStart"/>
      <w:r>
        <w:rPr>
          <w:lang w:val="it-IT"/>
        </w:rPr>
        <w:t>Waelkens</w:t>
      </w:r>
      <w:proofErr w:type="spellEnd"/>
      <w:r>
        <w:rPr>
          <w:lang w:val="it-IT"/>
        </w:rPr>
        <w:t xml:space="preserve"> 2002: M.</w:t>
      </w:r>
      <w:r w:rsidRPr="0083656D">
        <w:rPr>
          <w:lang w:val="it-IT"/>
        </w:rPr>
        <w:t xml:space="preserve"> </w:t>
      </w:r>
      <w:proofErr w:type="spellStart"/>
      <w:r>
        <w:rPr>
          <w:lang w:val="it-IT"/>
        </w:rPr>
        <w:t>Waelkens</w:t>
      </w:r>
      <w:proofErr w:type="spellEnd"/>
      <w:r w:rsidR="004C26AD" w:rsidRPr="0083656D">
        <w:rPr>
          <w:lang w:val="it-IT"/>
        </w:rPr>
        <w:t xml:space="preserve"> </w:t>
      </w:r>
      <w:r w:rsidR="00A8234F">
        <w:rPr>
          <w:lang w:val="it-IT"/>
        </w:rPr>
        <w:t xml:space="preserve">et al. </w:t>
      </w:r>
      <w:r>
        <w:rPr>
          <w:lang w:val="en-US"/>
        </w:rPr>
        <w:t>«</w:t>
      </w:r>
      <w:r w:rsidR="004C26AD" w:rsidRPr="00DA5690">
        <w:rPr>
          <w:lang w:val="en-US"/>
        </w:rPr>
        <w:t xml:space="preserve">Marble and the marble trade at </w:t>
      </w:r>
      <w:proofErr w:type="spellStart"/>
      <w:r w:rsidR="004C26AD" w:rsidRPr="00DA5690">
        <w:rPr>
          <w:lang w:val="en-US"/>
        </w:rPr>
        <w:t>Sagalassos</w:t>
      </w:r>
      <w:proofErr w:type="spellEnd"/>
      <w:r w:rsidR="004C26AD" w:rsidRPr="00DA5690">
        <w:rPr>
          <w:lang w:val="en-US"/>
        </w:rPr>
        <w:t xml:space="preserve"> (Turkey)</w:t>
      </w:r>
      <w:r>
        <w:rPr>
          <w:lang w:val="en-US"/>
        </w:rPr>
        <w:t>»</w:t>
      </w:r>
      <w:r w:rsidR="004C26AD" w:rsidRPr="00DA5690">
        <w:rPr>
          <w:lang w:val="en-US"/>
        </w:rPr>
        <w:t xml:space="preserve">, in J. J. Herrmann Jnr, N. </w:t>
      </w:r>
      <w:r>
        <w:rPr>
          <w:lang w:val="en-US"/>
        </w:rPr>
        <w:t>Herz, and R. Newman, eds.</w:t>
      </w:r>
      <w:r w:rsidR="004C26AD" w:rsidRPr="00DA5690">
        <w:rPr>
          <w:lang w:val="en-US"/>
        </w:rPr>
        <w:t xml:space="preserve">, </w:t>
      </w:r>
      <w:r w:rsidR="004C26AD" w:rsidRPr="00DA5690">
        <w:rPr>
          <w:i/>
          <w:iCs/>
          <w:lang w:val="en-US"/>
        </w:rPr>
        <w:t>ASMOSIA 5. Interdisciplinary Studies on Ancient Ston</w:t>
      </w:r>
      <w:r>
        <w:rPr>
          <w:i/>
          <w:iCs/>
          <w:lang w:val="en-US"/>
        </w:rPr>
        <w:t xml:space="preserve">es, </w:t>
      </w:r>
      <w:r w:rsidR="004C26AD" w:rsidRPr="00DA5690">
        <w:rPr>
          <w:lang w:val="en-US"/>
        </w:rPr>
        <w:t xml:space="preserve">London, </w:t>
      </w:r>
      <w:r>
        <w:rPr>
          <w:lang w:val="en-US"/>
        </w:rPr>
        <w:t>2002, p.</w:t>
      </w:r>
      <w:r w:rsidR="004C26AD" w:rsidRPr="00DA5690">
        <w:rPr>
          <w:lang w:val="en-US"/>
        </w:rPr>
        <w:t>370–</w:t>
      </w:r>
      <w:r>
        <w:rPr>
          <w:lang w:val="en-US"/>
        </w:rPr>
        <w:t>3</w:t>
      </w:r>
      <w:r w:rsidR="004C26AD" w:rsidRPr="00DA5690">
        <w:rPr>
          <w:lang w:val="en-US"/>
        </w:rPr>
        <w:t xml:space="preserve">80. </w:t>
      </w:r>
    </w:p>
    <w:p w14:paraId="304551E9" w14:textId="7026C1DB" w:rsidR="004C26AD" w:rsidRPr="00665120" w:rsidRDefault="00A45C56" w:rsidP="004C26AD">
      <w:pPr>
        <w:ind w:left="284" w:hanging="284"/>
      </w:pPr>
      <w:r w:rsidRPr="00665120">
        <w:t>Wallace-</w:t>
      </w:r>
      <w:proofErr w:type="spellStart"/>
      <w:r w:rsidRPr="00665120">
        <w:t>Hadrill</w:t>
      </w:r>
      <w:proofErr w:type="spellEnd"/>
      <w:r w:rsidRPr="00665120">
        <w:t xml:space="preserve"> </w:t>
      </w:r>
      <w:r>
        <w:t xml:space="preserve">1988: </w:t>
      </w:r>
      <w:r w:rsidRPr="00665120">
        <w:t xml:space="preserve">A. </w:t>
      </w:r>
      <w:r w:rsidR="004C26AD" w:rsidRPr="00665120">
        <w:t>Wallace-</w:t>
      </w:r>
      <w:proofErr w:type="spellStart"/>
      <w:r w:rsidR="004C26AD" w:rsidRPr="00665120">
        <w:t>Hadrill</w:t>
      </w:r>
      <w:proofErr w:type="spellEnd"/>
      <w:r w:rsidR="004C26AD" w:rsidRPr="00665120">
        <w:t xml:space="preserve">, </w:t>
      </w:r>
      <w:r>
        <w:t>«</w:t>
      </w:r>
      <w:r w:rsidR="004C26AD" w:rsidRPr="00665120">
        <w:t>The Soci</w:t>
      </w:r>
      <w:r>
        <w:t>al Structure of the Roman House»</w:t>
      </w:r>
      <w:r w:rsidR="004C26AD" w:rsidRPr="00665120">
        <w:t xml:space="preserve">, </w:t>
      </w:r>
      <w:r w:rsidR="004C26AD" w:rsidRPr="00665120">
        <w:rPr>
          <w:i/>
        </w:rPr>
        <w:t>Papers of the British School at Rome</w:t>
      </w:r>
      <w:r w:rsidR="004C26AD" w:rsidRPr="00665120">
        <w:t xml:space="preserve"> 56</w:t>
      </w:r>
      <w:r>
        <w:t>, 1988,</w:t>
      </w:r>
      <w:r w:rsidR="004C26AD" w:rsidRPr="00665120">
        <w:t xml:space="preserve"> </w:t>
      </w:r>
      <w:r>
        <w:t>p.</w:t>
      </w:r>
      <w:r w:rsidR="004C26AD" w:rsidRPr="00665120">
        <w:t>43-97.</w:t>
      </w:r>
    </w:p>
    <w:p w14:paraId="1B4608C7" w14:textId="62808ABB" w:rsidR="00B67C80" w:rsidRPr="00B67C80" w:rsidRDefault="00A45C56" w:rsidP="00B67C80">
      <w:pPr>
        <w:ind w:left="284" w:hanging="284"/>
        <w:rPr>
          <w:lang w:val="fr-FR"/>
        </w:rPr>
      </w:pPr>
      <w:r>
        <w:rPr>
          <w:lang w:val="fr-FR"/>
        </w:rPr>
        <w:t xml:space="preserve">Wiseman </w:t>
      </w:r>
      <w:proofErr w:type="gramStart"/>
      <w:r>
        <w:rPr>
          <w:lang w:val="fr-FR"/>
        </w:rPr>
        <w:t>1987:</w:t>
      </w:r>
      <w:proofErr w:type="gramEnd"/>
      <w:r>
        <w:rPr>
          <w:lang w:val="fr-FR"/>
        </w:rPr>
        <w:t xml:space="preserve"> T.</w:t>
      </w:r>
      <w:r w:rsidRPr="0083656D">
        <w:rPr>
          <w:lang w:val="fr-FR"/>
        </w:rPr>
        <w:t xml:space="preserve">P. </w:t>
      </w:r>
      <w:r w:rsidR="004C26AD" w:rsidRPr="0083656D">
        <w:rPr>
          <w:lang w:val="fr-FR"/>
        </w:rPr>
        <w:t xml:space="preserve">Wiseman, </w:t>
      </w:r>
      <w:r>
        <w:rPr>
          <w:lang w:val="fr-FR"/>
        </w:rPr>
        <w:t>«</w:t>
      </w:r>
      <w:proofErr w:type="spellStart"/>
      <w:r w:rsidR="004C26AD" w:rsidRPr="0083656D">
        <w:rPr>
          <w:i/>
          <w:lang w:val="fr-FR"/>
        </w:rPr>
        <w:t>Conspicui</w:t>
      </w:r>
      <w:proofErr w:type="spellEnd"/>
      <w:r w:rsidR="004C26AD" w:rsidRPr="0083656D">
        <w:rPr>
          <w:i/>
          <w:lang w:val="fr-FR"/>
        </w:rPr>
        <w:t xml:space="preserve"> postes </w:t>
      </w:r>
      <w:proofErr w:type="spellStart"/>
      <w:r w:rsidR="004C26AD" w:rsidRPr="0083656D">
        <w:rPr>
          <w:i/>
          <w:lang w:val="fr-FR"/>
        </w:rPr>
        <w:t>tectaque</w:t>
      </w:r>
      <w:proofErr w:type="spellEnd"/>
      <w:r w:rsidR="004C26AD" w:rsidRPr="0083656D">
        <w:rPr>
          <w:i/>
          <w:lang w:val="fr-FR"/>
        </w:rPr>
        <w:t xml:space="preserve"> </w:t>
      </w:r>
      <w:proofErr w:type="spellStart"/>
      <w:r w:rsidR="004C26AD" w:rsidRPr="0083656D">
        <w:rPr>
          <w:i/>
          <w:lang w:val="fr-FR"/>
        </w:rPr>
        <w:t>digna</w:t>
      </w:r>
      <w:proofErr w:type="spellEnd"/>
      <w:r w:rsidR="004C26AD" w:rsidRPr="0083656D">
        <w:rPr>
          <w:i/>
          <w:lang w:val="fr-FR"/>
        </w:rPr>
        <w:t xml:space="preserve"> deo</w:t>
      </w:r>
      <w:r w:rsidR="004C26AD" w:rsidRPr="0083656D">
        <w:rPr>
          <w:lang w:val="fr-FR"/>
        </w:rPr>
        <w:t xml:space="preserve">. </w:t>
      </w:r>
      <w:r w:rsidR="004C26AD" w:rsidRPr="003347D9">
        <w:t xml:space="preserve">The public image of aristocratic and imperial houses in the </w:t>
      </w:r>
      <w:r>
        <w:t>Late Republic and early empire»</w:t>
      </w:r>
      <w:r w:rsidR="004C26AD">
        <w:t>,</w:t>
      </w:r>
      <w:r w:rsidR="004C26AD" w:rsidRPr="003347D9">
        <w:t xml:space="preserve"> in </w:t>
      </w:r>
      <w:proofErr w:type="spellStart"/>
      <w:r w:rsidR="004C26AD" w:rsidRPr="003347D9">
        <w:rPr>
          <w:i/>
        </w:rPr>
        <w:t>L'urbs</w:t>
      </w:r>
      <w:proofErr w:type="spellEnd"/>
      <w:r w:rsidR="004C26AD" w:rsidRPr="003347D9">
        <w:rPr>
          <w:i/>
        </w:rPr>
        <w:t xml:space="preserve">. </w:t>
      </w:r>
      <w:r w:rsidR="004C26AD" w:rsidRPr="0083656D">
        <w:rPr>
          <w:i/>
          <w:lang w:val="fr-FR"/>
        </w:rPr>
        <w:t xml:space="preserve">Espace urbain et histoire (Ier siècle av. J.-C - IIIe </w:t>
      </w:r>
      <w:proofErr w:type="spellStart"/>
      <w:r w:rsidR="004C26AD" w:rsidRPr="0083656D">
        <w:rPr>
          <w:i/>
          <w:lang w:val="fr-FR"/>
        </w:rPr>
        <w:t>siècle</w:t>
      </w:r>
      <w:proofErr w:type="spellEnd"/>
      <w:r w:rsidR="004C26AD" w:rsidRPr="0083656D">
        <w:rPr>
          <w:i/>
          <w:lang w:val="fr-FR"/>
        </w:rPr>
        <w:t xml:space="preserve"> </w:t>
      </w:r>
      <w:proofErr w:type="spellStart"/>
      <w:r w:rsidR="004C26AD" w:rsidRPr="0083656D">
        <w:rPr>
          <w:i/>
          <w:lang w:val="fr-FR"/>
        </w:rPr>
        <w:t>ap</w:t>
      </w:r>
      <w:proofErr w:type="spellEnd"/>
      <w:r w:rsidR="004C26AD" w:rsidRPr="0083656D">
        <w:rPr>
          <w:i/>
          <w:lang w:val="fr-FR"/>
        </w:rPr>
        <w:t>. J.-C.). Actes du colloque international organisé par le Centre national de la recherche scientifique et l'École française de Rome (Rome, 8-12 mai 1985)</w:t>
      </w:r>
      <w:r>
        <w:rPr>
          <w:lang w:val="fr-FR"/>
        </w:rPr>
        <w:t>, Rome, 1987,</w:t>
      </w:r>
      <w:r w:rsidR="004C26AD" w:rsidRPr="0083656D">
        <w:rPr>
          <w:lang w:val="fr-FR"/>
        </w:rPr>
        <w:t xml:space="preserve"> 393-412.</w:t>
      </w:r>
    </w:p>
    <w:p w14:paraId="1155DB8E" w14:textId="2A161BA6" w:rsidR="004C26AD" w:rsidRDefault="007301C1" w:rsidP="004C26AD">
      <w:pPr>
        <w:ind w:left="284" w:hanging="284"/>
      </w:pPr>
      <w:proofErr w:type="spellStart"/>
      <w:r>
        <w:t>Zanker</w:t>
      </w:r>
      <w:proofErr w:type="spellEnd"/>
      <w:r>
        <w:t xml:space="preserve"> </w:t>
      </w:r>
      <w:r w:rsidR="002D331E">
        <w:t>1968:</w:t>
      </w:r>
      <w:r w:rsidR="00110B9B">
        <w:t xml:space="preserve"> P.</w:t>
      </w:r>
      <w:r w:rsidR="002D331E">
        <w:t xml:space="preserve"> </w:t>
      </w:r>
      <w:proofErr w:type="spellStart"/>
      <w:r w:rsidR="004C26AD">
        <w:t>Zanker</w:t>
      </w:r>
      <w:proofErr w:type="spellEnd"/>
      <w:r w:rsidR="00110B9B">
        <w:t>,</w:t>
      </w:r>
      <w:r w:rsidR="004C26AD">
        <w:t xml:space="preserve"> </w:t>
      </w:r>
      <w:r w:rsidR="004C26AD">
        <w:rPr>
          <w:i/>
        </w:rPr>
        <w:t xml:space="preserve">Forum </w:t>
      </w:r>
      <w:proofErr w:type="spellStart"/>
      <w:r w:rsidR="004C26AD">
        <w:rPr>
          <w:i/>
        </w:rPr>
        <w:t>Augustum</w:t>
      </w:r>
      <w:proofErr w:type="spellEnd"/>
      <w:r w:rsidR="004C26AD">
        <w:t>, Tübingen</w:t>
      </w:r>
      <w:r w:rsidR="00110B9B">
        <w:t>, 1968</w:t>
      </w:r>
      <w:r w:rsidR="004C26AD">
        <w:t>.</w:t>
      </w:r>
    </w:p>
    <w:p w14:paraId="25D48D10" w14:textId="28D14AEE" w:rsidR="004C26AD" w:rsidRPr="00986EAF" w:rsidRDefault="00A45C56" w:rsidP="004C26AD">
      <w:pPr>
        <w:ind w:left="284" w:hanging="284"/>
      </w:pPr>
      <w:r>
        <w:t xml:space="preserve">Zimmer 1989: </w:t>
      </w:r>
      <w:r w:rsidRPr="00986EAF">
        <w:t xml:space="preserve">G. </w:t>
      </w:r>
      <w:r>
        <w:t>Zimmer,</w:t>
      </w:r>
      <w:r w:rsidR="004C26AD" w:rsidRPr="00986EAF">
        <w:t xml:space="preserve"> </w:t>
      </w:r>
      <w:r w:rsidR="004C26AD" w:rsidRPr="00986EAF">
        <w:rPr>
          <w:i/>
        </w:rPr>
        <w:t>Locu</w:t>
      </w:r>
      <w:r>
        <w:rPr>
          <w:i/>
        </w:rPr>
        <w:t xml:space="preserve">s </w:t>
      </w:r>
      <w:proofErr w:type="spellStart"/>
      <w:r>
        <w:rPr>
          <w:i/>
        </w:rPr>
        <w:t>datus</w:t>
      </w:r>
      <w:proofErr w:type="spellEnd"/>
      <w:r>
        <w:rPr>
          <w:i/>
        </w:rPr>
        <w:t xml:space="preserve"> </w:t>
      </w:r>
      <w:proofErr w:type="spellStart"/>
      <w:r>
        <w:rPr>
          <w:i/>
        </w:rPr>
        <w:t>decreto</w:t>
      </w:r>
      <w:proofErr w:type="spellEnd"/>
      <w:r>
        <w:rPr>
          <w:i/>
        </w:rPr>
        <w:t xml:space="preserve"> </w:t>
      </w:r>
      <w:proofErr w:type="spellStart"/>
      <w:r>
        <w:rPr>
          <w:i/>
        </w:rPr>
        <w:t>decurionum</w:t>
      </w:r>
      <w:proofErr w:type="spellEnd"/>
      <w:r>
        <w:rPr>
          <w:i/>
        </w:rPr>
        <w:t xml:space="preserve">. </w:t>
      </w:r>
      <w:proofErr w:type="spellStart"/>
      <w:r>
        <w:rPr>
          <w:i/>
        </w:rPr>
        <w:t>Zur</w:t>
      </w:r>
      <w:proofErr w:type="spellEnd"/>
      <w:r>
        <w:rPr>
          <w:i/>
        </w:rPr>
        <w:t xml:space="preserve"> </w:t>
      </w:r>
      <w:proofErr w:type="spellStart"/>
      <w:r w:rsidR="004C26AD" w:rsidRPr="00986EAF">
        <w:rPr>
          <w:i/>
        </w:rPr>
        <w:t>Statuenaufstellung</w:t>
      </w:r>
      <w:proofErr w:type="spellEnd"/>
      <w:r w:rsidR="004C26AD" w:rsidRPr="00986EAF">
        <w:rPr>
          <w:i/>
        </w:rPr>
        <w:t xml:space="preserve"> </w:t>
      </w:r>
      <w:proofErr w:type="spellStart"/>
      <w:r w:rsidR="004C26AD" w:rsidRPr="00986EAF">
        <w:rPr>
          <w:i/>
        </w:rPr>
        <w:t>zweier</w:t>
      </w:r>
      <w:proofErr w:type="spellEnd"/>
      <w:r w:rsidR="004C26AD" w:rsidRPr="00986EAF">
        <w:rPr>
          <w:i/>
        </w:rPr>
        <w:t xml:space="preserve"> </w:t>
      </w:r>
      <w:proofErr w:type="spellStart"/>
      <w:r w:rsidR="004C26AD" w:rsidRPr="00986EAF">
        <w:rPr>
          <w:i/>
        </w:rPr>
        <w:t>Forumsanlagen</w:t>
      </w:r>
      <w:proofErr w:type="spellEnd"/>
      <w:r w:rsidR="004C26AD" w:rsidRPr="00986EAF">
        <w:rPr>
          <w:i/>
        </w:rPr>
        <w:t xml:space="preserve"> </w:t>
      </w:r>
      <w:proofErr w:type="spellStart"/>
      <w:r w:rsidR="004C26AD" w:rsidRPr="00986EAF">
        <w:rPr>
          <w:i/>
        </w:rPr>
        <w:t>im</w:t>
      </w:r>
      <w:proofErr w:type="spellEnd"/>
      <w:r w:rsidR="004C26AD" w:rsidRPr="00986EAF">
        <w:rPr>
          <w:i/>
        </w:rPr>
        <w:t xml:space="preserve"> </w:t>
      </w:r>
      <w:proofErr w:type="spellStart"/>
      <w:r w:rsidR="004C26AD" w:rsidRPr="00986EAF">
        <w:rPr>
          <w:i/>
        </w:rPr>
        <w:t>römischen</w:t>
      </w:r>
      <w:proofErr w:type="spellEnd"/>
      <w:r w:rsidR="004C26AD" w:rsidRPr="00986EAF">
        <w:rPr>
          <w:i/>
        </w:rPr>
        <w:t xml:space="preserve"> Afr</w:t>
      </w:r>
      <w:r>
        <w:rPr>
          <w:i/>
        </w:rPr>
        <w:t>i</w:t>
      </w:r>
      <w:r w:rsidR="004C26AD" w:rsidRPr="00986EAF">
        <w:rPr>
          <w:i/>
        </w:rPr>
        <w:t>ka</w:t>
      </w:r>
      <w:r w:rsidR="004C26AD" w:rsidRPr="00986EAF">
        <w:t xml:space="preserve">, </w:t>
      </w:r>
      <w:proofErr w:type="spellStart"/>
      <w:r w:rsidR="004C26AD" w:rsidRPr="00986EAF">
        <w:t>München</w:t>
      </w:r>
      <w:proofErr w:type="spellEnd"/>
      <w:r>
        <w:t>, 1989</w:t>
      </w:r>
      <w:r w:rsidR="004C26AD">
        <w:t>.</w:t>
      </w:r>
    </w:p>
    <w:p w14:paraId="2BE26830" w14:textId="77777777" w:rsidR="004C26AD" w:rsidRPr="009D590F" w:rsidRDefault="004C26AD" w:rsidP="008269E3">
      <w:pPr>
        <w:jc w:val="both"/>
        <w:rPr>
          <w:rFonts w:ascii="Times New Roman" w:hAnsi="Times New Roman"/>
        </w:rPr>
      </w:pPr>
    </w:p>
    <w:sectPr w:rsidR="004C26AD" w:rsidRPr="009D590F" w:rsidSect="00985BFF">
      <w:pgSz w:w="11900" w:h="16840"/>
      <w:pgMar w:top="2268" w:right="2268" w:bottom="226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7511" w14:textId="77777777" w:rsidR="00555DC1" w:rsidRDefault="00555DC1" w:rsidP="006F4F94">
      <w:r>
        <w:separator/>
      </w:r>
    </w:p>
  </w:endnote>
  <w:endnote w:type="continuationSeparator" w:id="0">
    <w:p w14:paraId="0E1A648E" w14:textId="77777777" w:rsidR="00555DC1" w:rsidRDefault="00555DC1" w:rsidP="006F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0477" w14:textId="77777777" w:rsidR="00555DC1" w:rsidRDefault="00555DC1" w:rsidP="006F4F94"/>
  </w:footnote>
  <w:footnote w:type="continuationSeparator" w:id="0">
    <w:p w14:paraId="264F30F1" w14:textId="77777777" w:rsidR="00555DC1" w:rsidRDefault="00555DC1" w:rsidP="006F4F94"/>
  </w:footnote>
  <w:footnote w:id="1">
    <w:p w14:paraId="68FD9E6C" w14:textId="2411D83B" w:rsidR="006F4F94" w:rsidRPr="008269E3" w:rsidRDefault="006F4F94" w:rsidP="006F4F94">
      <w:pPr>
        <w:pStyle w:val="FootnoteText"/>
        <w:rPr>
          <w:lang w:val="en-GB"/>
        </w:rPr>
      </w:pPr>
      <w:r w:rsidRPr="008269E3">
        <w:rPr>
          <w:rStyle w:val="FootnoteReference"/>
          <w:lang w:val="en-GB"/>
        </w:rPr>
        <w:footnoteRef/>
      </w:r>
      <w:r w:rsidRPr="008269E3">
        <w:rPr>
          <w:lang w:val="en-GB"/>
        </w:rPr>
        <w:t xml:space="preserve"> Russell 2009; </w:t>
      </w:r>
      <w:r w:rsidR="00210B9D" w:rsidRPr="008269E3">
        <w:rPr>
          <w:lang w:val="en-GB"/>
        </w:rPr>
        <w:t xml:space="preserve">Russell </w:t>
      </w:r>
      <w:r w:rsidRPr="008269E3">
        <w:rPr>
          <w:lang w:val="en-GB"/>
        </w:rPr>
        <w:t>2013</w:t>
      </w:r>
      <w:r w:rsidR="00210B9D" w:rsidRPr="008269E3">
        <w:rPr>
          <w:lang w:val="en-GB"/>
        </w:rPr>
        <w:t>: 141-200.</w:t>
      </w:r>
    </w:p>
  </w:footnote>
  <w:footnote w:id="2">
    <w:p w14:paraId="412D9A7D" w14:textId="25DF9D0C" w:rsidR="00221352" w:rsidRPr="008269E3" w:rsidRDefault="00221352">
      <w:pPr>
        <w:pStyle w:val="FootnoteText"/>
        <w:rPr>
          <w:lang w:val="en-GB"/>
        </w:rPr>
      </w:pPr>
      <w:r w:rsidRPr="008269E3">
        <w:rPr>
          <w:rStyle w:val="FootnoteReference"/>
          <w:lang w:val="en-GB"/>
        </w:rPr>
        <w:footnoteRef/>
      </w:r>
      <w:r w:rsidRPr="008269E3">
        <w:rPr>
          <w:lang w:val="en-GB"/>
        </w:rPr>
        <w:t xml:space="preserve"> </w:t>
      </w:r>
      <w:proofErr w:type="spellStart"/>
      <w:r w:rsidR="00210B9D" w:rsidRPr="008269E3">
        <w:rPr>
          <w:lang w:val="en-GB"/>
        </w:rPr>
        <w:t>Fant</w:t>
      </w:r>
      <w:proofErr w:type="spellEnd"/>
      <w:r w:rsidR="00210B9D" w:rsidRPr="008269E3">
        <w:rPr>
          <w:lang w:val="en-GB"/>
        </w:rPr>
        <w:t xml:space="preserve"> 1993</w:t>
      </w:r>
      <w:r w:rsidR="00210B9D" w:rsidRPr="008269E3">
        <w:rPr>
          <w:i/>
          <w:lang w:val="en-GB"/>
        </w:rPr>
        <w:t>a</w:t>
      </w:r>
      <w:r w:rsidR="00210B9D" w:rsidRPr="008269E3">
        <w:rPr>
          <w:lang w:val="en-GB"/>
        </w:rPr>
        <w:t>: 157–67</w:t>
      </w:r>
      <w:r w:rsidRPr="008269E3">
        <w:rPr>
          <w:lang w:val="en-GB"/>
        </w:rPr>
        <w:t xml:space="preserve">; Russell 2013: </w:t>
      </w:r>
      <w:r w:rsidR="00FE1AB9">
        <w:rPr>
          <w:lang w:val="en-GB"/>
        </w:rPr>
        <w:t>184ff.</w:t>
      </w:r>
      <w:r w:rsidR="00210B9D" w:rsidRPr="008269E3">
        <w:rPr>
          <w:lang w:val="en-GB"/>
        </w:rPr>
        <w:t>; Hirt 2015</w:t>
      </w:r>
      <w:r w:rsidRPr="008269E3">
        <w:rPr>
          <w:lang w:val="en-GB"/>
        </w:rPr>
        <w:t>:</w:t>
      </w:r>
      <w:r w:rsidR="00210B9D" w:rsidRPr="008269E3">
        <w:rPr>
          <w:lang w:val="en-GB"/>
        </w:rPr>
        <w:t xml:space="preserve"> 290 ff. </w:t>
      </w:r>
    </w:p>
  </w:footnote>
  <w:footnote w:id="3">
    <w:p w14:paraId="40AC90BA" w14:textId="1D61A696" w:rsidR="00051214" w:rsidRPr="008269E3" w:rsidRDefault="00051214">
      <w:pPr>
        <w:pStyle w:val="FootnoteText"/>
        <w:rPr>
          <w:lang w:val="en-GB"/>
        </w:rPr>
      </w:pPr>
      <w:r w:rsidRPr="008269E3">
        <w:rPr>
          <w:rStyle w:val="FootnoteReference"/>
          <w:lang w:val="en-GB"/>
        </w:rPr>
        <w:footnoteRef/>
      </w:r>
      <w:r w:rsidRPr="008269E3">
        <w:rPr>
          <w:lang w:val="en-GB"/>
        </w:rPr>
        <w:t xml:space="preserve"> Hirt 2015 with bibliography. </w:t>
      </w:r>
    </w:p>
  </w:footnote>
  <w:footnote w:id="4">
    <w:p w14:paraId="4B358907" w14:textId="77777777" w:rsidR="00E87A91" w:rsidRPr="008269E3" w:rsidRDefault="00E87A91" w:rsidP="00E87A91">
      <w:pPr>
        <w:pStyle w:val="FootnoteText"/>
        <w:rPr>
          <w:lang w:val="en-GB"/>
        </w:rPr>
      </w:pPr>
      <w:r w:rsidRPr="008269E3">
        <w:rPr>
          <w:rStyle w:val="FootnoteReference"/>
          <w:lang w:val="en-GB"/>
        </w:rPr>
        <w:footnoteRef/>
      </w:r>
      <w:r w:rsidRPr="008269E3">
        <w:rPr>
          <w:lang w:val="en-GB"/>
        </w:rPr>
        <w:t xml:space="preserve"> Russell 2013: 194.</w:t>
      </w:r>
    </w:p>
  </w:footnote>
  <w:footnote w:id="5">
    <w:p w14:paraId="0F33CC36" w14:textId="77777777" w:rsidR="00805040" w:rsidRPr="008269E3" w:rsidRDefault="00805040" w:rsidP="00EC3691">
      <w:pPr>
        <w:pStyle w:val="FootnoteText"/>
        <w:rPr>
          <w:lang w:val="en-GB"/>
        </w:rPr>
      </w:pPr>
      <w:r w:rsidRPr="008269E3">
        <w:rPr>
          <w:rStyle w:val="FootnoteReference"/>
          <w:lang w:val="en-GB"/>
        </w:rPr>
        <w:footnoteRef/>
      </w:r>
      <w:r w:rsidRPr="008269E3">
        <w:rPr>
          <w:lang w:val="en-GB"/>
        </w:rPr>
        <w:t xml:space="preserve"> Hirt 2015: 290 ff.</w:t>
      </w:r>
      <w:r>
        <w:rPr>
          <w:lang w:val="en-GB"/>
        </w:rPr>
        <w:t xml:space="preserve"> Monopolisation for prestige</w:t>
      </w:r>
      <w:r>
        <w:rPr>
          <w:lang w:val="fr-FR"/>
        </w:rPr>
        <w:t xml:space="preserve">: </w:t>
      </w:r>
      <w:proofErr w:type="spellStart"/>
      <w:r w:rsidRPr="008269E3">
        <w:rPr>
          <w:lang w:val="en-GB"/>
        </w:rPr>
        <w:t>Fant</w:t>
      </w:r>
      <w:proofErr w:type="spellEnd"/>
      <w:r w:rsidRPr="008269E3">
        <w:rPr>
          <w:lang w:val="en-GB"/>
        </w:rPr>
        <w:t xml:space="preserve"> 1993</w:t>
      </w:r>
      <w:r w:rsidRPr="0044440C">
        <w:rPr>
          <w:i/>
          <w:lang w:val="en-GB"/>
        </w:rPr>
        <w:t>a</w:t>
      </w:r>
      <w:r>
        <w:rPr>
          <w:lang w:val="en-GB"/>
        </w:rPr>
        <w:t xml:space="preserve">: 146, 154f., 2008: 126-9; symbol of power and territorial reach of Rome: </w:t>
      </w:r>
      <w:r w:rsidRPr="008269E3">
        <w:rPr>
          <w:lang w:val="en-GB"/>
        </w:rPr>
        <w:t>Peacock 1992: 27 f.</w:t>
      </w:r>
      <w:r>
        <w:rPr>
          <w:lang w:val="en-GB"/>
        </w:rPr>
        <w:t xml:space="preserve">; </w:t>
      </w:r>
      <w:r w:rsidRPr="008269E3">
        <w:rPr>
          <w:lang w:val="en-GB"/>
        </w:rPr>
        <w:t>Bradley 2006: 1-3.</w:t>
      </w:r>
    </w:p>
  </w:footnote>
  <w:footnote w:id="6">
    <w:p w14:paraId="244A7124" w14:textId="4592E44C" w:rsidR="004D56DC" w:rsidRPr="008269E3" w:rsidRDefault="004D56DC">
      <w:pPr>
        <w:pStyle w:val="FootnoteText"/>
        <w:rPr>
          <w:lang w:val="en-GB"/>
        </w:rPr>
      </w:pPr>
      <w:r w:rsidRPr="008269E3">
        <w:rPr>
          <w:rStyle w:val="FootnoteReference"/>
          <w:lang w:val="en-GB"/>
        </w:rPr>
        <w:footnoteRef/>
      </w:r>
      <w:r w:rsidRPr="008269E3">
        <w:rPr>
          <w:lang w:val="en-GB"/>
        </w:rPr>
        <w:t xml:space="preserve"> Eck 2010</w:t>
      </w:r>
      <w:r w:rsidR="005C5DE0" w:rsidRPr="005C5DE0">
        <w:rPr>
          <w:i/>
          <w:lang w:val="en-GB"/>
        </w:rPr>
        <w:t>a</w:t>
      </w:r>
      <w:r w:rsidRPr="008269E3">
        <w:rPr>
          <w:lang w:val="en-GB"/>
        </w:rPr>
        <w:t xml:space="preserve">: </w:t>
      </w:r>
      <w:r w:rsidR="00051214" w:rsidRPr="008269E3">
        <w:rPr>
          <w:lang w:val="en-GB"/>
        </w:rPr>
        <w:t xml:space="preserve">89 f.; </w:t>
      </w:r>
      <w:r w:rsidR="00B2150A" w:rsidRPr="008269E3">
        <w:rPr>
          <w:lang w:val="en-GB"/>
        </w:rPr>
        <w:t xml:space="preserve">see also </w:t>
      </w:r>
      <w:proofErr w:type="spellStart"/>
      <w:r w:rsidR="00051214" w:rsidRPr="008269E3">
        <w:rPr>
          <w:lang w:val="en-GB"/>
        </w:rPr>
        <w:t>Itgenshorst</w:t>
      </w:r>
      <w:proofErr w:type="spellEnd"/>
      <w:r w:rsidR="00051214" w:rsidRPr="008269E3">
        <w:rPr>
          <w:lang w:val="en-GB"/>
        </w:rPr>
        <w:t xml:space="preserve"> 2005</w:t>
      </w:r>
      <w:r w:rsidR="00B2150A" w:rsidRPr="008269E3">
        <w:rPr>
          <w:lang w:val="en-GB"/>
        </w:rPr>
        <w:t xml:space="preserve">: 91-3, 101-5; on funeral processions: </w:t>
      </w:r>
      <w:r w:rsidR="00DB49EC">
        <w:rPr>
          <w:lang w:val="en-GB"/>
        </w:rPr>
        <w:t>Walter</w:t>
      </w:r>
      <w:r w:rsidR="00B2150A" w:rsidRPr="008269E3">
        <w:rPr>
          <w:lang w:val="en-GB"/>
        </w:rPr>
        <w:t xml:space="preserve"> 2004: </w:t>
      </w:r>
      <w:r w:rsidR="00DB49EC">
        <w:rPr>
          <w:lang w:val="en-GB"/>
        </w:rPr>
        <w:t>85-121</w:t>
      </w:r>
      <w:r w:rsidR="00044C3F">
        <w:rPr>
          <w:lang w:val="en-GB"/>
        </w:rPr>
        <w:t xml:space="preserve">; </w:t>
      </w:r>
      <w:proofErr w:type="spellStart"/>
      <w:r w:rsidR="00044C3F">
        <w:rPr>
          <w:lang w:val="en-GB"/>
        </w:rPr>
        <w:t>Hölkeskamp</w:t>
      </w:r>
      <w:proofErr w:type="spellEnd"/>
      <w:r w:rsidR="00044C3F">
        <w:rPr>
          <w:lang w:val="en-GB"/>
        </w:rPr>
        <w:t xml:space="preserve"> 2010</w:t>
      </w:r>
      <w:r w:rsidR="00B2150A" w:rsidRPr="008269E3">
        <w:rPr>
          <w:lang w:val="en-GB"/>
        </w:rPr>
        <w:t xml:space="preserve">: </w:t>
      </w:r>
      <w:r w:rsidR="00DB49EC">
        <w:rPr>
          <w:lang w:val="en-GB"/>
        </w:rPr>
        <w:t>112-115.</w:t>
      </w:r>
      <w:r w:rsidR="00B2150A" w:rsidRPr="008269E3">
        <w:rPr>
          <w:lang w:val="en-GB"/>
        </w:rPr>
        <w:t xml:space="preserve"> with further references. </w:t>
      </w:r>
      <w:r w:rsidR="00390068" w:rsidRPr="008269E3">
        <w:rPr>
          <w:lang w:val="en-GB"/>
        </w:rPr>
        <w:t>On public building activity</w:t>
      </w:r>
      <w:r w:rsidR="002908E4" w:rsidRPr="008269E3">
        <w:rPr>
          <w:lang w:val="en-GB"/>
        </w:rPr>
        <w:t xml:space="preserve"> and military expansion</w:t>
      </w:r>
      <w:r w:rsidR="00390068" w:rsidRPr="008269E3">
        <w:rPr>
          <w:lang w:val="en-GB"/>
        </w:rPr>
        <w:t xml:space="preserve"> in Rome: Kolb </w:t>
      </w:r>
      <w:r w:rsidR="00DB49EC">
        <w:rPr>
          <w:lang w:val="en-GB"/>
        </w:rPr>
        <w:t>1995: 175 ff.</w:t>
      </w:r>
      <w:r w:rsidR="00390068" w:rsidRPr="008269E3">
        <w:rPr>
          <w:lang w:val="en-GB"/>
        </w:rPr>
        <w:t xml:space="preserve">; Patterson </w:t>
      </w:r>
      <w:r w:rsidR="00DB49EC">
        <w:rPr>
          <w:lang w:val="en-GB"/>
        </w:rPr>
        <w:t>2000: 29 ff.</w:t>
      </w:r>
      <w:r w:rsidR="00390068" w:rsidRPr="008269E3">
        <w:rPr>
          <w:lang w:val="en-GB"/>
        </w:rPr>
        <w:t xml:space="preserve">; </w:t>
      </w:r>
    </w:p>
  </w:footnote>
  <w:footnote w:id="7">
    <w:p w14:paraId="437B6828" w14:textId="32F520FF" w:rsidR="00AA4DBD" w:rsidRPr="008269E3" w:rsidRDefault="00AA4DBD" w:rsidP="00AA4DBD">
      <w:pPr>
        <w:pStyle w:val="FootnoteText"/>
        <w:rPr>
          <w:lang w:val="en-GB"/>
        </w:rPr>
      </w:pPr>
      <w:r w:rsidRPr="008269E3">
        <w:rPr>
          <w:rStyle w:val="FootnoteReference"/>
          <w:lang w:val="en-GB"/>
        </w:rPr>
        <w:footnoteRef/>
      </w:r>
      <w:r w:rsidR="00051214" w:rsidRPr="008269E3">
        <w:rPr>
          <w:lang w:val="en-GB"/>
        </w:rPr>
        <w:t xml:space="preserve"> </w:t>
      </w:r>
      <w:proofErr w:type="spellStart"/>
      <w:r w:rsidR="00051214" w:rsidRPr="008269E3">
        <w:rPr>
          <w:lang w:val="en-GB"/>
        </w:rPr>
        <w:t>Itgen</w:t>
      </w:r>
      <w:r w:rsidR="00074610" w:rsidRPr="008269E3">
        <w:rPr>
          <w:lang w:val="en-GB"/>
        </w:rPr>
        <w:t>s</w:t>
      </w:r>
      <w:r w:rsidR="00051214" w:rsidRPr="008269E3">
        <w:rPr>
          <w:lang w:val="en-GB"/>
        </w:rPr>
        <w:t>horst</w:t>
      </w:r>
      <w:proofErr w:type="spellEnd"/>
      <w:r w:rsidR="00051214" w:rsidRPr="008269E3">
        <w:rPr>
          <w:lang w:val="en-GB"/>
        </w:rPr>
        <w:t xml:space="preserve"> 2005: 357-</w:t>
      </w:r>
      <w:r w:rsidR="00DB49EC">
        <w:rPr>
          <w:lang w:val="en-GB"/>
        </w:rPr>
        <w:t>61 (</w:t>
      </w:r>
      <w:proofErr w:type="spellStart"/>
      <w:r w:rsidR="00DB49EC">
        <w:rPr>
          <w:lang w:val="en-GB"/>
        </w:rPr>
        <w:t>Katalog</w:t>
      </w:r>
      <w:proofErr w:type="spellEnd"/>
      <w:r w:rsidR="00DB49EC">
        <w:rPr>
          <w:lang w:val="en-GB"/>
        </w:rPr>
        <w:t>) with sources.</w:t>
      </w:r>
    </w:p>
  </w:footnote>
  <w:footnote w:id="8">
    <w:p w14:paraId="705790C8" w14:textId="4398821F" w:rsidR="00AA4DBD" w:rsidRPr="008269E3" w:rsidRDefault="00AA4DBD" w:rsidP="00AA4DBD">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Itgen</w:t>
      </w:r>
      <w:r w:rsidR="00074610" w:rsidRPr="008269E3">
        <w:rPr>
          <w:lang w:val="en-GB"/>
        </w:rPr>
        <w:t>s</w:t>
      </w:r>
      <w:r w:rsidR="00DB49EC">
        <w:rPr>
          <w:lang w:val="en-GB"/>
        </w:rPr>
        <w:t>horst</w:t>
      </w:r>
      <w:proofErr w:type="spellEnd"/>
      <w:r w:rsidR="00DB49EC">
        <w:rPr>
          <w:lang w:val="en-GB"/>
        </w:rPr>
        <w:t xml:space="preserve"> 2005: 372 with sources.</w:t>
      </w:r>
    </w:p>
  </w:footnote>
  <w:footnote w:id="9">
    <w:p w14:paraId="13DDC649" w14:textId="196AA48C" w:rsidR="002908E4" w:rsidRPr="008269E3" w:rsidRDefault="002908E4">
      <w:pPr>
        <w:pStyle w:val="FootnoteText"/>
        <w:rPr>
          <w:lang w:val="en-GB"/>
        </w:rPr>
      </w:pPr>
      <w:r w:rsidRPr="008269E3">
        <w:rPr>
          <w:rStyle w:val="FootnoteReference"/>
          <w:lang w:val="en-GB"/>
        </w:rPr>
        <w:footnoteRef/>
      </w:r>
      <w:r w:rsidRPr="008269E3">
        <w:rPr>
          <w:lang w:val="en-GB"/>
        </w:rPr>
        <w:t xml:space="preserve"> </w:t>
      </w:r>
      <w:r w:rsidR="00B2150A" w:rsidRPr="008269E3">
        <w:rPr>
          <w:lang w:val="en-GB"/>
        </w:rPr>
        <w:t>Eck 1999;</w:t>
      </w:r>
      <w:r w:rsidR="001D52D7" w:rsidRPr="008269E3">
        <w:rPr>
          <w:lang w:val="en-GB"/>
        </w:rPr>
        <w:t xml:space="preserve"> </w:t>
      </w:r>
      <w:proofErr w:type="spellStart"/>
      <w:r w:rsidR="001D52D7" w:rsidRPr="008269E3">
        <w:rPr>
          <w:lang w:val="en-GB"/>
        </w:rPr>
        <w:t>Rüpke</w:t>
      </w:r>
      <w:proofErr w:type="spellEnd"/>
      <w:r w:rsidR="001D52D7" w:rsidRPr="008269E3">
        <w:rPr>
          <w:lang w:val="en-GB"/>
        </w:rPr>
        <w:t xml:space="preserve"> 1990: 44f.</w:t>
      </w:r>
      <w:r w:rsidR="00DB49EC">
        <w:rPr>
          <w:lang w:val="en-GB"/>
        </w:rPr>
        <w:t xml:space="preserve"> </w:t>
      </w:r>
      <w:proofErr w:type="spellStart"/>
      <w:r w:rsidR="000D164B">
        <w:t>Hurlet</w:t>
      </w:r>
      <w:proofErr w:type="spellEnd"/>
      <w:r w:rsidR="000D164B">
        <w:t xml:space="preserve"> 2015: 293, with further bibliography.</w:t>
      </w:r>
    </w:p>
  </w:footnote>
  <w:footnote w:id="10">
    <w:p w14:paraId="22E479EB" w14:textId="47007DAE" w:rsidR="001D52D7" w:rsidRPr="008269E3" w:rsidRDefault="001D52D7">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Itgenshorst</w:t>
      </w:r>
      <w:proofErr w:type="spellEnd"/>
      <w:r w:rsidRPr="008269E3">
        <w:rPr>
          <w:lang w:val="en-GB"/>
        </w:rPr>
        <w:t xml:space="preserve"> 2005: 427 f. Nr. 297.</w:t>
      </w:r>
    </w:p>
  </w:footnote>
  <w:footnote w:id="11">
    <w:p w14:paraId="3416640B" w14:textId="380B1FDE" w:rsidR="002908E4" w:rsidRPr="008269E3" w:rsidRDefault="002908E4" w:rsidP="002908E4">
      <w:pPr>
        <w:pStyle w:val="FootnoteText"/>
        <w:rPr>
          <w:lang w:val="en-GB"/>
        </w:rPr>
      </w:pPr>
      <w:r w:rsidRPr="008269E3">
        <w:rPr>
          <w:rStyle w:val="FootnoteReference"/>
          <w:lang w:val="en-GB"/>
        </w:rPr>
        <w:footnoteRef/>
      </w:r>
      <w:r w:rsidRPr="008269E3">
        <w:rPr>
          <w:lang w:val="en-GB"/>
        </w:rPr>
        <w:t xml:space="preserve"> </w:t>
      </w:r>
      <w:proofErr w:type="spellStart"/>
      <w:r w:rsidR="001D52D7" w:rsidRPr="008269E3">
        <w:rPr>
          <w:lang w:val="en-GB"/>
        </w:rPr>
        <w:t>Roddaz</w:t>
      </w:r>
      <w:proofErr w:type="spellEnd"/>
      <w:r w:rsidR="001D52D7" w:rsidRPr="008269E3">
        <w:rPr>
          <w:lang w:val="en-GB"/>
        </w:rPr>
        <w:t xml:space="preserve"> 1984: 209 f.; </w:t>
      </w:r>
      <w:proofErr w:type="spellStart"/>
      <w:r w:rsidR="001D52D7" w:rsidRPr="008269E3">
        <w:rPr>
          <w:lang w:val="en-GB"/>
        </w:rPr>
        <w:t>Itgenshorst</w:t>
      </w:r>
      <w:proofErr w:type="spellEnd"/>
      <w:r w:rsidR="001D52D7" w:rsidRPr="008269E3">
        <w:rPr>
          <w:lang w:val="en-GB"/>
        </w:rPr>
        <w:t xml:space="preserve"> 2005: 222; Eck 2010</w:t>
      </w:r>
      <w:r w:rsidR="001D52D7" w:rsidRPr="008269E3">
        <w:rPr>
          <w:i/>
          <w:lang w:val="en-GB"/>
        </w:rPr>
        <w:t>b</w:t>
      </w:r>
      <w:r w:rsidR="001D52D7" w:rsidRPr="008269E3">
        <w:rPr>
          <w:lang w:val="en-GB"/>
        </w:rPr>
        <w:t>: 20 f.</w:t>
      </w:r>
    </w:p>
  </w:footnote>
  <w:footnote w:id="12">
    <w:p w14:paraId="7805B434" w14:textId="04B11775" w:rsidR="002908E4" w:rsidRPr="008269E3" w:rsidRDefault="002908E4">
      <w:pPr>
        <w:pStyle w:val="FootnoteText"/>
        <w:rPr>
          <w:lang w:val="en-GB"/>
        </w:rPr>
      </w:pPr>
      <w:r w:rsidRPr="008269E3">
        <w:rPr>
          <w:rStyle w:val="FootnoteReference"/>
          <w:lang w:val="en-GB"/>
        </w:rPr>
        <w:footnoteRef/>
      </w:r>
      <w:r w:rsidRPr="008269E3">
        <w:rPr>
          <w:lang w:val="en-GB"/>
        </w:rPr>
        <w:t xml:space="preserve"> </w:t>
      </w:r>
      <w:r w:rsidR="001D52D7" w:rsidRPr="008269E3">
        <w:rPr>
          <w:lang w:val="en-GB"/>
        </w:rPr>
        <w:t>Pape</w:t>
      </w:r>
      <w:r w:rsidR="00074610" w:rsidRPr="008269E3">
        <w:rPr>
          <w:lang w:val="en-GB"/>
        </w:rPr>
        <w:t xml:space="preserve"> 1975: 27-40</w:t>
      </w:r>
      <w:r w:rsidR="00C06B55">
        <w:rPr>
          <w:lang w:val="en-GB"/>
        </w:rPr>
        <w:t xml:space="preserve"> with </w:t>
      </w:r>
      <w:r w:rsidR="0018187A">
        <w:rPr>
          <w:lang w:val="en-GB"/>
        </w:rPr>
        <w:t xml:space="preserve">earlier </w:t>
      </w:r>
      <w:r w:rsidR="00C06B55">
        <w:rPr>
          <w:lang w:val="en-GB"/>
        </w:rPr>
        <w:t>bibliography</w:t>
      </w:r>
      <w:r w:rsidR="00074610" w:rsidRPr="008269E3">
        <w:rPr>
          <w:lang w:val="en-GB"/>
        </w:rPr>
        <w:t xml:space="preserve">; </w:t>
      </w:r>
      <w:proofErr w:type="spellStart"/>
      <w:r w:rsidR="00074610" w:rsidRPr="008269E3">
        <w:rPr>
          <w:lang w:val="en-GB"/>
        </w:rPr>
        <w:t>Tarpin</w:t>
      </w:r>
      <w:proofErr w:type="spellEnd"/>
      <w:r w:rsidR="00074610" w:rsidRPr="008269E3">
        <w:rPr>
          <w:lang w:val="en-GB"/>
        </w:rPr>
        <w:t xml:space="preserve"> 2013; </w:t>
      </w:r>
      <w:proofErr w:type="spellStart"/>
      <w:r w:rsidR="00074610" w:rsidRPr="008269E3">
        <w:rPr>
          <w:lang w:val="en-GB"/>
        </w:rPr>
        <w:t>Coudry</w:t>
      </w:r>
      <w:proofErr w:type="spellEnd"/>
      <w:r w:rsidR="00074610" w:rsidRPr="008269E3">
        <w:rPr>
          <w:lang w:val="en-GB"/>
        </w:rPr>
        <w:t xml:space="preserve"> &amp; Humm 2009. </w:t>
      </w:r>
    </w:p>
  </w:footnote>
  <w:footnote w:id="13">
    <w:p w14:paraId="6C65ABF4" w14:textId="3219C865" w:rsidR="002908E4" w:rsidRPr="008269E3" w:rsidRDefault="002908E4" w:rsidP="002908E4">
      <w:pPr>
        <w:pStyle w:val="FootnoteText"/>
        <w:rPr>
          <w:lang w:val="en-GB"/>
        </w:rPr>
      </w:pPr>
      <w:r w:rsidRPr="008269E3">
        <w:rPr>
          <w:rStyle w:val="FootnoteReference"/>
          <w:lang w:val="en-GB"/>
        </w:rPr>
        <w:footnoteRef/>
      </w:r>
      <w:r w:rsidRPr="008269E3">
        <w:rPr>
          <w:lang w:val="en-GB"/>
        </w:rPr>
        <w:t xml:space="preserve"> Eck 2010</w:t>
      </w:r>
      <w:r w:rsidR="001D52D7" w:rsidRPr="008269E3">
        <w:rPr>
          <w:i/>
          <w:lang w:val="en-GB"/>
        </w:rPr>
        <w:t>c</w:t>
      </w:r>
      <w:r w:rsidRPr="008269E3">
        <w:rPr>
          <w:lang w:val="en-GB"/>
        </w:rPr>
        <w:t>: 209.</w:t>
      </w:r>
    </w:p>
  </w:footnote>
  <w:footnote w:id="14">
    <w:p w14:paraId="22C0C5FB" w14:textId="30D51503" w:rsidR="00E11C8A" w:rsidRPr="008269E3" w:rsidRDefault="00E11C8A">
      <w:pPr>
        <w:pStyle w:val="FootnoteText"/>
        <w:rPr>
          <w:lang w:val="en-GB"/>
        </w:rPr>
      </w:pPr>
      <w:r w:rsidRPr="008269E3">
        <w:rPr>
          <w:rStyle w:val="FootnoteReference"/>
          <w:lang w:val="en-GB"/>
        </w:rPr>
        <w:footnoteRef/>
      </w:r>
      <w:r w:rsidRPr="008269E3">
        <w:rPr>
          <w:lang w:val="en-GB"/>
        </w:rPr>
        <w:t xml:space="preserve"> Pape 1975: 6 f. </w:t>
      </w:r>
      <w:proofErr w:type="spellStart"/>
      <w:r w:rsidRPr="008269E3">
        <w:rPr>
          <w:lang w:val="en-GB"/>
        </w:rPr>
        <w:t>Itgenshorst</w:t>
      </w:r>
      <w:proofErr w:type="spellEnd"/>
      <w:r w:rsidRPr="008269E3">
        <w:rPr>
          <w:lang w:val="en-GB"/>
        </w:rPr>
        <w:t xml:space="preserve"> 2005:</w:t>
      </w:r>
      <w:r w:rsidR="00A2546F" w:rsidRPr="008269E3">
        <w:rPr>
          <w:lang w:val="en-GB"/>
        </w:rPr>
        <w:t xml:space="preserve"> </w:t>
      </w:r>
      <w:r w:rsidR="00074610" w:rsidRPr="008269E3">
        <w:rPr>
          <w:lang w:val="en-GB"/>
        </w:rPr>
        <w:t>140 ff., no. 158</w:t>
      </w:r>
      <w:r w:rsidR="00A2546F" w:rsidRPr="008269E3">
        <w:rPr>
          <w:lang w:val="en-GB"/>
        </w:rPr>
        <w:t>.</w:t>
      </w:r>
    </w:p>
  </w:footnote>
  <w:footnote w:id="15">
    <w:p w14:paraId="1FEF2A50" w14:textId="620AB2D7" w:rsidR="00E11C8A" w:rsidRPr="008269E3" w:rsidRDefault="00E11C8A">
      <w:pPr>
        <w:pStyle w:val="FootnoteText"/>
        <w:rPr>
          <w:lang w:val="en-GB"/>
        </w:rPr>
      </w:pPr>
      <w:r w:rsidRPr="008269E3">
        <w:rPr>
          <w:rStyle w:val="FootnoteReference"/>
          <w:lang w:val="en-GB"/>
        </w:rPr>
        <w:footnoteRef/>
      </w:r>
      <w:r w:rsidRPr="008269E3">
        <w:rPr>
          <w:lang w:val="en-GB"/>
        </w:rPr>
        <w:t xml:space="preserve"> </w:t>
      </w:r>
      <w:r w:rsidR="00AF4752" w:rsidRPr="008269E3">
        <w:rPr>
          <w:lang w:val="en-GB"/>
        </w:rPr>
        <w:t>For</w:t>
      </w:r>
      <w:r w:rsidR="00C326F7" w:rsidRPr="008269E3">
        <w:rPr>
          <w:lang w:val="en-GB"/>
        </w:rPr>
        <w:t xml:space="preserve"> Corinth cf. Pape 1975: 16-19; </w:t>
      </w:r>
      <w:r w:rsidRPr="008269E3">
        <w:rPr>
          <w:lang w:val="en-GB"/>
        </w:rPr>
        <w:t>Pape 197</w:t>
      </w:r>
      <w:r w:rsidR="00800926" w:rsidRPr="008269E3">
        <w:rPr>
          <w:lang w:val="en-GB"/>
        </w:rPr>
        <w:t>5: 6-26 for literary references;</w:t>
      </w:r>
      <w:r w:rsidRPr="008269E3">
        <w:rPr>
          <w:lang w:val="en-GB"/>
        </w:rPr>
        <w:t xml:space="preserve"> </w:t>
      </w:r>
      <w:proofErr w:type="spellStart"/>
      <w:r w:rsidRPr="008269E3">
        <w:rPr>
          <w:lang w:val="en-GB"/>
        </w:rPr>
        <w:t>Pensabene</w:t>
      </w:r>
      <w:proofErr w:type="spellEnd"/>
      <w:r w:rsidRPr="008269E3">
        <w:rPr>
          <w:lang w:val="en-GB"/>
        </w:rPr>
        <w:t xml:space="preserve"> 2013: 24.</w:t>
      </w:r>
    </w:p>
  </w:footnote>
  <w:footnote w:id="16">
    <w:p w14:paraId="181988DD" w14:textId="46459D00" w:rsidR="00DB49EC" w:rsidRPr="008269E3" w:rsidRDefault="00DB49EC" w:rsidP="00DB49EC">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Itgenshorst</w:t>
      </w:r>
      <w:proofErr w:type="spellEnd"/>
      <w:r w:rsidRPr="008269E3">
        <w:rPr>
          <w:lang w:val="en-GB"/>
        </w:rPr>
        <w:t xml:space="preserve"> 2005: 213 ff. Nr. 189</w:t>
      </w:r>
      <w:r>
        <w:rPr>
          <w:lang w:val="en-GB"/>
        </w:rPr>
        <w:t xml:space="preserve"> with sources</w:t>
      </w:r>
      <w:r w:rsidRPr="008269E3">
        <w:rPr>
          <w:lang w:val="en-GB"/>
        </w:rPr>
        <w:t>.</w:t>
      </w:r>
      <w:r w:rsidRPr="00DB49EC">
        <w:rPr>
          <w:rFonts w:ascii="Times New Roman" w:hAnsi="Times New Roman"/>
        </w:rPr>
        <w:t xml:space="preserve"> </w:t>
      </w:r>
      <w:r w:rsidR="001979AD">
        <w:rPr>
          <w:rFonts w:ascii="Times New Roman" w:hAnsi="Times New Roman"/>
        </w:rPr>
        <w:t>Perhaps the</w:t>
      </w:r>
      <w:r>
        <w:rPr>
          <w:rFonts w:ascii="Times New Roman" w:hAnsi="Times New Roman"/>
        </w:rPr>
        <w:t xml:space="preserve"> bronze Corinthian capitals used in the </w:t>
      </w:r>
      <w:proofErr w:type="spellStart"/>
      <w:r w:rsidRPr="009D590F">
        <w:rPr>
          <w:rFonts w:ascii="Times New Roman" w:hAnsi="Times New Roman"/>
          <w:i/>
        </w:rPr>
        <w:t>porticus</w:t>
      </w:r>
      <w:proofErr w:type="spellEnd"/>
      <w:r w:rsidRPr="009D590F">
        <w:rPr>
          <w:rFonts w:ascii="Times New Roman" w:hAnsi="Times New Roman"/>
        </w:rPr>
        <w:t xml:space="preserve"> </w:t>
      </w:r>
      <w:r w:rsidR="001979AD">
        <w:rPr>
          <w:rFonts w:ascii="Times New Roman" w:hAnsi="Times New Roman"/>
        </w:rPr>
        <w:t xml:space="preserve">of </w:t>
      </w:r>
      <w:r>
        <w:rPr>
          <w:rFonts w:ascii="Times New Roman" w:hAnsi="Times New Roman"/>
        </w:rPr>
        <w:t>Cn. Octavius (</w:t>
      </w:r>
      <w:r w:rsidRPr="009D590F">
        <w:rPr>
          <w:rFonts w:ascii="Times New Roman" w:hAnsi="Times New Roman"/>
        </w:rPr>
        <w:t>cos. 165 BC</w:t>
      </w:r>
      <w:r>
        <w:rPr>
          <w:rFonts w:ascii="Times New Roman" w:hAnsi="Times New Roman"/>
        </w:rPr>
        <w:t>)</w:t>
      </w:r>
      <w:r w:rsidRPr="009D590F">
        <w:rPr>
          <w:rFonts w:ascii="Times New Roman" w:hAnsi="Times New Roman"/>
        </w:rPr>
        <w:t xml:space="preserve"> </w:t>
      </w:r>
      <w:r w:rsidR="001979AD">
        <w:rPr>
          <w:rFonts w:ascii="Times New Roman" w:hAnsi="Times New Roman"/>
        </w:rPr>
        <w:t>were</w:t>
      </w:r>
      <w:r>
        <w:rPr>
          <w:rFonts w:ascii="Times New Roman" w:hAnsi="Times New Roman"/>
        </w:rPr>
        <w:t xml:space="preserve"> brought</w:t>
      </w:r>
      <w:r w:rsidRPr="009D590F">
        <w:rPr>
          <w:rFonts w:ascii="Times New Roman" w:hAnsi="Times New Roman"/>
        </w:rPr>
        <w:t xml:space="preserve"> </w:t>
      </w:r>
      <w:r>
        <w:rPr>
          <w:rFonts w:ascii="Times New Roman" w:hAnsi="Times New Roman"/>
        </w:rPr>
        <w:t>to Rome</w:t>
      </w:r>
      <w:r w:rsidRPr="009D590F">
        <w:rPr>
          <w:rFonts w:ascii="Times New Roman" w:hAnsi="Times New Roman"/>
        </w:rPr>
        <w:t xml:space="preserve"> from Greece</w:t>
      </w:r>
      <w:r w:rsidR="001979AD">
        <w:rPr>
          <w:rFonts w:ascii="Times New Roman" w:hAnsi="Times New Roman"/>
        </w:rPr>
        <w:t xml:space="preserve"> </w:t>
      </w:r>
      <w:proofErr w:type="spellStart"/>
      <w:r w:rsidR="001979AD">
        <w:rPr>
          <w:rFonts w:ascii="Times New Roman" w:hAnsi="Times New Roman"/>
        </w:rPr>
        <w:t>asl</w:t>
      </w:r>
      <w:proofErr w:type="spellEnd"/>
      <w:r w:rsidR="001979AD">
        <w:rPr>
          <w:rFonts w:ascii="Times New Roman" w:hAnsi="Times New Roman"/>
        </w:rPr>
        <w:t xml:space="preserve"> well</w:t>
      </w:r>
      <w:r w:rsidR="005D2D6F">
        <w:rPr>
          <w:rFonts w:ascii="Times New Roman" w:hAnsi="Times New Roman"/>
        </w:rPr>
        <w:t>, cf.</w:t>
      </w:r>
      <w:r w:rsidR="005D2D6F" w:rsidRPr="005D2D6F">
        <w:rPr>
          <w:lang w:val="en-GB"/>
        </w:rPr>
        <w:t xml:space="preserve"> </w:t>
      </w:r>
      <w:proofErr w:type="spellStart"/>
      <w:r w:rsidR="005D2D6F" w:rsidRPr="008269E3">
        <w:rPr>
          <w:lang w:val="en-GB"/>
        </w:rPr>
        <w:t>Itgenshorst</w:t>
      </w:r>
      <w:proofErr w:type="spellEnd"/>
      <w:r w:rsidR="005D2D6F" w:rsidRPr="008269E3">
        <w:rPr>
          <w:lang w:val="en-GB"/>
        </w:rPr>
        <w:t xml:space="preserve"> 2005: 236 f. Nr. 201.</w:t>
      </w:r>
      <w:r w:rsidR="005D2D6F">
        <w:rPr>
          <w:lang w:val="en-GB"/>
        </w:rPr>
        <w:t xml:space="preserve"> with sources.</w:t>
      </w:r>
    </w:p>
  </w:footnote>
  <w:footnote w:id="17">
    <w:p w14:paraId="26A45736" w14:textId="300DB094" w:rsidR="00DB49EC" w:rsidRPr="008269E3" w:rsidRDefault="00DB49EC" w:rsidP="00DB49EC">
      <w:pPr>
        <w:pStyle w:val="FootnoteText"/>
        <w:rPr>
          <w:lang w:val="en-GB"/>
        </w:rPr>
      </w:pPr>
      <w:r w:rsidRPr="008269E3">
        <w:rPr>
          <w:rStyle w:val="FootnoteReference"/>
          <w:lang w:val="en-GB"/>
        </w:rPr>
        <w:footnoteRef/>
      </w:r>
      <w:r w:rsidRPr="008269E3">
        <w:rPr>
          <w:lang w:val="en-GB"/>
        </w:rPr>
        <w:t xml:space="preserve"> Plut. </w:t>
      </w:r>
      <w:r w:rsidRPr="008269E3">
        <w:rPr>
          <w:i/>
          <w:lang w:val="en-GB"/>
        </w:rPr>
        <w:t>Publ</w:t>
      </w:r>
      <w:r w:rsidRPr="008269E3">
        <w:rPr>
          <w:lang w:val="en-GB"/>
        </w:rPr>
        <w:t xml:space="preserve">. 15, with Richardson 1992: 222f.; Val. Max 9.3.8; Tac. </w:t>
      </w:r>
      <w:r w:rsidRPr="008269E3">
        <w:rPr>
          <w:i/>
          <w:lang w:val="en-GB"/>
        </w:rPr>
        <w:t>hist</w:t>
      </w:r>
      <w:r w:rsidRPr="008269E3">
        <w:rPr>
          <w:lang w:val="en-GB"/>
        </w:rPr>
        <w:t>. 3.72.</w:t>
      </w:r>
    </w:p>
  </w:footnote>
  <w:footnote w:id="18">
    <w:p w14:paraId="0025271B" w14:textId="31E0CD0D" w:rsidR="007D4877" w:rsidRPr="008269E3" w:rsidRDefault="007D4877" w:rsidP="007D4877">
      <w:pPr>
        <w:pStyle w:val="FootnoteText"/>
        <w:rPr>
          <w:lang w:val="en-GB"/>
        </w:rPr>
      </w:pPr>
      <w:r w:rsidRPr="008269E3">
        <w:rPr>
          <w:rStyle w:val="FootnoteReference"/>
          <w:lang w:val="en-GB"/>
        </w:rPr>
        <w:footnoteRef/>
      </w:r>
      <w:r w:rsidRPr="008269E3">
        <w:rPr>
          <w:lang w:val="en-GB"/>
        </w:rPr>
        <w:t xml:space="preserve"> Bradley 2006: 2;</w:t>
      </w:r>
      <w:r w:rsidR="009E7F7B">
        <w:rPr>
          <w:lang w:val="en-GB"/>
        </w:rPr>
        <w:t xml:space="preserve"> see also </w:t>
      </w:r>
      <w:proofErr w:type="spellStart"/>
      <w:r w:rsidR="009E7F7B">
        <w:rPr>
          <w:lang w:val="en-GB"/>
        </w:rPr>
        <w:t>Itgenshorst</w:t>
      </w:r>
      <w:proofErr w:type="spellEnd"/>
      <w:r w:rsidR="009E7F7B">
        <w:rPr>
          <w:lang w:val="en-GB"/>
        </w:rPr>
        <w:t xml:space="preserve"> 2005: 251 with sources</w:t>
      </w:r>
      <w:r w:rsidRPr="008269E3">
        <w:rPr>
          <w:lang w:val="en-GB"/>
        </w:rPr>
        <w:t>; Albers 2013: 80 f.</w:t>
      </w:r>
    </w:p>
  </w:footnote>
  <w:footnote w:id="19">
    <w:p w14:paraId="2C59F7A0" w14:textId="03E49744" w:rsidR="007D4877" w:rsidRPr="008269E3" w:rsidRDefault="007D4877" w:rsidP="007D4877">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Itgenshorst</w:t>
      </w:r>
      <w:proofErr w:type="spellEnd"/>
      <w:r w:rsidRPr="008269E3">
        <w:rPr>
          <w:lang w:val="en-GB"/>
        </w:rPr>
        <w:t xml:space="preserve"> 2005: 271 f.</w:t>
      </w:r>
      <w:r w:rsidR="009E7F7B">
        <w:rPr>
          <w:lang w:val="en-GB"/>
        </w:rPr>
        <w:t xml:space="preserve"> with sources</w:t>
      </w:r>
      <w:r w:rsidRPr="008269E3">
        <w:rPr>
          <w:lang w:val="en-GB"/>
        </w:rPr>
        <w:t>; Bernard 2010: 36; Albers 2013: 76 f.</w:t>
      </w:r>
      <w:r w:rsidR="009E7F7B">
        <w:rPr>
          <w:lang w:val="en-GB"/>
        </w:rPr>
        <w:t xml:space="preserve">; </w:t>
      </w:r>
      <w:r w:rsidR="009E7F7B" w:rsidRPr="008269E3">
        <w:rPr>
          <w:lang w:val="en-GB"/>
        </w:rPr>
        <w:t xml:space="preserve">for Cn. </w:t>
      </w:r>
      <w:proofErr w:type="spellStart"/>
      <w:r w:rsidR="009E7F7B" w:rsidRPr="008269E3">
        <w:rPr>
          <w:lang w:val="en-GB"/>
        </w:rPr>
        <w:t>Domitius</w:t>
      </w:r>
      <w:proofErr w:type="spellEnd"/>
      <w:r w:rsidR="009E7F7B" w:rsidRPr="008269E3">
        <w:rPr>
          <w:lang w:val="en-GB"/>
        </w:rPr>
        <w:t xml:space="preserve"> </w:t>
      </w:r>
      <w:proofErr w:type="spellStart"/>
      <w:r w:rsidR="009E7F7B" w:rsidRPr="008269E3">
        <w:rPr>
          <w:lang w:val="en-GB"/>
        </w:rPr>
        <w:t>Ahenobarbus</w:t>
      </w:r>
      <w:proofErr w:type="spellEnd"/>
      <w:r w:rsidR="009E7F7B">
        <w:rPr>
          <w:lang w:val="en-GB"/>
        </w:rPr>
        <w:t>’</w:t>
      </w:r>
      <w:r w:rsidR="009E7F7B" w:rsidRPr="009E7F7B">
        <w:rPr>
          <w:i/>
          <w:lang w:val="en-GB"/>
        </w:rPr>
        <w:t xml:space="preserve"> </w:t>
      </w:r>
      <w:proofErr w:type="spellStart"/>
      <w:r w:rsidR="009E7F7B" w:rsidRPr="008269E3">
        <w:rPr>
          <w:i/>
          <w:lang w:val="en-GB"/>
        </w:rPr>
        <w:t>aedes</w:t>
      </w:r>
      <w:proofErr w:type="spellEnd"/>
      <w:r w:rsidR="009E7F7B" w:rsidRPr="008269E3">
        <w:rPr>
          <w:i/>
          <w:lang w:val="en-GB"/>
        </w:rPr>
        <w:t xml:space="preserve"> </w:t>
      </w:r>
      <w:proofErr w:type="spellStart"/>
      <w:r w:rsidR="009E7F7B" w:rsidRPr="008269E3">
        <w:rPr>
          <w:i/>
          <w:lang w:val="en-GB"/>
        </w:rPr>
        <w:t>Neptunis</w:t>
      </w:r>
      <w:proofErr w:type="spellEnd"/>
      <w:r w:rsidR="009E7F7B">
        <w:rPr>
          <w:i/>
          <w:lang w:val="en-GB"/>
        </w:rPr>
        <w:t xml:space="preserve"> </w:t>
      </w:r>
      <w:r w:rsidR="009E7F7B" w:rsidRPr="009E7F7B">
        <w:rPr>
          <w:lang w:val="en-GB"/>
        </w:rPr>
        <w:t>also built in Pentelic marble</w:t>
      </w:r>
      <w:r w:rsidR="009E7F7B" w:rsidRPr="008269E3">
        <w:rPr>
          <w:lang w:val="en-GB"/>
        </w:rPr>
        <w:t xml:space="preserve">: </w:t>
      </w:r>
      <w:proofErr w:type="spellStart"/>
      <w:r w:rsidR="009E7F7B">
        <w:rPr>
          <w:lang w:val="en-GB"/>
        </w:rPr>
        <w:t>Itgenshorst</w:t>
      </w:r>
      <w:proofErr w:type="spellEnd"/>
      <w:r w:rsidR="009E7F7B">
        <w:rPr>
          <w:lang w:val="en-GB"/>
        </w:rPr>
        <w:t xml:space="preserve"> 2005: 289 f. no 222 with sources;</w:t>
      </w:r>
      <w:r w:rsidR="009E7F7B" w:rsidRPr="009E7F7B">
        <w:rPr>
          <w:lang w:val="en-GB"/>
        </w:rPr>
        <w:t xml:space="preserve"> </w:t>
      </w:r>
      <w:r w:rsidR="009E7F7B" w:rsidRPr="008269E3">
        <w:rPr>
          <w:lang w:val="en-GB"/>
        </w:rPr>
        <w:t xml:space="preserve">Bernard 2010: 38 f.; Albers 2013: 76 f.; </w:t>
      </w:r>
      <w:proofErr w:type="spellStart"/>
      <w:r w:rsidR="009E7F7B" w:rsidRPr="008269E3">
        <w:rPr>
          <w:lang w:val="en-GB"/>
        </w:rPr>
        <w:t>Pensabene</w:t>
      </w:r>
      <w:proofErr w:type="spellEnd"/>
      <w:r w:rsidR="009E7F7B" w:rsidRPr="008269E3">
        <w:rPr>
          <w:lang w:val="en-GB"/>
        </w:rPr>
        <w:t xml:space="preserve"> 2013: 26;</w:t>
      </w:r>
    </w:p>
  </w:footnote>
  <w:footnote w:id="20">
    <w:p w14:paraId="1B1CCEC1" w14:textId="2F4D1B6A" w:rsidR="008A0674" w:rsidRPr="008269E3" w:rsidRDefault="008A0674">
      <w:pPr>
        <w:pStyle w:val="FootnoteText"/>
        <w:rPr>
          <w:lang w:val="en-GB"/>
        </w:rPr>
      </w:pPr>
      <w:r w:rsidRPr="008269E3">
        <w:rPr>
          <w:rStyle w:val="FootnoteReference"/>
          <w:lang w:val="en-GB"/>
        </w:rPr>
        <w:footnoteRef/>
      </w:r>
      <w:r w:rsidR="00A212BF" w:rsidRPr="008269E3">
        <w:rPr>
          <w:lang w:val="en-GB"/>
        </w:rPr>
        <w:t xml:space="preserve"> </w:t>
      </w:r>
      <w:r w:rsidRPr="008269E3">
        <w:rPr>
          <w:lang w:val="en-GB"/>
        </w:rPr>
        <w:t>Sch</w:t>
      </w:r>
      <w:r w:rsidR="00A212BF" w:rsidRPr="008269E3">
        <w:rPr>
          <w:lang w:val="en-GB"/>
        </w:rPr>
        <w:t>n</w:t>
      </w:r>
      <w:r w:rsidRPr="008269E3">
        <w:rPr>
          <w:lang w:val="en-GB"/>
        </w:rPr>
        <w:t>eider 1986</w:t>
      </w:r>
      <w:r w:rsidR="00A212BF" w:rsidRPr="008269E3">
        <w:rPr>
          <w:lang w:val="en-GB"/>
        </w:rPr>
        <w:t xml:space="preserve">: 149-152; Bradley 2006: 2; </w:t>
      </w:r>
      <w:proofErr w:type="spellStart"/>
      <w:r w:rsidR="00A77D45" w:rsidRPr="008269E3">
        <w:rPr>
          <w:lang w:val="en-GB"/>
        </w:rPr>
        <w:t>Ostenberg</w:t>
      </w:r>
      <w:proofErr w:type="spellEnd"/>
      <w:r w:rsidR="00A77D45" w:rsidRPr="008269E3">
        <w:rPr>
          <w:lang w:val="en-GB"/>
        </w:rPr>
        <w:t xml:space="preserve"> 2009: 272 ff.</w:t>
      </w:r>
    </w:p>
  </w:footnote>
  <w:footnote w:id="21">
    <w:p w14:paraId="738492EE" w14:textId="270134E2" w:rsidR="009E7F7B" w:rsidRPr="009E7F7B" w:rsidRDefault="009E7F7B">
      <w:pPr>
        <w:pStyle w:val="FootnoteText"/>
        <w:rPr>
          <w:lang w:val="de-CH"/>
        </w:rPr>
      </w:pPr>
      <w:r>
        <w:rPr>
          <w:rStyle w:val="FootnoteReference"/>
        </w:rPr>
        <w:footnoteRef/>
      </w:r>
      <w:r>
        <w:t xml:space="preserve"> </w:t>
      </w:r>
      <w:r>
        <w:rPr>
          <w:rFonts w:ascii="Times New Roman" w:hAnsi="Times New Roman"/>
        </w:rPr>
        <w:t xml:space="preserve">Cf. </w:t>
      </w:r>
      <w:proofErr w:type="spellStart"/>
      <w:r>
        <w:rPr>
          <w:rFonts w:ascii="Times New Roman" w:hAnsi="Times New Roman"/>
        </w:rPr>
        <w:t>Mahdia</w:t>
      </w:r>
      <w:proofErr w:type="spellEnd"/>
      <w:r>
        <w:rPr>
          <w:rFonts w:ascii="Times New Roman" w:hAnsi="Times New Roman"/>
        </w:rPr>
        <w:t xml:space="preserve"> shipwreck with</w:t>
      </w:r>
      <w:r>
        <w:rPr>
          <w:lang w:val="en-GB"/>
        </w:rPr>
        <w:t xml:space="preserve"> Cic </w:t>
      </w:r>
      <w:r w:rsidRPr="009D590F">
        <w:rPr>
          <w:rFonts w:ascii="Times New Roman" w:hAnsi="Times New Roman"/>
          <w:i/>
        </w:rPr>
        <w:t>Att</w:t>
      </w:r>
      <w:r>
        <w:rPr>
          <w:rFonts w:ascii="Times New Roman" w:hAnsi="Times New Roman"/>
        </w:rPr>
        <w:t xml:space="preserve">. 12.19.1 and Pliny </w:t>
      </w:r>
      <w:r w:rsidRPr="009D590F">
        <w:rPr>
          <w:rFonts w:ascii="Times New Roman" w:hAnsi="Times New Roman"/>
          <w:i/>
        </w:rPr>
        <w:t>ep</w:t>
      </w:r>
      <w:r w:rsidRPr="009D590F">
        <w:rPr>
          <w:rFonts w:ascii="Times New Roman" w:hAnsi="Times New Roman"/>
        </w:rPr>
        <w:t>. 9.39.4</w:t>
      </w:r>
      <w:r>
        <w:rPr>
          <w:lang w:val="en-GB"/>
        </w:rPr>
        <w:t xml:space="preserve">, </w:t>
      </w:r>
      <w:proofErr w:type="spellStart"/>
      <w:r w:rsidRPr="008269E3">
        <w:rPr>
          <w:lang w:val="en-GB"/>
        </w:rPr>
        <w:t>Hesbe</w:t>
      </w:r>
      <w:r>
        <w:rPr>
          <w:lang w:val="en-GB"/>
        </w:rPr>
        <w:t>rg</w:t>
      </w:r>
      <w:proofErr w:type="spellEnd"/>
      <w:r w:rsidR="00AC6659">
        <w:rPr>
          <w:lang w:val="en-GB"/>
        </w:rPr>
        <w:t xml:space="preserve"> </w:t>
      </w:r>
      <w:r>
        <w:rPr>
          <w:lang w:val="en-GB"/>
        </w:rPr>
        <w:t xml:space="preserve">1994: 179, 182; </w:t>
      </w:r>
      <w:proofErr w:type="spellStart"/>
      <w:r>
        <w:rPr>
          <w:lang w:val="en-GB"/>
        </w:rPr>
        <w:t>Hesberg</w:t>
      </w:r>
      <w:proofErr w:type="spellEnd"/>
      <w:r>
        <w:rPr>
          <w:lang w:val="en-GB"/>
        </w:rPr>
        <w:t xml:space="preserve"> 2005: 35f.</w:t>
      </w:r>
    </w:p>
  </w:footnote>
  <w:footnote w:id="22">
    <w:p w14:paraId="14B6A744" w14:textId="77777777" w:rsidR="009B0808" w:rsidRPr="008269E3" w:rsidRDefault="009B0808" w:rsidP="009B0808">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Schäfer</w:t>
      </w:r>
      <w:proofErr w:type="spellEnd"/>
      <w:r w:rsidRPr="008269E3">
        <w:rPr>
          <w:lang w:val="en-GB"/>
        </w:rPr>
        <w:t xml:space="preserve"> 1979: 243-250; Schneider 1986: 145f.</w:t>
      </w:r>
    </w:p>
  </w:footnote>
  <w:footnote w:id="23">
    <w:p w14:paraId="3E3BA7FB" w14:textId="77777777" w:rsidR="009B0808" w:rsidRPr="008269E3" w:rsidRDefault="009B0808" w:rsidP="009B0808">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Pensabene</w:t>
      </w:r>
      <w:proofErr w:type="spellEnd"/>
      <w:r w:rsidRPr="008269E3">
        <w:rPr>
          <w:lang w:val="en-GB"/>
        </w:rPr>
        <w:t xml:space="preserve"> 2013: 36; lead token: </w:t>
      </w:r>
      <w:proofErr w:type="spellStart"/>
      <w:r w:rsidRPr="008269E3">
        <w:rPr>
          <w:lang w:val="en-GB"/>
        </w:rPr>
        <w:t>Bruzza</w:t>
      </w:r>
      <w:proofErr w:type="spellEnd"/>
      <w:r w:rsidRPr="008269E3">
        <w:rPr>
          <w:lang w:val="en-GB"/>
        </w:rPr>
        <w:t xml:space="preserve"> 1870: 184 no.187; Dubois 1908: 149 no. 480. On the triumph of Pompeius: </w:t>
      </w:r>
      <w:proofErr w:type="spellStart"/>
      <w:r w:rsidRPr="008269E3">
        <w:rPr>
          <w:lang w:val="en-GB"/>
        </w:rPr>
        <w:t>Itgenshorst</w:t>
      </w:r>
      <w:proofErr w:type="spellEnd"/>
      <w:r w:rsidRPr="008269E3">
        <w:rPr>
          <w:lang w:val="en-GB"/>
        </w:rPr>
        <w:t xml:space="preserve"> 2005: 357 ff. no. 258.</w:t>
      </w:r>
    </w:p>
  </w:footnote>
  <w:footnote w:id="24">
    <w:p w14:paraId="1941155B" w14:textId="4BCB2D8C" w:rsidR="00986FEA" w:rsidRPr="008269E3" w:rsidRDefault="00986FEA">
      <w:pPr>
        <w:pStyle w:val="FootnoteText"/>
        <w:rPr>
          <w:lang w:val="en-GB"/>
        </w:rPr>
      </w:pPr>
      <w:r w:rsidRPr="008269E3">
        <w:rPr>
          <w:rStyle w:val="FootnoteReference"/>
          <w:lang w:val="en-GB"/>
        </w:rPr>
        <w:footnoteRef/>
      </w:r>
      <w:r w:rsidRPr="008269E3">
        <w:rPr>
          <w:lang w:val="en-GB"/>
        </w:rPr>
        <w:t xml:space="preserve"> </w:t>
      </w:r>
      <w:proofErr w:type="spellStart"/>
      <w:r w:rsidR="00044C3F">
        <w:rPr>
          <w:lang w:val="en-GB"/>
        </w:rPr>
        <w:t>Fant</w:t>
      </w:r>
      <w:proofErr w:type="spellEnd"/>
      <w:r w:rsidR="00044C3F">
        <w:rPr>
          <w:lang w:val="en-GB"/>
        </w:rPr>
        <w:t xml:space="preserve"> 1995: 278 f.</w:t>
      </w:r>
      <w:r w:rsidR="00B2752A" w:rsidRPr="008269E3">
        <w:rPr>
          <w:lang w:val="en-GB"/>
        </w:rPr>
        <w:t xml:space="preserve">, for a different view: </w:t>
      </w:r>
      <w:r w:rsidRPr="008269E3">
        <w:rPr>
          <w:lang w:val="en-GB"/>
        </w:rPr>
        <w:t>Schneider 1982: 146 f.</w:t>
      </w:r>
      <w:r w:rsidR="00B2752A" w:rsidRPr="008269E3">
        <w:rPr>
          <w:lang w:val="en-GB"/>
        </w:rPr>
        <w:t xml:space="preserve">; </w:t>
      </w:r>
    </w:p>
  </w:footnote>
  <w:footnote w:id="25">
    <w:p w14:paraId="065B2E90" w14:textId="2E3E45E2" w:rsidR="0097786D" w:rsidRPr="008269E3" w:rsidRDefault="0097786D" w:rsidP="00580902">
      <w:pPr>
        <w:pStyle w:val="FootnoteText"/>
        <w:tabs>
          <w:tab w:val="right" w:pos="7364"/>
        </w:tabs>
        <w:rPr>
          <w:lang w:val="en-GB"/>
        </w:rPr>
      </w:pPr>
      <w:r w:rsidRPr="008269E3">
        <w:rPr>
          <w:rStyle w:val="FootnoteReference"/>
          <w:lang w:val="en-GB"/>
        </w:rPr>
        <w:footnoteRef/>
      </w:r>
      <w:r w:rsidRPr="008269E3">
        <w:rPr>
          <w:lang w:val="en-GB"/>
        </w:rPr>
        <w:t xml:space="preserve"> Pliny </w:t>
      </w:r>
      <w:r w:rsidRPr="008269E3">
        <w:rPr>
          <w:i/>
          <w:lang w:val="en-GB"/>
        </w:rPr>
        <w:t>n.h.</w:t>
      </w:r>
      <w:r w:rsidRPr="008269E3">
        <w:rPr>
          <w:lang w:val="en-GB"/>
        </w:rPr>
        <w:t xml:space="preserve"> 34.17; </w:t>
      </w:r>
      <w:proofErr w:type="spellStart"/>
      <w:r w:rsidRPr="008269E3">
        <w:rPr>
          <w:lang w:val="en-GB"/>
        </w:rPr>
        <w:t>Hesberg</w:t>
      </w:r>
      <w:proofErr w:type="spellEnd"/>
      <w:r w:rsidRPr="008269E3">
        <w:rPr>
          <w:lang w:val="en-GB"/>
        </w:rPr>
        <w:t xml:space="preserve"> 2005: 39</w:t>
      </w:r>
      <w:r>
        <w:rPr>
          <w:lang w:val="en-GB"/>
        </w:rPr>
        <w:t>.</w:t>
      </w:r>
      <w:r w:rsidR="00580902">
        <w:rPr>
          <w:lang w:val="en-GB"/>
        </w:rPr>
        <w:tab/>
      </w:r>
    </w:p>
  </w:footnote>
  <w:footnote w:id="26">
    <w:p w14:paraId="73160534" w14:textId="77777777" w:rsidR="0097786D" w:rsidRPr="008269E3" w:rsidRDefault="0097786D" w:rsidP="0097786D">
      <w:pPr>
        <w:pStyle w:val="FootnoteText"/>
        <w:rPr>
          <w:lang w:val="en-GB"/>
        </w:rPr>
      </w:pPr>
      <w:r w:rsidRPr="008269E3">
        <w:rPr>
          <w:rStyle w:val="FootnoteReference"/>
          <w:lang w:val="en-GB"/>
        </w:rPr>
        <w:footnoteRef/>
      </w:r>
      <w:r w:rsidRPr="008269E3">
        <w:rPr>
          <w:lang w:val="en-GB"/>
        </w:rPr>
        <w:t xml:space="preserve"> Wiseman 1987: 394</w:t>
      </w:r>
      <w:r>
        <w:rPr>
          <w:lang w:val="en-GB"/>
        </w:rPr>
        <w:t xml:space="preserve">; </w:t>
      </w:r>
      <w:r w:rsidRPr="008269E3">
        <w:rPr>
          <w:lang w:val="en-GB"/>
        </w:rPr>
        <w:t xml:space="preserve">Flower 1996: 189-222; </w:t>
      </w:r>
      <w:proofErr w:type="spellStart"/>
      <w:r w:rsidRPr="008269E3">
        <w:rPr>
          <w:lang w:val="en-GB"/>
        </w:rPr>
        <w:t>Polito</w:t>
      </w:r>
      <w:proofErr w:type="spellEnd"/>
      <w:r w:rsidRPr="008269E3">
        <w:rPr>
          <w:lang w:val="en-GB"/>
        </w:rPr>
        <w:t xml:space="preserve"> 1998: 26; </w:t>
      </w:r>
      <w:proofErr w:type="spellStart"/>
      <w:r w:rsidRPr="008269E3">
        <w:rPr>
          <w:lang w:val="en-GB"/>
        </w:rPr>
        <w:t>Flaig</w:t>
      </w:r>
      <w:proofErr w:type="spellEnd"/>
      <w:r w:rsidRPr="008269E3">
        <w:rPr>
          <w:lang w:val="en-GB"/>
        </w:rPr>
        <w:t xml:space="preserve"> 2003: 49 f.; </w:t>
      </w:r>
      <w:proofErr w:type="spellStart"/>
      <w:r w:rsidRPr="0083656D">
        <w:rPr>
          <w:lang w:val="fr-FR"/>
        </w:rPr>
        <w:t>Hesberg</w:t>
      </w:r>
      <w:proofErr w:type="spellEnd"/>
      <w:r w:rsidRPr="0083656D">
        <w:rPr>
          <w:lang w:val="fr-FR"/>
        </w:rPr>
        <w:t xml:space="preserve"> 2005: 33 </w:t>
      </w:r>
      <w:proofErr w:type="gramStart"/>
      <w:r w:rsidRPr="0083656D">
        <w:rPr>
          <w:lang w:val="fr-FR"/>
        </w:rPr>
        <w:t>f.</w:t>
      </w:r>
      <w:r>
        <w:rPr>
          <w:lang w:val="fr-FR"/>
        </w:rPr>
        <w:t> ;</w:t>
      </w:r>
      <w:proofErr w:type="gramEnd"/>
      <w:r>
        <w:rPr>
          <w:lang w:val="fr-FR"/>
        </w:rPr>
        <w:t xml:space="preserve"> </w:t>
      </w:r>
      <w:r w:rsidRPr="008269E3">
        <w:rPr>
          <w:lang w:val="en-GB"/>
        </w:rPr>
        <w:t>Stein-</w:t>
      </w:r>
      <w:proofErr w:type="spellStart"/>
      <w:r w:rsidRPr="008269E3">
        <w:rPr>
          <w:lang w:val="en-GB"/>
        </w:rPr>
        <w:t>Hölkeskamp</w:t>
      </w:r>
      <w:proofErr w:type="spellEnd"/>
      <w:r w:rsidRPr="008269E3">
        <w:rPr>
          <w:lang w:val="en-GB"/>
        </w:rPr>
        <w:t xml:space="preserve"> 2006: 307-309; </w:t>
      </w:r>
      <w:proofErr w:type="spellStart"/>
      <w:r w:rsidRPr="008269E3">
        <w:rPr>
          <w:lang w:val="en-GB"/>
        </w:rPr>
        <w:t>Ostenberg</w:t>
      </w:r>
      <w:proofErr w:type="spellEnd"/>
      <w:r w:rsidRPr="008269E3">
        <w:rPr>
          <w:lang w:val="en-GB"/>
        </w:rPr>
        <w:t xml:space="preserve"> 2009: 20-22.</w:t>
      </w:r>
    </w:p>
  </w:footnote>
  <w:footnote w:id="27">
    <w:p w14:paraId="2ED29EC0" w14:textId="77777777" w:rsidR="0097786D" w:rsidRPr="0083656D" w:rsidRDefault="0097786D" w:rsidP="0097786D">
      <w:pPr>
        <w:pStyle w:val="FootnoteText"/>
        <w:rPr>
          <w:lang w:val="fr-FR"/>
        </w:rPr>
      </w:pPr>
      <w:r w:rsidRPr="008269E3">
        <w:rPr>
          <w:rStyle w:val="FootnoteReference"/>
          <w:lang w:val="en-GB"/>
        </w:rPr>
        <w:footnoteRef/>
      </w:r>
      <w:r w:rsidRPr="0083656D">
        <w:rPr>
          <w:lang w:val="fr-FR"/>
        </w:rPr>
        <w:t xml:space="preserve"> </w:t>
      </w:r>
      <w:proofErr w:type="spellStart"/>
      <w:r w:rsidRPr="0083656D">
        <w:rPr>
          <w:lang w:val="fr-FR"/>
        </w:rPr>
        <w:t>Flaig</w:t>
      </w:r>
      <w:proofErr w:type="spellEnd"/>
      <w:r w:rsidRPr="0083656D">
        <w:rPr>
          <w:lang w:val="fr-FR"/>
        </w:rPr>
        <w:t xml:space="preserve"> </w:t>
      </w:r>
      <w:proofErr w:type="gramStart"/>
      <w:r w:rsidRPr="0083656D">
        <w:rPr>
          <w:lang w:val="fr-FR"/>
        </w:rPr>
        <w:t>2003:</w:t>
      </w:r>
      <w:proofErr w:type="gramEnd"/>
      <w:r w:rsidRPr="0083656D">
        <w:rPr>
          <w:lang w:val="fr-FR"/>
        </w:rPr>
        <w:t xml:space="preserve"> 49 f.; </w:t>
      </w:r>
      <w:proofErr w:type="spellStart"/>
      <w:r w:rsidRPr="0083656D">
        <w:rPr>
          <w:lang w:val="fr-FR"/>
        </w:rPr>
        <w:t>Hölkeskamp</w:t>
      </w:r>
      <w:proofErr w:type="spellEnd"/>
      <w:r w:rsidRPr="0083656D">
        <w:rPr>
          <w:lang w:val="fr-FR"/>
        </w:rPr>
        <w:t xml:space="preserve"> 2010: 107 </w:t>
      </w:r>
      <w:proofErr w:type="spellStart"/>
      <w:r w:rsidRPr="0083656D">
        <w:rPr>
          <w:lang w:val="fr-FR"/>
        </w:rPr>
        <w:t>ff</w:t>
      </w:r>
      <w:proofErr w:type="spellEnd"/>
      <w:r w:rsidRPr="0083656D">
        <w:rPr>
          <w:lang w:val="fr-FR"/>
        </w:rPr>
        <w:t>.</w:t>
      </w:r>
    </w:p>
  </w:footnote>
  <w:footnote w:id="28">
    <w:p w14:paraId="720E8C95" w14:textId="33904804" w:rsidR="0097786D" w:rsidRPr="008269E3" w:rsidRDefault="0097786D" w:rsidP="0097786D">
      <w:pPr>
        <w:pStyle w:val="FootnoteText"/>
        <w:rPr>
          <w:lang w:val="en-GB"/>
        </w:rPr>
      </w:pPr>
      <w:r w:rsidRPr="008269E3">
        <w:rPr>
          <w:rStyle w:val="FootnoteReference"/>
          <w:lang w:val="en-GB"/>
        </w:rPr>
        <w:footnoteRef/>
      </w:r>
      <w:r w:rsidRPr="008269E3">
        <w:rPr>
          <w:lang w:val="en-GB"/>
        </w:rPr>
        <w:t xml:space="preserve"> </w:t>
      </w:r>
      <w:proofErr w:type="spellStart"/>
      <w:r w:rsidR="001979AD">
        <w:rPr>
          <w:lang w:val="en-GB"/>
        </w:rPr>
        <w:t>Plin</w:t>
      </w:r>
      <w:proofErr w:type="spellEnd"/>
      <w:r w:rsidR="001979AD">
        <w:rPr>
          <w:lang w:val="en-GB"/>
        </w:rPr>
        <w:t>.</w:t>
      </w:r>
      <w:r>
        <w:rPr>
          <w:lang w:val="en-GB"/>
        </w:rPr>
        <w:t xml:space="preserve"> n.h. 17.6; </w:t>
      </w:r>
      <w:proofErr w:type="spellStart"/>
      <w:r w:rsidRPr="008269E3">
        <w:rPr>
          <w:lang w:val="en-GB"/>
        </w:rPr>
        <w:t>Hesberg</w:t>
      </w:r>
      <w:proofErr w:type="spellEnd"/>
      <w:r w:rsidRPr="008269E3">
        <w:rPr>
          <w:lang w:val="en-GB"/>
        </w:rPr>
        <w:t xml:space="preserve"> 1994: 178 f.</w:t>
      </w:r>
      <w:r>
        <w:rPr>
          <w:lang w:val="en-GB"/>
        </w:rPr>
        <w:t xml:space="preserve">; </w:t>
      </w:r>
      <w:proofErr w:type="spellStart"/>
      <w:r w:rsidRPr="008269E3">
        <w:rPr>
          <w:lang w:val="en-GB"/>
        </w:rPr>
        <w:t>Hesberg</w:t>
      </w:r>
      <w:proofErr w:type="spellEnd"/>
      <w:r w:rsidRPr="008269E3">
        <w:rPr>
          <w:lang w:val="en-GB"/>
        </w:rPr>
        <w:t xml:space="preserve"> 2005: 40; cf. Wallace-</w:t>
      </w:r>
      <w:proofErr w:type="spellStart"/>
      <w:r w:rsidRPr="008269E3">
        <w:rPr>
          <w:lang w:val="en-GB"/>
        </w:rPr>
        <w:t>Hadrill</w:t>
      </w:r>
      <w:proofErr w:type="spellEnd"/>
      <w:r w:rsidRPr="008269E3">
        <w:rPr>
          <w:lang w:val="en-GB"/>
        </w:rPr>
        <w:t xml:space="preserve"> 1988: 64-66.</w:t>
      </w:r>
    </w:p>
  </w:footnote>
  <w:footnote w:id="29">
    <w:p w14:paraId="4DD8DC35" w14:textId="74B4ABE1" w:rsidR="00AF4752" w:rsidRPr="008269E3" w:rsidRDefault="00AF4752">
      <w:pPr>
        <w:pStyle w:val="FootnoteText"/>
        <w:rPr>
          <w:lang w:val="en-GB"/>
        </w:rPr>
      </w:pPr>
      <w:r w:rsidRPr="008269E3">
        <w:rPr>
          <w:rStyle w:val="FootnoteReference"/>
          <w:lang w:val="en-GB"/>
        </w:rPr>
        <w:footnoteRef/>
      </w:r>
      <w:r w:rsidRPr="008269E3">
        <w:rPr>
          <w:lang w:val="en-GB"/>
        </w:rPr>
        <w:t xml:space="preserve"> </w:t>
      </w:r>
      <w:r w:rsidR="00746C1C" w:rsidRPr="008269E3">
        <w:rPr>
          <w:lang w:val="en-GB"/>
        </w:rPr>
        <w:t xml:space="preserve">Cic. </w:t>
      </w:r>
      <w:r w:rsidR="00746C1C" w:rsidRPr="008269E3">
        <w:rPr>
          <w:i/>
          <w:lang w:val="en-GB"/>
        </w:rPr>
        <w:t>Inv</w:t>
      </w:r>
      <w:r w:rsidR="00746C1C" w:rsidRPr="008269E3">
        <w:rPr>
          <w:lang w:val="en-GB"/>
        </w:rPr>
        <w:t xml:space="preserve">. 2.111; Cic. </w:t>
      </w:r>
      <w:r w:rsidR="00746C1C" w:rsidRPr="008269E3">
        <w:rPr>
          <w:i/>
          <w:lang w:val="en-GB"/>
        </w:rPr>
        <w:t>Pis</w:t>
      </w:r>
      <w:r w:rsidR="00746C1C" w:rsidRPr="008269E3">
        <w:rPr>
          <w:lang w:val="en-GB"/>
        </w:rPr>
        <w:t>. 62 with Ascon. 15 C.; Val. Max. 9.1.4.</w:t>
      </w:r>
      <w:r w:rsidR="00746C1C">
        <w:rPr>
          <w:lang w:val="en-GB"/>
        </w:rPr>
        <w:t xml:space="preserve"> </w:t>
      </w:r>
      <w:proofErr w:type="spellStart"/>
      <w:r w:rsidR="00320DCB" w:rsidRPr="008269E3">
        <w:rPr>
          <w:lang w:val="en-GB"/>
        </w:rPr>
        <w:t>Plin</w:t>
      </w:r>
      <w:proofErr w:type="spellEnd"/>
      <w:r w:rsidR="00320DCB" w:rsidRPr="008269E3">
        <w:rPr>
          <w:lang w:val="en-GB"/>
        </w:rPr>
        <w:t xml:space="preserve">. </w:t>
      </w:r>
      <w:r w:rsidR="0018751D" w:rsidRPr="008269E3">
        <w:rPr>
          <w:i/>
          <w:lang w:val="en-GB"/>
        </w:rPr>
        <w:t>n.h.</w:t>
      </w:r>
      <w:r w:rsidR="007E60D5">
        <w:rPr>
          <w:lang w:val="en-GB"/>
        </w:rPr>
        <w:t xml:space="preserve"> 36.7.</w:t>
      </w:r>
      <w:r w:rsidR="00320DCB" w:rsidRPr="008269E3">
        <w:rPr>
          <w:lang w:val="en-GB"/>
        </w:rPr>
        <w:t xml:space="preserve"> </w:t>
      </w:r>
      <w:r w:rsidR="0097786D">
        <w:rPr>
          <w:rFonts w:ascii="Times New Roman" w:hAnsi="Times New Roman"/>
        </w:rPr>
        <w:t>On</w:t>
      </w:r>
      <w:r w:rsidR="0097786D" w:rsidRPr="009D590F">
        <w:rPr>
          <w:rFonts w:ascii="Times New Roman" w:hAnsi="Times New Roman"/>
        </w:rPr>
        <w:t xml:space="preserve"> Crassus</w:t>
      </w:r>
      <w:r w:rsidR="0097786D">
        <w:rPr>
          <w:rFonts w:ascii="Times New Roman" w:hAnsi="Times New Roman"/>
        </w:rPr>
        <w:t xml:space="preserve">, cf. </w:t>
      </w:r>
      <w:r w:rsidR="00320DCB" w:rsidRPr="008269E3">
        <w:rPr>
          <w:lang w:val="en-GB"/>
        </w:rPr>
        <w:t>Schultze 2011.</w:t>
      </w:r>
    </w:p>
  </w:footnote>
  <w:footnote w:id="30">
    <w:p w14:paraId="4ABD3C6C" w14:textId="7BA2E0B9" w:rsidR="0097786D" w:rsidRPr="008269E3" w:rsidRDefault="0097786D" w:rsidP="0097786D">
      <w:pPr>
        <w:pStyle w:val="FootnoteText"/>
        <w:rPr>
          <w:lang w:val="en-GB"/>
        </w:rPr>
      </w:pPr>
      <w:r w:rsidRPr="008269E3">
        <w:rPr>
          <w:rStyle w:val="FootnoteReference"/>
          <w:lang w:val="en-GB"/>
        </w:rPr>
        <w:footnoteRef/>
      </w:r>
      <w:r w:rsidRPr="008269E3">
        <w:rPr>
          <w:lang w:val="en-GB"/>
        </w:rPr>
        <w:t xml:space="preserve"> </w:t>
      </w:r>
      <w:r>
        <w:rPr>
          <w:lang w:val="en-GB"/>
        </w:rPr>
        <w:t xml:space="preserve">On private use: </w:t>
      </w:r>
      <w:proofErr w:type="spellStart"/>
      <w:r w:rsidRPr="008269E3">
        <w:rPr>
          <w:lang w:val="en-GB"/>
        </w:rPr>
        <w:t>Hesberg</w:t>
      </w:r>
      <w:proofErr w:type="spellEnd"/>
      <w:r w:rsidRPr="008269E3">
        <w:rPr>
          <w:lang w:val="en-GB"/>
        </w:rPr>
        <w:t xml:space="preserve"> 1994: 180 with n. 45, contra </w:t>
      </w:r>
      <w:proofErr w:type="spellStart"/>
      <w:r w:rsidRPr="008269E3">
        <w:rPr>
          <w:lang w:val="en-GB"/>
        </w:rPr>
        <w:t>Baltrusch</w:t>
      </w:r>
      <w:proofErr w:type="spellEnd"/>
      <w:r w:rsidRPr="008269E3">
        <w:rPr>
          <w:lang w:val="en-GB"/>
        </w:rPr>
        <w:t xml:space="preserve"> 1989: 105. On </w:t>
      </w:r>
      <w:r w:rsidR="000F4260">
        <w:rPr>
          <w:lang w:val="en-GB"/>
        </w:rPr>
        <w:t xml:space="preserve">houses and </w:t>
      </w:r>
      <w:proofErr w:type="spellStart"/>
      <w:r w:rsidRPr="008269E3">
        <w:rPr>
          <w:i/>
          <w:lang w:val="en-GB"/>
        </w:rPr>
        <w:t>dignitas</w:t>
      </w:r>
      <w:proofErr w:type="spellEnd"/>
      <w:r>
        <w:rPr>
          <w:lang w:val="en-GB"/>
        </w:rPr>
        <w:t xml:space="preserve"> cf. </w:t>
      </w:r>
      <w:r w:rsidRPr="009D590F">
        <w:rPr>
          <w:rFonts w:ascii="Times New Roman" w:hAnsi="Times New Roman"/>
        </w:rPr>
        <w:t>Cicero</w:t>
      </w:r>
      <w:r>
        <w:rPr>
          <w:rFonts w:ascii="Times New Roman" w:hAnsi="Times New Roman"/>
        </w:rPr>
        <w:t xml:space="preserve"> </w:t>
      </w:r>
      <w:r w:rsidRPr="009D590F">
        <w:rPr>
          <w:rFonts w:ascii="Times New Roman" w:hAnsi="Times New Roman"/>
          <w:i/>
        </w:rPr>
        <w:t>off</w:t>
      </w:r>
      <w:r>
        <w:rPr>
          <w:rFonts w:ascii="Times New Roman" w:hAnsi="Times New Roman"/>
          <w:i/>
        </w:rPr>
        <w:t>.</w:t>
      </w:r>
      <w:r>
        <w:rPr>
          <w:rFonts w:ascii="Times New Roman" w:hAnsi="Times New Roman"/>
        </w:rPr>
        <w:t xml:space="preserve"> </w:t>
      </w:r>
      <w:r w:rsidRPr="009D590F">
        <w:rPr>
          <w:rFonts w:ascii="Times New Roman" w:hAnsi="Times New Roman"/>
        </w:rPr>
        <w:t>1</w:t>
      </w:r>
      <w:r>
        <w:rPr>
          <w:rFonts w:ascii="Times New Roman" w:hAnsi="Times New Roman"/>
        </w:rPr>
        <w:t>.138 f.,</w:t>
      </w:r>
      <w:r w:rsidR="000F4260">
        <w:rPr>
          <w:rFonts w:ascii="Times New Roman" w:hAnsi="Times New Roman"/>
        </w:rPr>
        <w:t xml:space="preserve"> Pliny </w:t>
      </w:r>
      <w:r w:rsidR="000F4260" w:rsidRPr="000F4260">
        <w:rPr>
          <w:rFonts w:ascii="Times New Roman" w:hAnsi="Times New Roman"/>
          <w:i/>
        </w:rPr>
        <w:t>n.h.</w:t>
      </w:r>
      <w:r w:rsidR="000F4260">
        <w:rPr>
          <w:rFonts w:ascii="Times New Roman" w:hAnsi="Times New Roman"/>
        </w:rPr>
        <w:t xml:space="preserve"> 36.7</w:t>
      </w:r>
      <w:r w:rsidR="00EB42C2">
        <w:rPr>
          <w:rFonts w:ascii="Times New Roman" w:hAnsi="Times New Roman"/>
        </w:rPr>
        <w:t xml:space="preserve">. </w:t>
      </w:r>
      <w:r w:rsidR="00580902">
        <w:rPr>
          <w:lang w:val="en-GB"/>
        </w:rPr>
        <w:t xml:space="preserve">Cf. </w:t>
      </w:r>
      <w:r w:rsidR="000F4260" w:rsidRPr="008269E3">
        <w:rPr>
          <w:lang w:val="en-GB"/>
        </w:rPr>
        <w:t xml:space="preserve">Wiseman 1987: 393; </w:t>
      </w:r>
      <w:proofErr w:type="spellStart"/>
      <w:r w:rsidR="000F4260" w:rsidRPr="008269E3">
        <w:rPr>
          <w:lang w:val="en-GB"/>
        </w:rPr>
        <w:t>Hadrill</w:t>
      </w:r>
      <w:proofErr w:type="spellEnd"/>
      <w:r w:rsidR="000F4260" w:rsidRPr="008269E3">
        <w:rPr>
          <w:lang w:val="en-GB"/>
        </w:rPr>
        <w:t xml:space="preserve"> 1988: 45; </w:t>
      </w:r>
      <w:proofErr w:type="spellStart"/>
      <w:r w:rsidR="000F4260" w:rsidRPr="008269E3">
        <w:rPr>
          <w:lang w:val="en-GB"/>
        </w:rPr>
        <w:t>Hesberg</w:t>
      </w:r>
      <w:proofErr w:type="spellEnd"/>
      <w:r w:rsidR="000F4260" w:rsidRPr="008269E3">
        <w:rPr>
          <w:lang w:val="en-GB"/>
        </w:rPr>
        <w:t xml:space="preserve"> 2005: 33 f.</w:t>
      </w:r>
      <w:r w:rsidR="00580902" w:rsidRPr="00580902">
        <w:rPr>
          <w:lang w:val="en-GB"/>
        </w:rPr>
        <w:t xml:space="preserve"> </w:t>
      </w:r>
      <w:proofErr w:type="spellStart"/>
      <w:r w:rsidR="00580902" w:rsidRPr="008269E3">
        <w:rPr>
          <w:lang w:val="en-GB"/>
        </w:rPr>
        <w:t>Hölkeskamp</w:t>
      </w:r>
      <w:proofErr w:type="spellEnd"/>
      <w:r w:rsidR="00580902" w:rsidRPr="008269E3">
        <w:rPr>
          <w:lang w:val="en-GB"/>
        </w:rPr>
        <w:t xml:space="preserve"> 1993: 31 f.; </w:t>
      </w:r>
      <w:proofErr w:type="spellStart"/>
      <w:r w:rsidR="00580902" w:rsidRPr="008269E3">
        <w:rPr>
          <w:lang w:val="en-GB"/>
        </w:rPr>
        <w:t>Hölkeskamp</w:t>
      </w:r>
      <w:proofErr w:type="spellEnd"/>
      <w:r w:rsidR="00580902" w:rsidRPr="008269E3">
        <w:rPr>
          <w:lang w:val="en-GB"/>
        </w:rPr>
        <w:t xml:space="preserve"> 2005: 258 f.; </w:t>
      </w:r>
      <w:proofErr w:type="spellStart"/>
      <w:r w:rsidR="001979AD" w:rsidRPr="008269E3">
        <w:rPr>
          <w:lang w:val="en-GB"/>
        </w:rPr>
        <w:t>Hölkeskamp</w:t>
      </w:r>
      <w:proofErr w:type="spellEnd"/>
      <w:r w:rsidR="000C5EF0">
        <w:rPr>
          <w:lang w:val="en-GB"/>
        </w:rPr>
        <w:t xml:space="preserve"> 2010: 50 f.</w:t>
      </w:r>
    </w:p>
  </w:footnote>
  <w:footnote w:id="31">
    <w:p w14:paraId="0524E943" w14:textId="01EAC52F" w:rsidR="007E60D5" w:rsidRPr="008269E3" w:rsidRDefault="007E60D5" w:rsidP="007E60D5">
      <w:pPr>
        <w:pStyle w:val="FootnoteText"/>
        <w:rPr>
          <w:lang w:val="en-GB"/>
        </w:rPr>
      </w:pPr>
      <w:r w:rsidRPr="008269E3">
        <w:rPr>
          <w:rStyle w:val="FootnoteReference"/>
          <w:lang w:val="en-GB"/>
        </w:rPr>
        <w:footnoteRef/>
      </w:r>
      <w:r w:rsidRPr="008269E3">
        <w:rPr>
          <w:lang w:val="en-GB"/>
        </w:rPr>
        <w:t xml:space="preserve"> On </w:t>
      </w:r>
      <w:proofErr w:type="spellStart"/>
      <w:r w:rsidRPr="008269E3">
        <w:rPr>
          <w:lang w:val="en-GB"/>
        </w:rPr>
        <w:t>Mamurra</w:t>
      </w:r>
      <w:proofErr w:type="spellEnd"/>
      <w:r w:rsidRPr="008269E3">
        <w:rPr>
          <w:lang w:val="en-GB"/>
        </w:rPr>
        <w:t>: McDermott 1983. Pape 1975: 51 f.</w:t>
      </w:r>
      <w:r>
        <w:rPr>
          <w:lang w:val="en-GB"/>
        </w:rPr>
        <w:t xml:space="preserve"> with sources</w:t>
      </w:r>
      <w:r w:rsidRPr="008269E3">
        <w:rPr>
          <w:lang w:val="en-GB"/>
        </w:rPr>
        <w:t xml:space="preserve">; </w:t>
      </w:r>
      <w:proofErr w:type="spellStart"/>
      <w:r w:rsidRPr="008269E3">
        <w:rPr>
          <w:lang w:val="en-GB"/>
        </w:rPr>
        <w:t>Steinby</w:t>
      </w:r>
      <w:proofErr w:type="spellEnd"/>
      <w:r w:rsidRPr="008269E3">
        <w:rPr>
          <w:lang w:val="en-GB"/>
        </w:rPr>
        <w:t xml:space="preserve"> 2012: 72.</w:t>
      </w:r>
      <w:r>
        <w:rPr>
          <w:lang w:val="en-GB"/>
        </w:rPr>
        <w:t xml:space="preserve"> See also </w:t>
      </w:r>
      <w:r w:rsidRPr="009D590F">
        <w:rPr>
          <w:rFonts w:ascii="Times New Roman" w:hAnsi="Times New Roman"/>
        </w:rPr>
        <w:t xml:space="preserve">Cic. </w:t>
      </w:r>
      <w:proofErr w:type="spellStart"/>
      <w:r w:rsidRPr="009D590F">
        <w:rPr>
          <w:rFonts w:ascii="Times New Roman" w:hAnsi="Times New Roman"/>
          <w:i/>
        </w:rPr>
        <w:t>Rosc</w:t>
      </w:r>
      <w:proofErr w:type="spellEnd"/>
      <w:r w:rsidRPr="009D590F">
        <w:rPr>
          <w:rFonts w:ascii="Times New Roman" w:hAnsi="Times New Roman"/>
        </w:rPr>
        <w:t>. 133</w:t>
      </w:r>
      <w:r>
        <w:rPr>
          <w:rFonts w:ascii="Times New Roman" w:hAnsi="Times New Roman"/>
        </w:rPr>
        <w:t xml:space="preserve"> on </w:t>
      </w:r>
      <w:r>
        <w:rPr>
          <w:lang w:val="en-GB"/>
        </w:rPr>
        <w:t xml:space="preserve">L. Cornelius </w:t>
      </w:r>
      <w:proofErr w:type="spellStart"/>
      <w:r>
        <w:rPr>
          <w:lang w:val="en-GB"/>
        </w:rPr>
        <w:t>Chrysogonus</w:t>
      </w:r>
      <w:proofErr w:type="spellEnd"/>
      <w:r>
        <w:rPr>
          <w:lang w:val="en-GB"/>
        </w:rPr>
        <w:t xml:space="preserve">, a freedman of Sulla: </w:t>
      </w:r>
      <w:proofErr w:type="spellStart"/>
      <w:r w:rsidRPr="008269E3">
        <w:rPr>
          <w:lang w:val="en-GB"/>
        </w:rPr>
        <w:t>Hesberg</w:t>
      </w:r>
      <w:proofErr w:type="spellEnd"/>
      <w:r w:rsidRPr="008269E3">
        <w:rPr>
          <w:lang w:val="en-GB"/>
        </w:rPr>
        <w:t xml:space="preserve"> 2005: 31.</w:t>
      </w:r>
      <w:r w:rsidR="001979AD">
        <w:rPr>
          <w:lang w:val="en-GB"/>
        </w:rPr>
        <w:t xml:space="preserve"> Lucullus’ use of black veneer (</w:t>
      </w:r>
      <w:proofErr w:type="spellStart"/>
      <w:r w:rsidR="001979AD" w:rsidRPr="001979AD">
        <w:rPr>
          <w:i/>
          <w:lang w:val="en-GB"/>
        </w:rPr>
        <w:t>africano</w:t>
      </w:r>
      <w:proofErr w:type="spellEnd"/>
      <w:r w:rsidR="001979AD">
        <w:rPr>
          <w:lang w:val="en-GB"/>
        </w:rPr>
        <w:t xml:space="preserve">) might be the notable exception here: </w:t>
      </w:r>
      <w:proofErr w:type="spellStart"/>
      <w:r w:rsidR="001979AD">
        <w:rPr>
          <w:lang w:val="en-GB"/>
        </w:rPr>
        <w:t>Plin</w:t>
      </w:r>
      <w:proofErr w:type="spellEnd"/>
      <w:r w:rsidR="001979AD">
        <w:rPr>
          <w:lang w:val="en-GB"/>
        </w:rPr>
        <w:t xml:space="preserve">. </w:t>
      </w:r>
      <w:r w:rsidR="001979AD" w:rsidRPr="009D590F">
        <w:rPr>
          <w:rFonts w:ascii="Times New Roman" w:hAnsi="Times New Roman"/>
        </w:rPr>
        <w:t>36.49 f.</w:t>
      </w:r>
      <w:r w:rsidR="001979AD">
        <w:rPr>
          <w:rFonts w:ascii="Times New Roman" w:hAnsi="Times New Roman"/>
        </w:rPr>
        <w:t>;</w:t>
      </w:r>
      <w:r w:rsidR="001979AD" w:rsidRPr="001979AD">
        <w:rPr>
          <w:lang w:val="en-GB"/>
        </w:rPr>
        <w:t xml:space="preserve"> </w:t>
      </w:r>
      <w:proofErr w:type="spellStart"/>
      <w:r w:rsidR="001979AD" w:rsidRPr="008269E3">
        <w:rPr>
          <w:lang w:val="en-GB"/>
        </w:rPr>
        <w:t>Fant</w:t>
      </w:r>
      <w:proofErr w:type="spellEnd"/>
      <w:r w:rsidR="001979AD" w:rsidRPr="008269E3">
        <w:rPr>
          <w:lang w:val="en-GB"/>
        </w:rPr>
        <w:t xml:space="preserve"> 1989</w:t>
      </w:r>
      <w:r w:rsidR="001979AD" w:rsidRPr="00853400">
        <w:rPr>
          <w:i/>
          <w:lang w:val="en-GB"/>
        </w:rPr>
        <w:t>b</w:t>
      </w:r>
      <w:r w:rsidR="001979AD" w:rsidRPr="008269E3">
        <w:rPr>
          <w:lang w:val="en-GB"/>
        </w:rPr>
        <w:t>: 20 (</w:t>
      </w:r>
      <w:proofErr w:type="spellStart"/>
      <w:r w:rsidR="001979AD" w:rsidRPr="008269E3">
        <w:rPr>
          <w:lang w:val="en-GB"/>
        </w:rPr>
        <w:t>Teos</w:t>
      </w:r>
      <w:proofErr w:type="spellEnd"/>
      <w:r w:rsidR="001979AD" w:rsidRPr="008269E3">
        <w:rPr>
          <w:lang w:val="en-GB"/>
        </w:rPr>
        <w:t xml:space="preserve">); </w:t>
      </w:r>
      <w:proofErr w:type="spellStart"/>
      <w:r w:rsidR="001979AD" w:rsidRPr="008269E3">
        <w:rPr>
          <w:lang w:val="en-GB"/>
        </w:rPr>
        <w:t>Itgenshorst</w:t>
      </w:r>
      <w:proofErr w:type="spellEnd"/>
      <w:r w:rsidR="001979AD" w:rsidRPr="008269E3">
        <w:rPr>
          <w:lang w:val="en-GB"/>
        </w:rPr>
        <w:t xml:space="preserve"> 2005: 352 ff., no. 256.</w:t>
      </w:r>
    </w:p>
  </w:footnote>
  <w:footnote w:id="32">
    <w:p w14:paraId="292CBDC4" w14:textId="4735CE72" w:rsidR="002C300E" w:rsidRPr="008269E3" w:rsidRDefault="002C300E">
      <w:pPr>
        <w:pStyle w:val="FootnoteText"/>
        <w:rPr>
          <w:lang w:val="en-GB"/>
        </w:rPr>
      </w:pPr>
      <w:r w:rsidRPr="008269E3">
        <w:rPr>
          <w:rStyle w:val="FootnoteReference"/>
          <w:lang w:val="en-GB"/>
        </w:rPr>
        <w:footnoteRef/>
      </w:r>
      <w:r w:rsidRPr="008269E3">
        <w:rPr>
          <w:lang w:val="en-GB"/>
        </w:rPr>
        <w:t xml:space="preserve"> Schneider 1989: 152; </w:t>
      </w:r>
      <w:r w:rsidR="00E6033D">
        <w:rPr>
          <w:lang w:val="en-GB"/>
        </w:rPr>
        <w:t>Carey 2003: 91 f.; Bradley 2006: 1-3.</w:t>
      </w:r>
    </w:p>
  </w:footnote>
  <w:footnote w:id="33">
    <w:p w14:paraId="7A88FD35" w14:textId="7052C3D9" w:rsidR="003F74D5" w:rsidRPr="008269E3" w:rsidRDefault="003F74D5" w:rsidP="003F74D5">
      <w:pPr>
        <w:pStyle w:val="FootnoteText"/>
        <w:rPr>
          <w:lang w:val="en-GB"/>
        </w:rPr>
      </w:pPr>
      <w:r w:rsidRPr="008269E3">
        <w:rPr>
          <w:rStyle w:val="FootnoteReference"/>
          <w:lang w:val="en-GB"/>
        </w:rPr>
        <w:footnoteRef/>
      </w:r>
      <w:r w:rsidRPr="008269E3">
        <w:rPr>
          <w:lang w:val="en-GB"/>
        </w:rPr>
        <w:t xml:space="preserve"> Eck 2010</w:t>
      </w:r>
      <w:r w:rsidR="00853400" w:rsidRPr="00853400">
        <w:rPr>
          <w:i/>
          <w:lang w:val="en-GB"/>
        </w:rPr>
        <w:t>a</w:t>
      </w:r>
      <w:r w:rsidRPr="008269E3">
        <w:rPr>
          <w:lang w:val="en-GB"/>
        </w:rPr>
        <w:t xml:space="preserve">: 92; </w:t>
      </w:r>
      <w:proofErr w:type="spellStart"/>
      <w:r w:rsidRPr="008269E3">
        <w:rPr>
          <w:lang w:val="en-GB"/>
        </w:rPr>
        <w:t>Pensabene</w:t>
      </w:r>
      <w:proofErr w:type="spellEnd"/>
      <w:r w:rsidRPr="008269E3">
        <w:rPr>
          <w:lang w:val="en-GB"/>
        </w:rPr>
        <w:t xml:space="preserve"> 2013: 40. </w:t>
      </w:r>
    </w:p>
  </w:footnote>
  <w:footnote w:id="34">
    <w:p w14:paraId="216F0EF9" w14:textId="323056A4" w:rsidR="003F74D5" w:rsidRPr="008269E3" w:rsidRDefault="003F74D5">
      <w:pPr>
        <w:pStyle w:val="FootnoteText"/>
        <w:rPr>
          <w:lang w:val="en-GB"/>
        </w:rPr>
      </w:pPr>
      <w:r w:rsidRPr="008269E3">
        <w:rPr>
          <w:rStyle w:val="FootnoteReference"/>
          <w:lang w:val="en-GB"/>
        </w:rPr>
        <w:footnoteRef/>
      </w:r>
      <w:r w:rsidRPr="008269E3">
        <w:rPr>
          <w:lang w:val="en-GB"/>
        </w:rPr>
        <w:t xml:space="preserve"> Eck 2010</w:t>
      </w:r>
      <w:r w:rsidR="00853400" w:rsidRPr="00853400">
        <w:rPr>
          <w:i/>
          <w:lang w:val="en-GB"/>
        </w:rPr>
        <w:t>a</w:t>
      </w:r>
      <w:r w:rsidRPr="008269E3">
        <w:rPr>
          <w:lang w:val="en-GB"/>
        </w:rPr>
        <w:t>: 93-96</w:t>
      </w:r>
      <w:r w:rsidR="00D42897" w:rsidRPr="008269E3">
        <w:rPr>
          <w:lang w:val="en-GB"/>
        </w:rPr>
        <w:t>.</w:t>
      </w:r>
    </w:p>
  </w:footnote>
  <w:footnote w:id="35">
    <w:p w14:paraId="3E96A29F" w14:textId="0C3BD7DD" w:rsidR="003F74D5" w:rsidRPr="008269E3" w:rsidRDefault="003F74D5" w:rsidP="003F74D5">
      <w:pPr>
        <w:pStyle w:val="FootnoteText"/>
        <w:rPr>
          <w:lang w:val="en-GB"/>
        </w:rPr>
      </w:pPr>
      <w:r w:rsidRPr="008269E3">
        <w:rPr>
          <w:rStyle w:val="FootnoteReference"/>
          <w:lang w:val="en-GB"/>
        </w:rPr>
        <w:footnoteRef/>
      </w:r>
      <w:r w:rsidRPr="008269E3">
        <w:rPr>
          <w:lang w:val="en-GB"/>
        </w:rPr>
        <w:t xml:space="preserve"> Schneider 1986: </w:t>
      </w:r>
      <w:r w:rsidR="00207BC5" w:rsidRPr="008269E3">
        <w:rPr>
          <w:lang w:val="en-GB"/>
        </w:rPr>
        <w:t>150 f.</w:t>
      </w:r>
      <w:r w:rsidRPr="008269E3">
        <w:rPr>
          <w:lang w:val="en-GB"/>
        </w:rPr>
        <w:t xml:space="preserve">; </w:t>
      </w:r>
      <w:proofErr w:type="spellStart"/>
      <w:r w:rsidRPr="008269E3">
        <w:rPr>
          <w:lang w:val="en-GB"/>
        </w:rPr>
        <w:t>Fant</w:t>
      </w:r>
      <w:proofErr w:type="spellEnd"/>
      <w:r w:rsidRPr="008269E3">
        <w:rPr>
          <w:lang w:val="en-GB"/>
        </w:rPr>
        <w:t xml:space="preserve"> 1993</w:t>
      </w:r>
      <w:r w:rsidR="00853400" w:rsidRPr="00853400">
        <w:rPr>
          <w:i/>
          <w:lang w:val="en-GB"/>
        </w:rPr>
        <w:t>a</w:t>
      </w:r>
      <w:r w:rsidRPr="008269E3">
        <w:rPr>
          <w:lang w:val="en-GB"/>
        </w:rPr>
        <w:t xml:space="preserve">: 148 f.; Albers 2013: 112 f. </w:t>
      </w:r>
    </w:p>
  </w:footnote>
  <w:footnote w:id="36">
    <w:p w14:paraId="5E11945F" w14:textId="6A596606" w:rsidR="00D42897" w:rsidRPr="008269E3" w:rsidRDefault="00D42897">
      <w:pPr>
        <w:pStyle w:val="FootnoteText"/>
        <w:rPr>
          <w:lang w:val="en-GB"/>
        </w:rPr>
      </w:pPr>
      <w:r w:rsidRPr="008269E3">
        <w:rPr>
          <w:rStyle w:val="FootnoteReference"/>
          <w:lang w:val="en-GB"/>
        </w:rPr>
        <w:footnoteRef/>
      </w:r>
      <w:r w:rsidRPr="008269E3">
        <w:rPr>
          <w:lang w:val="en-GB"/>
        </w:rPr>
        <w:t xml:space="preserve"> </w:t>
      </w:r>
      <w:r w:rsidRPr="008269E3">
        <w:rPr>
          <w:i/>
          <w:lang w:val="en-GB"/>
        </w:rPr>
        <w:t>RGDA</w:t>
      </w:r>
      <w:r w:rsidRPr="008269E3">
        <w:rPr>
          <w:lang w:val="en-GB"/>
        </w:rPr>
        <w:t xml:space="preserve"> 21; Suet. </w:t>
      </w:r>
      <w:proofErr w:type="spellStart"/>
      <w:r w:rsidRPr="008269E3">
        <w:rPr>
          <w:i/>
          <w:lang w:val="en-GB"/>
        </w:rPr>
        <w:t>Tib</w:t>
      </w:r>
      <w:proofErr w:type="spellEnd"/>
      <w:r w:rsidRPr="008269E3">
        <w:rPr>
          <w:lang w:val="en-GB"/>
        </w:rPr>
        <w:t>. 20.</w:t>
      </w:r>
    </w:p>
  </w:footnote>
  <w:footnote w:id="37">
    <w:p w14:paraId="78682068" w14:textId="77777777" w:rsidR="001A5E28" w:rsidRPr="008269E3" w:rsidRDefault="001A5E28" w:rsidP="001A5E28">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Zanker</w:t>
      </w:r>
      <w:proofErr w:type="spellEnd"/>
      <w:r w:rsidRPr="008269E3">
        <w:rPr>
          <w:lang w:val="en-GB"/>
        </w:rPr>
        <w:t xml:space="preserve"> 1968: 10; Schneider 1986: 148 with fn. 1119.; </w:t>
      </w:r>
      <w:proofErr w:type="spellStart"/>
      <w:r w:rsidRPr="008269E3">
        <w:rPr>
          <w:lang w:val="en-GB"/>
        </w:rPr>
        <w:t>Ungaro</w:t>
      </w:r>
      <w:proofErr w:type="spellEnd"/>
      <w:r w:rsidRPr="008269E3">
        <w:rPr>
          <w:lang w:val="en-GB"/>
        </w:rPr>
        <w:t xml:space="preserve"> 2002.</w:t>
      </w:r>
    </w:p>
  </w:footnote>
  <w:footnote w:id="38">
    <w:p w14:paraId="77F650FA" w14:textId="77777777" w:rsidR="00FF51D4" w:rsidRPr="008269E3" w:rsidRDefault="00FF51D4" w:rsidP="00FF51D4">
      <w:pPr>
        <w:pStyle w:val="FootnoteText"/>
        <w:rPr>
          <w:lang w:val="en-GB"/>
        </w:rPr>
      </w:pPr>
      <w:r w:rsidRPr="008269E3">
        <w:rPr>
          <w:rStyle w:val="FootnoteReference"/>
          <w:lang w:val="en-GB"/>
        </w:rPr>
        <w:footnoteRef/>
      </w:r>
      <w:r w:rsidRPr="008269E3">
        <w:rPr>
          <w:lang w:val="en-GB"/>
        </w:rPr>
        <w:t xml:space="preserve"> Schneider 1986: 115-125, 148 with fn. 1118, 200; </w:t>
      </w:r>
      <w:proofErr w:type="spellStart"/>
      <w:r w:rsidRPr="008269E3">
        <w:rPr>
          <w:lang w:val="en-GB"/>
        </w:rPr>
        <w:t>Fant</w:t>
      </w:r>
      <w:proofErr w:type="spellEnd"/>
      <w:r w:rsidRPr="008269E3">
        <w:rPr>
          <w:lang w:val="en-GB"/>
        </w:rPr>
        <w:t xml:space="preserve"> 1995: 278.</w:t>
      </w:r>
    </w:p>
  </w:footnote>
  <w:footnote w:id="39">
    <w:p w14:paraId="18F8A4EB" w14:textId="09DA1A6E" w:rsidR="00D45F28" w:rsidRPr="008269E3" w:rsidRDefault="00D45F28">
      <w:pPr>
        <w:pStyle w:val="FootnoteText"/>
        <w:rPr>
          <w:lang w:val="en-GB"/>
        </w:rPr>
      </w:pPr>
      <w:r w:rsidRPr="008269E3">
        <w:rPr>
          <w:rStyle w:val="FootnoteReference"/>
          <w:lang w:val="en-GB"/>
        </w:rPr>
        <w:footnoteRef/>
      </w:r>
      <w:r w:rsidRPr="008269E3">
        <w:rPr>
          <w:lang w:val="en-GB"/>
        </w:rPr>
        <w:t xml:space="preserve"> Hirt 2015: 314.</w:t>
      </w:r>
    </w:p>
  </w:footnote>
  <w:footnote w:id="40">
    <w:p w14:paraId="63EAC196" w14:textId="57F3FF8B" w:rsidR="00D45F28" w:rsidRPr="008269E3" w:rsidRDefault="00D45F28">
      <w:pPr>
        <w:pStyle w:val="FootnoteText"/>
        <w:rPr>
          <w:lang w:val="en-GB"/>
        </w:rPr>
      </w:pPr>
      <w:r w:rsidRPr="008269E3">
        <w:rPr>
          <w:rStyle w:val="FootnoteReference"/>
          <w:lang w:val="en-GB"/>
        </w:rPr>
        <w:footnoteRef/>
      </w:r>
      <w:r w:rsidRPr="008269E3">
        <w:rPr>
          <w:lang w:val="en-GB"/>
        </w:rPr>
        <w:t xml:space="preserve"> Quarry labels </w:t>
      </w:r>
      <w:r w:rsidR="00A8234F">
        <w:rPr>
          <w:lang w:val="en-GB"/>
        </w:rPr>
        <w:t>refer</w:t>
      </w:r>
      <w:r w:rsidRPr="008269E3">
        <w:rPr>
          <w:lang w:val="en-GB"/>
        </w:rPr>
        <w:t xml:space="preserve"> to an </w:t>
      </w:r>
      <w:proofErr w:type="spellStart"/>
      <w:r w:rsidRPr="008269E3">
        <w:rPr>
          <w:i/>
          <w:lang w:val="en-GB"/>
        </w:rPr>
        <w:t>offcina</w:t>
      </w:r>
      <w:proofErr w:type="spellEnd"/>
      <w:r w:rsidRPr="008269E3">
        <w:rPr>
          <w:i/>
          <w:lang w:val="en-GB"/>
        </w:rPr>
        <w:t xml:space="preserve"> </w:t>
      </w:r>
      <w:proofErr w:type="spellStart"/>
      <w:r w:rsidRPr="008269E3">
        <w:rPr>
          <w:i/>
          <w:lang w:val="en-GB"/>
        </w:rPr>
        <w:t>Agrippae</w:t>
      </w:r>
      <w:proofErr w:type="spellEnd"/>
      <w:r w:rsidRPr="008269E3">
        <w:rPr>
          <w:lang w:val="en-GB"/>
        </w:rPr>
        <w:t xml:space="preserve">, </w:t>
      </w:r>
      <w:r w:rsidR="00207BC5" w:rsidRPr="008269E3">
        <w:rPr>
          <w:lang w:val="en-GB"/>
        </w:rPr>
        <w:t xml:space="preserve">Hirt 2010: nos. 822, 824, 825; </w:t>
      </w:r>
      <w:r w:rsidRPr="008269E3">
        <w:rPr>
          <w:lang w:val="en-GB"/>
        </w:rPr>
        <w:t xml:space="preserve">cf. also </w:t>
      </w:r>
      <w:proofErr w:type="spellStart"/>
      <w:r w:rsidRPr="008269E3">
        <w:rPr>
          <w:lang w:val="en-GB"/>
        </w:rPr>
        <w:t>Lassère</w:t>
      </w:r>
      <w:proofErr w:type="spellEnd"/>
      <w:r w:rsidRPr="008269E3">
        <w:rPr>
          <w:lang w:val="en-GB"/>
        </w:rPr>
        <w:t xml:space="preserve"> 1980: 41; </w:t>
      </w:r>
      <w:proofErr w:type="spellStart"/>
      <w:r w:rsidRPr="008269E3">
        <w:rPr>
          <w:lang w:val="en-GB"/>
        </w:rPr>
        <w:t>Fant</w:t>
      </w:r>
      <w:proofErr w:type="spellEnd"/>
      <w:r w:rsidRPr="008269E3">
        <w:rPr>
          <w:lang w:val="en-GB"/>
        </w:rPr>
        <w:t xml:space="preserve"> 1993</w:t>
      </w:r>
      <w:r w:rsidRPr="008269E3">
        <w:rPr>
          <w:i/>
          <w:lang w:val="en-GB"/>
        </w:rPr>
        <w:t>b</w:t>
      </w:r>
      <w:r w:rsidRPr="008269E3">
        <w:rPr>
          <w:lang w:val="en-GB"/>
        </w:rPr>
        <w:t xml:space="preserve">: 75 with fn. 8; </w:t>
      </w:r>
      <w:proofErr w:type="spellStart"/>
      <w:r w:rsidRPr="008269E3">
        <w:rPr>
          <w:lang w:val="en-GB"/>
        </w:rPr>
        <w:t>Rakob</w:t>
      </w:r>
      <w:proofErr w:type="spellEnd"/>
      <w:r w:rsidRPr="008269E3">
        <w:rPr>
          <w:lang w:val="en-GB"/>
        </w:rPr>
        <w:t xml:space="preserve"> 1993: 7 fn. 29.</w:t>
      </w:r>
    </w:p>
  </w:footnote>
  <w:footnote w:id="41">
    <w:p w14:paraId="0EBE374C" w14:textId="33FFD9B7" w:rsidR="00D45F28" w:rsidRPr="008269E3" w:rsidRDefault="00D45F28">
      <w:pPr>
        <w:pStyle w:val="FootnoteText"/>
        <w:rPr>
          <w:lang w:val="en-GB"/>
        </w:rPr>
      </w:pPr>
      <w:r w:rsidRPr="008269E3">
        <w:rPr>
          <w:rStyle w:val="FootnoteReference"/>
          <w:lang w:val="en-GB"/>
        </w:rPr>
        <w:footnoteRef/>
      </w:r>
      <w:r w:rsidRPr="008269E3">
        <w:rPr>
          <w:lang w:val="en-GB"/>
        </w:rPr>
        <w:t xml:space="preserve"> Strabo 12.8.14; Tibullus 3.3.13-14; </w:t>
      </w:r>
      <w:proofErr w:type="spellStart"/>
      <w:r w:rsidRPr="008269E3">
        <w:rPr>
          <w:lang w:val="en-GB"/>
        </w:rPr>
        <w:t>Fant</w:t>
      </w:r>
      <w:proofErr w:type="spellEnd"/>
      <w:r w:rsidRPr="008269E3">
        <w:rPr>
          <w:lang w:val="en-GB"/>
        </w:rPr>
        <w:t xml:space="preserve"> 1989</w:t>
      </w:r>
      <w:r w:rsidR="00450134" w:rsidRPr="00450134">
        <w:rPr>
          <w:i/>
          <w:lang w:val="en-GB"/>
        </w:rPr>
        <w:t>a</w:t>
      </w:r>
      <w:r w:rsidR="0023070C">
        <w:rPr>
          <w:lang w:val="en-GB"/>
        </w:rPr>
        <w:t xml:space="preserve">: 7; </w:t>
      </w:r>
      <w:proofErr w:type="spellStart"/>
      <w:r w:rsidR="0023070C">
        <w:rPr>
          <w:lang w:val="en-GB"/>
        </w:rPr>
        <w:t>Pensabene</w:t>
      </w:r>
      <w:proofErr w:type="spellEnd"/>
      <w:r w:rsidR="0023070C">
        <w:rPr>
          <w:lang w:val="en-GB"/>
        </w:rPr>
        <w:t xml:space="preserve"> 2010: 78; </w:t>
      </w:r>
      <w:proofErr w:type="spellStart"/>
      <w:r w:rsidR="0023070C">
        <w:rPr>
          <w:lang w:val="en-GB"/>
        </w:rPr>
        <w:t>Dalla</w:t>
      </w:r>
      <w:proofErr w:type="spellEnd"/>
      <w:r w:rsidR="0023070C">
        <w:rPr>
          <w:lang w:val="en-GB"/>
        </w:rPr>
        <w:t xml:space="preserve"> Rosa 2016: </w:t>
      </w:r>
      <w:r w:rsidR="0023070C" w:rsidRPr="0023070C">
        <w:rPr>
          <w:highlight w:val="yellow"/>
          <w:lang w:val="en-GB"/>
        </w:rPr>
        <w:t>317 f. n. 54</w:t>
      </w:r>
      <w:r w:rsidR="0023070C">
        <w:rPr>
          <w:lang w:val="en-GB"/>
        </w:rPr>
        <w:t>.</w:t>
      </w:r>
    </w:p>
  </w:footnote>
  <w:footnote w:id="42">
    <w:p w14:paraId="0BE7E2BA" w14:textId="52AF525C" w:rsidR="00D45F28" w:rsidRPr="008269E3" w:rsidRDefault="00D45F28">
      <w:pPr>
        <w:pStyle w:val="FootnoteText"/>
        <w:rPr>
          <w:lang w:val="en-GB"/>
        </w:rPr>
      </w:pPr>
      <w:r w:rsidRPr="008269E3">
        <w:rPr>
          <w:rStyle w:val="FootnoteReference"/>
          <w:lang w:val="en-GB"/>
        </w:rPr>
        <w:footnoteRef/>
      </w:r>
      <w:r w:rsidRPr="008269E3">
        <w:rPr>
          <w:lang w:val="en-GB"/>
        </w:rPr>
        <w:t xml:space="preserve"> Hirt 2010: 338 f. </w:t>
      </w:r>
    </w:p>
  </w:footnote>
  <w:footnote w:id="43">
    <w:p w14:paraId="4269D346" w14:textId="6F254ABD" w:rsidR="0018187A" w:rsidRPr="0018187A" w:rsidRDefault="0018187A">
      <w:pPr>
        <w:pStyle w:val="FootnoteText"/>
        <w:rPr>
          <w:lang w:val="de-CH"/>
        </w:rPr>
      </w:pPr>
      <w:r>
        <w:rPr>
          <w:rStyle w:val="FootnoteReference"/>
        </w:rPr>
        <w:footnoteRef/>
      </w:r>
      <w:r>
        <w:t xml:space="preserve"> On the real and perceived threat to Augustus’ position by the senatorial elite, </w:t>
      </w:r>
      <w:r>
        <w:rPr>
          <w:lang w:val="de-CH"/>
        </w:rPr>
        <w:t>cf. Hurlet 2012.</w:t>
      </w:r>
    </w:p>
  </w:footnote>
  <w:footnote w:id="44">
    <w:p w14:paraId="38461423" w14:textId="0A12D0EA" w:rsidR="00842047" w:rsidRPr="008269E3" w:rsidRDefault="00842047" w:rsidP="00842047">
      <w:pPr>
        <w:pStyle w:val="FootnoteText"/>
        <w:rPr>
          <w:lang w:val="en-GB"/>
        </w:rPr>
      </w:pPr>
      <w:r w:rsidRPr="008269E3">
        <w:rPr>
          <w:rStyle w:val="FootnoteReference"/>
          <w:lang w:val="en-GB"/>
        </w:rPr>
        <w:footnoteRef/>
      </w:r>
      <w:r w:rsidRPr="008269E3">
        <w:rPr>
          <w:lang w:val="en-GB"/>
        </w:rPr>
        <w:t xml:space="preserve"> Athens: Pausanias 1.18.8-9; Millar 1992: 184, 420f.; </w:t>
      </w:r>
      <w:proofErr w:type="spellStart"/>
      <w:r w:rsidRPr="008269E3">
        <w:rPr>
          <w:lang w:val="en-GB"/>
        </w:rPr>
        <w:t>Fant</w:t>
      </w:r>
      <w:proofErr w:type="spellEnd"/>
      <w:r w:rsidRPr="008269E3">
        <w:rPr>
          <w:lang w:val="en-GB"/>
        </w:rPr>
        <w:t xml:space="preserve"> 1993</w:t>
      </w:r>
      <w:r w:rsidRPr="00853400">
        <w:rPr>
          <w:i/>
          <w:lang w:val="en-GB"/>
        </w:rPr>
        <w:t>a</w:t>
      </w:r>
      <w:r w:rsidRPr="008269E3">
        <w:rPr>
          <w:lang w:val="en-GB"/>
        </w:rPr>
        <w:t xml:space="preserve">: 148 with n. 23, 156 with n. 73. Smyrna; </w:t>
      </w:r>
      <w:r w:rsidRPr="008269E3">
        <w:rPr>
          <w:i/>
          <w:lang w:val="en-GB"/>
        </w:rPr>
        <w:t>IK</w:t>
      </w:r>
      <w:r w:rsidRPr="008269E3">
        <w:rPr>
          <w:lang w:val="en-GB"/>
        </w:rPr>
        <w:t xml:space="preserve"> </w:t>
      </w:r>
      <w:r w:rsidRPr="008269E3">
        <w:rPr>
          <w:i/>
          <w:lang w:val="en-GB"/>
        </w:rPr>
        <w:t>Smyrna</w:t>
      </w:r>
      <w:r w:rsidRPr="008269E3">
        <w:rPr>
          <w:lang w:val="en-GB"/>
        </w:rPr>
        <w:t xml:space="preserve"> 697+II 2 pp. 375f., ll. 40–2. </w:t>
      </w:r>
      <w:proofErr w:type="spellStart"/>
      <w:r w:rsidRPr="008269E3">
        <w:rPr>
          <w:lang w:val="en-GB"/>
        </w:rPr>
        <w:t>Philostr</w:t>
      </w:r>
      <w:proofErr w:type="spellEnd"/>
      <w:r w:rsidRPr="008269E3">
        <w:rPr>
          <w:lang w:val="en-GB"/>
        </w:rPr>
        <w:t xml:space="preserve">. </w:t>
      </w:r>
      <w:r w:rsidRPr="008269E3">
        <w:rPr>
          <w:i/>
          <w:lang w:val="en-GB"/>
        </w:rPr>
        <w:t>VS</w:t>
      </w:r>
      <w:r w:rsidRPr="008269E3">
        <w:rPr>
          <w:lang w:val="en-GB"/>
        </w:rPr>
        <w:t xml:space="preserve"> 1.25.530-44. </w:t>
      </w:r>
      <w:proofErr w:type="spellStart"/>
      <w:r w:rsidRPr="008269E3">
        <w:rPr>
          <w:lang w:val="en-GB"/>
        </w:rPr>
        <w:t>Fant</w:t>
      </w:r>
      <w:proofErr w:type="spellEnd"/>
      <w:r w:rsidRPr="008269E3">
        <w:rPr>
          <w:lang w:val="en-GB"/>
        </w:rPr>
        <w:t xml:space="preserve"> 1993</w:t>
      </w:r>
      <w:r w:rsidRPr="00853400">
        <w:rPr>
          <w:i/>
          <w:lang w:val="en-GB"/>
        </w:rPr>
        <w:t>a</w:t>
      </w:r>
      <w:r w:rsidRPr="008269E3">
        <w:rPr>
          <w:lang w:val="en-GB"/>
        </w:rPr>
        <w:t xml:space="preserve">: 155f.; Barresi 2003: 446; </w:t>
      </w:r>
      <w:proofErr w:type="spellStart"/>
      <w:r w:rsidRPr="008269E3">
        <w:rPr>
          <w:lang w:val="en-GB"/>
        </w:rPr>
        <w:t>Pensabene</w:t>
      </w:r>
      <w:proofErr w:type="spellEnd"/>
      <w:r w:rsidRPr="008269E3">
        <w:rPr>
          <w:lang w:val="en-GB"/>
        </w:rPr>
        <w:t xml:space="preserve"> 2010: 85; Hirt 2015: 291.</w:t>
      </w:r>
    </w:p>
  </w:footnote>
  <w:footnote w:id="45">
    <w:p w14:paraId="7F6576DD" w14:textId="79F501F2" w:rsidR="003271FD" w:rsidRPr="008269E3" w:rsidRDefault="003271FD" w:rsidP="003271FD">
      <w:pPr>
        <w:pStyle w:val="FootnoteText"/>
        <w:jc w:val="both"/>
        <w:rPr>
          <w:lang w:val="en-GB"/>
        </w:rPr>
      </w:pPr>
      <w:r w:rsidRPr="008269E3">
        <w:rPr>
          <w:rStyle w:val="FootnoteReference"/>
          <w:lang w:val="en-GB"/>
        </w:rPr>
        <w:footnoteRef/>
      </w:r>
      <w:r w:rsidRPr="008269E3">
        <w:rPr>
          <w:lang w:val="en-GB"/>
        </w:rPr>
        <w:t xml:space="preserve"> </w:t>
      </w:r>
      <w:proofErr w:type="spellStart"/>
      <w:r w:rsidRPr="008269E3">
        <w:rPr>
          <w:lang w:val="en-GB"/>
        </w:rPr>
        <w:t>Thür</w:t>
      </w:r>
      <w:proofErr w:type="spellEnd"/>
      <w:r w:rsidRPr="008269E3">
        <w:rPr>
          <w:lang w:val="en-GB"/>
        </w:rPr>
        <w:t xml:space="preserve"> &amp; </w:t>
      </w:r>
      <w:proofErr w:type="spellStart"/>
      <w:r w:rsidRPr="008269E3">
        <w:rPr>
          <w:lang w:val="en-GB"/>
        </w:rPr>
        <w:t>Rathmayr</w:t>
      </w:r>
      <w:proofErr w:type="spellEnd"/>
      <w:r w:rsidRPr="008269E3">
        <w:rPr>
          <w:lang w:val="en-GB"/>
        </w:rPr>
        <w:t xml:space="preserve"> 2014: 3.</w:t>
      </w:r>
    </w:p>
  </w:footnote>
  <w:footnote w:id="46">
    <w:p w14:paraId="728DEA5A" w14:textId="77777777" w:rsidR="003271FD" w:rsidRPr="008269E3" w:rsidRDefault="003271FD" w:rsidP="003271FD">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Thür</w:t>
      </w:r>
      <w:proofErr w:type="spellEnd"/>
      <w:r w:rsidRPr="008269E3">
        <w:rPr>
          <w:lang w:val="en-GB"/>
        </w:rPr>
        <w:t xml:space="preserve"> &amp; </w:t>
      </w:r>
      <w:proofErr w:type="spellStart"/>
      <w:r w:rsidRPr="008269E3">
        <w:rPr>
          <w:lang w:val="en-GB"/>
        </w:rPr>
        <w:t>Rathmayr</w:t>
      </w:r>
      <w:proofErr w:type="spellEnd"/>
      <w:r w:rsidRPr="008269E3">
        <w:rPr>
          <w:lang w:val="en-GB"/>
        </w:rPr>
        <w:t xml:space="preserve"> 2014: 856 f.</w:t>
      </w:r>
    </w:p>
  </w:footnote>
  <w:footnote w:id="47">
    <w:p w14:paraId="49647874" w14:textId="74775B77" w:rsidR="003271FD" w:rsidRPr="008269E3" w:rsidRDefault="003271FD" w:rsidP="003271FD">
      <w:pPr>
        <w:pStyle w:val="FootnoteText"/>
        <w:rPr>
          <w:lang w:val="en-GB"/>
        </w:rPr>
      </w:pPr>
      <w:r w:rsidRPr="008269E3">
        <w:rPr>
          <w:rStyle w:val="FootnoteReference"/>
          <w:lang w:val="en-GB"/>
        </w:rPr>
        <w:footnoteRef/>
      </w:r>
      <w:r w:rsidR="008F0F25">
        <w:rPr>
          <w:lang w:val="en-GB"/>
        </w:rPr>
        <w:t xml:space="preserve"> K. Koller, in</w:t>
      </w:r>
      <w:r w:rsidRPr="008269E3">
        <w:rPr>
          <w:lang w:val="en-GB"/>
        </w:rPr>
        <w:t xml:space="preserve"> </w:t>
      </w:r>
      <w:proofErr w:type="spellStart"/>
      <w:r w:rsidRPr="008269E3">
        <w:rPr>
          <w:lang w:val="en-GB"/>
        </w:rPr>
        <w:t>Thür</w:t>
      </w:r>
      <w:proofErr w:type="spellEnd"/>
      <w:r w:rsidRPr="008269E3">
        <w:rPr>
          <w:lang w:val="en-GB"/>
        </w:rPr>
        <w:t xml:space="preserve"> &amp; </w:t>
      </w:r>
      <w:proofErr w:type="spellStart"/>
      <w:r w:rsidRPr="008269E3">
        <w:rPr>
          <w:lang w:val="en-GB"/>
        </w:rPr>
        <w:t>Rathmayer</w:t>
      </w:r>
      <w:proofErr w:type="spellEnd"/>
      <w:r w:rsidRPr="008269E3">
        <w:rPr>
          <w:lang w:val="en-GB"/>
        </w:rPr>
        <w:t xml:space="preserve"> 2014: 227-254</w:t>
      </w:r>
      <w:r w:rsidR="00207BC5" w:rsidRPr="008269E3">
        <w:rPr>
          <w:lang w:val="en-GB"/>
        </w:rPr>
        <w:t>.</w:t>
      </w:r>
    </w:p>
  </w:footnote>
  <w:footnote w:id="48">
    <w:p w14:paraId="2E6DDA6D" w14:textId="716624BF" w:rsidR="003271FD" w:rsidRPr="008269E3" w:rsidRDefault="003271FD" w:rsidP="003271FD">
      <w:pPr>
        <w:pStyle w:val="FootnoteText"/>
        <w:rPr>
          <w:lang w:val="en-GB"/>
        </w:rPr>
      </w:pPr>
      <w:r w:rsidRPr="008269E3">
        <w:rPr>
          <w:rStyle w:val="FootnoteReference"/>
          <w:lang w:val="en-GB"/>
        </w:rPr>
        <w:footnoteRef/>
      </w:r>
      <w:r w:rsidR="008F0F25">
        <w:rPr>
          <w:lang w:val="en-GB"/>
        </w:rPr>
        <w:t xml:space="preserve"> H. </w:t>
      </w:r>
      <w:proofErr w:type="spellStart"/>
      <w:r w:rsidR="008F0F25">
        <w:rPr>
          <w:lang w:val="en-GB"/>
        </w:rPr>
        <w:t>Taeuber</w:t>
      </w:r>
      <w:proofErr w:type="spellEnd"/>
      <w:r w:rsidR="008F0F25">
        <w:rPr>
          <w:lang w:val="en-GB"/>
        </w:rPr>
        <w:t xml:space="preserve">, in </w:t>
      </w:r>
      <w:proofErr w:type="spellStart"/>
      <w:r w:rsidR="008F0F25" w:rsidRPr="008269E3">
        <w:rPr>
          <w:lang w:val="en-GB"/>
        </w:rPr>
        <w:t>Thür</w:t>
      </w:r>
      <w:proofErr w:type="spellEnd"/>
      <w:r w:rsidR="008F0F25" w:rsidRPr="008269E3">
        <w:rPr>
          <w:lang w:val="en-GB"/>
        </w:rPr>
        <w:t xml:space="preserve"> &amp; </w:t>
      </w:r>
      <w:proofErr w:type="spellStart"/>
      <w:r w:rsidR="008F0F25" w:rsidRPr="008269E3">
        <w:rPr>
          <w:lang w:val="en-GB"/>
        </w:rPr>
        <w:t>Rathmayer</w:t>
      </w:r>
      <w:proofErr w:type="spellEnd"/>
      <w:r w:rsidR="008F0F25" w:rsidRPr="008269E3">
        <w:rPr>
          <w:lang w:val="en-GB"/>
        </w:rPr>
        <w:t xml:space="preserve"> 2014</w:t>
      </w:r>
      <w:r w:rsidRPr="008269E3">
        <w:rPr>
          <w:lang w:val="en-GB"/>
        </w:rPr>
        <w:t xml:space="preserve">: 338 GR 255; with </w:t>
      </w:r>
      <w:proofErr w:type="spellStart"/>
      <w:r w:rsidRPr="008269E3">
        <w:rPr>
          <w:lang w:val="en-GB"/>
        </w:rPr>
        <w:t>Thür</w:t>
      </w:r>
      <w:proofErr w:type="spellEnd"/>
      <w:r w:rsidRPr="008269E3">
        <w:rPr>
          <w:lang w:val="en-GB"/>
        </w:rPr>
        <w:t xml:space="preserve"> &amp; </w:t>
      </w:r>
      <w:proofErr w:type="spellStart"/>
      <w:r w:rsidRPr="008269E3">
        <w:rPr>
          <w:lang w:val="en-GB"/>
        </w:rPr>
        <w:t>Rathmayr</w:t>
      </w:r>
      <w:proofErr w:type="spellEnd"/>
      <w:r w:rsidRPr="008269E3">
        <w:rPr>
          <w:lang w:val="en-GB"/>
        </w:rPr>
        <w:t xml:space="preserve"> 2014: 14.</w:t>
      </w:r>
    </w:p>
  </w:footnote>
  <w:footnote w:id="49">
    <w:p w14:paraId="47614ABC" w14:textId="699C5830" w:rsidR="003271FD" w:rsidRPr="0083656D" w:rsidRDefault="003271FD" w:rsidP="003271FD">
      <w:pPr>
        <w:pStyle w:val="FootnoteText"/>
        <w:rPr>
          <w:lang w:val="fr-FR"/>
        </w:rPr>
      </w:pPr>
      <w:r w:rsidRPr="008269E3">
        <w:rPr>
          <w:rStyle w:val="FootnoteReference"/>
          <w:lang w:val="en-GB"/>
        </w:rPr>
        <w:footnoteRef/>
      </w:r>
      <w:r w:rsidRPr="0083656D">
        <w:rPr>
          <w:lang w:val="fr-FR"/>
        </w:rPr>
        <w:t xml:space="preserve"> </w:t>
      </w:r>
      <w:proofErr w:type="spellStart"/>
      <w:r w:rsidRPr="0083656D">
        <w:rPr>
          <w:lang w:val="fr-FR"/>
        </w:rPr>
        <w:t>Fant</w:t>
      </w:r>
      <w:proofErr w:type="spellEnd"/>
      <w:r w:rsidRPr="0083656D">
        <w:rPr>
          <w:lang w:val="fr-FR"/>
        </w:rPr>
        <w:t xml:space="preserve"> 1989</w:t>
      </w:r>
      <w:proofErr w:type="gramStart"/>
      <w:r w:rsidR="00853400" w:rsidRPr="0083656D">
        <w:rPr>
          <w:i/>
          <w:lang w:val="fr-FR"/>
        </w:rPr>
        <w:t>a</w:t>
      </w:r>
      <w:r w:rsidRPr="0083656D">
        <w:rPr>
          <w:lang w:val="fr-FR"/>
        </w:rPr>
        <w:t>:</w:t>
      </w:r>
      <w:proofErr w:type="gramEnd"/>
      <w:r w:rsidRPr="0083656D">
        <w:rPr>
          <w:lang w:val="fr-FR"/>
        </w:rPr>
        <w:t xml:space="preserve"> nos. 59, 60 = Hirt </w:t>
      </w:r>
      <w:proofErr w:type="gramStart"/>
      <w:r w:rsidRPr="0083656D">
        <w:rPr>
          <w:lang w:val="fr-FR"/>
        </w:rPr>
        <w:t>2010:</w:t>
      </w:r>
      <w:proofErr w:type="gramEnd"/>
      <w:r w:rsidRPr="0083656D">
        <w:rPr>
          <w:lang w:val="fr-FR"/>
        </w:rPr>
        <w:t xml:space="preserve"> App. </w:t>
      </w:r>
      <w:proofErr w:type="gramStart"/>
      <w:r w:rsidRPr="0083656D">
        <w:rPr>
          <w:lang w:val="fr-FR"/>
        </w:rPr>
        <w:t>nos</w:t>
      </w:r>
      <w:proofErr w:type="gramEnd"/>
      <w:r w:rsidRPr="0083656D">
        <w:rPr>
          <w:lang w:val="fr-FR"/>
        </w:rPr>
        <w:t xml:space="preserve">. 103, 104. </w:t>
      </w:r>
    </w:p>
  </w:footnote>
  <w:footnote w:id="50">
    <w:p w14:paraId="7A7CDE8B" w14:textId="73C15933" w:rsidR="003271FD" w:rsidRPr="008269E3" w:rsidRDefault="003271FD" w:rsidP="003271FD">
      <w:pPr>
        <w:pStyle w:val="FootnoteText"/>
        <w:rPr>
          <w:lang w:val="en-GB"/>
        </w:rPr>
      </w:pPr>
      <w:r w:rsidRPr="008269E3">
        <w:rPr>
          <w:rStyle w:val="FootnoteReference"/>
          <w:lang w:val="en-GB"/>
        </w:rPr>
        <w:footnoteRef/>
      </w:r>
      <w:r w:rsidRPr="008269E3">
        <w:rPr>
          <w:lang w:val="en-GB"/>
        </w:rPr>
        <w:t xml:space="preserve"> </w:t>
      </w:r>
      <w:r w:rsidR="008F0F25">
        <w:rPr>
          <w:lang w:val="en-GB"/>
        </w:rPr>
        <w:t xml:space="preserve">H. </w:t>
      </w:r>
      <w:proofErr w:type="spellStart"/>
      <w:r w:rsidR="008F0F25">
        <w:rPr>
          <w:lang w:val="en-GB"/>
        </w:rPr>
        <w:t>Taeuber</w:t>
      </w:r>
      <w:proofErr w:type="spellEnd"/>
      <w:r w:rsidR="008F0F25">
        <w:rPr>
          <w:lang w:val="en-GB"/>
        </w:rPr>
        <w:t xml:space="preserve">, in </w:t>
      </w:r>
      <w:proofErr w:type="spellStart"/>
      <w:r w:rsidR="008F0F25" w:rsidRPr="008269E3">
        <w:rPr>
          <w:lang w:val="en-GB"/>
        </w:rPr>
        <w:t>Thür</w:t>
      </w:r>
      <w:proofErr w:type="spellEnd"/>
      <w:r w:rsidR="008F0F25" w:rsidRPr="008269E3">
        <w:rPr>
          <w:lang w:val="en-GB"/>
        </w:rPr>
        <w:t xml:space="preserve"> &amp; </w:t>
      </w:r>
      <w:proofErr w:type="spellStart"/>
      <w:r w:rsidR="008F0F25" w:rsidRPr="008269E3">
        <w:rPr>
          <w:lang w:val="en-GB"/>
        </w:rPr>
        <w:t>Rathmayer</w:t>
      </w:r>
      <w:proofErr w:type="spellEnd"/>
      <w:r w:rsidR="008F0F25" w:rsidRPr="008269E3">
        <w:rPr>
          <w:lang w:val="en-GB"/>
        </w:rPr>
        <w:t xml:space="preserve"> 2014</w:t>
      </w:r>
      <w:r w:rsidRPr="008269E3">
        <w:rPr>
          <w:lang w:val="en-GB"/>
        </w:rPr>
        <w:t>: 339 GR 284.</w:t>
      </w:r>
    </w:p>
  </w:footnote>
  <w:footnote w:id="51">
    <w:p w14:paraId="237268F1" w14:textId="5B87EA71" w:rsidR="003271FD" w:rsidRPr="008269E3" w:rsidRDefault="003271FD" w:rsidP="003271FD">
      <w:pPr>
        <w:pStyle w:val="FootnoteText"/>
        <w:rPr>
          <w:lang w:val="en-GB"/>
        </w:rPr>
      </w:pPr>
      <w:r w:rsidRPr="008269E3">
        <w:rPr>
          <w:rStyle w:val="FootnoteReference"/>
          <w:lang w:val="en-GB"/>
        </w:rPr>
        <w:footnoteRef/>
      </w:r>
      <w:r w:rsidRPr="008269E3">
        <w:rPr>
          <w:lang w:val="en-GB"/>
        </w:rPr>
        <w:t xml:space="preserve"> </w:t>
      </w:r>
      <w:r w:rsidR="008F0F25">
        <w:rPr>
          <w:lang w:val="en-GB"/>
        </w:rPr>
        <w:t xml:space="preserve">H. </w:t>
      </w:r>
      <w:proofErr w:type="spellStart"/>
      <w:r w:rsidR="008F0F25">
        <w:rPr>
          <w:lang w:val="en-GB"/>
        </w:rPr>
        <w:t>Taeuber</w:t>
      </w:r>
      <w:proofErr w:type="spellEnd"/>
      <w:r w:rsidR="008F0F25">
        <w:rPr>
          <w:lang w:val="en-GB"/>
        </w:rPr>
        <w:t xml:space="preserve">, in </w:t>
      </w:r>
      <w:proofErr w:type="spellStart"/>
      <w:r w:rsidR="008F0F25" w:rsidRPr="008269E3">
        <w:rPr>
          <w:lang w:val="en-GB"/>
        </w:rPr>
        <w:t>Thür</w:t>
      </w:r>
      <w:proofErr w:type="spellEnd"/>
      <w:r w:rsidR="008F0F25" w:rsidRPr="008269E3">
        <w:rPr>
          <w:lang w:val="en-GB"/>
        </w:rPr>
        <w:t xml:space="preserve"> &amp; </w:t>
      </w:r>
      <w:proofErr w:type="spellStart"/>
      <w:r w:rsidR="008F0F25" w:rsidRPr="008269E3">
        <w:rPr>
          <w:lang w:val="en-GB"/>
        </w:rPr>
        <w:t>Rathmayer</w:t>
      </w:r>
      <w:proofErr w:type="spellEnd"/>
      <w:r w:rsidR="008F0F25" w:rsidRPr="008269E3">
        <w:rPr>
          <w:lang w:val="en-GB"/>
        </w:rPr>
        <w:t xml:space="preserve"> 2014</w:t>
      </w:r>
      <w:r w:rsidRPr="008269E3">
        <w:rPr>
          <w:lang w:val="en-GB"/>
        </w:rPr>
        <w:t>: 339 GR 285, GR 286.</w:t>
      </w:r>
      <w:r w:rsidRPr="008269E3">
        <w:rPr>
          <w:sz w:val="28"/>
          <w:szCs w:val="28"/>
          <w:lang w:val="en-GB"/>
        </w:rPr>
        <w:t xml:space="preserve"> </w:t>
      </w:r>
    </w:p>
  </w:footnote>
  <w:footnote w:id="52">
    <w:p w14:paraId="7730B57F" w14:textId="0839E711" w:rsidR="003271FD" w:rsidRPr="008269E3" w:rsidRDefault="003271FD" w:rsidP="003271FD">
      <w:pPr>
        <w:pStyle w:val="FootnoteText"/>
        <w:rPr>
          <w:lang w:val="en-GB"/>
        </w:rPr>
      </w:pPr>
      <w:r w:rsidRPr="008269E3">
        <w:rPr>
          <w:rStyle w:val="FootnoteReference"/>
          <w:lang w:val="en-GB"/>
        </w:rPr>
        <w:footnoteRef/>
      </w:r>
      <w:r w:rsidRPr="008269E3">
        <w:rPr>
          <w:lang w:val="en-GB"/>
        </w:rPr>
        <w:t xml:space="preserve"> </w:t>
      </w:r>
      <w:r w:rsidR="008F0F25">
        <w:rPr>
          <w:lang w:val="en-GB"/>
        </w:rPr>
        <w:t xml:space="preserve">H. </w:t>
      </w:r>
      <w:proofErr w:type="spellStart"/>
      <w:r w:rsidR="008F0F25">
        <w:rPr>
          <w:lang w:val="en-GB"/>
        </w:rPr>
        <w:t>Taeuber</w:t>
      </w:r>
      <w:proofErr w:type="spellEnd"/>
      <w:r w:rsidR="008F0F25">
        <w:rPr>
          <w:lang w:val="en-GB"/>
        </w:rPr>
        <w:t xml:space="preserve">, in </w:t>
      </w:r>
      <w:proofErr w:type="spellStart"/>
      <w:r w:rsidR="008F0F25" w:rsidRPr="008269E3">
        <w:rPr>
          <w:lang w:val="en-GB"/>
        </w:rPr>
        <w:t>Thür</w:t>
      </w:r>
      <w:proofErr w:type="spellEnd"/>
      <w:r w:rsidR="008F0F25" w:rsidRPr="008269E3">
        <w:rPr>
          <w:lang w:val="en-GB"/>
        </w:rPr>
        <w:t xml:space="preserve"> &amp; </w:t>
      </w:r>
      <w:proofErr w:type="spellStart"/>
      <w:r w:rsidR="008F0F25" w:rsidRPr="008269E3">
        <w:rPr>
          <w:lang w:val="en-GB"/>
        </w:rPr>
        <w:t>Rathmayer</w:t>
      </w:r>
      <w:proofErr w:type="spellEnd"/>
      <w:r w:rsidR="008F0F25" w:rsidRPr="008269E3">
        <w:rPr>
          <w:lang w:val="en-GB"/>
        </w:rPr>
        <w:t xml:space="preserve"> 2014</w:t>
      </w:r>
      <w:r w:rsidRPr="008269E3">
        <w:rPr>
          <w:lang w:val="en-GB"/>
        </w:rPr>
        <w:t>: 339 GR 282</w:t>
      </w:r>
    </w:p>
  </w:footnote>
  <w:footnote w:id="53">
    <w:p w14:paraId="22AFC213" w14:textId="30622DE0" w:rsidR="003271FD" w:rsidRPr="008269E3" w:rsidRDefault="003271FD" w:rsidP="003271FD">
      <w:pPr>
        <w:pStyle w:val="FootnoteText"/>
        <w:rPr>
          <w:lang w:val="en-GB"/>
        </w:rPr>
      </w:pPr>
      <w:r w:rsidRPr="008269E3">
        <w:rPr>
          <w:rStyle w:val="FootnoteReference"/>
          <w:lang w:val="en-GB"/>
        </w:rPr>
        <w:footnoteRef/>
      </w:r>
      <w:r w:rsidRPr="008269E3">
        <w:rPr>
          <w:lang w:val="en-GB"/>
        </w:rPr>
        <w:t xml:space="preserve"> </w:t>
      </w:r>
      <w:r w:rsidR="008F0F25">
        <w:rPr>
          <w:lang w:val="en-GB"/>
        </w:rPr>
        <w:t xml:space="preserve">H. </w:t>
      </w:r>
      <w:proofErr w:type="spellStart"/>
      <w:r w:rsidR="008F0F25">
        <w:rPr>
          <w:lang w:val="en-GB"/>
        </w:rPr>
        <w:t>Taeuber</w:t>
      </w:r>
      <w:proofErr w:type="spellEnd"/>
      <w:r w:rsidR="008F0F25">
        <w:rPr>
          <w:lang w:val="en-GB"/>
        </w:rPr>
        <w:t xml:space="preserve">, in </w:t>
      </w:r>
      <w:proofErr w:type="spellStart"/>
      <w:r w:rsidR="008F0F25" w:rsidRPr="008269E3">
        <w:rPr>
          <w:lang w:val="en-GB"/>
        </w:rPr>
        <w:t>Thür</w:t>
      </w:r>
      <w:proofErr w:type="spellEnd"/>
      <w:r w:rsidR="008F0F25" w:rsidRPr="008269E3">
        <w:rPr>
          <w:lang w:val="en-GB"/>
        </w:rPr>
        <w:t xml:space="preserve"> &amp; </w:t>
      </w:r>
      <w:proofErr w:type="spellStart"/>
      <w:r w:rsidR="008F0F25" w:rsidRPr="008269E3">
        <w:rPr>
          <w:lang w:val="en-GB"/>
        </w:rPr>
        <w:t>Rathmayer</w:t>
      </w:r>
      <w:proofErr w:type="spellEnd"/>
      <w:r w:rsidR="008F0F25" w:rsidRPr="008269E3">
        <w:rPr>
          <w:lang w:val="en-GB"/>
        </w:rPr>
        <w:t xml:space="preserve"> 2014</w:t>
      </w:r>
      <w:r w:rsidRPr="008269E3">
        <w:rPr>
          <w:lang w:val="en-GB"/>
        </w:rPr>
        <w:t>: 339 GR 283.</w:t>
      </w:r>
    </w:p>
  </w:footnote>
  <w:footnote w:id="54">
    <w:p w14:paraId="7BBF7D87" w14:textId="0066DB97" w:rsidR="003271FD" w:rsidRPr="008269E3" w:rsidRDefault="003271FD" w:rsidP="003271FD">
      <w:pPr>
        <w:pStyle w:val="FootnoteText"/>
        <w:rPr>
          <w:lang w:val="en-GB"/>
        </w:rPr>
      </w:pPr>
      <w:r w:rsidRPr="008269E3">
        <w:rPr>
          <w:rStyle w:val="FootnoteReference"/>
          <w:lang w:val="en-GB"/>
        </w:rPr>
        <w:footnoteRef/>
      </w:r>
      <w:r w:rsidR="00207BC5" w:rsidRPr="008269E3">
        <w:rPr>
          <w:lang w:val="en-GB"/>
        </w:rPr>
        <w:t xml:space="preserve"> </w:t>
      </w:r>
      <w:proofErr w:type="spellStart"/>
      <w:r w:rsidR="00207BC5" w:rsidRPr="008269E3">
        <w:rPr>
          <w:lang w:val="en-GB"/>
        </w:rPr>
        <w:t>Rathmayr</w:t>
      </w:r>
      <w:proofErr w:type="spellEnd"/>
      <w:r w:rsidR="00207BC5" w:rsidRPr="008269E3">
        <w:rPr>
          <w:lang w:val="en-GB"/>
        </w:rPr>
        <w:t xml:space="preserve"> 2016: 5</w:t>
      </w:r>
      <w:r w:rsidRPr="008269E3">
        <w:rPr>
          <w:lang w:val="en-GB"/>
        </w:rPr>
        <w:t xml:space="preserve">; </w:t>
      </w:r>
      <w:r w:rsidR="00207BC5" w:rsidRPr="008269E3">
        <w:rPr>
          <w:lang w:val="en-GB"/>
        </w:rPr>
        <w:t xml:space="preserve">K. </w:t>
      </w:r>
      <w:r w:rsidRPr="008269E3">
        <w:rPr>
          <w:lang w:val="en-GB"/>
        </w:rPr>
        <w:t xml:space="preserve">Koller, in: </w:t>
      </w:r>
      <w:proofErr w:type="spellStart"/>
      <w:r w:rsidRPr="008269E3">
        <w:rPr>
          <w:lang w:val="en-GB"/>
        </w:rPr>
        <w:t>Rathmayer</w:t>
      </w:r>
      <w:proofErr w:type="spellEnd"/>
      <w:r w:rsidRPr="008269E3">
        <w:rPr>
          <w:lang w:val="en-GB"/>
        </w:rPr>
        <w:t xml:space="preserve"> 2016: 259 ff. </w:t>
      </w:r>
    </w:p>
  </w:footnote>
  <w:footnote w:id="55">
    <w:p w14:paraId="5CCB57CC" w14:textId="1F275D03" w:rsidR="00A20BF3" w:rsidRPr="008269E3" w:rsidRDefault="00A20BF3">
      <w:pPr>
        <w:pStyle w:val="FootnoteText"/>
        <w:rPr>
          <w:lang w:val="en-GB"/>
        </w:rPr>
      </w:pPr>
      <w:r w:rsidRPr="008269E3">
        <w:rPr>
          <w:rStyle w:val="FootnoteReference"/>
          <w:lang w:val="en-GB"/>
        </w:rPr>
        <w:footnoteRef/>
      </w:r>
      <w:r w:rsidRPr="008269E3">
        <w:rPr>
          <w:lang w:val="en-GB"/>
        </w:rPr>
        <w:t xml:space="preserve"> Eck 2010</w:t>
      </w:r>
      <w:r w:rsidR="00207BC5" w:rsidRPr="008269E3">
        <w:rPr>
          <w:i/>
          <w:lang w:val="en-GB"/>
        </w:rPr>
        <w:t>a</w:t>
      </w:r>
      <w:r w:rsidRPr="008269E3">
        <w:rPr>
          <w:lang w:val="en-GB"/>
        </w:rPr>
        <w:t>: 96-98.</w:t>
      </w:r>
    </w:p>
  </w:footnote>
  <w:footnote w:id="56">
    <w:p w14:paraId="3483B5E0" w14:textId="2C1BEEE0" w:rsidR="000F453A" w:rsidRPr="008269E3" w:rsidRDefault="000F453A" w:rsidP="003E0B35">
      <w:pPr>
        <w:pStyle w:val="FootnoteText"/>
        <w:rPr>
          <w:lang w:val="en-GB"/>
        </w:rPr>
      </w:pPr>
      <w:r w:rsidRPr="008269E3">
        <w:rPr>
          <w:rStyle w:val="FootnoteReference"/>
          <w:lang w:val="en-GB"/>
        </w:rPr>
        <w:footnoteRef/>
      </w:r>
      <w:r w:rsidRPr="008269E3">
        <w:rPr>
          <w:lang w:val="en-GB"/>
        </w:rPr>
        <w:t xml:space="preserve"> </w:t>
      </w:r>
      <w:proofErr w:type="spellStart"/>
      <w:r w:rsidR="0072590A">
        <w:rPr>
          <w:lang w:val="en-GB"/>
        </w:rPr>
        <w:t>Balbus</w:t>
      </w:r>
      <w:proofErr w:type="spellEnd"/>
      <w:r w:rsidR="0072590A">
        <w:rPr>
          <w:lang w:val="en-GB"/>
        </w:rPr>
        <w:t xml:space="preserve">, cf. </w:t>
      </w:r>
      <w:proofErr w:type="spellStart"/>
      <w:r w:rsidR="0072590A">
        <w:rPr>
          <w:lang w:val="en-GB"/>
        </w:rPr>
        <w:t>Pappalardo</w:t>
      </w:r>
      <w:proofErr w:type="spellEnd"/>
      <w:r w:rsidR="0072590A">
        <w:rPr>
          <w:lang w:val="en-GB"/>
        </w:rPr>
        <w:t xml:space="preserve"> 2005. Africa: </w:t>
      </w:r>
      <w:r w:rsidR="00620EF9" w:rsidRPr="008269E3">
        <w:rPr>
          <w:lang w:val="en-GB"/>
        </w:rPr>
        <w:t>Zimmer 1989: 70-78; E</w:t>
      </w:r>
      <w:r w:rsidR="009F2F0E" w:rsidRPr="008269E3">
        <w:rPr>
          <w:lang w:val="en-GB"/>
        </w:rPr>
        <w:t>ck 2010</w:t>
      </w:r>
      <w:r w:rsidR="004C26AD" w:rsidRPr="004C26AD">
        <w:rPr>
          <w:i/>
          <w:lang w:val="en-GB"/>
        </w:rPr>
        <w:t>a</w:t>
      </w:r>
      <w:r w:rsidR="009F2F0E" w:rsidRPr="008269E3">
        <w:rPr>
          <w:lang w:val="en-GB"/>
        </w:rPr>
        <w:t xml:space="preserve">: </w:t>
      </w:r>
      <w:r w:rsidR="00DD3F86">
        <w:rPr>
          <w:lang w:val="en-GB"/>
        </w:rPr>
        <w:t xml:space="preserve">99, </w:t>
      </w:r>
      <w:r w:rsidR="009F2F0E" w:rsidRPr="008269E3">
        <w:rPr>
          <w:lang w:val="en-GB"/>
        </w:rPr>
        <w:t>101</w:t>
      </w:r>
      <w:r w:rsidR="00620EF9" w:rsidRPr="008269E3">
        <w:rPr>
          <w:lang w:val="en-GB"/>
        </w:rPr>
        <w:t>.</w:t>
      </w:r>
    </w:p>
  </w:footnote>
  <w:footnote w:id="57">
    <w:p w14:paraId="3DD643EB" w14:textId="76F80F56" w:rsidR="00A20BF3" w:rsidRPr="008269E3" w:rsidRDefault="00A20BF3" w:rsidP="00A20BF3">
      <w:pPr>
        <w:pStyle w:val="FootnoteText"/>
        <w:rPr>
          <w:lang w:val="en-GB"/>
        </w:rPr>
      </w:pPr>
      <w:r w:rsidRPr="008269E3">
        <w:rPr>
          <w:rStyle w:val="FootnoteReference"/>
          <w:lang w:val="en-GB"/>
        </w:rPr>
        <w:footnoteRef/>
      </w:r>
      <w:r w:rsidRPr="008269E3">
        <w:rPr>
          <w:lang w:val="en-GB"/>
        </w:rPr>
        <w:t xml:space="preserve"> </w:t>
      </w:r>
      <w:r w:rsidRPr="008269E3">
        <w:rPr>
          <w:rFonts w:eastAsia="Times New Roman"/>
          <w:i/>
          <w:lang w:val="en-GB"/>
        </w:rPr>
        <w:t>PIR</w:t>
      </w:r>
      <w:r w:rsidRPr="008269E3">
        <w:rPr>
          <w:rFonts w:eastAsia="Times New Roman"/>
          <w:vertAlign w:val="superscript"/>
          <w:lang w:val="en-GB"/>
        </w:rPr>
        <w:t>2</w:t>
      </w:r>
      <w:r w:rsidRPr="008269E3">
        <w:rPr>
          <w:rFonts w:eastAsia="Times New Roman"/>
          <w:lang w:val="en-GB"/>
        </w:rPr>
        <w:t xml:space="preserve"> J 260; </w:t>
      </w:r>
      <w:proofErr w:type="spellStart"/>
      <w:r w:rsidRPr="008269E3">
        <w:rPr>
          <w:rFonts w:eastAsia="Times New Roman"/>
          <w:lang w:val="en-GB"/>
        </w:rPr>
        <w:t>Halfmann</w:t>
      </w:r>
      <w:proofErr w:type="spellEnd"/>
      <w:r w:rsidRPr="008269E3">
        <w:rPr>
          <w:rFonts w:eastAsia="Times New Roman"/>
          <w:lang w:val="en-GB"/>
        </w:rPr>
        <w:t xml:space="preserve"> 1979: 111f.; </w:t>
      </w:r>
      <w:proofErr w:type="spellStart"/>
      <w:r w:rsidR="00DD3F86" w:rsidRPr="008269E3">
        <w:rPr>
          <w:lang w:val="en-GB"/>
        </w:rPr>
        <w:t>Fant</w:t>
      </w:r>
      <w:proofErr w:type="spellEnd"/>
      <w:r w:rsidR="00DD3F86" w:rsidRPr="008269E3">
        <w:rPr>
          <w:lang w:val="en-GB"/>
        </w:rPr>
        <w:t xml:space="preserve"> 1993</w:t>
      </w:r>
      <w:r w:rsidR="00DD3F86" w:rsidRPr="004C26AD">
        <w:rPr>
          <w:i/>
          <w:lang w:val="en-GB"/>
        </w:rPr>
        <w:t>a</w:t>
      </w:r>
      <w:r w:rsidR="00DD3F86">
        <w:rPr>
          <w:lang w:val="en-GB"/>
        </w:rPr>
        <w:t xml:space="preserve">: 156; </w:t>
      </w:r>
      <w:r w:rsidR="00DD3F86" w:rsidRPr="008269E3">
        <w:rPr>
          <w:lang w:val="en-GB"/>
        </w:rPr>
        <w:t>Scherrer 1996: 12f.</w:t>
      </w:r>
      <w:r w:rsidR="00DD3F86">
        <w:rPr>
          <w:lang w:val="en-GB"/>
        </w:rPr>
        <w:t xml:space="preserve">; </w:t>
      </w:r>
      <w:r w:rsidRPr="008269E3">
        <w:rPr>
          <w:rFonts w:eastAsia="Times New Roman"/>
          <w:lang w:val="en-GB"/>
        </w:rPr>
        <w:t xml:space="preserve">Barresi 2003: 377-80; </w:t>
      </w:r>
      <w:r w:rsidR="00DD3F86" w:rsidRPr="008269E3">
        <w:rPr>
          <w:lang w:val="en-GB"/>
        </w:rPr>
        <w:t>Eck 2010</w:t>
      </w:r>
      <w:r w:rsidR="00DD3F86" w:rsidRPr="008269E3">
        <w:rPr>
          <w:i/>
          <w:lang w:val="en-GB"/>
        </w:rPr>
        <w:t>a</w:t>
      </w:r>
      <w:r w:rsidR="00DD3F86" w:rsidRPr="008269E3">
        <w:rPr>
          <w:lang w:val="en-GB"/>
        </w:rPr>
        <w:t>: 99 f.</w:t>
      </w:r>
      <w:r w:rsidR="00DD3F86">
        <w:rPr>
          <w:lang w:val="en-GB"/>
        </w:rPr>
        <w:t xml:space="preserve">; </w:t>
      </w:r>
      <w:proofErr w:type="spellStart"/>
      <w:r w:rsidR="00DD3F86">
        <w:rPr>
          <w:lang w:val="en-GB"/>
        </w:rPr>
        <w:t>Pensabene</w:t>
      </w:r>
      <w:proofErr w:type="spellEnd"/>
      <w:r w:rsidR="00DD3F86">
        <w:rPr>
          <w:lang w:val="en-GB"/>
        </w:rPr>
        <w:t xml:space="preserve"> 2010: 83-</w:t>
      </w:r>
      <w:r w:rsidR="00C378B3">
        <w:rPr>
          <w:lang w:val="en-GB"/>
        </w:rPr>
        <w:t>8</w:t>
      </w:r>
      <w:r w:rsidR="00DD3F86">
        <w:rPr>
          <w:lang w:val="en-GB"/>
        </w:rPr>
        <w:t>5.</w:t>
      </w:r>
    </w:p>
  </w:footnote>
  <w:footnote w:id="58">
    <w:p w14:paraId="5FF87565" w14:textId="73FEAF31" w:rsidR="00A20BF3" w:rsidRPr="008269E3" w:rsidRDefault="00A20BF3" w:rsidP="00A20BF3">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Steksal</w:t>
      </w:r>
      <w:proofErr w:type="spellEnd"/>
      <w:r w:rsidRPr="008269E3">
        <w:rPr>
          <w:lang w:val="en-GB"/>
        </w:rPr>
        <w:t xml:space="preserve"> &amp;</w:t>
      </w:r>
      <w:r w:rsidR="00DD3F86">
        <w:rPr>
          <w:lang w:val="en-GB"/>
        </w:rPr>
        <w:t xml:space="preserve"> La Torre 2008: </w:t>
      </w:r>
      <w:r w:rsidRPr="008269E3">
        <w:rPr>
          <w:lang w:val="en-GB"/>
        </w:rPr>
        <w:t xml:space="preserve">21, 64 with Kat. Nr. A 101 and </w:t>
      </w:r>
      <w:proofErr w:type="spellStart"/>
      <w:r w:rsidRPr="008269E3">
        <w:rPr>
          <w:lang w:val="en-GB"/>
        </w:rPr>
        <w:t>Taf</w:t>
      </w:r>
      <w:proofErr w:type="spellEnd"/>
      <w:r w:rsidRPr="008269E3">
        <w:rPr>
          <w:lang w:val="en-GB"/>
        </w:rPr>
        <w:t xml:space="preserve">. 80.1-3 [wrongly identified as </w:t>
      </w:r>
      <w:proofErr w:type="spellStart"/>
      <w:r w:rsidRPr="008269E3">
        <w:rPr>
          <w:lang w:val="en-GB"/>
        </w:rPr>
        <w:t>cipollino</w:t>
      </w:r>
      <w:proofErr w:type="spellEnd"/>
      <w:r w:rsidRPr="008269E3">
        <w:rPr>
          <w:lang w:val="en-GB"/>
        </w:rPr>
        <w:t xml:space="preserve">], 303-8; </w:t>
      </w:r>
      <w:proofErr w:type="spellStart"/>
      <w:r w:rsidRPr="008269E3">
        <w:rPr>
          <w:lang w:val="en-GB"/>
        </w:rPr>
        <w:t>Fant</w:t>
      </w:r>
      <w:proofErr w:type="spellEnd"/>
      <w:r w:rsidRPr="008269E3">
        <w:rPr>
          <w:lang w:val="en-GB"/>
        </w:rPr>
        <w:t xml:space="preserve"> 1989</w:t>
      </w:r>
      <w:r w:rsidR="00450134">
        <w:rPr>
          <w:lang w:val="en-GB"/>
        </w:rPr>
        <w:t>a</w:t>
      </w:r>
      <w:r w:rsidRPr="008269E3">
        <w:rPr>
          <w:lang w:val="en-GB"/>
        </w:rPr>
        <w:t xml:space="preserve">: 217; </w:t>
      </w:r>
      <w:proofErr w:type="spellStart"/>
      <w:r w:rsidRPr="008269E3">
        <w:rPr>
          <w:lang w:val="en-GB"/>
        </w:rPr>
        <w:t>Fan</w:t>
      </w:r>
      <w:r w:rsidR="001D248C" w:rsidRPr="008269E3">
        <w:rPr>
          <w:lang w:val="en-GB"/>
        </w:rPr>
        <w:t>t</w:t>
      </w:r>
      <w:proofErr w:type="spellEnd"/>
      <w:r w:rsidR="001D248C" w:rsidRPr="008269E3">
        <w:rPr>
          <w:lang w:val="en-GB"/>
        </w:rPr>
        <w:t xml:space="preserve"> 1993</w:t>
      </w:r>
      <w:r w:rsidR="004C26AD" w:rsidRPr="004C26AD">
        <w:rPr>
          <w:i/>
          <w:lang w:val="en-GB"/>
        </w:rPr>
        <w:t>a</w:t>
      </w:r>
      <w:r w:rsidR="001D248C" w:rsidRPr="008269E3">
        <w:rPr>
          <w:lang w:val="en-GB"/>
        </w:rPr>
        <w:t xml:space="preserve">: 154; </w:t>
      </w:r>
      <w:proofErr w:type="spellStart"/>
      <w:r w:rsidR="001D248C" w:rsidRPr="008269E3">
        <w:rPr>
          <w:lang w:val="en-GB"/>
        </w:rPr>
        <w:t>Halfmann</w:t>
      </w:r>
      <w:proofErr w:type="spellEnd"/>
      <w:r w:rsidR="001D248C" w:rsidRPr="008269E3">
        <w:rPr>
          <w:lang w:val="en-GB"/>
        </w:rPr>
        <w:t xml:space="preserve"> 1982: 628; Thomas </w:t>
      </w:r>
      <w:r w:rsidR="00DD3F86">
        <w:rPr>
          <w:lang w:val="en-GB"/>
        </w:rPr>
        <w:t>2007: 133-</w:t>
      </w:r>
      <w:r w:rsidR="00C378B3">
        <w:rPr>
          <w:lang w:val="en-GB"/>
        </w:rPr>
        <w:t>13</w:t>
      </w:r>
      <w:r w:rsidR="001D248C" w:rsidRPr="008269E3">
        <w:rPr>
          <w:lang w:val="en-GB"/>
        </w:rPr>
        <w:t>5</w:t>
      </w:r>
      <w:r w:rsidR="00DD3F86">
        <w:rPr>
          <w:lang w:val="en-GB"/>
        </w:rPr>
        <w:t>.</w:t>
      </w:r>
    </w:p>
  </w:footnote>
  <w:footnote w:id="59">
    <w:p w14:paraId="59BC9A87" w14:textId="66103769" w:rsidR="00A20BF3" w:rsidRPr="008269E3" w:rsidRDefault="00A20BF3" w:rsidP="00A20BF3">
      <w:pPr>
        <w:pStyle w:val="FootnoteText"/>
        <w:rPr>
          <w:lang w:val="en-GB"/>
        </w:rPr>
      </w:pPr>
      <w:r w:rsidRPr="008269E3">
        <w:rPr>
          <w:rStyle w:val="FootnoteReference"/>
          <w:lang w:val="en-GB"/>
        </w:rPr>
        <w:footnoteRef/>
      </w:r>
      <w:r w:rsidRPr="008269E3">
        <w:rPr>
          <w:lang w:val="en-GB"/>
        </w:rPr>
        <w:t xml:space="preserve"> T. Flavius </w:t>
      </w:r>
      <w:proofErr w:type="spellStart"/>
      <w:r w:rsidRPr="008269E3">
        <w:rPr>
          <w:lang w:val="en-GB"/>
        </w:rPr>
        <w:t>Damianus</w:t>
      </w:r>
      <w:proofErr w:type="spellEnd"/>
      <w:r w:rsidRPr="008269E3">
        <w:rPr>
          <w:lang w:val="en-GB"/>
        </w:rPr>
        <w:t xml:space="preserve">: </w:t>
      </w:r>
      <w:r w:rsidRPr="008269E3">
        <w:rPr>
          <w:rFonts w:eastAsia="Times New Roman"/>
          <w:i/>
          <w:lang w:val="en-GB"/>
        </w:rPr>
        <w:t>PIR</w:t>
      </w:r>
      <w:r w:rsidRPr="008269E3">
        <w:rPr>
          <w:rFonts w:eastAsia="Times New Roman"/>
          <w:vertAlign w:val="superscript"/>
          <w:lang w:val="en-GB"/>
        </w:rPr>
        <w:t>2</w:t>
      </w:r>
      <w:r w:rsidRPr="008269E3">
        <w:rPr>
          <w:rFonts w:eastAsia="Times New Roman"/>
          <w:lang w:val="en-GB"/>
        </w:rPr>
        <w:t xml:space="preserve"> F 253; </w:t>
      </w:r>
      <w:proofErr w:type="spellStart"/>
      <w:r w:rsidRPr="008269E3">
        <w:rPr>
          <w:rFonts w:eastAsia="Times New Roman"/>
          <w:lang w:val="en-GB"/>
        </w:rPr>
        <w:t>Halfmann</w:t>
      </w:r>
      <w:proofErr w:type="spellEnd"/>
      <w:r w:rsidRPr="008269E3">
        <w:rPr>
          <w:rFonts w:eastAsia="Times New Roman"/>
          <w:lang w:val="en-GB"/>
        </w:rPr>
        <w:t xml:space="preserve"> 1982: 629;</w:t>
      </w:r>
      <w:r w:rsidRPr="008269E3">
        <w:rPr>
          <w:lang w:val="en-GB"/>
        </w:rPr>
        <w:t xml:space="preserve"> </w:t>
      </w:r>
      <w:proofErr w:type="spellStart"/>
      <w:r w:rsidRPr="008269E3">
        <w:rPr>
          <w:lang w:val="en-GB"/>
        </w:rPr>
        <w:t>Quass</w:t>
      </w:r>
      <w:proofErr w:type="spellEnd"/>
      <w:r w:rsidRPr="008269E3">
        <w:rPr>
          <w:lang w:val="en-GB"/>
        </w:rPr>
        <w:t xml:space="preserve"> 1993: 166, 218 with n. 780; </w:t>
      </w:r>
      <w:proofErr w:type="spellStart"/>
      <w:r w:rsidRPr="008269E3">
        <w:rPr>
          <w:lang w:val="en-GB"/>
        </w:rPr>
        <w:t>Fant</w:t>
      </w:r>
      <w:proofErr w:type="spellEnd"/>
      <w:r w:rsidRPr="008269E3">
        <w:rPr>
          <w:lang w:val="en-GB"/>
        </w:rPr>
        <w:t xml:space="preserve"> 1993</w:t>
      </w:r>
      <w:r w:rsidR="004C26AD" w:rsidRPr="004C26AD">
        <w:rPr>
          <w:i/>
          <w:lang w:val="en-GB"/>
        </w:rPr>
        <w:t>a</w:t>
      </w:r>
      <w:r w:rsidRPr="008269E3">
        <w:rPr>
          <w:lang w:val="en-GB"/>
        </w:rPr>
        <w:t xml:space="preserve">: 156 n. 73. Harbour Gymnasium: Barresi 2003: 374; </w:t>
      </w:r>
      <w:proofErr w:type="spellStart"/>
      <w:r w:rsidRPr="008269E3">
        <w:rPr>
          <w:lang w:val="en-GB"/>
        </w:rPr>
        <w:t>Pensabene</w:t>
      </w:r>
      <w:proofErr w:type="spellEnd"/>
      <w:r w:rsidRPr="008269E3">
        <w:rPr>
          <w:lang w:val="en-GB"/>
        </w:rPr>
        <w:t xml:space="preserve"> </w:t>
      </w:r>
      <w:r w:rsidR="009272FD">
        <w:rPr>
          <w:lang w:val="en-GB"/>
        </w:rPr>
        <w:t>2010: 84f.; Schneider 2002: 99.</w:t>
      </w:r>
    </w:p>
  </w:footnote>
  <w:footnote w:id="60">
    <w:p w14:paraId="6FFD1818" w14:textId="2503056A" w:rsidR="009272FD" w:rsidRPr="008269E3" w:rsidRDefault="009272FD" w:rsidP="009272FD">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Pensabene</w:t>
      </w:r>
      <w:proofErr w:type="spellEnd"/>
      <w:r w:rsidRPr="008269E3">
        <w:rPr>
          <w:lang w:val="en-GB"/>
        </w:rPr>
        <w:t xml:space="preserve"> 2010: 83-85.</w:t>
      </w:r>
      <w:r>
        <w:rPr>
          <w:lang w:val="en-GB"/>
        </w:rPr>
        <w:t xml:space="preserve"> For the gift of columns to Smyrna by Hadrian, cf. </w:t>
      </w:r>
      <w:r w:rsidRPr="008269E3">
        <w:rPr>
          <w:lang w:val="en-GB"/>
        </w:rPr>
        <w:t>Birley 1997: 159 ff.</w:t>
      </w:r>
      <w:r>
        <w:rPr>
          <w:lang w:val="en-GB"/>
        </w:rPr>
        <w:t>; Hirt 2015: 291</w:t>
      </w:r>
    </w:p>
  </w:footnote>
  <w:footnote w:id="61">
    <w:p w14:paraId="2C632DBB" w14:textId="2C138FA1" w:rsidR="00A20BF3" w:rsidRPr="008269E3" w:rsidRDefault="00A20BF3" w:rsidP="00A20BF3">
      <w:pPr>
        <w:pStyle w:val="FootnoteText"/>
        <w:rPr>
          <w:lang w:val="en-GB"/>
        </w:rPr>
      </w:pPr>
      <w:r w:rsidRPr="008269E3">
        <w:rPr>
          <w:rStyle w:val="FootnoteReference"/>
          <w:lang w:val="en-GB"/>
        </w:rPr>
        <w:footnoteRef/>
      </w:r>
      <w:r w:rsidRPr="008269E3">
        <w:rPr>
          <w:lang w:val="en-GB"/>
        </w:rPr>
        <w:t xml:space="preserve"> On </w:t>
      </w:r>
      <w:proofErr w:type="spellStart"/>
      <w:r w:rsidRPr="008269E3">
        <w:rPr>
          <w:lang w:val="en-GB"/>
        </w:rPr>
        <w:t>Dionysios</w:t>
      </w:r>
      <w:proofErr w:type="spellEnd"/>
      <w:r w:rsidRPr="008269E3">
        <w:rPr>
          <w:lang w:val="en-GB"/>
        </w:rPr>
        <w:t xml:space="preserve">: </w:t>
      </w:r>
      <w:r w:rsidRPr="008269E3">
        <w:rPr>
          <w:i/>
          <w:lang w:val="en-GB"/>
        </w:rPr>
        <w:t xml:space="preserve">I. Eph. </w:t>
      </w:r>
      <w:r w:rsidRPr="008269E3">
        <w:rPr>
          <w:lang w:val="en-GB"/>
        </w:rPr>
        <w:t xml:space="preserve">666, 1034; Barresi 2003: 418-20; </w:t>
      </w:r>
      <w:proofErr w:type="spellStart"/>
      <w:r w:rsidRPr="008269E3">
        <w:rPr>
          <w:lang w:val="en-GB"/>
        </w:rPr>
        <w:t>Quass</w:t>
      </w:r>
      <w:proofErr w:type="spellEnd"/>
      <w:r w:rsidRPr="008269E3">
        <w:rPr>
          <w:lang w:val="en-GB"/>
        </w:rPr>
        <w:t xml:space="preserve"> 1993: 217f., n. 777</w:t>
      </w:r>
      <w:r w:rsidR="00207BC5" w:rsidRPr="008269E3">
        <w:rPr>
          <w:lang w:val="en-GB"/>
        </w:rPr>
        <w:t>.</w:t>
      </w:r>
    </w:p>
  </w:footnote>
  <w:footnote w:id="62">
    <w:p w14:paraId="73DE169A" w14:textId="54477AA8" w:rsidR="00A20BF3" w:rsidRPr="008269E3" w:rsidRDefault="00A20BF3" w:rsidP="00A20BF3">
      <w:pPr>
        <w:pStyle w:val="FootnoteText"/>
        <w:rPr>
          <w:lang w:val="en-GB"/>
        </w:rPr>
      </w:pPr>
      <w:r w:rsidRPr="008269E3">
        <w:rPr>
          <w:rStyle w:val="FootnoteReference"/>
          <w:lang w:val="en-GB"/>
        </w:rPr>
        <w:footnoteRef/>
      </w:r>
      <w:r w:rsidRPr="008269E3">
        <w:rPr>
          <w:lang w:val="en-GB"/>
        </w:rPr>
        <w:t xml:space="preserve"> </w:t>
      </w:r>
      <w:proofErr w:type="spellStart"/>
      <w:r w:rsidRPr="008269E3">
        <w:rPr>
          <w:lang w:val="en-GB"/>
        </w:rPr>
        <w:t>Rathmayr</w:t>
      </w:r>
      <w:proofErr w:type="spellEnd"/>
      <w:r w:rsidRPr="008269E3">
        <w:rPr>
          <w:lang w:val="en-GB"/>
        </w:rPr>
        <w:t xml:space="preserve"> 2009: 307-310; </w:t>
      </w:r>
      <w:proofErr w:type="spellStart"/>
      <w:r w:rsidR="00044C3F">
        <w:rPr>
          <w:lang w:val="en-GB"/>
        </w:rPr>
        <w:t>Thür</w:t>
      </w:r>
      <w:proofErr w:type="spellEnd"/>
      <w:r w:rsidR="00044C3F">
        <w:rPr>
          <w:lang w:val="en-GB"/>
        </w:rPr>
        <w:t xml:space="preserve"> &amp; </w:t>
      </w:r>
      <w:proofErr w:type="spellStart"/>
      <w:r w:rsidRPr="008269E3">
        <w:rPr>
          <w:lang w:val="en-GB"/>
        </w:rPr>
        <w:t>Rathmayr</w:t>
      </w:r>
      <w:proofErr w:type="spellEnd"/>
      <w:r w:rsidRPr="008269E3">
        <w:rPr>
          <w:lang w:val="en-GB"/>
        </w:rPr>
        <w:t xml:space="preserve"> 2014: 846-848.</w:t>
      </w:r>
    </w:p>
  </w:footnote>
  <w:footnote w:id="63">
    <w:p w14:paraId="489745F4" w14:textId="5ABD078C" w:rsidR="00376954" w:rsidRPr="008269E3" w:rsidRDefault="00376954" w:rsidP="00376954">
      <w:pPr>
        <w:pStyle w:val="FootnoteText"/>
        <w:rPr>
          <w:lang w:val="en-GB"/>
        </w:rPr>
      </w:pPr>
      <w:r w:rsidRPr="008269E3">
        <w:rPr>
          <w:rStyle w:val="FootnoteReference"/>
          <w:lang w:val="en-GB"/>
        </w:rPr>
        <w:footnoteRef/>
      </w:r>
      <w:r w:rsidRPr="008269E3">
        <w:rPr>
          <w:lang w:val="en-GB"/>
        </w:rPr>
        <w:t xml:space="preserve"> </w:t>
      </w:r>
      <w:r w:rsidR="00044C3F">
        <w:rPr>
          <w:lang w:val="en-GB"/>
        </w:rPr>
        <w:t xml:space="preserve">S. </w:t>
      </w:r>
      <w:proofErr w:type="spellStart"/>
      <w:r w:rsidRPr="008269E3">
        <w:rPr>
          <w:lang w:val="en-GB"/>
        </w:rPr>
        <w:t>İlhan</w:t>
      </w:r>
      <w:proofErr w:type="spellEnd"/>
      <w:r w:rsidRPr="008269E3">
        <w:rPr>
          <w:lang w:val="en-GB"/>
        </w:rPr>
        <w:t xml:space="preserve"> </w:t>
      </w:r>
      <w:r w:rsidR="00044C3F">
        <w:rPr>
          <w:lang w:val="en-GB"/>
        </w:rPr>
        <w:t xml:space="preserve">in: </w:t>
      </w:r>
      <w:proofErr w:type="spellStart"/>
      <w:r w:rsidR="00044C3F">
        <w:rPr>
          <w:lang w:val="en-GB"/>
        </w:rPr>
        <w:t>Thür</w:t>
      </w:r>
      <w:proofErr w:type="spellEnd"/>
      <w:r w:rsidR="00044C3F">
        <w:rPr>
          <w:lang w:val="en-GB"/>
        </w:rPr>
        <w:t xml:space="preserve"> &amp; </w:t>
      </w:r>
      <w:proofErr w:type="spellStart"/>
      <w:r w:rsidR="00044C3F">
        <w:rPr>
          <w:lang w:val="en-GB"/>
        </w:rPr>
        <w:t>Rathmayr</w:t>
      </w:r>
      <w:proofErr w:type="spellEnd"/>
      <w:r w:rsidR="00044C3F">
        <w:rPr>
          <w:lang w:val="en-GB"/>
        </w:rPr>
        <w:t xml:space="preserve"> </w:t>
      </w:r>
      <w:r w:rsidRPr="008269E3">
        <w:rPr>
          <w:lang w:val="en-GB"/>
        </w:rPr>
        <w:t>2014: 818 f.</w:t>
      </w:r>
    </w:p>
  </w:footnote>
  <w:footnote w:id="64">
    <w:p w14:paraId="6927EABF" w14:textId="77777777" w:rsidR="00A20BF3" w:rsidRPr="008269E3" w:rsidRDefault="00A20BF3" w:rsidP="00A20BF3">
      <w:pPr>
        <w:pStyle w:val="FootnoteText"/>
        <w:tabs>
          <w:tab w:val="right" w:pos="7364"/>
        </w:tabs>
        <w:rPr>
          <w:lang w:val="en-GB"/>
        </w:rPr>
      </w:pPr>
      <w:r w:rsidRPr="008269E3">
        <w:rPr>
          <w:rStyle w:val="FootnoteReference"/>
          <w:lang w:val="en-GB"/>
        </w:rPr>
        <w:footnoteRef/>
      </w:r>
      <w:r w:rsidRPr="008269E3">
        <w:rPr>
          <w:lang w:val="en-GB"/>
        </w:rPr>
        <w:t xml:space="preserve"> </w:t>
      </w:r>
      <w:proofErr w:type="spellStart"/>
      <w:r w:rsidRPr="008269E3">
        <w:rPr>
          <w:lang w:val="en-GB"/>
        </w:rPr>
        <w:t>Halfmann</w:t>
      </w:r>
      <w:proofErr w:type="spellEnd"/>
      <w:r w:rsidRPr="008269E3">
        <w:rPr>
          <w:lang w:val="en-GB"/>
        </w:rPr>
        <w:t xml:space="preserve"> 1986: 192-194: Birley 1997: 172, 221 f. </w:t>
      </w:r>
      <w:r w:rsidRPr="008269E3">
        <w:rPr>
          <w:lang w:val="en-GB"/>
        </w:rPr>
        <w:tab/>
      </w:r>
    </w:p>
  </w:footnote>
  <w:footnote w:id="65">
    <w:p w14:paraId="5C6E911C" w14:textId="2E5F22BA" w:rsidR="0041381A" w:rsidRPr="0041381A" w:rsidRDefault="0041381A">
      <w:pPr>
        <w:pStyle w:val="FootnoteText"/>
        <w:rPr>
          <w:lang w:val="de-CH"/>
        </w:rPr>
      </w:pPr>
      <w:r>
        <w:rPr>
          <w:rStyle w:val="FootnoteReference"/>
        </w:rPr>
        <w:footnoteRef/>
      </w:r>
      <w:r>
        <w:t xml:space="preserve"> </w:t>
      </w:r>
      <w:r>
        <w:rPr>
          <w:lang w:val="de-CH"/>
        </w:rPr>
        <w:t>Hirt 2010: 113 f.</w:t>
      </w:r>
    </w:p>
  </w:footnote>
  <w:footnote w:id="66">
    <w:p w14:paraId="313D3959" w14:textId="77777777" w:rsidR="0041381A" w:rsidRPr="008269E3" w:rsidRDefault="0041381A" w:rsidP="0041381A">
      <w:pPr>
        <w:pStyle w:val="FootnoteText"/>
        <w:rPr>
          <w:lang w:val="en-GB"/>
        </w:rPr>
      </w:pPr>
      <w:r w:rsidRPr="008269E3">
        <w:rPr>
          <w:rStyle w:val="FootnoteReference"/>
          <w:lang w:val="en-GB"/>
        </w:rPr>
        <w:footnoteRef/>
      </w:r>
      <w:r w:rsidRPr="008269E3">
        <w:rPr>
          <w:lang w:val="en-GB"/>
        </w:rPr>
        <w:t xml:space="preserve"> </w:t>
      </w:r>
      <w:r>
        <w:rPr>
          <w:lang w:val="en-GB"/>
        </w:rPr>
        <w:t xml:space="preserve">For a detailed discussion, cf. </w:t>
      </w:r>
      <w:r w:rsidRPr="008269E3">
        <w:rPr>
          <w:lang w:val="en-GB"/>
        </w:rPr>
        <w:t>Hirt 2010: 293-297 (</w:t>
      </w:r>
      <w:r w:rsidRPr="008269E3">
        <w:rPr>
          <w:i/>
          <w:lang w:val="en-GB"/>
        </w:rPr>
        <w:t>caesura</w:t>
      </w:r>
      <w:r w:rsidRPr="008269E3">
        <w:rPr>
          <w:lang w:val="en-GB"/>
        </w:rPr>
        <w:t>), 297-299 (</w:t>
      </w:r>
      <w:proofErr w:type="spellStart"/>
      <w:r w:rsidRPr="008269E3">
        <w:rPr>
          <w:i/>
          <w:lang w:val="en-GB"/>
        </w:rPr>
        <w:t>officina</w:t>
      </w:r>
      <w:proofErr w:type="spellEnd"/>
      <w:r w:rsidRPr="008269E3">
        <w:rPr>
          <w:lang w:val="en-GB"/>
        </w:rPr>
        <w:t>)</w:t>
      </w:r>
      <w:r>
        <w:rPr>
          <w:lang w:val="en-GB"/>
        </w:rPr>
        <w:t>.</w:t>
      </w:r>
      <w:r w:rsidRPr="005F160E">
        <w:rPr>
          <w:lang w:val="en-GB"/>
        </w:rPr>
        <w:t xml:space="preserve"> </w:t>
      </w:r>
      <w:proofErr w:type="spellStart"/>
      <w:r w:rsidRPr="008269E3">
        <w:rPr>
          <w:lang w:val="en-GB"/>
        </w:rPr>
        <w:t>Pensabene</w:t>
      </w:r>
      <w:proofErr w:type="spellEnd"/>
      <w:r w:rsidRPr="008269E3">
        <w:rPr>
          <w:lang w:val="en-GB"/>
        </w:rPr>
        <w:t xml:space="preserve"> 2010: 97-99; Hirt 2015: 299 f.</w:t>
      </w:r>
    </w:p>
  </w:footnote>
  <w:footnote w:id="67">
    <w:p w14:paraId="3C598AEF" w14:textId="16B1AF20" w:rsidR="00294627" w:rsidRPr="008269E3" w:rsidRDefault="00294627">
      <w:pPr>
        <w:pStyle w:val="FootnoteText"/>
        <w:rPr>
          <w:lang w:val="en-GB"/>
        </w:rPr>
      </w:pPr>
      <w:r w:rsidRPr="008269E3">
        <w:rPr>
          <w:rStyle w:val="FootnoteReference"/>
          <w:lang w:val="en-GB"/>
        </w:rPr>
        <w:footnoteRef/>
      </w:r>
      <w:r w:rsidRPr="008269E3">
        <w:rPr>
          <w:lang w:val="en-GB"/>
        </w:rPr>
        <w:t xml:space="preserve"> Hirt 2010: 296 f. with cat. nos. 295, 296, and 300; Hirt 2015: 300. </w:t>
      </w:r>
    </w:p>
  </w:footnote>
  <w:footnote w:id="68">
    <w:p w14:paraId="440DE7E0" w14:textId="0EAD4552" w:rsidR="008269E3" w:rsidRPr="008269E3" w:rsidRDefault="008269E3">
      <w:pPr>
        <w:pStyle w:val="FootnoteText"/>
        <w:rPr>
          <w:lang w:val="en-GB"/>
        </w:rPr>
      </w:pPr>
      <w:r w:rsidRPr="008269E3">
        <w:rPr>
          <w:rStyle w:val="FootnoteReference"/>
          <w:lang w:val="en-GB"/>
        </w:rPr>
        <w:footnoteRef/>
      </w:r>
      <w:r w:rsidRPr="008269E3">
        <w:rPr>
          <w:lang w:val="en-GB"/>
        </w:rPr>
        <w:t xml:space="preserve"> </w:t>
      </w:r>
      <w:r w:rsidR="00963174">
        <w:rPr>
          <w:lang w:val="en-GB"/>
        </w:rPr>
        <w:t xml:space="preserve">On </w:t>
      </w:r>
      <w:proofErr w:type="spellStart"/>
      <w:r w:rsidR="00963174" w:rsidRPr="00963174">
        <w:rPr>
          <w:i/>
          <w:lang w:val="en-GB"/>
        </w:rPr>
        <w:t>locatio</w:t>
      </w:r>
      <w:proofErr w:type="spellEnd"/>
      <w:r w:rsidR="00963174" w:rsidRPr="00963174">
        <w:rPr>
          <w:i/>
          <w:lang w:val="en-GB"/>
        </w:rPr>
        <w:t xml:space="preserve"> </w:t>
      </w:r>
      <w:proofErr w:type="spellStart"/>
      <w:r w:rsidR="00963174" w:rsidRPr="00963174">
        <w:rPr>
          <w:i/>
          <w:lang w:val="en-GB"/>
        </w:rPr>
        <w:t>conductio</w:t>
      </w:r>
      <w:proofErr w:type="spellEnd"/>
      <w:r w:rsidR="00963174" w:rsidRPr="00963174">
        <w:rPr>
          <w:i/>
          <w:lang w:val="en-GB"/>
        </w:rPr>
        <w:t xml:space="preserve"> rei</w:t>
      </w:r>
      <w:r w:rsidR="00963174">
        <w:rPr>
          <w:lang w:val="en-GB"/>
        </w:rPr>
        <w:t xml:space="preserve">, cf. </w:t>
      </w:r>
      <w:proofErr w:type="spellStart"/>
      <w:r w:rsidR="00963174">
        <w:rPr>
          <w:lang w:val="en-GB"/>
        </w:rPr>
        <w:t>Kaser</w:t>
      </w:r>
      <w:proofErr w:type="spellEnd"/>
      <w:r w:rsidR="00FE1AB9">
        <w:rPr>
          <w:lang w:val="en-GB"/>
        </w:rPr>
        <w:t xml:space="preserve"> &amp; </w:t>
      </w:r>
      <w:proofErr w:type="spellStart"/>
      <w:r w:rsidR="00FE1AB9">
        <w:rPr>
          <w:lang w:val="en-GB"/>
        </w:rPr>
        <w:t>Knüttel</w:t>
      </w:r>
      <w:proofErr w:type="spellEnd"/>
      <w:r w:rsidR="00963174">
        <w:rPr>
          <w:lang w:val="en-GB"/>
        </w:rPr>
        <w:t xml:space="preserve"> </w:t>
      </w:r>
      <w:r w:rsidR="00FE1AB9">
        <w:rPr>
          <w:lang w:val="en-GB"/>
        </w:rPr>
        <w:t xml:space="preserve">2005: </w:t>
      </w:r>
      <w:r w:rsidR="000E623D">
        <w:rPr>
          <w:lang w:val="en-GB"/>
        </w:rPr>
        <w:t>220 ff.</w:t>
      </w:r>
      <w:r w:rsidR="00963174">
        <w:rPr>
          <w:lang w:val="en-GB"/>
        </w:rPr>
        <w:t xml:space="preserve">; </w:t>
      </w:r>
      <w:r>
        <w:rPr>
          <w:lang w:val="en-GB"/>
        </w:rPr>
        <w:t xml:space="preserve">Russell (2013: </w:t>
      </w:r>
      <w:r w:rsidRPr="008269E3">
        <w:rPr>
          <w:lang w:val="en-GB"/>
        </w:rPr>
        <w:t>194-196</w:t>
      </w:r>
      <w:r>
        <w:rPr>
          <w:lang w:val="en-GB"/>
        </w:rPr>
        <w:t>)</w:t>
      </w:r>
      <w:r w:rsidRPr="008269E3">
        <w:rPr>
          <w:lang w:val="en-GB"/>
        </w:rPr>
        <w:t xml:space="preserve"> assumes that private custom</w:t>
      </w:r>
      <w:r>
        <w:rPr>
          <w:lang w:val="en-GB"/>
        </w:rPr>
        <w:t xml:space="preserve">ers </w:t>
      </w:r>
      <w:r w:rsidR="0023070C">
        <w:rPr>
          <w:lang w:val="en-GB"/>
        </w:rPr>
        <w:t xml:space="preserve">could </w:t>
      </w:r>
      <w:r>
        <w:rPr>
          <w:lang w:val="en-GB"/>
        </w:rPr>
        <w:t>acquire stones f</w:t>
      </w:r>
      <w:r w:rsidRPr="008269E3">
        <w:rPr>
          <w:lang w:val="en-GB"/>
        </w:rPr>
        <w:t>r</w:t>
      </w:r>
      <w:r>
        <w:rPr>
          <w:lang w:val="en-GB"/>
        </w:rPr>
        <w:t>om imperial quarries</w:t>
      </w:r>
      <w:r w:rsidR="004E2006">
        <w:rPr>
          <w:lang w:val="en-GB"/>
        </w:rPr>
        <w:t xml:space="preserve">, but </w:t>
      </w:r>
      <w:r w:rsidR="005F160E">
        <w:rPr>
          <w:lang w:val="en-GB"/>
        </w:rPr>
        <w:t xml:space="preserve">his </w:t>
      </w:r>
      <w:r w:rsidR="004E2006">
        <w:rPr>
          <w:lang w:val="en-GB"/>
        </w:rPr>
        <w:t xml:space="preserve">evidence is </w:t>
      </w:r>
      <w:r w:rsidR="005F160E">
        <w:rPr>
          <w:lang w:val="en-GB"/>
        </w:rPr>
        <w:t xml:space="preserve">of the </w:t>
      </w:r>
      <w:r w:rsidR="004E2006">
        <w:rPr>
          <w:lang w:val="en-GB"/>
        </w:rPr>
        <w:t xml:space="preserve">late </w:t>
      </w:r>
      <w:r w:rsidR="005F160E">
        <w:rPr>
          <w:lang w:val="en-GB"/>
        </w:rPr>
        <w:t>3</w:t>
      </w:r>
      <w:r w:rsidR="005F160E" w:rsidRPr="005F160E">
        <w:rPr>
          <w:vertAlign w:val="superscript"/>
          <w:lang w:val="en-GB"/>
        </w:rPr>
        <w:t>rd</w:t>
      </w:r>
      <w:r w:rsidR="005F160E">
        <w:rPr>
          <w:lang w:val="en-GB"/>
        </w:rPr>
        <w:t xml:space="preserve"> c. </w:t>
      </w:r>
      <w:proofErr w:type="gramStart"/>
      <w:r w:rsidR="005F160E">
        <w:rPr>
          <w:lang w:val="en-GB"/>
        </w:rPr>
        <w:t>AD</w:t>
      </w:r>
      <w:r>
        <w:t>(</w:t>
      </w:r>
      <w:proofErr w:type="gramEnd"/>
      <w:r w:rsidRPr="008269E3">
        <w:rPr>
          <w:i/>
          <w:lang w:val="en-GB"/>
        </w:rPr>
        <w:t>TM</w:t>
      </w:r>
      <w:r w:rsidRPr="008269E3">
        <w:rPr>
          <w:lang w:val="en-GB"/>
        </w:rPr>
        <w:t xml:space="preserve"> 22980 [AD 267/8]; </w:t>
      </w:r>
      <w:r w:rsidRPr="008269E3">
        <w:rPr>
          <w:i/>
          <w:lang w:val="en-GB"/>
        </w:rPr>
        <w:t>TM</w:t>
      </w:r>
      <w:r>
        <w:rPr>
          <w:lang w:val="en-GB"/>
        </w:rPr>
        <w:t xml:space="preserve"> 22987 [AD 267/8</w:t>
      </w:r>
      <w:r w:rsidR="004E2006">
        <w:rPr>
          <w:lang w:val="en-GB"/>
        </w:rPr>
        <w:t>]</w:t>
      </w:r>
      <w:r w:rsidR="004E2006">
        <w:t xml:space="preserve">; Diocletian’s Prices Edict, cf. </w:t>
      </w:r>
      <w:r w:rsidR="004E2006">
        <w:rPr>
          <w:lang w:val="en-GB"/>
        </w:rPr>
        <w:t>Corcoran &amp; De Laine 1994).</w:t>
      </w:r>
    </w:p>
  </w:footnote>
  <w:footnote w:id="69">
    <w:p w14:paraId="4B76E85A" w14:textId="3A1823F4" w:rsidR="00294627" w:rsidRPr="008269E3" w:rsidRDefault="00294627">
      <w:pPr>
        <w:pStyle w:val="FootnoteText"/>
        <w:rPr>
          <w:lang w:val="en-GB"/>
        </w:rPr>
      </w:pPr>
      <w:r w:rsidRPr="008269E3">
        <w:rPr>
          <w:rStyle w:val="FootnoteReference"/>
          <w:lang w:val="en-GB"/>
        </w:rPr>
        <w:footnoteRef/>
      </w:r>
      <w:r w:rsidR="004E2006">
        <w:rPr>
          <w:lang w:val="en-GB"/>
        </w:rPr>
        <w:t xml:space="preserve"> For s</w:t>
      </w:r>
      <w:r w:rsidRPr="008269E3">
        <w:rPr>
          <w:lang w:val="en-GB"/>
        </w:rPr>
        <w:t xml:space="preserve">imilar arrangements, cf. </w:t>
      </w:r>
      <w:r w:rsidRPr="008269E3">
        <w:rPr>
          <w:i/>
          <w:iCs/>
          <w:lang w:val="en-GB"/>
        </w:rPr>
        <w:t>P.</w:t>
      </w:r>
      <w:r w:rsidR="00963174">
        <w:rPr>
          <w:i/>
          <w:iCs/>
          <w:lang w:val="en-GB"/>
        </w:rPr>
        <w:t xml:space="preserve"> </w:t>
      </w:r>
      <w:r w:rsidRPr="008269E3">
        <w:rPr>
          <w:i/>
          <w:iCs/>
          <w:lang w:val="en-GB"/>
        </w:rPr>
        <w:t xml:space="preserve">Oxy. </w:t>
      </w:r>
      <w:r w:rsidRPr="008269E3">
        <w:rPr>
          <w:lang w:val="en-GB"/>
        </w:rPr>
        <w:t>3595–7; Strobel 1987; Aubert 1994: 232f.; Hirt 2010: 297, 319f.</w:t>
      </w:r>
      <w:r w:rsidR="00963174">
        <w:rPr>
          <w:lang w:val="en-GB"/>
        </w:rPr>
        <w:t xml:space="preserve"> On </w:t>
      </w:r>
      <w:proofErr w:type="spellStart"/>
      <w:r w:rsidR="00963174" w:rsidRPr="00963174">
        <w:rPr>
          <w:i/>
          <w:lang w:val="en-GB"/>
        </w:rPr>
        <w:t>locatio</w:t>
      </w:r>
      <w:proofErr w:type="spellEnd"/>
      <w:r w:rsidR="00963174" w:rsidRPr="00963174">
        <w:rPr>
          <w:i/>
          <w:lang w:val="en-GB"/>
        </w:rPr>
        <w:t xml:space="preserve"> </w:t>
      </w:r>
      <w:proofErr w:type="spellStart"/>
      <w:r w:rsidR="00963174" w:rsidRPr="00963174">
        <w:rPr>
          <w:i/>
          <w:lang w:val="en-GB"/>
        </w:rPr>
        <w:t>conductio</w:t>
      </w:r>
      <w:proofErr w:type="spellEnd"/>
      <w:r w:rsidR="00963174" w:rsidRPr="00963174">
        <w:rPr>
          <w:i/>
          <w:lang w:val="en-GB"/>
        </w:rPr>
        <w:t xml:space="preserve"> </w:t>
      </w:r>
      <w:proofErr w:type="spellStart"/>
      <w:r w:rsidR="00963174" w:rsidRPr="00963174">
        <w:rPr>
          <w:i/>
          <w:lang w:val="en-GB"/>
        </w:rPr>
        <w:t>operis</w:t>
      </w:r>
      <w:proofErr w:type="spellEnd"/>
      <w:r w:rsidR="00963174">
        <w:rPr>
          <w:lang w:val="en-GB"/>
        </w:rPr>
        <w:t xml:space="preserve">, cf. </w:t>
      </w:r>
      <w:proofErr w:type="spellStart"/>
      <w:r w:rsidR="00963174">
        <w:rPr>
          <w:lang w:val="en-GB"/>
        </w:rPr>
        <w:t>Kaser</w:t>
      </w:r>
      <w:proofErr w:type="spellEnd"/>
      <w:r w:rsidR="00963174">
        <w:rPr>
          <w:lang w:val="en-GB"/>
        </w:rPr>
        <w:t xml:space="preserve"> &amp; </w:t>
      </w:r>
      <w:proofErr w:type="spellStart"/>
      <w:r w:rsidR="00963174">
        <w:rPr>
          <w:lang w:val="en-GB"/>
        </w:rPr>
        <w:t>Knü</w:t>
      </w:r>
      <w:r w:rsidR="00963174" w:rsidRPr="00963174">
        <w:rPr>
          <w:lang w:val="en-GB"/>
        </w:rPr>
        <w:t>ttel</w:t>
      </w:r>
      <w:proofErr w:type="spellEnd"/>
      <w:r w:rsidR="00963174" w:rsidRPr="00963174">
        <w:rPr>
          <w:lang w:val="en-GB"/>
        </w:rPr>
        <w:t xml:space="preserve"> 2005: 225f.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fr-FR" w:vendorID="64" w:dllVersion="0" w:nlCheck="1" w:checkStyle="0"/>
  <w:activeWritingStyle w:appName="MSWord" w:lang="fr-FR" w:vendorID="64" w:dllVersion="4096" w:nlCheck="1" w:checkStyle="0"/>
  <w:activeWritingStyle w:appName="MSWord" w:lang="it-IT"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94"/>
    <w:rsid w:val="00011ED2"/>
    <w:rsid w:val="0001325F"/>
    <w:rsid w:val="00024B59"/>
    <w:rsid w:val="00027012"/>
    <w:rsid w:val="00041FE2"/>
    <w:rsid w:val="00042786"/>
    <w:rsid w:val="00044C3F"/>
    <w:rsid w:val="00051214"/>
    <w:rsid w:val="00056BB0"/>
    <w:rsid w:val="00057BB8"/>
    <w:rsid w:val="00065314"/>
    <w:rsid w:val="00074610"/>
    <w:rsid w:val="00082F21"/>
    <w:rsid w:val="00090F89"/>
    <w:rsid w:val="0009273A"/>
    <w:rsid w:val="000B6317"/>
    <w:rsid w:val="000C1967"/>
    <w:rsid w:val="000C5C1C"/>
    <w:rsid w:val="000C5EF0"/>
    <w:rsid w:val="000D164B"/>
    <w:rsid w:val="000E2DC1"/>
    <w:rsid w:val="000E623D"/>
    <w:rsid w:val="000F4260"/>
    <w:rsid w:val="000F453A"/>
    <w:rsid w:val="000F71AF"/>
    <w:rsid w:val="001013A6"/>
    <w:rsid w:val="00107305"/>
    <w:rsid w:val="00110B9B"/>
    <w:rsid w:val="001301BF"/>
    <w:rsid w:val="00131FCE"/>
    <w:rsid w:val="00144FEB"/>
    <w:rsid w:val="0014552B"/>
    <w:rsid w:val="00152141"/>
    <w:rsid w:val="0018187A"/>
    <w:rsid w:val="0018751D"/>
    <w:rsid w:val="00191994"/>
    <w:rsid w:val="00193C60"/>
    <w:rsid w:val="001979AD"/>
    <w:rsid w:val="001A5E28"/>
    <w:rsid w:val="001B3365"/>
    <w:rsid w:val="001C2EA2"/>
    <w:rsid w:val="001D248C"/>
    <w:rsid w:val="001D52D7"/>
    <w:rsid w:val="001E3D8B"/>
    <w:rsid w:val="001F46D6"/>
    <w:rsid w:val="001F5BE2"/>
    <w:rsid w:val="00207BC5"/>
    <w:rsid w:val="00210B9D"/>
    <w:rsid w:val="00221352"/>
    <w:rsid w:val="0023070C"/>
    <w:rsid w:val="00231E89"/>
    <w:rsid w:val="00235613"/>
    <w:rsid w:val="00243983"/>
    <w:rsid w:val="00257355"/>
    <w:rsid w:val="002707C1"/>
    <w:rsid w:val="002714C8"/>
    <w:rsid w:val="00280709"/>
    <w:rsid w:val="0028447A"/>
    <w:rsid w:val="002908E4"/>
    <w:rsid w:val="00294627"/>
    <w:rsid w:val="00297A44"/>
    <w:rsid w:val="002A371F"/>
    <w:rsid w:val="002C300E"/>
    <w:rsid w:val="002C4FF4"/>
    <w:rsid w:val="002D331E"/>
    <w:rsid w:val="002F214F"/>
    <w:rsid w:val="003040EB"/>
    <w:rsid w:val="00304449"/>
    <w:rsid w:val="00304BB0"/>
    <w:rsid w:val="00320DCB"/>
    <w:rsid w:val="00326894"/>
    <w:rsid w:val="003271FD"/>
    <w:rsid w:val="00335ECA"/>
    <w:rsid w:val="003505A9"/>
    <w:rsid w:val="00354838"/>
    <w:rsid w:val="00366A56"/>
    <w:rsid w:val="003734AD"/>
    <w:rsid w:val="00376954"/>
    <w:rsid w:val="003776C8"/>
    <w:rsid w:val="00390068"/>
    <w:rsid w:val="00393894"/>
    <w:rsid w:val="00394B0B"/>
    <w:rsid w:val="003B3843"/>
    <w:rsid w:val="003C66EC"/>
    <w:rsid w:val="003D0A64"/>
    <w:rsid w:val="003D10F6"/>
    <w:rsid w:val="003E0B35"/>
    <w:rsid w:val="003E2552"/>
    <w:rsid w:val="003E7F75"/>
    <w:rsid w:val="003F6283"/>
    <w:rsid w:val="003F74D5"/>
    <w:rsid w:val="003F7FD3"/>
    <w:rsid w:val="004042F0"/>
    <w:rsid w:val="0041381A"/>
    <w:rsid w:val="004217FF"/>
    <w:rsid w:val="004403A1"/>
    <w:rsid w:val="0044440C"/>
    <w:rsid w:val="00450134"/>
    <w:rsid w:val="00467AB8"/>
    <w:rsid w:val="00470B41"/>
    <w:rsid w:val="00497F8F"/>
    <w:rsid w:val="004A3B26"/>
    <w:rsid w:val="004A7663"/>
    <w:rsid w:val="004B51BB"/>
    <w:rsid w:val="004B52B3"/>
    <w:rsid w:val="004C26AD"/>
    <w:rsid w:val="004D33A7"/>
    <w:rsid w:val="004D56DC"/>
    <w:rsid w:val="004E2006"/>
    <w:rsid w:val="004F2562"/>
    <w:rsid w:val="005056F9"/>
    <w:rsid w:val="005069DC"/>
    <w:rsid w:val="00524315"/>
    <w:rsid w:val="00533526"/>
    <w:rsid w:val="00535061"/>
    <w:rsid w:val="00536731"/>
    <w:rsid w:val="00555DC1"/>
    <w:rsid w:val="00561AE2"/>
    <w:rsid w:val="00580902"/>
    <w:rsid w:val="00583CCD"/>
    <w:rsid w:val="005A1A76"/>
    <w:rsid w:val="005A260A"/>
    <w:rsid w:val="005A33AD"/>
    <w:rsid w:val="005A7EC7"/>
    <w:rsid w:val="005B61BF"/>
    <w:rsid w:val="005C5DE0"/>
    <w:rsid w:val="005C69BC"/>
    <w:rsid w:val="005D01AA"/>
    <w:rsid w:val="005D2D6F"/>
    <w:rsid w:val="005D3DD5"/>
    <w:rsid w:val="005F160E"/>
    <w:rsid w:val="00620022"/>
    <w:rsid w:val="00620EF9"/>
    <w:rsid w:val="0063159A"/>
    <w:rsid w:val="0063535B"/>
    <w:rsid w:val="00644A34"/>
    <w:rsid w:val="00673625"/>
    <w:rsid w:val="00680C5D"/>
    <w:rsid w:val="006A119B"/>
    <w:rsid w:val="006C2B8B"/>
    <w:rsid w:val="006D4183"/>
    <w:rsid w:val="006D67B8"/>
    <w:rsid w:val="006E4816"/>
    <w:rsid w:val="006F4F94"/>
    <w:rsid w:val="006F7632"/>
    <w:rsid w:val="00706578"/>
    <w:rsid w:val="0072590A"/>
    <w:rsid w:val="007301C1"/>
    <w:rsid w:val="00731105"/>
    <w:rsid w:val="0074430D"/>
    <w:rsid w:val="00746C1C"/>
    <w:rsid w:val="00767F61"/>
    <w:rsid w:val="00780BFC"/>
    <w:rsid w:val="00787AB4"/>
    <w:rsid w:val="00793DB4"/>
    <w:rsid w:val="0079676C"/>
    <w:rsid w:val="007A544E"/>
    <w:rsid w:val="007B01A9"/>
    <w:rsid w:val="007D4877"/>
    <w:rsid w:val="007E60D5"/>
    <w:rsid w:val="007F04EE"/>
    <w:rsid w:val="00800926"/>
    <w:rsid w:val="00805040"/>
    <w:rsid w:val="008057C8"/>
    <w:rsid w:val="00805D24"/>
    <w:rsid w:val="008066B2"/>
    <w:rsid w:val="00814D41"/>
    <w:rsid w:val="008269E3"/>
    <w:rsid w:val="0083656D"/>
    <w:rsid w:val="00842047"/>
    <w:rsid w:val="00853400"/>
    <w:rsid w:val="0085510E"/>
    <w:rsid w:val="00861D55"/>
    <w:rsid w:val="0087265B"/>
    <w:rsid w:val="00873995"/>
    <w:rsid w:val="00874AA3"/>
    <w:rsid w:val="0089767F"/>
    <w:rsid w:val="008A0674"/>
    <w:rsid w:val="008A6DF8"/>
    <w:rsid w:val="008B457E"/>
    <w:rsid w:val="008C2694"/>
    <w:rsid w:val="008C307F"/>
    <w:rsid w:val="008D39C4"/>
    <w:rsid w:val="008D6168"/>
    <w:rsid w:val="008E3FEE"/>
    <w:rsid w:val="008F0F25"/>
    <w:rsid w:val="00903621"/>
    <w:rsid w:val="00914BAB"/>
    <w:rsid w:val="009272FD"/>
    <w:rsid w:val="00927806"/>
    <w:rsid w:val="00927CCF"/>
    <w:rsid w:val="00946108"/>
    <w:rsid w:val="0096165B"/>
    <w:rsid w:val="00962AA1"/>
    <w:rsid w:val="00963174"/>
    <w:rsid w:val="00964000"/>
    <w:rsid w:val="00964118"/>
    <w:rsid w:val="009701D0"/>
    <w:rsid w:val="0097786D"/>
    <w:rsid w:val="00986FEA"/>
    <w:rsid w:val="009966A6"/>
    <w:rsid w:val="00996A91"/>
    <w:rsid w:val="009B0808"/>
    <w:rsid w:val="009B5666"/>
    <w:rsid w:val="009C1F48"/>
    <w:rsid w:val="009D0974"/>
    <w:rsid w:val="009D1D36"/>
    <w:rsid w:val="009D590F"/>
    <w:rsid w:val="009E0831"/>
    <w:rsid w:val="009E7F7B"/>
    <w:rsid w:val="009F103E"/>
    <w:rsid w:val="009F2F0E"/>
    <w:rsid w:val="009F6726"/>
    <w:rsid w:val="00A06A65"/>
    <w:rsid w:val="00A103ED"/>
    <w:rsid w:val="00A11A42"/>
    <w:rsid w:val="00A14F15"/>
    <w:rsid w:val="00A208CF"/>
    <w:rsid w:val="00A20BF3"/>
    <w:rsid w:val="00A212BF"/>
    <w:rsid w:val="00A219FA"/>
    <w:rsid w:val="00A2546F"/>
    <w:rsid w:val="00A31A70"/>
    <w:rsid w:val="00A34FBF"/>
    <w:rsid w:val="00A35FB2"/>
    <w:rsid w:val="00A44656"/>
    <w:rsid w:val="00A45C56"/>
    <w:rsid w:val="00A474FA"/>
    <w:rsid w:val="00A6331F"/>
    <w:rsid w:val="00A65B9C"/>
    <w:rsid w:val="00A660B0"/>
    <w:rsid w:val="00A77D45"/>
    <w:rsid w:val="00A8058D"/>
    <w:rsid w:val="00A8234F"/>
    <w:rsid w:val="00A86614"/>
    <w:rsid w:val="00AA4DBD"/>
    <w:rsid w:val="00AB18B3"/>
    <w:rsid w:val="00AB3039"/>
    <w:rsid w:val="00AB3EC1"/>
    <w:rsid w:val="00AB53C0"/>
    <w:rsid w:val="00AC6659"/>
    <w:rsid w:val="00AC7AE6"/>
    <w:rsid w:val="00AD7B85"/>
    <w:rsid w:val="00AE228F"/>
    <w:rsid w:val="00AE2E8B"/>
    <w:rsid w:val="00AF2128"/>
    <w:rsid w:val="00AF4752"/>
    <w:rsid w:val="00B14F56"/>
    <w:rsid w:val="00B1598A"/>
    <w:rsid w:val="00B162CC"/>
    <w:rsid w:val="00B2150A"/>
    <w:rsid w:val="00B2240A"/>
    <w:rsid w:val="00B2752A"/>
    <w:rsid w:val="00B27A7D"/>
    <w:rsid w:val="00B42284"/>
    <w:rsid w:val="00B659F7"/>
    <w:rsid w:val="00B67C80"/>
    <w:rsid w:val="00B750DE"/>
    <w:rsid w:val="00B85824"/>
    <w:rsid w:val="00B86079"/>
    <w:rsid w:val="00BA0BE9"/>
    <w:rsid w:val="00BA7D6C"/>
    <w:rsid w:val="00BF3FEF"/>
    <w:rsid w:val="00C02A96"/>
    <w:rsid w:val="00C0616B"/>
    <w:rsid w:val="00C06B55"/>
    <w:rsid w:val="00C12F5C"/>
    <w:rsid w:val="00C14678"/>
    <w:rsid w:val="00C25B94"/>
    <w:rsid w:val="00C326F7"/>
    <w:rsid w:val="00C378B3"/>
    <w:rsid w:val="00C4147B"/>
    <w:rsid w:val="00C46BE6"/>
    <w:rsid w:val="00C546DB"/>
    <w:rsid w:val="00C554A6"/>
    <w:rsid w:val="00C63E41"/>
    <w:rsid w:val="00C8071A"/>
    <w:rsid w:val="00C97479"/>
    <w:rsid w:val="00CB054E"/>
    <w:rsid w:val="00CB2E8B"/>
    <w:rsid w:val="00CB2FB8"/>
    <w:rsid w:val="00CB5CCB"/>
    <w:rsid w:val="00CE3244"/>
    <w:rsid w:val="00CF3953"/>
    <w:rsid w:val="00CF6599"/>
    <w:rsid w:val="00D07448"/>
    <w:rsid w:val="00D127B7"/>
    <w:rsid w:val="00D1419C"/>
    <w:rsid w:val="00D1592C"/>
    <w:rsid w:val="00D21EB9"/>
    <w:rsid w:val="00D32FE1"/>
    <w:rsid w:val="00D42897"/>
    <w:rsid w:val="00D45F28"/>
    <w:rsid w:val="00D45F69"/>
    <w:rsid w:val="00D50E10"/>
    <w:rsid w:val="00D6643A"/>
    <w:rsid w:val="00D74090"/>
    <w:rsid w:val="00D85144"/>
    <w:rsid w:val="00D86617"/>
    <w:rsid w:val="00D9075C"/>
    <w:rsid w:val="00DA0F42"/>
    <w:rsid w:val="00DA2564"/>
    <w:rsid w:val="00DB2983"/>
    <w:rsid w:val="00DB49EC"/>
    <w:rsid w:val="00DC6B1F"/>
    <w:rsid w:val="00DC7FAD"/>
    <w:rsid w:val="00DD3F86"/>
    <w:rsid w:val="00DE0C82"/>
    <w:rsid w:val="00DF5DC4"/>
    <w:rsid w:val="00E00BE8"/>
    <w:rsid w:val="00E077B2"/>
    <w:rsid w:val="00E11C8A"/>
    <w:rsid w:val="00E14DF0"/>
    <w:rsid w:val="00E1637C"/>
    <w:rsid w:val="00E17B3A"/>
    <w:rsid w:val="00E371B6"/>
    <w:rsid w:val="00E41231"/>
    <w:rsid w:val="00E43D8A"/>
    <w:rsid w:val="00E478D6"/>
    <w:rsid w:val="00E54291"/>
    <w:rsid w:val="00E572BA"/>
    <w:rsid w:val="00E6033D"/>
    <w:rsid w:val="00E617BC"/>
    <w:rsid w:val="00E872EB"/>
    <w:rsid w:val="00E87A91"/>
    <w:rsid w:val="00E973CA"/>
    <w:rsid w:val="00EA0E64"/>
    <w:rsid w:val="00EA3A5D"/>
    <w:rsid w:val="00EA7AE5"/>
    <w:rsid w:val="00EB42C2"/>
    <w:rsid w:val="00EB5FE7"/>
    <w:rsid w:val="00EC103B"/>
    <w:rsid w:val="00EC3691"/>
    <w:rsid w:val="00ED2AAE"/>
    <w:rsid w:val="00ED6AEC"/>
    <w:rsid w:val="00F01F1E"/>
    <w:rsid w:val="00F047F6"/>
    <w:rsid w:val="00F07C24"/>
    <w:rsid w:val="00F1235D"/>
    <w:rsid w:val="00F31523"/>
    <w:rsid w:val="00F37427"/>
    <w:rsid w:val="00F4165A"/>
    <w:rsid w:val="00F44135"/>
    <w:rsid w:val="00F53BA7"/>
    <w:rsid w:val="00F55CF4"/>
    <w:rsid w:val="00F60267"/>
    <w:rsid w:val="00F6324A"/>
    <w:rsid w:val="00F64ED3"/>
    <w:rsid w:val="00F67C14"/>
    <w:rsid w:val="00F71047"/>
    <w:rsid w:val="00F8739B"/>
    <w:rsid w:val="00F9094B"/>
    <w:rsid w:val="00F943B3"/>
    <w:rsid w:val="00FA053F"/>
    <w:rsid w:val="00FA251D"/>
    <w:rsid w:val="00FC2C5E"/>
    <w:rsid w:val="00FC3500"/>
    <w:rsid w:val="00FD338F"/>
    <w:rsid w:val="00FE16D9"/>
    <w:rsid w:val="00FE1AB9"/>
    <w:rsid w:val="00FE3A67"/>
    <w:rsid w:val="00FF1139"/>
    <w:rsid w:val="00FF51D4"/>
    <w:rsid w:val="00FF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6E05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F94"/>
    <w:rPr>
      <w:rFonts w:ascii="Times" w:eastAsiaTheme="minorEastAsia" w:hAnsi="Times"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4F94"/>
    <w:pPr>
      <w:ind w:left="142" w:hanging="142"/>
    </w:pPr>
    <w:rPr>
      <w:sz w:val="20"/>
      <w:szCs w:val="20"/>
      <w:lang w:val="en-US"/>
    </w:rPr>
  </w:style>
  <w:style w:type="character" w:customStyle="1" w:styleId="FootnoteTextChar">
    <w:name w:val="Footnote Text Char"/>
    <w:basedOn w:val="DefaultParagraphFont"/>
    <w:link w:val="FootnoteText"/>
    <w:uiPriority w:val="99"/>
    <w:rsid w:val="006F4F94"/>
    <w:rPr>
      <w:rFonts w:ascii="Times" w:eastAsiaTheme="minorEastAsia" w:hAnsi="Times" w:cs="Times New Roman"/>
      <w:sz w:val="20"/>
      <w:szCs w:val="20"/>
      <w:lang w:val="en-US" w:eastAsia="ja-JP"/>
    </w:rPr>
  </w:style>
  <w:style w:type="character" w:styleId="FootnoteReference">
    <w:name w:val="footnote reference"/>
    <w:basedOn w:val="DefaultParagraphFont"/>
    <w:uiPriority w:val="99"/>
    <w:unhideWhenUsed/>
    <w:rsid w:val="006F4F94"/>
    <w:rPr>
      <w:vertAlign w:val="superscript"/>
    </w:rPr>
  </w:style>
  <w:style w:type="character" w:customStyle="1" w:styleId="txt">
    <w:name w:val="txt"/>
    <w:rsid w:val="006F4F94"/>
  </w:style>
  <w:style w:type="paragraph" w:styleId="Header">
    <w:name w:val="header"/>
    <w:basedOn w:val="Normal"/>
    <w:link w:val="HeaderChar"/>
    <w:uiPriority w:val="99"/>
    <w:unhideWhenUsed/>
    <w:rsid w:val="006F4F94"/>
    <w:pPr>
      <w:tabs>
        <w:tab w:val="center" w:pos="4320"/>
        <w:tab w:val="right" w:pos="8640"/>
      </w:tabs>
    </w:pPr>
  </w:style>
  <w:style w:type="character" w:customStyle="1" w:styleId="HeaderChar">
    <w:name w:val="Header Char"/>
    <w:basedOn w:val="DefaultParagraphFont"/>
    <w:link w:val="Header"/>
    <w:uiPriority w:val="99"/>
    <w:rsid w:val="006F4F94"/>
    <w:rPr>
      <w:rFonts w:ascii="Times" w:eastAsiaTheme="minorEastAsia" w:hAnsi="Times" w:cs="Times New Roman"/>
      <w:lang w:eastAsia="ja-JP"/>
    </w:rPr>
  </w:style>
  <w:style w:type="paragraph" w:styleId="Footer">
    <w:name w:val="footer"/>
    <w:basedOn w:val="Normal"/>
    <w:link w:val="FooterChar"/>
    <w:uiPriority w:val="99"/>
    <w:unhideWhenUsed/>
    <w:rsid w:val="006F4F94"/>
    <w:pPr>
      <w:tabs>
        <w:tab w:val="center" w:pos="4320"/>
        <w:tab w:val="right" w:pos="8640"/>
      </w:tabs>
    </w:pPr>
  </w:style>
  <w:style w:type="character" w:customStyle="1" w:styleId="FooterChar">
    <w:name w:val="Footer Char"/>
    <w:basedOn w:val="DefaultParagraphFont"/>
    <w:link w:val="Footer"/>
    <w:uiPriority w:val="99"/>
    <w:rsid w:val="006F4F94"/>
    <w:rPr>
      <w:rFonts w:ascii="Times" w:eastAsiaTheme="minorEastAsia" w:hAnsi="Times" w:cs="Times New Roman"/>
      <w:lang w:eastAsia="ja-JP"/>
    </w:rPr>
  </w:style>
  <w:style w:type="character" w:styleId="CommentReference">
    <w:name w:val="annotation reference"/>
    <w:basedOn w:val="DefaultParagraphFont"/>
    <w:uiPriority w:val="99"/>
    <w:semiHidden/>
    <w:unhideWhenUsed/>
    <w:rsid w:val="00A2546F"/>
    <w:rPr>
      <w:sz w:val="18"/>
      <w:szCs w:val="18"/>
    </w:rPr>
  </w:style>
  <w:style w:type="paragraph" w:styleId="CommentText">
    <w:name w:val="annotation text"/>
    <w:basedOn w:val="Normal"/>
    <w:link w:val="CommentTextChar"/>
    <w:uiPriority w:val="99"/>
    <w:semiHidden/>
    <w:unhideWhenUsed/>
    <w:rsid w:val="00A2546F"/>
  </w:style>
  <w:style w:type="character" w:customStyle="1" w:styleId="CommentTextChar">
    <w:name w:val="Comment Text Char"/>
    <w:basedOn w:val="DefaultParagraphFont"/>
    <w:link w:val="CommentText"/>
    <w:uiPriority w:val="99"/>
    <w:semiHidden/>
    <w:rsid w:val="00A2546F"/>
    <w:rPr>
      <w:rFonts w:ascii="Times" w:eastAsiaTheme="minorEastAsia" w:hAnsi="Times" w:cs="Times New Roman"/>
      <w:lang w:eastAsia="ja-JP"/>
    </w:rPr>
  </w:style>
  <w:style w:type="paragraph" w:styleId="CommentSubject">
    <w:name w:val="annotation subject"/>
    <w:basedOn w:val="CommentText"/>
    <w:next w:val="CommentText"/>
    <w:link w:val="CommentSubjectChar"/>
    <w:uiPriority w:val="99"/>
    <w:semiHidden/>
    <w:unhideWhenUsed/>
    <w:rsid w:val="00A2546F"/>
    <w:rPr>
      <w:b/>
      <w:bCs/>
      <w:sz w:val="20"/>
      <w:szCs w:val="20"/>
    </w:rPr>
  </w:style>
  <w:style w:type="character" w:customStyle="1" w:styleId="CommentSubjectChar">
    <w:name w:val="Comment Subject Char"/>
    <w:basedOn w:val="CommentTextChar"/>
    <w:link w:val="CommentSubject"/>
    <w:uiPriority w:val="99"/>
    <w:semiHidden/>
    <w:rsid w:val="00A2546F"/>
    <w:rPr>
      <w:rFonts w:ascii="Times" w:eastAsiaTheme="minorEastAsia" w:hAnsi="Times" w:cs="Times New Roman"/>
      <w:b/>
      <w:bCs/>
      <w:sz w:val="20"/>
      <w:szCs w:val="20"/>
      <w:lang w:eastAsia="ja-JP"/>
    </w:rPr>
  </w:style>
  <w:style w:type="paragraph" w:styleId="BalloonText">
    <w:name w:val="Balloon Text"/>
    <w:basedOn w:val="Normal"/>
    <w:link w:val="BalloonTextChar"/>
    <w:uiPriority w:val="99"/>
    <w:semiHidden/>
    <w:unhideWhenUsed/>
    <w:rsid w:val="00A2546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2546F"/>
    <w:rPr>
      <w:rFonts w:ascii="Times New Roman" w:eastAsiaTheme="minorEastAsia" w:hAnsi="Times New Roman" w:cs="Times New Roman"/>
      <w:sz w:val="18"/>
      <w:szCs w:val="18"/>
      <w:lang w:eastAsia="ja-JP"/>
    </w:rPr>
  </w:style>
  <w:style w:type="paragraph" w:styleId="Revision">
    <w:name w:val="Revision"/>
    <w:hidden/>
    <w:uiPriority w:val="99"/>
    <w:semiHidden/>
    <w:rsid w:val="00A45C56"/>
    <w:rPr>
      <w:rFonts w:ascii="Times" w:eastAsiaTheme="minorEastAsia" w:hAnsi="Times" w:cs="Times New Roman"/>
      <w:lang w:eastAsia="ja-JP"/>
    </w:rPr>
  </w:style>
  <w:style w:type="paragraph" w:styleId="NormalWeb">
    <w:name w:val="Normal (Web)"/>
    <w:basedOn w:val="Normal"/>
    <w:uiPriority w:val="99"/>
    <w:semiHidden/>
    <w:unhideWhenUsed/>
    <w:rsid w:val="0041381A"/>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4999">
      <w:bodyDiv w:val="1"/>
      <w:marLeft w:val="0"/>
      <w:marRight w:val="0"/>
      <w:marTop w:val="0"/>
      <w:marBottom w:val="0"/>
      <w:divBdr>
        <w:top w:val="none" w:sz="0" w:space="0" w:color="auto"/>
        <w:left w:val="none" w:sz="0" w:space="0" w:color="auto"/>
        <w:bottom w:val="none" w:sz="0" w:space="0" w:color="auto"/>
        <w:right w:val="none" w:sz="0" w:space="0" w:color="auto"/>
      </w:divBdr>
    </w:div>
    <w:div w:id="84572486">
      <w:bodyDiv w:val="1"/>
      <w:marLeft w:val="0"/>
      <w:marRight w:val="0"/>
      <w:marTop w:val="0"/>
      <w:marBottom w:val="0"/>
      <w:divBdr>
        <w:top w:val="none" w:sz="0" w:space="0" w:color="auto"/>
        <w:left w:val="none" w:sz="0" w:space="0" w:color="auto"/>
        <w:bottom w:val="none" w:sz="0" w:space="0" w:color="auto"/>
        <w:right w:val="none" w:sz="0" w:space="0" w:color="auto"/>
      </w:divBdr>
    </w:div>
    <w:div w:id="360134542">
      <w:bodyDiv w:val="1"/>
      <w:marLeft w:val="0"/>
      <w:marRight w:val="0"/>
      <w:marTop w:val="0"/>
      <w:marBottom w:val="0"/>
      <w:divBdr>
        <w:top w:val="none" w:sz="0" w:space="0" w:color="auto"/>
        <w:left w:val="none" w:sz="0" w:space="0" w:color="auto"/>
        <w:bottom w:val="none" w:sz="0" w:space="0" w:color="auto"/>
        <w:right w:val="none" w:sz="0" w:space="0" w:color="auto"/>
      </w:divBdr>
    </w:div>
    <w:div w:id="544369022">
      <w:bodyDiv w:val="1"/>
      <w:marLeft w:val="0"/>
      <w:marRight w:val="0"/>
      <w:marTop w:val="0"/>
      <w:marBottom w:val="0"/>
      <w:divBdr>
        <w:top w:val="none" w:sz="0" w:space="0" w:color="auto"/>
        <w:left w:val="none" w:sz="0" w:space="0" w:color="auto"/>
        <w:bottom w:val="none" w:sz="0" w:space="0" w:color="auto"/>
        <w:right w:val="none" w:sz="0" w:space="0" w:color="auto"/>
      </w:divBdr>
    </w:div>
    <w:div w:id="635254446">
      <w:bodyDiv w:val="1"/>
      <w:marLeft w:val="0"/>
      <w:marRight w:val="0"/>
      <w:marTop w:val="0"/>
      <w:marBottom w:val="0"/>
      <w:divBdr>
        <w:top w:val="none" w:sz="0" w:space="0" w:color="auto"/>
        <w:left w:val="none" w:sz="0" w:space="0" w:color="auto"/>
        <w:bottom w:val="none" w:sz="0" w:space="0" w:color="auto"/>
        <w:right w:val="none" w:sz="0" w:space="0" w:color="auto"/>
      </w:divBdr>
    </w:div>
    <w:div w:id="871116571">
      <w:bodyDiv w:val="1"/>
      <w:marLeft w:val="0"/>
      <w:marRight w:val="0"/>
      <w:marTop w:val="0"/>
      <w:marBottom w:val="0"/>
      <w:divBdr>
        <w:top w:val="none" w:sz="0" w:space="0" w:color="auto"/>
        <w:left w:val="none" w:sz="0" w:space="0" w:color="auto"/>
        <w:bottom w:val="none" w:sz="0" w:space="0" w:color="auto"/>
        <w:right w:val="none" w:sz="0" w:space="0" w:color="auto"/>
      </w:divBdr>
    </w:div>
    <w:div w:id="1324889399">
      <w:bodyDiv w:val="1"/>
      <w:marLeft w:val="0"/>
      <w:marRight w:val="0"/>
      <w:marTop w:val="0"/>
      <w:marBottom w:val="0"/>
      <w:divBdr>
        <w:top w:val="none" w:sz="0" w:space="0" w:color="auto"/>
        <w:left w:val="none" w:sz="0" w:space="0" w:color="auto"/>
        <w:bottom w:val="none" w:sz="0" w:space="0" w:color="auto"/>
        <w:right w:val="none" w:sz="0" w:space="0" w:color="auto"/>
      </w:divBdr>
    </w:div>
    <w:div w:id="1328943753">
      <w:bodyDiv w:val="1"/>
      <w:marLeft w:val="0"/>
      <w:marRight w:val="0"/>
      <w:marTop w:val="0"/>
      <w:marBottom w:val="0"/>
      <w:divBdr>
        <w:top w:val="none" w:sz="0" w:space="0" w:color="auto"/>
        <w:left w:val="none" w:sz="0" w:space="0" w:color="auto"/>
        <w:bottom w:val="none" w:sz="0" w:space="0" w:color="auto"/>
        <w:right w:val="none" w:sz="0" w:space="0" w:color="auto"/>
      </w:divBdr>
      <w:divsChild>
        <w:div w:id="169031935">
          <w:marLeft w:val="0"/>
          <w:marRight w:val="0"/>
          <w:marTop w:val="0"/>
          <w:marBottom w:val="0"/>
          <w:divBdr>
            <w:top w:val="none" w:sz="0" w:space="0" w:color="auto"/>
            <w:left w:val="none" w:sz="0" w:space="0" w:color="auto"/>
            <w:bottom w:val="none" w:sz="0" w:space="0" w:color="auto"/>
            <w:right w:val="none" w:sz="0" w:space="0" w:color="auto"/>
          </w:divBdr>
        </w:div>
        <w:div w:id="1759210375">
          <w:marLeft w:val="0"/>
          <w:marRight w:val="0"/>
          <w:marTop w:val="0"/>
          <w:marBottom w:val="0"/>
          <w:divBdr>
            <w:top w:val="none" w:sz="0" w:space="0" w:color="auto"/>
            <w:left w:val="none" w:sz="0" w:space="0" w:color="auto"/>
            <w:bottom w:val="none" w:sz="0" w:space="0" w:color="auto"/>
            <w:right w:val="none" w:sz="0" w:space="0" w:color="auto"/>
          </w:divBdr>
          <w:divsChild>
            <w:div w:id="3007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1777">
      <w:bodyDiv w:val="1"/>
      <w:marLeft w:val="0"/>
      <w:marRight w:val="0"/>
      <w:marTop w:val="0"/>
      <w:marBottom w:val="0"/>
      <w:divBdr>
        <w:top w:val="none" w:sz="0" w:space="0" w:color="auto"/>
        <w:left w:val="none" w:sz="0" w:space="0" w:color="auto"/>
        <w:bottom w:val="none" w:sz="0" w:space="0" w:color="auto"/>
        <w:right w:val="none" w:sz="0" w:space="0" w:color="auto"/>
      </w:divBdr>
    </w:div>
    <w:div w:id="1334996210">
      <w:bodyDiv w:val="1"/>
      <w:marLeft w:val="0"/>
      <w:marRight w:val="0"/>
      <w:marTop w:val="0"/>
      <w:marBottom w:val="0"/>
      <w:divBdr>
        <w:top w:val="none" w:sz="0" w:space="0" w:color="auto"/>
        <w:left w:val="none" w:sz="0" w:space="0" w:color="auto"/>
        <w:bottom w:val="none" w:sz="0" w:space="0" w:color="auto"/>
        <w:right w:val="none" w:sz="0" w:space="0" w:color="auto"/>
      </w:divBdr>
    </w:div>
    <w:div w:id="1461653635">
      <w:bodyDiv w:val="1"/>
      <w:marLeft w:val="0"/>
      <w:marRight w:val="0"/>
      <w:marTop w:val="0"/>
      <w:marBottom w:val="0"/>
      <w:divBdr>
        <w:top w:val="none" w:sz="0" w:space="0" w:color="auto"/>
        <w:left w:val="none" w:sz="0" w:space="0" w:color="auto"/>
        <w:bottom w:val="none" w:sz="0" w:space="0" w:color="auto"/>
        <w:right w:val="none" w:sz="0" w:space="0" w:color="auto"/>
      </w:divBdr>
    </w:div>
    <w:div w:id="1766681356">
      <w:bodyDiv w:val="1"/>
      <w:marLeft w:val="0"/>
      <w:marRight w:val="0"/>
      <w:marTop w:val="0"/>
      <w:marBottom w:val="0"/>
      <w:divBdr>
        <w:top w:val="none" w:sz="0" w:space="0" w:color="auto"/>
        <w:left w:val="none" w:sz="0" w:space="0" w:color="auto"/>
        <w:bottom w:val="none" w:sz="0" w:space="0" w:color="auto"/>
        <w:right w:val="none" w:sz="0" w:space="0" w:color="auto"/>
      </w:divBdr>
    </w:div>
    <w:div w:id="208005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F8A9A8-F9B7-B044-949B-1285C092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20</Pages>
  <Words>7500</Words>
  <Characters>42750</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Hirt, Alfred</dc:creator>
  <cp:keywords/>
  <dc:description/>
  <cp:lastModifiedBy>Microsoft Office User</cp:lastModifiedBy>
  <cp:revision>180</cp:revision>
  <dcterms:created xsi:type="dcterms:W3CDTF">2017-06-03T15:30:00Z</dcterms:created>
  <dcterms:modified xsi:type="dcterms:W3CDTF">2018-04-16T15:26:00Z</dcterms:modified>
</cp:coreProperties>
</file>