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33" w:rsidRDefault="00B07F33" w:rsidP="00B07F33">
      <w:pP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Higher than standard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meropenem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linezolid dosages needed for appropriate treatment of an intracerebral hemorrhage patient with augmented renal clearance</w:t>
      </w:r>
    </w:p>
    <w:p w:rsidR="00B07F33" w:rsidRDefault="00B07F33" w:rsidP="00B07F3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7F33" w:rsidRPr="00066159" w:rsidRDefault="00B07F33" w:rsidP="00B07F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59">
        <w:rPr>
          <w:rFonts w:ascii="Times New Roman" w:hAnsi="Times New Roman" w:cs="Times New Roman"/>
          <w:sz w:val="24"/>
          <w:szCs w:val="24"/>
        </w:rPr>
        <w:t>Pier Giorgio Cojutti</w:t>
      </w:r>
      <w:r w:rsidRPr="00066159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0661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Cristina Barbarino</w:t>
      </w:r>
      <w:r w:rsidRPr="000661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661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Amato De Monte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661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William Hope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6159">
        <w:rPr>
          <w:rFonts w:ascii="Times New Roman" w:hAnsi="Times New Roman" w:cs="Times New Roman"/>
          <w:sz w:val="24"/>
          <w:szCs w:val="24"/>
        </w:rPr>
        <w:t xml:space="preserve"> Federico Pea</w:t>
      </w:r>
      <w:r w:rsidRPr="00066159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AD5CF7">
        <w:rPr>
          <w:rFonts w:ascii="Times New Roman" w:hAnsi="Times New Roman" w:cs="Times New Roman"/>
          <w:sz w:val="24"/>
          <w:szCs w:val="24"/>
          <w:vertAlign w:val="superscript"/>
        </w:rPr>
        <w:t xml:space="preserve"> *</w:t>
      </w:r>
    </w:p>
    <w:p w:rsidR="00B07F33" w:rsidRPr="00066159" w:rsidRDefault="00B07F33" w:rsidP="00B07F33">
      <w:pPr>
        <w:rPr>
          <w:rFonts w:ascii="Times New Roman" w:hAnsi="Times New Roman" w:cs="Times New Roman"/>
          <w:sz w:val="24"/>
          <w:szCs w:val="24"/>
        </w:rPr>
      </w:pPr>
    </w:p>
    <w:p w:rsidR="00B07F33" w:rsidRPr="00BB79C5" w:rsidRDefault="00B07F33" w:rsidP="00B07F3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9C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B79C5">
        <w:rPr>
          <w:rFonts w:ascii="Times New Roman" w:hAnsi="Times New Roman" w:cs="Times New Roman"/>
          <w:sz w:val="24"/>
          <w:szCs w:val="24"/>
        </w:rPr>
        <w:t xml:space="preserve">Institute of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, Santa Maria della Misericordia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Hospital of Udine, Azienda Sanitaria Universitaria Integrata di Udine,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P.le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S.Maria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della Misericordia 3, 33100 Udine,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; </w:t>
      </w:r>
      <w:r w:rsidRPr="00BB79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B79C5">
        <w:rPr>
          <w:rFonts w:ascii="Times New Roman" w:hAnsi="Times New Roman" w:cs="Times New Roman"/>
          <w:sz w:val="24"/>
          <w:szCs w:val="24"/>
        </w:rPr>
        <w:t xml:space="preserve">Department of Medicine,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of Udine, Udine,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; </w:t>
      </w:r>
      <w:r w:rsidRPr="00BB79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79C5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Anesthesia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and Intensive Care,</w:t>
      </w:r>
      <w:r w:rsidRPr="00BB7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9C5" w:rsidRPr="00BB79C5">
        <w:rPr>
          <w:rFonts w:ascii="Times New Roman" w:hAnsi="Times New Roman" w:cs="Times New Roman"/>
          <w:sz w:val="24"/>
          <w:szCs w:val="24"/>
        </w:rPr>
        <w:t>Azienda Sanitaria Universitaria Integrata di Udine</w:t>
      </w:r>
      <w:r w:rsidRPr="00BB79C5">
        <w:rPr>
          <w:rFonts w:ascii="Times New Roman" w:hAnsi="Times New Roman" w:cs="Times New Roman"/>
          <w:sz w:val="24"/>
          <w:szCs w:val="24"/>
        </w:rPr>
        <w:t xml:space="preserve">, Udine,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; </w:t>
      </w:r>
      <w:r w:rsidR="00BB79C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B79C5">
        <w:rPr>
          <w:rFonts w:ascii="Times New Roman" w:hAnsi="Times New Roman" w:cs="Times New Roman"/>
          <w:sz w:val="24"/>
          <w:szCs w:val="24"/>
        </w:rPr>
        <w:t xml:space="preserve">Antimicrobial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Pharmacodynamics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Therapeutics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Translational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Medicine, </w:t>
      </w:r>
      <w:proofErr w:type="spellStart"/>
      <w:r w:rsidRPr="00BB79C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B79C5">
        <w:rPr>
          <w:rFonts w:ascii="Times New Roman" w:hAnsi="Times New Roman" w:cs="Times New Roman"/>
          <w:sz w:val="24"/>
          <w:szCs w:val="24"/>
        </w:rPr>
        <w:t xml:space="preserve"> of Liverpool, Liverpool, UK </w:t>
      </w:r>
      <w:r w:rsidRPr="00BB79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7F33" w:rsidRPr="00BB79C5" w:rsidRDefault="00B07F33" w:rsidP="00B07F3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9C5" w:rsidRDefault="00BB79C5" w:rsidP="00B07F3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9C5" w:rsidRDefault="00BB79C5" w:rsidP="00B07F3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9C5" w:rsidRDefault="00BB79C5" w:rsidP="00B07F3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7F33" w:rsidRPr="00FC1387" w:rsidRDefault="00B07F33" w:rsidP="00B07F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Word count of the text: </w:t>
      </w:r>
      <w:r w:rsidR="00BB79C5">
        <w:rPr>
          <w:rFonts w:ascii="Times New Roman" w:hAnsi="Times New Roman" w:cs="Times New Roman"/>
          <w:sz w:val="24"/>
          <w:szCs w:val="24"/>
          <w:lang w:val="en-US"/>
        </w:rPr>
        <w:t>648</w:t>
      </w:r>
    </w:p>
    <w:p w:rsidR="00BB79C5" w:rsidRDefault="00BB79C5" w:rsidP="00B07F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79C5" w:rsidRDefault="00BB79C5" w:rsidP="00B07F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D5CF7" w:rsidRDefault="00AD5CF7" w:rsidP="00B07F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D5CF7" w:rsidRDefault="00AD5CF7" w:rsidP="00B07F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7F33" w:rsidRDefault="00B07F33" w:rsidP="00B07F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387">
        <w:rPr>
          <w:rFonts w:ascii="Times New Roman" w:hAnsi="Times New Roman" w:cs="Times New Roman"/>
          <w:sz w:val="24"/>
          <w:szCs w:val="24"/>
          <w:lang w:val="en-US"/>
        </w:rPr>
        <w:t>*Correspon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ding author. </w:t>
      </w:r>
      <w:r w:rsidRPr="0009273F">
        <w:rPr>
          <w:rFonts w:ascii="Times New Roman" w:hAnsi="Times New Roman" w:cs="Times New Roman"/>
          <w:sz w:val="24"/>
          <w:szCs w:val="24"/>
          <w:lang w:val="en-US"/>
        </w:rPr>
        <w:t xml:space="preserve">Institute of Clinical Pharmacology, Santa Maria </w:t>
      </w:r>
      <w:proofErr w:type="spellStart"/>
      <w:proofErr w:type="gramStart"/>
      <w:r w:rsidRPr="0009273F">
        <w:rPr>
          <w:rFonts w:ascii="Times New Roman" w:hAnsi="Times New Roman" w:cs="Times New Roman"/>
          <w:sz w:val="24"/>
          <w:szCs w:val="24"/>
          <w:lang w:val="en-US"/>
        </w:rPr>
        <w:t>della</w:t>
      </w:r>
      <w:proofErr w:type="spellEnd"/>
      <w:proofErr w:type="gramEnd"/>
      <w:r w:rsidRPr="0009273F">
        <w:rPr>
          <w:rFonts w:ascii="Times New Roman" w:hAnsi="Times New Roman" w:cs="Times New Roman"/>
          <w:sz w:val="24"/>
          <w:szCs w:val="24"/>
          <w:lang w:val="en-US"/>
        </w:rPr>
        <w:t xml:space="preserve"> Misericordia University Hospital of Udine, P. le S. Maria </w:t>
      </w:r>
      <w:proofErr w:type="spellStart"/>
      <w:r w:rsidRPr="0009273F">
        <w:rPr>
          <w:rFonts w:ascii="Times New Roman" w:hAnsi="Times New Roman" w:cs="Times New Roman"/>
          <w:sz w:val="24"/>
          <w:szCs w:val="24"/>
          <w:lang w:val="en-US"/>
        </w:rPr>
        <w:t>della</w:t>
      </w:r>
      <w:proofErr w:type="spellEnd"/>
      <w:r w:rsidRPr="0009273F">
        <w:rPr>
          <w:rFonts w:ascii="Times New Roman" w:hAnsi="Times New Roman" w:cs="Times New Roman"/>
          <w:sz w:val="24"/>
          <w:szCs w:val="24"/>
          <w:lang w:val="en-US"/>
        </w:rPr>
        <w:t xml:space="preserve"> Misericordia 3, 33100 Udine, Italy.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Tel: +39-0432- 559833; email: piergiorgio.cojutti@uniud.it </w:t>
      </w:r>
      <w:r w:rsidRPr="00FC1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7F33" w:rsidRPr="00B07F33" w:rsidRDefault="00B07F33" w:rsidP="00B07F33">
      <w:pPr>
        <w:shd w:val="clear" w:color="auto" w:fill="FCFCFC"/>
        <w:spacing w:before="240" w:after="288" w:line="48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lastRenderedPageBreak/>
        <w:t xml:space="preserve">A 57-year-old, 49 kg female </w:t>
      </w:r>
      <w:proofErr w:type="gram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was admitted</w:t>
      </w:r>
      <w:proofErr w:type="gram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at the Emergency Department after severe intracerebral hemorrhage. Head CT-scan revealed rupture of a saccular aneurysm of the right middle cerebral artery. External ventricular drain (EVD) </w:t>
      </w:r>
      <w:proofErr w:type="gram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was placed</w:t>
      </w:r>
      <w:proofErr w:type="gram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in the right lateral ventricle to treat hydrocephalus, and endovascular coiling of the cerebral aneurysm was performed.</w:t>
      </w:r>
    </w:p>
    <w:p w:rsidR="00B07F33" w:rsidRPr="00B07F33" w:rsidRDefault="00B07F33" w:rsidP="00B07F33">
      <w:pPr>
        <w:shd w:val="clear" w:color="auto" w:fill="FCFCFC"/>
        <w:spacing w:before="240" w:after="288" w:line="48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On day 3, an EVD-related infection was suspected [C-reactive protein (C-RP) of 82.56 mg/L, normal range 0–5 mg/L; and pro-calcitonin (PCT) of 0.87 ng/mL, normal range &lt; 0.10 ng/mL], and empirical antimicrobial therapy was started intravenously with cefotaxime 2 g q8h. On day 8, C-RP was 110.03 mg/L, and antimicrobial therapy was escalated to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[500 mg q6h over </w:t>
      </w:r>
      <w:proofErr w:type="gram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6</w:t>
      </w:r>
      <w:proofErr w:type="gram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 h (i.e., by continuous infusion, CI) after 2 g loading] plus linezolid (600 mg q12h intravenously).</w:t>
      </w:r>
    </w:p>
    <w:p w:rsidR="00B07F33" w:rsidRPr="00B07F33" w:rsidRDefault="00B07F33" w:rsidP="00B07F33">
      <w:pPr>
        <w:shd w:val="clear" w:color="auto" w:fill="FCFCFC"/>
        <w:spacing w:before="240" w:after="288" w:line="48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Despite escalated therapy, C-RP increased furtherly and peaked on day 13 (241.47 mg/L). Therapeutic drug monitoring (TDM) </w:t>
      </w:r>
      <w:proofErr w:type="gram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was performed</w:t>
      </w:r>
      <w:proofErr w:type="gram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for assessing drug exposure [desired trough linezolid concentrations (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vertAlign w:val="subscript"/>
          <w:lang w:val="en-US" w:eastAsia="it-IT"/>
        </w:rPr>
        <w:t>min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) of 2–8 mg/L 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[</w:t>
      </w:r>
      <w:hyperlink r:id="rId5" w:anchor="CR1" w:tooltip="View reference" w:history="1">
        <w:r w:rsidRPr="00B07F33">
          <w:rPr>
            <w:rFonts w:ascii="Times New Roman" w:eastAsia="Times New Roman" w:hAnsi="Times New Roman" w:cs="Times New Roman"/>
            <w:spacing w:val="2"/>
            <w:sz w:val="24"/>
            <w:szCs w:val="24"/>
            <w:lang w:val="en-US" w:eastAsia="it-IT"/>
          </w:rPr>
          <w:t>1</w:t>
        </w:r>
      </w:hyperlink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 xml:space="preserve">] 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and steady-state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concentrations (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vertAlign w:val="subscript"/>
          <w:lang w:val="en-US" w:eastAsia="it-IT"/>
        </w:rPr>
        <w:t>ss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) of 8–16 mg/L 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[</w:t>
      </w:r>
      <w:r w:rsidR="009A6E90">
        <w:fldChar w:fldCharType="begin"/>
      </w:r>
      <w:r w:rsidR="009A6E90" w:rsidRPr="009A6E90">
        <w:rPr>
          <w:lang w:val="en-US"/>
        </w:rPr>
        <w:instrText xml:space="preserve"> HYPERLINK "https://link.springer.com/article/10.1007%2Fs00228-018-2465-x" \l "CR2" \o "View reference" </w:instrText>
      </w:r>
      <w:r w:rsidR="009A6E90">
        <w:fldChar w:fldCharType="separate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2</w:t>
      </w:r>
      <w:r w:rsidR="009A6E90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fldChar w:fldCharType="end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 xml:space="preserve">]. Drug concentrations </w:t>
      </w:r>
      <w:proofErr w:type="gramStart"/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were measured</w:t>
      </w:r>
      <w:proofErr w:type="gramEnd"/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 xml:space="preserve"> by means of HPLC assays with UV detection [</w:t>
      </w:r>
      <w:r w:rsidR="009A6E90">
        <w:fldChar w:fldCharType="begin"/>
      </w:r>
      <w:r w:rsidR="009A6E90" w:rsidRPr="009A6E90">
        <w:rPr>
          <w:lang w:val="en-US"/>
        </w:rPr>
        <w:instrText xml:space="preserve"> HYPERLINK "http</w:instrText>
      </w:r>
      <w:r w:rsidR="009A6E90" w:rsidRPr="009A6E90">
        <w:rPr>
          <w:lang w:val="en-US"/>
        </w:rPr>
        <w:instrText xml:space="preserve">s://link.springer.com/article/10.1007%2Fs00228-018-2465-x" \l "CR1" \o "View reference" </w:instrText>
      </w:r>
      <w:r w:rsidR="009A6E90">
        <w:fldChar w:fldCharType="separate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1</w:t>
      </w:r>
      <w:r w:rsidR="009A6E90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fldChar w:fldCharType="end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, </w:t>
      </w:r>
      <w:r w:rsidR="009A6E90">
        <w:fldChar w:fldCharType="begin"/>
      </w:r>
      <w:r w:rsidR="009A6E90" w:rsidRPr="009A6E90">
        <w:rPr>
          <w:lang w:val="en-US"/>
        </w:rPr>
        <w:instrText xml:space="preserve"> HYPERLINK "https://link.springer.com/article/10.1007%2Fs00228-018-2465-x" \l "CR2" \o "View reference" </w:instrText>
      </w:r>
      <w:r w:rsidR="009A6E90">
        <w:fldChar w:fldCharType="separate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2</w:t>
      </w:r>
      <w:r w:rsidR="009A6E90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fldChar w:fldCharType="end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].</w:t>
      </w:r>
    </w:p>
    <w:p w:rsidR="00B07F33" w:rsidRPr="00B07F33" w:rsidRDefault="00B07F33" w:rsidP="00B07F33">
      <w:pPr>
        <w:shd w:val="clear" w:color="auto" w:fill="FCFCFC"/>
        <w:spacing w:before="240" w:after="288" w:line="48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TDM revealed suboptimal exposure for both antibiotics (linezolid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vertAlign w:val="subscript"/>
          <w:lang w:val="en-US" w:eastAsia="it-IT"/>
        </w:rPr>
        <w:t>min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 of 0.3 mg/L;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vertAlign w:val="subscript"/>
          <w:lang w:val="en-US" w:eastAsia="it-IT"/>
        </w:rPr>
        <w:t>ss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 of 3.82 mg/L). Suspecting augmented renal clearance (ARC), creatinine clearance (CL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vertAlign w:val="subscript"/>
          <w:lang w:val="en-US" w:eastAsia="it-IT"/>
        </w:rPr>
        <w:t>CR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) </w:t>
      </w:r>
      <w:proofErr w:type="gram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was measured</w:t>
      </w:r>
      <w:proofErr w:type="gram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on day 16 and 18.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Supraphysiological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CL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vertAlign w:val="subscript"/>
          <w:lang w:val="en-US" w:eastAsia="it-IT"/>
        </w:rPr>
        <w:t>CR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 values confirmed ARC in both occasions (131.0 and 160.2 mL/min, respectively).</w:t>
      </w:r>
    </w:p>
    <w:p w:rsidR="00B07F33" w:rsidRPr="00B07F33" w:rsidRDefault="00B07F33" w:rsidP="00B07F33">
      <w:pPr>
        <w:shd w:val="clear" w:color="auto" w:fill="FCFCFC"/>
        <w:spacing w:before="240" w:after="288" w:line="48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Attainment of the desired antibiotic targets </w:t>
      </w:r>
      <w:proofErr w:type="gram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was achieved</w:t>
      </w:r>
      <w:proofErr w:type="gram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only after three subsequent dosage increases, up to 600 mg q8h for linezolid and to 1500 mg q6h by CI for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.</w:t>
      </w:r>
    </w:p>
    <w:p w:rsidR="00B07F33" w:rsidRPr="00B07F33" w:rsidRDefault="00B07F33" w:rsidP="00B07F33">
      <w:pPr>
        <w:shd w:val="clear" w:color="auto" w:fill="FCFCFC"/>
        <w:spacing w:before="240" w:after="288" w:line="48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Afterwards, significant clinical improvement </w:t>
      </w:r>
      <w:proofErr w:type="gram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was observed</w:t>
      </w:r>
      <w:proofErr w:type="gram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with a consistent drop of both C-RP (24.27 mg/L) and PCT (0.13 ng/mL). Antimicrobial therapy </w:t>
      </w:r>
      <w:proofErr w:type="gram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was finally stopped</w:t>
      </w:r>
      <w:proofErr w:type="gram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on day 21.</w:t>
      </w:r>
    </w:p>
    <w:p w:rsidR="00B07F33" w:rsidRPr="00B07F33" w:rsidRDefault="00B07F33" w:rsidP="00B07F33">
      <w:pPr>
        <w:shd w:val="clear" w:color="auto" w:fill="FCFCFC"/>
        <w:spacing w:after="0" w:line="48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</w:pP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Considering that ARC may lead to augmented drug clearance (CL) 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[</w:t>
      </w:r>
      <w:hyperlink r:id="rId6" w:anchor="CR3" w:tooltip="View reference" w:history="1">
        <w:r w:rsidRPr="00B07F33">
          <w:rPr>
            <w:rFonts w:ascii="Times New Roman" w:eastAsia="Times New Roman" w:hAnsi="Times New Roman" w:cs="Times New Roman"/>
            <w:spacing w:val="2"/>
            <w:sz w:val="24"/>
            <w:szCs w:val="24"/>
            <w:lang w:val="en-US" w:eastAsia="it-IT"/>
          </w:rPr>
          <w:t>3</w:t>
        </w:r>
      </w:hyperlink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 xml:space="preserve">], 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we assessed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and linezolid CL. Non-compartmental pharmacokinetic analysis showed that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CL was two to fivefold higher than observed previously in other patient populations 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lastRenderedPageBreak/>
        <w:t>(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Table </w:t>
      </w:r>
      <w:hyperlink r:id="rId7" w:anchor="Tab1" w:history="1">
        <w:r w:rsidRPr="00B07F33">
          <w:rPr>
            <w:rFonts w:ascii="Times New Roman" w:eastAsia="Times New Roman" w:hAnsi="Times New Roman" w:cs="Times New Roman"/>
            <w:spacing w:val="2"/>
            <w:sz w:val="24"/>
            <w:szCs w:val="24"/>
            <w:lang w:val="en-US" w:eastAsia="it-IT"/>
          </w:rPr>
          <w:t>1</w:t>
        </w:r>
      </w:hyperlink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 xml:space="preserve">). 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Likewise, one-compartment pharmacokinetic analysis of linezolid with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Pmetrics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[</w:t>
      </w:r>
      <w:hyperlink r:id="rId8" w:anchor="CR7" w:tooltip="View reference" w:history="1">
        <w:r w:rsidRPr="00B07F33">
          <w:rPr>
            <w:rFonts w:ascii="Times New Roman" w:eastAsia="Times New Roman" w:hAnsi="Times New Roman" w:cs="Times New Roman"/>
            <w:spacing w:val="2"/>
            <w:sz w:val="24"/>
            <w:szCs w:val="24"/>
            <w:lang w:val="en-US" w:eastAsia="it-IT"/>
          </w:rPr>
          <w:t>7</w:t>
        </w:r>
      </w:hyperlink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 xml:space="preserve">] 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showed 1.6-fold higher CL than observed in healthy volunteers (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Table </w:t>
      </w:r>
      <w:hyperlink r:id="rId9" w:anchor="Tab1" w:history="1">
        <w:r w:rsidRPr="00B07F33">
          <w:rPr>
            <w:rFonts w:ascii="Times New Roman" w:eastAsia="Times New Roman" w:hAnsi="Times New Roman" w:cs="Times New Roman"/>
            <w:spacing w:val="2"/>
            <w:sz w:val="24"/>
            <w:szCs w:val="24"/>
            <w:lang w:val="en-US" w:eastAsia="it-IT"/>
          </w:rPr>
          <w:t>1</w:t>
        </w:r>
      </w:hyperlink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).</w:t>
      </w:r>
    </w:p>
    <w:p w:rsidR="00B07F33" w:rsidRPr="00B07F33" w:rsidRDefault="00B07F33" w:rsidP="00B07F33">
      <w:pPr>
        <w:shd w:val="clear" w:color="auto" w:fill="FCFCFC"/>
        <w:spacing w:before="240" w:after="288" w:line="48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To the best of our knowledge, this is the first report of augmented CL and suboptimal exposure to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and linezolid showed in a cerebral hemorrhage patient with ARC. Noteworthy, ARC may be a very common condition either among patients with non-traumatic subarachnoid hemorrhage 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[</w:t>
      </w:r>
      <w:r w:rsidR="009A6E90">
        <w:fldChar w:fldCharType="begin"/>
      </w:r>
      <w:r w:rsidR="009A6E90" w:rsidRPr="009A6E90">
        <w:rPr>
          <w:lang w:val="en-US"/>
        </w:rPr>
        <w:instrText xml:space="preserve"> HYPERLINK "https://link.springer.com/article/10.1007%2Fs00228-018-2465-x" \l "CR8" \o "View reference" </w:instrText>
      </w:r>
      <w:r w:rsidR="009A6E90">
        <w:fldChar w:fldCharType="separate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8</w:t>
      </w:r>
      <w:r w:rsidR="009A6E90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fldChar w:fldCharType="end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 xml:space="preserve">] 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or in those with traumatic-brain injuries 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[</w:t>
      </w:r>
      <w:r w:rsidR="009A6E90">
        <w:fldChar w:fldCharType="begin"/>
      </w:r>
      <w:r w:rsidR="009A6E90" w:rsidRPr="009A6E90">
        <w:rPr>
          <w:lang w:val="en-US"/>
        </w:rPr>
        <w:instrText xml:space="preserve"> HYPERLINK "https://link.springer.com/article/10.1007%2Fs00</w:instrText>
      </w:r>
      <w:r w:rsidR="009A6E90" w:rsidRPr="009A6E90">
        <w:rPr>
          <w:lang w:val="en-US"/>
        </w:rPr>
        <w:instrText xml:space="preserve">228-018-2465-x" \l "CR9" \o "View reference" </w:instrText>
      </w:r>
      <w:r w:rsidR="009A6E90">
        <w:fldChar w:fldCharType="separate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9</w:t>
      </w:r>
      <w:r w:rsidR="009A6E90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fldChar w:fldCharType="end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 xml:space="preserve">]. 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ARC may be the consequence of an increased cardiac output with increased renal blood flow promoted by the vasoactive drugs that </w:t>
      </w:r>
      <w:proofErr w:type="gram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are used</w:t>
      </w:r>
      <w:proofErr w:type="gram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for attenuating cerebral vasospasm 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[</w:t>
      </w:r>
      <w:r w:rsidR="009A6E90">
        <w:fldChar w:fldCharType="begin"/>
      </w:r>
      <w:r w:rsidR="009A6E90" w:rsidRPr="009A6E90">
        <w:rPr>
          <w:lang w:val="en-US"/>
        </w:rPr>
        <w:instrText xml:space="preserve"> HYPERLINK "https://link.spring</w:instrText>
      </w:r>
      <w:r w:rsidR="009A6E90" w:rsidRPr="009A6E90">
        <w:rPr>
          <w:lang w:val="en-US"/>
        </w:rPr>
        <w:instrText xml:space="preserve">er.com/article/10.1007%2Fs00228-018-2465-x" \l "CR8" \o "View reference" </w:instrText>
      </w:r>
      <w:r w:rsidR="009A6E90">
        <w:fldChar w:fldCharType="separate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8</w:t>
      </w:r>
      <w:r w:rsidR="009A6E90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fldChar w:fldCharType="end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].</w:t>
      </w:r>
    </w:p>
    <w:p w:rsidR="00B07F33" w:rsidRPr="00B07F33" w:rsidRDefault="00B07F33" w:rsidP="00B07F33">
      <w:pPr>
        <w:shd w:val="clear" w:color="auto" w:fill="FCFCFC"/>
        <w:spacing w:before="240" w:after="288" w:line="48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Some studies showed that ARC </w:t>
      </w:r>
      <w:proofErr w:type="gram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may</w:t>
      </w:r>
      <w:proofErr w:type="gram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be a predictor of suboptimal exposure to beta-lactams in various patient 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populations [</w:t>
      </w:r>
      <w:r w:rsidR="009A6E90">
        <w:fldChar w:fldCharType="begin"/>
      </w:r>
      <w:r w:rsidR="009A6E90" w:rsidRPr="009A6E90">
        <w:rPr>
          <w:lang w:val="en-US"/>
        </w:rPr>
        <w:instrText xml:space="preserve"> HYPERLINK "https://link.springer.com/article/10.1007%2Fs</w:instrText>
      </w:r>
      <w:r w:rsidR="009A6E90" w:rsidRPr="009A6E90">
        <w:rPr>
          <w:lang w:val="en-US"/>
        </w:rPr>
        <w:instrText xml:space="preserve">00228-018-2465-x" \l "CR3" \o "View reference" </w:instrText>
      </w:r>
      <w:r w:rsidR="009A6E90">
        <w:fldChar w:fldCharType="separate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3</w:t>
      </w:r>
      <w:r w:rsidR="009A6E90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fldChar w:fldCharType="end"/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 xml:space="preserve">]. 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Our findings suggest that underexposure to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may occur even in cerebral hemorrhage patients experiencing ARC, and that dosage increases up to threefold might be needed for optimizing drug exposure (i.e.,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vertAlign w:val="subscript"/>
          <w:lang w:val="en-US" w:eastAsia="it-IT"/>
        </w:rPr>
        <w:t>min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 &gt; 4xMIC) in these cases. Beyond dosage increase, it should be mentioned that in patients with ARC, administration of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by CI (after loading), rather than by intermittent infusion, may furtherly increase the probability of optimal target attainment under the same daily dose 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[</w:t>
      </w:r>
      <w:hyperlink r:id="rId10" w:anchor="CR6" w:tooltip="View reference" w:history="1">
        <w:r w:rsidRPr="00B07F33">
          <w:rPr>
            <w:rFonts w:ascii="Times New Roman" w:eastAsia="Times New Roman" w:hAnsi="Times New Roman" w:cs="Times New Roman"/>
            <w:spacing w:val="2"/>
            <w:sz w:val="24"/>
            <w:szCs w:val="24"/>
            <w:lang w:val="en-US" w:eastAsia="it-IT"/>
          </w:rPr>
          <w:t>6</w:t>
        </w:r>
      </w:hyperlink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].</w:t>
      </w:r>
    </w:p>
    <w:p w:rsidR="00B07F33" w:rsidRPr="00B07F33" w:rsidRDefault="00B07F33" w:rsidP="00B07F33">
      <w:pPr>
        <w:shd w:val="clear" w:color="auto" w:fill="FCFCFC"/>
        <w:spacing w:before="240" w:after="288" w:line="48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</w:pP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Even linezolid CL was increased in our patient (11.2 vs. 7.4 L/h in healthy volunteers) 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[</w:t>
      </w:r>
      <w:hyperlink r:id="rId11" w:anchor="CR4" w:tooltip="View reference" w:history="1">
        <w:r w:rsidRPr="00B07F33">
          <w:rPr>
            <w:rFonts w:ascii="Times New Roman" w:eastAsia="Times New Roman" w:hAnsi="Times New Roman" w:cs="Times New Roman"/>
            <w:spacing w:val="2"/>
            <w:sz w:val="24"/>
            <w:szCs w:val="24"/>
            <w:lang w:val="en-US" w:eastAsia="it-IT"/>
          </w:rPr>
          <w:t>4</w:t>
        </w:r>
      </w:hyperlink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 xml:space="preserve">]. </w:t>
      </w: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This is consistent with the findings of a previous study showing augmentation of linezolid CL (&gt; 9.0 L/h) in 3 out of 5 cerebral hemorrhage post-surgical patients treated for stroke-associated pneumonia </w:t>
      </w:r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[</w:t>
      </w:r>
      <w:hyperlink r:id="rId12" w:anchor="CR10" w:tooltip="View reference" w:history="1">
        <w:r w:rsidRPr="00B07F33">
          <w:rPr>
            <w:rFonts w:ascii="Times New Roman" w:eastAsia="Times New Roman" w:hAnsi="Times New Roman" w:cs="Times New Roman"/>
            <w:spacing w:val="2"/>
            <w:sz w:val="24"/>
            <w:szCs w:val="24"/>
            <w:lang w:val="en-US" w:eastAsia="it-IT"/>
          </w:rPr>
          <w:t>10</w:t>
        </w:r>
      </w:hyperlink>
      <w:r w:rsidRPr="00B07F33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it-IT"/>
        </w:rPr>
        <w:t>].</w:t>
      </w:r>
    </w:p>
    <w:p w:rsidR="00B07F33" w:rsidRPr="00B07F33" w:rsidRDefault="00B07F33" w:rsidP="00B07F33">
      <w:pPr>
        <w:shd w:val="clear" w:color="auto" w:fill="FCFCFC"/>
        <w:spacing w:before="240" w:after="288" w:line="48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Overall, drug CL increase was much higher for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(2–5 fold) than for linezolid (1.6-fold). This is in line with the renal route having approximately double importance in the elimination of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compared to that of linezolid (60 vs. 30%, respectively).</w:t>
      </w:r>
    </w:p>
    <w:p w:rsidR="00B07F33" w:rsidRDefault="00B07F33" w:rsidP="00B07F33">
      <w:pPr>
        <w:shd w:val="clear" w:color="auto" w:fill="FCFCFC"/>
        <w:spacing w:before="240" w:after="288" w:line="48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In conclusion, our findings showed that intracerebral hemorrhage patients with ARC might be at risk of suboptimal exposure during treatment with </w:t>
      </w:r>
      <w:proofErr w:type="spellStart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07F33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and linezolid at standard dosages. Real-time TDM might represent a helpful tool for optimizing antibiotic therapy in these cases.</w:t>
      </w:r>
      <w:bookmarkStart w:id="0" w:name="_GoBack"/>
      <w:bookmarkEnd w:id="0"/>
    </w:p>
    <w:p w:rsidR="00BB79C5" w:rsidRPr="00E81718" w:rsidRDefault="00BB79C5" w:rsidP="00BB79C5">
      <w:pPr>
        <w:shd w:val="clear" w:color="auto" w:fill="FFFFFF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Transparency declaration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W. </w:t>
      </w:r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.</w:t>
      </w:r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holds or has recently held research grants with F2G, </w:t>
      </w:r>
      <w:proofErr w:type="spellStart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AiCuris</w:t>
      </w:r>
      <w:proofErr w:type="spellEnd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, </w:t>
      </w:r>
      <w:proofErr w:type="spellStart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Astellas</w:t>
      </w:r>
      <w:proofErr w:type="spellEnd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Pharma, </w:t>
      </w:r>
      <w:proofErr w:type="spellStart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Spero</w:t>
      </w:r>
      <w:proofErr w:type="spellEnd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Therapeutics, </w:t>
      </w:r>
      <w:proofErr w:type="spellStart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Matinas</w:t>
      </w:r>
      <w:proofErr w:type="spellEnd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Biosciences, </w:t>
      </w:r>
      <w:proofErr w:type="spellStart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Antabio</w:t>
      </w:r>
      <w:proofErr w:type="spellEnd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, </w:t>
      </w:r>
      <w:proofErr w:type="spellStart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Amplyx</w:t>
      </w:r>
      <w:proofErr w:type="spellEnd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, </w:t>
      </w:r>
      <w:proofErr w:type="spellStart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lecra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Auspherix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and Pfizer and he</w:t>
      </w:r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holds awards from the National Institutes of Health, Medical Research Council, National Institute of Health Research, FDA and the European Commission (FP7 and IMI).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W. H. </w:t>
      </w:r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has received personal fees in his capacity as a consultant for F2G, </w:t>
      </w:r>
      <w:proofErr w:type="spellStart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Amplyx</w:t>
      </w:r>
      <w:proofErr w:type="spellEnd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, </w:t>
      </w:r>
      <w:proofErr w:type="spellStart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Ausperix</w:t>
      </w:r>
      <w:proofErr w:type="spellEnd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, </w:t>
      </w:r>
      <w:proofErr w:type="spellStart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Spero</w:t>
      </w:r>
      <w:proofErr w:type="spellEnd"/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Therapeutics, Medicines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Company, Gilead and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>Basilea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in the past 3 years, and   he</w:t>
      </w:r>
      <w:r w:rsidRPr="00E8171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is an Ordinary Council Member for the British Society of Antimicrobial Chemotherapy.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it-IT"/>
        </w:rPr>
        <w:t xml:space="preserve"> </w:t>
      </w:r>
      <w:r w:rsidRPr="00E81718">
        <w:rPr>
          <w:rFonts w:ascii="Times New Roman" w:hAnsi="Times New Roman" w:cs="Times New Roman"/>
          <w:sz w:val="24"/>
          <w:szCs w:val="24"/>
          <w:lang w:val="en-US"/>
        </w:rPr>
        <w:t>F.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1718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="00AD5CF7">
        <w:rPr>
          <w:rFonts w:ascii="Times New Roman" w:hAnsi="Times New Roman" w:cs="Times New Roman"/>
          <w:sz w:val="24"/>
          <w:szCs w:val="24"/>
          <w:lang w:val="en-US"/>
        </w:rPr>
        <w:t xml:space="preserve">acted as consultants for, and have been on the speakers’ bureau of </w:t>
      </w:r>
      <w:proofErr w:type="spellStart"/>
      <w:r w:rsidR="00AD5CF7">
        <w:rPr>
          <w:rFonts w:ascii="Times New Roman" w:hAnsi="Times New Roman" w:cs="Times New Roman"/>
          <w:sz w:val="24"/>
          <w:szCs w:val="24"/>
          <w:lang w:val="en-US"/>
        </w:rPr>
        <w:t>Angelini</w:t>
      </w:r>
      <w:proofErr w:type="spellEnd"/>
      <w:r w:rsidR="00AD5C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1718">
        <w:rPr>
          <w:rFonts w:ascii="Times New Roman" w:hAnsi="Times New Roman" w:cs="Times New Roman"/>
          <w:sz w:val="24"/>
          <w:szCs w:val="24"/>
          <w:lang w:val="en-US"/>
        </w:rPr>
        <w:t>Basilea</w:t>
      </w:r>
      <w:proofErr w:type="spellEnd"/>
      <w:r w:rsidRPr="00E817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1718">
        <w:rPr>
          <w:rFonts w:ascii="Times New Roman" w:hAnsi="Times New Roman" w:cs="Times New Roman"/>
          <w:sz w:val="24"/>
          <w:szCs w:val="24"/>
          <w:lang w:val="en-US"/>
        </w:rPr>
        <w:t>Gileads</w:t>
      </w:r>
      <w:proofErr w:type="spellEnd"/>
      <w:r w:rsidRPr="00E81718">
        <w:rPr>
          <w:rFonts w:ascii="Times New Roman" w:hAnsi="Times New Roman" w:cs="Times New Roman"/>
          <w:sz w:val="24"/>
          <w:szCs w:val="24"/>
          <w:lang w:val="en-US"/>
        </w:rPr>
        <w:t>, MSD</w:t>
      </w:r>
      <w:r w:rsidR="00AD5CF7">
        <w:rPr>
          <w:rFonts w:ascii="Times New Roman" w:hAnsi="Times New Roman" w:cs="Times New Roman"/>
          <w:sz w:val="24"/>
          <w:szCs w:val="24"/>
          <w:lang w:val="en-US"/>
        </w:rPr>
        <w:t xml:space="preserve">, Nordic Pharma and </w:t>
      </w:r>
      <w:r w:rsidRPr="00E81718">
        <w:rPr>
          <w:rFonts w:ascii="Times New Roman" w:hAnsi="Times New Roman" w:cs="Times New Roman"/>
          <w:sz w:val="24"/>
          <w:szCs w:val="24"/>
          <w:lang w:val="en-US"/>
        </w:rPr>
        <w:t>Pfizer</w:t>
      </w:r>
      <w:r w:rsidR="00AD5CF7">
        <w:rPr>
          <w:rFonts w:ascii="Times New Roman" w:hAnsi="Times New Roman" w:cs="Times New Roman"/>
          <w:sz w:val="24"/>
          <w:szCs w:val="24"/>
          <w:lang w:val="en-US"/>
        </w:rPr>
        <w:t xml:space="preserve"> in the previous 3 years</w:t>
      </w:r>
      <w:r w:rsidRPr="00E817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D5CF7">
        <w:rPr>
          <w:rFonts w:ascii="Times New Roman" w:hAnsi="Times New Roman" w:cs="Times New Roman"/>
          <w:sz w:val="24"/>
          <w:szCs w:val="24"/>
          <w:lang w:val="en-US"/>
        </w:rPr>
        <w:t xml:space="preserve"> P.G.C., C.B. and A.D.M. had no financial relationships with any organizations that might have an interest in the submitted work</w:t>
      </w:r>
      <w:r w:rsidRPr="00E817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79C5" w:rsidRDefault="00BB79C5">
      <w:pP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br w:type="page"/>
      </w:r>
    </w:p>
    <w:p w:rsidR="00BB79C5" w:rsidRPr="00B07F33" w:rsidRDefault="00BB79C5" w:rsidP="00BB79C5">
      <w:pPr>
        <w:shd w:val="clear" w:color="auto" w:fill="FCFCFC"/>
        <w:spacing w:before="240" w:after="288" w:line="48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  <w:lang w:val="en-US" w:eastAsia="it-IT"/>
        </w:rPr>
      </w:pPr>
      <w:r w:rsidRPr="00BB79C5">
        <w:rPr>
          <w:rFonts w:ascii="Times New Roman" w:eastAsia="Times New Roman" w:hAnsi="Times New Roman" w:cs="Times New Roman"/>
          <w:b/>
          <w:color w:val="333333"/>
          <w:spacing w:val="2"/>
          <w:sz w:val="24"/>
          <w:szCs w:val="24"/>
          <w:lang w:val="en-US" w:eastAsia="it-IT"/>
        </w:rPr>
        <w:t>References</w:t>
      </w:r>
    </w:p>
    <w:p w:rsidR="00BB79C5" w:rsidRPr="00BB79C5" w:rsidRDefault="00BB79C5" w:rsidP="00BB79C5">
      <w:pPr>
        <w:pStyle w:val="Paragrafoelenco"/>
        <w:numPr>
          <w:ilvl w:val="0"/>
          <w:numId w:val="2"/>
        </w:numPr>
        <w:shd w:val="clear" w:color="auto" w:fill="FCFCFC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Pea F,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Viale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P,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Cojutti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P, Del Pin B,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Zamparini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E,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Furlanut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M (2012) Therapeutic drug monitoring may improve safety outcomes of long-term treatment with linezolid in adult patients. J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Antimicrob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Chemother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67(8):2034–2042.  </w:t>
      </w:r>
    </w:p>
    <w:p w:rsidR="00BB79C5" w:rsidRPr="00BB79C5" w:rsidRDefault="00BB79C5" w:rsidP="00BB79C5">
      <w:pPr>
        <w:pStyle w:val="Paragrafoelenco"/>
        <w:numPr>
          <w:ilvl w:val="0"/>
          <w:numId w:val="2"/>
        </w:numPr>
        <w:shd w:val="clear" w:color="auto" w:fill="FCFCFC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Pea F,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Viale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P,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Cojutti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P,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Furlanut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M (2012) Dosing nomograms for attaining optimum concentrations of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by continuous infusion in critically ill patients with severe gram-negative infections: a pharmacokinetics/pharmacodynamics-based approach.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Antimicrob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Agents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Chemother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56(12):6343–6348.  </w:t>
      </w:r>
    </w:p>
    <w:p w:rsidR="00BB79C5" w:rsidRPr="00BB79C5" w:rsidRDefault="00BB79C5" w:rsidP="00BB79C5">
      <w:pPr>
        <w:pStyle w:val="Paragrafoelenco"/>
        <w:numPr>
          <w:ilvl w:val="0"/>
          <w:numId w:val="2"/>
        </w:numPr>
        <w:shd w:val="clear" w:color="auto" w:fill="FCFCFC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Carrie C, Petit L,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D'Houdain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N,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Sauvage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N,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Cottenceau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V, Lafitte M,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Foumenteze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C,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Hisz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Q, Menu D,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Legeron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R,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Breilh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D,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Sztark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F (2017) Association between augmented renal clearance, antibiotic exposure and clinical outcome in critically ill septic patients receiving high doses of beta-lactams administered by continuous infusion. </w:t>
      </w:r>
      <w:proofErr w:type="gram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a</w:t>
      </w:r>
      <w:proofErr w:type="gram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prospective observational study.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Int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J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Antimicrob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Agents </w:t>
      </w:r>
    </w:p>
    <w:p w:rsidR="00BB79C5" w:rsidRPr="00BB79C5" w:rsidRDefault="00BB79C5" w:rsidP="00CD522E">
      <w:pPr>
        <w:pStyle w:val="Paragrafoelenco"/>
        <w:numPr>
          <w:ilvl w:val="0"/>
          <w:numId w:val="2"/>
        </w:numPr>
        <w:shd w:val="clear" w:color="auto" w:fill="FCFCFC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eastAsia="it-IT"/>
        </w:rPr>
      </w:pP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MacGowan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AP (2003) Pharmacokinetic and pharmacodynamic profile of linezolid in healthy volunteers and patients with Gram-positive infections. J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Antimicrob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Chemother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51(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Suppl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2):ii17–ii25.  </w:t>
      </w:r>
    </w:p>
    <w:p w:rsidR="00BB79C5" w:rsidRPr="00BB79C5" w:rsidRDefault="00BB79C5" w:rsidP="00E90674">
      <w:pPr>
        <w:pStyle w:val="Paragrafoelenco"/>
        <w:numPr>
          <w:ilvl w:val="0"/>
          <w:numId w:val="2"/>
        </w:numPr>
        <w:shd w:val="clear" w:color="auto" w:fill="FCFCFC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Kees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MG,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Minichmayr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IK, Moritz S, Beck S,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Wicha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SG,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Kees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F,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Kloft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C, Steinke T (2016) Population pharmacokinetics of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during continuous infusion in surgical ICU patients. J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Clin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Pharmacol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56(3):307–315.   </w:t>
      </w:r>
    </w:p>
    <w:p w:rsidR="00BB79C5" w:rsidRPr="00BB79C5" w:rsidRDefault="00BB79C5" w:rsidP="00BB79C5">
      <w:pPr>
        <w:pStyle w:val="Paragrafoelenco"/>
        <w:numPr>
          <w:ilvl w:val="0"/>
          <w:numId w:val="2"/>
        </w:numPr>
        <w:shd w:val="clear" w:color="auto" w:fill="FCFCFC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Cojutti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P, Sartor A,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Righi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E,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Scarparo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C,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Bassetti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M, Pea F (2017) Population pharmacokinetics of high-dose continuous-infusion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meropenem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and considerations for use in the treatment of infections due to KPC-producing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Klebsiella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pneumoniae.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Antimicrob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Agents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Chemother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61(10):e00794–e00717.  </w:t>
      </w:r>
    </w:p>
    <w:p w:rsidR="00BB79C5" w:rsidRPr="00AD5CF7" w:rsidRDefault="00BB79C5" w:rsidP="000D2965">
      <w:pPr>
        <w:pStyle w:val="Paragrafoelenco"/>
        <w:numPr>
          <w:ilvl w:val="0"/>
          <w:numId w:val="2"/>
        </w:numPr>
        <w:shd w:val="clear" w:color="auto" w:fill="FCFCFC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Neely MN, van Guilder MG, Yamada WM, </w:t>
      </w:r>
      <w:proofErr w:type="spellStart"/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Schumitzky</w:t>
      </w:r>
      <w:proofErr w:type="spellEnd"/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A, </w:t>
      </w:r>
      <w:proofErr w:type="spellStart"/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Jelliffe</w:t>
      </w:r>
      <w:proofErr w:type="spellEnd"/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RW (2012) Accurate detection of outliers and subpopulations with </w:t>
      </w:r>
      <w:proofErr w:type="spellStart"/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Pmetrics</w:t>
      </w:r>
      <w:proofErr w:type="spellEnd"/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, a nonparametric and parametric </w:t>
      </w:r>
      <w:proofErr w:type="spellStart"/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pharmacometric</w:t>
      </w:r>
      <w:proofErr w:type="spellEnd"/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modeling and simulation package for R. </w:t>
      </w:r>
      <w:proofErr w:type="spellStart"/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Ther</w:t>
      </w:r>
      <w:proofErr w:type="spellEnd"/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Drug </w:t>
      </w:r>
      <w:proofErr w:type="spellStart"/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Monit</w:t>
      </w:r>
      <w:proofErr w:type="spellEnd"/>
      <w:r w:rsidRPr="00AD5CF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34(4):467–476.  </w:t>
      </w:r>
    </w:p>
    <w:p w:rsidR="00BB79C5" w:rsidRDefault="00BB79C5" w:rsidP="009A2558">
      <w:pPr>
        <w:pStyle w:val="Paragrafoelenco"/>
        <w:numPr>
          <w:ilvl w:val="0"/>
          <w:numId w:val="2"/>
        </w:numPr>
        <w:shd w:val="clear" w:color="auto" w:fill="FCFCFC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May CC, Arora S,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Parli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SE, Fraser JF,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Bastin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MT, Cook AM (2015) Augmented renal clearance in patients with subarachnoid hemorrhage.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Neurocrit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Care 23(3):374–379. </w:t>
      </w:r>
    </w:p>
    <w:p w:rsidR="00BB79C5" w:rsidRDefault="00BB79C5" w:rsidP="008E6258">
      <w:pPr>
        <w:pStyle w:val="Paragrafoelenco"/>
        <w:numPr>
          <w:ilvl w:val="0"/>
          <w:numId w:val="2"/>
        </w:numPr>
        <w:shd w:val="clear" w:color="auto" w:fill="FCFCFC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Carrie C,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Bentejac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M,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Cottenceau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V, Masson F, Petit L,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Cochard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JF,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Sztark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F (2018) Association between augmented renal clearance and clinical failure of antibiotic treatment in brain-injured patients with ventilator-acquired pneumonia: a preliminary study.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Anaesth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Crit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Care Pain Med 37(1):35–41.</w:t>
      </w:r>
    </w:p>
    <w:p w:rsidR="00BB79C5" w:rsidRDefault="00BB79C5" w:rsidP="00F83188">
      <w:pPr>
        <w:pStyle w:val="Paragrafoelenco"/>
        <w:numPr>
          <w:ilvl w:val="0"/>
          <w:numId w:val="2"/>
        </w:numPr>
        <w:shd w:val="clear" w:color="auto" w:fill="FCFCFC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Tang Y, Kong L, Wu C, Zhang X, Lu G, Wu X (2017) Pharmacokinetics of linezolid in plasma and cerebrospinal fluid in patients with cerebral hemorrhage post-surgical intervention.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Eur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J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Clin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</w:t>
      </w:r>
      <w:proofErr w:type="spellStart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>Pharmacol</w:t>
      </w:r>
      <w:proofErr w:type="spellEnd"/>
      <w:r w:rsidRPr="00BB79C5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t xml:space="preserve"> 73(7):919–921.   </w:t>
      </w:r>
    </w:p>
    <w:p w:rsidR="00AD5CF7" w:rsidRDefault="00AD5CF7">
      <w:pP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br w:type="page"/>
      </w:r>
    </w:p>
    <w:p w:rsidR="00AD5CF7" w:rsidRDefault="00AD5CF7">
      <w:pP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sectPr w:rsidR="00AD5CF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pPr w:leftFromText="141" w:rightFromText="141" w:vertAnchor="page" w:horzAnchor="margin" w:tblpY="1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9"/>
        <w:gridCol w:w="1743"/>
        <w:gridCol w:w="2149"/>
        <w:gridCol w:w="222"/>
        <w:gridCol w:w="1743"/>
        <w:gridCol w:w="2636"/>
        <w:gridCol w:w="2149"/>
      </w:tblGrid>
      <w:tr w:rsidR="00AD5CF7" w:rsidRPr="00AD5CF7" w:rsidTr="007974DE">
        <w:trPr>
          <w:trHeight w:val="638"/>
        </w:trPr>
        <w:tc>
          <w:tcPr>
            <w:tcW w:w="0" w:type="auto"/>
            <w:gridSpan w:val="7"/>
            <w:tcBorders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 1.</w:t>
            </w:r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Mean linezolid and </w:t>
            </w:r>
            <w:proofErr w:type="spellStart"/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meropenem</w:t>
            </w:r>
            <w:proofErr w:type="spellEnd"/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clearance in the described patient compared to previously reported data</w:t>
            </w:r>
          </w:p>
        </w:tc>
      </w:tr>
      <w:tr w:rsidR="00AD5CF7" w:rsidRPr="00E830BE" w:rsidTr="007974DE">
        <w:trPr>
          <w:trHeight w:val="63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Pharmacokinetic parameter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Linezolid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24h-CI </w:t>
            </w:r>
            <w:proofErr w:type="spellStart"/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meropenem</w:t>
            </w:r>
            <w:proofErr w:type="spellEnd"/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AD5CF7" w:rsidRPr="00E830BE" w:rsidTr="007974DE">
        <w:trPr>
          <w:trHeight w:val="638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 reported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Healthy subjects [4]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 reported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Surgical ICU patients [5]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Medical patients [6] </w:t>
            </w:r>
          </w:p>
        </w:tc>
      </w:tr>
      <w:tr w:rsidR="00AD5CF7" w:rsidRPr="00E830BE" w:rsidTr="007974DE">
        <w:trPr>
          <w:trHeight w:val="63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 (L/h)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CF7" w:rsidRPr="00E830BE" w:rsidRDefault="00AD5CF7" w:rsidP="007974D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4.43</w:t>
            </w:r>
          </w:p>
        </w:tc>
      </w:tr>
      <w:tr w:rsidR="00AD5CF7" w:rsidRPr="00AD5CF7" w:rsidTr="007974DE">
        <w:trPr>
          <w:trHeight w:val="638"/>
        </w:trPr>
        <w:tc>
          <w:tcPr>
            <w:tcW w:w="0" w:type="auto"/>
            <w:gridSpan w:val="7"/>
            <w:tcBorders>
              <w:top w:val="single" w:sz="4" w:space="0" w:color="auto"/>
            </w:tcBorders>
            <w:vAlign w:val="center"/>
          </w:tcPr>
          <w:p w:rsidR="00AD5CF7" w:rsidRPr="00CF5DE4" w:rsidRDefault="00AD5CF7" w:rsidP="007974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5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*Data during CI are lacking in healthy subjects</w:t>
            </w:r>
          </w:p>
        </w:tc>
      </w:tr>
    </w:tbl>
    <w:p w:rsidR="00AD5CF7" w:rsidRDefault="00AD5CF7">
      <w:pP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en-US" w:eastAsia="it-IT"/>
        </w:rPr>
        <w:sectPr w:rsidR="00AD5CF7" w:rsidSect="00AD5CF7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:rsidR="00FF617C" w:rsidRPr="00B07F33" w:rsidRDefault="00FF617C" w:rsidP="00AD5CF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F617C" w:rsidRPr="00B07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582E"/>
    <w:multiLevelType w:val="multilevel"/>
    <w:tmpl w:val="28AA7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91678"/>
    <w:multiLevelType w:val="hybridMultilevel"/>
    <w:tmpl w:val="4B603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33"/>
    <w:rsid w:val="009A6E90"/>
    <w:rsid w:val="00AD5CF7"/>
    <w:rsid w:val="00B07F33"/>
    <w:rsid w:val="00BB79C5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0CCA78-2A2B-458D-98A4-02B6B258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">
    <w:name w:val="para"/>
    <w:basedOn w:val="Normale"/>
    <w:rsid w:val="00B0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ref">
    <w:name w:val="citationref"/>
    <w:basedOn w:val="Carpredefinitoparagrafo"/>
    <w:rsid w:val="00B07F33"/>
  </w:style>
  <w:style w:type="character" w:styleId="Collegamentoipertestuale">
    <w:name w:val="Hyperlink"/>
    <w:basedOn w:val="Carpredefinitoparagrafo"/>
    <w:uiPriority w:val="99"/>
    <w:semiHidden/>
    <w:unhideWhenUsed/>
    <w:rsid w:val="00B07F33"/>
    <w:rPr>
      <w:color w:val="0000FF"/>
      <w:u w:val="single"/>
    </w:rPr>
  </w:style>
  <w:style w:type="character" w:customStyle="1" w:styleId="internalref">
    <w:name w:val="internalref"/>
    <w:basedOn w:val="Carpredefinitoparagrafo"/>
    <w:rsid w:val="00B07F33"/>
  </w:style>
  <w:style w:type="character" w:customStyle="1" w:styleId="captionnumber">
    <w:name w:val="captionnumber"/>
    <w:basedOn w:val="Carpredefinitoparagrafo"/>
    <w:rsid w:val="00B07F33"/>
  </w:style>
  <w:style w:type="paragraph" w:customStyle="1" w:styleId="simplepara">
    <w:name w:val="simplepara"/>
    <w:basedOn w:val="Normale"/>
    <w:rsid w:val="00B0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xternalref">
    <w:name w:val="externalref"/>
    <w:basedOn w:val="Carpredefinitoparagrafo"/>
    <w:rsid w:val="00BB79C5"/>
  </w:style>
  <w:style w:type="character" w:customStyle="1" w:styleId="refsource">
    <w:name w:val="refsource"/>
    <w:basedOn w:val="Carpredefinitoparagrafo"/>
    <w:rsid w:val="00BB79C5"/>
  </w:style>
  <w:style w:type="character" w:customStyle="1" w:styleId="occurrence">
    <w:name w:val="occurrence"/>
    <w:basedOn w:val="Carpredefinitoparagrafo"/>
    <w:rsid w:val="00BB79C5"/>
  </w:style>
  <w:style w:type="paragraph" w:styleId="Paragrafoelenco">
    <w:name w:val="List Paragraph"/>
    <w:basedOn w:val="Normale"/>
    <w:uiPriority w:val="34"/>
    <w:qFormat/>
    <w:rsid w:val="00BB79C5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5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283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96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98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56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21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95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18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100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54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36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499">
          <w:marLeft w:val="0"/>
          <w:marRight w:val="0"/>
          <w:marTop w:val="24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5212">
              <w:marLeft w:val="-240"/>
              <w:marRight w:val="0"/>
              <w:marTop w:val="240"/>
              <w:marBottom w:val="240"/>
              <w:divBdr>
                <w:top w:val="single" w:sz="6" w:space="9" w:color="CCCCCC"/>
                <w:left w:val="single" w:sz="6" w:space="9" w:color="CCCCCC"/>
                <w:bottom w:val="single" w:sz="6" w:space="9" w:color="CCCCCC"/>
                <w:right w:val="single" w:sz="6" w:space="9" w:color="CCCCCC"/>
              </w:divBdr>
              <w:divsChild>
                <w:div w:id="6273240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118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%2Fs00228-018-2465-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%2Fs00228-018-2465-x" TargetMode="External"/><Relationship Id="rId12" Type="http://schemas.openxmlformats.org/officeDocument/2006/relationships/hyperlink" Target="https://link.springer.com/article/10.1007%2Fs00228-018-2465-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article/10.1007%2Fs00228-018-2465-x" TargetMode="External"/><Relationship Id="rId11" Type="http://schemas.openxmlformats.org/officeDocument/2006/relationships/hyperlink" Target="https://link.springer.com/article/10.1007%2Fs00228-018-2465-x" TargetMode="External"/><Relationship Id="rId5" Type="http://schemas.openxmlformats.org/officeDocument/2006/relationships/hyperlink" Target="https://link.springer.com/article/10.1007%2Fs00228-018-2465-x" TargetMode="External"/><Relationship Id="rId10" Type="http://schemas.openxmlformats.org/officeDocument/2006/relationships/hyperlink" Target="https://link.springer.com/article/10.1007%2Fs00228-018-2465-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%2Fs00228-018-2465-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2018-05-15T08:39:00Z</dcterms:created>
  <dcterms:modified xsi:type="dcterms:W3CDTF">2018-05-15T09:12:00Z</dcterms:modified>
</cp:coreProperties>
</file>