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5764D" w14:textId="1DE269A3" w:rsidR="00370667" w:rsidRDefault="001C5F50" w:rsidP="001C5F50">
      <w:pPr>
        <w:spacing w:after="0" w:line="240" w:lineRule="auto"/>
        <w:jc w:val="both"/>
        <w:rPr>
          <w:rFonts w:ascii="Palatino Linotype" w:hAnsi="Palatino Linotype"/>
          <w:b/>
          <w:sz w:val="32"/>
          <w:szCs w:val="24"/>
        </w:rPr>
      </w:pPr>
      <w:r>
        <w:rPr>
          <w:rFonts w:ascii="Palatino Linotype" w:hAnsi="Palatino Linotype"/>
          <w:b/>
          <w:sz w:val="32"/>
          <w:szCs w:val="24"/>
        </w:rPr>
        <w:t xml:space="preserve">Thomas Horsley: </w:t>
      </w:r>
      <w:r w:rsidR="00D443F2" w:rsidRPr="007225A9">
        <w:rPr>
          <w:rFonts w:ascii="Palatino Linotype" w:hAnsi="Palatino Linotype"/>
          <w:b/>
          <w:sz w:val="32"/>
          <w:szCs w:val="24"/>
        </w:rPr>
        <w:t>UK Courts</w:t>
      </w:r>
      <w:r w:rsidR="00390D37" w:rsidRPr="00390D37">
        <w:rPr>
          <w:rFonts w:ascii="Palatino Linotype" w:hAnsi="Palatino Linotype"/>
          <w:b/>
          <w:sz w:val="32"/>
          <w:szCs w:val="24"/>
        </w:rPr>
        <w:t xml:space="preserve"> </w:t>
      </w:r>
      <w:r w:rsidR="00390D37">
        <w:rPr>
          <w:rFonts w:ascii="Palatino Linotype" w:hAnsi="Palatino Linotype"/>
          <w:b/>
          <w:sz w:val="32"/>
          <w:szCs w:val="24"/>
        </w:rPr>
        <w:t>and the Great Repeal Bill</w:t>
      </w:r>
      <w:r>
        <w:rPr>
          <w:rFonts w:ascii="Palatino Linotype" w:hAnsi="Palatino Linotype"/>
          <w:b/>
          <w:sz w:val="32"/>
          <w:szCs w:val="24"/>
        </w:rPr>
        <w:t xml:space="preserve"> –</w:t>
      </w:r>
      <w:proofErr w:type="gramStart"/>
      <w:r w:rsidR="002B1A86">
        <w:rPr>
          <w:rFonts w:ascii="Palatino Linotype" w:hAnsi="Palatino Linotype"/>
          <w:b/>
          <w:sz w:val="32"/>
          <w:szCs w:val="24"/>
        </w:rPr>
        <w:t>Awaiting</w:t>
      </w:r>
      <w:proofErr w:type="gramEnd"/>
      <w:r w:rsidR="00370667">
        <w:rPr>
          <w:rFonts w:ascii="Palatino Linotype" w:hAnsi="Palatino Linotype"/>
          <w:b/>
          <w:sz w:val="32"/>
          <w:szCs w:val="24"/>
        </w:rPr>
        <w:t xml:space="preserve"> </w:t>
      </w:r>
      <w:r w:rsidR="008C62C9">
        <w:rPr>
          <w:rFonts w:ascii="Palatino Linotype" w:hAnsi="Palatino Linotype"/>
          <w:b/>
          <w:sz w:val="32"/>
          <w:szCs w:val="24"/>
        </w:rPr>
        <w:t>Fresh</w:t>
      </w:r>
      <w:r w:rsidR="00370667">
        <w:rPr>
          <w:rFonts w:ascii="Palatino Linotype" w:hAnsi="Palatino Linotype"/>
          <w:b/>
          <w:sz w:val="32"/>
          <w:szCs w:val="24"/>
        </w:rPr>
        <w:t xml:space="preserve"> Instruction</w:t>
      </w:r>
    </w:p>
    <w:p w14:paraId="3F986CBB" w14:textId="77777777" w:rsidR="002E3CB6" w:rsidRDefault="002E3CB6" w:rsidP="002E3CB6">
      <w:pPr>
        <w:spacing w:line="360" w:lineRule="auto"/>
        <w:jc w:val="both"/>
        <w:rPr>
          <w:rFonts w:ascii="Palatino Linotype" w:eastAsia="Calibri" w:hAnsi="Palatino Linotype" w:cs="Times New Roman"/>
          <w:sz w:val="24"/>
          <w:szCs w:val="24"/>
        </w:rPr>
      </w:pPr>
    </w:p>
    <w:p w14:paraId="15104666" w14:textId="4F26AD34" w:rsidR="0043299A" w:rsidRDefault="00912457" w:rsidP="0043299A">
      <w:pPr>
        <w:spacing w:line="360" w:lineRule="auto"/>
        <w:jc w:val="both"/>
        <w:rPr>
          <w:rFonts w:ascii="Palatino Linotype" w:hAnsi="Palatino Linotype"/>
          <w:sz w:val="24"/>
          <w:szCs w:val="24"/>
        </w:rPr>
      </w:pPr>
      <w:r>
        <w:rPr>
          <w:rFonts w:ascii="Palatino Linotype" w:hAnsi="Palatino Linotype"/>
          <w:sz w:val="24"/>
          <w:szCs w:val="24"/>
        </w:rPr>
        <w:t xml:space="preserve">The UK Government’s announcement that it intends to repeal the </w:t>
      </w:r>
      <w:hyperlink r:id="rId7" w:history="1">
        <w:r w:rsidRPr="00964FCD">
          <w:rPr>
            <w:rStyle w:val="Hyperlink"/>
            <w:rFonts w:ascii="Palatino Linotype" w:eastAsia="Calibri" w:hAnsi="Palatino Linotype" w:cs="Times New Roman"/>
            <w:sz w:val="24"/>
            <w:szCs w:val="24"/>
          </w:rPr>
          <w:t>European Communities Act 1972</w:t>
        </w:r>
      </w:hyperlink>
      <w:r>
        <w:rPr>
          <w:rFonts w:ascii="Palatino Linotype" w:eastAsia="Calibri" w:hAnsi="Palatino Linotype" w:cs="Times New Roman"/>
          <w:sz w:val="24"/>
          <w:szCs w:val="24"/>
        </w:rPr>
        <w:t xml:space="preserve"> </w:t>
      </w:r>
      <w:r w:rsidR="008C62C9">
        <w:rPr>
          <w:rFonts w:ascii="Palatino Linotype" w:eastAsia="Calibri" w:hAnsi="Palatino Linotype" w:cs="Times New Roman"/>
          <w:sz w:val="24"/>
          <w:szCs w:val="24"/>
        </w:rPr>
        <w:t xml:space="preserve">(ECA) </w:t>
      </w:r>
      <w:r>
        <w:rPr>
          <w:rFonts w:ascii="Palatino Linotype" w:eastAsia="Calibri" w:hAnsi="Palatino Linotype" w:cs="Times New Roman"/>
          <w:sz w:val="24"/>
          <w:szCs w:val="24"/>
        </w:rPr>
        <w:t>through the Great Repeal Bill raises the prospect of far-reaching changes to the</w:t>
      </w:r>
      <w:r w:rsidR="00A03515">
        <w:rPr>
          <w:rFonts w:ascii="Palatino Linotype" w:eastAsia="Calibri" w:hAnsi="Palatino Linotype" w:cs="Times New Roman"/>
          <w:sz w:val="24"/>
          <w:szCs w:val="24"/>
        </w:rPr>
        <w:t xml:space="preserve"> </w:t>
      </w:r>
      <w:r w:rsidR="00262222">
        <w:rPr>
          <w:rFonts w:ascii="Palatino Linotype" w:eastAsia="Calibri" w:hAnsi="Palatino Linotype" w:cs="Times New Roman"/>
          <w:sz w:val="24"/>
          <w:szCs w:val="24"/>
        </w:rPr>
        <w:t>institutional</w:t>
      </w:r>
      <w:r>
        <w:rPr>
          <w:rFonts w:ascii="Palatino Linotype" w:eastAsia="Calibri" w:hAnsi="Palatino Linotype" w:cs="Times New Roman"/>
          <w:sz w:val="24"/>
          <w:szCs w:val="24"/>
        </w:rPr>
        <w:t xml:space="preserve"> role of UK courts</w:t>
      </w:r>
      <w:r w:rsidR="0043299A">
        <w:rPr>
          <w:rFonts w:ascii="Palatino Linotype" w:eastAsia="Calibri" w:hAnsi="Palatino Linotype" w:cs="Times New Roman"/>
          <w:sz w:val="24"/>
          <w:szCs w:val="24"/>
        </w:rPr>
        <w:t xml:space="preserve"> within the domestic legal order. </w:t>
      </w:r>
      <w:r w:rsidR="0043299A" w:rsidRPr="006E77F3">
        <w:rPr>
          <w:rFonts w:ascii="Palatino Linotype" w:hAnsi="Palatino Linotype"/>
          <w:sz w:val="24"/>
          <w:szCs w:val="24"/>
        </w:rPr>
        <w:t xml:space="preserve">For the duration of the UK’s membership of the (now) European Union, </w:t>
      </w:r>
      <w:r w:rsidR="008C62C9">
        <w:rPr>
          <w:rFonts w:ascii="Palatino Linotype" w:hAnsi="Palatino Linotype"/>
          <w:sz w:val="24"/>
          <w:szCs w:val="24"/>
        </w:rPr>
        <w:t>the ECA</w:t>
      </w:r>
      <w:r w:rsidR="0043299A" w:rsidRPr="006E77F3">
        <w:rPr>
          <w:rFonts w:ascii="Palatino Linotype" w:hAnsi="Palatino Linotype"/>
          <w:sz w:val="24"/>
          <w:szCs w:val="24"/>
        </w:rPr>
        <w:t xml:space="preserve"> has functioned as the</w:t>
      </w:r>
      <w:r w:rsidR="009D4258">
        <w:rPr>
          <w:rFonts w:ascii="Palatino Linotype" w:hAnsi="Palatino Linotype"/>
          <w:sz w:val="24"/>
          <w:szCs w:val="24"/>
        </w:rPr>
        <w:t xml:space="preserve"> </w:t>
      </w:r>
      <w:r w:rsidR="0043299A" w:rsidRPr="006E77F3">
        <w:rPr>
          <w:rFonts w:ascii="Palatino Linotype" w:hAnsi="Palatino Linotype"/>
          <w:sz w:val="24"/>
          <w:szCs w:val="24"/>
        </w:rPr>
        <w:t>source</w:t>
      </w:r>
      <w:r w:rsidR="0043299A">
        <w:rPr>
          <w:rFonts w:ascii="Palatino Linotype" w:hAnsi="Palatino Linotype"/>
          <w:sz w:val="24"/>
          <w:szCs w:val="24"/>
        </w:rPr>
        <w:t xml:space="preserve"> of the domestic constitutional instruction to </w:t>
      </w:r>
      <w:r w:rsidR="00A03515">
        <w:rPr>
          <w:rFonts w:ascii="Palatino Linotype" w:hAnsi="Palatino Linotype"/>
          <w:sz w:val="24"/>
          <w:szCs w:val="24"/>
        </w:rPr>
        <w:t>national</w:t>
      </w:r>
      <w:r w:rsidR="0043299A">
        <w:rPr>
          <w:rFonts w:ascii="Palatino Linotype" w:hAnsi="Palatino Linotype"/>
          <w:sz w:val="24"/>
          <w:szCs w:val="24"/>
        </w:rPr>
        <w:t xml:space="preserve"> courts to give internal effect to EU law in proceedings falling within the scope of Union law. </w:t>
      </w:r>
      <w:r w:rsidR="00A52E30">
        <w:rPr>
          <w:rFonts w:ascii="Palatino Linotype" w:hAnsi="Palatino Linotype"/>
          <w:sz w:val="24"/>
          <w:szCs w:val="24"/>
        </w:rPr>
        <w:t xml:space="preserve">As this post </w:t>
      </w:r>
      <w:r w:rsidR="00473D14">
        <w:rPr>
          <w:rFonts w:ascii="Palatino Linotype" w:hAnsi="Palatino Linotype"/>
          <w:sz w:val="24"/>
          <w:szCs w:val="24"/>
        </w:rPr>
        <w:t>highlights</w:t>
      </w:r>
      <w:r w:rsidR="00A52E30">
        <w:rPr>
          <w:rFonts w:ascii="Palatino Linotype" w:hAnsi="Palatino Linotype"/>
          <w:sz w:val="24"/>
          <w:szCs w:val="24"/>
        </w:rPr>
        <w:t xml:space="preserve">, </w:t>
      </w:r>
      <w:r w:rsidR="0043299A">
        <w:rPr>
          <w:rFonts w:ascii="Palatino Linotype" w:hAnsi="Palatino Linotype"/>
          <w:sz w:val="24"/>
          <w:szCs w:val="24"/>
        </w:rPr>
        <w:t>w</w:t>
      </w:r>
      <w:r w:rsidR="0043299A" w:rsidRPr="001D7D58">
        <w:rPr>
          <w:rFonts w:ascii="Palatino Linotype" w:hAnsi="Palatino Linotype"/>
          <w:sz w:val="24"/>
          <w:szCs w:val="24"/>
        </w:rPr>
        <w:t>hat replaces that Act – and, more precisely, the terms of Parliament’s new instruction</w:t>
      </w:r>
      <w:r w:rsidR="00473D14">
        <w:rPr>
          <w:rFonts w:ascii="Palatino Linotype" w:hAnsi="Palatino Linotype"/>
          <w:sz w:val="24"/>
          <w:szCs w:val="24"/>
        </w:rPr>
        <w:t xml:space="preserve"> to UK courts</w:t>
      </w:r>
      <w:r w:rsidR="0043299A" w:rsidRPr="001D7D58">
        <w:rPr>
          <w:rFonts w:ascii="Palatino Linotype" w:hAnsi="Palatino Linotype"/>
          <w:sz w:val="24"/>
          <w:szCs w:val="24"/>
        </w:rPr>
        <w:t xml:space="preserve"> (where provided) – </w:t>
      </w:r>
      <w:r w:rsidR="0043299A">
        <w:rPr>
          <w:rFonts w:ascii="Palatino Linotype" w:hAnsi="Palatino Linotype"/>
          <w:sz w:val="24"/>
          <w:szCs w:val="24"/>
        </w:rPr>
        <w:t xml:space="preserve">is </w:t>
      </w:r>
      <w:r w:rsidR="000E41AC">
        <w:rPr>
          <w:rFonts w:ascii="Palatino Linotype" w:hAnsi="Palatino Linotype"/>
          <w:sz w:val="24"/>
          <w:szCs w:val="24"/>
        </w:rPr>
        <w:t>a</w:t>
      </w:r>
      <w:r w:rsidR="009D4258">
        <w:rPr>
          <w:rFonts w:ascii="Palatino Linotype" w:hAnsi="Palatino Linotype"/>
          <w:sz w:val="24"/>
          <w:szCs w:val="24"/>
        </w:rPr>
        <w:t>n absolutely</w:t>
      </w:r>
      <w:r w:rsidR="000E41AC">
        <w:rPr>
          <w:rFonts w:ascii="Palatino Linotype" w:hAnsi="Palatino Linotype"/>
          <w:sz w:val="24"/>
          <w:szCs w:val="24"/>
        </w:rPr>
        <w:t xml:space="preserve"> </w:t>
      </w:r>
      <w:r w:rsidR="0043299A" w:rsidRPr="001D7D58">
        <w:rPr>
          <w:rFonts w:ascii="Palatino Linotype" w:hAnsi="Palatino Linotype"/>
          <w:sz w:val="24"/>
          <w:szCs w:val="24"/>
        </w:rPr>
        <w:t xml:space="preserve">critical issue </w:t>
      </w:r>
      <w:r w:rsidR="0029511D">
        <w:rPr>
          <w:rFonts w:ascii="Palatino Linotype" w:hAnsi="Palatino Linotype"/>
          <w:sz w:val="24"/>
          <w:szCs w:val="24"/>
        </w:rPr>
        <w:t>when</w:t>
      </w:r>
      <w:r w:rsidR="00473D14">
        <w:rPr>
          <w:rFonts w:ascii="Palatino Linotype" w:hAnsi="Palatino Linotype"/>
          <w:sz w:val="24"/>
          <w:szCs w:val="24"/>
        </w:rPr>
        <w:t xml:space="preserve"> drafting the </w:t>
      </w:r>
      <w:r w:rsidR="00473D14">
        <w:rPr>
          <w:rFonts w:ascii="Palatino Linotype" w:eastAsia="Calibri" w:hAnsi="Palatino Linotype" w:cs="Times New Roman"/>
          <w:sz w:val="24"/>
          <w:szCs w:val="24"/>
        </w:rPr>
        <w:t xml:space="preserve">Great Repeal Bill. </w:t>
      </w:r>
      <w:r w:rsidR="00473D14">
        <w:rPr>
          <w:rFonts w:ascii="Palatino Linotype" w:hAnsi="Palatino Linotype"/>
          <w:sz w:val="24"/>
          <w:szCs w:val="24"/>
        </w:rPr>
        <w:t xml:space="preserve">It is also, in the first instance, a </w:t>
      </w:r>
      <w:r w:rsidR="00473D14" w:rsidRPr="00473D14">
        <w:rPr>
          <w:rFonts w:ascii="Palatino Linotype" w:hAnsi="Palatino Linotype"/>
          <w:sz w:val="24"/>
          <w:szCs w:val="24"/>
        </w:rPr>
        <w:t>political</w:t>
      </w:r>
      <w:r w:rsidR="000E41AC">
        <w:rPr>
          <w:rFonts w:ascii="Palatino Linotype" w:hAnsi="Palatino Linotype"/>
          <w:sz w:val="24"/>
          <w:szCs w:val="24"/>
        </w:rPr>
        <w:t xml:space="preserve"> decision for Parliament or, perhaps more accurately, the Government acting through Parliament.</w:t>
      </w:r>
    </w:p>
    <w:p w14:paraId="7D6915F9" w14:textId="77777777" w:rsidR="00514A16" w:rsidRDefault="00514A16" w:rsidP="0043299A">
      <w:pPr>
        <w:spacing w:line="360" w:lineRule="auto"/>
        <w:jc w:val="both"/>
        <w:rPr>
          <w:rFonts w:ascii="Palatino Linotype" w:hAnsi="Palatino Linotype"/>
          <w:sz w:val="24"/>
          <w:szCs w:val="24"/>
        </w:rPr>
      </w:pPr>
    </w:p>
    <w:p w14:paraId="6FF51BB3" w14:textId="2FA0B5ED" w:rsidR="00514A16" w:rsidRDefault="00AD2E8D" w:rsidP="0043299A">
      <w:pPr>
        <w:spacing w:line="360" w:lineRule="auto"/>
        <w:jc w:val="both"/>
        <w:rPr>
          <w:rFonts w:ascii="Palatino Linotype" w:hAnsi="Palatino Linotype"/>
          <w:b/>
          <w:sz w:val="24"/>
          <w:szCs w:val="24"/>
        </w:rPr>
      </w:pPr>
      <w:r>
        <w:rPr>
          <w:rFonts w:ascii="Palatino Linotype" w:hAnsi="Palatino Linotype"/>
          <w:b/>
          <w:sz w:val="24"/>
          <w:szCs w:val="24"/>
        </w:rPr>
        <w:t>The</w:t>
      </w:r>
      <w:r w:rsidR="00A03515">
        <w:rPr>
          <w:rFonts w:ascii="Palatino Linotype" w:hAnsi="Palatino Linotype"/>
          <w:b/>
          <w:sz w:val="24"/>
          <w:szCs w:val="24"/>
        </w:rPr>
        <w:t xml:space="preserve"> Current Instruction</w:t>
      </w:r>
      <w:r w:rsidR="008C62C9">
        <w:rPr>
          <w:rFonts w:ascii="Palatino Linotype" w:hAnsi="Palatino Linotype"/>
          <w:b/>
          <w:sz w:val="24"/>
          <w:szCs w:val="24"/>
        </w:rPr>
        <w:t>:</w:t>
      </w:r>
      <w:r w:rsidR="008C62C9" w:rsidRPr="008C62C9">
        <w:rPr>
          <w:rFonts w:ascii="Palatino Linotype" w:hAnsi="Palatino Linotype"/>
          <w:b/>
          <w:sz w:val="24"/>
          <w:szCs w:val="24"/>
        </w:rPr>
        <w:t xml:space="preserve"> </w:t>
      </w:r>
      <w:r w:rsidR="008C62C9">
        <w:rPr>
          <w:rFonts w:ascii="Palatino Linotype" w:hAnsi="Palatino Linotype"/>
          <w:b/>
          <w:sz w:val="24"/>
          <w:szCs w:val="24"/>
        </w:rPr>
        <w:t xml:space="preserve">The European Communities Act 1972 </w:t>
      </w:r>
    </w:p>
    <w:p w14:paraId="398C808F" w14:textId="5DADB189" w:rsidR="00514A16" w:rsidRPr="00514A16" w:rsidRDefault="00514A16" w:rsidP="00514A16">
      <w:pPr>
        <w:spacing w:line="360" w:lineRule="auto"/>
        <w:jc w:val="both"/>
        <w:rPr>
          <w:rFonts w:ascii="Palatino Linotype" w:hAnsi="Palatino Linotype"/>
          <w:sz w:val="24"/>
          <w:szCs w:val="24"/>
        </w:rPr>
      </w:pPr>
      <w:r>
        <w:rPr>
          <w:rFonts w:ascii="Palatino Linotype" w:hAnsi="Palatino Linotype"/>
          <w:sz w:val="24"/>
          <w:szCs w:val="24"/>
        </w:rPr>
        <w:t xml:space="preserve">UK courts and the Court of Justice have never </w:t>
      </w:r>
      <w:r w:rsidR="009D4258">
        <w:rPr>
          <w:rFonts w:ascii="Palatino Linotype" w:hAnsi="Palatino Linotype"/>
          <w:sz w:val="24"/>
          <w:szCs w:val="24"/>
        </w:rPr>
        <w:t>agreed</w:t>
      </w:r>
      <w:r>
        <w:rPr>
          <w:rFonts w:ascii="Palatino Linotype" w:hAnsi="Palatino Linotype"/>
          <w:sz w:val="24"/>
          <w:szCs w:val="24"/>
        </w:rPr>
        <w:t xml:space="preserve"> on the source of the constitutional instruction to give internal effect to EU norms. For the Luxembourg Court, the obligation to do so derives from the EU Treaties as the basis of a ‘new legal order’ that is distinct from the standard normative framework of public international law (</w:t>
      </w:r>
      <w:hyperlink r:id="rId8" w:history="1">
        <w:r w:rsidRPr="00964FCD">
          <w:rPr>
            <w:rStyle w:val="Hyperlink"/>
            <w:rFonts w:ascii="Palatino Linotype" w:hAnsi="Palatino Linotype"/>
            <w:i/>
            <w:sz w:val="24"/>
            <w:szCs w:val="24"/>
          </w:rPr>
          <w:t>Van Gen den Loos</w:t>
        </w:r>
      </w:hyperlink>
      <w:r>
        <w:rPr>
          <w:rFonts w:ascii="Palatino Linotype" w:hAnsi="Palatino Linotype"/>
          <w:sz w:val="24"/>
          <w:szCs w:val="24"/>
        </w:rPr>
        <w:t>). By contrast, UK courts</w:t>
      </w:r>
      <w:r w:rsidR="009D4258">
        <w:rPr>
          <w:rFonts w:ascii="Palatino Linotype" w:hAnsi="Palatino Linotype"/>
          <w:sz w:val="24"/>
          <w:szCs w:val="24"/>
        </w:rPr>
        <w:t xml:space="preserve"> have consistently</w:t>
      </w:r>
      <w:r>
        <w:rPr>
          <w:rFonts w:ascii="Palatino Linotype" w:hAnsi="Palatino Linotype"/>
          <w:sz w:val="24"/>
          <w:szCs w:val="24"/>
        </w:rPr>
        <w:t xml:space="preserve"> </w:t>
      </w:r>
      <w:r w:rsidRPr="00514A16">
        <w:rPr>
          <w:rFonts w:ascii="Palatino Linotype" w:hAnsi="Palatino Linotype"/>
          <w:sz w:val="24"/>
          <w:szCs w:val="24"/>
        </w:rPr>
        <w:t>locate</w:t>
      </w:r>
      <w:r w:rsidR="009D4258">
        <w:rPr>
          <w:rFonts w:ascii="Palatino Linotype" w:hAnsi="Palatino Linotype"/>
          <w:sz w:val="24"/>
          <w:szCs w:val="24"/>
        </w:rPr>
        <w:t>d</w:t>
      </w:r>
      <w:r w:rsidRPr="00514A16">
        <w:rPr>
          <w:rFonts w:ascii="Palatino Linotype" w:hAnsi="Palatino Linotype"/>
          <w:sz w:val="24"/>
          <w:szCs w:val="24"/>
        </w:rPr>
        <w:t xml:space="preserve"> the instruction to attribute internal effect to EU norms firmly in the domestic constitutional order</w:t>
      </w:r>
      <w:r w:rsidR="009D4258">
        <w:rPr>
          <w:rFonts w:ascii="Palatino Linotype" w:hAnsi="Palatino Linotype"/>
          <w:sz w:val="24"/>
          <w:szCs w:val="24"/>
        </w:rPr>
        <w:t xml:space="preserve"> –</w:t>
      </w:r>
      <w:r w:rsidR="008C62C9">
        <w:rPr>
          <w:rFonts w:ascii="Palatino Linotype" w:hAnsi="Palatino Linotype"/>
          <w:sz w:val="24"/>
          <w:szCs w:val="24"/>
        </w:rPr>
        <w:t xml:space="preserve"> specifically </w:t>
      </w:r>
      <w:r w:rsidR="009D4258">
        <w:rPr>
          <w:rFonts w:ascii="Palatino Linotype" w:hAnsi="Palatino Linotype"/>
          <w:sz w:val="24"/>
          <w:szCs w:val="24"/>
        </w:rPr>
        <w:t>in provisions of the ECA</w:t>
      </w:r>
      <w:r w:rsidRPr="00514A16">
        <w:rPr>
          <w:rFonts w:ascii="Palatino Linotype" w:hAnsi="Palatino Linotype"/>
          <w:sz w:val="24"/>
          <w:szCs w:val="24"/>
        </w:rPr>
        <w:t xml:space="preserve">. </w:t>
      </w:r>
      <w:r w:rsidR="00AD2E8D">
        <w:rPr>
          <w:rFonts w:ascii="Palatino Linotype" w:hAnsi="Palatino Linotype"/>
          <w:sz w:val="24"/>
          <w:szCs w:val="24"/>
        </w:rPr>
        <w:t>In summary, that Act</w:t>
      </w:r>
      <w:r w:rsidR="009D4258">
        <w:rPr>
          <w:rFonts w:ascii="Palatino Linotype" w:hAnsi="Palatino Linotype"/>
          <w:sz w:val="24"/>
          <w:szCs w:val="24"/>
        </w:rPr>
        <w:t xml:space="preserve"> is interpreted as instructing </w:t>
      </w:r>
      <w:r w:rsidR="00AD2E8D">
        <w:rPr>
          <w:rFonts w:ascii="Palatino Linotype" w:hAnsi="Palatino Linotype"/>
          <w:sz w:val="24"/>
          <w:szCs w:val="24"/>
        </w:rPr>
        <w:t xml:space="preserve">UK courts to do two things. First, it </w:t>
      </w:r>
      <w:r w:rsidR="00502933">
        <w:rPr>
          <w:rFonts w:ascii="Palatino Linotype" w:hAnsi="Palatino Linotype"/>
          <w:sz w:val="24"/>
          <w:szCs w:val="24"/>
        </w:rPr>
        <w:t>directs domestic courts to apply</w:t>
      </w:r>
      <w:r w:rsidR="00AD2E8D">
        <w:rPr>
          <w:rFonts w:ascii="Palatino Linotype" w:hAnsi="Palatino Linotype"/>
          <w:sz w:val="24"/>
          <w:szCs w:val="24"/>
        </w:rPr>
        <w:t xml:space="preserve"> </w:t>
      </w:r>
      <w:r w:rsidR="00AD2E8D" w:rsidRPr="00AD2E8D">
        <w:rPr>
          <w:rFonts w:ascii="Palatino Linotype" w:hAnsi="Palatino Linotype"/>
          <w:sz w:val="24"/>
          <w:szCs w:val="24"/>
        </w:rPr>
        <w:t>EU law</w:t>
      </w:r>
      <w:r w:rsidR="00AD2E8D">
        <w:rPr>
          <w:rFonts w:ascii="Palatino Linotype" w:hAnsi="Palatino Linotype"/>
          <w:sz w:val="24"/>
          <w:szCs w:val="24"/>
        </w:rPr>
        <w:t xml:space="preserve"> </w:t>
      </w:r>
      <w:r w:rsidR="00AD2E8D" w:rsidRPr="00AD2E8D">
        <w:rPr>
          <w:rFonts w:ascii="Palatino Linotype" w:hAnsi="Palatino Linotype"/>
          <w:sz w:val="24"/>
          <w:szCs w:val="24"/>
        </w:rPr>
        <w:t xml:space="preserve">‘as </w:t>
      </w:r>
      <w:r w:rsidR="00AD2E8D" w:rsidRPr="00AD2E8D">
        <w:rPr>
          <w:rFonts w:ascii="Palatino Linotype" w:hAnsi="Palatino Linotype"/>
          <w:sz w:val="24"/>
          <w:szCs w:val="24"/>
        </w:rPr>
        <w:lastRenderedPageBreak/>
        <w:t xml:space="preserve">national law’ </w:t>
      </w:r>
      <w:r w:rsidR="00AD2E8D">
        <w:rPr>
          <w:rFonts w:ascii="Palatino Linotype" w:hAnsi="Palatino Linotype"/>
          <w:sz w:val="24"/>
          <w:szCs w:val="24"/>
        </w:rPr>
        <w:t xml:space="preserve">in accordance with the principle of primacy established by the Court of Justice. </w:t>
      </w:r>
      <w:r w:rsidRPr="00514A16">
        <w:rPr>
          <w:rFonts w:ascii="Palatino Linotype" w:hAnsi="Palatino Linotype"/>
          <w:sz w:val="24"/>
          <w:szCs w:val="24"/>
        </w:rPr>
        <w:t>As the Sup</w:t>
      </w:r>
      <w:r>
        <w:rPr>
          <w:rFonts w:ascii="Palatino Linotype" w:hAnsi="Palatino Linotype"/>
          <w:sz w:val="24"/>
          <w:szCs w:val="24"/>
        </w:rPr>
        <w:t xml:space="preserve">reme </w:t>
      </w:r>
      <w:r w:rsidR="00502933">
        <w:rPr>
          <w:rFonts w:ascii="Palatino Linotype" w:hAnsi="Palatino Linotype"/>
          <w:sz w:val="24"/>
          <w:szCs w:val="24"/>
        </w:rPr>
        <w:t xml:space="preserve">Court </w:t>
      </w:r>
      <w:r>
        <w:rPr>
          <w:rFonts w:ascii="Palatino Linotype" w:hAnsi="Palatino Linotype"/>
          <w:sz w:val="24"/>
          <w:szCs w:val="24"/>
        </w:rPr>
        <w:t xml:space="preserve">summarised in </w:t>
      </w:r>
      <w:hyperlink r:id="rId9" w:history="1">
        <w:r w:rsidRPr="00964FCD">
          <w:rPr>
            <w:rStyle w:val="Hyperlink"/>
            <w:rFonts w:ascii="Palatino Linotype" w:hAnsi="Palatino Linotype"/>
            <w:i/>
            <w:sz w:val="24"/>
            <w:szCs w:val="24"/>
          </w:rPr>
          <w:t>Miller</w:t>
        </w:r>
      </w:hyperlink>
      <w:r w:rsidR="00041EA6">
        <w:rPr>
          <w:rFonts w:ascii="Palatino Linotype" w:hAnsi="Palatino Linotype"/>
          <w:sz w:val="24"/>
          <w:szCs w:val="24"/>
        </w:rPr>
        <w:t xml:space="preserve"> [at para.6</w:t>
      </w:r>
      <w:r w:rsidR="00964FCD">
        <w:rPr>
          <w:rFonts w:ascii="Palatino Linotype" w:hAnsi="Palatino Linotype"/>
          <w:sz w:val="24"/>
          <w:szCs w:val="24"/>
        </w:rPr>
        <w:t>0]</w:t>
      </w:r>
      <w:r w:rsidRPr="00514A16">
        <w:rPr>
          <w:rFonts w:ascii="Palatino Linotype" w:hAnsi="Palatino Linotype"/>
          <w:sz w:val="24"/>
          <w:szCs w:val="24"/>
        </w:rPr>
        <w:t xml:space="preserve">, </w:t>
      </w:r>
    </w:p>
    <w:p w14:paraId="5E2CB548" w14:textId="77777777" w:rsidR="00514A16" w:rsidRPr="00514A16" w:rsidRDefault="00514A16" w:rsidP="00514A16">
      <w:pPr>
        <w:spacing w:line="360" w:lineRule="auto"/>
        <w:ind w:left="720" w:right="787"/>
        <w:jc w:val="both"/>
        <w:rPr>
          <w:rFonts w:ascii="Palatino Linotype" w:hAnsi="Palatino Linotype"/>
          <w:sz w:val="24"/>
          <w:szCs w:val="24"/>
        </w:rPr>
      </w:pPr>
      <w:r w:rsidRPr="00514A16">
        <w:rPr>
          <w:rFonts w:ascii="Palatino Linotype" w:hAnsi="Palatino Linotype"/>
          <w:sz w:val="24"/>
          <w:szCs w:val="24"/>
        </w:rPr>
        <w:t>‘The 1972 Act… authorises a dynamic process by which, without further primary legislation (and, in some cases, even without any domestic legislation), EU law not only becomes a source of UK law, but actually takes precedence over all domestic sources of UK law, including statutes.’</w:t>
      </w:r>
    </w:p>
    <w:p w14:paraId="743361FF" w14:textId="77777777" w:rsidR="00514A16" w:rsidRPr="00514A16" w:rsidRDefault="00514A16" w:rsidP="00514A16">
      <w:pPr>
        <w:spacing w:line="360" w:lineRule="auto"/>
        <w:jc w:val="both"/>
        <w:rPr>
          <w:rFonts w:ascii="Palatino Linotype" w:hAnsi="Palatino Linotype"/>
          <w:sz w:val="24"/>
          <w:szCs w:val="24"/>
        </w:rPr>
      </w:pPr>
    </w:p>
    <w:p w14:paraId="7243617B" w14:textId="18C4D38F" w:rsidR="00514A16" w:rsidRPr="00514A16" w:rsidRDefault="00514A16" w:rsidP="00514A16">
      <w:pPr>
        <w:spacing w:line="360" w:lineRule="auto"/>
        <w:jc w:val="both"/>
        <w:rPr>
          <w:rFonts w:ascii="Palatino Linotype" w:hAnsi="Palatino Linotype"/>
          <w:sz w:val="24"/>
          <w:szCs w:val="24"/>
        </w:rPr>
      </w:pPr>
      <w:r w:rsidRPr="00514A16">
        <w:rPr>
          <w:rFonts w:ascii="Palatino Linotype" w:hAnsi="Palatino Linotype"/>
          <w:sz w:val="24"/>
          <w:szCs w:val="24"/>
        </w:rPr>
        <w:t xml:space="preserve">Secondly, the </w:t>
      </w:r>
      <w:r w:rsidR="0035033A">
        <w:rPr>
          <w:rFonts w:ascii="Palatino Linotype" w:hAnsi="Palatino Linotype"/>
          <w:sz w:val="24"/>
          <w:szCs w:val="24"/>
        </w:rPr>
        <w:t>ECA</w:t>
      </w:r>
      <w:r w:rsidRPr="00514A16">
        <w:rPr>
          <w:rFonts w:ascii="Palatino Linotype" w:hAnsi="Palatino Linotype"/>
          <w:sz w:val="24"/>
          <w:szCs w:val="24"/>
        </w:rPr>
        <w:t xml:space="preserve"> </w:t>
      </w:r>
      <w:r w:rsidR="00AD2E8D">
        <w:rPr>
          <w:rFonts w:ascii="Palatino Linotype" w:hAnsi="Palatino Linotype"/>
          <w:sz w:val="24"/>
          <w:szCs w:val="24"/>
        </w:rPr>
        <w:t xml:space="preserve">also </w:t>
      </w:r>
      <w:r w:rsidRPr="00514A16">
        <w:rPr>
          <w:rFonts w:ascii="Palatino Linotype" w:hAnsi="Palatino Linotype"/>
          <w:sz w:val="24"/>
          <w:szCs w:val="24"/>
        </w:rPr>
        <w:t xml:space="preserve">instructs UK courts to </w:t>
      </w:r>
      <w:r w:rsidR="00683287">
        <w:rPr>
          <w:rFonts w:ascii="Palatino Linotype" w:hAnsi="Palatino Linotype"/>
          <w:sz w:val="24"/>
          <w:szCs w:val="24"/>
        </w:rPr>
        <w:t>function</w:t>
      </w:r>
      <w:r w:rsidRPr="00514A16">
        <w:rPr>
          <w:rFonts w:ascii="Palatino Linotype" w:hAnsi="Palatino Linotype"/>
          <w:sz w:val="24"/>
          <w:szCs w:val="24"/>
        </w:rPr>
        <w:t xml:space="preserve"> as ‘European courts’ when adjudicating disputes that engage questions of EU law. More specifically, </w:t>
      </w:r>
      <w:hyperlink r:id="rId10" w:history="1">
        <w:proofErr w:type="gramStart"/>
        <w:r w:rsidRPr="00964FCD">
          <w:rPr>
            <w:rStyle w:val="Hyperlink"/>
            <w:rFonts w:ascii="Palatino Linotype" w:hAnsi="Palatino Linotype"/>
            <w:sz w:val="24"/>
            <w:szCs w:val="24"/>
          </w:rPr>
          <w:t>s3(</w:t>
        </w:r>
        <w:proofErr w:type="gramEnd"/>
        <w:r w:rsidRPr="00964FCD">
          <w:rPr>
            <w:rStyle w:val="Hyperlink"/>
            <w:rFonts w:ascii="Palatino Linotype" w:hAnsi="Palatino Linotype"/>
            <w:sz w:val="24"/>
            <w:szCs w:val="24"/>
          </w:rPr>
          <w:t>1)</w:t>
        </w:r>
      </w:hyperlink>
      <w:r w:rsidRPr="00514A16">
        <w:rPr>
          <w:rFonts w:ascii="Palatino Linotype" w:hAnsi="Palatino Linotype"/>
          <w:sz w:val="24"/>
          <w:szCs w:val="24"/>
        </w:rPr>
        <w:t xml:space="preserve"> prescribes that,</w:t>
      </w:r>
    </w:p>
    <w:p w14:paraId="705BA449" w14:textId="0FFA5EDB" w:rsidR="00514A16" w:rsidRDefault="00514A16" w:rsidP="00AD2E8D">
      <w:pPr>
        <w:spacing w:line="360" w:lineRule="auto"/>
        <w:ind w:left="720" w:right="787"/>
        <w:jc w:val="both"/>
        <w:rPr>
          <w:rFonts w:ascii="Palatino Linotype" w:hAnsi="Palatino Linotype"/>
          <w:sz w:val="24"/>
          <w:szCs w:val="24"/>
        </w:rPr>
      </w:pPr>
      <w:r w:rsidRPr="00514A16">
        <w:rPr>
          <w:rFonts w:ascii="Palatino Linotype" w:hAnsi="Palatino Linotype"/>
          <w:sz w:val="24"/>
          <w:szCs w:val="24"/>
        </w:rPr>
        <w:t>‘For the purposes of all legal proceedings any question as to the meaning or effect of any of the Treaties, or as to the validity, meaning or effect of any [EU instrument], shall be treated as a question of law (and, if not referred to the European Court, be for determination as such in accordance with the principles laid down by and any relevant [decision of the European Court].’</w:t>
      </w:r>
    </w:p>
    <w:p w14:paraId="1315B05B" w14:textId="77777777" w:rsidR="00AD2E8D" w:rsidRPr="00514A16" w:rsidRDefault="00AD2E8D" w:rsidP="00AD2E8D">
      <w:pPr>
        <w:spacing w:line="360" w:lineRule="auto"/>
        <w:ind w:left="720" w:right="787"/>
        <w:jc w:val="both"/>
        <w:rPr>
          <w:rFonts w:ascii="Palatino Linotype" w:hAnsi="Palatino Linotype"/>
          <w:sz w:val="24"/>
          <w:szCs w:val="24"/>
        </w:rPr>
      </w:pPr>
    </w:p>
    <w:p w14:paraId="5BC5E4A8" w14:textId="3A06E940" w:rsidR="002A3BC2" w:rsidRDefault="00AD2E8D" w:rsidP="002F28CB">
      <w:pPr>
        <w:spacing w:line="360" w:lineRule="auto"/>
        <w:jc w:val="both"/>
        <w:rPr>
          <w:rFonts w:ascii="Palatino Linotype" w:hAnsi="Palatino Linotype"/>
          <w:sz w:val="24"/>
          <w:szCs w:val="24"/>
        </w:rPr>
      </w:pPr>
      <w:r>
        <w:rPr>
          <w:rFonts w:ascii="Palatino Linotype" w:hAnsi="Palatino Linotype"/>
          <w:sz w:val="24"/>
          <w:szCs w:val="24"/>
        </w:rPr>
        <w:t xml:space="preserve">In combination, </w:t>
      </w:r>
      <w:r w:rsidR="00110F80">
        <w:rPr>
          <w:rFonts w:ascii="Palatino Linotype" w:hAnsi="Palatino Linotype"/>
          <w:sz w:val="24"/>
          <w:szCs w:val="24"/>
        </w:rPr>
        <w:t>the</w:t>
      </w:r>
      <w:r>
        <w:rPr>
          <w:rFonts w:ascii="Palatino Linotype" w:hAnsi="Palatino Linotype"/>
          <w:sz w:val="24"/>
          <w:szCs w:val="24"/>
        </w:rPr>
        <w:t xml:space="preserve"> two </w:t>
      </w:r>
      <w:r w:rsidR="00110F80">
        <w:rPr>
          <w:rFonts w:ascii="Palatino Linotype" w:hAnsi="Palatino Linotype"/>
          <w:sz w:val="24"/>
          <w:szCs w:val="24"/>
        </w:rPr>
        <w:t>key</w:t>
      </w:r>
      <w:r>
        <w:rPr>
          <w:rFonts w:ascii="Palatino Linotype" w:hAnsi="Palatino Linotype"/>
          <w:sz w:val="24"/>
          <w:szCs w:val="24"/>
        </w:rPr>
        <w:t xml:space="preserve"> </w:t>
      </w:r>
      <w:r w:rsidR="00514A16" w:rsidRPr="00514A16">
        <w:rPr>
          <w:rFonts w:ascii="Palatino Linotype" w:hAnsi="Palatino Linotype"/>
          <w:sz w:val="24"/>
          <w:szCs w:val="24"/>
        </w:rPr>
        <w:t xml:space="preserve">instructions set out in the </w:t>
      </w:r>
      <w:r w:rsidR="0035033A">
        <w:rPr>
          <w:rFonts w:ascii="Palatino Linotype" w:hAnsi="Palatino Linotype"/>
          <w:sz w:val="24"/>
          <w:szCs w:val="24"/>
        </w:rPr>
        <w:t>ECA</w:t>
      </w:r>
      <w:r w:rsidR="00514A16" w:rsidRPr="00514A16">
        <w:rPr>
          <w:rFonts w:ascii="Palatino Linotype" w:hAnsi="Palatino Linotype"/>
          <w:sz w:val="24"/>
          <w:szCs w:val="24"/>
        </w:rPr>
        <w:t xml:space="preserve"> – on the domestic effect of EU norms and the principles governing their interpretation respectively – have had a fundamental impact on the position and functioning of UK courts.</w:t>
      </w:r>
      <w:r w:rsidR="00110F80">
        <w:rPr>
          <w:rFonts w:ascii="Palatino Linotype" w:hAnsi="Palatino Linotype"/>
          <w:sz w:val="24"/>
          <w:szCs w:val="24"/>
        </w:rPr>
        <w:t xml:space="preserve"> </w:t>
      </w:r>
      <w:r w:rsidR="002F28CB">
        <w:rPr>
          <w:rFonts w:ascii="Palatino Linotype" w:hAnsi="Palatino Linotype"/>
          <w:sz w:val="24"/>
          <w:szCs w:val="24"/>
        </w:rPr>
        <w:t xml:space="preserve">The most </w:t>
      </w:r>
      <w:r w:rsidR="002F28CB" w:rsidRPr="002F28CB">
        <w:rPr>
          <w:rFonts w:ascii="Palatino Linotype" w:hAnsi="Palatino Linotype"/>
          <w:sz w:val="24"/>
          <w:szCs w:val="24"/>
        </w:rPr>
        <w:t xml:space="preserve">significant transformative </w:t>
      </w:r>
      <w:r w:rsidR="002F28CB">
        <w:rPr>
          <w:rFonts w:ascii="Palatino Linotype" w:hAnsi="Palatino Linotype"/>
          <w:sz w:val="24"/>
          <w:szCs w:val="24"/>
        </w:rPr>
        <w:t xml:space="preserve">impact </w:t>
      </w:r>
      <w:r w:rsidR="002F28CB" w:rsidRPr="002F28CB">
        <w:rPr>
          <w:rFonts w:ascii="Palatino Linotype" w:hAnsi="Palatino Linotype"/>
          <w:sz w:val="24"/>
          <w:szCs w:val="24"/>
        </w:rPr>
        <w:t>is</w:t>
      </w:r>
      <w:r w:rsidR="002F28CB">
        <w:rPr>
          <w:rFonts w:ascii="Palatino Linotype" w:hAnsi="Palatino Linotype"/>
          <w:sz w:val="24"/>
          <w:szCs w:val="24"/>
        </w:rPr>
        <w:t xml:space="preserve"> undoubtedly</w:t>
      </w:r>
      <w:r w:rsidR="002F28CB" w:rsidRPr="002F28CB">
        <w:rPr>
          <w:rFonts w:ascii="Palatino Linotype" w:hAnsi="Palatino Linotype"/>
          <w:sz w:val="24"/>
          <w:szCs w:val="24"/>
        </w:rPr>
        <w:t xml:space="preserve"> </w:t>
      </w:r>
      <w:r w:rsidR="00502933">
        <w:rPr>
          <w:rFonts w:ascii="Palatino Linotype" w:hAnsi="Palatino Linotype"/>
          <w:sz w:val="24"/>
          <w:szCs w:val="24"/>
        </w:rPr>
        <w:t>the</w:t>
      </w:r>
      <w:r w:rsidR="002F28CB" w:rsidRPr="002F28CB">
        <w:rPr>
          <w:rFonts w:ascii="Palatino Linotype" w:hAnsi="Palatino Linotype"/>
          <w:sz w:val="24"/>
          <w:szCs w:val="24"/>
        </w:rPr>
        <w:t xml:space="preserve"> acquisition</w:t>
      </w:r>
      <w:r w:rsidR="00502933">
        <w:rPr>
          <w:rFonts w:ascii="Palatino Linotype" w:hAnsi="Palatino Linotype"/>
          <w:sz w:val="24"/>
          <w:szCs w:val="24"/>
        </w:rPr>
        <w:t xml:space="preserve"> by domestic courts</w:t>
      </w:r>
      <w:r w:rsidR="002F28CB" w:rsidRPr="002F28CB">
        <w:rPr>
          <w:rFonts w:ascii="Palatino Linotype" w:hAnsi="Palatino Linotype"/>
          <w:sz w:val="24"/>
          <w:szCs w:val="24"/>
        </w:rPr>
        <w:t xml:space="preserve"> </w:t>
      </w:r>
      <w:r w:rsidR="001504C6">
        <w:rPr>
          <w:rFonts w:ascii="Palatino Linotype" w:hAnsi="Palatino Linotype"/>
          <w:sz w:val="24"/>
          <w:szCs w:val="24"/>
        </w:rPr>
        <w:t>of competence</w:t>
      </w:r>
      <w:r w:rsidR="002F28CB" w:rsidRPr="002F28CB">
        <w:rPr>
          <w:rFonts w:ascii="Palatino Linotype" w:hAnsi="Palatino Linotype"/>
          <w:sz w:val="24"/>
          <w:szCs w:val="24"/>
        </w:rPr>
        <w:t xml:space="preserve"> </w:t>
      </w:r>
      <w:r w:rsidR="001504C6">
        <w:rPr>
          <w:rFonts w:ascii="Palatino Linotype" w:hAnsi="Palatino Linotype"/>
          <w:sz w:val="24"/>
          <w:szCs w:val="24"/>
        </w:rPr>
        <w:t xml:space="preserve">to review </w:t>
      </w:r>
      <w:r w:rsidR="002F28CB" w:rsidRPr="002F28CB">
        <w:rPr>
          <w:rFonts w:ascii="Palatino Linotype" w:hAnsi="Palatino Linotype"/>
          <w:sz w:val="24"/>
          <w:szCs w:val="24"/>
        </w:rPr>
        <w:t>primary legislation</w:t>
      </w:r>
      <w:r w:rsidR="002F28CB">
        <w:rPr>
          <w:rFonts w:ascii="Palatino Linotype" w:hAnsi="Palatino Linotype"/>
          <w:sz w:val="24"/>
          <w:szCs w:val="24"/>
        </w:rPr>
        <w:t xml:space="preserve">. The exercise of judicial review </w:t>
      </w:r>
      <w:r w:rsidR="00502933">
        <w:rPr>
          <w:rFonts w:ascii="Palatino Linotype" w:hAnsi="Palatino Linotype"/>
          <w:sz w:val="24"/>
          <w:szCs w:val="24"/>
        </w:rPr>
        <w:t>powers</w:t>
      </w:r>
      <w:r w:rsidR="002F28CB">
        <w:rPr>
          <w:rFonts w:ascii="Palatino Linotype" w:hAnsi="Palatino Linotype"/>
          <w:sz w:val="24"/>
          <w:szCs w:val="24"/>
        </w:rPr>
        <w:t xml:space="preserve"> over primary </w:t>
      </w:r>
      <w:r w:rsidR="001504C6">
        <w:rPr>
          <w:rFonts w:ascii="Palatino Linotype" w:hAnsi="Palatino Linotype"/>
          <w:sz w:val="24"/>
          <w:szCs w:val="24"/>
        </w:rPr>
        <w:t xml:space="preserve">domestic </w:t>
      </w:r>
      <w:r w:rsidR="002F28CB">
        <w:rPr>
          <w:rFonts w:ascii="Palatino Linotype" w:hAnsi="Palatino Linotype"/>
          <w:sz w:val="24"/>
          <w:szCs w:val="24"/>
        </w:rPr>
        <w:t>law under the</w:t>
      </w:r>
      <w:r w:rsidR="001504C6">
        <w:rPr>
          <w:rFonts w:ascii="Palatino Linotype" w:hAnsi="Palatino Linotype"/>
          <w:sz w:val="24"/>
          <w:szCs w:val="24"/>
        </w:rPr>
        <w:t xml:space="preserve"> terms of the ECA remains</w:t>
      </w:r>
      <w:r w:rsidR="002F28CB">
        <w:rPr>
          <w:rFonts w:ascii="Palatino Linotype" w:hAnsi="Palatino Linotype"/>
          <w:sz w:val="24"/>
          <w:szCs w:val="24"/>
        </w:rPr>
        <w:t xml:space="preserve"> unique within the UK legal order. Its closest equivalent is </w:t>
      </w:r>
      <w:hyperlink r:id="rId11" w:history="1">
        <w:r w:rsidR="00964FCD" w:rsidRPr="00964FCD">
          <w:rPr>
            <w:rStyle w:val="Hyperlink"/>
            <w:rFonts w:ascii="Palatino Linotype" w:hAnsi="Palatino Linotype"/>
            <w:sz w:val="24"/>
            <w:szCs w:val="24"/>
          </w:rPr>
          <w:t>s</w:t>
        </w:r>
        <w:r w:rsidR="002F28CB" w:rsidRPr="00964FCD">
          <w:rPr>
            <w:rStyle w:val="Hyperlink"/>
            <w:rFonts w:ascii="Palatino Linotype" w:hAnsi="Palatino Linotype"/>
            <w:sz w:val="24"/>
            <w:szCs w:val="24"/>
          </w:rPr>
          <w:t>4 of the Human Rights Act</w:t>
        </w:r>
        <w:r w:rsidR="008C62C9">
          <w:rPr>
            <w:rStyle w:val="Hyperlink"/>
            <w:rFonts w:ascii="Palatino Linotype" w:hAnsi="Palatino Linotype"/>
            <w:sz w:val="24"/>
            <w:szCs w:val="24"/>
          </w:rPr>
          <w:t xml:space="preserve"> (HRA)</w:t>
        </w:r>
        <w:r w:rsidR="002F28CB" w:rsidRPr="00964FCD">
          <w:rPr>
            <w:rStyle w:val="Hyperlink"/>
            <w:rFonts w:ascii="Palatino Linotype" w:hAnsi="Palatino Linotype"/>
            <w:sz w:val="24"/>
            <w:szCs w:val="24"/>
          </w:rPr>
          <w:t>,</w:t>
        </w:r>
      </w:hyperlink>
      <w:r w:rsidR="002F28CB">
        <w:rPr>
          <w:rFonts w:ascii="Palatino Linotype" w:hAnsi="Palatino Linotype"/>
          <w:sz w:val="24"/>
          <w:szCs w:val="24"/>
        </w:rPr>
        <w:t xml:space="preserve"> which grants UK courts competence to issue declarations of incompatibility against </w:t>
      </w:r>
      <w:r w:rsidR="001504C6">
        <w:rPr>
          <w:rFonts w:ascii="Palatino Linotype" w:hAnsi="Palatino Linotype"/>
          <w:sz w:val="24"/>
          <w:szCs w:val="24"/>
        </w:rPr>
        <w:t>primary</w:t>
      </w:r>
      <w:r w:rsidR="002F28CB">
        <w:rPr>
          <w:rFonts w:ascii="Palatino Linotype" w:hAnsi="Palatino Linotype"/>
          <w:sz w:val="24"/>
          <w:szCs w:val="24"/>
        </w:rPr>
        <w:t xml:space="preserve"> UK law </w:t>
      </w:r>
      <w:r w:rsidR="001504C6">
        <w:rPr>
          <w:rFonts w:ascii="Palatino Linotype" w:hAnsi="Palatino Linotype"/>
          <w:sz w:val="24"/>
          <w:szCs w:val="24"/>
        </w:rPr>
        <w:t>on grounds of</w:t>
      </w:r>
      <w:r w:rsidR="002F28CB">
        <w:rPr>
          <w:rFonts w:ascii="Palatino Linotype" w:hAnsi="Palatino Linotype"/>
          <w:sz w:val="24"/>
          <w:szCs w:val="24"/>
        </w:rPr>
        <w:t xml:space="preserve"> non-</w:t>
      </w:r>
      <w:r w:rsidR="001504C6">
        <w:rPr>
          <w:rFonts w:ascii="Palatino Linotype" w:hAnsi="Palatino Linotype"/>
          <w:sz w:val="24"/>
          <w:szCs w:val="24"/>
        </w:rPr>
        <w:t>compatibility</w:t>
      </w:r>
      <w:r w:rsidR="002F28CB">
        <w:rPr>
          <w:rFonts w:ascii="Palatino Linotype" w:hAnsi="Palatino Linotype"/>
          <w:sz w:val="24"/>
          <w:szCs w:val="24"/>
        </w:rPr>
        <w:t xml:space="preserve"> with </w:t>
      </w:r>
      <w:r w:rsidR="00E60088">
        <w:rPr>
          <w:rFonts w:ascii="Palatino Linotype" w:hAnsi="Palatino Linotype"/>
          <w:sz w:val="24"/>
          <w:szCs w:val="24"/>
        </w:rPr>
        <w:t>Convention rights</w:t>
      </w:r>
      <w:r w:rsidR="002F28CB">
        <w:rPr>
          <w:rFonts w:ascii="Palatino Linotype" w:hAnsi="Palatino Linotype"/>
          <w:sz w:val="24"/>
          <w:szCs w:val="24"/>
        </w:rPr>
        <w:t xml:space="preserve"> incorporated into domestic law through that Act. </w:t>
      </w:r>
    </w:p>
    <w:p w14:paraId="6381CD0F" w14:textId="77777777" w:rsidR="002A3BC2" w:rsidRDefault="002A3BC2" w:rsidP="002F28CB">
      <w:pPr>
        <w:spacing w:line="360" w:lineRule="auto"/>
        <w:jc w:val="both"/>
        <w:rPr>
          <w:rFonts w:ascii="Palatino Linotype" w:hAnsi="Palatino Linotype"/>
          <w:sz w:val="24"/>
          <w:szCs w:val="24"/>
        </w:rPr>
      </w:pPr>
    </w:p>
    <w:p w14:paraId="2C696417" w14:textId="3C9FF425" w:rsidR="0043299A" w:rsidRDefault="00502933" w:rsidP="0043299A">
      <w:pPr>
        <w:spacing w:line="360" w:lineRule="auto"/>
        <w:jc w:val="both"/>
        <w:rPr>
          <w:rFonts w:ascii="Palatino Linotype" w:hAnsi="Palatino Linotype"/>
          <w:sz w:val="24"/>
          <w:szCs w:val="24"/>
        </w:rPr>
      </w:pPr>
      <w:r>
        <w:rPr>
          <w:rFonts w:ascii="Palatino Linotype" w:hAnsi="Palatino Linotype"/>
          <w:sz w:val="24"/>
          <w:szCs w:val="24"/>
        </w:rPr>
        <w:t>Among other things, t</w:t>
      </w:r>
      <w:r w:rsidR="00683287">
        <w:rPr>
          <w:rFonts w:ascii="Palatino Linotype" w:hAnsi="Palatino Linotype"/>
          <w:sz w:val="24"/>
          <w:szCs w:val="24"/>
        </w:rPr>
        <w:t>he</w:t>
      </w:r>
      <w:r w:rsidR="002A3BC2">
        <w:rPr>
          <w:rFonts w:ascii="Palatino Linotype" w:hAnsi="Palatino Linotype"/>
          <w:sz w:val="24"/>
          <w:szCs w:val="24"/>
        </w:rPr>
        <w:t xml:space="preserve"> existence of a</w:t>
      </w:r>
      <w:r w:rsidR="002F28CB" w:rsidRPr="002F28CB">
        <w:rPr>
          <w:rFonts w:ascii="Palatino Linotype" w:hAnsi="Palatino Linotype"/>
          <w:sz w:val="24"/>
          <w:szCs w:val="24"/>
        </w:rPr>
        <w:t xml:space="preserve"> </w:t>
      </w:r>
      <w:r w:rsidR="002A3BC2">
        <w:rPr>
          <w:rFonts w:ascii="Palatino Linotype" w:hAnsi="Palatino Linotype"/>
          <w:sz w:val="24"/>
          <w:szCs w:val="24"/>
        </w:rPr>
        <w:t>‘</w:t>
      </w:r>
      <w:r w:rsidR="002F28CB" w:rsidRPr="002F28CB">
        <w:rPr>
          <w:rFonts w:ascii="Palatino Linotype" w:hAnsi="Palatino Linotype"/>
          <w:sz w:val="24"/>
          <w:szCs w:val="24"/>
        </w:rPr>
        <w:t>European mandate</w:t>
      </w:r>
      <w:r w:rsidR="002A3BC2">
        <w:rPr>
          <w:rFonts w:ascii="Palatino Linotype" w:hAnsi="Palatino Linotype"/>
          <w:sz w:val="24"/>
          <w:szCs w:val="24"/>
        </w:rPr>
        <w:t>’</w:t>
      </w:r>
      <w:r w:rsidR="002F28CB" w:rsidRPr="002F28CB">
        <w:rPr>
          <w:rFonts w:ascii="Palatino Linotype" w:hAnsi="Palatino Linotype"/>
          <w:sz w:val="24"/>
          <w:szCs w:val="24"/>
        </w:rPr>
        <w:t xml:space="preserve"> under the </w:t>
      </w:r>
      <w:r w:rsidR="00E60088">
        <w:rPr>
          <w:rFonts w:ascii="Palatino Linotype" w:hAnsi="Palatino Linotype"/>
          <w:sz w:val="24"/>
          <w:szCs w:val="24"/>
        </w:rPr>
        <w:t xml:space="preserve">ECA </w:t>
      </w:r>
      <w:r w:rsidR="002F28CB" w:rsidRPr="002F28CB">
        <w:rPr>
          <w:rFonts w:ascii="Palatino Linotype" w:hAnsi="Palatino Linotype"/>
          <w:sz w:val="24"/>
          <w:szCs w:val="24"/>
        </w:rPr>
        <w:t>has</w:t>
      </w:r>
      <w:r>
        <w:rPr>
          <w:rFonts w:ascii="Palatino Linotype" w:hAnsi="Palatino Linotype"/>
          <w:sz w:val="24"/>
          <w:szCs w:val="24"/>
        </w:rPr>
        <w:t xml:space="preserve"> </w:t>
      </w:r>
      <w:r w:rsidR="002F28CB" w:rsidRPr="002F28CB">
        <w:rPr>
          <w:rFonts w:ascii="Palatino Linotype" w:hAnsi="Palatino Linotype"/>
          <w:sz w:val="24"/>
          <w:szCs w:val="24"/>
        </w:rPr>
        <w:t xml:space="preserve">also strengthened </w:t>
      </w:r>
      <w:r w:rsidR="002A3BC2">
        <w:rPr>
          <w:rFonts w:ascii="Palatino Linotype" w:hAnsi="Palatino Linotype"/>
          <w:sz w:val="24"/>
          <w:szCs w:val="24"/>
        </w:rPr>
        <w:t>UK courts’</w:t>
      </w:r>
      <w:r w:rsidR="002F28CB" w:rsidRPr="002F28CB">
        <w:rPr>
          <w:rFonts w:ascii="Palatino Linotype" w:hAnsi="Palatino Linotype"/>
          <w:sz w:val="24"/>
          <w:szCs w:val="24"/>
        </w:rPr>
        <w:t xml:space="preserve"> contribution to </w:t>
      </w:r>
      <w:r w:rsidR="002F28CB" w:rsidRPr="00502933">
        <w:rPr>
          <w:rFonts w:ascii="Palatino Linotype" w:hAnsi="Palatino Linotype"/>
          <w:sz w:val="24"/>
          <w:szCs w:val="24"/>
        </w:rPr>
        <w:t>policymaking</w:t>
      </w:r>
      <w:r w:rsidR="002F28CB" w:rsidRPr="002F28CB">
        <w:rPr>
          <w:rFonts w:ascii="Palatino Linotype" w:hAnsi="Palatino Linotype"/>
          <w:sz w:val="24"/>
          <w:szCs w:val="24"/>
        </w:rPr>
        <w:t xml:space="preserve"> through judicia</w:t>
      </w:r>
      <w:r w:rsidR="002A3BC2">
        <w:rPr>
          <w:rFonts w:ascii="Palatino Linotype" w:hAnsi="Palatino Linotype"/>
          <w:sz w:val="24"/>
          <w:szCs w:val="24"/>
        </w:rPr>
        <w:t xml:space="preserve">l interpretation. This follows </w:t>
      </w:r>
      <w:r w:rsidR="002F28CB" w:rsidRPr="002F28CB">
        <w:rPr>
          <w:rFonts w:ascii="Palatino Linotype" w:hAnsi="Palatino Linotype"/>
          <w:sz w:val="24"/>
          <w:szCs w:val="24"/>
        </w:rPr>
        <w:t xml:space="preserve">as a consequence of the s3 </w:t>
      </w:r>
      <w:r>
        <w:rPr>
          <w:rFonts w:ascii="Palatino Linotype" w:hAnsi="Palatino Linotype"/>
          <w:sz w:val="24"/>
          <w:szCs w:val="24"/>
        </w:rPr>
        <w:t xml:space="preserve">ECA </w:t>
      </w:r>
      <w:r w:rsidR="002F28CB" w:rsidRPr="002F28CB">
        <w:rPr>
          <w:rFonts w:ascii="Palatino Linotype" w:hAnsi="Palatino Linotype"/>
          <w:sz w:val="24"/>
          <w:szCs w:val="24"/>
        </w:rPr>
        <w:t xml:space="preserve">obligation to ‘adjudicate European’ when considering disputes involving questions of EU law. The EU legal method, developed by the Court of Justice, differs markedly in key respects to the standard rules of statutory construction and methods of legal </w:t>
      </w:r>
      <w:r w:rsidR="002F28CB" w:rsidRPr="00561926">
        <w:rPr>
          <w:rFonts w:ascii="Palatino Linotype" w:hAnsi="Palatino Linotype"/>
          <w:sz w:val="24"/>
          <w:szCs w:val="24"/>
        </w:rPr>
        <w:t>interpretation</w:t>
      </w:r>
      <w:r w:rsidR="008152BD">
        <w:rPr>
          <w:rFonts w:ascii="Palatino Linotype" w:hAnsi="Palatino Linotype"/>
          <w:sz w:val="24"/>
          <w:szCs w:val="24"/>
        </w:rPr>
        <w:t xml:space="preserve"> that operate</w:t>
      </w:r>
      <w:r w:rsidR="002F28CB" w:rsidRPr="00561926">
        <w:rPr>
          <w:rFonts w:ascii="Palatino Linotype" w:hAnsi="Palatino Linotype"/>
          <w:sz w:val="24"/>
          <w:szCs w:val="24"/>
        </w:rPr>
        <w:t xml:space="preserve"> domestically</w:t>
      </w:r>
      <w:r w:rsidR="00561926">
        <w:rPr>
          <w:rFonts w:ascii="Palatino Linotype" w:hAnsi="Palatino Linotype"/>
          <w:sz w:val="24"/>
          <w:szCs w:val="24"/>
        </w:rPr>
        <w:t xml:space="preserve">. </w:t>
      </w:r>
      <w:r w:rsidR="002A3BC2" w:rsidRPr="00561926">
        <w:rPr>
          <w:rFonts w:ascii="Palatino Linotype" w:hAnsi="Palatino Linotype"/>
          <w:sz w:val="24"/>
          <w:szCs w:val="24"/>
        </w:rPr>
        <w:t>The additional space opened up for domestic courts to contribute to</w:t>
      </w:r>
      <w:r w:rsidR="002A3BC2">
        <w:rPr>
          <w:rFonts w:ascii="Palatino Linotype" w:hAnsi="Palatino Linotype"/>
          <w:sz w:val="24"/>
          <w:szCs w:val="24"/>
        </w:rPr>
        <w:t xml:space="preserve"> the development of law through recourse to the more dynamic method of interpretation applicable </w:t>
      </w:r>
      <w:r>
        <w:rPr>
          <w:rFonts w:ascii="Palatino Linotype" w:hAnsi="Palatino Linotype"/>
          <w:sz w:val="24"/>
          <w:szCs w:val="24"/>
        </w:rPr>
        <w:t>within the field of</w:t>
      </w:r>
      <w:r w:rsidR="002A3BC2">
        <w:rPr>
          <w:rFonts w:ascii="Palatino Linotype" w:hAnsi="Palatino Linotype"/>
          <w:sz w:val="24"/>
          <w:szCs w:val="24"/>
        </w:rPr>
        <w:t xml:space="preserve"> </w:t>
      </w:r>
      <w:r>
        <w:rPr>
          <w:rFonts w:ascii="Palatino Linotype" w:hAnsi="Palatino Linotype"/>
          <w:sz w:val="24"/>
          <w:szCs w:val="24"/>
        </w:rPr>
        <w:t>EU</w:t>
      </w:r>
      <w:r w:rsidR="002A3BC2">
        <w:rPr>
          <w:rFonts w:ascii="Palatino Linotype" w:hAnsi="Palatino Linotype"/>
          <w:sz w:val="24"/>
          <w:szCs w:val="24"/>
        </w:rPr>
        <w:t xml:space="preserve"> law is </w:t>
      </w:r>
      <w:r>
        <w:rPr>
          <w:rFonts w:ascii="Palatino Linotype" w:hAnsi="Palatino Linotype"/>
          <w:sz w:val="24"/>
          <w:szCs w:val="24"/>
        </w:rPr>
        <w:t>greatly enhanced by</w:t>
      </w:r>
      <w:r w:rsidR="002A3BC2">
        <w:rPr>
          <w:rFonts w:ascii="Palatino Linotype" w:hAnsi="Palatino Linotype"/>
          <w:sz w:val="24"/>
          <w:szCs w:val="24"/>
        </w:rPr>
        <w:t xml:space="preserve"> the preliminary reference procedure. That procedure places UK courts in direct conversation with the Court of Justice – one of the EU’s most dynamic EU and policy actors. </w:t>
      </w:r>
      <w:r w:rsidR="00561926">
        <w:rPr>
          <w:rFonts w:ascii="Palatino Linotype" w:hAnsi="Palatino Linotype"/>
          <w:sz w:val="24"/>
          <w:szCs w:val="24"/>
        </w:rPr>
        <w:t>The</w:t>
      </w:r>
      <w:r w:rsidR="006321F2">
        <w:rPr>
          <w:rFonts w:ascii="Palatino Linotype" w:hAnsi="Palatino Linotype"/>
          <w:sz w:val="24"/>
          <w:szCs w:val="24"/>
        </w:rPr>
        <w:t xml:space="preserve"> fruits of this dialogue are on full display in cases such as </w:t>
      </w:r>
      <w:r w:rsidR="006321F2" w:rsidRPr="006321F2">
        <w:rPr>
          <w:rFonts w:ascii="Palatino Linotype" w:hAnsi="Palatino Linotype"/>
          <w:i/>
          <w:sz w:val="24"/>
          <w:szCs w:val="24"/>
        </w:rPr>
        <w:t>Jessy St Prix</w:t>
      </w:r>
      <w:r w:rsidR="006321F2">
        <w:rPr>
          <w:rFonts w:ascii="Palatino Linotype" w:hAnsi="Palatino Linotype"/>
          <w:sz w:val="24"/>
          <w:szCs w:val="24"/>
        </w:rPr>
        <w:t>, in which the UKSC (</w:t>
      </w:r>
      <w:hyperlink r:id="rId12" w:history="1">
        <w:proofErr w:type="spellStart"/>
        <w:r w:rsidR="006321F2" w:rsidRPr="00561926">
          <w:rPr>
            <w:rStyle w:val="Hyperlink"/>
            <w:rFonts w:ascii="Palatino Linotype" w:hAnsi="Palatino Linotype"/>
            <w:i/>
            <w:sz w:val="24"/>
            <w:szCs w:val="24"/>
          </w:rPr>
          <w:t>Jessy</w:t>
        </w:r>
        <w:proofErr w:type="spellEnd"/>
        <w:r w:rsidR="006321F2" w:rsidRPr="00561926">
          <w:rPr>
            <w:rStyle w:val="Hyperlink"/>
            <w:rFonts w:ascii="Palatino Linotype" w:hAnsi="Palatino Linotype"/>
            <w:i/>
            <w:sz w:val="24"/>
            <w:szCs w:val="24"/>
          </w:rPr>
          <w:t xml:space="preserve"> St Prix</w:t>
        </w:r>
      </w:hyperlink>
      <w:r w:rsidR="006321F2">
        <w:rPr>
          <w:rFonts w:ascii="Palatino Linotype" w:hAnsi="Palatino Linotype"/>
          <w:sz w:val="24"/>
          <w:szCs w:val="24"/>
        </w:rPr>
        <w:t xml:space="preserve">) and Court of </w:t>
      </w:r>
      <w:r w:rsidR="006321F2" w:rsidRPr="006321F2">
        <w:rPr>
          <w:rFonts w:ascii="Palatino Linotype" w:hAnsi="Palatino Linotype"/>
          <w:sz w:val="24"/>
          <w:szCs w:val="24"/>
        </w:rPr>
        <w:t>Justice (</w:t>
      </w:r>
      <w:hyperlink r:id="rId13" w:history="1">
        <w:r w:rsidR="006321F2" w:rsidRPr="006848A2">
          <w:rPr>
            <w:rStyle w:val="Hyperlink"/>
            <w:rFonts w:ascii="Palatino Linotype" w:hAnsi="Palatino Linotype"/>
            <w:sz w:val="24"/>
            <w:szCs w:val="24"/>
            <w:lang w:val="en-US"/>
          </w:rPr>
          <w:t>Case C</w:t>
        </w:r>
        <w:r w:rsidR="006321F2" w:rsidRPr="006848A2">
          <w:rPr>
            <w:rStyle w:val="Hyperlink"/>
            <w:rFonts w:ascii="Palatino Linotype" w:hAnsi="Palatino Linotype" w:cs="Monaco"/>
            <w:sz w:val="24"/>
            <w:szCs w:val="24"/>
            <w:lang w:val="en-US"/>
          </w:rPr>
          <w:t>‑</w:t>
        </w:r>
        <w:r w:rsidR="006321F2" w:rsidRPr="006848A2">
          <w:rPr>
            <w:rStyle w:val="Hyperlink"/>
            <w:rFonts w:ascii="Palatino Linotype" w:hAnsi="Palatino Linotype"/>
            <w:sz w:val="24"/>
            <w:szCs w:val="24"/>
            <w:lang w:val="en-US"/>
          </w:rPr>
          <w:t>507/12</w:t>
        </w:r>
      </w:hyperlink>
      <w:r w:rsidR="006321F2" w:rsidRPr="006321F2">
        <w:rPr>
          <w:rStyle w:val="Hyperlink"/>
          <w:rFonts w:ascii="Palatino Linotype" w:hAnsi="Palatino Linotype"/>
          <w:i/>
          <w:sz w:val="24"/>
          <w:szCs w:val="24"/>
        </w:rPr>
        <w:t>)</w:t>
      </w:r>
      <w:r w:rsidR="006321F2" w:rsidRPr="006321F2">
        <w:rPr>
          <w:rFonts w:ascii="Palatino Linotype" w:hAnsi="Palatino Linotype"/>
          <w:sz w:val="24"/>
          <w:szCs w:val="24"/>
        </w:rPr>
        <w:t xml:space="preserve"> joined</w:t>
      </w:r>
      <w:r w:rsidR="006321F2">
        <w:rPr>
          <w:rFonts w:ascii="Palatino Linotype" w:hAnsi="Palatino Linotype"/>
          <w:sz w:val="24"/>
          <w:szCs w:val="24"/>
        </w:rPr>
        <w:t xml:space="preserve"> forces to expand </w:t>
      </w:r>
      <w:r w:rsidR="00275F74">
        <w:rPr>
          <w:rFonts w:ascii="Palatino Linotype" w:hAnsi="Palatino Linotype"/>
          <w:sz w:val="24"/>
          <w:szCs w:val="24"/>
        </w:rPr>
        <w:t>the legal protection that</w:t>
      </w:r>
      <w:r w:rsidR="006321F2">
        <w:rPr>
          <w:rFonts w:ascii="Palatino Linotype" w:hAnsi="Palatino Linotype"/>
          <w:sz w:val="24"/>
          <w:szCs w:val="24"/>
        </w:rPr>
        <w:t xml:space="preserve"> </w:t>
      </w:r>
      <w:hyperlink r:id="rId14" w:history="1">
        <w:r w:rsidR="006848A2" w:rsidRPr="006848A2">
          <w:rPr>
            <w:rStyle w:val="Hyperlink"/>
            <w:rFonts w:ascii="Palatino Linotype" w:hAnsi="Palatino Linotype"/>
            <w:sz w:val="24"/>
            <w:szCs w:val="24"/>
          </w:rPr>
          <w:t>Art 7(3) of Directive 2004/38 EC</w:t>
        </w:r>
      </w:hyperlink>
      <w:r w:rsidR="00275F74">
        <w:rPr>
          <w:rFonts w:ascii="Palatino Linotype" w:hAnsi="Palatino Linotype"/>
          <w:sz w:val="24"/>
          <w:szCs w:val="24"/>
        </w:rPr>
        <w:t xml:space="preserve"> affords EU citizens previously employed in host Member States.</w:t>
      </w:r>
    </w:p>
    <w:p w14:paraId="63D68359" w14:textId="77777777" w:rsidR="005D3EE8" w:rsidRPr="002A3BC2" w:rsidRDefault="005D3EE8" w:rsidP="0043299A">
      <w:pPr>
        <w:spacing w:line="360" w:lineRule="auto"/>
        <w:jc w:val="both"/>
        <w:rPr>
          <w:rFonts w:ascii="Palatino Linotype" w:hAnsi="Palatino Linotype"/>
          <w:sz w:val="24"/>
          <w:szCs w:val="24"/>
        </w:rPr>
      </w:pPr>
    </w:p>
    <w:p w14:paraId="6E840F7E" w14:textId="5D23A9CB" w:rsidR="002F28CB" w:rsidRDefault="00E90788" w:rsidP="001D7D58">
      <w:pPr>
        <w:spacing w:line="360" w:lineRule="auto"/>
        <w:jc w:val="both"/>
        <w:rPr>
          <w:rFonts w:ascii="Palatino Linotype" w:hAnsi="Palatino Linotype"/>
          <w:sz w:val="24"/>
          <w:szCs w:val="24"/>
        </w:rPr>
      </w:pPr>
      <w:r>
        <w:rPr>
          <w:rFonts w:ascii="Palatino Linotype" w:hAnsi="Palatino Linotype"/>
          <w:b/>
          <w:sz w:val="24"/>
          <w:szCs w:val="24"/>
        </w:rPr>
        <w:t>The Great Repeal Bill</w:t>
      </w:r>
      <w:r w:rsidR="00AC51FE">
        <w:rPr>
          <w:rFonts w:ascii="Palatino Linotype" w:hAnsi="Palatino Linotype"/>
          <w:b/>
          <w:sz w:val="24"/>
          <w:szCs w:val="24"/>
        </w:rPr>
        <w:t xml:space="preserve"> and UK Courts</w:t>
      </w:r>
      <w:r>
        <w:rPr>
          <w:rFonts w:ascii="Palatino Linotype" w:hAnsi="Palatino Linotype"/>
          <w:b/>
          <w:sz w:val="24"/>
          <w:szCs w:val="24"/>
        </w:rPr>
        <w:t xml:space="preserve">: </w:t>
      </w:r>
      <w:r w:rsidR="00E60088">
        <w:rPr>
          <w:rFonts w:ascii="Palatino Linotype" w:hAnsi="Palatino Linotype"/>
          <w:b/>
          <w:sz w:val="24"/>
          <w:szCs w:val="24"/>
        </w:rPr>
        <w:t>Future Options</w:t>
      </w:r>
      <w:r w:rsidR="002F28CB">
        <w:rPr>
          <w:rFonts w:ascii="Palatino Linotype" w:hAnsi="Palatino Linotype"/>
          <w:b/>
          <w:sz w:val="24"/>
          <w:szCs w:val="24"/>
        </w:rPr>
        <w:t xml:space="preserve"> </w:t>
      </w:r>
    </w:p>
    <w:p w14:paraId="085C623F" w14:textId="6045B105" w:rsidR="00845E2A" w:rsidRDefault="00845E2A" w:rsidP="00845E2A">
      <w:pPr>
        <w:spacing w:line="360" w:lineRule="auto"/>
        <w:jc w:val="both"/>
        <w:rPr>
          <w:rFonts w:ascii="Palatino Linotype" w:hAnsi="Palatino Linotype"/>
          <w:sz w:val="24"/>
          <w:szCs w:val="24"/>
        </w:rPr>
      </w:pPr>
      <w:r>
        <w:rPr>
          <w:rFonts w:ascii="Palatino Linotype" w:hAnsi="Palatino Linotype"/>
          <w:sz w:val="24"/>
          <w:szCs w:val="24"/>
        </w:rPr>
        <w:t xml:space="preserve">The UK legal order presents Parliament with a number of potential options following </w:t>
      </w:r>
      <w:r w:rsidR="00E646B2">
        <w:rPr>
          <w:rFonts w:ascii="Palatino Linotype" w:hAnsi="Palatino Linotype"/>
          <w:sz w:val="24"/>
          <w:szCs w:val="24"/>
        </w:rPr>
        <w:t>the</w:t>
      </w:r>
      <w:r>
        <w:rPr>
          <w:rFonts w:ascii="Palatino Linotype" w:hAnsi="Palatino Linotype"/>
          <w:sz w:val="24"/>
          <w:szCs w:val="24"/>
        </w:rPr>
        <w:t xml:space="preserve"> repeal </w:t>
      </w:r>
      <w:r w:rsidR="00E646B2">
        <w:rPr>
          <w:rFonts w:ascii="Palatino Linotype" w:hAnsi="Palatino Linotype"/>
          <w:sz w:val="24"/>
          <w:szCs w:val="24"/>
        </w:rPr>
        <w:t xml:space="preserve">of </w:t>
      </w:r>
      <w:r>
        <w:rPr>
          <w:rFonts w:ascii="Palatino Linotype" w:hAnsi="Palatino Linotype"/>
          <w:sz w:val="24"/>
          <w:szCs w:val="24"/>
        </w:rPr>
        <w:t xml:space="preserve">the </w:t>
      </w:r>
      <w:r w:rsidR="00E60088">
        <w:rPr>
          <w:rFonts w:ascii="Palatino Linotype" w:hAnsi="Palatino Linotype"/>
          <w:sz w:val="24"/>
          <w:szCs w:val="24"/>
        </w:rPr>
        <w:t>ECA</w:t>
      </w:r>
      <w:r>
        <w:rPr>
          <w:rFonts w:ascii="Palatino Linotype" w:hAnsi="Palatino Linotype"/>
          <w:sz w:val="24"/>
          <w:szCs w:val="24"/>
        </w:rPr>
        <w:t xml:space="preserve"> as the source of the current constitutional instruction to domestic courts.</w:t>
      </w:r>
      <w:r w:rsidR="002A3BC2">
        <w:rPr>
          <w:rFonts w:ascii="Palatino Linotype" w:hAnsi="Palatino Linotype"/>
          <w:sz w:val="24"/>
          <w:szCs w:val="24"/>
        </w:rPr>
        <w:t xml:space="preserve"> </w:t>
      </w:r>
      <w:r w:rsidR="001D1722">
        <w:rPr>
          <w:rFonts w:ascii="Palatino Linotype" w:hAnsi="Palatino Linotype"/>
          <w:sz w:val="24"/>
          <w:szCs w:val="24"/>
        </w:rPr>
        <w:t>The</w:t>
      </w:r>
      <w:r w:rsidR="00A31BA9">
        <w:rPr>
          <w:rFonts w:ascii="Palatino Linotype" w:hAnsi="Palatino Linotype"/>
          <w:sz w:val="24"/>
          <w:szCs w:val="24"/>
        </w:rPr>
        <w:t>se</w:t>
      </w:r>
      <w:r>
        <w:rPr>
          <w:rFonts w:ascii="Palatino Linotype" w:hAnsi="Palatino Linotype"/>
          <w:sz w:val="24"/>
          <w:szCs w:val="24"/>
        </w:rPr>
        <w:t xml:space="preserve"> options range from no </w:t>
      </w:r>
      <w:r w:rsidRPr="00845E2A">
        <w:rPr>
          <w:rFonts w:ascii="Palatino Linotype" w:hAnsi="Palatino Linotype"/>
          <w:sz w:val="24"/>
          <w:szCs w:val="24"/>
        </w:rPr>
        <w:t>replacement through to the</w:t>
      </w:r>
      <w:r w:rsidR="00E646B2">
        <w:rPr>
          <w:rFonts w:ascii="Palatino Linotype" w:hAnsi="Palatino Linotype"/>
          <w:sz w:val="24"/>
          <w:szCs w:val="24"/>
        </w:rPr>
        <w:t xml:space="preserve"> full</w:t>
      </w:r>
      <w:r w:rsidRPr="00845E2A">
        <w:rPr>
          <w:rFonts w:ascii="Palatino Linotype" w:hAnsi="Palatino Linotype"/>
          <w:sz w:val="24"/>
          <w:szCs w:val="24"/>
        </w:rPr>
        <w:t xml:space="preserve"> (</w:t>
      </w:r>
      <w:proofErr w:type="gramStart"/>
      <w:r w:rsidRPr="00845E2A">
        <w:rPr>
          <w:rFonts w:ascii="Palatino Linotype" w:hAnsi="Palatino Linotype"/>
          <w:sz w:val="24"/>
          <w:szCs w:val="24"/>
        </w:rPr>
        <w:t>re)enactment</w:t>
      </w:r>
      <w:proofErr w:type="gramEnd"/>
      <w:r w:rsidRPr="00845E2A">
        <w:rPr>
          <w:rFonts w:ascii="Palatino Linotype" w:hAnsi="Palatino Linotype"/>
          <w:sz w:val="24"/>
          <w:szCs w:val="24"/>
        </w:rPr>
        <w:t xml:space="preserve"> of the substance of </w:t>
      </w:r>
      <w:r w:rsidR="00A31BA9">
        <w:rPr>
          <w:rFonts w:ascii="Palatino Linotype" w:hAnsi="Palatino Linotype"/>
          <w:sz w:val="24"/>
          <w:szCs w:val="24"/>
        </w:rPr>
        <w:t xml:space="preserve">the </w:t>
      </w:r>
      <w:r w:rsidR="00E60088">
        <w:rPr>
          <w:rFonts w:ascii="Palatino Linotype" w:hAnsi="Palatino Linotype"/>
          <w:sz w:val="24"/>
          <w:szCs w:val="24"/>
        </w:rPr>
        <w:t>ECA</w:t>
      </w:r>
      <w:r w:rsidR="00A31BA9">
        <w:rPr>
          <w:rFonts w:ascii="Palatino Linotype" w:hAnsi="Palatino Linotype"/>
          <w:sz w:val="24"/>
          <w:szCs w:val="24"/>
        </w:rPr>
        <w:t xml:space="preserve"> under a new name. As things stand, t</w:t>
      </w:r>
      <w:r w:rsidRPr="00845E2A">
        <w:rPr>
          <w:rFonts w:ascii="Palatino Linotype" w:hAnsi="Palatino Linotype"/>
          <w:sz w:val="24"/>
          <w:szCs w:val="24"/>
        </w:rPr>
        <w:t xml:space="preserve">he Government’s </w:t>
      </w:r>
      <w:hyperlink r:id="rId15" w:history="1">
        <w:r w:rsidR="00561926" w:rsidRPr="00561926">
          <w:rPr>
            <w:rStyle w:val="Hyperlink"/>
            <w:rFonts w:ascii="Palatino Linotype" w:hAnsi="Palatino Linotype"/>
            <w:i/>
            <w:sz w:val="24"/>
            <w:szCs w:val="24"/>
          </w:rPr>
          <w:t>Brexit</w:t>
        </w:r>
        <w:r w:rsidR="00561926" w:rsidRPr="00561926">
          <w:rPr>
            <w:rStyle w:val="Hyperlink"/>
            <w:rFonts w:ascii="Palatino Linotype" w:hAnsi="Palatino Linotype"/>
            <w:sz w:val="24"/>
            <w:szCs w:val="24"/>
          </w:rPr>
          <w:t xml:space="preserve"> </w:t>
        </w:r>
        <w:r w:rsidRPr="00561926">
          <w:rPr>
            <w:rStyle w:val="Hyperlink"/>
            <w:rFonts w:ascii="Palatino Linotype" w:hAnsi="Palatino Linotype"/>
            <w:i/>
            <w:sz w:val="24"/>
            <w:szCs w:val="24"/>
          </w:rPr>
          <w:t>White Paper</w:t>
        </w:r>
      </w:hyperlink>
      <w:r w:rsidRPr="00845E2A">
        <w:rPr>
          <w:rFonts w:ascii="Palatino Linotype" w:hAnsi="Palatino Linotype"/>
          <w:sz w:val="24"/>
          <w:szCs w:val="24"/>
        </w:rPr>
        <w:t xml:space="preserve"> indicates that </w:t>
      </w:r>
      <w:r w:rsidR="00224397">
        <w:rPr>
          <w:rFonts w:ascii="Palatino Linotype" w:hAnsi="Palatino Linotype"/>
          <w:sz w:val="24"/>
          <w:szCs w:val="24"/>
        </w:rPr>
        <w:t>current thinking favours</w:t>
      </w:r>
      <w:r w:rsidRPr="00845E2A">
        <w:rPr>
          <w:rFonts w:ascii="Palatino Linotype" w:hAnsi="Palatino Linotype"/>
          <w:sz w:val="24"/>
          <w:szCs w:val="24"/>
        </w:rPr>
        <w:t xml:space="preserve"> more radical change</w:t>
      </w:r>
      <w:r w:rsidR="00224397">
        <w:rPr>
          <w:rFonts w:ascii="Palatino Linotype" w:hAnsi="Palatino Linotype"/>
          <w:sz w:val="24"/>
          <w:szCs w:val="24"/>
        </w:rPr>
        <w:t xml:space="preserve"> to the current constitutional instruction to domestic courts under the ECA</w:t>
      </w:r>
      <w:r w:rsidRPr="00845E2A">
        <w:rPr>
          <w:rFonts w:ascii="Palatino Linotype" w:hAnsi="Palatino Linotype"/>
          <w:sz w:val="24"/>
          <w:szCs w:val="24"/>
        </w:rPr>
        <w:t xml:space="preserve">. Should </w:t>
      </w:r>
      <w:r w:rsidR="00224397">
        <w:rPr>
          <w:rFonts w:ascii="Palatino Linotype" w:hAnsi="Palatino Linotype"/>
          <w:sz w:val="24"/>
          <w:szCs w:val="24"/>
        </w:rPr>
        <w:t>that view</w:t>
      </w:r>
      <w:r w:rsidRPr="00845E2A">
        <w:rPr>
          <w:rFonts w:ascii="Palatino Linotype" w:hAnsi="Palatino Linotype"/>
          <w:sz w:val="24"/>
          <w:szCs w:val="24"/>
        </w:rPr>
        <w:t xml:space="preserve"> gain</w:t>
      </w:r>
      <w:r w:rsidR="00224397">
        <w:rPr>
          <w:rFonts w:ascii="Palatino Linotype" w:hAnsi="Palatino Linotype"/>
          <w:sz w:val="24"/>
          <w:szCs w:val="24"/>
        </w:rPr>
        <w:t xml:space="preserve"> traction</w:t>
      </w:r>
      <w:r w:rsidR="002F05AB">
        <w:rPr>
          <w:rFonts w:ascii="Palatino Linotype" w:hAnsi="Palatino Linotype"/>
          <w:sz w:val="24"/>
          <w:szCs w:val="24"/>
        </w:rPr>
        <w:t>, it is likely to e</w:t>
      </w:r>
      <w:r w:rsidR="00224397">
        <w:rPr>
          <w:rFonts w:ascii="Palatino Linotype" w:hAnsi="Palatino Linotype"/>
          <w:sz w:val="24"/>
          <w:szCs w:val="24"/>
        </w:rPr>
        <w:t>ffect significant change to</w:t>
      </w:r>
      <w:r w:rsidRPr="00845E2A">
        <w:rPr>
          <w:rFonts w:ascii="Palatino Linotype" w:hAnsi="Palatino Linotype"/>
          <w:sz w:val="24"/>
          <w:szCs w:val="24"/>
        </w:rPr>
        <w:t xml:space="preserve"> UK courts’ current institutional </w:t>
      </w:r>
      <w:r w:rsidR="00224397">
        <w:rPr>
          <w:rFonts w:ascii="Palatino Linotype" w:hAnsi="Palatino Linotype"/>
          <w:sz w:val="24"/>
          <w:szCs w:val="24"/>
        </w:rPr>
        <w:t>functions.</w:t>
      </w:r>
    </w:p>
    <w:p w14:paraId="065A3A48" w14:textId="77777777" w:rsidR="002A3BC2" w:rsidRDefault="002A3BC2" w:rsidP="00845E2A">
      <w:pPr>
        <w:spacing w:line="360" w:lineRule="auto"/>
        <w:jc w:val="both"/>
        <w:rPr>
          <w:rFonts w:ascii="Palatino Linotype" w:hAnsi="Palatino Linotype"/>
          <w:sz w:val="24"/>
          <w:szCs w:val="24"/>
        </w:rPr>
      </w:pPr>
    </w:p>
    <w:p w14:paraId="79E91017" w14:textId="48F103F6" w:rsidR="001614F5" w:rsidRDefault="002A3BC2" w:rsidP="00845E2A">
      <w:pPr>
        <w:spacing w:line="360" w:lineRule="auto"/>
        <w:jc w:val="both"/>
        <w:rPr>
          <w:rFonts w:ascii="Palatino Linotype" w:hAnsi="Palatino Linotype"/>
          <w:sz w:val="24"/>
          <w:szCs w:val="24"/>
        </w:rPr>
      </w:pPr>
      <w:r>
        <w:rPr>
          <w:rFonts w:ascii="Palatino Linotype" w:hAnsi="Palatino Linotype"/>
          <w:sz w:val="24"/>
          <w:szCs w:val="24"/>
        </w:rPr>
        <w:t xml:space="preserve">On the one hand, </w:t>
      </w:r>
      <w:r w:rsidR="001614F5">
        <w:rPr>
          <w:rFonts w:ascii="Palatino Linotype" w:hAnsi="Palatino Linotype"/>
          <w:sz w:val="24"/>
          <w:szCs w:val="24"/>
        </w:rPr>
        <w:t xml:space="preserve">Parliament could repeal the ECA with no replacement instruction </w:t>
      </w:r>
      <w:r w:rsidR="00561926">
        <w:rPr>
          <w:rFonts w:ascii="Palatino Linotype" w:hAnsi="Palatino Linotype"/>
          <w:sz w:val="24"/>
          <w:szCs w:val="24"/>
        </w:rPr>
        <w:t>with respect to</w:t>
      </w:r>
      <w:r w:rsidR="001614F5">
        <w:rPr>
          <w:rFonts w:ascii="Palatino Linotype" w:hAnsi="Palatino Linotype"/>
          <w:sz w:val="24"/>
          <w:szCs w:val="24"/>
        </w:rPr>
        <w:t xml:space="preserve"> </w:t>
      </w:r>
      <w:r w:rsidR="001614F5" w:rsidRPr="001614F5">
        <w:rPr>
          <w:rFonts w:ascii="Palatino Linotype" w:hAnsi="Palatino Linotype"/>
          <w:sz w:val="24"/>
          <w:szCs w:val="24"/>
        </w:rPr>
        <w:t xml:space="preserve">the </w:t>
      </w:r>
      <w:r w:rsidR="001614F5">
        <w:rPr>
          <w:rFonts w:ascii="Palatino Linotype" w:hAnsi="Palatino Linotype"/>
          <w:sz w:val="24"/>
          <w:szCs w:val="24"/>
        </w:rPr>
        <w:t xml:space="preserve">internal effect of </w:t>
      </w:r>
      <w:r w:rsidR="00224397">
        <w:rPr>
          <w:rFonts w:ascii="Palatino Linotype" w:hAnsi="Palatino Linotype"/>
          <w:sz w:val="24"/>
          <w:szCs w:val="24"/>
        </w:rPr>
        <w:t xml:space="preserve">the present EU </w:t>
      </w:r>
      <w:r w:rsidR="00224397" w:rsidRPr="003A1D8D">
        <w:rPr>
          <w:rFonts w:ascii="Palatino Linotype" w:hAnsi="Palatino Linotype"/>
          <w:i/>
          <w:sz w:val="24"/>
          <w:szCs w:val="24"/>
        </w:rPr>
        <w:t>acquis</w:t>
      </w:r>
      <w:r w:rsidR="00224397">
        <w:rPr>
          <w:rFonts w:ascii="Palatino Linotype" w:hAnsi="Palatino Linotype"/>
          <w:sz w:val="24"/>
          <w:szCs w:val="24"/>
        </w:rPr>
        <w:t xml:space="preserve"> – the body of law</w:t>
      </w:r>
      <w:r w:rsidR="001614F5">
        <w:rPr>
          <w:rFonts w:ascii="Palatino Linotype" w:hAnsi="Palatino Linotype"/>
          <w:sz w:val="24"/>
          <w:szCs w:val="24"/>
        </w:rPr>
        <w:t xml:space="preserve"> that the Great Repeal Bill is expected</w:t>
      </w:r>
      <w:r w:rsidR="00561926">
        <w:rPr>
          <w:rFonts w:ascii="Palatino Linotype" w:hAnsi="Palatino Linotype"/>
          <w:sz w:val="24"/>
          <w:szCs w:val="24"/>
        </w:rPr>
        <w:t xml:space="preserve"> simultaneously</w:t>
      </w:r>
      <w:r w:rsidR="001614F5">
        <w:rPr>
          <w:rFonts w:ascii="Palatino Linotype" w:hAnsi="Palatino Linotype"/>
          <w:sz w:val="24"/>
          <w:szCs w:val="24"/>
        </w:rPr>
        <w:t xml:space="preserve"> to </w:t>
      </w:r>
      <w:r w:rsidR="001614F5" w:rsidRPr="001614F5">
        <w:rPr>
          <w:rFonts w:ascii="Palatino Linotype" w:hAnsi="Palatino Linotype"/>
          <w:sz w:val="24"/>
          <w:szCs w:val="24"/>
        </w:rPr>
        <w:t>‘nationalise</w:t>
      </w:r>
      <w:r w:rsidR="00224397">
        <w:rPr>
          <w:rFonts w:ascii="Palatino Linotype" w:hAnsi="Palatino Linotype"/>
          <w:sz w:val="24"/>
          <w:szCs w:val="24"/>
        </w:rPr>
        <w:t>.</w:t>
      </w:r>
      <w:r w:rsidR="001614F5" w:rsidRPr="001614F5">
        <w:rPr>
          <w:rFonts w:ascii="Palatino Linotype" w:hAnsi="Palatino Linotype"/>
          <w:sz w:val="24"/>
          <w:szCs w:val="24"/>
        </w:rPr>
        <w:t xml:space="preserve">’ </w:t>
      </w:r>
      <w:r w:rsidR="001614F5">
        <w:rPr>
          <w:rFonts w:ascii="Palatino Linotype" w:hAnsi="Palatino Linotype"/>
          <w:sz w:val="24"/>
          <w:szCs w:val="24"/>
        </w:rPr>
        <w:t xml:space="preserve">Should that be the case, </w:t>
      </w:r>
      <w:r w:rsidR="001614F5" w:rsidRPr="001614F5">
        <w:rPr>
          <w:rFonts w:ascii="Palatino Linotype" w:hAnsi="Palatino Linotype"/>
          <w:sz w:val="24"/>
          <w:szCs w:val="24"/>
        </w:rPr>
        <w:t>UK courts can</w:t>
      </w:r>
      <w:r w:rsidR="00224397">
        <w:rPr>
          <w:rFonts w:ascii="Palatino Linotype" w:hAnsi="Palatino Linotype"/>
          <w:sz w:val="24"/>
          <w:szCs w:val="24"/>
        </w:rPr>
        <w:t xml:space="preserve"> legitimately</w:t>
      </w:r>
      <w:r w:rsidR="001614F5">
        <w:rPr>
          <w:rFonts w:ascii="Palatino Linotype" w:hAnsi="Palatino Linotype"/>
          <w:sz w:val="24"/>
          <w:szCs w:val="24"/>
        </w:rPr>
        <w:t xml:space="preserve"> </w:t>
      </w:r>
      <w:r w:rsidR="001614F5" w:rsidRPr="001614F5">
        <w:rPr>
          <w:rFonts w:ascii="Palatino Linotype" w:hAnsi="Palatino Linotype"/>
          <w:sz w:val="24"/>
          <w:szCs w:val="24"/>
        </w:rPr>
        <w:t xml:space="preserve">be expected to interpret that body of </w:t>
      </w:r>
      <w:r w:rsidR="001614F5">
        <w:rPr>
          <w:rFonts w:ascii="Palatino Linotype" w:hAnsi="Palatino Linotype"/>
          <w:sz w:val="24"/>
          <w:szCs w:val="24"/>
        </w:rPr>
        <w:t xml:space="preserve">(now) national </w:t>
      </w:r>
      <w:r w:rsidR="001614F5" w:rsidRPr="001614F5">
        <w:rPr>
          <w:rFonts w:ascii="Palatino Linotype" w:hAnsi="Palatino Linotype"/>
          <w:sz w:val="24"/>
          <w:szCs w:val="24"/>
        </w:rPr>
        <w:t>law in accordance with ordinary rules of domestic interpretation</w:t>
      </w:r>
      <w:r w:rsidR="001614F5">
        <w:rPr>
          <w:rFonts w:ascii="Palatino Linotype" w:hAnsi="Palatino Linotype"/>
          <w:sz w:val="24"/>
          <w:szCs w:val="24"/>
        </w:rPr>
        <w:t xml:space="preserve">. It would be rather bold for UK courts to </w:t>
      </w:r>
      <w:r w:rsidR="00E422E4">
        <w:rPr>
          <w:rFonts w:ascii="Palatino Linotype" w:hAnsi="Palatino Linotype"/>
          <w:sz w:val="24"/>
          <w:szCs w:val="24"/>
        </w:rPr>
        <w:t>conclude otherwise; for instance, by asserting</w:t>
      </w:r>
      <w:r w:rsidR="001614F5">
        <w:rPr>
          <w:rFonts w:ascii="Palatino Linotype" w:hAnsi="Palatino Linotype"/>
          <w:sz w:val="24"/>
          <w:szCs w:val="24"/>
        </w:rPr>
        <w:t xml:space="preserve"> that the repatriated</w:t>
      </w:r>
      <w:r w:rsidR="001614F5" w:rsidRPr="001614F5">
        <w:rPr>
          <w:rFonts w:ascii="Palatino Linotype" w:hAnsi="Palatino Linotype"/>
          <w:sz w:val="24"/>
          <w:szCs w:val="24"/>
        </w:rPr>
        <w:t xml:space="preserve"> EU </w:t>
      </w:r>
      <w:r w:rsidR="001614F5" w:rsidRPr="003A1D8D">
        <w:rPr>
          <w:rFonts w:ascii="Palatino Linotype" w:hAnsi="Palatino Linotype"/>
          <w:i/>
          <w:sz w:val="24"/>
          <w:szCs w:val="24"/>
        </w:rPr>
        <w:t>acquis</w:t>
      </w:r>
      <w:r w:rsidR="001614F5" w:rsidRPr="001614F5">
        <w:rPr>
          <w:rFonts w:ascii="Palatino Linotype" w:hAnsi="Palatino Linotype"/>
          <w:sz w:val="24"/>
          <w:szCs w:val="24"/>
        </w:rPr>
        <w:t xml:space="preserve"> should be attributed 'special status'</w:t>
      </w:r>
      <w:r w:rsidR="001614F5">
        <w:rPr>
          <w:rFonts w:ascii="Palatino Linotype" w:hAnsi="Palatino Linotype"/>
          <w:sz w:val="24"/>
          <w:szCs w:val="24"/>
        </w:rPr>
        <w:t xml:space="preserve"> vis-à-vis </w:t>
      </w:r>
      <w:r w:rsidR="00E422E4">
        <w:rPr>
          <w:rFonts w:ascii="Palatino Linotype" w:hAnsi="Palatino Linotype"/>
          <w:sz w:val="24"/>
          <w:szCs w:val="24"/>
        </w:rPr>
        <w:t>ordinary</w:t>
      </w:r>
      <w:r w:rsidR="001614F5">
        <w:rPr>
          <w:rFonts w:ascii="Palatino Linotype" w:hAnsi="Palatino Linotype"/>
          <w:sz w:val="24"/>
          <w:szCs w:val="24"/>
        </w:rPr>
        <w:t xml:space="preserve"> domestic law in absence of any replacement legislative instruction to do so. As </w:t>
      </w:r>
      <w:hyperlink r:id="rId16" w:history="1">
        <w:r w:rsidR="00E422E4" w:rsidRPr="00705EAD">
          <w:rPr>
            <w:rStyle w:val="Hyperlink"/>
            <w:rFonts w:ascii="Palatino Linotype" w:hAnsi="Palatino Linotype"/>
            <w:i/>
            <w:sz w:val="24"/>
            <w:szCs w:val="24"/>
          </w:rPr>
          <w:t>Miller</w:t>
        </w:r>
      </w:hyperlink>
      <w:r w:rsidR="00E422E4">
        <w:rPr>
          <w:rFonts w:ascii="Palatino Linotype" w:hAnsi="Palatino Linotype"/>
          <w:i/>
          <w:sz w:val="24"/>
          <w:szCs w:val="24"/>
        </w:rPr>
        <w:t xml:space="preserve"> </w:t>
      </w:r>
      <w:r w:rsidR="00E422E4">
        <w:rPr>
          <w:rFonts w:ascii="Palatino Linotype" w:hAnsi="Palatino Linotype"/>
          <w:sz w:val="24"/>
          <w:szCs w:val="24"/>
        </w:rPr>
        <w:t>again reiterated</w:t>
      </w:r>
      <w:r w:rsidR="001614F5">
        <w:rPr>
          <w:rFonts w:ascii="Palatino Linotype" w:hAnsi="Palatino Linotype"/>
          <w:sz w:val="24"/>
          <w:szCs w:val="24"/>
        </w:rPr>
        <w:t xml:space="preserve">, UK courts </w:t>
      </w:r>
      <w:r w:rsidR="00E422E4">
        <w:rPr>
          <w:rFonts w:ascii="Palatino Linotype" w:hAnsi="Palatino Linotype"/>
          <w:sz w:val="24"/>
          <w:szCs w:val="24"/>
        </w:rPr>
        <w:t>locate</w:t>
      </w:r>
      <w:r w:rsidR="001614F5">
        <w:rPr>
          <w:rFonts w:ascii="Palatino Linotype" w:hAnsi="Palatino Linotype"/>
          <w:sz w:val="24"/>
          <w:szCs w:val="24"/>
        </w:rPr>
        <w:t xml:space="preserve"> the instruction to afford special treatment to the EU </w:t>
      </w:r>
      <w:r w:rsidR="001614F5" w:rsidRPr="003A1D8D">
        <w:rPr>
          <w:rFonts w:ascii="Palatino Linotype" w:hAnsi="Palatino Linotype"/>
          <w:i/>
          <w:sz w:val="24"/>
          <w:szCs w:val="24"/>
        </w:rPr>
        <w:t>acquis</w:t>
      </w:r>
      <w:r w:rsidR="00026546">
        <w:rPr>
          <w:rFonts w:ascii="Palatino Linotype" w:hAnsi="Palatino Linotype"/>
          <w:sz w:val="24"/>
          <w:szCs w:val="24"/>
        </w:rPr>
        <w:t xml:space="preserve"> expressly</w:t>
      </w:r>
      <w:r w:rsidR="001614F5">
        <w:rPr>
          <w:rFonts w:ascii="Palatino Linotype" w:hAnsi="Palatino Linotype"/>
          <w:sz w:val="24"/>
          <w:szCs w:val="24"/>
        </w:rPr>
        <w:t xml:space="preserve"> in the ECA</w:t>
      </w:r>
      <w:r w:rsidR="00E422E4">
        <w:rPr>
          <w:rFonts w:ascii="Palatino Linotype" w:hAnsi="Palatino Linotype"/>
          <w:sz w:val="24"/>
          <w:szCs w:val="24"/>
        </w:rPr>
        <w:t xml:space="preserve"> and the doctrine of parliamentary sovereignty</w:t>
      </w:r>
      <w:r w:rsidR="00041EA6">
        <w:rPr>
          <w:rFonts w:ascii="Palatino Linotype" w:hAnsi="Palatino Linotype"/>
          <w:sz w:val="24"/>
          <w:szCs w:val="24"/>
        </w:rPr>
        <w:t xml:space="preserve"> [at para. 60]</w:t>
      </w:r>
      <w:r w:rsidR="00E422E4">
        <w:rPr>
          <w:rFonts w:ascii="Palatino Linotype" w:hAnsi="Palatino Linotype"/>
          <w:sz w:val="24"/>
          <w:szCs w:val="24"/>
        </w:rPr>
        <w:t xml:space="preserve">. </w:t>
      </w:r>
      <w:r w:rsidR="00745FCF">
        <w:rPr>
          <w:rFonts w:ascii="Palatino Linotype" w:hAnsi="Palatino Linotype"/>
          <w:sz w:val="24"/>
          <w:szCs w:val="24"/>
        </w:rPr>
        <w:t xml:space="preserve">Of course, UK courts could be bolder and see an opportunity to </w:t>
      </w:r>
      <w:r w:rsidR="00500511">
        <w:rPr>
          <w:rFonts w:ascii="Palatino Linotype" w:hAnsi="Palatino Linotype"/>
          <w:sz w:val="24"/>
          <w:szCs w:val="24"/>
        </w:rPr>
        <w:t xml:space="preserve">craft </w:t>
      </w:r>
      <w:r w:rsidR="008152BD">
        <w:rPr>
          <w:rFonts w:ascii="Palatino Linotype" w:hAnsi="Palatino Linotype"/>
          <w:sz w:val="24"/>
          <w:szCs w:val="24"/>
        </w:rPr>
        <w:t xml:space="preserve">a new constitutional approach. </w:t>
      </w:r>
      <w:r w:rsidR="00E422E4">
        <w:rPr>
          <w:rFonts w:ascii="Palatino Linotype" w:hAnsi="Palatino Linotype"/>
          <w:sz w:val="24"/>
          <w:szCs w:val="24"/>
        </w:rPr>
        <w:t>M</w:t>
      </w:r>
      <w:r w:rsidR="00500511">
        <w:rPr>
          <w:rFonts w:ascii="Palatino Linotype" w:hAnsi="Palatino Linotype"/>
          <w:sz w:val="24"/>
          <w:szCs w:val="24"/>
        </w:rPr>
        <w:t xml:space="preserve">ore likely, however, </w:t>
      </w:r>
      <w:r w:rsidR="008152BD">
        <w:rPr>
          <w:rFonts w:ascii="Palatino Linotype" w:hAnsi="Palatino Linotype"/>
          <w:sz w:val="24"/>
          <w:szCs w:val="24"/>
        </w:rPr>
        <w:t xml:space="preserve">in the absence of any replacement legislative instruction in the Great Repeal Bill, </w:t>
      </w:r>
      <w:r w:rsidR="00E422E4">
        <w:rPr>
          <w:rFonts w:ascii="Palatino Linotype" w:hAnsi="Palatino Linotype"/>
          <w:sz w:val="24"/>
          <w:szCs w:val="24"/>
        </w:rPr>
        <w:t>UK</w:t>
      </w:r>
      <w:r w:rsidR="00500511" w:rsidRPr="00500511">
        <w:rPr>
          <w:rFonts w:ascii="Palatino Linotype" w:hAnsi="Palatino Linotype"/>
          <w:sz w:val="24"/>
          <w:szCs w:val="24"/>
        </w:rPr>
        <w:t xml:space="preserve"> courts would </w:t>
      </w:r>
      <w:r w:rsidR="008152BD">
        <w:rPr>
          <w:rFonts w:ascii="Palatino Linotype" w:hAnsi="Palatino Linotype"/>
          <w:sz w:val="24"/>
          <w:szCs w:val="24"/>
        </w:rPr>
        <w:t xml:space="preserve">continue to forge </w:t>
      </w:r>
      <w:r w:rsidR="00500511" w:rsidRPr="00500511">
        <w:rPr>
          <w:rFonts w:ascii="Palatino Linotype" w:hAnsi="Palatino Linotype"/>
          <w:sz w:val="24"/>
          <w:szCs w:val="24"/>
        </w:rPr>
        <w:t>link</w:t>
      </w:r>
      <w:r w:rsidR="008152BD">
        <w:rPr>
          <w:rFonts w:ascii="Palatino Linotype" w:hAnsi="Palatino Linotype"/>
          <w:sz w:val="24"/>
          <w:szCs w:val="24"/>
        </w:rPr>
        <w:t>s between UK and EU law</w:t>
      </w:r>
      <w:r w:rsidR="00500511" w:rsidRPr="00500511">
        <w:rPr>
          <w:rFonts w:ascii="Palatino Linotype" w:hAnsi="Palatino Linotype"/>
          <w:sz w:val="24"/>
          <w:szCs w:val="24"/>
        </w:rPr>
        <w:t xml:space="preserve"> </w:t>
      </w:r>
      <w:r w:rsidR="008152BD">
        <w:rPr>
          <w:rFonts w:ascii="Palatino Linotype" w:hAnsi="Palatino Linotype"/>
          <w:sz w:val="24"/>
          <w:szCs w:val="24"/>
        </w:rPr>
        <w:t xml:space="preserve">using domestic principles of judicial interpretation – specifically, </w:t>
      </w:r>
      <w:r w:rsidR="001F5B1F">
        <w:rPr>
          <w:rFonts w:ascii="Palatino Linotype" w:hAnsi="Palatino Linotype"/>
          <w:sz w:val="24"/>
          <w:szCs w:val="24"/>
        </w:rPr>
        <w:t xml:space="preserve">the </w:t>
      </w:r>
      <w:r w:rsidR="008152BD">
        <w:rPr>
          <w:rFonts w:ascii="Palatino Linotype" w:hAnsi="Palatino Linotype"/>
          <w:sz w:val="24"/>
          <w:szCs w:val="24"/>
        </w:rPr>
        <w:t xml:space="preserve">comparative method of interpretation. </w:t>
      </w:r>
      <w:r w:rsidR="00500511" w:rsidRPr="00500511">
        <w:rPr>
          <w:rFonts w:ascii="Palatino Linotype" w:hAnsi="Palatino Linotype"/>
          <w:sz w:val="24"/>
          <w:szCs w:val="24"/>
        </w:rPr>
        <w:t xml:space="preserve">Judgments of the Court of Justice would, in such circumstances, carry only </w:t>
      </w:r>
      <w:r w:rsidR="00E60088">
        <w:rPr>
          <w:rFonts w:ascii="Palatino Linotype" w:hAnsi="Palatino Linotype"/>
          <w:sz w:val="24"/>
          <w:szCs w:val="24"/>
        </w:rPr>
        <w:t>persuasive authority</w:t>
      </w:r>
      <w:r w:rsidR="001F5B1F">
        <w:rPr>
          <w:rFonts w:ascii="Palatino Linotype" w:hAnsi="Palatino Linotype"/>
          <w:sz w:val="24"/>
          <w:szCs w:val="24"/>
        </w:rPr>
        <w:t xml:space="preserve"> as ‘foreign law’</w:t>
      </w:r>
      <w:r w:rsidR="00E60088">
        <w:rPr>
          <w:rFonts w:ascii="Palatino Linotype" w:hAnsi="Palatino Linotype"/>
          <w:sz w:val="24"/>
          <w:szCs w:val="24"/>
        </w:rPr>
        <w:t xml:space="preserve"> – a point</w:t>
      </w:r>
      <w:r w:rsidR="00500511" w:rsidRPr="00500511">
        <w:rPr>
          <w:rFonts w:ascii="Palatino Linotype" w:hAnsi="Palatino Linotype"/>
          <w:sz w:val="24"/>
          <w:szCs w:val="24"/>
        </w:rPr>
        <w:t xml:space="preserve"> the</w:t>
      </w:r>
      <w:r w:rsidR="00500511">
        <w:rPr>
          <w:rFonts w:ascii="Palatino Linotype" w:hAnsi="Palatino Linotype"/>
          <w:sz w:val="24"/>
          <w:szCs w:val="24"/>
        </w:rPr>
        <w:t xml:space="preserve"> UKSC anticipates </w:t>
      </w:r>
      <w:r w:rsidR="006C526E">
        <w:rPr>
          <w:rFonts w:ascii="Palatino Linotype" w:hAnsi="Palatino Linotype"/>
          <w:sz w:val="24"/>
          <w:szCs w:val="24"/>
        </w:rPr>
        <w:t xml:space="preserve">in </w:t>
      </w:r>
      <w:hyperlink r:id="rId17" w:history="1">
        <w:r w:rsidR="006C526E" w:rsidRPr="00964FCD">
          <w:rPr>
            <w:rStyle w:val="Hyperlink"/>
            <w:rFonts w:ascii="Palatino Linotype" w:hAnsi="Palatino Linotype"/>
            <w:i/>
            <w:sz w:val="24"/>
            <w:szCs w:val="24"/>
          </w:rPr>
          <w:t>Miller</w:t>
        </w:r>
      </w:hyperlink>
      <w:r w:rsidR="006C526E">
        <w:rPr>
          <w:rFonts w:ascii="Palatino Linotype" w:hAnsi="Palatino Linotype"/>
          <w:sz w:val="24"/>
          <w:szCs w:val="24"/>
        </w:rPr>
        <w:t xml:space="preserve"> [at para. 80]</w:t>
      </w:r>
    </w:p>
    <w:p w14:paraId="239AC020" w14:textId="77777777" w:rsidR="00500511" w:rsidRDefault="00500511" w:rsidP="00845E2A">
      <w:pPr>
        <w:spacing w:line="360" w:lineRule="auto"/>
        <w:jc w:val="both"/>
        <w:rPr>
          <w:rFonts w:ascii="Palatino Linotype" w:hAnsi="Palatino Linotype"/>
          <w:sz w:val="24"/>
          <w:szCs w:val="24"/>
        </w:rPr>
      </w:pPr>
    </w:p>
    <w:p w14:paraId="02C96432" w14:textId="4102DDFF" w:rsidR="00500511" w:rsidRDefault="00E60088" w:rsidP="00845E2A">
      <w:pPr>
        <w:spacing w:line="360" w:lineRule="auto"/>
        <w:jc w:val="both"/>
        <w:rPr>
          <w:rFonts w:ascii="Palatino Linotype" w:hAnsi="Palatino Linotype"/>
          <w:sz w:val="24"/>
          <w:szCs w:val="24"/>
        </w:rPr>
      </w:pPr>
      <w:r>
        <w:rPr>
          <w:rFonts w:ascii="Palatino Linotype" w:hAnsi="Palatino Linotype"/>
          <w:sz w:val="24"/>
          <w:szCs w:val="24"/>
        </w:rPr>
        <w:t>On the other hand</w:t>
      </w:r>
      <w:r w:rsidR="00500511">
        <w:rPr>
          <w:rFonts w:ascii="Palatino Linotype" w:hAnsi="Palatino Linotype"/>
          <w:sz w:val="24"/>
          <w:szCs w:val="24"/>
        </w:rPr>
        <w:t>, Parliament could opt</w:t>
      </w:r>
      <w:r w:rsidR="00026546">
        <w:rPr>
          <w:rFonts w:ascii="Palatino Linotype" w:hAnsi="Palatino Linotype"/>
          <w:sz w:val="24"/>
          <w:szCs w:val="24"/>
        </w:rPr>
        <w:t xml:space="preserve"> </w:t>
      </w:r>
      <w:r w:rsidR="00500511">
        <w:rPr>
          <w:rFonts w:ascii="Palatino Linotype" w:hAnsi="Palatino Linotype"/>
          <w:sz w:val="24"/>
          <w:szCs w:val="24"/>
        </w:rPr>
        <w:t xml:space="preserve">to preserve the current constitutional instruction on a new basis. </w:t>
      </w:r>
      <w:r w:rsidR="008945FE">
        <w:rPr>
          <w:rFonts w:ascii="Palatino Linotype" w:hAnsi="Palatino Linotype"/>
          <w:sz w:val="24"/>
          <w:szCs w:val="24"/>
        </w:rPr>
        <w:t xml:space="preserve">With respect to external </w:t>
      </w:r>
      <w:r w:rsidR="00A31BA9">
        <w:rPr>
          <w:rFonts w:ascii="Palatino Linotype" w:hAnsi="Palatino Linotype"/>
          <w:sz w:val="24"/>
          <w:szCs w:val="24"/>
        </w:rPr>
        <w:t xml:space="preserve">legal </w:t>
      </w:r>
      <w:r w:rsidR="008945FE">
        <w:rPr>
          <w:rFonts w:ascii="Palatino Linotype" w:hAnsi="Palatino Linotype"/>
          <w:sz w:val="24"/>
          <w:szCs w:val="24"/>
        </w:rPr>
        <w:t>norms (e.g. provisions of the</w:t>
      </w:r>
      <w:r w:rsidR="00EE22E1">
        <w:rPr>
          <w:rFonts w:ascii="Palatino Linotype" w:hAnsi="Palatino Linotype"/>
          <w:sz w:val="24"/>
          <w:szCs w:val="24"/>
        </w:rPr>
        <w:t xml:space="preserve"> </w:t>
      </w:r>
      <w:r w:rsidR="00A31BA9">
        <w:rPr>
          <w:rFonts w:ascii="Palatino Linotype" w:hAnsi="Palatino Linotype"/>
          <w:sz w:val="24"/>
          <w:szCs w:val="24"/>
        </w:rPr>
        <w:t>anticipated</w:t>
      </w:r>
      <w:r w:rsidR="00EE22E1">
        <w:rPr>
          <w:rFonts w:ascii="Palatino Linotype" w:hAnsi="Palatino Linotype"/>
          <w:sz w:val="24"/>
          <w:szCs w:val="24"/>
        </w:rPr>
        <w:t xml:space="preserve"> UK/EU</w:t>
      </w:r>
      <w:r w:rsidR="008945FE">
        <w:rPr>
          <w:rFonts w:ascii="Palatino Linotype" w:hAnsi="Palatino Linotype"/>
          <w:sz w:val="24"/>
          <w:szCs w:val="24"/>
        </w:rPr>
        <w:t xml:space="preserve"> withdrawal agreement; </w:t>
      </w:r>
      <w:r w:rsidR="00EE22E1">
        <w:rPr>
          <w:rFonts w:ascii="Palatino Linotype" w:hAnsi="Palatino Linotype"/>
          <w:sz w:val="24"/>
          <w:szCs w:val="24"/>
        </w:rPr>
        <w:t xml:space="preserve">UK/EU </w:t>
      </w:r>
      <w:r w:rsidR="008945FE">
        <w:rPr>
          <w:rFonts w:ascii="Palatino Linotype" w:hAnsi="Palatino Linotype"/>
          <w:sz w:val="24"/>
          <w:szCs w:val="24"/>
        </w:rPr>
        <w:t>bilateral trade deal</w:t>
      </w:r>
      <w:r w:rsidR="00EE22E1">
        <w:rPr>
          <w:rFonts w:ascii="Palatino Linotype" w:hAnsi="Palatino Linotype"/>
          <w:sz w:val="24"/>
          <w:szCs w:val="24"/>
        </w:rPr>
        <w:t>(s)</w:t>
      </w:r>
      <w:r w:rsidR="008945FE">
        <w:rPr>
          <w:rFonts w:ascii="Palatino Linotype" w:hAnsi="Palatino Linotype"/>
          <w:sz w:val="24"/>
          <w:szCs w:val="24"/>
        </w:rPr>
        <w:t xml:space="preserve">; </w:t>
      </w:r>
      <w:r w:rsidR="00EE22E1">
        <w:rPr>
          <w:rFonts w:ascii="Palatino Linotype" w:hAnsi="Palatino Linotype"/>
          <w:sz w:val="24"/>
          <w:szCs w:val="24"/>
        </w:rPr>
        <w:t xml:space="preserve">and, </w:t>
      </w:r>
      <w:r w:rsidR="006975F9">
        <w:rPr>
          <w:rFonts w:ascii="Palatino Linotype" w:hAnsi="Palatino Linotype"/>
          <w:sz w:val="24"/>
          <w:szCs w:val="24"/>
        </w:rPr>
        <w:t>on hard Brexit:</w:t>
      </w:r>
      <w:r w:rsidR="008945FE">
        <w:rPr>
          <w:rFonts w:ascii="Palatino Linotype" w:hAnsi="Palatino Linotype"/>
          <w:sz w:val="24"/>
          <w:szCs w:val="24"/>
        </w:rPr>
        <w:t xml:space="preserve"> WTO commitments), Parliament could legislate to provide for their direct effect wi</w:t>
      </w:r>
      <w:r w:rsidR="006975F9">
        <w:rPr>
          <w:rFonts w:ascii="Palatino Linotype" w:hAnsi="Palatino Linotype"/>
          <w:sz w:val="24"/>
          <w:szCs w:val="24"/>
        </w:rPr>
        <w:t>thin the UK legal order.</w:t>
      </w:r>
      <w:r w:rsidR="008945FE">
        <w:rPr>
          <w:rFonts w:ascii="Palatino Linotype" w:hAnsi="Palatino Linotype"/>
          <w:sz w:val="24"/>
          <w:szCs w:val="24"/>
        </w:rPr>
        <w:t xml:space="preserve"> </w:t>
      </w:r>
      <w:r w:rsidR="00A31BA9">
        <w:rPr>
          <w:rFonts w:ascii="Palatino Linotype" w:hAnsi="Palatino Linotype"/>
          <w:sz w:val="24"/>
          <w:szCs w:val="24"/>
        </w:rPr>
        <w:t xml:space="preserve">Parliament has done so in other areas, </w:t>
      </w:r>
      <w:r w:rsidR="00132654">
        <w:rPr>
          <w:rFonts w:ascii="Palatino Linotype" w:hAnsi="Palatino Linotype"/>
          <w:sz w:val="24"/>
          <w:szCs w:val="24"/>
        </w:rPr>
        <w:t>including Convention rights (through the HRA</w:t>
      </w:r>
      <w:r w:rsidR="00BA6AA5">
        <w:rPr>
          <w:rFonts w:ascii="Palatino Linotype" w:hAnsi="Palatino Linotype"/>
          <w:sz w:val="24"/>
          <w:szCs w:val="24"/>
        </w:rPr>
        <w:t xml:space="preserve">) </w:t>
      </w:r>
      <w:r w:rsidR="00B920EB">
        <w:rPr>
          <w:rFonts w:ascii="Palatino Linotype" w:hAnsi="Palatino Linotype"/>
          <w:sz w:val="24"/>
          <w:szCs w:val="24"/>
        </w:rPr>
        <w:t>though</w:t>
      </w:r>
      <w:r w:rsidR="001E734E">
        <w:rPr>
          <w:rFonts w:ascii="Palatino Linotype" w:hAnsi="Palatino Linotype"/>
          <w:sz w:val="24"/>
          <w:szCs w:val="24"/>
        </w:rPr>
        <w:t>, of course,</w:t>
      </w:r>
      <w:r w:rsidR="00B920EB">
        <w:rPr>
          <w:rFonts w:ascii="Palatino Linotype" w:hAnsi="Palatino Linotype"/>
          <w:sz w:val="24"/>
          <w:szCs w:val="24"/>
        </w:rPr>
        <w:t xml:space="preserve"> not without placing</w:t>
      </w:r>
      <w:r w:rsidR="001E734E">
        <w:rPr>
          <w:rFonts w:ascii="Palatino Linotype" w:hAnsi="Palatino Linotype"/>
          <w:sz w:val="24"/>
          <w:szCs w:val="24"/>
        </w:rPr>
        <w:t xml:space="preserve"> important</w:t>
      </w:r>
      <w:r w:rsidR="00132654">
        <w:rPr>
          <w:rFonts w:ascii="Palatino Linotype" w:hAnsi="Palatino Linotype"/>
          <w:sz w:val="24"/>
          <w:szCs w:val="24"/>
        </w:rPr>
        <w:t xml:space="preserve"> limits on domestic courts’ powers</w:t>
      </w:r>
      <w:r w:rsidR="00785694">
        <w:rPr>
          <w:rFonts w:ascii="Palatino Linotype" w:hAnsi="Palatino Linotype"/>
          <w:sz w:val="24"/>
          <w:szCs w:val="24"/>
        </w:rPr>
        <w:t xml:space="preserve"> </w:t>
      </w:r>
      <w:r w:rsidR="001E734E">
        <w:rPr>
          <w:rFonts w:ascii="Palatino Linotype" w:hAnsi="Palatino Linotype"/>
          <w:sz w:val="24"/>
          <w:szCs w:val="24"/>
        </w:rPr>
        <w:t xml:space="preserve">in that </w:t>
      </w:r>
      <w:r w:rsidR="000C7B26">
        <w:rPr>
          <w:rFonts w:ascii="Palatino Linotype" w:hAnsi="Palatino Linotype"/>
          <w:sz w:val="24"/>
          <w:szCs w:val="24"/>
        </w:rPr>
        <w:t xml:space="preserve">specific </w:t>
      </w:r>
      <w:r w:rsidR="001E734E">
        <w:rPr>
          <w:rFonts w:ascii="Palatino Linotype" w:hAnsi="Palatino Linotype"/>
          <w:sz w:val="24"/>
          <w:szCs w:val="24"/>
        </w:rPr>
        <w:t xml:space="preserve">sphere </w:t>
      </w:r>
      <w:r w:rsidR="00785694">
        <w:rPr>
          <w:rFonts w:ascii="Palatino Linotype" w:hAnsi="Palatino Linotype"/>
          <w:sz w:val="24"/>
          <w:szCs w:val="24"/>
        </w:rPr>
        <w:t>(see s3 and s4 HRA)</w:t>
      </w:r>
      <w:r w:rsidR="00B920EB">
        <w:rPr>
          <w:rFonts w:ascii="Palatino Linotype" w:hAnsi="Palatino Linotype"/>
          <w:sz w:val="24"/>
          <w:szCs w:val="24"/>
        </w:rPr>
        <w:t xml:space="preserve">. </w:t>
      </w:r>
      <w:r w:rsidR="006975F9">
        <w:rPr>
          <w:rFonts w:ascii="Palatino Linotype" w:hAnsi="Palatino Linotype"/>
          <w:sz w:val="24"/>
          <w:szCs w:val="24"/>
        </w:rPr>
        <w:t>However</w:t>
      </w:r>
      <w:r w:rsidR="00A31BA9">
        <w:rPr>
          <w:rFonts w:ascii="Palatino Linotype" w:hAnsi="Palatino Linotype"/>
          <w:sz w:val="24"/>
          <w:szCs w:val="24"/>
        </w:rPr>
        <w:t xml:space="preserve">, </w:t>
      </w:r>
      <w:r w:rsidR="006975F9">
        <w:rPr>
          <w:rFonts w:ascii="Palatino Linotype" w:hAnsi="Palatino Linotype"/>
          <w:sz w:val="24"/>
          <w:szCs w:val="24"/>
        </w:rPr>
        <w:t>given</w:t>
      </w:r>
      <w:r w:rsidR="008945FE">
        <w:rPr>
          <w:rFonts w:ascii="Palatino Linotype" w:hAnsi="Palatino Linotype"/>
          <w:sz w:val="24"/>
          <w:szCs w:val="24"/>
        </w:rPr>
        <w:t xml:space="preserve"> the UK Government’s political hostility to direct effect, such an approach is highly unlikely. </w:t>
      </w:r>
      <w:r w:rsidR="006975F9">
        <w:rPr>
          <w:rFonts w:ascii="Palatino Linotype" w:hAnsi="Palatino Linotype"/>
          <w:sz w:val="24"/>
          <w:szCs w:val="24"/>
        </w:rPr>
        <w:t>Overall, t</w:t>
      </w:r>
      <w:r w:rsidR="00EE22E1">
        <w:rPr>
          <w:rFonts w:ascii="Palatino Linotype" w:hAnsi="Palatino Linotype"/>
          <w:sz w:val="24"/>
          <w:szCs w:val="24"/>
        </w:rPr>
        <w:t xml:space="preserve">he </w:t>
      </w:r>
      <w:hyperlink r:id="rId18" w:history="1">
        <w:r w:rsidR="006C526E" w:rsidRPr="00561926">
          <w:rPr>
            <w:rStyle w:val="Hyperlink"/>
            <w:rFonts w:ascii="Palatino Linotype" w:hAnsi="Palatino Linotype"/>
            <w:i/>
            <w:sz w:val="24"/>
            <w:szCs w:val="24"/>
          </w:rPr>
          <w:t>Brexit</w:t>
        </w:r>
        <w:r w:rsidR="006C526E" w:rsidRPr="00561926">
          <w:rPr>
            <w:rStyle w:val="Hyperlink"/>
            <w:rFonts w:ascii="Palatino Linotype" w:hAnsi="Palatino Linotype"/>
            <w:sz w:val="24"/>
            <w:szCs w:val="24"/>
          </w:rPr>
          <w:t xml:space="preserve"> </w:t>
        </w:r>
        <w:r w:rsidR="006C526E" w:rsidRPr="00561926">
          <w:rPr>
            <w:rStyle w:val="Hyperlink"/>
            <w:rFonts w:ascii="Palatino Linotype" w:hAnsi="Palatino Linotype"/>
            <w:i/>
            <w:sz w:val="24"/>
            <w:szCs w:val="24"/>
          </w:rPr>
          <w:t>White Paper</w:t>
        </w:r>
      </w:hyperlink>
      <w:r w:rsidR="006C526E" w:rsidRPr="00845E2A">
        <w:rPr>
          <w:rFonts w:ascii="Palatino Linotype" w:hAnsi="Palatino Linotype"/>
          <w:sz w:val="24"/>
          <w:szCs w:val="24"/>
        </w:rPr>
        <w:t xml:space="preserve"> </w:t>
      </w:r>
      <w:r w:rsidR="00EE22E1">
        <w:rPr>
          <w:rFonts w:ascii="Palatino Linotype" w:hAnsi="Palatino Linotype"/>
          <w:sz w:val="24"/>
          <w:szCs w:val="24"/>
        </w:rPr>
        <w:t xml:space="preserve">signals a </w:t>
      </w:r>
      <w:r w:rsidR="006975F9">
        <w:rPr>
          <w:rFonts w:ascii="Palatino Linotype" w:hAnsi="Palatino Linotype"/>
          <w:sz w:val="24"/>
          <w:szCs w:val="24"/>
        </w:rPr>
        <w:t>clear shift away from the present ECA model providing for the enforcement of international norms</w:t>
      </w:r>
      <w:r w:rsidR="006975F9" w:rsidRPr="006975F9">
        <w:rPr>
          <w:rFonts w:ascii="Palatino Linotype" w:hAnsi="Palatino Linotype"/>
          <w:sz w:val="24"/>
          <w:szCs w:val="24"/>
        </w:rPr>
        <w:t xml:space="preserve"> </w:t>
      </w:r>
      <w:r w:rsidR="006975F9">
        <w:rPr>
          <w:rFonts w:ascii="Palatino Linotype" w:hAnsi="Palatino Linotype"/>
          <w:sz w:val="24"/>
          <w:szCs w:val="24"/>
        </w:rPr>
        <w:t xml:space="preserve">through private litigation before national courts in favour of </w:t>
      </w:r>
      <w:r w:rsidR="00EE22E1">
        <w:rPr>
          <w:rFonts w:ascii="Palatino Linotype" w:hAnsi="Palatino Linotype"/>
          <w:sz w:val="24"/>
          <w:szCs w:val="24"/>
        </w:rPr>
        <w:t>State-</w:t>
      </w:r>
      <w:r w:rsidR="006975F9">
        <w:rPr>
          <w:rFonts w:ascii="Palatino Linotype" w:hAnsi="Palatino Linotype"/>
          <w:sz w:val="24"/>
          <w:szCs w:val="24"/>
        </w:rPr>
        <w:t>managed</w:t>
      </w:r>
      <w:r w:rsidR="00EE22E1">
        <w:rPr>
          <w:rFonts w:ascii="Palatino Linotype" w:hAnsi="Palatino Linotype"/>
          <w:sz w:val="24"/>
          <w:szCs w:val="24"/>
        </w:rPr>
        <w:t xml:space="preserve"> dispute resolution mechanism</w:t>
      </w:r>
      <w:r w:rsidR="002F5422">
        <w:rPr>
          <w:rFonts w:ascii="Palatino Linotype" w:hAnsi="Palatino Linotype"/>
          <w:sz w:val="24"/>
          <w:szCs w:val="24"/>
        </w:rPr>
        <w:t>s</w:t>
      </w:r>
      <w:r w:rsidR="006975F9">
        <w:rPr>
          <w:rFonts w:ascii="Palatino Linotype" w:hAnsi="Palatino Linotype"/>
          <w:sz w:val="24"/>
          <w:szCs w:val="24"/>
        </w:rPr>
        <w:t>.</w:t>
      </w:r>
    </w:p>
    <w:p w14:paraId="40A4678E" w14:textId="77777777" w:rsidR="00EE22E1" w:rsidRDefault="00EE22E1" w:rsidP="00845E2A">
      <w:pPr>
        <w:spacing w:line="360" w:lineRule="auto"/>
        <w:jc w:val="both"/>
        <w:rPr>
          <w:rFonts w:ascii="Palatino Linotype" w:hAnsi="Palatino Linotype"/>
          <w:sz w:val="24"/>
          <w:szCs w:val="24"/>
        </w:rPr>
      </w:pPr>
    </w:p>
    <w:p w14:paraId="45752A91" w14:textId="4D1D54FB" w:rsidR="002F5422" w:rsidRPr="002F5422" w:rsidRDefault="001D1722" w:rsidP="002F5422">
      <w:pPr>
        <w:spacing w:line="360" w:lineRule="auto"/>
        <w:jc w:val="both"/>
        <w:rPr>
          <w:rFonts w:ascii="Palatino Linotype" w:hAnsi="Palatino Linotype"/>
          <w:sz w:val="24"/>
          <w:szCs w:val="24"/>
        </w:rPr>
      </w:pPr>
      <w:r>
        <w:rPr>
          <w:rFonts w:ascii="Palatino Linotype" w:hAnsi="Palatino Linotype"/>
          <w:sz w:val="24"/>
          <w:szCs w:val="24"/>
        </w:rPr>
        <w:t>A</w:t>
      </w:r>
      <w:r w:rsidR="00EE22E1">
        <w:rPr>
          <w:rFonts w:ascii="Palatino Linotype" w:hAnsi="Palatino Linotype"/>
          <w:sz w:val="24"/>
          <w:szCs w:val="24"/>
        </w:rPr>
        <w:t xml:space="preserve"> range of options exists between the two extremes</w:t>
      </w:r>
      <w:r w:rsidR="00E512AF">
        <w:rPr>
          <w:rFonts w:ascii="Palatino Linotype" w:hAnsi="Palatino Linotype"/>
          <w:sz w:val="24"/>
          <w:szCs w:val="24"/>
        </w:rPr>
        <w:t xml:space="preserve"> sketched out above</w:t>
      </w:r>
      <w:r w:rsidR="00EE22E1">
        <w:rPr>
          <w:rFonts w:ascii="Palatino Linotype" w:hAnsi="Palatino Linotype"/>
          <w:sz w:val="24"/>
          <w:szCs w:val="24"/>
        </w:rPr>
        <w:t>. These include, for instance, the introduction of a ‘</w:t>
      </w:r>
      <w:r w:rsidR="006C526E">
        <w:rPr>
          <w:rFonts w:ascii="Palatino Linotype" w:hAnsi="Palatino Linotype"/>
          <w:sz w:val="24"/>
          <w:szCs w:val="24"/>
        </w:rPr>
        <w:t>continuance</w:t>
      </w:r>
      <w:r w:rsidR="00EE22E1">
        <w:rPr>
          <w:rFonts w:ascii="Palatino Linotype" w:hAnsi="Palatino Linotype"/>
          <w:sz w:val="24"/>
          <w:szCs w:val="24"/>
        </w:rPr>
        <w:t xml:space="preserve"> c</w:t>
      </w:r>
      <w:r w:rsidR="002F5422">
        <w:rPr>
          <w:rFonts w:ascii="Palatino Linotype" w:hAnsi="Palatino Linotype"/>
          <w:sz w:val="24"/>
          <w:szCs w:val="24"/>
        </w:rPr>
        <w:t>lause’ in the Great Repeal Bill</w:t>
      </w:r>
      <w:r w:rsidR="006C526E">
        <w:rPr>
          <w:rFonts w:ascii="Palatino Linotype" w:hAnsi="Palatino Linotype"/>
          <w:sz w:val="24"/>
          <w:szCs w:val="24"/>
        </w:rPr>
        <w:t xml:space="preserve"> (see here also</w:t>
      </w:r>
      <w:r w:rsidR="009E1C1F">
        <w:rPr>
          <w:rFonts w:ascii="Palatino Linotype" w:hAnsi="Palatino Linotype"/>
          <w:sz w:val="24"/>
          <w:szCs w:val="24"/>
        </w:rPr>
        <w:t xml:space="preserve"> </w:t>
      </w:r>
      <w:hyperlink r:id="rId19" w:history="1">
        <w:proofErr w:type="spellStart"/>
        <w:r w:rsidR="006C526E" w:rsidRPr="006C526E">
          <w:rPr>
            <w:rStyle w:val="Hyperlink"/>
            <w:rFonts w:ascii="Palatino Linotype" w:hAnsi="Palatino Linotype"/>
            <w:sz w:val="24"/>
            <w:szCs w:val="24"/>
          </w:rPr>
          <w:t>Sionaidh</w:t>
        </w:r>
        <w:proofErr w:type="spellEnd"/>
        <w:r w:rsidR="006C526E" w:rsidRPr="006C526E">
          <w:rPr>
            <w:rStyle w:val="Hyperlink"/>
            <w:rFonts w:ascii="Palatino Linotype" w:hAnsi="Palatino Linotype"/>
            <w:sz w:val="24"/>
            <w:szCs w:val="24"/>
          </w:rPr>
          <w:t xml:space="preserve"> Douglas-Scott</w:t>
        </w:r>
      </w:hyperlink>
      <w:r w:rsidR="000B1FE9">
        <w:rPr>
          <w:rFonts w:ascii="Palatino Linotype" w:hAnsi="Palatino Linotype"/>
          <w:sz w:val="24"/>
          <w:szCs w:val="24"/>
        </w:rPr>
        <w:t>).</w:t>
      </w:r>
      <w:r w:rsidR="002F5422" w:rsidRPr="002F5422">
        <w:rPr>
          <w:rFonts w:ascii="Palatino Linotype" w:hAnsi="Palatino Linotype"/>
          <w:sz w:val="24"/>
          <w:szCs w:val="24"/>
        </w:rPr>
        <w:t xml:space="preserve"> More than likely, such an instruction would be</w:t>
      </w:r>
      <w:r w:rsidR="000B1FE9">
        <w:rPr>
          <w:rFonts w:ascii="Palatino Linotype" w:hAnsi="Palatino Linotype"/>
          <w:sz w:val="24"/>
          <w:szCs w:val="24"/>
        </w:rPr>
        <w:t xml:space="preserve"> framed</w:t>
      </w:r>
      <w:r w:rsidR="002F5422" w:rsidRPr="002F5422">
        <w:rPr>
          <w:rFonts w:ascii="Palatino Linotype" w:hAnsi="Palatino Linotype"/>
          <w:sz w:val="24"/>
          <w:szCs w:val="24"/>
        </w:rPr>
        <w:t xml:space="preserve"> static</w:t>
      </w:r>
      <w:r w:rsidR="000B1FE9">
        <w:rPr>
          <w:rFonts w:ascii="Palatino Linotype" w:hAnsi="Palatino Linotype"/>
          <w:sz w:val="24"/>
          <w:szCs w:val="24"/>
        </w:rPr>
        <w:t>ally</w:t>
      </w:r>
      <w:r w:rsidR="002F5422" w:rsidRPr="002F5422">
        <w:rPr>
          <w:rFonts w:ascii="Palatino Linotype" w:hAnsi="Palatino Linotype"/>
          <w:sz w:val="24"/>
          <w:szCs w:val="24"/>
        </w:rPr>
        <w:t xml:space="preserve"> rather than dynamic</w:t>
      </w:r>
      <w:r w:rsidR="000B1FE9">
        <w:rPr>
          <w:rFonts w:ascii="Palatino Linotype" w:hAnsi="Palatino Linotype"/>
          <w:sz w:val="24"/>
          <w:szCs w:val="24"/>
        </w:rPr>
        <w:t>ally</w:t>
      </w:r>
      <w:r w:rsidR="002F5422" w:rsidRPr="002F5422">
        <w:rPr>
          <w:rFonts w:ascii="Palatino Linotype" w:hAnsi="Palatino Linotype"/>
          <w:sz w:val="24"/>
          <w:szCs w:val="24"/>
        </w:rPr>
        <w:t xml:space="preserve">; i.e. </w:t>
      </w:r>
      <w:r w:rsidR="000B1FE9">
        <w:rPr>
          <w:rFonts w:ascii="Palatino Linotype" w:hAnsi="Palatino Linotype"/>
          <w:sz w:val="24"/>
          <w:szCs w:val="24"/>
        </w:rPr>
        <w:t>Parliament</w:t>
      </w:r>
      <w:r w:rsidR="002F5422" w:rsidRPr="002F5422">
        <w:rPr>
          <w:rFonts w:ascii="Palatino Linotype" w:hAnsi="Palatino Linotype"/>
          <w:sz w:val="24"/>
          <w:szCs w:val="24"/>
        </w:rPr>
        <w:t xml:space="preserve"> would specify a cut-off date with respect to the binding status of Court of Justice judgments as a matter of UK law. The problem, of course, is de</w:t>
      </w:r>
      <w:r w:rsidR="006975F9">
        <w:rPr>
          <w:rFonts w:ascii="Palatino Linotype" w:hAnsi="Palatino Linotype"/>
          <w:sz w:val="24"/>
          <w:szCs w:val="24"/>
        </w:rPr>
        <w:t>termining what to do when there i</w:t>
      </w:r>
      <w:r w:rsidR="002F5422" w:rsidRPr="002F5422">
        <w:rPr>
          <w:rFonts w:ascii="Palatino Linotype" w:hAnsi="Palatino Linotype"/>
          <w:sz w:val="24"/>
          <w:szCs w:val="24"/>
        </w:rPr>
        <w:t>s ambiguity with respect to the EU judgment in quest</w:t>
      </w:r>
      <w:r w:rsidR="002F5422">
        <w:rPr>
          <w:rFonts w:ascii="Palatino Linotype" w:hAnsi="Palatino Linotype"/>
          <w:sz w:val="24"/>
          <w:szCs w:val="24"/>
        </w:rPr>
        <w:t xml:space="preserve">ion. </w:t>
      </w:r>
      <w:r w:rsidR="002F5422" w:rsidRPr="002F5422">
        <w:rPr>
          <w:rFonts w:ascii="Palatino Linotype" w:hAnsi="Palatino Linotype"/>
          <w:sz w:val="24"/>
          <w:szCs w:val="24"/>
        </w:rPr>
        <w:t>Without the preliminary reference procedure</w:t>
      </w:r>
      <w:r w:rsidR="000B1FE9">
        <w:rPr>
          <w:rFonts w:ascii="Palatino Linotype" w:hAnsi="Palatino Linotype"/>
          <w:sz w:val="24"/>
          <w:szCs w:val="24"/>
        </w:rPr>
        <w:t xml:space="preserve"> to link </w:t>
      </w:r>
      <w:r w:rsidR="001F5B1F">
        <w:rPr>
          <w:rFonts w:ascii="Palatino Linotype" w:hAnsi="Palatino Linotype"/>
          <w:sz w:val="24"/>
          <w:szCs w:val="24"/>
        </w:rPr>
        <w:t>the</w:t>
      </w:r>
      <w:r w:rsidR="000B1FE9">
        <w:rPr>
          <w:rFonts w:ascii="Palatino Linotype" w:hAnsi="Palatino Linotype"/>
          <w:sz w:val="24"/>
          <w:szCs w:val="24"/>
        </w:rPr>
        <w:t xml:space="preserve"> two legal orders</w:t>
      </w:r>
      <w:r w:rsidR="002F5422" w:rsidRPr="002F5422">
        <w:rPr>
          <w:rFonts w:ascii="Palatino Linotype" w:hAnsi="Palatino Linotype"/>
          <w:sz w:val="24"/>
          <w:szCs w:val="24"/>
        </w:rPr>
        <w:t xml:space="preserve">, UK courts will ultimately be left to determine the ‘correct' reading of the Court of Justice’s case </w:t>
      </w:r>
      <w:r w:rsidR="004A4387">
        <w:rPr>
          <w:rFonts w:ascii="Palatino Linotype" w:hAnsi="Palatino Linotype"/>
          <w:sz w:val="24"/>
          <w:szCs w:val="24"/>
        </w:rPr>
        <w:t>law. That</w:t>
      </w:r>
      <w:r w:rsidR="000B1FE9">
        <w:rPr>
          <w:rFonts w:ascii="Palatino Linotype" w:hAnsi="Palatino Linotype"/>
          <w:sz w:val="24"/>
          <w:szCs w:val="24"/>
        </w:rPr>
        <w:t xml:space="preserve"> </w:t>
      </w:r>
      <w:r w:rsidR="004A4387">
        <w:rPr>
          <w:rFonts w:ascii="Palatino Linotype" w:hAnsi="Palatino Linotype"/>
          <w:sz w:val="24"/>
          <w:szCs w:val="24"/>
        </w:rPr>
        <w:t>position would leave</w:t>
      </w:r>
      <w:r w:rsidR="000B1FE9">
        <w:rPr>
          <w:rFonts w:ascii="Palatino Linotype" w:hAnsi="Palatino Linotype"/>
          <w:sz w:val="24"/>
          <w:szCs w:val="24"/>
        </w:rPr>
        <w:t xml:space="preserve"> domestic courts considerable scope to determine</w:t>
      </w:r>
      <w:r w:rsidR="004A4387">
        <w:rPr>
          <w:rFonts w:ascii="Palatino Linotype" w:hAnsi="Palatino Linotype"/>
          <w:sz w:val="24"/>
          <w:szCs w:val="24"/>
        </w:rPr>
        <w:t xml:space="preserve"> the practical effect of the existing body of Court of Justice case law declared ‘binding’</w:t>
      </w:r>
      <w:r w:rsidR="00666D16">
        <w:rPr>
          <w:rFonts w:ascii="Palatino Linotype" w:hAnsi="Palatino Linotype"/>
          <w:sz w:val="24"/>
          <w:szCs w:val="24"/>
        </w:rPr>
        <w:t xml:space="preserve"> domestically</w:t>
      </w:r>
      <w:r w:rsidR="004A4387">
        <w:rPr>
          <w:rFonts w:ascii="Palatino Linotype" w:hAnsi="Palatino Linotype"/>
          <w:sz w:val="24"/>
          <w:szCs w:val="24"/>
        </w:rPr>
        <w:t xml:space="preserve"> </w:t>
      </w:r>
      <w:r w:rsidR="001F5B1F">
        <w:rPr>
          <w:rFonts w:ascii="Palatino Linotype" w:hAnsi="Palatino Linotype"/>
          <w:sz w:val="24"/>
          <w:szCs w:val="24"/>
        </w:rPr>
        <w:t>through a</w:t>
      </w:r>
      <w:r w:rsidR="004A4387">
        <w:rPr>
          <w:rFonts w:ascii="Palatino Linotype" w:hAnsi="Palatino Linotype"/>
          <w:sz w:val="24"/>
          <w:szCs w:val="24"/>
        </w:rPr>
        <w:t xml:space="preserve"> continuance clause in the Great Repeal Bill</w:t>
      </w:r>
      <w:r w:rsidR="002F5422" w:rsidRPr="002F5422">
        <w:rPr>
          <w:rFonts w:ascii="Palatino Linotype" w:hAnsi="Palatino Linotype"/>
          <w:sz w:val="24"/>
          <w:szCs w:val="24"/>
        </w:rPr>
        <w:t xml:space="preserve">. </w:t>
      </w:r>
      <w:r w:rsidR="009832F9">
        <w:rPr>
          <w:rFonts w:ascii="Palatino Linotype" w:hAnsi="Palatino Linotype"/>
          <w:sz w:val="24"/>
          <w:szCs w:val="24"/>
        </w:rPr>
        <w:t>In addition</w:t>
      </w:r>
      <w:r w:rsidR="004A4387">
        <w:rPr>
          <w:rFonts w:ascii="Palatino Linotype" w:hAnsi="Palatino Linotype"/>
          <w:sz w:val="24"/>
          <w:szCs w:val="24"/>
        </w:rPr>
        <w:t>, t</w:t>
      </w:r>
      <w:r w:rsidR="002F5422" w:rsidRPr="002F5422">
        <w:rPr>
          <w:rFonts w:ascii="Palatino Linotype" w:hAnsi="Palatino Linotype"/>
          <w:sz w:val="24"/>
          <w:szCs w:val="24"/>
        </w:rPr>
        <w:t xml:space="preserve">he </w:t>
      </w:r>
      <w:r w:rsidR="006C526E">
        <w:rPr>
          <w:rFonts w:ascii="Palatino Linotype" w:hAnsi="Palatino Linotype"/>
          <w:sz w:val="24"/>
          <w:szCs w:val="24"/>
        </w:rPr>
        <w:t xml:space="preserve">continuance </w:t>
      </w:r>
      <w:r w:rsidR="002F5422" w:rsidRPr="002F5422">
        <w:rPr>
          <w:rFonts w:ascii="Palatino Linotype" w:hAnsi="Palatino Linotype"/>
          <w:sz w:val="24"/>
          <w:szCs w:val="24"/>
        </w:rPr>
        <w:t xml:space="preserve">clause would also need (ideally) to comment on the position of repatriated EU law </w:t>
      </w:r>
      <w:r w:rsidR="003A1D8D">
        <w:rPr>
          <w:rFonts w:ascii="Palatino Linotype" w:hAnsi="Palatino Linotype"/>
          <w:i/>
          <w:sz w:val="24"/>
          <w:szCs w:val="24"/>
        </w:rPr>
        <w:t>vis-à-vis</w:t>
      </w:r>
      <w:r w:rsidR="002F05AB">
        <w:rPr>
          <w:rFonts w:ascii="Palatino Linotype" w:hAnsi="Palatino Linotype"/>
          <w:sz w:val="24"/>
          <w:szCs w:val="24"/>
        </w:rPr>
        <w:t xml:space="preserve"> ordinary domestic law. I</w:t>
      </w:r>
      <w:r w:rsidR="002F5422" w:rsidRPr="002F5422">
        <w:rPr>
          <w:rFonts w:ascii="Palatino Linotype" w:hAnsi="Palatino Linotype"/>
          <w:sz w:val="24"/>
          <w:szCs w:val="24"/>
        </w:rPr>
        <w:t xml:space="preserve">n particular: should UK courts continue to give primacy to the nationalised </w:t>
      </w:r>
      <w:r w:rsidR="002F5422" w:rsidRPr="003A1D8D">
        <w:rPr>
          <w:rFonts w:ascii="Palatino Linotype" w:hAnsi="Palatino Linotype"/>
          <w:i/>
          <w:sz w:val="24"/>
          <w:szCs w:val="24"/>
        </w:rPr>
        <w:t>acquis</w:t>
      </w:r>
      <w:r w:rsidR="002F5422" w:rsidRPr="002F5422">
        <w:rPr>
          <w:rFonts w:ascii="Palatino Linotype" w:hAnsi="Palatino Linotype"/>
          <w:sz w:val="24"/>
          <w:szCs w:val="24"/>
        </w:rPr>
        <w:t xml:space="preserve"> over all conflicting national law as before</w:t>
      </w:r>
      <w:r w:rsidR="003E601A">
        <w:rPr>
          <w:rFonts w:ascii="Palatino Linotype" w:hAnsi="Palatino Linotype"/>
          <w:sz w:val="24"/>
          <w:szCs w:val="24"/>
        </w:rPr>
        <w:t xml:space="preserve"> under the ECA</w:t>
      </w:r>
      <w:r w:rsidR="002F5422" w:rsidRPr="002F5422">
        <w:rPr>
          <w:rFonts w:ascii="Palatino Linotype" w:hAnsi="Palatino Linotype"/>
          <w:sz w:val="24"/>
          <w:szCs w:val="24"/>
        </w:rPr>
        <w:t xml:space="preserve">? </w:t>
      </w:r>
    </w:p>
    <w:p w14:paraId="5647546F" w14:textId="10F6EDBB" w:rsidR="00401A3F" w:rsidRDefault="002F5422" w:rsidP="00845E2A">
      <w:pPr>
        <w:spacing w:line="360" w:lineRule="auto"/>
        <w:jc w:val="both"/>
        <w:rPr>
          <w:rFonts w:ascii="Palatino Linotype" w:hAnsi="Palatino Linotype"/>
          <w:sz w:val="24"/>
          <w:szCs w:val="24"/>
        </w:rPr>
      </w:pPr>
      <w:r w:rsidRPr="002F5422">
        <w:rPr>
          <w:rFonts w:ascii="Palatino Linotype" w:hAnsi="Palatino Linotype"/>
          <w:sz w:val="24"/>
          <w:szCs w:val="24"/>
        </w:rPr>
        <w:t xml:space="preserve">More ambitiously, a </w:t>
      </w:r>
      <w:r w:rsidR="006C526E">
        <w:rPr>
          <w:rFonts w:ascii="Palatino Linotype" w:hAnsi="Palatino Linotype"/>
          <w:sz w:val="24"/>
          <w:szCs w:val="24"/>
        </w:rPr>
        <w:t xml:space="preserve">continuance </w:t>
      </w:r>
      <w:r w:rsidRPr="002F5422">
        <w:rPr>
          <w:rFonts w:ascii="Palatino Linotype" w:hAnsi="Palatino Linotype"/>
          <w:sz w:val="24"/>
          <w:szCs w:val="24"/>
        </w:rPr>
        <w:t xml:space="preserve">clause could be framed prospectively; in other words, mandating that UK courts should continue to apply the nationalised </w:t>
      </w:r>
      <w:r w:rsidRPr="003A1D8D">
        <w:rPr>
          <w:rFonts w:ascii="Palatino Linotype" w:hAnsi="Palatino Linotype"/>
          <w:i/>
          <w:sz w:val="24"/>
          <w:szCs w:val="24"/>
        </w:rPr>
        <w:t>acquis</w:t>
      </w:r>
      <w:r w:rsidRPr="002F5422">
        <w:rPr>
          <w:rFonts w:ascii="Palatino Linotype" w:hAnsi="Palatino Linotype"/>
          <w:sz w:val="24"/>
          <w:szCs w:val="24"/>
        </w:rPr>
        <w:t xml:space="preserve"> </w:t>
      </w:r>
      <w:r w:rsidR="00E512AF">
        <w:rPr>
          <w:rFonts w:ascii="Palatino Linotype" w:hAnsi="Palatino Linotype"/>
          <w:sz w:val="24"/>
          <w:szCs w:val="24"/>
        </w:rPr>
        <w:t>in accordance with</w:t>
      </w:r>
      <w:r w:rsidR="006F2856">
        <w:rPr>
          <w:rFonts w:ascii="Palatino Linotype" w:hAnsi="Palatino Linotype"/>
          <w:sz w:val="24"/>
          <w:szCs w:val="24"/>
        </w:rPr>
        <w:t xml:space="preserve"> evolving</w:t>
      </w:r>
      <w:r w:rsidR="00E512AF">
        <w:rPr>
          <w:rFonts w:ascii="Palatino Linotype" w:hAnsi="Palatino Linotype"/>
          <w:sz w:val="24"/>
          <w:szCs w:val="24"/>
        </w:rPr>
        <w:t xml:space="preserve"> EU case law.</w:t>
      </w:r>
      <w:r w:rsidRPr="002F5422">
        <w:rPr>
          <w:rFonts w:ascii="Palatino Linotype" w:hAnsi="Palatino Linotype"/>
          <w:sz w:val="24"/>
          <w:szCs w:val="24"/>
        </w:rPr>
        <w:t xml:space="preserve"> However,</w:t>
      </w:r>
      <w:r w:rsidR="006F2856">
        <w:rPr>
          <w:rFonts w:ascii="Palatino Linotype" w:hAnsi="Palatino Linotype"/>
          <w:sz w:val="24"/>
          <w:szCs w:val="24"/>
        </w:rPr>
        <w:t xml:space="preserve"> that is also unlikely</w:t>
      </w:r>
      <w:r w:rsidRPr="002F5422">
        <w:rPr>
          <w:rFonts w:ascii="Palatino Linotype" w:hAnsi="Palatino Linotype"/>
          <w:sz w:val="24"/>
          <w:szCs w:val="24"/>
        </w:rPr>
        <w:t xml:space="preserve"> in light </w:t>
      </w:r>
      <w:r w:rsidR="00E512AF">
        <w:rPr>
          <w:rFonts w:ascii="Palatino Linotype" w:hAnsi="Palatino Linotype"/>
          <w:sz w:val="24"/>
          <w:szCs w:val="24"/>
        </w:rPr>
        <w:t xml:space="preserve">(again) </w:t>
      </w:r>
      <w:r w:rsidRPr="002F5422">
        <w:rPr>
          <w:rFonts w:ascii="Palatino Linotype" w:hAnsi="Palatino Linotype"/>
          <w:sz w:val="24"/>
          <w:szCs w:val="24"/>
        </w:rPr>
        <w:t>of the</w:t>
      </w:r>
      <w:r w:rsidR="006F2856">
        <w:rPr>
          <w:rFonts w:ascii="Palatino Linotype" w:hAnsi="Palatino Linotype"/>
          <w:sz w:val="24"/>
          <w:szCs w:val="24"/>
        </w:rPr>
        <w:t xml:space="preserve"> UK Government’s</w:t>
      </w:r>
      <w:r w:rsidRPr="002F5422">
        <w:rPr>
          <w:rFonts w:ascii="Palatino Linotype" w:hAnsi="Palatino Linotype"/>
          <w:sz w:val="24"/>
          <w:szCs w:val="24"/>
        </w:rPr>
        <w:t xml:space="preserve"> </w:t>
      </w:r>
      <w:r w:rsidR="00401A3F">
        <w:rPr>
          <w:rFonts w:ascii="Palatino Linotype" w:hAnsi="Palatino Linotype"/>
          <w:sz w:val="24"/>
          <w:szCs w:val="24"/>
        </w:rPr>
        <w:t xml:space="preserve">political </w:t>
      </w:r>
      <w:r w:rsidRPr="002F5422">
        <w:rPr>
          <w:rFonts w:ascii="Palatino Linotype" w:hAnsi="Palatino Linotype"/>
          <w:sz w:val="24"/>
          <w:szCs w:val="24"/>
        </w:rPr>
        <w:t>hostility to dir</w:t>
      </w:r>
      <w:r w:rsidR="00401A3F">
        <w:rPr>
          <w:rFonts w:ascii="Palatino Linotype" w:hAnsi="Palatino Linotype"/>
          <w:sz w:val="24"/>
          <w:szCs w:val="24"/>
        </w:rPr>
        <w:t>ect effect and,</w:t>
      </w:r>
      <w:r w:rsidR="006F2856">
        <w:rPr>
          <w:rFonts w:ascii="Palatino Linotype" w:hAnsi="Palatino Linotype"/>
          <w:sz w:val="24"/>
          <w:szCs w:val="24"/>
        </w:rPr>
        <w:t xml:space="preserve"> moreover, the Court of Justice</w:t>
      </w:r>
      <w:r w:rsidRPr="002F5422">
        <w:rPr>
          <w:rFonts w:ascii="Palatino Linotype" w:hAnsi="Palatino Linotype"/>
          <w:sz w:val="24"/>
          <w:szCs w:val="24"/>
        </w:rPr>
        <w:t>.</w:t>
      </w:r>
      <w:r>
        <w:rPr>
          <w:rFonts w:ascii="Palatino Linotype" w:hAnsi="Palatino Linotype"/>
          <w:sz w:val="24"/>
          <w:szCs w:val="24"/>
        </w:rPr>
        <w:t xml:space="preserve"> </w:t>
      </w:r>
      <w:r w:rsidR="00BA20AD">
        <w:rPr>
          <w:rFonts w:ascii="Palatino Linotype" w:hAnsi="Palatino Linotype"/>
          <w:sz w:val="24"/>
          <w:szCs w:val="24"/>
        </w:rPr>
        <w:t>A softer option, and one that</w:t>
      </w:r>
      <w:r w:rsidR="00401A3F">
        <w:rPr>
          <w:rFonts w:ascii="Palatino Linotype" w:hAnsi="Palatino Linotype"/>
          <w:sz w:val="24"/>
          <w:szCs w:val="24"/>
        </w:rPr>
        <w:t xml:space="preserve"> may indeed end up as </w:t>
      </w:r>
      <w:r w:rsidR="00E512AF">
        <w:rPr>
          <w:rFonts w:ascii="Palatino Linotype" w:hAnsi="Palatino Linotype"/>
          <w:sz w:val="24"/>
          <w:szCs w:val="24"/>
        </w:rPr>
        <w:t>a</w:t>
      </w:r>
      <w:r w:rsidR="00401A3F">
        <w:rPr>
          <w:rFonts w:ascii="Palatino Linotype" w:hAnsi="Palatino Linotype"/>
          <w:sz w:val="24"/>
          <w:szCs w:val="24"/>
        </w:rPr>
        <w:t xml:space="preserve"> compromise position, would be</w:t>
      </w:r>
      <w:r w:rsidR="006F2856">
        <w:rPr>
          <w:rFonts w:ascii="Palatino Linotype" w:hAnsi="Palatino Linotype"/>
          <w:sz w:val="24"/>
          <w:szCs w:val="24"/>
        </w:rPr>
        <w:t xml:space="preserve"> </w:t>
      </w:r>
      <w:r w:rsidR="00401A3F">
        <w:rPr>
          <w:rFonts w:ascii="Palatino Linotype" w:hAnsi="Palatino Linotype"/>
          <w:sz w:val="24"/>
          <w:szCs w:val="24"/>
        </w:rPr>
        <w:t xml:space="preserve">to instruct UK courts to </w:t>
      </w:r>
      <w:r w:rsidR="00401A3F" w:rsidRPr="00401A3F">
        <w:rPr>
          <w:rFonts w:ascii="Palatino Linotype" w:hAnsi="Palatino Linotype"/>
          <w:sz w:val="24"/>
          <w:szCs w:val="24"/>
        </w:rPr>
        <w:t xml:space="preserve">interpret the nationalised </w:t>
      </w:r>
      <w:r w:rsidR="006F2856">
        <w:rPr>
          <w:rFonts w:ascii="Palatino Linotype" w:hAnsi="Palatino Linotype"/>
          <w:sz w:val="24"/>
          <w:szCs w:val="24"/>
        </w:rPr>
        <w:t xml:space="preserve">EU </w:t>
      </w:r>
      <w:r w:rsidR="00401A3F" w:rsidRPr="003A1D8D">
        <w:rPr>
          <w:rFonts w:ascii="Palatino Linotype" w:hAnsi="Palatino Linotype"/>
          <w:i/>
          <w:sz w:val="24"/>
          <w:szCs w:val="24"/>
        </w:rPr>
        <w:t>acqu</w:t>
      </w:r>
      <w:r w:rsidR="00E512AF" w:rsidRPr="003A1D8D">
        <w:rPr>
          <w:rFonts w:ascii="Palatino Linotype" w:hAnsi="Palatino Linotype"/>
          <w:i/>
          <w:sz w:val="24"/>
          <w:szCs w:val="24"/>
        </w:rPr>
        <w:t>is</w:t>
      </w:r>
      <w:r w:rsidR="00E512AF">
        <w:rPr>
          <w:rFonts w:ascii="Palatino Linotype" w:hAnsi="Palatino Linotype"/>
          <w:sz w:val="24"/>
          <w:szCs w:val="24"/>
        </w:rPr>
        <w:t xml:space="preserve"> in conformity with </w:t>
      </w:r>
      <w:r w:rsidR="006F2856">
        <w:rPr>
          <w:rFonts w:ascii="Palatino Linotype" w:hAnsi="Palatino Linotype"/>
          <w:sz w:val="24"/>
          <w:szCs w:val="24"/>
        </w:rPr>
        <w:t>Union law</w:t>
      </w:r>
      <w:r w:rsidR="00E512AF">
        <w:rPr>
          <w:rFonts w:ascii="Palatino Linotype" w:hAnsi="Palatino Linotype"/>
          <w:sz w:val="24"/>
          <w:szCs w:val="24"/>
        </w:rPr>
        <w:t xml:space="preserve">. </w:t>
      </w:r>
      <w:r w:rsidR="006F2856">
        <w:rPr>
          <w:rFonts w:ascii="Palatino Linotype" w:hAnsi="Palatino Linotype"/>
          <w:sz w:val="24"/>
          <w:szCs w:val="24"/>
        </w:rPr>
        <w:t>Thus, the Great Repeal Bill</w:t>
      </w:r>
      <w:r w:rsidR="00E512AF">
        <w:rPr>
          <w:rFonts w:ascii="Palatino Linotype" w:hAnsi="Palatino Linotype"/>
          <w:sz w:val="24"/>
          <w:szCs w:val="24"/>
        </w:rPr>
        <w:t xml:space="preserve"> could </w:t>
      </w:r>
      <w:r w:rsidR="00401A3F" w:rsidRPr="00401A3F">
        <w:rPr>
          <w:rFonts w:ascii="Palatino Linotype" w:hAnsi="Palatino Linotype"/>
          <w:sz w:val="24"/>
          <w:szCs w:val="24"/>
        </w:rPr>
        <w:t xml:space="preserve">essentially </w:t>
      </w:r>
      <w:r w:rsidR="006F2856">
        <w:rPr>
          <w:rFonts w:ascii="Palatino Linotype" w:hAnsi="Palatino Linotype"/>
          <w:sz w:val="24"/>
          <w:szCs w:val="24"/>
        </w:rPr>
        <w:t xml:space="preserve">seek to </w:t>
      </w:r>
      <w:r w:rsidR="00E512AF">
        <w:rPr>
          <w:rFonts w:ascii="Palatino Linotype" w:hAnsi="Palatino Linotype"/>
          <w:sz w:val="24"/>
          <w:szCs w:val="24"/>
        </w:rPr>
        <w:t>replicate the</w:t>
      </w:r>
      <w:r w:rsidR="00401A3F" w:rsidRPr="00401A3F">
        <w:rPr>
          <w:rFonts w:ascii="Palatino Linotype" w:hAnsi="Palatino Linotype"/>
          <w:sz w:val="24"/>
          <w:szCs w:val="24"/>
        </w:rPr>
        <w:t xml:space="preserve"> approach </w:t>
      </w:r>
      <w:r w:rsidR="006F2856">
        <w:rPr>
          <w:rFonts w:ascii="Palatino Linotype" w:hAnsi="Palatino Linotype"/>
          <w:sz w:val="24"/>
          <w:szCs w:val="24"/>
        </w:rPr>
        <w:t>outlined by</w:t>
      </w:r>
      <w:r w:rsidR="002F05AB">
        <w:rPr>
          <w:rFonts w:ascii="Palatino Linotype" w:hAnsi="Palatino Linotype"/>
          <w:sz w:val="24"/>
          <w:szCs w:val="24"/>
        </w:rPr>
        <w:t xml:space="preserve"> </w:t>
      </w:r>
      <w:hyperlink r:id="rId20" w:history="1">
        <w:r w:rsidR="002F05AB" w:rsidRPr="002F05AB">
          <w:rPr>
            <w:rStyle w:val="Hyperlink"/>
            <w:rFonts w:ascii="Palatino Linotype" w:hAnsi="Palatino Linotype"/>
            <w:sz w:val="24"/>
            <w:szCs w:val="24"/>
          </w:rPr>
          <w:t>s3 HRA</w:t>
        </w:r>
      </w:hyperlink>
      <w:r w:rsidR="002F05AB">
        <w:rPr>
          <w:rFonts w:ascii="Palatino Linotype" w:hAnsi="Palatino Linotype"/>
          <w:sz w:val="24"/>
          <w:szCs w:val="24"/>
        </w:rPr>
        <w:t xml:space="preserve">. </w:t>
      </w:r>
      <w:r w:rsidR="00401A3F" w:rsidRPr="00401A3F">
        <w:rPr>
          <w:rFonts w:ascii="Palatino Linotype" w:hAnsi="Palatino Linotype"/>
          <w:sz w:val="24"/>
          <w:szCs w:val="24"/>
        </w:rPr>
        <w:t>That provision instructs UK courts to interpret UK law (including primary legislation) in conformity with the Convention rights (as an external source of international law)</w:t>
      </w:r>
      <w:r w:rsidR="00E512AF">
        <w:rPr>
          <w:rFonts w:ascii="Palatino Linotype" w:hAnsi="Palatino Linotype"/>
          <w:sz w:val="24"/>
          <w:szCs w:val="24"/>
        </w:rPr>
        <w:t xml:space="preserve"> incorporated into domestic law through the HRA.</w:t>
      </w:r>
      <w:r w:rsidR="00401A3F" w:rsidRPr="00401A3F">
        <w:rPr>
          <w:rFonts w:ascii="Palatino Linotype" w:hAnsi="Palatino Linotype"/>
          <w:sz w:val="24"/>
          <w:szCs w:val="24"/>
        </w:rPr>
        <w:t xml:space="preserve"> </w:t>
      </w:r>
      <w:r w:rsidR="006F2856">
        <w:rPr>
          <w:rFonts w:ascii="Palatino Linotype" w:hAnsi="Palatino Linotype"/>
          <w:sz w:val="24"/>
          <w:szCs w:val="24"/>
        </w:rPr>
        <w:t>It is also worth noting that a</w:t>
      </w:r>
      <w:r w:rsidR="00401A3F" w:rsidRPr="00401A3F">
        <w:rPr>
          <w:rFonts w:ascii="Palatino Linotype" w:hAnsi="Palatino Linotype"/>
          <w:sz w:val="24"/>
          <w:szCs w:val="24"/>
        </w:rPr>
        <w:t xml:space="preserve"> si</w:t>
      </w:r>
      <w:r w:rsidR="00401A3F">
        <w:rPr>
          <w:rFonts w:ascii="Palatino Linotype" w:hAnsi="Palatino Linotype"/>
          <w:sz w:val="24"/>
          <w:szCs w:val="24"/>
        </w:rPr>
        <w:t xml:space="preserve">milar </w:t>
      </w:r>
      <w:r w:rsidR="00E512AF">
        <w:rPr>
          <w:rFonts w:ascii="Palatino Linotype" w:hAnsi="Palatino Linotype"/>
          <w:sz w:val="24"/>
          <w:szCs w:val="24"/>
        </w:rPr>
        <w:t xml:space="preserve">interpretative </w:t>
      </w:r>
      <w:r w:rsidR="00401A3F">
        <w:rPr>
          <w:rFonts w:ascii="Palatino Linotype" w:hAnsi="Palatino Linotype"/>
          <w:sz w:val="24"/>
          <w:szCs w:val="24"/>
        </w:rPr>
        <w:t>obligation</w:t>
      </w:r>
      <w:r w:rsidR="00E512AF">
        <w:rPr>
          <w:rFonts w:ascii="Palatino Linotype" w:hAnsi="Palatino Linotype"/>
          <w:sz w:val="24"/>
          <w:szCs w:val="24"/>
        </w:rPr>
        <w:t xml:space="preserve"> </w:t>
      </w:r>
      <w:r w:rsidR="00401A3F">
        <w:rPr>
          <w:rFonts w:ascii="Palatino Linotype" w:hAnsi="Palatino Linotype"/>
          <w:sz w:val="24"/>
          <w:szCs w:val="24"/>
        </w:rPr>
        <w:t xml:space="preserve">already binds UK courts </w:t>
      </w:r>
      <w:r w:rsidR="006F2856">
        <w:rPr>
          <w:rFonts w:ascii="Palatino Linotype" w:hAnsi="Palatino Linotype"/>
          <w:sz w:val="24"/>
          <w:szCs w:val="24"/>
        </w:rPr>
        <w:t xml:space="preserve">– through s3 of the ECA – </w:t>
      </w:r>
      <w:r w:rsidR="00401A3F">
        <w:rPr>
          <w:rFonts w:ascii="Palatino Linotype" w:hAnsi="Palatino Linotype"/>
          <w:sz w:val="24"/>
          <w:szCs w:val="24"/>
        </w:rPr>
        <w:t>under the doctrine of ‘indirect effect’ developed by the Court of Justice</w:t>
      </w:r>
      <w:r w:rsidR="006C526E">
        <w:rPr>
          <w:rFonts w:ascii="Palatino Linotype" w:hAnsi="Palatino Linotype"/>
          <w:sz w:val="24"/>
          <w:szCs w:val="24"/>
        </w:rPr>
        <w:t xml:space="preserve"> (e.g. </w:t>
      </w:r>
      <w:hyperlink r:id="rId21" w:history="1">
        <w:r w:rsidR="006C526E" w:rsidRPr="006C526E">
          <w:rPr>
            <w:rStyle w:val="Hyperlink"/>
            <w:rFonts w:ascii="Palatino Linotype" w:hAnsi="Palatino Linotype"/>
            <w:i/>
            <w:sz w:val="24"/>
            <w:szCs w:val="24"/>
          </w:rPr>
          <w:t>Von Colson</w:t>
        </w:r>
      </w:hyperlink>
      <w:r w:rsidR="006C526E">
        <w:rPr>
          <w:rFonts w:ascii="Palatino Linotype" w:hAnsi="Palatino Linotype"/>
          <w:sz w:val="24"/>
          <w:szCs w:val="24"/>
        </w:rPr>
        <w:t>)</w:t>
      </w:r>
      <w:r w:rsidR="00401A3F">
        <w:rPr>
          <w:rFonts w:ascii="Palatino Linotype" w:hAnsi="Palatino Linotype"/>
          <w:sz w:val="24"/>
          <w:szCs w:val="24"/>
        </w:rPr>
        <w:t>.</w:t>
      </w:r>
      <w:r w:rsidR="004A4387">
        <w:rPr>
          <w:rFonts w:ascii="Palatino Linotype" w:hAnsi="Palatino Linotype"/>
          <w:sz w:val="24"/>
          <w:szCs w:val="24"/>
        </w:rPr>
        <w:t xml:space="preserve"> </w:t>
      </w:r>
    </w:p>
    <w:p w14:paraId="660A2253" w14:textId="77777777" w:rsidR="00401A3F" w:rsidRDefault="00401A3F" w:rsidP="00845E2A">
      <w:pPr>
        <w:spacing w:line="360" w:lineRule="auto"/>
        <w:jc w:val="both"/>
        <w:rPr>
          <w:rFonts w:ascii="Palatino Linotype" w:hAnsi="Palatino Linotype"/>
          <w:sz w:val="24"/>
          <w:szCs w:val="24"/>
        </w:rPr>
      </w:pPr>
    </w:p>
    <w:p w14:paraId="191DB971" w14:textId="4432F574" w:rsidR="006727FF" w:rsidRDefault="008835EC" w:rsidP="00401A3F">
      <w:pPr>
        <w:spacing w:line="360" w:lineRule="auto"/>
        <w:jc w:val="both"/>
        <w:rPr>
          <w:rFonts w:ascii="Palatino Linotype" w:hAnsi="Palatino Linotype"/>
          <w:sz w:val="24"/>
          <w:szCs w:val="24"/>
        </w:rPr>
      </w:pPr>
      <w:r>
        <w:rPr>
          <w:rFonts w:ascii="Palatino Linotype" w:hAnsi="Palatino Linotype"/>
          <w:sz w:val="24"/>
          <w:szCs w:val="24"/>
        </w:rPr>
        <w:t xml:space="preserve">Although softer </w:t>
      </w:r>
      <w:r w:rsidR="00401A3F" w:rsidRPr="00401A3F">
        <w:rPr>
          <w:rFonts w:ascii="Palatino Linotype" w:hAnsi="Palatino Linotype"/>
          <w:sz w:val="24"/>
          <w:szCs w:val="24"/>
        </w:rPr>
        <w:t xml:space="preserve">than direct effect, </w:t>
      </w:r>
      <w:r w:rsidR="00E512AF">
        <w:rPr>
          <w:rFonts w:ascii="Palatino Linotype" w:hAnsi="Palatino Linotype"/>
          <w:sz w:val="24"/>
          <w:szCs w:val="24"/>
        </w:rPr>
        <w:t>an interpretative obligation of the above kind</w:t>
      </w:r>
      <w:r w:rsidR="00401A3F" w:rsidRPr="00401A3F">
        <w:rPr>
          <w:rFonts w:ascii="Palatino Linotype" w:hAnsi="Palatino Linotype"/>
          <w:sz w:val="24"/>
          <w:szCs w:val="24"/>
        </w:rPr>
        <w:t xml:space="preserve"> </w:t>
      </w:r>
      <w:r w:rsidR="00E512AF">
        <w:rPr>
          <w:rFonts w:ascii="Palatino Linotype" w:hAnsi="Palatino Linotype"/>
          <w:sz w:val="24"/>
          <w:szCs w:val="24"/>
        </w:rPr>
        <w:t>would have</w:t>
      </w:r>
      <w:r w:rsidR="00401A3F" w:rsidRPr="00401A3F">
        <w:rPr>
          <w:rFonts w:ascii="Palatino Linotype" w:hAnsi="Palatino Linotype"/>
          <w:sz w:val="24"/>
          <w:szCs w:val="24"/>
        </w:rPr>
        <w:t xml:space="preserve"> the </w:t>
      </w:r>
      <w:r w:rsidR="006727FF">
        <w:rPr>
          <w:rFonts w:ascii="Palatino Linotype" w:hAnsi="Palatino Linotype"/>
          <w:sz w:val="24"/>
          <w:szCs w:val="24"/>
        </w:rPr>
        <w:t xml:space="preserve">advantage of maintaining </w:t>
      </w:r>
      <w:r w:rsidR="00C97FC8">
        <w:rPr>
          <w:rFonts w:ascii="Palatino Linotype" w:hAnsi="Palatino Linotype"/>
          <w:sz w:val="24"/>
          <w:szCs w:val="24"/>
        </w:rPr>
        <w:t>close</w:t>
      </w:r>
      <w:r w:rsidR="00401A3F" w:rsidRPr="00401A3F">
        <w:rPr>
          <w:rFonts w:ascii="Palatino Linotype" w:hAnsi="Palatino Linotype"/>
          <w:sz w:val="24"/>
          <w:szCs w:val="24"/>
        </w:rPr>
        <w:t xml:space="preserve"> links between </w:t>
      </w:r>
      <w:r w:rsidR="00E512AF">
        <w:rPr>
          <w:rFonts w:ascii="Palatino Linotype" w:hAnsi="Palatino Linotype"/>
          <w:sz w:val="24"/>
          <w:szCs w:val="24"/>
        </w:rPr>
        <w:t>the UK and EU legal orders</w:t>
      </w:r>
      <w:r w:rsidR="002F05AB">
        <w:rPr>
          <w:rFonts w:ascii="Palatino Linotype" w:hAnsi="Palatino Linotype"/>
          <w:sz w:val="24"/>
          <w:szCs w:val="24"/>
        </w:rPr>
        <w:t>,</w:t>
      </w:r>
      <w:r w:rsidR="00E512AF">
        <w:rPr>
          <w:rFonts w:ascii="Palatino Linotype" w:hAnsi="Palatino Linotype"/>
          <w:sz w:val="24"/>
          <w:szCs w:val="24"/>
        </w:rPr>
        <w:t xml:space="preserve"> post-</w:t>
      </w:r>
      <w:r w:rsidR="00401A3F" w:rsidRPr="00401A3F">
        <w:rPr>
          <w:rFonts w:ascii="Palatino Linotype" w:hAnsi="Palatino Linotype"/>
          <w:sz w:val="24"/>
          <w:szCs w:val="24"/>
        </w:rPr>
        <w:t>Bre</w:t>
      </w:r>
      <w:r w:rsidR="00E512AF">
        <w:rPr>
          <w:rFonts w:ascii="Palatino Linotype" w:hAnsi="Palatino Linotype"/>
          <w:sz w:val="24"/>
          <w:szCs w:val="24"/>
        </w:rPr>
        <w:t>xit.</w:t>
      </w:r>
      <w:r w:rsidR="00C97FC8">
        <w:rPr>
          <w:rFonts w:ascii="Palatino Linotype" w:hAnsi="Palatino Linotype"/>
          <w:sz w:val="24"/>
          <w:szCs w:val="24"/>
        </w:rPr>
        <w:t xml:space="preserve"> Specifically,</w:t>
      </w:r>
      <w:r w:rsidR="00E512AF">
        <w:rPr>
          <w:rFonts w:ascii="Palatino Linotype" w:hAnsi="Palatino Linotype"/>
          <w:sz w:val="24"/>
          <w:szCs w:val="24"/>
        </w:rPr>
        <w:t xml:space="preserve"> </w:t>
      </w:r>
      <w:r w:rsidR="00C97FC8">
        <w:rPr>
          <w:rFonts w:ascii="Palatino Linotype" w:hAnsi="Palatino Linotype"/>
          <w:sz w:val="24"/>
          <w:szCs w:val="24"/>
        </w:rPr>
        <w:t>i</w:t>
      </w:r>
      <w:r w:rsidR="00401A3F" w:rsidRPr="00401A3F">
        <w:rPr>
          <w:rFonts w:ascii="Palatino Linotype" w:hAnsi="Palatino Linotype"/>
          <w:sz w:val="24"/>
          <w:szCs w:val="24"/>
        </w:rPr>
        <w:t xml:space="preserve">t would </w:t>
      </w:r>
      <w:r w:rsidR="00C97FC8">
        <w:rPr>
          <w:rFonts w:ascii="Palatino Linotype" w:hAnsi="Palatino Linotype"/>
          <w:sz w:val="24"/>
          <w:szCs w:val="24"/>
        </w:rPr>
        <w:t>instruct</w:t>
      </w:r>
      <w:r w:rsidR="00401A3F" w:rsidRPr="00401A3F">
        <w:rPr>
          <w:rFonts w:ascii="Palatino Linotype" w:hAnsi="Palatino Linotype"/>
          <w:sz w:val="24"/>
          <w:szCs w:val="24"/>
        </w:rPr>
        <w:t xml:space="preserve"> UK courts to develop national law in harmony with future developments in Union law, whilst at the same time preserving space for national law to diverge</w:t>
      </w:r>
      <w:r w:rsidR="00C97FC8">
        <w:rPr>
          <w:rFonts w:ascii="Palatino Linotype" w:hAnsi="Palatino Linotype"/>
          <w:sz w:val="24"/>
          <w:szCs w:val="24"/>
        </w:rPr>
        <w:t xml:space="preserve"> </w:t>
      </w:r>
      <w:r w:rsidR="00E512AF">
        <w:rPr>
          <w:rFonts w:ascii="Palatino Linotype" w:hAnsi="Palatino Linotype"/>
          <w:sz w:val="24"/>
          <w:szCs w:val="24"/>
        </w:rPr>
        <w:t>as a matter of principle</w:t>
      </w:r>
      <w:r w:rsidR="006727FF">
        <w:rPr>
          <w:rFonts w:ascii="Palatino Linotype" w:hAnsi="Palatino Linotype"/>
          <w:sz w:val="24"/>
          <w:szCs w:val="24"/>
        </w:rPr>
        <w:t xml:space="preserve">. </w:t>
      </w:r>
      <w:r w:rsidR="007A76AE">
        <w:rPr>
          <w:rFonts w:ascii="Palatino Linotype" w:hAnsi="Palatino Linotype"/>
          <w:sz w:val="24"/>
          <w:szCs w:val="24"/>
        </w:rPr>
        <w:t>In</w:t>
      </w:r>
      <w:r w:rsidR="006727FF">
        <w:rPr>
          <w:rFonts w:ascii="Palatino Linotype" w:hAnsi="Palatino Linotype"/>
          <w:sz w:val="24"/>
          <w:szCs w:val="24"/>
        </w:rPr>
        <w:t xml:space="preserve"> the hands of a willing court,</w:t>
      </w:r>
      <w:r w:rsidR="00C97FC8">
        <w:rPr>
          <w:rFonts w:ascii="Palatino Linotype" w:hAnsi="Palatino Linotype"/>
          <w:sz w:val="24"/>
          <w:szCs w:val="24"/>
        </w:rPr>
        <w:t xml:space="preserve"> a legislative instruction to interpret UK law in conformity with, for instance, developments in EU case law, could</w:t>
      </w:r>
      <w:r w:rsidR="006727FF" w:rsidRPr="00401A3F">
        <w:rPr>
          <w:rFonts w:ascii="Palatino Linotype" w:hAnsi="Palatino Linotype"/>
          <w:sz w:val="24"/>
          <w:szCs w:val="24"/>
        </w:rPr>
        <w:t xml:space="preserve"> effectively function in </w:t>
      </w:r>
      <w:r w:rsidR="006727FF">
        <w:rPr>
          <w:rFonts w:ascii="Palatino Linotype" w:hAnsi="Palatino Linotype"/>
          <w:sz w:val="24"/>
          <w:szCs w:val="24"/>
        </w:rPr>
        <w:t xml:space="preserve">proxy for direct effect proper. </w:t>
      </w:r>
      <w:r w:rsidR="00C97FC8">
        <w:rPr>
          <w:rFonts w:ascii="Palatino Linotype" w:hAnsi="Palatino Linotype"/>
          <w:sz w:val="24"/>
          <w:szCs w:val="24"/>
        </w:rPr>
        <w:t>Even in the absence of such an approach</w:t>
      </w:r>
      <w:r w:rsidR="006727FF">
        <w:rPr>
          <w:rFonts w:ascii="Palatino Linotype" w:hAnsi="Palatino Linotype"/>
          <w:sz w:val="24"/>
          <w:szCs w:val="24"/>
        </w:rPr>
        <w:t>,</w:t>
      </w:r>
      <w:r w:rsidR="00C97FC8">
        <w:rPr>
          <w:rFonts w:ascii="Palatino Linotype" w:hAnsi="Palatino Linotype"/>
          <w:sz w:val="24"/>
          <w:szCs w:val="24"/>
        </w:rPr>
        <w:t xml:space="preserve"> however, an interpretative instruction of the above kind</w:t>
      </w:r>
      <w:r w:rsidR="006727FF">
        <w:rPr>
          <w:rFonts w:ascii="Palatino Linotype" w:hAnsi="Palatino Linotype"/>
          <w:sz w:val="24"/>
          <w:szCs w:val="24"/>
        </w:rPr>
        <w:t xml:space="preserve"> </w:t>
      </w:r>
      <w:r w:rsidR="00C97FC8">
        <w:rPr>
          <w:rFonts w:ascii="Palatino Linotype" w:hAnsi="Palatino Linotype"/>
          <w:sz w:val="24"/>
          <w:szCs w:val="24"/>
        </w:rPr>
        <w:t>is arguably rather attractive</w:t>
      </w:r>
      <w:r w:rsidR="00401A3F" w:rsidRPr="00401A3F">
        <w:rPr>
          <w:rFonts w:ascii="Palatino Linotype" w:hAnsi="Palatino Linotype"/>
          <w:sz w:val="24"/>
          <w:szCs w:val="24"/>
        </w:rPr>
        <w:t xml:space="preserve"> politically: it satisfies the </w:t>
      </w:r>
      <w:r w:rsidR="006C526E">
        <w:rPr>
          <w:rFonts w:ascii="Palatino Linotype" w:hAnsi="Palatino Linotype"/>
          <w:sz w:val="24"/>
          <w:szCs w:val="24"/>
        </w:rPr>
        <w:t xml:space="preserve">Government’s </w:t>
      </w:r>
      <w:r w:rsidR="00401A3F" w:rsidRPr="00401A3F">
        <w:rPr>
          <w:rFonts w:ascii="Palatino Linotype" w:hAnsi="Palatino Linotype"/>
          <w:sz w:val="24"/>
          <w:szCs w:val="24"/>
        </w:rPr>
        <w:t xml:space="preserve">‘take back control’ </w:t>
      </w:r>
      <w:r w:rsidR="006C526E">
        <w:rPr>
          <w:rFonts w:ascii="Palatino Linotype" w:hAnsi="Palatino Linotype"/>
          <w:sz w:val="24"/>
          <w:szCs w:val="24"/>
        </w:rPr>
        <w:t>narrative</w:t>
      </w:r>
      <w:r w:rsidR="00401A3F" w:rsidRPr="00401A3F">
        <w:rPr>
          <w:rFonts w:ascii="Palatino Linotype" w:hAnsi="Palatino Linotype"/>
          <w:sz w:val="24"/>
          <w:szCs w:val="24"/>
        </w:rPr>
        <w:t xml:space="preserve">, whilst </w:t>
      </w:r>
      <w:r w:rsidR="006C526E">
        <w:rPr>
          <w:rFonts w:ascii="Palatino Linotype" w:hAnsi="Palatino Linotype"/>
          <w:sz w:val="24"/>
          <w:szCs w:val="24"/>
        </w:rPr>
        <w:t>providing for the maintenance of</w:t>
      </w:r>
      <w:r w:rsidR="00401A3F" w:rsidRPr="00401A3F">
        <w:rPr>
          <w:rFonts w:ascii="Palatino Linotype" w:hAnsi="Palatino Linotype"/>
          <w:sz w:val="24"/>
          <w:szCs w:val="24"/>
        </w:rPr>
        <w:t xml:space="preserve"> practical links between the UK and EU legal orders</w:t>
      </w:r>
      <w:r w:rsidR="006727FF">
        <w:rPr>
          <w:rFonts w:ascii="Palatino Linotype" w:hAnsi="Palatino Linotype"/>
          <w:sz w:val="24"/>
          <w:szCs w:val="24"/>
        </w:rPr>
        <w:t xml:space="preserve"> in </w:t>
      </w:r>
      <w:r w:rsidR="00401A3F" w:rsidRPr="00401A3F">
        <w:rPr>
          <w:rFonts w:ascii="Palatino Linotype" w:hAnsi="Palatino Linotype"/>
          <w:sz w:val="24"/>
          <w:szCs w:val="24"/>
        </w:rPr>
        <w:t>post-Brexit.</w:t>
      </w:r>
      <w:r w:rsidR="00401A3F">
        <w:rPr>
          <w:rFonts w:ascii="Palatino Linotype" w:hAnsi="Palatino Linotype"/>
          <w:sz w:val="24"/>
          <w:szCs w:val="24"/>
        </w:rPr>
        <w:t xml:space="preserve"> </w:t>
      </w:r>
      <w:r w:rsidR="007A76AE">
        <w:rPr>
          <w:rFonts w:ascii="Palatino Linotype" w:hAnsi="Palatino Linotype"/>
          <w:sz w:val="24"/>
          <w:szCs w:val="24"/>
        </w:rPr>
        <w:t xml:space="preserve">Ultimately, it would fall to UK courts to determine the strength of any interpretative instruction over time </w:t>
      </w:r>
      <w:r w:rsidR="002F05AB">
        <w:rPr>
          <w:rFonts w:ascii="Palatino Linotype" w:hAnsi="Palatino Linotype"/>
          <w:sz w:val="24"/>
          <w:szCs w:val="24"/>
        </w:rPr>
        <w:t xml:space="preserve">– here, </w:t>
      </w:r>
      <w:r w:rsidR="007A76AE">
        <w:rPr>
          <w:rFonts w:ascii="Palatino Linotype" w:hAnsi="Palatino Linotype"/>
          <w:sz w:val="24"/>
          <w:szCs w:val="24"/>
        </w:rPr>
        <w:t xml:space="preserve">a review of </w:t>
      </w:r>
      <w:r w:rsidR="002F05AB">
        <w:rPr>
          <w:rFonts w:ascii="Palatino Linotype" w:hAnsi="Palatino Linotype"/>
          <w:sz w:val="24"/>
          <w:szCs w:val="24"/>
        </w:rPr>
        <w:t>domestic</w:t>
      </w:r>
      <w:r w:rsidR="007A76AE">
        <w:rPr>
          <w:rFonts w:ascii="Palatino Linotype" w:hAnsi="Palatino Linotype"/>
          <w:sz w:val="24"/>
          <w:szCs w:val="24"/>
        </w:rPr>
        <w:t xml:space="preserve"> case law on s3 </w:t>
      </w:r>
      <w:r w:rsidR="002F05AB">
        <w:rPr>
          <w:rFonts w:ascii="Palatino Linotype" w:hAnsi="Palatino Linotype"/>
          <w:sz w:val="24"/>
          <w:szCs w:val="24"/>
        </w:rPr>
        <w:t>HRA</w:t>
      </w:r>
      <w:r w:rsidR="007A76AE">
        <w:rPr>
          <w:rFonts w:ascii="Palatino Linotype" w:hAnsi="Palatino Linotype"/>
          <w:sz w:val="24"/>
          <w:szCs w:val="24"/>
        </w:rPr>
        <w:t xml:space="preserve"> could provide useful insights.</w:t>
      </w:r>
      <w:r w:rsidR="00DE7534">
        <w:rPr>
          <w:rFonts w:ascii="Palatino Linotype" w:hAnsi="Palatino Linotype"/>
          <w:sz w:val="24"/>
          <w:szCs w:val="24"/>
        </w:rPr>
        <w:t xml:space="preserve"> </w:t>
      </w:r>
      <w:r w:rsidR="00361A06">
        <w:rPr>
          <w:rFonts w:ascii="Palatino Linotype" w:hAnsi="Palatino Linotype"/>
          <w:sz w:val="24"/>
          <w:szCs w:val="24"/>
        </w:rPr>
        <w:t>Of course, it must also be noted that the approach of UK courts to s3 HRA is itself the subject of criticism within Government</w:t>
      </w:r>
      <w:r w:rsidR="008472F3">
        <w:rPr>
          <w:rFonts w:ascii="Palatino Linotype" w:hAnsi="Palatino Linotype"/>
          <w:sz w:val="24"/>
          <w:szCs w:val="24"/>
        </w:rPr>
        <w:t xml:space="preserve"> –</w:t>
      </w:r>
      <w:r w:rsidR="00351CDC">
        <w:rPr>
          <w:rFonts w:ascii="Palatino Linotype" w:hAnsi="Palatino Linotype"/>
          <w:sz w:val="24"/>
          <w:szCs w:val="24"/>
        </w:rPr>
        <w:t xml:space="preserve"> recall here its proposal to replace</w:t>
      </w:r>
      <w:r w:rsidR="00961BEC">
        <w:rPr>
          <w:rFonts w:ascii="Palatino Linotype" w:hAnsi="Palatino Linotype"/>
          <w:sz w:val="24"/>
          <w:szCs w:val="24"/>
        </w:rPr>
        <w:t xml:space="preserve"> the HRA</w:t>
      </w:r>
      <w:r w:rsidR="00082FCE">
        <w:rPr>
          <w:rFonts w:ascii="Palatino Linotype" w:hAnsi="Palatino Linotype"/>
          <w:sz w:val="24"/>
          <w:szCs w:val="24"/>
        </w:rPr>
        <w:t xml:space="preserve"> (including s3)</w:t>
      </w:r>
      <w:r w:rsidR="00961BEC">
        <w:rPr>
          <w:rFonts w:ascii="Palatino Linotype" w:hAnsi="Palatino Linotype"/>
          <w:sz w:val="24"/>
          <w:szCs w:val="24"/>
        </w:rPr>
        <w:t xml:space="preserve"> with a </w:t>
      </w:r>
      <w:r w:rsidR="008472F3">
        <w:rPr>
          <w:rFonts w:ascii="Palatino Linotype" w:hAnsi="Palatino Linotype"/>
          <w:sz w:val="24"/>
          <w:szCs w:val="24"/>
        </w:rPr>
        <w:t>British Bill of Rights.</w:t>
      </w:r>
    </w:p>
    <w:p w14:paraId="49353FB4" w14:textId="77777777" w:rsidR="001504C6" w:rsidRDefault="001504C6" w:rsidP="00401A3F">
      <w:pPr>
        <w:spacing w:line="360" w:lineRule="auto"/>
        <w:jc w:val="both"/>
        <w:rPr>
          <w:rFonts w:ascii="Palatino Linotype" w:hAnsi="Palatino Linotype"/>
          <w:sz w:val="24"/>
          <w:szCs w:val="24"/>
        </w:rPr>
      </w:pPr>
    </w:p>
    <w:p w14:paraId="42862C87" w14:textId="62905EBA" w:rsidR="00390D37" w:rsidRPr="00390D37" w:rsidRDefault="00390D37" w:rsidP="00390D37">
      <w:pPr>
        <w:spacing w:line="360" w:lineRule="auto"/>
        <w:jc w:val="both"/>
        <w:rPr>
          <w:rFonts w:ascii="Palatino Linotype" w:hAnsi="Palatino Linotype"/>
          <w:b/>
          <w:sz w:val="24"/>
          <w:szCs w:val="24"/>
        </w:rPr>
      </w:pPr>
      <w:r w:rsidRPr="00390D37">
        <w:rPr>
          <w:rFonts w:ascii="Palatino Linotype" w:hAnsi="Palatino Linotype"/>
          <w:b/>
          <w:sz w:val="24"/>
          <w:szCs w:val="24"/>
        </w:rPr>
        <w:t xml:space="preserve">UK Courts and the Great Repeal Bill: Awaiting </w:t>
      </w:r>
      <w:r w:rsidR="002F05AB">
        <w:rPr>
          <w:rFonts w:ascii="Palatino Linotype" w:hAnsi="Palatino Linotype"/>
          <w:b/>
          <w:sz w:val="24"/>
          <w:szCs w:val="24"/>
        </w:rPr>
        <w:t>Fresh</w:t>
      </w:r>
      <w:r w:rsidRPr="00390D37">
        <w:rPr>
          <w:rFonts w:ascii="Palatino Linotype" w:hAnsi="Palatino Linotype"/>
          <w:b/>
          <w:sz w:val="24"/>
          <w:szCs w:val="24"/>
        </w:rPr>
        <w:t xml:space="preserve"> Instruction</w:t>
      </w:r>
    </w:p>
    <w:p w14:paraId="4DE804B9" w14:textId="504BAF0F" w:rsidR="00F90390" w:rsidRDefault="00401A3F" w:rsidP="00845E2A">
      <w:pPr>
        <w:spacing w:line="360" w:lineRule="auto"/>
        <w:jc w:val="both"/>
        <w:rPr>
          <w:rFonts w:ascii="Palatino Linotype" w:hAnsi="Palatino Linotype"/>
          <w:sz w:val="24"/>
          <w:szCs w:val="24"/>
        </w:rPr>
      </w:pPr>
      <w:r>
        <w:rPr>
          <w:rFonts w:ascii="Palatino Linotype" w:hAnsi="Palatino Linotype"/>
          <w:sz w:val="24"/>
          <w:szCs w:val="24"/>
        </w:rPr>
        <w:t xml:space="preserve">The repeal of the ECA </w:t>
      </w:r>
      <w:r w:rsidR="002F05AB">
        <w:rPr>
          <w:rFonts w:ascii="Palatino Linotype" w:hAnsi="Palatino Linotype"/>
          <w:sz w:val="24"/>
          <w:szCs w:val="24"/>
        </w:rPr>
        <w:t>heralds</w:t>
      </w:r>
      <w:r>
        <w:rPr>
          <w:rFonts w:ascii="Palatino Linotype" w:hAnsi="Palatino Linotype"/>
          <w:sz w:val="24"/>
          <w:szCs w:val="24"/>
        </w:rPr>
        <w:t xml:space="preserve"> </w:t>
      </w:r>
      <w:r w:rsidR="007A76AE">
        <w:rPr>
          <w:rFonts w:ascii="Palatino Linotype" w:hAnsi="Palatino Linotype"/>
          <w:sz w:val="24"/>
          <w:szCs w:val="24"/>
        </w:rPr>
        <w:t>fundamental</w:t>
      </w:r>
      <w:r>
        <w:rPr>
          <w:rFonts w:ascii="Palatino Linotype" w:hAnsi="Palatino Linotype"/>
          <w:sz w:val="24"/>
          <w:szCs w:val="24"/>
        </w:rPr>
        <w:t xml:space="preserve"> change</w:t>
      </w:r>
      <w:r w:rsidR="007A76AE">
        <w:rPr>
          <w:rFonts w:ascii="Palatino Linotype" w:hAnsi="Palatino Linotype"/>
          <w:sz w:val="24"/>
          <w:szCs w:val="24"/>
        </w:rPr>
        <w:t>s</w:t>
      </w:r>
      <w:r>
        <w:rPr>
          <w:rFonts w:ascii="Palatino Linotype" w:hAnsi="Palatino Linotype"/>
          <w:sz w:val="24"/>
          <w:szCs w:val="24"/>
        </w:rPr>
        <w:t xml:space="preserve"> </w:t>
      </w:r>
      <w:r w:rsidR="00C57698">
        <w:rPr>
          <w:rFonts w:ascii="Palatino Linotype" w:hAnsi="Palatino Linotype"/>
          <w:sz w:val="24"/>
          <w:szCs w:val="24"/>
        </w:rPr>
        <w:t>to the institutional functions of</w:t>
      </w:r>
      <w:r>
        <w:rPr>
          <w:rFonts w:ascii="Palatino Linotype" w:hAnsi="Palatino Linotype"/>
          <w:sz w:val="24"/>
          <w:szCs w:val="24"/>
        </w:rPr>
        <w:t xml:space="preserve"> UK courts.</w:t>
      </w:r>
      <w:r w:rsidR="000147CE">
        <w:rPr>
          <w:rFonts w:ascii="Palatino Linotype" w:hAnsi="Palatino Linotype"/>
          <w:sz w:val="24"/>
          <w:szCs w:val="24"/>
        </w:rPr>
        <w:t xml:space="preserve"> </w:t>
      </w:r>
      <w:r w:rsidR="006824E3">
        <w:rPr>
          <w:rFonts w:ascii="Palatino Linotype" w:hAnsi="Palatino Linotype"/>
          <w:sz w:val="24"/>
          <w:szCs w:val="24"/>
        </w:rPr>
        <w:t xml:space="preserve">As this post </w:t>
      </w:r>
      <w:r w:rsidR="00F13F97">
        <w:rPr>
          <w:rFonts w:ascii="Palatino Linotype" w:hAnsi="Palatino Linotype"/>
          <w:sz w:val="24"/>
          <w:szCs w:val="24"/>
        </w:rPr>
        <w:t>highlight</w:t>
      </w:r>
      <w:r w:rsidR="00E512AF">
        <w:rPr>
          <w:rFonts w:ascii="Palatino Linotype" w:hAnsi="Palatino Linotype"/>
          <w:sz w:val="24"/>
          <w:szCs w:val="24"/>
        </w:rPr>
        <w:t>s</w:t>
      </w:r>
      <w:r w:rsidR="006824E3">
        <w:rPr>
          <w:rFonts w:ascii="Palatino Linotype" w:hAnsi="Palatino Linotype"/>
          <w:sz w:val="24"/>
          <w:szCs w:val="24"/>
        </w:rPr>
        <w:t>, t</w:t>
      </w:r>
      <w:r w:rsidR="006824E3" w:rsidRPr="000147CE">
        <w:rPr>
          <w:rFonts w:ascii="Palatino Linotype" w:hAnsi="Palatino Linotype"/>
          <w:sz w:val="24"/>
          <w:szCs w:val="24"/>
        </w:rPr>
        <w:t>he</w:t>
      </w:r>
      <w:r w:rsidR="000147CE" w:rsidRPr="000147CE">
        <w:rPr>
          <w:rFonts w:ascii="Palatino Linotype" w:hAnsi="Palatino Linotype"/>
          <w:sz w:val="24"/>
          <w:szCs w:val="24"/>
        </w:rPr>
        <w:t xml:space="preserve"> </w:t>
      </w:r>
      <w:r w:rsidR="00C57698">
        <w:rPr>
          <w:rFonts w:ascii="Palatino Linotype" w:hAnsi="Palatino Linotype"/>
          <w:sz w:val="24"/>
          <w:szCs w:val="24"/>
        </w:rPr>
        <w:t>future</w:t>
      </w:r>
      <w:r w:rsidR="000147CE" w:rsidRPr="000147CE">
        <w:rPr>
          <w:rFonts w:ascii="Palatino Linotype" w:hAnsi="Palatino Linotype"/>
          <w:sz w:val="24"/>
          <w:szCs w:val="24"/>
        </w:rPr>
        <w:t xml:space="preserve"> </w:t>
      </w:r>
      <w:r w:rsidR="00C57698">
        <w:rPr>
          <w:rFonts w:ascii="Palatino Linotype" w:hAnsi="Palatino Linotype"/>
          <w:sz w:val="24"/>
          <w:szCs w:val="24"/>
        </w:rPr>
        <w:t>position</w:t>
      </w:r>
      <w:r w:rsidR="000147CE" w:rsidRPr="000147CE">
        <w:rPr>
          <w:rFonts w:ascii="Palatino Linotype" w:hAnsi="Palatino Linotype"/>
          <w:sz w:val="24"/>
          <w:szCs w:val="24"/>
        </w:rPr>
        <w:t xml:space="preserve"> of EU law within the UK legal order post-Brexit will depend on whether and, if so what, instruction Parliament gives to UK courts in place of the ECA – and </w:t>
      </w:r>
      <w:r w:rsidR="009E1C1F">
        <w:rPr>
          <w:rFonts w:ascii="Palatino Linotype" w:hAnsi="Palatino Linotype"/>
          <w:sz w:val="24"/>
          <w:szCs w:val="24"/>
        </w:rPr>
        <w:t>s2</w:t>
      </w:r>
      <w:r w:rsidR="000147CE" w:rsidRPr="000147CE">
        <w:rPr>
          <w:rFonts w:ascii="Palatino Linotype" w:hAnsi="Palatino Linotype"/>
          <w:sz w:val="24"/>
          <w:szCs w:val="24"/>
        </w:rPr>
        <w:t xml:space="preserve"> and </w:t>
      </w:r>
      <w:r w:rsidR="009E1C1F">
        <w:rPr>
          <w:rFonts w:ascii="Palatino Linotype" w:hAnsi="Palatino Linotype"/>
          <w:sz w:val="24"/>
          <w:szCs w:val="24"/>
        </w:rPr>
        <w:t>s</w:t>
      </w:r>
      <w:r w:rsidR="000147CE" w:rsidRPr="000147CE">
        <w:rPr>
          <w:rFonts w:ascii="Palatino Linotype" w:hAnsi="Palatino Linotype"/>
          <w:sz w:val="24"/>
          <w:szCs w:val="24"/>
        </w:rPr>
        <w:t>3 of that Act in particular</w:t>
      </w:r>
      <w:r w:rsidR="000147CE">
        <w:rPr>
          <w:rFonts w:ascii="Palatino Linotype" w:hAnsi="Palatino Linotype"/>
          <w:sz w:val="24"/>
          <w:szCs w:val="24"/>
        </w:rPr>
        <w:t xml:space="preserve">. </w:t>
      </w:r>
      <w:r w:rsidR="00DF79BB">
        <w:rPr>
          <w:rFonts w:ascii="Palatino Linotype" w:hAnsi="Palatino Linotype"/>
          <w:sz w:val="24"/>
          <w:szCs w:val="24"/>
        </w:rPr>
        <w:t>The</w:t>
      </w:r>
      <w:r w:rsidR="00C57698">
        <w:rPr>
          <w:rFonts w:ascii="Palatino Linotype" w:hAnsi="Palatino Linotype"/>
          <w:sz w:val="24"/>
          <w:szCs w:val="24"/>
        </w:rPr>
        <w:t xml:space="preserve"> </w:t>
      </w:r>
      <w:r w:rsidR="00DF79BB">
        <w:rPr>
          <w:rFonts w:ascii="Palatino Linotype" w:hAnsi="Palatino Linotype"/>
          <w:sz w:val="24"/>
          <w:szCs w:val="24"/>
        </w:rPr>
        <w:t xml:space="preserve">UK Government </w:t>
      </w:r>
      <w:r w:rsidR="002F05AB">
        <w:rPr>
          <w:rFonts w:ascii="Palatino Linotype" w:hAnsi="Palatino Linotype"/>
          <w:sz w:val="24"/>
          <w:szCs w:val="24"/>
        </w:rPr>
        <w:t>appears fully committed</w:t>
      </w:r>
      <w:r w:rsidR="00C57698">
        <w:rPr>
          <w:rFonts w:ascii="Palatino Linotype" w:hAnsi="Palatino Linotype"/>
          <w:sz w:val="24"/>
          <w:szCs w:val="24"/>
        </w:rPr>
        <w:t xml:space="preserve"> to</w:t>
      </w:r>
      <w:r w:rsidR="002F05AB">
        <w:rPr>
          <w:rFonts w:ascii="Palatino Linotype" w:hAnsi="Palatino Linotype"/>
          <w:sz w:val="24"/>
          <w:szCs w:val="24"/>
        </w:rPr>
        <w:t xml:space="preserve"> recasting the </w:t>
      </w:r>
      <w:r w:rsidR="00DF79BB">
        <w:rPr>
          <w:rFonts w:ascii="Palatino Linotype" w:hAnsi="Palatino Linotype"/>
          <w:sz w:val="24"/>
          <w:szCs w:val="24"/>
        </w:rPr>
        <w:t>status quo</w:t>
      </w:r>
      <w:r w:rsidR="00C57698">
        <w:rPr>
          <w:rFonts w:ascii="Palatino Linotype" w:hAnsi="Palatino Linotype"/>
          <w:sz w:val="24"/>
          <w:szCs w:val="24"/>
        </w:rPr>
        <w:t>. When presenting the Great Repeal Bill before Parliament, it should</w:t>
      </w:r>
      <w:r w:rsidR="00DF79BB">
        <w:rPr>
          <w:rFonts w:ascii="Palatino Linotype" w:hAnsi="Palatino Linotype"/>
          <w:sz w:val="24"/>
          <w:szCs w:val="24"/>
        </w:rPr>
        <w:t xml:space="preserve"> think carefully and responsibly about </w:t>
      </w:r>
      <w:r w:rsidR="00C57698">
        <w:rPr>
          <w:rFonts w:ascii="Palatino Linotype" w:hAnsi="Palatino Linotype"/>
          <w:sz w:val="24"/>
          <w:szCs w:val="24"/>
        </w:rPr>
        <w:t xml:space="preserve">the </w:t>
      </w:r>
      <w:r w:rsidR="00DF79BB">
        <w:rPr>
          <w:rFonts w:ascii="Palatino Linotype" w:hAnsi="Palatino Linotype"/>
          <w:sz w:val="24"/>
          <w:szCs w:val="24"/>
        </w:rPr>
        <w:t>changes</w:t>
      </w:r>
      <w:r w:rsidR="00C57698">
        <w:rPr>
          <w:rFonts w:ascii="Palatino Linotype" w:hAnsi="Palatino Linotype"/>
          <w:sz w:val="24"/>
          <w:szCs w:val="24"/>
        </w:rPr>
        <w:t xml:space="preserve"> it proposes</w:t>
      </w:r>
      <w:r w:rsidR="00DF79BB">
        <w:rPr>
          <w:rFonts w:ascii="Palatino Linotype" w:hAnsi="Palatino Linotype"/>
          <w:sz w:val="24"/>
          <w:szCs w:val="24"/>
        </w:rPr>
        <w:t xml:space="preserve"> to</w:t>
      </w:r>
      <w:r w:rsidR="00C57698">
        <w:rPr>
          <w:rFonts w:ascii="Palatino Linotype" w:hAnsi="Palatino Linotype"/>
          <w:sz w:val="24"/>
          <w:szCs w:val="24"/>
        </w:rPr>
        <w:t xml:space="preserve"> govern</w:t>
      </w:r>
      <w:r w:rsidR="00DF79BB">
        <w:rPr>
          <w:rFonts w:ascii="Palatino Linotype" w:hAnsi="Palatino Linotype"/>
          <w:sz w:val="24"/>
          <w:szCs w:val="24"/>
        </w:rPr>
        <w:t xml:space="preserve"> the domestic effect of the current EU </w:t>
      </w:r>
      <w:r w:rsidR="00DF79BB" w:rsidRPr="003A1D8D">
        <w:rPr>
          <w:rFonts w:ascii="Palatino Linotype" w:hAnsi="Palatino Linotype"/>
          <w:i/>
          <w:sz w:val="24"/>
          <w:szCs w:val="24"/>
        </w:rPr>
        <w:t>acquis</w:t>
      </w:r>
      <w:r w:rsidR="00DF79BB">
        <w:rPr>
          <w:rFonts w:ascii="Palatino Linotype" w:hAnsi="Palatino Linotype"/>
          <w:sz w:val="24"/>
          <w:szCs w:val="24"/>
        </w:rPr>
        <w:t xml:space="preserve"> – and, looking</w:t>
      </w:r>
      <w:r w:rsidR="00C57698">
        <w:rPr>
          <w:rFonts w:ascii="Palatino Linotype" w:hAnsi="Palatino Linotype"/>
          <w:sz w:val="24"/>
          <w:szCs w:val="24"/>
        </w:rPr>
        <w:t xml:space="preserve"> even</w:t>
      </w:r>
      <w:r w:rsidR="00DF79BB">
        <w:rPr>
          <w:rFonts w:ascii="Palatino Linotype" w:hAnsi="Palatino Linotype"/>
          <w:sz w:val="24"/>
          <w:szCs w:val="24"/>
        </w:rPr>
        <w:t xml:space="preserve"> further ahead, to provisions of any s</w:t>
      </w:r>
      <w:r w:rsidR="00C57698">
        <w:rPr>
          <w:rFonts w:ascii="Palatino Linotype" w:hAnsi="Palatino Linotype"/>
          <w:sz w:val="24"/>
          <w:szCs w:val="24"/>
        </w:rPr>
        <w:t xml:space="preserve">ubsequent bilateral UK/EU agreements. </w:t>
      </w:r>
    </w:p>
    <w:p w14:paraId="73BF865E" w14:textId="77777777" w:rsidR="00F90390" w:rsidRDefault="00F90390" w:rsidP="00845E2A">
      <w:pPr>
        <w:spacing w:line="360" w:lineRule="auto"/>
        <w:jc w:val="both"/>
        <w:rPr>
          <w:rFonts w:ascii="Palatino Linotype" w:hAnsi="Palatino Linotype"/>
          <w:sz w:val="24"/>
          <w:szCs w:val="24"/>
        </w:rPr>
      </w:pPr>
    </w:p>
    <w:p w14:paraId="323B00B6" w14:textId="7D32CBFA" w:rsidR="000147CE" w:rsidRDefault="00601EB6" w:rsidP="00845E2A">
      <w:pPr>
        <w:spacing w:line="360" w:lineRule="auto"/>
        <w:jc w:val="both"/>
        <w:rPr>
          <w:rFonts w:ascii="Palatino Linotype" w:hAnsi="Palatino Linotype"/>
          <w:sz w:val="24"/>
          <w:szCs w:val="24"/>
        </w:rPr>
      </w:pPr>
      <w:r>
        <w:rPr>
          <w:rFonts w:ascii="Palatino Linotype" w:hAnsi="Palatino Linotype"/>
          <w:sz w:val="24"/>
          <w:szCs w:val="24"/>
        </w:rPr>
        <w:t xml:space="preserve">Managing the repeal of the ECA through </w:t>
      </w:r>
      <w:r w:rsidR="001504C6">
        <w:rPr>
          <w:rFonts w:ascii="Palatino Linotype" w:hAnsi="Palatino Linotype"/>
          <w:sz w:val="24"/>
          <w:szCs w:val="24"/>
        </w:rPr>
        <w:t xml:space="preserve">the Great Repeal Bill </w:t>
      </w:r>
      <w:r>
        <w:rPr>
          <w:rFonts w:ascii="Palatino Linotype" w:hAnsi="Palatino Linotype"/>
          <w:sz w:val="24"/>
          <w:szCs w:val="24"/>
        </w:rPr>
        <w:t xml:space="preserve">is not simply a matter of nationalising the EU </w:t>
      </w:r>
      <w:r w:rsidRPr="00BE4284">
        <w:rPr>
          <w:rFonts w:ascii="Palatino Linotype" w:hAnsi="Palatino Linotype"/>
          <w:i/>
          <w:sz w:val="24"/>
          <w:szCs w:val="24"/>
        </w:rPr>
        <w:t>acquis</w:t>
      </w:r>
      <w:r>
        <w:rPr>
          <w:rFonts w:ascii="Palatino Linotype" w:hAnsi="Palatino Linotype"/>
          <w:sz w:val="24"/>
          <w:szCs w:val="24"/>
        </w:rPr>
        <w:t xml:space="preserve"> (</w:t>
      </w:r>
      <w:r w:rsidR="00C57698">
        <w:rPr>
          <w:rFonts w:ascii="Palatino Linotype" w:hAnsi="Palatino Linotype"/>
          <w:sz w:val="24"/>
          <w:szCs w:val="24"/>
        </w:rPr>
        <w:t xml:space="preserve">itself </w:t>
      </w:r>
      <w:r>
        <w:rPr>
          <w:rFonts w:ascii="Palatino Linotype" w:hAnsi="Palatino Linotype"/>
          <w:sz w:val="24"/>
          <w:szCs w:val="24"/>
        </w:rPr>
        <w:t>no easy task) and</w:t>
      </w:r>
      <w:r w:rsidR="002F05AB">
        <w:rPr>
          <w:rFonts w:ascii="Palatino Linotype" w:hAnsi="Palatino Linotype"/>
          <w:sz w:val="24"/>
          <w:szCs w:val="24"/>
        </w:rPr>
        <w:t xml:space="preserve"> perhaps</w:t>
      </w:r>
      <w:r>
        <w:rPr>
          <w:rFonts w:ascii="Palatino Linotype" w:hAnsi="Palatino Linotype"/>
          <w:sz w:val="24"/>
          <w:szCs w:val="24"/>
        </w:rPr>
        <w:t>, more controversially</w:t>
      </w:r>
      <w:r w:rsidR="002F05AB">
        <w:rPr>
          <w:rFonts w:ascii="Palatino Linotype" w:hAnsi="Palatino Linotype"/>
          <w:sz w:val="24"/>
          <w:szCs w:val="24"/>
        </w:rPr>
        <w:t>,</w:t>
      </w:r>
      <w:r>
        <w:rPr>
          <w:rFonts w:ascii="Palatino Linotype" w:hAnsi="Palatino Linotype"/>
          <w:sz w:val="24"/>
          <w:szCs w:val="24"/>
        </w:rPr>
        <w:t xml:space="preserve"> establishing </w:t>
      </w:r>
      <w:r w:rsidR="00C57698">
        <w:rPr>
          <w:rFonts w:ascii="Palatino Linotype" w:hAnsi="Palatino Linotype"/>
          <w:sz w:val="24"/>
          <w:szCs w:val="24"/>
        </w:rPr>
        <w:t>sweeping new executive</w:t>
      </w:r>
      <w:r>
        <w:rPr>
          <w:rFonts w:ascii="Palatino Linotype" w:hAnsi="Palatino Linotype"/>
          <w:sz w:val="24"/>
          <w:szCs w:val="24"/>
        </w:rPr>
        <w:t xml:space="preserve"> powers to authorise adju</w:t>
      </w:r>
      <w:r w:rsidR="00310A82">
        <w:rPr>
          <w:rFonts w:ascii="Palatino Linotype" w:hAnsi="Palatino Linotype"/>
          <w:sz w:val="24"/>
          <w:szCs w:val="24"/>
        </w:rPr>
        <w:t xml:space="preserve">stments to substantive norms. </w:t>
      </w:r>
      <w:r>
        <w:rPr>
          <w:rFonts w:ascii="Palatino Linotype" w:hAnsi="Palatino Linotype"/>
          <w:sz w:val="24"/>
          <w:szCs w:val="24"/>
        </w:rPr>
        <w:t xml:space="preserve">It also </w:t>
      </w:r>
      <w:r w:rsidR="005661B1">
        <w:rPr>
          <w:rFonts w:ascii="Palatino Linotype" w:hAnsi="Palatino Linotype"/>
          <w:sz w:val="24"/>
          <w:szCs w:val="24"/>
        </w:rPr>
        <w:t>involves</w:t>
      </w:r>
      <w:r>
        <w:rPr>
          <w:rFonts w:ascii="Palatino Linotype" w:hAnsi="Palatino Linotype"/>
          <w:sz w:val="24"/>
          <w:szCs w:val="24"/>
        </w:rPr>
        <w:t xml:space="preserve"> fundamental decisions about </w:t>
      </w:r>
      <w:r w:rsidRPr="004D2C30">
        <w:rPr>
          <w:rFonts w:ascii="Palatino Linotype" w:hAnsi="Palatino Linotype"/>
          <w:i/>
          <w:sz w:val="24"/>
          <w:szCs w:val="24"/>
        </w:rPr>
        <w:t>how</w:t>
      </w:r>
      <w:r>
        <w:rPr>
          <w:rFonts w:ascii="Palatino Linotype" w:hAnsi="Palatino Linotype"/>
          <w:sz w:val="24"/>
          <w:szCs w:val="24"/>
        </w:rPr>
        <w:t xml:space="preserve"> the nationalised EU </w:t>
      </w:r>
      <w:r w:rsidRPr="003A1D8D">
        <w:rPr>
          <w:rFonts w:ascii="Palatino Linotype" w:hAnsi="Palatino Linotype"/>
          <w:i/>
          <w:sz w:val="24"/>
          <w:szCs w:val="24"/>
        </w:rPr>
        <w:t>acquis</w:t>
      </w:r>
      <w:r>
        <w:rPr>
          <w:rFonts w:ascii="Palatino Linotype" w:hAnsi="Palatino Linotype"/>
          <w:sz w:val="24"/>
          <w:szCs w:val="24"/>
        </w:rPr>
        <w:t xml:space="preserve"> (together with provisions </w:t>
      </w:r>
      <w:r w:rsidR="00C57698">
        <w:rPr>
          <w:rFonts w:ascii="Palatino Linotype" w:hAnsi="Palatino Linotype"/>
          <w:sz w:val="24"/>
          <w:szCs w:val="24"/>
        </w:rPr>
        <w:t xml:space="preserve">any </w:t>
      </w:r>
      <w:r w:rsidR="005661B1">
        <w:rPr>
          <w:rFonts w:ascii="Palatino Linotype" w:hAnsi="Palatino Linotype"/>
          <w:sz w:val="24"/>
          <w:szCs w:val="24"/>
        </w:rPr>
        <w:t xml:space="preserve">future </w:t>
      </w:r>
      <w:r w:rsidR="00C57698">
        <w:rPr>
          <w:rFonts w:ascii="Palatino Linotype" w:hAnsi="Palatino Linotype"/>
          <w:sz w:val="24"/>
          <w:szCs w:val="24"/>
        </w:rPr>
        <w:t>bilateral UK/EU agreements</w:t>
      </w:r>
      <w:r>
        <w:rPr>
          <w:rFonts w:ascii="Palatino Linotype" w:hAnsi="Palatino Linotype"/>
          <w:sz w:val="24"/>
          <w:szCs w:val="24"/>
        </w:rPr>
        <w:t xml:space="preserve">) should be enforced and interpreted domestically and </w:t>
      </w:r>
      <w:r w:rsidRPr="00327687">
        <w:rPr>
          <w:rFonts w:ascii="Palatino Linotype" w:hAnsi="Palatino Linotype"/>
          <w:i/>
          <w:sz w:val="24"/>
          <w:szCs w:val="24"/>
        </w:rPr>
        <w:t>by whom</w:t>
      </w:r>
      <w:r>
        <w:rPr>
          <w:rFonts w:ascii="Palatino Linotype" w:hAnsi="Palatino Linotype"/>
          <w:sz w:val="24"/>
          <w:szCs w:val="24"/>
        </w:rPr>
        <w:t xml:space="preserve">. As this post </w:t>
      </w:r>
      <w:r w:rsidR="002F05AB">
        <w:rPr>
          <w:rFonts w:ascii="Palatino Linotype" w:hAnsi="Palatino Linotype"/>
          <w:sz w:val="24"/>
          <w:szCs w:val="24"/>
        </w:rPr>
        <w:t>illustrates</w:t>
      </w:r>
      <w:r>
        <w:rPr>
          <w:rFonts w:ascii="Palatino Linotype" w:hAnsi="Palatino Linotype"/>
          <w:sz w:val="24"/>
          <w:szCs w:val="24"/>
        </w:rPr>
        <w:t xml:space="preserve">, the flexibility of the UK constitutional order affords Parliament </w:t>
      </w:r>
      <w:r w:rsidR="002F05AB">
        <w:rPr>
          <w:rFonts w:ascii="Palatino Linotype" w:hAnsi="Palatino Linotype"/>
          <w:sz w:val="24"/>
          <w:szCs w:val="24"/>
        </w:rPr>
        <w:t>considerable freedom to determine</w:t>
      </w:r>
      <w:r>
        <w:rPr>
          <w:rFonts w:ascii="Palatino Linotype" w:hAnsi="Palatino Linotype"/>
          <w:sz w:val="24"/>
          <w:szCs w:val="24"/>
        </w:rPr>
        <w:t xml:space="preserve"> what model to adopt – each</w:t>
      </w:r>
      <w:r w:rsidR="002F05AB">
        <w:rPr>
          <w:rFonts w:ascii="Palatino Linotype" w:hAnsi="Palatino Linotype"/>
          <w:sz w:val="24"/>
          <w:szCs w:val="24"/>
        </w:rPr>
        <w:t xml:space="preserve"> of which carries</w:t>
      </w:r>
      <w:r>
        <w:rPr>
          <w:rFonts w:ascii="Palatino Linotype" w:hAnsi="Palatino Linotype"/>
          <w:sz w:val="24"/>
          <w:szCs w:val="24"/>
        </w:rPr>
        <w:t xml:space="preserve"> radically different implications for domestic courts. </w:t>
      </w:r>
      <w:r w:rsidR="006720E8">
        <w:rPr>
          <w:rFonts w:ascii="Palatino Linotype" w:hAnsi="Palatino Linotype"/>
          <w:sz w:val="24"/>
          <w:szCs w:val="24"/>
        </w:rPr>
        <w:t>On these matters</w:t>
      </w:r>
      <w:r w:rsidR="002F05AB">
        <w:rPr>
          <w:rFonts w:ascii="Palatino Linotype" w:hAnsi="Palatino Linotype"/>
          <w:sz w:val="24"/>
          <w:szCs w:val="24"/>
        </w:rPr>
        <w:t xml:space="preserve">, </w:t>
      </w:r>
      <w:r>
        <w:rPr>
          <w:rFonts w:ascii="Palatino Linotype" w:hAnsi="Palatino Linotype"/>
          <w:sz w:val="24"/>
          <w:szCs w:val="24"/>
        </w:rPr>
        <w:t>UK courts await</w:t>
      </w:r>
      <w:r w:rsidR="001504C6">
        <w:rPr>
          <w:rFonts w:ascii="Palatino Linotype" w:hAnsi="Palatino Linotype"/>
          <w:sz w:val="24"/>
          <w:szCs w:val="24"/>
        </w:rPr>
        <w:t xml:space="preserve"> </w:t>
      </w:r>
      <w:r w:rsidR="002F05AB">
        <w:rPr>
          <w:rFonts w:ascii="Palatino Linotype" w:hAnsi="Palatino Linotype"/>
          <w:sz w:val="24"/>
          <w:szCs w:val="24"/>
        </w:rPr>
        <w:t>fresh</w:t>
      </w:r>
      <w:r>
        <w:rPr>
          <w:rFonts w:ascii="Palatino Linotype" w:hAnsi="Palatino Linotype"/>
          <w:sz w:val="24"/>
          <w:szCs w:val="24"/>
        </w:rPr>
        <w:t xml:space="preserve"> instruction. </w:t>
      </w:r>
    </w:p>
    <w:p w14:paraId="7227B711" w14:textId="77777777" w:rsidR="001C5F50" w:rsidRDefault="001C5F50" w:rsidP="001C5F50">
      <w:pPr>
        <w:spacing w:line="360" w:lineRule="auto"/>
        <w:jc w:val="both"/>
        <w:rPr>
          <w:rFonts w:ascii="Palatino Linotype" w:hAnsi="Palatino Linotype"/>
          <w:sz w:val="24"/>
          <w:szCs w:val="24"/>
        </w:rPr>
      </w:pPr>
    </w:p>
    <w:p w14:paraId="0DC6D925" w14:textId="40D78C77" w:rsidR="00665318" w:rsidRDefault="001C5F50" w:rsidP="00370667">
      <w:pPr>
        <w:spacing w:line="360" w:lineRule="auto"/>
        <w:jc w:val="both"/>
        <w:rPr>
          <w:rFonts w:ascii="Palatino Linotype" w:hAnsi="Palatino Linotype"/>
          <w:i/>
          <w:sz w:val="24"/>
          <w:szCs w:val="24"/>
        </w:rPr>
      </w:pPr>
      <w:r w:rsidRPr="001C5F50">
        <w:rPr>
          <w:rFonts w:ascii="Palatino Linotype" w:hAnsi="Palatino Linotype"/>
          <w:i/>
          <w:sz w:val="24"/>
          <w:szCs w:val="24"/>
        </w:rPr>
        <w:t>Thomas Horsley is a Senior Lecturer in EU law and Director of Postgraduate Research at Liverpool Law School</w:t>
      </w:r>
      <w:r>
        <w:rPr>
          <w:rFonts w:ascii="Palatino Linotype" w:hAnsi="Palatino Linotype"/>
          <w:i/>
          <w:sz w:val="24"/>
          <w:szCs w:val="24"/>
        </w:rPr>
        <w:t>.</w:t>
      </w:r>
    </w:p>
    <w:p w14:paraId="28348B85" w14:textId="77777777" w:rsidR="005D3EE8" w:rsidRPr="005D3EE8" w:rsidRDefault="005D3EE8" w:rsidP="00370667">
      <w:pPr>
        <w:spacing w:line="360" w:lineRule="auto"/>
        <w:jc w:val="both"/>
        <w:rPr>
          <w:rFonts w:ascii="Palatino Linotype" w:hAnsi="Palatino Linotype"/>
          <w:i/>
          <w:sz w:val="24"/>
          <w:szCs w:val="24"/>
        </w:rPr>
      </w:pPr>
    </w:p>
    <w:p w14:paraId="204C6857" w14:textId="55481385" w:rsidR="00370667" w:rsidRDefault="00F17A5A" w:rsidP="00370667">
      <w:pPr>
        <w:spacing w:line="360" w:lineRule="auto"/>
        <w:jc w:val="both"/>
        <w:rPr>
          <w:rFonts w:ascii="Palatino Linotype" w:hAnsi="Palatino Linotype"/>
          <w:sz w:val="24"/>
          <w:szCs w:val="24"/>
        </w:rPr>
      </w:pPr>
      <w:r>
        <w:rPr>
          <w:rFonts w:ascii="Palatino Linotype" w:hAnsi="Palatino Linotype"/>
          <w:sz w:val="24"/>
          <w:szCs w:val="24"/>
        </w:rPr>
        <w:t>This post is shorted version of T. Horsley, ‘</w:t>
      </w:r>
      <w:r w:rsidR="00230824">
        <w:rPr>
          <w:rFonts w:ascii="Palatino Linotype" w:hAnsi="Palatino Linotype"/>
          <w:sz w:val="24"/>
          <w:szCs w:val="24"/>
        </w:rPr>
        <w:t>Brexit and UK Courts: Awaiting</w:t>
      </w:r>
      <w:r w:rsidRPr="00F17A5A">
        <w:rPr>
          <w:rFonts w:ascii="Palatino Linotype" w:hAnsi="Palatino Linotype"/>
          <w:sz w:val="24"/>
          <w:szCs w:val="24"/>
        </w:rPr>
        <w:t xml:space="preserve"> </w:t>
      </w:r>
      <w:r w:rsidR="00230824">
        <w:rPr>
          <w:rFonts w:ascii="Palatino Linotype" w:hAnsi="Palatino Linotype"/>
          <w:sz w:val="24"/>
          <w:szCs w:val="24"/>
        </w:rPr>
        <w:t>Fresh</w:t>
      </w:r>
      <w:r w:rsidRPr="00F17A5A">
        <w:rPr>
          <w:rFonts w:ascii="Palatino Linotype" w:hAnsi="Palatino Linotype"/>
          <w:sz w:val="24"/>
          <w:szCs w:val="24"/>
        </w:rPr>
        <w:t xml:space="preserve"> Instruction</w:t>
      </w:r>
      <w:r>
        <w:rPr>
          <w:rFonts w:ascii="Palatino Linotype" w:hAnsi="Palatino Linotype"/>
          <w:sz w:val="24"/>
          <w:szCs w:val="24"/>
        </w:rPr>
        <w:t xml:space="preserve">’ in M. Dougan (Ed.) </w:t>
      </w:r>
      <w:r w:rsidRPr="00F17A5A">
        <w:rPr>
          <w:rFonts w:ascii="Palatino Linotype" w:hAnsi="Palatino Linotype"/>
          <w:i/>
          <w:sz w:val="24"/>
          <w:szCs w:val="24"/>
        </w:rPr>
        <w:t>UK Law after Brexit</w:t>
      </w:r>
      <w:r>
        <w:rPr>
          <w:rFonts w:ascii="Palatino Linotype" w:hAnsi="Palatino Linotype"/>
          <w:sz w:val="24"/>
          <w:szCs w:val="24"/>
        </w:rPr>
        <w:t xml:space="preserve"> (title tbc) (Insentia, forthcoming September 2017).</w:t>
      </w:r>
    </w:p>
    <w:p w14:paraId="4FD40FF6" w14:textId="77777777" w:rsidR="00410F03" w:rsidRDefault="00410F03" w:rsidP="00370667">
      <w:pPr>
        <w:spacing w:line="360" w:lineRule="auto"/>
        <w:jc w:val="both"/>
        <w:rPr>
          <w:rFonts w:ascii="Palatino Linotype" w:hAnsi="Palatino Linotype"/>
          <w:sz w:val="24"/>
          <w:szCs w:val="24"/>
        </w:rPr>
      </w:pPr>
      <w:bookmarkStart w:id="0" w:name="_GoBack"/>
      <w:bookmarkEnd w:id="0"/>
    </w:p>
    <w:p w14:paraId="157522DE" w14:textId="1106ECDA" w:rsidR="00410F03" w:rsidRPr="001C5F50" w:rsidRDefault="00410F03" w:rsidP="00370667">
      <w:pPr>
        <w:spacing w:line="360" w:lineRule="auto"/>
        <w:jc w:val="both"/>
        <w:rPr>
          <w:rFonts w:ascii="Palatino Linotype" w:hAnsi="Palatino Linotype"/>
          <w:sz w:val="24"/>
          <w:szCs w:val="24"/>
        </w:rPr>
      </w:pPr>
      <w:r>
        <w:rPr>
          <w:rFonts w:ascii="Palatino Linotype" w:hAnsi="Palatino Linotype"/>
          <w:sz w:val="24"/>
          <w:szCs w:val="24"/>
        </w:rPr>
        <w:t>(Suggested citation: T</w:t>
      </w:r>
      <w:r w:rsidRPr="00410F03">
        <w:rPr>
          <w:rFonts w:ascii="Palatino Linotype" w:hAnsi="Palatino Linotype"/>
          <w:sz w:val="24"/>
          <w:szCs w:val="24"/>
        </w:rPr>
        <w:t xml:space="preserve">. </w:t>
      </w:r>
      <w:r>
        <w:rPr>
          <w:rFonts w:ascii="Palatino Linotype" w:hAnsi="Palatino Linotype"/>
          <w:sz w:val="24"/>
          <w:szCs w:val="24"/>
        </w:rPr>
        <w:t>Horsley</w:t>
      </w:r>
      <w:r w:rsidRPr="00410F03">
        <w:rPr>
          <w:rFonts w:ascii="Palatino Linotype" w:hAnsi="Palatino Linotype"/>
          <w:sz w:val="24"/>
          <w:szCs w:val="24"/>
        </w:rPr>
        <w:t>, ‘UK Courts and the Great Repeal Bill –Awaiting Fresh Instruction</w:t>
      </w:r>
      <w:r>
        <w:rPr>
          <w:rFonts w:ascii="Palatino Linotype" w:hAnsi="Palatino Linotype"/>
          <w:sz w:val="24"/>
          <w:szCs w:val="24"/>
        </w:rPr>
        <w:t>’,</w:t>
      </w:r>
      <w:r w:rsidRPr="00410F03">
        <w:rPr>
          <w:rFonts w:ascii="Palatino Linotype" w:hAnsi="Palatino Linotype"/>
          <w:sz w:val="24"/>
          <w:szCs w:val="24"/>
        </w:rPr>
        <w:t xml:space="preserve"> U.K. Const. L. Blog (</w:t>
      </w:r>
      <w:r>
        <w:rPr>
          <w:rFonts w:ascii="Palatino Linotype" w:hAnsi="Palatino Linotype"/>
          <w:sz w:val="24"/>
          <w:szCs w:val="24"/>
        </w:rPr>
        <w:t>DATE</w:t>
      </w:r>
      <w:r w:rsidRPr="00410F03">
        <w:rPr>
          <w:rFonts w:ascii="Palatino Linotype" w:hAnsi="Palatino Linotype"/>
          <w:sz w:val="24"/>
          <w:szCs w:val="24"/>
        </w:rPr>
        <w:t>) (available at https://ukconstitutionallaw.org/))</w:t>
      </w:r>
    </w:p>
    <w:sectPr w:rsidR="00410F03" w:rsidRPr="001C5F50" w:rsidSect="00082F6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DCE6C" w14:textId="77777777" w:rsidR="001F5B1F" w:rsidRDefault="001F5B1F" w:rsidP="002F28CB">
      <w:pPr>
        <w:spacing w:after="0" w:line="240" w:lineRule="auto"/>
      </w:pPr>
      <w:r>
        <w:separator/>
      </w:r>
    </w:p>
  </w:endnote>
  <w:endnote w:type="continuationSeparator" w:id="0">
    <w:p w14:paraId="62840173" w14:textId="77777777" w:rsidR="001F5B1F" w:rsidRDefault="001F5B1F" w:rsidP="002F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29A4D" w14:textId="77777777" w:rsidR="001F5B1F" w:rsidRDefault="001F5B1F" w:rsidP="002F28CB">
      <w:pPr>
        <w:spacing w:after="0" w:line="240" w:lineRule="auto"/>
      </w:pPr>
      <w:r>
        <w:separator/>
      </w:r>
    </w:p>
  </w:footnote>
  <w:footnote w:type="continuationSeparator" w:id="0">
    <w:p w14:paraId="27890005" w14:textId="77777777" w:rsidR="001F5B1F" w:rsidRDefault="001F5B1F" w:rsidP="002F28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67"/>
    <w:rsid w:val="000147CE"/>
    <w:rsid w:val="00026546"/>
    <w:rsid w:val="00041EA6"/>
    <w:rsid w:val="00076925"/>
    <w:rsid w:val="00077C01"/>
    <w:rsid w:val="00080D49"/>
    <w:rsid w:val="00082F69"/>
    <w:rsid w:val="00082FCE"/>
    <w:rsid w:val="000B1FE9"/>
    <w:rsid w:val="000C7B26"/>
    <w:rsid w:val="000E41AC"/>
    <w:rsid w:val="00110F80"/>
    <w:rsid w:val="00132654"/>
    <w:rsid w:val="001504C6"/>
    <w:rsid w:val="001614F5"/>
    <w:rsid w:val="001C5F50"/>
    <w:rsid w:val="001D1722"/>
    <w:rsid w:val="001D7D58"/>
    <w:rsid w:val="001E734E"/>
    <w:rsid w:val="001F5B1F"/>
    <w:rsid w:val="00224397"/>
    <w:rsid w:val="00230824"/>
    <w:rsid w:val="00262222"/>
    <w:rsid w:val="00275F74"/>
    <w:rsid w:val="0029511D"/>
    <w:rsid w:val="002A3BC2"/>
    <w:rsid w:val="002B1A86"/>
    <w:rsid w:val="002E3CB6"/>
    <w:rsid w:val="002F05AB"/>
    <w:rsid w:val="002F28CB"/>
    <w:rsid w:val="002F5422"/>
    <w:rsid w:val="00310A82"/>
    <w:rsid w:val="00327687"/>
    <w:rsid w:val="0035033A"/>
    <w:rsid w:val="00351CDC"/>
    <w:rsid w:val="00361A06"/>
    <w:rsid w:val="00370667"/>
    <w:rsid w:val="00390D37"/>
    <w:rsid w:val="003A1D8D"/>
    <w:rsid w:val="003C73E8"/>
    <w:rsid w:val="003D203F"/>
    <w:rsid w:val="003D7313"/>
    <w:rsid w:val="003E601A"/>
    <w:rsid w:val="00401A3F"/>
    <w:rsid w:val="00410F03"/>
    <w:rsid w:val="0043299A"/>
    <w:rsid w:val="00473D14"/>
    <w:rsid w:val="004852A7"/>
    <w:rsid w:val="00485349"/>
    <w:rsid w:val="004A4387"/>
    <w:rsid w:val="004D2C30"/>
    <w:rsid w:val="00500511"/>
    <w:rsid w:val="00502933"/>
    <w:rsid w:val="00514A16"/>
    <w:rsid w:val="005273AA"/>
    <w:rsid w:val="005544C1"/>
    <w:rsid w:val="00561926"/>
    <w:rsid w:val="005661B1"/>
    <w:rsid w:val="005A0F2D"/>
    <w:rsid w:val="005D3EE8"/>
    <w:rsid w:val="005D7197"/>
    <w:rsid w:val="005F7207"/>
    <w:rsid w:val="00601EB6"/>
    <w:rsid w:val="00622D21"/>
    <w:rsid w:val="006321F2"/>
    <w:rsid w:val="00656435"/>
    <w:rsid w:val="00665318"/>
    <w:rsid w:val="00666D16"/>
    <w:rsid w:val="006720E8"/>
    <w:rsid w:val="006727FF"/>
    <w:rsid w:val="006824E3"/>
    <w:rsid w:val="00683287"/>
    <w:rsid w:val="006848A2"/>
    <w:rsid w:val="006975F9"/>
    <w:rsid w:val="006A2D3C"/>
    <w:rsid w:val="006C526E"/>
    <w:rsid w:val="006D09E2"/>
    <w:rsid w:val="006E77F3"/>
    <w:rsid w:val="006F2856"/>
    <w:rsid w:val="00705EAD"/>
    <w:rsid w:val="00745FCF"/>
    <w:rsid w:val="00785694"/>
    <w:rsid w:val="007A76AE"/>
    <w:rsid w:val="007B52B8"/>
    <w:rsid w:val="00814158"/>
    <w:rsid w:val="008152BD"/>
    <w:rsid w:val="00845E2A"/>
    <w:rsid w:val="008472F3"/>
    <w:rsid w:val="008835EC"/>
    <w:rsid w:val="00894232"/>
    <w:rsid w:val="008945FE"/>
    <w:rsid w:val="008C521D"/>
    <w:rsid w:val="008C62C9"/>
    <w:rsid w:val="00901882"/>
    <w:rsid w:val="00912457"/>
    <w:rsid w:val="00961BEC"/>
    <w:rsid w:val="00964FCD"/>
    <w:rsid w:val="009726D1"/>
    <w:rsid w:val="009832F9"/>
    <w:rsid w:val="009D4258"/>
    <w:rsid w:val="009E1C1F"/>
    <w:rsid w:val="00A03515"/>
    <w:rsid w:val="00A06252"/>
    <w:rsid w:val="00A06A7F"/>
    <w:rsid w:val="00A06E05"/>
    <w:rsid w:val="00A31BA9"/>
    <w:rsid w:val="00A52E30"/>
    <w:rsid w:val="00AB5E0B"/>
    <w:rsid w:val="00AC51FE"/>
    <w:rsid w:val="00AD2E8D"/>
    <w:rsid w:val="00B920EB"/>
    <w:rsid w:val="00BA20AD"/>
    <w:rsid w:val="00BA6AA5"/>
    <w:rsid w:val="00BE28B0"/>
    <w:rsid w:val="00BE4284"/>
    <w:rsid w:val="00C57698"/>
    <w:rsid w:val="00C97FC8"/>
    <w:rsid w:val="00D443F2"/>
    <w:rsid w:val="00D5442D"/>
    <w:rsid w:val="00DB2D2E"/>
    <w:rsid w:val="00DE7534"/>
    <w:rsid w:val="00DF79BB"/>
    <w:rsid w:val="00E422E4"/>
    <w:rsid w:val="00E512AF"/>
    <w:rsid w:val="00E60088"/>
    <w:rsid w:val="00E646B2"/>
    <w:rsid w:val="00E7656A"/>
    <w:rsid w:val="00E90788"/>
    <w:rsid w:val="00E9285B"/>
    <w:rsid w:val="00EC0740"/>
    <w:rsid w:val="00ED2A52"/>
    <w:rsid w:val="00EE22E1"/>
    <w:rsid w:val="00F13F97"/>
    <w:rsid w:val="00F17A5A"/>
    <w:rsid w:val="00F437EB"/>
    <w:rsid w:val="00F90390"/>
    <w:rsid w:val="00FC49A4"/>
    <w:rsid w:val="00FE2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2649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67"/>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667"/>
    <w:rPr>
      <w:color w:val="0000FF" w:themeColor="hyperlink"/>
      <w:u w:val="single"/>
    </w:rPr>
  </w:style>
  <w:style w:type="character" w:styleId="FollowedHyperlink">
    <w:name w:val="FollowedHyperlink"/>
    <w:basedOn w:val="DefaultParagraphFont"/>
    <w:uiPriority w:val="99"/>
    <w:semiHidden/>
    <w:unhideWhenUsed/>
    <w:rsid w:val="00814158"/>
    <w:rPr>
      <w:color w:val="800080" w:themeColor="followedHyperlink"/>
      <w:u w:val="single"/>
    </w:rPr>
  </w:style>
  <w:style w:type="paragraph" w:styleId="BalloonText">
    <w:name w:val="Balloon Text"/>
    <w:basedOn w:val="Normal"/>
    <w:link w:val="BalloonTextChar"/>
    <w:uiPriority w:val="99"/>
    <w:semiHidden/>
    <w:unhideWhenUsed/>
    <w:rsid w:val="005D3E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3EE8"/>
    <w:rPr>
      <w:rFonts w:ascii="Lucida Grande" w:eastAsiaTheme="minorHAns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67"/>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667"/>
    <w:rPr>
      <w:color w:val="0000FF" w:themeColor="hyperlink"/>
      <w:u w:val="single"/>
    </w:rPr>
  </w:style>
  <w:style w:type="character" w:styleId="FollowedHyperlink">
    <w:name w:val="FollowedHyperlink"/>
    <w:basedOn w:val="DefaultParagraphFont"/>
    <w:uiPriority w:val="99"/>
    <w:semiHidden/>
    <w:unhideWhenUsed/>
    <w:rsid w:val="00814158"/>
    <w:rPr>
      <w:color w:val="800080" w:themeColor="followedHyperlink"/>
      <w:u w:val="single"/>
    </w:rPr>
  </w:style>
  <w:style w:type="paragraph" w:styleId="BalloonText">
    <w:name w:val="Balloon Text"/>
    <w:basedOn w:val="Normal"/>
    <w:link w:val="BalloonTextChar"/>
    <w:uiPriority w:val="99"/>
    <w:semiHidden/>
    <w:unhideWhenUsed/>
    <w:rsid w:val="005D3E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3EE8"/>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upremecourt.uk/cases/docs/uksc-2016-0196-judgment.pdf" TargetMode="External"/><Relationship Id="rId20" Type="http://schemas.openxmlformats.org/officeDocument/2006/relationships/hyperlink" Target="http://www.legislation.gov.uk/ukpga/1998/42" TargetMode="External"/><Relationship Id="rId21" Type="http://schemas.openxmlformats.org/officeDocument/2006/relationships/hyperlink" Target="http://eur-lex.europa.eu/legal-content/EN/TXT/HTML/?uri=CELEX:61983CJ0014&amp;from=en"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legislation.gov.uk/ukpga/1972/68/section/3" TargetMode="External"/><Relationship Id="rId11" Type="http://schemas.openxmlformats.org/officeDocument/2006/relationships/hyperlink" Target="http://www.legislation.gov.uk/ukpga/1998/42" TargetMode="External"/><Relationship Id="rId12" Type="http://schemas.openxmlformats.org/officeDocument/2006/relationships/hyperlink" Target="http://www.bailii.org/uk/cases/UKSC/2012/49.pdf" TargetMode="External"/><Relationship Id="rId13" Type="http://schemas.openxmlformats.org/officeDocument/2006/relationships/hyperlink" Target="http://curia.europa.eu/juris/document/document.jsf?docid=153814&amp;doclang=en" TargetMode="External"/><Relationship Id="rId14" Type="http://schemas.openxmlformats.org/officeDocument/2006/relationships/hyperlink" Target="http://eur-lex.europa.eu/LexUriServ/LexUriServ.do?uri=OJ:L:2004:158:0077:0123:en:PDF" TargetMode="External"/><Relationship Id="rId15" Type="http://schemas.openxmlformats.org/officeDocument/2006/relationships/hyperlink" Target="https://www.gov.uk/government/uploads/system/uploads/attachment_data/file/589191/The_United_Kingdoms_exit_from_and_partnership_with_the_EU_Web.pdf" TargetMode="External"/><Relationship Id="rId16" Type="http://schemas.openxmlformats.org/officeDocument/2006/relationships/hyperlink" Target="https://www.supremecourt.uk/cases/docs/uksc-2016-0196-judgment.pdf" TargetMode="External"/><Relationship Id="rId17" Type="http://schemas.openxmlformats.org/officeDocument/2006/relationships/hyperlink" Target="https://www.supremecourt.uk/cases/docs/uksc-2016-0196-judgment.pdf" TargetMode="External"/><Relationship Id="rId18" Type="http://schemas.openxmlformats.org/officeDocument/2006/relationships/hyperlink" Target="https://www.gov.uk/government/uploads/system/uploads/attachment_data/file/589191/The_United_Kingdoms_exit_from_and_partnership_with_the_EU_Web.pdf" TargetMode="External"/><Relationship Id="rId19" Type="http://schemas.openxmlformats.org/officeDocument/2006/relationships/hyperlink" Target="https://ukconstitutionallaw.org/2016/10/10/sionaidh-douglas-scott-the-great-repeal-bill-constitutional-chaos-and-constitutional-crisi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gislation.gov.uk/ukpga/1972/68/contents" TargetMode="External"/><Relationship Id="rId8" Type="http://schemas.openxmlformats.org/officeDocument/2006/relationships/hyperlink" Target="http://eur-lex.europa.eu/legal-content/EN/TXT/HTML/?uri=CELEX:61962CJ0026&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2186</Words>
  <Characters>12466</Characters>
  <Application>Microsoft Macintosh Word</Application>
  <DocSecurity>0</DocSecurity>
  <Lines>103</Lines>
  <Paragraphs>29</Paragraphs>
  <ScaleCrop>false</ScaleCrop>
  <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Horsley</dc:creator>
  <cp:keywords/>
  <dc:description/>
  <cp:lastModifiedBy>Thomas Horsley</cp:lastModifiedBy>
  <cp:revision>17</cp:revision>
  <cp:lastPrinted>2017-02-26T18:14:00Z</cp:lastPrinted>
  <dcterms:created xsi:type="dcterms:W3CDTF">2017-02-26T21:48:00Z</dcterms:created>
  <dcterms:modified xsi:type="dcterms:W3CDTF">2017-02-27T11:57:00Z</dcterms:modified>
</cp:coreProperties>
</file>