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4"/>
        <w:spacing w:line="235" w:lineRule="auto" w:before="76"/>
        <w:ind w:left="930" w:right="859"/>
        <w:rPr>
          <w:rFonts w:ascii="Calibri"/>
        </w:rPr>
      </w:pPr>
      <w:r>
        <w:rPr/>
        <w:pict>
          <v:group style="position:absolute;margin-left:42.008999pt;margin-top:5.647875pt;width:25.15pt;height:24.5pt;mso-position-horizontal-relative:page;mso-position-vertical-relative:paragraph;z-index:1048" coordorigin="840,113" coordsize="503,490">
            <v:shape style="position:absolute;left:840;top:112;width:503;height:490" type="#_x0000_t75" stroked="false">
              <v:imagedata r:id="rId5" o:title=""/>
            </v:shape>
            <v:shape style="position:absolute;left:877;top:264;width:435;height:160" type="#_x0000_t75" stroked="false">
              <v:imagedata r:id="rId6" o:title=""/>
            </v:shape>
            <w10:wrap type="none"/>
          </v:group>
        </w:pict>
      </w:r>
      <w:r>
        <w:rPr>
          <w:rFonts w:ascii="Calibri"/>
          <w:color w:val="00AB54"/>
          <w:w w:val="105"/>
        </w:rPr>
        <w:t>British Journal of Clinical Pharmacology</w:t>
      </w:r>
    </w:p>
    <w:p>
      <w:pPr>
        <w:spacing w:before="165"/>
        <w:ind w:left="100" w:right="0" w:firstLine="0"/>
        <w:jc w:val="left"/>
        <w:rPr>
          <w:rFonts w:ascii="Lucida Sans"/>
          <w:sz w:val="48"/>
        </w:rPr>
      </w:pPr>
      <w:r>
        <w:rPr>
          <w:rFonts w:ascii="Lucida Sans"/>
          <w:color w:val="231F20"/>
          <w:sz w:val="48"/>
        </w:rPr>
        <w:t>DRUG INTERACTIONS</w:t>
      </w:r>
    </w:p>
    <w:p>
      <w:pPr>
        <w:spacing w:before="111"/>
        <w:ind w:left="100" w:right="0" w:firstLine="0"/>
        <w:jc w:val="left"/>
        <w:rPr>
          <w:rFonts w:ascii="Calibri" w:hAnsi="Calibri"/>
          <w:sz w:val="16"/>
        </w:rPr>
      </w:pPr>
      <w:r>
        <w:rPr/>
        <w:br w:type="column"/>
      </w:r>
      <w:r>
        <w:rPr>
          <w:rFonts w:ascii="Calibri" w:hAnsi="Calibri"/>
          <w:color w:val="231F20"/>
          <w:w w:val="110"/>
          <w:sz w:val="16"/>
        </w:rPr>
        <w:t>Br J Clin Pharmacol (2018) </w:t>
      </w:r>
      <w:r>
        <w:rPr>
          <w:rFonts w:ascii="Arial" w:hAnsi="Arial"/>
          <w:color w:val="231F20"/>
          <w:w w:val="115"/>
          <w:sz w:val="16"/>
        </w:rPr>
        <w:t>•• </w:t>
      </w:r>
      <w:r>
        <w:rPr>
          <w:rFonts w:ascii="Arial" w:hAnsi="Arial"/>
          <w:color w:val="231F20"/>
          <w:w w:val="110"/>
          <w:sz w:val="16"/>
        </w:rPr>
        <w:t>••–•• </w:t>
      </w:r>
      <w:r>
        <w:rPr>
          <w:rFonts w:ascii="Calibri" w:hAnsi="Calibri"/>
          <w:color w:val="231F20"/>
          <w:w w:val="110"/>
          <w:sz w:val="16"/>
        </w:rPr>
        <w:t>1</w:t>
      </w:r>
    </w:p>
    <w:p>
      <w:pPr>
        <w:spacing w:after="0"/>
        <w:jc w:val="left"/>
        <w:rPr>
          <w:rFonts w:ascii="Calibri" w:hAnsi="Calibri"/>
          <w:sz w:val="16"/>
        </w:rPr>
        <w:sectPr>
          <w:type w:val="continuous"/>
          <w:pgSz w:w="11880" w:h="15670"/>
          <w:pgMar w:top="380" w:bottom="0" w:left="740" w:right="720"/>
          <w:cols w:num="2" w:equalWidth="0">
            <w:col w:w="5072" w:space="2305"/>
            <w:col w:w="3043"/>
          </w:cols>
        </w:sectPr>
      </w:pPr>
    </w:p>
    <w:p>
      <w:pPr>
        <w:pStyle w:val="BodyText"/>
        <w:spacing w:before="4"/>
        <w:ind w:left="0"/>
        <w:rPr>
          <w:rFonts w:ascii="Calibri"/>
          <w:sz w:val="10"/>
        </w:rPr>
      </w:pPr>
    </w:p>
    <w:p>
      <w:pPr>
        <w:spacing w:line="220" w:lineRule="auto" w:before="126"/>
        <w:ind w:left="100" w:right="1323" w:firstLine="0"/>
        <w:jc w:val="left"/>
        <w:rPr>
          <w:rFonts w:ascii="Lucida Sans"/>
          <w:sz w:val="48"/>
        </w:rPr>
      </w:pPr>
      <w:r>
        <w:rPr>
          <w:rFonts w:ascii="Lucida Sans"/>
          <w:color w:val="00AB54"/>
          <w:sz w:val="48"/>
        </w:rPr>
        <w:t>Clinical impact of pharmacokinetic interactions</w:t>
      </w:r>
      <w:r>
        <w:rPr>
          <w:rFonts w:ascii="Lucida Sans"/>
          <w:color w:val="00AB54"/>
          <w:spacing w:val="-58"/>
          <w:sz w:val="48"/>
        </w:rPr>
        <w:t> </w:t>
      </w:r>
      <w:r>
        <w:rPr>
          <w:rFonts w:ascii="Lucida Sans"/>
          <w:color w:val="00AB54"/>
          <w:sz w:val="48"/>
        </w:rPr>
        <w:t>between</w:t>
      </w:r>
      <w:r>
        <w:rPr>
          <w:rFonts w:ascii="Lucida Sans"/>
          <w:color w:val="00AB54"/>
          <w:spacing w:val="-58"/>
          <w:sz w:val="48"/>
        </w:rPr>
        <w:t> </w:t>
      </w:r>
      <w:r>
        <w:rPr>
          <w:rFonts w:ascii="Lucida Sans"/>
          <w:color w:val="00AB54"/>
          <w:sz w:val="48"/>
        </w:rPr>
        <w:t>the</w:t>
      </w:r>
      <w:r>
        <w:rPr>
          <w:rFonts w:ascii="Lucida Sans"/>
          <w:color w:val="00AB54"/>
          <w:spacing w:val="-59"/>
          <w:sz w:val="48"/>
        </w:rPr>
        <w:t> </w:t>
      </w:r>
      <w:r>
        <w:rPr>
          <w:rFonts w:ascii="Lucida Sans"/>
          <w:color w:val="00AB54"/>
          <w:sz w:val="48"/>
        </w:rPr>
        <w:t>HCV</w:t>
      </w:r>
      <w:r>
        <w:rPr>
          <w:rFonts w:ascii="Lucida Sans"/>
          <w:color w:val="00AB54"/>
          <w:spacing w:val="-58"/>
          <w:sz w:val="48"/>
        </w:rPr>
        <w:t> </w:t>
      </w:r>
      <w:r>
        <w:rPr>
          <w:rFonts w:ascii="Lucida Sans"/>
          <w:color w:val="00AB54"/>
          <w:sz w:val="48"/>
        </w:rPr>
        <w:t>protease inhibitor</w:t>
      </w:r>
      <w:r>
        <w:rPr>
          <w:rFonts w:ascii="Lucida Sans"/>
          <w:color w:val="00AB54"/>
          <w:spacing w:val="-104"/>
          <w:sz w:val="48"/>
        </w:rPr>
        <w:t> </w:t>
      </w:r>
      <w:r>
        <w:rPr>
          <w:rFonts w:ascii="Lucida Sans"/>
          <w:color w:val="00AB54"/>
          <w:sz w:val="48"/>
        </w:rPr>
        <w:t>simeprevir</w:t>
      </w:r>
      <w:r>
        <w:rPr>
          <w:rFonts w:ascii="Lucida Sans"/>
          <w:color w:val="00AB54"/>
          <w:spacing w:val="-104"/>
          <w:sz w:val="48"/>
        </w:rPr>
        <w:t> </w:t>
      </w:r>
      <w:r>
        <w:rPr>
          <w:rFonts w:ascii="Lucida Sans"/>
          <w:color w:val="00AB54"/>
          <w:sz w:val="48"/>
        </w:rPr>
        <w:t>and</w:t>
      </w:r>
      <w:r>
        <w:rPr>
          <w:rFonts w:ascii="Lucida Sans"/>
          <w:color w:val="00AB54"/>
          <w:spacing w:val="-104"/>
          <w:sz w:val="48"/>
        </w:rPr>
        <w:t> </w:t>
      </w:r>
      <w:r>
        <w:rPr>
          <w:rFonts w:ascii="Lucida Sans"/>
          <w:color w:val="00AB54"/>
          <w:sz w:val="48"/>
        </w:rPr>
        <w:t>frequently</w:t>
      </w:r>
      <w:r>
        <w:rPr>
          <w:rFonts w:ascii="Lucida Sans"/>
          <w:color w:val="00AB54"/>
          <w:spacing w:val="-104"/>
          <w:sz w:val="48"/>
        </w:rPr>
        <w:t> </w:t>
      </w:r>
      <w:r>
        <w:rPr>
          <w:rFonts w:ascii="Lucida Sans"/>
          <w:color w:val="00AB54"/>
          <w:sz w:val="48"/>
        </w:rPr>
        <w:t>used concomitant medications</w:t>
      </w:r>
    </w:p>
    <w:p>
      <w:pPr>
        <w:pStyle w:val="BodyText"/>
        <w:spacing w:before="8"/>
        <w:ind w:left="0"/>
        <w:rPr>
          <w:rFonts w:ascii="Lucida Sans"/>
          <w:sz w:val="44"/>
        </w:rPr>
      </w:pPr>
    </w:p>
    <w:p>
      <w:pPr>
        <w:spacing w:line="232" w:lineRule="auto" w:before="1"/>
        <w:ind w:left="100" w:right="254" w:hanging="1"/>
        <w:jc w:val="left"/>
        <w:rPr>
          <w:sz w:val="16"/>
        </w:rPr>
      </w:pPr>
      <w:r>
        <w:rPr>
          <w:rFonts w:ascii="Lucida Sans" w:hAnsi="Lucida Sans"/>
          <w:color w:val="00AB54"/>
          <w:w w:val="105"/>
          <w:sz w:val="18"/>
        </w:rPr>
        <w:t>Correspondence </w:t>
      </w:r>
      <w:r>
        <w:rPr>
          <w:color w:val="231F20"/>
          <w:w w:val="105"/>
          <w:sz w:val="16"/>
        </w:rPr>
        <w:t>Fiona Marra, MPharm, University of Liverpool, 70 Pembroke Place, L69 3GL Liverpool, UK. Tel.: +44 151 794 5553; Fax: +44 151 794 5656; E-mail: </w:t>
      </w:r>
      <w:hyperlink r:id="rId7">
        <w:r>
          <w:rPr>
            <w:rFonts w:ascii="Times New Roman" w:hAnsi="Times New Roman"/>
            <w:color w:val="231F20"/>
            <w:w w:val="105"/>
            <w:sz w:val="16"/>
          </w:rPr>
          <w:t>ﬁ</w:t>
        </w:r>
        <w:r>
          <w:rPr>
            <w:color w:val="231F20"/>
            <w:w w:val="105"/>
            <w:sz w:val="16"/>
          </w:rPr>
          <w:t>ona.marra@liverpool.ac.uk</w:t>
        </w:r>
      </w:hyperlink>
    </w:p>
    <w:p>
      <w:pPr>
        <w:pStyle w:val="BodyText"/>
        <w:spacing w:before="3"/>
        <w:ind w:left="0"/>
        <w:rPr>
          <w:sz w:val="16"/>
        </w:rPr>
      </w:pPr>
    </w:p>
    <w:p>
      <w:pPr>
        <w:spacing w:before="1"/>
        <w:ind w:left="100" w:right="0" w:firstLine="0"/>
        <w:jc w:val="left"/>
        <w:rPr>
          <w:sz w:val="16"/>
        </w:rPr>
      </w:pPr>
      <w:r>
        <w:rPr>
          <w:rFonts w:ascii="Lucida Sans"/>
          <w:color w:val="00AB54"/>
          <w:w w:val="105"/>
          <w:sz w:val="18"/>
        </w:rPr>
        <w:t>Received </w:t>
      </w:r>
      <w:r>
        <w:rPr>
          <w:color w:val="231F20"/>
          <w:w w:val="105"/>
          <w:sz w:val="16"/>
        </w:rPr>
        <w:t>30 August 2017; </w:t>
      </w:r>
      <w:r>
        <w:rPr>
          <w:rFonts w:ascii="Lucida Sans"/>
          <w:color w:val="00AB54"/>
          <w:w w:val="105"/>
          <w:sz w:val="18"/>
        </w:rPr>
        <w:t>Revised </w:t>
      </w:r>
      <w:r>
        <w:rPr>
          <w:color w:val="231F20"/>
          <w:w w:val="105"/>
          <w:sz w:val="16"/>
        </w:rPr>
        <w:t>3 January 2018; </w:t>
      </w:r>
      <w:r>
        <w:rPr>
          <w:rFonts w:ascii="Lucida Sans"/>
          <w:color w:val="00AB54"/>
          <w:w w:val="105"/>
          <w:sz w:val="18"/>
        </w:rPr>
        <w:t>Accepted </w:t>
      </w:r>
      <w:r>
        <w:rPr>
          <w:color w:val="231F20"/>
          <w:w w:val="105"/>
          <w:sz w:val="16"/>
        </w:rPr>
        <w:t>14 January 2018</w:t>
      </w:r>
    </w:p>
    <w:p>
      <w:pPr>
        <w:pStyle w:val="BodyText"/>
        <w:ind w:left="0"/>
        <w:rPr>
          <w:sz w:val="22"/>
        </w:rPr>
      </w:pPr>
    </w:p>
    <w:p>
      <w:pPr>
        <w:pStyle w:val="BodyText"/>
        <w:spacing w:before="10"/>
        <w:ind w:left="0"/>
        <w:rPr>
          <w:sz w:val="14"/>
        </w:rPr>
      </w:pPr>
    </w:p>
    <w:p>
      <w:pPr>
        <w:pStyle w:val="Heading4"/>
        <w:spacing w:line="223" w:lineRule="auto" w:before="0"/>
        <w:ind w:right="201"/>
      </w:pPr>
      <w:r>
        <w:rPr>
          <w:color w:val="231F20"/>
          <w:w w:val="105"/>
        </w:rPr>
        <w:t>Fiona Marra</w:t>
      </w:r>
      <w:r>
        <w:rPr>
          <w:color w:val="231F20"/>
          <w:w w:val="105"/>
          <w:vertAlign w:val="superscript"/>
        </w:rPr>
        <w:t>1</w:t>
      </w:r>
      <w:r>
        <w:rPr>
          <w:color w:val="231F20"/>
          <w:w w:val="105"/>
          <w:vertAlign w:val="baseline"/>
        </w:rPr>
        <w:t>, Christoph Höner zu Siederdissen</w:t>
      </w:r>
      <w:r>
        <w:rPr>
          <w:color w:val="231F20"/>
          <w:w w:val="105"/>
          <w:vertAlign w:val="superscript"/>
        </w:rPr>
        <w:t>2</w:t>
      </w:r>
      <w:r>
        <w:rPr>
          <w:color w:val="231F20"/>
          <w:w w:val="105"/>
          <w:vertAlign w:val="baseline"/>
        </w:rPr>
        <w:t>, Saye Khoo</w:t>
      </w:r>
      <w:r>
        <w:rPr>
          <w:color w:val="231F20"/>
          <w:w w:val="105"/>
          <w:vertAlign w:val="superscript"/>
        </w:rPr>
        <w:t>1</w:t>
      </w:r>
      <w:r>
        <w:rPr>
          <w:color w:val="231F20"/>
          <w:w w:val="105"/>
          <w:vertAlign w:val="baseline"/>
        </w:rPr>
        <w:t>, David Back</w:t>
      </w:r>
      <w:r>
        <w:rPr>
          <w:color w:val="231F20"/>
          <w:w w:val="105"/>
          <w:vertAlign w:val="superscript"/>
        </w:rPr>
        <w:t>1</w:t>
      </w:r>
      <w:r>
        <w:rPr>
          <w:color w:val="231F20"/>
          <w:w w:val="105"/>
          <w:vertAlign w:val="baseline"/>
        </w:rPr>
        <w:t>, Michael Schlag</w:t>
      </w:r>
      <w:r>
        <w:rPr>
          <w:color w:val="231F20"/>
          <w:w w:val="105"/>
          <w:vertAlign w:val="superscript"/>
        </w:rPr>
        <w:t>3</w:t>
      </w:r>
      <w:r>
        <w:rPr>
          <w:color w:val="231F20"/>
          <w:w w:val="105"/>
          <w:vertAlign w:val="baseline"/>
        </w:rPr>
        <w:t>, Sivi Ouwerkerk- Mahadevan</w:t>
      </w:r>
      <w:r>
        <w:rPr>
          <w:color w:val="231F20"/>
          <w:w w:val="105"/>
          <w:vertAlign w:val="superscript"/>
        </w:rPr>
        <w:t>4</w:t>
      </w:r>
      <w:r>
        <w:rPr>
          <w:color w:val="231F20"/>
          <w:w w:val="105"/>
          <w:vertAlign w:val="baseline"/>
        </w:rPr>
        <w:t>, Ceyhun Bicer</w:t>
      </w:r>
      <w:r>
        <w:rPr>
          <w:color w:val="231F20"/>
          <w:w w:val="105"/>
          <w:vertAlign w:val="superscript"/>
        </w:rPr>
        <w:t>5</w:t>
      </w:r>
      <w:r>
        <w:rPr>
          <w:color w:val="231F20"/>
          <w:w w:val="105"/>
          <w:vertAlign w:val="baseline"/>
        </w:rPr>
        <w:t>, Isabelle Lonjon-Domanec</w:t>
      </w:r>
      <w:r>
        <w:rPr>
          <w:color w:val="231F20"/>
          <w:w w:val="105"/>
          <w:vertAlign w:val="superscript"/>
        </w:rPr>
        <w:t>6</w:t>
      </w:r>
      <w:r>
        <w:rPr>
          <w:color w:val="231F20"/>
          <w:w w:val="105"/>
          <w:vertAlign w:val="baseline"/>
        </w:rPr>
        <w:t>, Wolfgang Jessner</w:t>
      </w:r>
      <w:r>
        <w:rPr>
          <w:color w:val="231F20"/>
          <w:w w:val="105"/>
          <w:vertAlign w:val="superscript"/>
        </w:rPr>
        <w:t>4</w:t>
      </w:r>
      <w:r>
        <w:rPr>
          <w:color w:val="231F20"/>
          <w:w w:val="105"/>
          <w:vertAlign w:val="baseline"/>
        </w:rPr>
        <w:t>, Maria Beumont-Mauviel</w:t>
      </w:r>
      <w:r>
        <w:rPr>
          <w:color w:val="231F20"/>
          <w:w w:val="105"/>
          <w:vertAlign w:val="superscript"/>
        </w:rPr>
        <w:t>6</w:t>
      </w:r>
      <w:r>
        <w:rPr>
          <w:color w:val="231F20"/>
          <w:w w:val="105"/>
          <w:vertAlign w:val="baseline"/>
        </w:rPr>
        <w:t>, Ronald Kalmeijer</w:t>
      </w:r>
      <w:r>
        <w:rPr>
          <w:color w:val="231F20"/>
          <w:w w:val="105"/>
          <w:vertAlign w:val="superscript"/>
        </w:rPr>
        <w:t>7</w:t>
      </w:r>
      <w:r>
        <w:rPr>
          <w:color w:val="231F20"/>
          <w:w w:val="105"/>
          <w:vertAlign w:val="baseline"/>
        </w:rPr>
        <w:t> and Markus</w:t>
      </w:r>
      <w:r>
        <w:rPr>
          <w:color w:val="231F20"/>
          <w:spacing w:val="-2"/>
          <w:w w:val="105"/>
          <w:vertAlign w:val="baseline"/>
        </w:rPr>
        <w:t> </w:t>
      </w:r>
      <w:r>
        <w:rPr>
          <w:color w:val="231F20"/>
          <w:w w:val="105"/>
          <w:vertAlign w:val="baseline"/>
        </w:rPr>
        <w:t>Cornberg</w:t>
      </w:r>
      <w:r>
        <w:rPr>
          <w:color w:val="231F20"/>
          <w:w w:val="105"/>
          <w:vertAlign w:val="superscript"/>
        </w:rPr>
        <w:t>2</w:t>
      </w:r>
    </w:p>
    <w:p>
      <w:pPr>
        <w:spacing w:line="297" w:lineRule="auto" w:before="190"/>
        <w:ind w:left="100" w:right="122" w:hanging="1"/>
        <w:jc w:val="left"/>
        <w:rPr>
          <w:rFonts w:ascii="Book Antiqua" w:hAnsi="Book Antiqua"/>
          <w:i/>
          <w:sz w:val="16"/>
        </w:rPr>
      </w:pPr>
      <w:r>
        <w:rPr>
          <w:rFonts w:ascii="Book Antiqua" w:hAnsi="Book Antiqua"/>
          <w:i/>
          <w:color w:val="231F20"/>
          <w:w w:val="105"/>
          <w:position w:val="7"/>
          <w:sz w:val="10"/>
        </w:rPr>
        <w:t>1</w:t>
      </w:r>
      <w:r>
        <w:rPr>
          <w:rFonts w:ascii="Book Antiqua" w:hAnsi="Book Antiqua"/>
          <w:i/>
          <w:color w:val="231F20"/>
          <w:w w:val="105"/>
          <w:sz w:val="16"/>
        </w:rPr>
        <w:t>Department of Molecular and Clinical Pharmacology, University of Liverpool, Crown Street, Liverpool L69 3BX, UK, </w:t>
      </w:r>
      <w:r>
        <w:rPr>
          <w:rFonts w:ascii="Book Antiqua" w:hAnsi="Book Antiqua"/>
          <w:i/>
          <w:color w:val="231F20"/>
          <w:w w:val="105"/>
          <w:sz w:val="16"/>
          <w:vertAlign w:val="superscript"/>
        </w:rPr>
        <w:t>2</w:t>
      </w:r>
      <w:r>
        <w:rPr>
          <w:rFonts w:ascii="Book Antiqua" w:hAnsi="Book Antiqua"/>
          <w:i/>
          <w:color w:val="231F20"/>
          <w:w w:val="105"/>
          <w:sz w:val="16"/>
          <w:vertAlign w:val="baseline"/>
        </w:rPr>
        <w:t>Department of </w:t>
      </w:r>
      <w:r>
        <w:rPr>
          <w:rFonts w:ascii="Book Antiqua" w:hAnsi="Book Antiqua"/>
          <w:i/>
          <w:color w:val="231F20"/>
          <w:w w:val="105"/>
          <w:sz w:val="16"/>
          <w:vertAlign w:val="baseline"/>
        </w:rPr>
        <w:t>Gastroenterology, Hepatology and Endocrinology, Hannover Medical School, Carl-Neuberg-Str. 130625 Hannover, Germany, </w:t>
      </w:r>
      <w:r>
        <w:rPr>
          <w:rFonts w:ascii="Book Antiqua" w:hAnsi="Book Antiqua"/>
          <w:i/>
          <w:color w:val="231F20"/>
          <w:w w:val="105"/>
          <w:sz w:val="16"/>
          <w:vertAlign w:val="superscript"/>
        </w:rPr>
        <w:t>3</w:t>
      </w:r>
      <w:r>
        <w:rPr>
          <w:rFonts w:ascii="Book Antiqua" w:hAnsi="Book Antiqua"/>
          <w:i/>
          <w:color w:val="231F20"/>
          <w:w w:val="105"/>
          <w:sz w:val="16"/>
          <w:vertAlign w:val="baseline"/>
        </w:rPr>
        <w:t>Janssen Cilag Pharma GmbH, EMEA Medical Affairs, Vorgartenstraße 206B1020 Vienna, Austria, </w:t>
      </w:r>
      <w:r>
        <w:rPr>
          <w:rFonts w:ascii="Book Antiqua" w:hAnsi="Book Antiqua"/>
          <w:i/>
          <w:color w:val="231F20"/>
          <w:w w:val="105"/>
          <w:sz w:val="16"/>
          <w:vertAlign w:val="superscript"/>
        </w:rPr>
        <w:t>4</w:t>
      </w:r>
      <w:r>
        <w:rPr>
          <w:rFonts w:ascii="Book Antiqua" w:hAnsi="Book Antiqua"/>
          <w:i/>
          <w:color w:val="231F20"/>
          <w:w w:val="105"/>
          <w:sz w:val="16"/>
          <w:vertAlign w:val="baseline"/>
        </w:rPr>
        <w:t>Janssen Pharmaceutica, Turnhoutseweg 302340 Beerse, Belgium,</w:t>
      </w:r>
    </w:p>
    <w:p>
      <w:pPr>
        <w:spacing w:line="195" w:lineRule="exact" w:before="0"/>
        <w:ind w:left="100" w:right="0" w:firstLine="0"/>
        <w:jc w:val="left"/>
        <w:rPr>
          <w:rFonts w:ascii="Book Antiqua"/>
          <w:i/>
          <w:sz w:val="16"/>
        </w:rPr>
      </w:pPr>
      <w:r>
        <w:rPr>
          <w:rFonts w:ascii="Book Antiqua"/>
          <w:i/>
          <w:color w:val="231F20"/>
          <w:w w:val="105"/>
          <w:position w:val="7"/>
          <w:sz w:val="10"/>
        </w:rPr>
        <w:t>5</w:t>
      </w:r>
      <w:r>
        <w:rPr>
          <w:rFonts w:ascii="Book Antiqua"/>
          <w:i/>
          <w:color w:val="231F20"/>
          <w:w w:val="105"/>
          <w:sz w:val="16"/>
        </w:rPr>
        <w:t>BICER Consulting &amp; Research, Oosterveldlaan 12 A2610 Antwerp, Belgium, </w:t>
      </w:r>
      <w:r>
        <w:rPr>
          <w:rFonts w:ascii="Book Antiqua"/>
          <w:i/>
          <w:color w:val="231F20"/>
          <w:w w:val="105"/>
          <w:sz w:val="16"/>
          <w:vertAlign w:val="superscript"/>
        </w:rPr>
        <w:t>6</w:t>
      </w:r>
      <w:r>
        <w:rPr>
          <w:rFonts w:ascii="Book Antiqua"/>
          <w:i/>
          <w:color w:val="231F20"/>
          <w:w w:val="105"/>
          <w:sz w:val="16"/>
          <w:vertAlign w:val="baseline"/>
        </w:rPr>
        <w:t>Janssen-Cilag, 1 Rue Camille Desmoulins92130 Issy-les-Moulineaux,</w:t>
      </w:r>
    </w:p>
    <w:p>
      <w:pPr>
        <w:spacing w:before="47"/>
        <w:ind w:left="100" w:right="0" w:firstLine="0"/>
        <w:jc w:val="left"/>
        <w:rPr>
          <w:rFonts w:ascii="Book Antiqua"/>
          <w:i/>
          <w:sz w:val="16"/>
        </w:rPr>
      </w:pPr>
      <w:r>
        <w:rPr>
          <w:rFonts w:ascii="Book Antiqua"/>
          <w:i/>
          <w:color w:val="231F20"/>
          <w:w w:val="105"/>
          <w:sz w:val="16"/>
        </w:rPr>
        <w:t>France, and </w:t>
      </w:r>
      <w:r>
        <w:rPr>
          <w:rFonts w:ascii="Book Antiqua"/>
          <w:i/>
          <w:color w:val="231F20"/>
          <w:w w:val="105"/>
          <w:sz w:val="16"/>
          <w:vertAlign w:val="superscript"/>
        </w:rPr>
        <w:t>7</w:t>
      </w:r>
      <w:r>
        <w:rPr>
          <w:rFonts w:ascii="Book Antiqua"/>
          <w:i/>
          <w:color w:val="231F20"/>
          <w:w w:val="105"/>
          <w:sz w:val="16"/>
          <w:vertAlign w:val="baseline"/>
        </w:rPr>
        <w:t>Janssen Global Services LLC, 1125 Trenton-Harbourton Road, Titusville, NJ, 08560, USA</w:t>
      </w:r>
    </w:p>
    <w:p>
      <w:pPr>
        <w:pStyle w:val="BodyText"/>
        <w:spacing w:before="5"/>
        <w:ind w:left="0"/>
        <w:rPr>
          <w:rFonts w:ascii="Book Antiqua"/>
          <w:i/>
          <w:sz w:val="18"/>
        </w:rPr>
      </w:pPr>
    </w:p>
    <w:p>
      <w:pPr>
        <w:spacing w:before="0"/>
        <w:ind w:left="100" w:right="0" w:firstLine="0"/>
        <w:jc w:val="left"/>
        <w:rPr>
          <w:sz w:val="16"/>
        </w:rPr>
      </w:pPr>
      <w:r>
        <w:rPr>
          <w:rFonts w:ascii="Lucida Sans" w:hAnsi="Lucida Sans"/>
          <w:color w:val="00AB54"/>
          <w:sz w:val="18"/>
        </w:rPr>
        <w:t>Keywords </w:t>
      </w:r>
      <w:r>
        <w:rPr>
          <w:color w:val="231F20"/>
          <w:sz w:val="16"/>
        </w:rPr>
        <w:t>DDI, drug</w:t>
      </w:r>
      <w:r>
        <w:rPr>
          <w:rFonts w:ascii="Lucida Sans" w:hAnsi="Lucida Sans"/>
          <w:color w:val="231F20"/>
          <w:sz w:val="16"/>
        </w:rPr>
        <w:t>–</w:t>
      </w:r>
      <w:r>
        <w:rPr>
          <w:color w:val="231F20"/>
          <w:sz w:val="16"/>
        </w:rPr>
        <w:t>drug interaction, HCV, hepatitis C virus, simeprevir, SMV</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Heading4"/>
        <w:spacing w:before="150"/>
        <w:rPr>
          <w:rFonts w:ascii="Lucida Sans"/>
        </w:rPr>
      </w:pPr>
      <w:r>
        <w:rPr>
          <w:rFonts w:ascii="Lucida Sans"/>
          <w:color w:val="00AB54"/>
          <w:w w:val="105"/>
        </w:rPr>
        <w:t>AIMS</w:t>
      </w:r>
    </w:p>
    <w:p>
      <w:pPr>
        <w:spacing w:before="27"/>
        <w:ind w:left="100" w:right="254" w:firstLine="0"/>
        <w:jc w:val="left"/>
        <w:rPr>
          <w:rFonts w:ascii="Calibri" w:hAnsi="Calibri"/>
          <w:sz w:val="18"/>
        </w:rPr>
      </w:pPr>
      <w:r>
        <w:rPr>
          <w:rFonts w:ascii="Calibri" w:hAnsi="Calibri"/>
          <w:w w:val="105"/>
          <w:sz w:val="18"/>
        </w:rPr>
        <w:t>Direct-acting antiviral agents (DAAs) for the treatment of hepatitis C (HCV) can be  associated with drug</w:t>
      </w:r>
      <w:r>
        <w:rPr>
          <w:rFonts w:ascii="Arial" w:hAnsi="Arial"/>
          <w:w w:val="105"/>
          <w:sz w:val="18"/>
        </w:rPr>
        <w:t>–</w:t>
      </w:r>
      <w:r>
        <w:rPr>
          <w:rFonts w:ascii="Calibri" w:hAnsi="Calibri"/>
          <w:w w:val="105"/>
          <w:sz w:val="18"/>
        </w:rPr>
        <w:t>drug interactions (DDIs) with concomitant medications. The practical clinical implications of such DDIs are poorly understood. We assessed the clinical impact of possible pharmacokinetic (PK) interactions between simeprevir and frequently prescribed concomitant</w:t>
      </w:r>
      <w:r>
        <w:rPr>
          <w:rFonts w:ascii="Calibri" w:hAnsi="Calibri"/>
          <w:spacing w:val="6"/>
          <w:w w:val="105"/>
          <w:sz w:val="18"/>
        </w:rPr>
        <w:t> </w:t>
      </w:r>
      <w:r>
        <w:rPr>
          <w:rFonts w:ascii="Calibri" w:hAnsi="Calibri"/>
          <w:w w:val="105"/>
          <w:sz w:val="18"/>
        </w:rPr>
        <w:t>medications.</w:t>
      </w:r>
    </w:p>
    <w:p>
      <w:pPr>
        <w:spacing w:before="118"/>
        <w:ind w:left="100" w:right="0" w:firstLine="0"/>
        <w:jc w:val="left"/>
        <w:rPr>
          <w:rFonts w:ascii="Lucida Sans"/>
          <w:sz w:val="20"/>
        </w:rPr>
      </w:pPr>
      <w:r>
        <w:rPr>
          <w:rFonts w:ascii="Lucida Sans"/>
          <w:color w:val="00AB54"/>
          <w:sz w:val="20"/>
        </w:rPr>
        <w:t>METHODS</w:t>
      </w:r>
    </w:p>
    <w:p>
      <w:pPr>
        <w:spacing w:before="27"/>
        <w:ind w:left="100" w:right="254" w:firstLine="0"/>
        <w:jc w:val="left"/>
        <w:rPr>
          <w:rFonts w:ascii="Calibri" w:hAnsi="Calibri"/>
          <w:sz w:val="18"/>
        </w:rPr>
      </w:pPr>
      <w:r>
        <w:rPr>
          <w:rFonts w:ascii="Calibri" w:hAnsi="Calibri"/>
          <w:w w:val="105"/>
          <w:sz w:val="18"/>
        </w:rPr>
        <w:t>This </w:t>
      </w:r>
      <w:r>
        <w:rPr>
          <w:rFonts w:ascii="Cambria" w:hAnsi="Cambria"/>
          <w:i/>
          <w:w w:val="105"/>
          <w:sz w:val="18"/>
        </w:rPr>
        <w:t>post hoc </w:t>
      </w:r>
      <w:r>
        <w:rPr>
          <w:rFonts w:ascii="Calibri" w:hAnsi="Calibri"/>
          <w:w w:val="105"/>
          <w:sz w:val="18"/>
        </w:rPr>
        <w:t>analysis pooled data from nine studies which evaluated simeprevir (SMV)-based interferon-free HCV treatment.    Three classes of frequently used concomitant medications of interest (CMOIs) were analysed [antihypertensive drugs (AHDs), anxiolytic drugs (AXDs) and lipid-lowering drugs (LLDs)] and categorized as amber or green according to their DDI potential with  SMV (green: no DDIs; amber: potential/known PK interactions). Concomitant medications  not  recommended  to  be coadministered with SMV were not included. The composite primary endpoint was de</w:t>
      </w:r>
      <w:r>
        <w:rPr>
          <w:rFonts w:ascii="Arial" w:hAnsi="Arial"/>
          <w:w w:val="105"/>
          <w:sz w:val="18"/>
        </w:rPr>
        <w:t>ﬁ</w:t>
      </w:r>
      <w:r>
        <w:rPr>
          <w:rFonts w:ascii="Calibri" w:hAnsi="Calibri"/>
          <w:w w:val="105"/>
          <w:sz w:val="18"/>
        </w:rPr>
        <w:t>ned as the frequency of either discon- tinuation,</w:t>
      </w:r>
      <w:r>
        <w:rPr>
          <w:rFonts w:ascii="Calibri" w:hAnsi="Calibri"/>
          <w:spacing w:val="8"/>
          <w:w w:val="105"/>
          <w:sz w:val="18"/>
        </w:rPr>
        <w:t> </w:t>
      </w:r>
      <w:r>
        <w:rPr>
          <w:rFonts w:ascii="Calibri" w:hAnsi="Calibri"/>
          <w:w w:val="105"/>
          <w:sz w:val="18"/>
        </w:rPr>
        <w:t>interruption</w:t>
      </w:r>
      <w:r>
        <w:rPr>
          <w:rFonts w:ascii="Calibri" w:hAnsi="Calibri"/>
          <w:spacing w:val="10"/>
          <w:w w:val="105"/>
          <w:sz w:val="18"/>
        </w:rPr>
        <w:t> </w:t>
      </w:r>
      <w:r>
        <w:rPr>
          <w:rFonts w:ascii="Calibri" w:hAnsi="Calibri"/>
          <w:w w:val="105"/>
          <w:sz w:val="18"/>
        </w:rPr>
        <w:t>or</w:t>
      </w:r>
      <w:r>
        <w:rPr>
          <w:rFonts w:ascii="Calibri" w:hAnsi="Calibri"/>
          <w:spacing w:val="8"/>
          <w:w w:val="105"/>
          <w:sz w:val="18"/>
        </w:rPr>
        <w:t> </w:t>
      </w:r>
      <w:r>
        <w:rPr>
          <w:rFonts w:ascii="Calibri" w:hAnsi="Calibri"/>
          <w:w w:val="105"/>
          <w:sz w:val="18"/>
        </w:rPr>
        <w:t>dose</w:t>
      </w:r>
      <w:r>
        <w:rPr>
          <w:rFonts w:ascii="Calibri" w:hAnsi="Calibri"/>
          <w:spacing w:val="8"/>
          <w:w w:val="105"/>
          <w:sz w:val="18"/>
        </w:rPr>
        <w:t> </w:t>
      </w:r>
      <w:r>
        <w:rPr>
          <w:rFonts w:ascii="Calibri" w:hAnsi="Calibri"/>
          <w:w w:val="105"/>
          <w:sz w:val="18"/>
        </w:rPr>
        <w:t>modi</w:t>
      </w:r>
      <w:r>
        <w:rPr>
          <w:rFonts w:ascii="Arial" w:hAnsi="Arial"/>
          <w:w w:val="105"/>
          <w:sz w:val="18"/>
        </w:rPr>
        <w:t>ﬁ</w:t>
      </w:r>
      <w:r>
        <w:rPr>
          <w:rFonts w:ascii="Calibri" w:hAnsi="Calibri"/>
          <w:w w:val="105"/>
          <w:sz w:val="18"/>
        </w:rPr>
        <w:t>cation</w:t>
      </w:r>
      <w:r>
        <w:rPr>
          <w:rFonts w:ascii="Calibri" w:hAnsi="Calibri"/>
          <w:spacing w:val="8"/>
          <w:w w:val="105"/>
          <w:sz w:val="18"/>
        </w:rPr>
        <w:t> </w:t>
      </w:r>
      <w:r>
        <w:rPr>
          <w:rFonts w:ascii="Calibri" w:hAnsi="Calibri"/>
          <w:w w:val="105"/>
          <w:sz w:val="18"/>
        </w:rPr>
        <w:t>of</w:t>
      </w:r>
      <w:r>
        <w:rPr>
          <w:rFonts w:ascii="Calibri" w:hAnsi="Calibri"/>
          <w:spacing w:val="10"/>
          <w:w w:val="105"/>
          <w:sz w:val="18"/>
        </w:rPr>
        <w:t> </w:t>
      </w:r>
      <w:r>
        <w:rPr>
          <w:rFonts w:ascii="Calibri" w:hAnsi="Calibri"/>
          <w:w w:val="105"/>
          <w:sz w:val="18"/>
        </w:rPr>
        <w:t>the</w:t>
      </w:r>
      <w:r>
        <w:rPr>
          <w:rFonts w:ascii="Calibri" w:hAnsi="Calibri"/>
          <w:spacing w:val="8"/>
          <w:w w:val="105"/>
          <w:sz w:val="18"/>
        </w:rPr>
        <w:t> </w:t>
      </w:r>
      <w:r>
        <w:rPr>
          <w:rFonts w:ascii="Calibri" w:hAnsi="Calibri"/>
          <w:w w:val="105"/>
          <w:sz w:val="18"/>
        </w:rPr>
        <w:t>CMOI</w:t>
      </w:r>
      <w:r>
        <w:rPr>
          <w:rFonts w:ascii="Calibri" w:hAnsi="Calibri"/>
          <w:spacing w:val="10"/>
          <w:w w:val="105"/>
          <w:sz w:val="18"/>
        </w:rPr>
        <w:t> </w:t>
      </w:r>
      <w:r>
        <w:rPr>
          <w:rFonts w:ascii="Calibri" w:hAnsi="Calibri"/>
          <w:w w:val="105"/>
          <w:sz w:val="18"/>
        </w:rPr>
        <w:t>during</w:t>
      </w:r>
      <w:r>
        <w:rPr>
          <w:rFonts w:ascii="Calibri" w:hAnsi="Calibri"/>
          <w:spacing w:val="8"/>
          <w:w w:val="105"/>
          <w:sz w:val="18"/>
        </w:rPr>
        <w:t> </w:t>
      </w:r>
      <w:r>
        <w:rPr>
          <w:rFonts w:ascii="Calibri" w:hAnsi="Calibri"/>
          <w:w w:val="105"/>
          <w:sz w:val="18"/>
        </w:rPr>
        <w:t>12</w:t>
      </w:r>
      <w:r>
        <w:rPr>
          <w:rFonts w:ascii="Calibri" w:hAnsi="Calibri"/>
          <w:spacing w:val="8"/>
          <w:w w:val="105"/>
          <w:sz w:val="18"/>
        </w:rPr>
        <w:t> </w:t>
      </w:r>
      <w:r>
        <w:rPr>
          <w:rFonts w:ascii="Calibri" w:hAnsi="Calibri"/>
          <w:w w:val="105"/>
          <w:sz w:val="18"/>
        </w:rPr>
        <w:t>weeks</w:t>
      </w:r>
      <w:r>
        <w:rPr>
          <w:rFonts w:ascii="Calibri" w:hAnsi="Calibri"/>
          <w:spacing w:val="10"/>
          <w:w w:val="105"/>
          <w:sz w:val="18"/>
        </w:rPr>
        <w:t> </w:t>
      </w:r>
      <w:r>
        <w:rPr>
          <w:rFonts w:ascii="Calibri" w:hAnsi="Calibri"/>
          <w:w w:val="105"/>
          <w:sz w:val="18"/>
        </w:rPr>
        <w:t>of</w:t>
      </w:r>
      <w:r>
        <w:rPr>
          <w:rFonts w:ascii="Calibri" w:hAnsi="Calibri"/>
          <w:spacing w:val="10"/>
          <w:w w:val="105"/>
          <w:sz w:val="18"/>
        </w:rPr>
        <w:t> </w:t>
      </w:r>
      <w:r>
        <w:rPr>
          <w:rFonts w:ascii="Calibri" w:hAnsi="Calibri"/>
          <w:w w:val="105"/>
          <w:sz w:val="18"/>
        </w:rPr>
        <w:t>SMV</w:t>
      </w:r>
      <w:r>
        <w:rPr>
          <w:rFonts w:ascii="Calibri" w:hAnsi="Calibri"/>
          <w:spacing w:val="8"/>
          <w:w w:val="105"/>
          <w:sz w:val="18"/>
        </w:rPr>
        <w:t> </w:t>
      </w:r>
      <w:r>
        <w:rPr>
          <w:rFonts w:ascii="Calibri" w:hAnsi="Calibri"/>
          <w:w w:val="105"/>
          <w:sz w:val="18"/>
        </w:rPr>
        <w:t>treatment.</w:t>
      </w:r>
    </w:p>
    <w:p>
      <w:pPr>
        <w:spacing w:before="120"/>
        <w:ind w:left="100" w:right="0" w:firstLine="0"/>
        <w:jc w:val="left"/>
        <w:rPr>
          <w:rFonts w:ascii="Lucida Sans"/>
          <w:sz w:val="20"/>
        </w:rPr>
      </w:pPr>
      <w:r>
        <w:rPr>
          <w:rFonts w:ascii="Lucida Sans"/>
          <w:color w:val="00AB54"/>
          <w:sz w:val="20"/>
        </w:rPr>
        <w:t>RESULTS</w:t>
      </w:r>
    </w:p>
    <w:p>
      <w:pPr>
        <w:spacing w:before="25"/>
        <w:ind w:left="100" w:right="254" w:firstLine="0"/>
        <w:jc w:val="left"/>
        <w:rPr>
          <w:rFonts w:ascii="Calibri" w:hAnsi="Calibri"/>
          <w:sz w:val="18"/>
        </w:rPr>
      </w:pPr>
      <w:r>
        <w:rPr>
          <w:rFonts w:ascii="Calibri" w:hAnsi="Calibri"/>
          <w:w w:val="105"/>
          <w:sz w:val="18"/>
        </w:rPr>
        <w:t>Few patients met the composite endpoint in the various subgroups. Patients on amber CMOIs tended to experience CMOI modi</w:t>
      </w:r>
      <w:r>
        <w:rPr>
          <w:rFonts w:ascii="Arial" w:hAnsi="Arial"/>
          <w:w w:val="105"/>
          <w:sz w:val="18"/>
        </w:rPr>
        <w:t>ﬁ</w:t>
      </w:r>
      <w:r>
        <w:rPr>
          <w:rFonts w:ascii="Calibri" w:hAnsi="Calibri"/>
          <w:w w:val="105"/>
          <w:sz w:val="18"/>
        </w:rPr>
        <w:t>cation more often (13.4</w:t>
      </w:r>
      <w:r>
        <w:rPr>
          <w:rFonts w:ascii="Arial" w:hAnsi="Arial"/>
          <w:w w:val="105"/>
          <w:sz w:val="18"/>
        </w:rPr>
        <w:t>–</w:t>
      </w:r>
      <w:r>
        <w:rPr>
          <w:rFonts w:ascii="Calibri" w:hAnsi="Calibri"/>
          <w:w w:val="105"/>
          <w:sz w:val="18"/>
        </w:rPr>
        <w:t>19.4%) than those on green CMOIs (3.1</w:t>
      </w:r>
      <w:r>
        <w:rPr>
          <w:rFonts w:ascii="Arial" w:hAnsi="Arial"/>
          <w:w w:val="105"/>
          <w:sz w:val="18"/>
        </w:rPr>
        <w:t>–</w:t>
      </w:r>
      <w:r>
        <w:rPr>
          <w:rFonts w:ascii="Calibri" w:hAnsi="Calibri"/>
          <w:w w:val="105"/>
          <w:sz w:val="18"/>
        </w:rPr>
        <w:t>10.8%). There was no difference in the frequency of adverse events between patients taking green and those taking amber CMOIs.</w:t>
      </w:r>
    </w:p>
    <w:p>
      <w:pPr>
        <w:spacing w:before="120"/>
        <w:ind w:left="100" w:right="0" w:firstLine="0"/>
        <w:jc w:val="left"/>
        <w:rPr>
          <w:rFonts w:ascii="Lucida Sans"/>
          <w:sz w:val="20"/>
        </w:rPr>
      </w:pPr>
      <w:r>
        <w:rPr>
          <w:rFonts w:ascii="Lucida Sans"/>
          <w:color w:val="00AB54"/>
          <w:sz w:val="20"/>
        </w:rPr>
        <w:t>CONCLUSIONS</w:t>
      </w:r>
    </w:p>
    <w:p>
      <w:pPr>
        <w:spacing w:before="27"/>
        <w:ind w:left="100" w:right="122" w:firstLine="0"/>
        <w:jc w:val="left"/>
        <w:rPr>
          <w:rFonts w:ascii="Calibri"/>
          <w:sz w:val="18"/>
        </w:rPr>
      </w:pPr>
      <w:r>
        <w:rPr>
          <w:rFonts w:ascii="Calibri"/>
          <w:w w:val="105"/>
          <w:sz w:val="18"/>
        </w:rPr>
        <w:t>In this large pooled analysis, coadministration of the evaluated commonly prescribed medications with known or potential PK interactions with SMV was manageable  and  resulted  in few adjustments of concomitant  medications. Our method could serve  as a</w:t>
      </w:r>
      <w:r>
        <w:rPr>
          <w:rFonts w:ascii="Calibri"/>
          <w:spacing w:val="6"/>
          <w:w w:val="105"/>
          <w:sz w:val="18"/>
        </w:rPr>
        <w:t> </w:t>
      </w:r>
      <w:r>
        <w:rPr>
          <w:rFonts w:ascii="Calibri"/>
          <w:w w:val="105"/>
          <w:sz w:val="18"/>
        </w:rPr>
        <w:t>blueprint</w:t>
      </w:r>
      <w:r>
        <w:rPr>
          <w:rFonts w:ascii="Calibri"/>
          <w:spacing w:val="6"/>
          <w:w w:val="105"/>
          <w:sz w:val="18"/>
        </w:rPr>
        <w:t> </w:t>
      </w:r>
      <w:r>
        <w:rPr>
          <w:rFonts w:ascii="Calibri"/>
          <w:w w:val="105"/>
          <w:sz w:val="18"/>
        </w:rPr>
        <w:t>for</w:t>
      </w:r>
      <w:r>
        <w:rPr>
          <w:rFonts w:ascii="Calibri"/>
          <w:spacing w:val="6"/>
          <w:w w:val="105"/>
          <w:sz w:val="18"/>
        </w:rPr>
        <w:t> </w:t>
      </w:r>
      <w:r>
        <w:rPr>
          <w:rFonts w:ascii="Calibri"/>
          <w:w w:val="105"/>
          <w:sz w:val="18"/>
        </w:rPr>
        <w:t>the</w:t>
      </w:r>
      <w:r>
        <w:rPr>
          <w:rFonts w:ascii="Calibri"/>
          <w:spacing w:val="6"/>
          <w:w w:val="105"/>
          <w:sz w:val="18"/>
        </w:rPr>
        <w:t> </w:t>
      </w:r>
      <w:r>
        <w:rPr>
          <w:rFonts w:ascii="Calibri"/>
          <w:w w:val="105"/>
          <w:sz w:val="18"/>
        </w:rPr>
        <w:t>evaluation</w:t>
      </w:r>
      <w:r>
        <w:rPr>
          <w:rFonts w:ascii="Calibri"/>
          <w:spacing w:val="6"/>
          <w:w w:val="105"/>
          <w:sz w:val="18"/>
        </w:rPr>
        <w:t> </w:t>
      </w:r>
      <w:r>
        <w:rPr>
          <w:rFonts w:ascii="Calibri"/>
          <w:w w:val="105"/>
          <w:sz w:val="18"/>
        </w:rPr>
        <w:t>of</w:t>
      </w:r>
      <w:r>
        <w:rPr>
          <w:rFonts w:ascii="Calibri"/>
          <w:spacing w:val="5"/>
          <w:w w:val="105"/>
          <w:sz w:val="18"/>
        </w:rPr>
        <w:t> </w:t>
      </w:r>
      <w:r>
        <w:rPr>
          <w:rFonts w:ascii="Calibri"/>
          <w:w w:val="105"/>
          <w:sz w:val="18"/>
        </w:rPr>
        <w:t>the</w:t>
      </w:r>
      <w:r>
        <w:rPr>
          <w:rFonts w:ascii="Calibri"/>
          <w:spacing w:val="6"/>
          <w:w w:val="105"/>
          <w:sz w:val="18"/>
        </w:rPr>
        <w:t> </w:t>
      </w:r>
      <w:r>
        <w:rPr>
          <w:rFonts w:ascii="Calibri"/>
          <w:w w:val="105"/>
          <w:sz w:val="18"/>
        </w:rPr>
        <w:t>impact</w:t>
      </w:r>
      <w:r>
        <w:rPr>
          <w:rFonts w:ascii="Calibri"/>
          <w:spacing w:val="6"/>
          <w:w w:val="105"/>
          <w:sz w:val="18"/>
        </w:rPr>
        <w:t> </w:t>
      </w:r>
      <w:r>
        <w:rPr>
          <w:rFonts w:ascii="Calibri"/>
          <w:w w:val="105"/>
          <w:sz w:val="18"/>
        </w:rPr>
        <w:t>of</w:t>
      </w:r>
      <w:r>
        <w:rPr>
          <w:rFonts w:ascii="Calibri"/>
          <w:spacing w:val="7"/>
          <w:w w:val="105"/>
          <w:sz w:val="18"/>
        </w:rPr>
        <w:t> </w:t>
      </w:r>
      <w:r>
        <w:rPr>
          <w:rFonts w:ascii="Calibri"/>
          <w:w w:val="105"/>
          <w:sz w:val="18"/>
        </w:rPr>
        <w:t>DDIs.</w:t>
      </w:r>
    </w:p>
    <w:p>
      <w:pPr>
        <w:pStyle w:val="BodyText"/>
        <w:spacing w:before="2" w:after="1"/>
        <w:ind w:left="0"/>
        <w:rPr>
          <w:rFonts w:ascii="Calibri"/>
          <w:sz w:val="19"/>
        </w:rPr>
      </w:pPr>
    </w:p>
    <w:p>
      <w:pPr>
        <w:pStyle w:val="BodyText"/>
        <w:spacing w:line="20" w:lineRule="exact"/>
        <w:ind w:left="96"/>
        <w:rPr>
          <w:rFonts w:ascii="Calibri"/>
          <w:sz w:val="2"/>
        </w:rPr>
      </w:pPr>
      <w:r>
        <w:rPr>
          <w:rFonts w:ascii="Calibri"/>
          <w:sz w:val="2"/>
        </w:rPr>
        <w:pict>
          <v:group style="width:510.05pt;height:.35pt;mso-position-horizontal-relative:char;mso-position-vertical-relative:line" coordorigin="0,0" coordsize="10201,7">
            <v:line style="position:absolute" from="0,3" to="10200,3" stroked="true" strokeweight=".34018pt" strokecolor="#96ca4f">
              <v:stroke dashstyle="solid"/>
            </v:line>
          </v:group>
        </w:pict>
      </w:r>
      <w:r>
        <w:rPr>
          <w:rFonts w:ascii="Calibri"/>
          <w:sz w:val="2"/>
        </w:rPr>
      </w:r>
    </w:p>
    <w:p>
      <w:pPr>
        <w:spacing w:after="0" w:line="20" w:lineRule="exact"/>
        <w:rPr>
          <w:rFonts w:ascii="Calibri"/>
          <w:sz w:val="2"/>
        </w:rPr>
        <w:sectPr>
          <w:type w:val="continuous"/>
          <w:pgSz w:w="11880" w:h="15670"/>
          <w:pgMar w:top="380" w:bottom="0" w:left="740" w:right="720"/>
        </w:sectPr>
      </w:pPr>
    </w:p>
    <w:p>
      <w:pPr>
        <w:spacing w:line="165" w:lineRule="exact" w:before="73"/>
        <w:ind w:left="100" w:right="0" w:firstLine="0"/>
        <w:jc w:val="left"/>
        <w:rPr>
          <w:rFonts w:ascii="Calibri" w:hAnsi="Calibri"/>
          <w:sz w:val="14"/>
        </w:rPr>
      </w:pPr>
      <w:r>
        <w:rPr>
          <w:rFonts w:ascii="Calibri" w:hAnsi="Calibri"/>
          <w:color w:val="231F20"/>
          <w:w w:val="110"/>
          <w:sz w:val="14"/>
        </w:rPr>
        <w:t>© 2018 The Authors. British Journal of Clinical Pharmacology</w:t>
      </w:r>
    </w:p>
    <w:p>
      <w:pPr>
        <w:spacing w:line="156" w:lineRule="exact" w:before="0"/>
        <w:ind w:left="100" w:right="0" w:firstLine="0"/>
        <w:jc w:val="left"/>
        <w:rPr>
          <w:rFonts w:ascii="Calibri"/>
          <w:sz w:val="14"/>
        </w:rPr>
      </w:pPr>
      <w:r>
        <w:rPr>
          <w:rFonts w:ascii="Calibri"/>
          <w:color w:val="231F20"/>
          <w:w w:val="105"/>
          <w:sz w:val="14"/>
        </w:rPr>
        <w:t>published by John Wiley &amp; Sons Ltd on behalf of British Pharmacological Society.</w:t>
      </w:r>
    </w:p>
    <w:p>
      <w:pPr>
        <w:spacing w:before="54"/>
        <w:ind w:left="100" w:right="0" w:firstLine="0"/>
        <w:jc w:val="left"/>
        <w:rPr>
          <w:rFonts w:ascii="Calibri"/>
          <w:sz w:val="16"/>
        </w:rPr>
      </w:pPr>
      <w:r>
        <w:rPr/>
        <w:br w:type="column"/>
      </w:r>
      <w:r>
        <w:rPr>
          <w:rFonts w:ascii="Calibri"/>
          <w:color w:val="231F20"/>
          <w:w w:val="110"/>
          <w:sz w:val="16"/>
        </w:rPr>
        <w:t>DOI:10.1111/bcp.13519</w:t>
      </w:r>
    </w:p>
    <w:p>
      <w:pPr>
        <w:spacing w:after="0"/>
        <w:jc w:val="left"/>
        <w:rPr>
          <w:rFonts w:ascii="Calibri"/>
          <w:sz w:val="16"/>
        </w:rPr>
        <w:sectPr>
          <w:type w:val="continuous"/>
          <w:pgSz w:w="11880" w:h="15670"/>
          <w:pgMar w:top="380" w:bottom="0" w:left="740" w:right="720"/>
          <w:cols w:num="2" w:equalWidth="0">
            <w:col w:w="5222" w:space="3187"/>
            <w:col w:w="2011"/>
          </w:cols>
        </w:sectPr>
      </w:pPr>
    </w:p>
    <w:p>
      <w:pPr>
        <w:spacing w:line="225" w:lineRule="auto" w:before="6"/>
        <w:ind w:left="100" w:right="254" w:firstLine="0"/>
        <w:jc w:val="left"/>
        <w:rPr>
          <w:rFonts w:ascii="Calibri"/>
          <w:sz w:val="14"/>
        </w:rPr>
      </w:pPr>
      <w:r>
        <w:rPr>
          <w:rFonts w:ascii="Calibri"/>
          <w:color w:val="231F20"/>
          <w:w w:val="105"/>
          <w:sz w:val="14"/>
        </w:rPr>
        <w:t>This is an open access article under the terms of the </w:t>
      </w:r>
      <w:hyperlink r:id="rId8">
        <w:r>
          <w:rPr>
            <w:rFonts w:ascii="Calibri"/>
            <w:color w:val="231F20"/>
            <w:w w:val="105"/>
            <w:sz w:val="14"/>
          </w:rPr>
          <w:t>Creative Commons Attribution-NonCommercial </w:t>
        </w:r>
      </w:hyperlink>
      <w:r>
        <w:rPr>
          <w:rFonts w:ascii="Calibri"/>
          <w:color w:val="231F20"/>
          <w:w w:val="105"/>
          <w:sz w:val="14"/>
        </w:rPr>
        <w:t>License, which permits use, distribution and reproduction in any medium, provided the original work is properly cited and is not used for commercial purposes.</w:t>
      </w:r>
    </w:p>
    <w:p>
      <w:pPr>
        <w:spacing w:after="0" w:line="225" w:lineRule="auto"/>
        <w:jc w:val="left"/>
        <w:rPr>
          <w:rFonts w:ascii="Calibri"/>
          <w:sz w:val="14"/>
        </w:rPr>
        <w:sectPr>
          <w:type w:val="continuous"/>
          <w:pgSz w:w="11880" w:h="15670"/>
          <w:pgMar w:top="380" w:bottom="0" w:left="740" w:right="720"/>
        </w:sectPr>
      </w:pPr>
    </w:p>
    <w:p>
      <w:pPr>
        <w:pStyle w:val="Heading4"/>
        <w:spacing w:before="195"/>
        <w:rPr>
          <w:rFonts w:ascii="Lucida Sans"/>
        </w:rPr>
      </w:pPr>
      <w:r>
        <w:rPr>
          <w:rFonts w:ascii="Lucida Sans"/>
          <w:color w:val="00AB54"/>
        </w:rPr>
        <w:t>WHAT IS ALREADY KNOWN ABOUT THIS SUBJECT</w:t>
      </w:r>
    </w:p>
    <w:p>
      <w:pPr>
        <w:pStyle w:val="ListParagraph"/>
        <w:numPr>
          <w:ilvl w:val="0"/>
          <w:numId w:val="1"/>
        </w:numPr>
        <w:tabs>
          <w:tab w:pos="257" w:val="left" w:leader="none"/>
        </w:tabs>
        <w:spacing w:line="218" w:lineRule="auto" w:before="26" w:after="0"/>
        <w:ind w:left="256" w:right="115" w:hanging="156"/>
        <w:jc w:val="left"/>
        <w:rPr>
          <w:rFonts w:ascii="Lucida Sans" w:hAnsi="Lucida Sans"/>
          <w:sz w:val="18"/>
        </w:rPr>
      </w:pPr>
      <w:r>
        <w:rPr>
          <w:w w:val="105"/>
          <w:sz w:val="18"/>
        </w:rPr>
        <w:t>Direct-acting</w:t>
      </w:r>
      <w:r>
        <w:rPr>
          <w:spacing w:val="-10"/>
          <w:w w:val="105"/>
          <w:sz w:val="18"/>
        </w:rPr>
        <w:t> </w:t>
      </w:r>
      <w:r>
        <w:rPr>
          <w:w w:val="105"/>
          <w:sz w:val="18"/>
        </w:rPr>
        <w:t>antiviral</w:t>
      </w:r>
      <w:r>
        <w:rPr>
          <w:spacing w:val="-10"/>
          <w:w w:val="105"/>
          <w:sz w:val="18"/>
        </w:rPr>
        <w:t> </w:t>
      </w:r>
      <w:r>
        <w:rPr>
          <w:w w:val="105"/>
          <w:sz w:val="18"/>
        </w:rPr>
        <w:t>agents</w:t>
      </w:r>
      <w:r>
        <w:rPr>
          <w:spacing w:val="-10"/>
          <w:w w:val="105"/>
          <w:sz w:val="18"/>
        </w:rPr>
        <w:t> </w:t>
      </w:r>
      <w:r>
        <w:rPr>
          <w:w w:val="105"/>
          <w:sz w:val="18"/>
        </w:rPr>
        <w:t>for</w:t>
      </w:r>
      <w:r>
        <w:rPr>
          <w:spacing w:val="-10"/>
          <w:w w:val="105"/>
          <w:sz w:val="18"/>
        </w:rPr>
        <w:t> </w:t>
      </w:r>
      <w:r>
        <w:rPr>
          <w:w w:val="105"/>
          <w:sz w:val="18"/>
        </w:rPr>
        <w:t>the</w:t>
      </w:r>
      <w:r>
        <w:rPr>
          <w:spacing w:val="-11"/>
          <w:w w:val="105"/>
          <w:sz w:val="18"/>
        </w:rPr>
        <w:t> </w:t>
      </w:r>
      <w:r>
        <w:rPr>
          <w:w w:val="105"/>
          <w:sz w:val="18"/>
        </w:rPr>
        <w:t>treatment</w:t>
      </w:r>
      <w:r>
        <w:rPr>
          <w:spacing w:val="-10"/>
          <w:w w:val="105"/>
          <w:sz w:val="18"/>
        </w:rPr>
        <w:t> </w:t>
      </w:r>
      <w:r>
        <w:rPr>
          <w:w w:val="105"/>
          <w:sz w:val="18"/>
        </w:rPr>
        <w:t>of</w:t>
      </w:r>
      <w:r>
        <w:rPr>
          <w:spacing w:val="-10"/>
          <w:w w:val="105"/>
          <w:sz w:val="18"/>
        </w:rPr>
        <w:t> </w:t>
      </w:r>
      <w:r>
        <w:rPr>
          <w:w w:val="105"/>
          <w:sz w:val="18"/>
        </w:rPr>
        <w:t>hepatitis</w:t>
      </w:r>
      <w:r>
        <w:rPr>
          <w:spacing w:val="-10"/>
          <w:w w:val="105"/>
          <w:sz w:val="18"/>
        </w:rPr>
        <w:t> </w:t>
      </w:r>
      <w:r>
        <w:rPr>
          <w:w w:val="105"/>
          <w:sz w:val="18"/>
        </w:rPr>
        <w:t>C</w:t>
      </w:r>
      <w:r>
        <w:rPr>
          <w:spacing w:val="-10"/>
          <w:w w:val="105"/>
          <w:sz w:val="18"/>
        </w:rPr>
        <w:t> </w:t>
      </w:r>
      <w:r>
        <w:rPr>
          <w:w w:val="105"/>
          <w:sz w:val="18"/>
        </w:rPr>
        <w:t>(HCV)</w:t>
      </w:r>
      <w:r>
        <w:rPr>
          <w:spacing w:val="-10"/>
          <w:w w:val="105"/>
          <w:sz w:val="18"/>
        </w:rPr>
        <w:t> </w:t>
      </w:r>
      <w:r>
        <w:rPr>
          <w:w w:val="105"/>
          <w:sz w:val="18"/>
        </w:rPr>
        <w:t>can</w:t>
      </w:r>
      <w:r>
        <w:rPr>
          <w:spacing w:val="-10"/>
          <w:w w:val="105"/>
          <w:sz w:val="18"/>
        </w:rPr>
        <w:t> </w:t>
      </w:r>
      <w:r>
        <w:rPr>
          <w:w w:val="105"/>
          <w:sz w:val="18"/>
        </w:rPr>
        <w:t>be</w:t>
      </w:r>
      <w:r>
        <w:rPr>
          <w:spacing w:val="-10"/>
          <w:w w:val="105"/>
          <w:sz w:val="18"/>
        </w:rPr>
        <w:t> </w:t>
      </w:r>
      <w:r>
        <w:rPr>
          <w:w w:val="105"/>
          <w:sz w:val="18"/>
        </w:rPr>
        <w:t>associated</w:t>
      </w:r>
      <w:r>
        <w:rPr>
          <w:spacing w:val="-10"/>
          <w:w w:val="105"/>
          <w:sz w:val="18"/>
        </w:rPr>
        <w:t> </w:t>
      </w:r>
      <w:r>
        <w:rPr>
          <w:w w:val="105"/>
          <w:sz w:val="18"/>
        </w:rPr>
        <w:t>with</w:t>
      </w:r>
      <w:r>
        <w:rPr>
          <w:spacing w:val="-10"/>
          <w:w w:val="105"/>
          <w:sz w:val="18"/>
        </w:rPr>
        <w:t> </w:t>
      </w:r>
      <w:r>
        <w:rPr>
          <w:w w:val="105"/>
          <w:sz w:val="18"/>
        </w:rPr>
        <w:t>drug</w:t>
      </w:r>
      <w:r>
        <w:rPr>
          <w:rFonts w:ascii="Lucida Sans" w:hAnsi="Lucida Sans"/>
          <w:w w:val="105"/>
          <w:sz w:val="18"/>
        </w:rPr>
        <w:t>–</w:t>
      </w:r>
      <w:r>
        <w:rPr>
          <w:w w:val="105"/>
          <w:sz w:val="18"/>
        </w:rPr>
        <w:t>drug</w:t>
      </w:r>
      <w:r>
        <w:rPr>
          <w:spacing w:val="-10"/>
          <w:w w:val="105"/>
          <w:sz w:val="18"/>
        </w:rPr>
        <w:t> </w:t>
      </w:r>
      <w:r>
        <w:rPr>
          <w:w w:val="105"/>
          <w:sz w:val="18"/>
        </w:rPr>
        <w:t>interactions</w:t>
      </w:r>
      <w:r>
        <w:rPr>
          <w:spacing w:val="-10"/>
          <w:w w:val="105"/>
          <w:sz w:val="18"/>
        </w:rPr>
        <w:t> </w:t>
      </w:r>
      <w:r>
        <w:rPr>
          <w:w w:val="105"/>
          <w:sz w:val="18"/>
        </w:rPr>
        <w:t>(DDIs) with concomitant</w:t>
      </w:r>
      <w:r>
        <w:rPr>
          <w:spacing w:val="6"/>
          <w:w w:val="105"/>
          <w:sz w:val="18"/>
        </w:rPr>
        <w:t> </w:t>
      </w:r>
      <w:r>
        <w:rPr>
          <w:w w:val="105"/>
          <w:sz w:val="18"/>
        </w:rPr>
        <w:t>medications.</w:t>
      </w:r>
    </w:p>
    <w:p>
      <w:pPr>
        <w:pStyle w:val="ListParagraph"/>
        <w:numPr>
          <w:ilvl w:val="0"/>
          <w:numId w:val="1"/>
        </w:numPr>
        <w:tabs>
          <w:tab w:pos="257" w:val="left" w:leader="none"/>
        </w:tabs>
        <w:spacing w:line="212" w:lineRule="exact" w:before="0" w:after="0"/>
        <w:ind w:left="256" w:right="0" w:hanging="156"/>
        <w:jc w:val="left"/>
        <w:rPr>
          <w:rFonts w:ascii="Lucida Sans"/>
          <w:color w:val="231F20"/>
          <w:sz w:val="18"/>
        </w:rPr>
      </w:pPr>
      <w:r>
        <w:rPr>
          <w:color w:val="231F20"/>
          <w:w w:val="105"/>
          <w:sz w:val="18"/>
        </w:rPr>
        <w:t>The practical implications of such DDIs in patients is poorly</w:t>
      </w:r>
      <w:r>
        <w:rPr>
          <w:color w:val="231F20"/>
          <w:spacing w:val="25"/>
          <w:w w:val="105"/>
          <w:sz w:val="18"/>
        </w:rPr>
        <w:t> </w:t>
      </w:r>
      <w:r>
        <w:rPr>
          <w:color w:val="231F20"/>
          <w:w w:val="105"/>
          <w:sz w:val="18"/>
        </w:rPr>
        <w:t>understood.</w:t>
      </w:r>
    </w:p>
    <w:p>
      <w:pPr>
        <w:pStyle w:val="ListParagraph"/>
        <w:numPr>
          <w:ilvl w:val="0"/>
          <w:numId w:val="1"/>
        </w:numPr>
        <w:tabs>
          <w:tab w:pos="257" w:val="left" w:leader="none"/>
        </w:tabs>
        <w:spacing w:line="218" w:lineRule="auto" w:before="6" w:after="0"/>
        <w:ind w:left="256" w:right="117" w:hanging="156"/>
        <w:jc w:val="left"/>
        <w:rPr>
          <w:rFonts w:ascii="Lucida Sans"/>
          <w:color w:val="231F20"/>
          <w:sz w:val="18"/>
        </w:rPr>
      </w:pPr>
      <w:r>
        <w:rPr>
          <w:color w:val="231F20"/>
          <w:w w:val="105"/>
          <w:sz w:val="18"/>
        </w:rPr>
        <w:t>We assessed the clinical impact of possible pharmacokinetic (PK) interactions between simeprevir and frequently pre- scribed concomitant</w:t>
      </w:r>
      <w:r>
        <w:rPr>
          <w:color w:val="231F20"/>
          <w:spacing w:val="6"/>
          <w:w w:val="105"/>
          <w:sz w:val="18"/>
        </w:rPr>
        <w:t> </w:t>
      </w:r>
      <w:r>
        <w:rPr>
          <w:color w:val="231F20"/>
          <w:w w:val="105"/>
          <w:sz w:val="18"/>
        </w:rPr>
        <w:t>medications.</w:t>
      </w:r>
    </w:p>
    <w:p>
      <w:pPr>
        <w:spacing w:before="117"/>
        <w:ind w:left="100" w:right="0" w:firstLine="0"/>
        <w:jc w:val="left"/>
        <w:rPr>
          <w:rFonts w:ascii="Lucida Sans"/>
          <w:sz w:val="20"/>
        </w:rPr>
      </w:pPr>
      <w:r>
        <w:rPr>
          <w:rFonts w:ascii="Lucida Sans"/>
          <w:color w:val="00AB54"/>
          <w:sz w:val="20"/>
        </w:rPr>
        <w:t>WHAT THIS STUDY ADDS</w:t>
      </w:r>
    </w:p>
    <w:p>
      <w:pPr>
        <w:pStyle w:val="ListParagraph"/>
        <w:numPr>
          <w:ilvl w:val="0"/>
          <w:numId w:val="1"/>
        </w:numPr>
        <w:tabs>
          <w:tab w:pos="257" w:val="left" w:leader="none"/>
        </w:tabs>
        <w:spacing w:line="218" w:lineRule="auto" w:before="25" w:after="0"/>
        <w:ind w:left="256" w:right="181" w:hanging="156"/>
        <w:jc w:val="left"/>
        <w:rPr>
          <w:rFonts w:ascii="Lucida Sans" w:hAnsi="Lucida Sans"/>
          <w:sz w:val="18"/>
        </w:rPr>
      </w:pPr>
      <w:r>
        <w:rPr>
          <w:w w:val="105"/>
          <w:sz w:val="18"/>
        </w:rPr>
        <w:t>The impact on patient safety and on physicians</w:t>
      </w:r>
      <w:r>
        <w:rPr>
          <w:rFonts w:ascii="Lucida Sans" w:hAnsi="Lucida Sans"/>
          <w:w w:val="105"/>
          <w:sz w:val="18"/>
        </w:rPr>
        <w:t>’ </w:t>
      </w:r>
      <w:r>
        <w:rPr>
          <w:w w:val="105"/>
          <w:sz w:val="18"/>
        </w:rPr>
        <w:t>clinical management of coadministration of a HCV protease inhibitor and commonly prescribed comedication with PK interactions is described in detail for the </w:t>
      </w:r>
      <w:r>
        <w:rPr>
          <w:rFonts w:ascii="Times New Roman" w:hAnsi="Times New Roman"/>
          <w:w w:val="105"/>
          <w:sz w:val="18"/>
        </w:rPr>
        <w:t>ﬁ</w:t>
      </w:r>
      <w:r>
        <w:rPr>
          <w:w w:val="105"/>
          <w:sz w:val="18"/>
        </w:rPr>
        <w:t>rst</w:t>
      </w:r>
      <w:r>
        <w:rPr>
          <w:spacing w:val="37"/>
          <w:w w:val="105"/>
          <w:sz w:val="18"/>
        </w:rPr>
        <w:t> </w:t>
      </w:r>
      <w:r>
        <w:rPr>
          <w:w w:val="105"/>
          <w:sz w:val="18"/>
        </w:rPr>
        <w:t>time.</w:t>
      </w:r>
    </w:p>
    <w:p>
      <w:pPr>
        <w:pStyle w:val="ListParagraph"/>
        <w:numPr>
          <w:ilvl w:val="0"/>
          <w:numId w:val="1"/>
        </w:numPr>
        <w:tabs>
          <w:tab w:pos="257" w:val="left" w:leader="none"/>
        </w:tabs>
        <w:spacing w:line="224" w:lineRule="exact" w:before="0" w:after="0"/>
        <w:ind w:left="256" w:right="0" w:hanging="156"/>
        <w:jc w:val="left"/>
        <w:rPr>
          <w:rFonts w:ascii="Lucida Sans"/>
          <w:color w:val="231F20"/>
          <w:sz w:val="18"/>
        </w:rPr>
      </w:pPr>
      <w:r>
        <w:rPr>
          <w:color w:val="231F20"/>
          <w:w w:val="105"/>
          <w:sz w:val="18"/>
        </w:rPr>
        <w:t>Our method could serve as a blueprint for evaluating of the impact of</w:t>
      </w:r>
      <w:r>
        <w:rPr>
          <w:color w:val="231F20"/>
          <w:spacing w:val="30"/>
          <w:w w:val="105"/>
          <w:sz w:val="18"/>
        </w:rPr>
        <w:t> </w:t>
      </w:r>
      <w:r>
        <w:rPr>
          <w:color w:val="231F20"/>
          <w:w w:val="105"/>
          <w:sz w:val="18"/>
        </w:rPr>
        <w:t>DDIs.</w:t>
      </w:r>
    </w:p>
    <w:p>
      <w:pPr>
        <w:pStyle w:val="BodyText"/>
        <w:ind w:left="0"/>
        <w:rPr>
          <w:sz w:val="20"/>
        </w:rPr>
      </w:pPr>
    </w:p>
    <w:p>
      <w:pPr>
        <w:pStyle w:val="BodyText"/>
        <w:spacing w:before="5"/>
        <w:ind w:left="0"/>
        <w:rPr>
          <w:sz w:val="21"/>
        </w:rPr>
      </w:pPr>
    </w:p>
    <w:p>
      <w:pPr>
        <w:spacing w:after="0"/>
        <w:rPr>
          <w:sz w:val="21"/>
        </w:rPr>
        <w:sectPr>
          <w:headerReference w:type="even" r:id="rId9"/>
          <w:headerReference w:type="default" r:id="rId10"/>
          <w:footerReference w:type="even" r:id="rId11"/>
          <w:footerReference w:type="default" r:id="rId12"/>
          <w:pgSz w:w="11880" w:h="15670"/>
          <w:pgMar w:header="462" w:footer="669" w:top="980" w:bottom="860" w:left="740" w:right="720"/>
          <w:pgNumType w:start="2"/>
        </w:sectPr>
      </w:pPr>
    </w:p>
    <w:p>
      <w:pPr>
        <w:spacing w:before="95"/>
        <w:ind w:left="100" w:right="0" w:firstLine="0"/>
        <w:jc w:val="left"/>
        <w:rPr>
          <w:rFonts w:ascii="Lucida Sans"/>
          <w:sz w:val="26"/>
        </w:rPr>
      </w:pPr>
      <w:r>
        <w:rPr>
          <w:rFonts w:ascii="Lucida Sans"/>
          <w:color w:val="00AB54"/>
          <w:sz w:val="26"/>
        </w:rPr>
        <w:t>Introduction</w:t>
      </w:r>
    </w:p>
    <w:p>
      <w:pPr>
        <w:pStyle w:val="BodyText"/>
        <w:spacing w:line="230" w:lineRule="auto" w:before="155"/>
        <w:ind w:right="38"/>
        <w:jc w:val="both"/>
      </w:pPr>
      <w:r>
        <w:rPr>
          <w:color w:val="231F20"/>
          <w:w w:val="105"/>
        </w:rPr>
        <w:t>With the introduction of interferon-free hepatitis C (HCV) therapy consisting of two or more direct-acting antiviral agents (DAAs), the treatment of HCV infection has become less complex, more tolerable and more effective compared with prior interferon-based </w:t>
      </w:r>
      <w:r>
        <w:rPr>
          <w:color w:val="231F20"/>
          <w:spacing w:val="-3"/>
          <w:w w:val="105"/>
        </w:rPr>
        <w:t>therapy. </w:t>
      </w:r>
      <w:r>
        <w:rPr>
          <w:color w:val="231F20"/>
          <w:w w:val="105"/>
        </w:rPr>
        <w:t>However, all DAAs may potentially be associated with drug</w:t>
      </w:r>
      <w:r>
        <w:rPr>
          <w:rFonts w:ascii="Lucida Sans" w:hAnsi="Lucida Sans"/>
          <w:color w:val="231F20"/>
          <w:w w:val="105"/>
        </w:rPr>
        <w:t>–</w:t>
      </w:r>
      <w:r>
        <w:rPr>
          <w:color w:val="231F20"/>
          <w:w w:val="105"/>
        </w:rPr>
        <w:t>drug interactions (DDIs) with concomitant medications due to shared transporter pro- teins or metabolic enzymes. The widespread deployment of DAAs makes optimal management of these DDIs a priority for successful therapeutic outcomes, as many of these con- comitant treatments cannot be avoided [1].</w:t>
      </w:r>
    </w:p>
    <w:p>
      <w:pPr>
        <w:pStyle w:val="BodyText"/>
        <w:spacing w:line="230" w:lineRule="auto"/>
        <w:ind w:right="39" w:firstLine="280"/>
        <w:jc w:val="both"/>
      </w:pPr>
      <w:r>
        <w:rPr>
          <w:color w:val="231F20"/>
          <w:w w:val="105"/>
        </w:rPr>
        <w:t>HCV protease inhibitors (PIs) are metabolized via the </w:t>
      </w:r>
      <w:hyperlink r:id="rId13">
        <w:r>
          <w:rPr>
            <w:rFonts w:ascii="Book Antiqua"/>
            <w:color w:val="00AB54"/>
            <w:w w:val="105"/>
          </w:rPr>
          <w:t>cytochrome P450</w:t>
        </w:r>
      </w:hyperlink>
      <w:r>
        <w:rPr>
          <w:rFonts w:ascii="Book Antiqua"/>
          <w:color w:val="00AB54"/>
          <w:w w:val="105"/>
        </w:rPr>
        <w:t> </w:t>
      </w:r>
      <w:r>
        <w:rPr>
          <w:color w:val="231F20"/>
          <w:w w:val="105"/>
        </w:rPr>
        <w:t>(CYP) system;  therefore,  a  broad  range of interactions involving enzyme inhibition and/or induc- tion can be expected, but may vary between PIs</w:t>
      </w:r>
      <w:r>
        <w:rPr>
          <w:color w:val="231F20"/>
          <w:spacing w:val="25"/>
          <w:w w:val="105"/>
        </w:rPr>
        <w:t> </w:t>
      </w:r>
      <w:r>
        <w:rPr>
          <w:color w:val="231F20"/>
          <w:w w:val="105"/>
        </w:rPr>
        <w:t>[2].</w:t>
      </w:r>
    </w:p>
    <w:p>
      <w:pPr>
        <w:pStyle w:val="BodyText"/>
        <w:spacing w:line="230" w:lineRule="auto"/>
        <w:ind w:right="38" w:firstLine="280"/>
        <w:jc w:val="both"/>
      </w:pPr>
      <w:hyperlink r:id="rId14">
        <w:r>
          <w:rPr>
            <w:rFonts w:ascii="Book Antiqua" w:hAnsi="Book Antiqua"/>
            <w:color w:val="00AB54"/>
            <w:w w:val="105"/>
          </w:rPr>
          <w:t>Simeprevir</w:t>
        </w:r>
      </w:hyperlink>
      <w:r>
        <w:rPr>
          <w:rFonts w:ascii="Book Antiqua" w:hAnsi="Book Antiqua"/>
          <w:color w:val="00AB54"/>
          <w:w w:val="105"/>
        </w:rPr>
        <w:t> </w:t>
      </w:r>
      <w:r>
        <w:rPr>
          <w:color w:val="231F20"/>
          <w:w w:val="105"/>
        </w:rPr>
        <w:t>(SMV) is a PI with established clinical ef</w:t>
      </w:r>
      <w:r>
        <w:rPr>
          <w:rFonts w:ascii="Times New Roman" w:hAnsi="Times New Roman"/>
          <w:color w:val="231F20"/>
          <w:w w:val="105"/>
        </w:rPr>
        <w:t>ﬁ</w:t>
      </w:r>
      <w:r>
        <w:rPr>
          <w:color w:val="231F20"/>
          <w:w w:val="105"/>
        </w:rPr>
        <w:t>- cacy in HCV genotypes 1 and 4, and antiviral activity against HCV genotypes 2, 5, and 6 [3]. Hepatic uptake of SMV is me- diated</w:t>
      </w:r>
      <w:r>
        <w:rPr>
          <w:color w:val="231F20"/>
          <w:spacing w:val="-15"/>
          <w:w w:val="105"/>
        </w:rPr>
        <w:t> </w:t>
      </w:r>
      <w:r>
        <w:rPr>
          <w:color w:val="231F20"/>
          <w:w w:val="105"/>
        </w:rPr>
        <w:t>by</w:t>
      </w:r>
      <w:r>
        <w:rPr>
          <w:color w:val="231F20"/>
          <w:spacing w:val="-15"/>
          <w:w w:val="105"/>
        </w:rPr>
        <w:t> </w:t>
      </w:r>
      <w:r>
        <w:rPr>
          <w:color w:val="231F20"/>
          <w:w w:val="105"/>
        </w:rPr>
        <w:t>the</w:t>
      </w:r>
      <w:r>
        <w:rPr>
          <w:color w:val="231F20"/>
          <w:spacing w:val="-15"/>
          <w:w w:val="105"/>
        </w:rPr>
        <w:t> </w:t>
      </w:r>
      <w:r>
        <w:rPr>
          <w:color w:val="231F20"/>
          <w:w w:val="105"/>
        </w:rPr>
        <w:t>organic</w:t>
      </w:r>
      <w:r>
        <w:rPr>
          <w:color w:val="231F20"/>
          <w:spacing w:val="-15"/>
          <w:w w:val="105"/>
        </w:rPr>
        <w:t> </w:t>
      </w:r>
      <w:r>
        <w:rPr>
          <w:color w:val="231F20"/>
          <w:w w:val="105"/>
        </w:rPr>
        <w:t>anion-transporting</w:t>
      </w:r>
      <w:r>
        <w:rPr>
          <w:color w:val="231F20"/>
          <w:spacing w:val="-15"/>
          <w:w w:val="105"/>
        </w:rPr>
        <w:t> </w:t>
      </w:r>
      <w:r>
        <w:rPr>
          <w:color w:val="231F20"/>
          <w:w w:val="105"/>
        </w:rPr>
        <w:t>polypeptide</w:t>
      </w:r>
      <w:r>
        <w:rPr>
          <w:color w:val="231F20"/>
          <w:spacing w:val="-15"/>
          <w:w w:val="105"/>
        </w:rPr>
        <w:t> </w:t>
      </w:r>
      <w:r>
        <w:rPr>
          <w:color w:val="231F20"/>
          <w:w w:val="105"/>
        </w:rPr>
        <w:t>(OATP) 1B1/3 [4]. SMV is primarily metabolized by </w:t>
      </w:r>
      <w:hyperlink r:id="rId15">
        <w:r>
          <w:rPr>
            <w:rFonts w:ascii="Book Antiqua" w:hAnsi="Book Antiqua"/>
            <w:color w:val="00AB54"/>
            <w:w w:val="105"/>
          </w:rPr>
          <w:t>CYP3A4</w:t>
        </w:r>
      </w:hyperlink>
      <w:r>
        <w:rPr>
          <w:color w:val="231F20"/>
          <w:w w:val="105"/>
        </w:rPr>
        <w:t>. Drugs that moderately or strongly inhibit or induce CYP3A4, or in- hibit the hepatic transporter OATP1B1/3, may in</w:t>
      </w:r>
      <w:r>
        <w:rPr>
          <w:rFonts w:ascii="Times New Roman" w:hAnsi="Times New Roman"/>
          <w:color w:val="231F20"/>
          <w:w w:val="105"/>
        </w:rPr>
        <w:t>ﬂ</w:t>
      </w:r>
      <w:r>
        <w:rPr>
          <w:color w:val="231F20"/>
          <w:w w:val="105"/>
        </w:rPr>
        <w:t>uence SMV plasma concentrations. On the other hand, SMV inhibits OATP1B1/3, P-glycoprotein 1 (P-gp), intestinal CYP3A4 and </w:t>
      </w:r>
      <w:hyperlink r:id="rId16">
        <w:r>
          <w:rPr>
            <w:rFonts w:ascii="Book Antiqua" w:hAnsi="Book Antiqua"/>
            <w:color w:val="00AB54"/>
            <w:w w:val="105"/>
          </w:rPr>
          <w:t>breast cancer resistance protein</w:t>
        </w:r>
      </w:hyperlink>
      <w:r>
        <w:rPr>
          <w:rFonts w:ascii="Book Antiqua" w:hAnsi="Book Antiqua"/>
          <w:color w:val="00AB54"/>
          <w:w w:val="105"/>
        </w:rPr>
        <w:t> </w:t>
      </w:r>
      <w:r>
        <w:rPr>
          <w:color w:val="231F20"/>
          <w:w w:val="105"/>
        </w:rPr>
        <w:t>(BCRP) transporter. Coadministration of SMV with drugs that are substrates for any of these molecules may result in increased plasma concentrations of these drugs [4,</w:t>
      </w:r>
      <w:r>
        <w:rPr>
          <w:color w:val="231F20"/>
          <w:spacing w:val="16"/>
          <w:w w:val="105"/>
        </w:rPr>
        <w:t> </w:t>
      </w:r>
      <w:r>
        <w:rPr>
          <w:color w:val="231F20"/>
          <w:w w:val="105"/>
        </w:rPr>
        <w:t>5].</w:t>
      </w:r>
    </w:p>
    <w:p>
      <w:pPr>
        <w:pStyle w:val="BodyText"/>
        <w:spacing w:line="230" w:lineRule="auto"/>
        <w:ind w:right="38" w:firstLine="280"/>
        <w:jc w:val="both"/>
      </w:pPr>
      <w:r>
        <w:rPr>
          <w:color w:val="231F20"/>
          <w:w w:val="105"/>
        </w:rPr>
        <w:t>Consequently, coadministration of SMV with drugs that moderately or strongly inhibit or induce CYP3A4 is not rec- ommended [4]. Other medications have known or potential pharmacokinetic (PK) interactions with SMV but can still be coprescribed with caution or may need dose modi</w:t>
      </w:r>
      <w:r>
        <w:rPr>
          <w:rFonts w:ascii="Times New Roman" w:hAnsi="Times New Roman"/>
          <w:color w:val="231F20"/>
          <w:w w:val="105"/>
        </w:rPr>
        <w:t>ﬁ</w:t>
      </w:r>
      <w:r>
        <w:rPr>
          <w:color w:val="231F20"/>
          <w:w w:val="105"/>
        </w:rPr>
        <w:t>cation (e.g. calcium channel blockers and most statins).</w:t>
      </w:r>
    </w:p>
    <w:p>
      <w:pPr>
        <w:pStyle w:val="BodyText"/>
        <w:spacing w:line="230" w:lineRule="auto"/>
        <w:ind w:right="39" w:firstLine="280"/>
        <w:jc w:val="both"/>
      </w:pPr>
      <w:r>
        <w:rPr>
          <w:color w:val="231F20"/>
          <w:w w:val="105"/>
        </w:rPr>
        <w:t>HCV infection is associated with an increased risk of extrahepatic disease, including cardiovascular and renal dis- ease, insulin resistance, diabetes mellitus type 2 and neuro- psychiatric disorders [6</w:t>
      </w:r>
      <w:r>
        <w:rPr>
          <w:rFonts w:ascii="Lucida Sans" w:hAnsi="Lucida Sans"/>
          <w:color w:val="231F20"/>
          <w:w w:val="105"/>
        </w:rPr>
        <w:t>–</w:t>
      </w:r>
      <w:r>
        <w:rPr>
          <w:color w:val="231F20"/>
          <w:w w:val="105"/>
        </w:rPr>
        <w:t>9]. Therefore, HCV patients often suffer</w:t>
      </w:r>
      <w:r>
        <w:rPr>
          <w:color w:val="231F20"/>
          <w:spacing w:val="-13"/>
          <w:w w:val="105"/>
        </w:rPr>
        <w:t> </w:t>
      </w:r>
      <w:r>
        <w:rPr>
          <w:color w:val="231F20"/>
          <w:w w:val="105"/>
        </w:rPr>
        <w:t>from</w:t>
      </w:r>
      <w:r>
        <w:rPr>
          <w:color w:val="231F20"/>
          <w:spacing w:val="-13"/>
          <w:w w:val="105"/>
        </w:rPr>
        <w:t> </w:t>
      </w:r>
      <w:r>
        <w:rPr>
          <w:color w:val="231F20"/>
          <w:w w:val="105"/>
        </w:rPr>
        <w:t>a</w:t>
      </w:r>
      <w:r>
        <w:rPr>
          <w:color w:val="231F20"/>
          <w:spacing w:val="-13"/>
          <w:w w:val="105"/>
        </w:rPr>
        <w:t> </w:t>
      </w:r>
      <w:r>
        <w:rPr>
          <w:color w:val="231F20"/>
          <w:w w:val="105"/>
        </w:rPr>
        <w:t>higher</w:t>
      </w:r>
      <w:r>
        <w:rPr>
          <w:color w:val="231F20"/>
          <w:spacing w:val="-12"/>
          <w:w w:val="105"/>
        </w:rPr>
        <w:t> </w:t>
      </w:r>
      <w:r>
        <w:rPr>
          <w:color w:val="231F20"/>
          <w:w w:val="105"/>
        </w:rPr>
        <w:t>total</w:t>
      </w:r>
      <w:r>
        <w:rPr>
          <w:color w:val="231F20"/>
          <w:spacing w:val="-12"/>
          <w:w w:val="105"/>
        </w:rPr>
        <w:t> </w:t>
      </w:r>
      <w:r>
        <w:rPr>
          <w:color w:val="231F20"/>
          <w:w w:val="105"/>
        </w:rPr>
        <w:t>burden</w:t>
      </w:r>
      <w:r>
        <w:rPr>
          <w:color w:val="231F20"/>
          <w:spacing w:val="-12"/>
          <w:w w:val="105"/>
        </w:rPr>
        <w:t> </w:t>
      </w:r>
      <w:r>
        <w:rPr>
          <w:color w:val="231F20"/>
          <w:w w:val="105"/>
        </w:rPr>
        <w:t>of</w:t>
      </w:r>
      <w:r>
        <w:rPr>
          <w:color w:val="231F20"/>
          <w:spacing w:val="-13"/>
          <w:w w:val="105"/>
        </w:rPr>
        <w:t> </w:t>
      </w:r>
      <w:r>
        <w:rPr>
          <w:color w:val="231F20"/>
          <w:w w:val="105"/>
        </w:rPr>
        <w:t>disease,</w:t>
      </w:r>
      <w:r>
        <w:rPr>
          <w:color w:val="231F20"/>
          <w:spacing w:val="-13"/>
          <w:w w:val="105"/>
        </w:rPr>
        <w:t> </w:t>
      </w:r>
      <w:r>
        <w:rPr>
          <w:color w:val="231F20"/>
          <w:w w:val="105"/>
        </w:rPr>
        <w:t>with</w:t>
      </w:r>
      <w:r>
        <w:rPr>
          <w:color w:val="231F20"/>
          <w:spacing w:val="-13"/>
          <w:w w:val="105"/>
        </w:rPr>
        <w:t> </w:t>
      </w:r>
      <w:r>
        <w:rPr>
          <w:color w:val="231F20"/>
          <w:w w:val="105"/>
        </w:rPr>
        <w:t>an</w:t>
      </w:r>
      <w:r>
        <w:rPr>
          <w:color w:val="231F20"/>
          <w:spacing w:val="-13"/>
          <w:w w:val="105"/>
        </w:rPr>
        <w:t> </w:t>
      </w:r>
      <w:r>
        <w:rPr>
          <w:color w:val="231F20"/>
          <w:w w:val="105"/>
        </w:rPr>
        <w:t>increased need for pharmacotherapy compared with HCV-uninfected individuals of a similar age. Polypharmacy has been found to be associated with an increased risk of adverse events (AEs) due to DDIs</w:t>
      </w:r>
      <w:r>
        <w:rPr>
          <w:color w:val="231F20"/>
          <w:spacing w:val="6"/>
          <w:w w:val="105"/>
        </w:rPr>
        <w:t> </w:t>
      </w:r>
      <w:r>
        <w:rPr>
          <w:color w:val="231F20"/>
          <w:w w:val="105"/>
        </w:rPr>
        <w:t>[10].</w:t>
      </w:r>
    </w:p>
    <w:p>
      <w:pPr>
        <w:pStyle w:val="BodyText"/>
        <w:spacing w:line="230" w:lineRule="auto"/>
        <w:ind w:right="39" w:firstLine="280"/>
        <w:jc w:val="both"/>
      </w:pPr>
      <w:r>
        <w:rPr>
          <w:color w:val="231F20"/>
          <w:w w:val="105"/>
        </w:rPr>
        <w:t>Previous research has focused mainly on the descriptive analyses of the prevalence of concomitant medications with</w:t>
      </w:r>
    </w:p>
    <w:p>
      <w:pPr>
        <w:pStyle w:val="BodyText"/>
        <w:spacing w:line="230" w:lineRule="auto" w:before="115"/>
        <w:ind w:right="115"/>
        <w:jc w:val="both"/>
      </w:pPr>
      <w:r>
        <w:rPr/>
        <w:br w:type="column"/>
      </w:r>
      <w:r>
        <w:rPr>
          <w:color w:val="231F20"/>
          <w:w w:val="105"/>
        </w:rPr>
        <w:t>the potential for interactions with DAAs, highlighting the risk of DDIs in subjects receiving a high number of contrain- dicated medications and the need for evaluation of potential DDIs to prevent AEs or the unnecessary risk of treatment failure </w:t>
      </w:r>
      <w:r>
        <w:rPr>
          <w:color w:val="231F20"/>
          <w:spacing w:val="-3"/>
          <w:w w:val="105"/>
        </w:rPr>
        <w:t>[11, </w:t>
      </w:r>
      <w:r>
        <w:rPr>
          <w:color w:val="231F20"/>
          <w:w w:val="105"/>
        </w:rPr>
        <w:t>12]. A recent analysis of over 400 HIV/HCV coinfected patients receiving DAAs together with their HIV treatment indicated that physicians are aware of potential DDIs between comedication and DAAs, in particular poten- tial DDIs with antiretroviral therapy [13]. To date, the impact on patients and clinical management needs of potential PK interactions between DAAs and concomitant  medication  has not been assessed systematically. Understanding these practical implications may increase the level  of  con</w:t>
      </w:r>
      <w:r>
        <w:rPr>
          <w:rFonts w:ascii="Times New Roman" w:hAnsi="Times New Roman"/>
          <w:color w:val="231F20"/>
          <w:w w:val="105"/>
        </w:rPr>
        <w:t>ﬁ</w:t>
      </w:r>
      <w:r>
        <w:rPr>
          <w:color w:val="231F20"/>
          <w:w w:val="105"/>
        </w:rPr>
        <w:t>dence of healthcare providers in handling such DDIs and thus fur- ther improve HCV treatment</w:t>
      </w:r>
      <w:r>
        <w:rPr>
          <w:color w:val="231F20"/>
          <w:spacing w:val="11"/>
          <w:w w:val="105"/>
        </w:rPr>
        <w:t> </w:t>
      </w:r>
      <w:r>
        <w:rPr>
          <w:color w:val="231F20"/>
          <w:w w:val="105"/>
        </w:rPr>
        <w:t>outcomes.</w:t>
      </w:r>
    </w:p>
    <w:p>
      <w:pPr>
        <w:pStyle w:val="BodyText"/>
        <w:spacing w:line="230" w:lineRule="auto"/>
        <w:ind w:right="116" w:firstLine="280"/>
        <w:jc w:val="both"/>
      </w:pPr>
      <w:r>
        <w:rPr>
          <w:color w:val="231F20"/>
          <w:w w:val="105"/>
        </w:rPr>
        <w:t>The</w:t>
      </w:r>
      <w:r>
        <w:rPr>
          <w:color w:val="231F20"/>
          <w:spacing w:val="-13"/>
          <w:w w:val="105"/>
        </w:rPr>
        <w:t> </w:t>
      </w:r>
      <w:r>
        <w:rPr>
          <w:color w:val="231F20"/>
          <w:w w:val="105"/>
        </w:rPr>
        <w:t>primary</w:t>
      </w:r>
      <w:r>
        <w:rPr>
          <w:color w:val="231F20"/>
          <w:spacing w:val="-14"/>
          <w:w w:val="105"/>
        </w:rPr>
        <w:t> </w:t>
      </w:r>
      <w:r>
        <w:rPr>
          <w:color w:val="231F20"/>
          <w:w w:val="105"/>
        </w:rPr>
        <w:t>objective</w:t>
      </w:r>
      <w:r>
        <w:rPr>
          <w:color w:val="231F20"/>
          <w:spacing w:val="-13"/>
          <w:w w:val="105"/>
        </w:rPr>
        <w:t> </w:t>
      </w:r>
      <w:r>
        <w:rPr>
          <w:color w:val="231F20"/>
          <w:w w:val="105"/>
        </w:rPr>
        <w:t>of</w:t>
      </w:r>
      <w:r>
        <w:rPr>
          <w:color w:val="231F20"/>
          <w:spacing w:val="-13"/>
          <w:w w:val="105"/>
        </w:rPr>
        <w:t> </w:t>
      </w:r>
      <w:r>
        <w:rPr>
          <w:color w:val="231F20"/>
          <w:w w:val="105"/>
        </w:rPr>
        <w:t>the</w:t>
      </w:r>
      <w:r>
        <w:rPr>
          <w:color w:val="231F20"/>
          <w:spacing w:val="-13"/>
          <w:w w:val="105"/>
        </w:rPr>
        <w:t> </w:t>
      </w:r>
      <w:r>
        <w:rPr>
          <w:color w:val="231F20"/>
          <w:w w:val="105"/>
        </w:rPr>
        <w:t>present</w:t>
      </w:r>
      <w:r>
        <w:rPr>
          <w:color w:val="231F20"/>
          <w:spacing w:val="-13"/>
          <w:w w:val="105"/>
        </w:rPr>
        <w:t> </w:t>
      </w:r>
      <w:r>
        <w:rPr>
          <w:color w:val="231F20"/>
          <w:w w:val="105"/>
        </w:rPr>
        <w:t>analysis</w:t>
      </w:r>
      <w:r>
        <w:rPr>
          <w:color w:val="231F20"/>
          <w:spacing w:val="-14"/>
          <w:w w:val="105"/>
        </w:rPr>
        <w:t> </w:t>
      </w:r>
      <w:r>
        <w:rPr>
          <w:color w:val="231F20"/>
          <w:w w:val="105"/>
        </w:rPr>
        <w:t>was</w:t>
      </w:r>
      <w:r>
        <w:rPr>
          <w:color w:val="231F20"/>
          <w:spacing w:val="-14"/>
          <w:w w:val="105"/>
        </w:rPr>
        <w:t> </w:t>
      </w:r>
      <w:r>
        <w:rPr>
          <w:color w:val="231F20"/>
          <w:w w:val="105"/>
        </w:rPr>
        <w:t>to</w:t>
      </w:r>
      <w:r>
        <w:rPr>
          <w:color w:val="231F20"/>
          <w:spacing w:val="-13"/>
          <w:w w:val="105"/>
        </w:rPr>
        <w:t> </w:t>
      </w:r>
      <w:r>
        <w:rPr>
          <w:color w:val="231F20"/>
          <w:w w:val="105"/>
        </w:rPr>
        <w:t>inves- tigate the clinical management and treatment outcomes of coadministration of SMV with frequently prescribed con- comitant medications of interest (CMOIs) with known or po- tential PK interactions with</w:t>
      </w:r>
      <w:r>
        <w:rPr>
          <w:color w:val="231F20"/>
          <w:spacing w:val="8"/>
          <w:w w:val="105"/>
        </w:rPr>
        <w:t> </w:t>
      </w:r>
      <w:r>
        <w:rPr>
          <w:color w:val="231F20"/>
          <w:w w:val="105"/>
        </w:rPr>
        <w:t>SMV.</w:t>
      </w:r>
    </w:p>
    <w:p>
      <w:pPr>
        <w:pStyle w:val="BodyText"/>
        <w:ind w:left="0"/>
        <w:rPr>
          <w:sz w:val="20"/>
        </w:rPr>
      </w:pPr>
    </w:p>
    <w:p>
      <w:pPr>
        <w:pStyle w:val="BodyText"/>
        <w:spacing w:before="11"/>
        <w:ind w:left="0"/>
      </w:pPr>
    </w:p>
    <w:p>
      <w:pPr>
        <w:pStyle w:val="Heading1"/>
      </w:pPr>
      <w:r>
        <w:rPr>
          <w:color w:val="00AB54"/>
        </w:rPr>
        <w:t>Methods</w:t>
      </w:r>
    </w:p>
    <w:p>
      <w:pPr>
        <w:pStyle w:val="Heading2"/>
        <w:spacing w:before="233"/>
        <w:rPr>
          <w:i/>
        </w:rPr>
      </w:pPr>
      <w:r>
        <w:rPr>
          <w:i/>
          <w:color w:val="00AB54"/>
        </w:rPr>
        <w:t>Study design</w:t>
      </w:r>
    </w:p>
    <w:p>
      <w:pPr>
        <w:pStyle w:val="BodyText"/>
        <w:spacing w:line="230" w:lineRule="auto"/>
        <w:ind w:right="116" w:hanging="1"/>
        <w:jc w:val="both"/>
      </w:pPr>
      <w:r>
        <w:rPr>
          <w:color w:val="231F20"/>
          <w:w w:val="105"/>
        </w:rPr>
        <w:t>In a </w:t>
      </w:r>
      <w:r>
        <w:rPr>
          <w:rFonts w:ascii="Book Antiqua"/>
          <w:i/>
          <w:color w:val="231F20"/>
          <w:w w:val="105"/>
        </w:rPr>
        <w:t>post hoc </w:t>
      </w:r>
      <w:r>
        <w:rPr>
          <w:color w:val="231F20"/>
          <w:w w:val="105"/>
        </w:rPr>
        <w:t>analysis we pooled data from eight prospective interventional studies and one observational study of SMV- based interferon-free HCV therapy.</w:t>
      </w:r>
    </w:p>
    <w:p>
      <w:pPr>
        <w:pStyle w:val="BodyText"/>
        <w:spacing w:line="230" w:lineRule="auto"/>
        <w:ind w:right="114" w:firstLine="280"/>
        <w:jc w:val="both"/>
      </w:pPr>
      <w:r>
        <w:rPr>
          <w:color w:val="231F20"/>
          <w:w w:val="105"/>
        </w:rPr>
        <w:t>Studies selected for this analysis were Janssen-sponsored clinical trials evaluating interferon-free combinations  of SMV in combination with </w:t>
      </w:r>
      <w:hyperlink r:id="rId17">
        <w:r>
          <w:rPr>
            <w:rFonts w:ascii="Book Antiqua" w:hAnsi="Book Antiqua"/>
            <w:color w:val="00AB54"/>
            <w:w w:val="105"/>
          </w:rPr>
          <w:t>sofosbuvir</w:t>
        </w:r>
      </w:hyperlink>
      <w:r>
        <w:rPr>
          <w:rFonts w:ascii="Book Antiqua" w:hAnsi="Book Antiqua"/>
          <w:color w:val="00AB54"/>
          <w:w w:val="105"/>
        </w:rPr>
        <w:t> </w:t>
      </w:r>
      <w:r>
        <w:rPr>
          <w:color w:val="231F20"/>
          <w:w w:val="105"/>
        </w:rPr>
        <w:t>(SOF) and/or daclatasvir (DCV) with or without </w:t>
      </w:r>
      <w:hyperlink r:id="rId18">
        <w:r>
          <w:rPr>
            <w:rFonts w:ascii="Book Antiqua" w:hAnsi="Book Antiqua"/>
            <w:color w:val="00AB54"/>
            <w:w w:val="105"/>
          </w:rPr>
          <w:t>ribavirin </w:t>
        </w:r>
      </w:hyperlink>
      <w:r>
        <w:rPr>
          <w:color w:val="231F20"/>
          <w:w w:val="105"/>
        </w:rPr>
        <w:t>(RBV) (Table 1) [14</w:t>
      </w:r>
      <w:r>
        <w:rPr>
          <w:rFonts w:ascii="Lucida Sans" w:hAnsi="Lucida Sans"/>
          <w:color w:val="231F20"/>
          <w:w w:val="105"/>
        </w:rPr>
        <w:t>–</w:t>
      </w:r>
      <w:r>
        <w:rPr>
          <w:color w:val="231F20"/>
          <w:w w:val="105"/>
        </w:rPr>
        <w:t>22]. All studies were conducted in accordance with the 1975 Declaration of Helsinki, approved by independent ethics committees and registered with </w:t>
      </w:r>
      <w:hyperlink r:id="rId19">
        <w:r>
          <w:rPr>
            <w:color w:val="231F20"/>
            <w:w w:val="105"/>
          </w:rPr>
          <w:t>www.clinicaltrials.</w:t>
        </w:r>
      </w:hyperlink>
      <w:r>
        <w:rPr>
          <w:color w:val="231F20"/>
          <w:w w:val="105"/>
        </w:rPr>
        <w:t> </w:t>
      </w:r>
      <w:hyperlink r:id="rId19">
        <w:r>
          <w:rPr>
            <w:color w:val="231F20"/>
            <w:spacing w:val="-5"/>
            <w:w w:val="105"/>
          </w:rPr>
          <w:t>gov</w:t>
        </w:r>
      </w:hyperlink>
      <w:r>
        <w:rPr>
          <w:color w:val="231F20"/>
          <w:spacing w:val="-5"/>
          <w:w w:val="105"/>
        </w:rPr>
        <w:t>. </w:t>
      </w:r>
      <w:r>
        <w:rPr>
          <w:color w:val="231F20"/>
          <w:w w:val="105"/>
        </w:rPr>
        <w:t>Written informed consent was obtained from all pa- tients prior to study initiation.  The  observational  study  was conducted at 33 US sites selected to re</w:t>
      </w:r>
      <w:r>
        <w:rPr>
          <w:rFonts w:ascii="Times New Roman" w:hAnsi="Times New Roman"/>
          <w:color w:val="231F20"/>
          <w:w w:val="105"/>
        </w:rPr>
        <w:t>ﬂ</w:t>
      </w:r>
      <w:r>
        <w:rPr>
          <w:color w:val="231F20"/>
          <w:w w:val="105"/>
        </w:rPr>
        <w:t>ect a diverse care setting; monitoring and source data veri</w:t>
      </w:r>
      <w:r>
        <w:rPr>
          <w:rFonts w:ascii="Times New Roman" w:hAnsi="Times New Roman"/>
          <w:color w:val="231F20"/>
          <w:w w:val="105"/>
        </w:rPr>
        <w:t>ﬁ</w:t>
      </w:r>
      <w:r>
        <w:rPr>
          <w:color w:val="231F20"/>
          <w:w w:val="105"/>
        </w:rPr>
        <w:t>cation were performed.</w:t>
      </w:r>
    </w:p>
    <w:p>
      <w:pPr>
        <w:pStyle w:val="BodyText"/>
        <w:spacing w:line="230" w:lineRule="auto"/>
        <w:ind w:right="115" w:firstLine="280"/>
        <w:jc w:val="both"/>
      </w:pPr>
      <w:r>
        <w:rPr>
          <w:color w:val="231F20"/>
          <w:w w:val="105"/>
        </w:rPr>
        <w:t>For the current analysis, the observation period was de- </w:t>
      </w:r>
      <w:r>
        <w:rPr>
          <w:rFonts w:ascii="Times New Roman" w:hAnsi="Times New Roman"/>
          <w:color w:val="231F20"/>
          <w:w w:val="105"/>
        </w:rPr>
        <w:t>ﬁ</w:t>
      </w:r>
      <w:r>
        <w:rPr>
          <w:color w:val="231F20"/>
          <w:w w:val="105"/>
        </w:rPr>
        <w:t>ned as the screening period (except for the observational study, which did not have a screening period) and the initial 12 weeks of SMV-based HCV treatment.</w:t>
      </w:r>
    </w:p>
    <w:p>
      <w:pPr>
        <w:pStyle w:val="BodyText"/>
        <w:spacing w:line="230" w:lineRule="auto"/>
        <w:ind w:right="115" w:firstLine="280"/>
        <w:jc w:val="both"/>
      </w:pPr>
      <w:r>
        <w:rPr>
          <w:color w:val="231F20"/>
          <w:w w:val="105"/>
        </w:rPr>
        <w:t>Three</w:t>
      </w:r>
      <w:r>
        <w:rPr>
          <w:color w:val="231F20"/>
          <w:spacing w:val="-10"/>
          <w:w w:val="105"/>
        </w:rPr>
        <w:t> </w:t>
      </w:r>
      <w:r>
        <w:rPr>
          <w:color w:val="231F20"/>
          <w:w w:val="105"/>
        </w:rPr>
        <w:t>classes</w:t>
      </w:r>
      <w:r>
        <w:rPr>
          <w:color w:val="231F20"/>
          <w:spacing w:val="-11"/>
          <w:w w:val="105"/>
        </w:rPr>
        <w:t> </w:t>
      </w:r>
      <w:r>
        <w:rPr>
          <w:color w:val="231F20"/>
          <w:w w:val="105"/>
        </w:rPr>
        <w:t>of</w:t>
      </w:r>
      <w:r>
        <w:rPr>
          <w:color w:val="231F20"/>
          <w:spacing w:val="-11"/>
          <w:w w:val="105"/>
        </w:rPr>
        <w:t> </w:t>
      </w:r>
      <w:r>
        <w:rPr>
          <w:color w:val="231F20"/>
          <w:w w:val="105"/>
        </w:rPr>
        <w:t>CMOIs</w:t>
      </w:r>
      <w:r>
        <w:rPr>
          <w:color w:val="231F20"/>
          <w:spacing w:val="-11"/>
          <w:w w:val="105"/>
        </w:rPr>
        <w:t> </w:t>
      </w:r>
      <w:r>
        <w:rPr>
          <w:color w:val="231F20"/>
          <w:w w:val="105"/>
        </w:rPr>
        <w:t>were</w:t>
      </w:r>
      <w:r>
        <w:rPr>
          <w:color w:val="231F20"/>
          <w:spacing w:val="-11"/>
          <w:w w:val="105"/>
        </w:rPr>
        <w:t> </w:t>
      </w:r>
      <w:r>
        <w:rPr>
          <w:color w:val="231F20"/>
          <w:w w:val="105"/>
        </w:rPr>
        <w:t>selected</w:t>
      </w:r>
      <w:r>
        <w:rPr>
          <w:color w:val="231F20"/>
          <w:spacing w:val="-11"/>
          <w:w w:val="105"/>
        </w:rPr>
        <w:t> </w:t>
      </w:r>
      <w:r>
        <w:rPr>
          <w:color w:val="231F20"/>
          <w:w w:val="105"/>
        </w:rPr>
        <w:t>for</w:t>
      </w:r>
      <w:r>
        <w:rPr>
          <w:color w:val="231F20"/>
          <w:spacing w:val="-11"/>
          <w:w w:val="105"/>
        </w:rPr>
        <w:t> </w:t>
      </w:r>
      <w:r>
        <w:rPr>
          <w:color w:val="231F20"/>
          <w:w w:val="105"/>
        </w:rPr>
        <w:t>the</w:t>
      </w:r>
      <w:r>
        <w:rPr>
          <w:color w:val="231F20"/>
          <w:spacing w:val="-11"/>
          <w:w w:val="105"/>
        </w:rPr>
        <w:t> </w:t>
      </w:r>
      <w:r>
        <w:rPr>
          <w:color w:val="231F20"/>
          <w:w w:val="105"/>
        </w:rPr>
        <w:t>analysis,</w:t>
      </w:r>
      <w:r>
        <w:rPr>
          <w:color w:val="231F20"/>
          <w:spacing w:val="-10"/>
          <w:w w:val="105"/>
        </w:rPr>
        <w:t> </w:t>
      </w:r>
      <w:r>
        <w:rPr>
          <w:color w:val="231F20"/>
          <w:w w:val="105"/>
        </w:rPr>
        <w:t>ow- ing to their broad use in this population and the potential</w:t>
      </w:r>
      <w:r>
        <w:rPr>
          <w:color w:val="231F20"/>
          <w:spacing w:val="3"/>
          <w:w w:val="105"/>
        </w:rPr>
        <w:t> </w:t>
      </w:r>
      <w:r>
        <w:rPr>
          <w:color w:val="231F20"/>
          <w:w w:val="105"/>
        </w:rPr>
        <w:t>for</w:t>
      </w:r>
    </w:p>
    <w:p>
      <w:pPr>
        <w:spacing w:after="0" w:line="230" w:lineRule="auto"/>
        <w:jc w:val="both"/>
        <w:sectPr>
          <w:type w:val="continuous"/>
          <w:pgSz w:w="11880" w:h="15670"/>
          <w:pgMar w:top="380" w:bottom="0" w:left="740" w:right="720"/>
          <w:cols w:num="2" w:equalWidth="0">
            <w:col w:w="4964" w:space="416"/>
            <w:col w:w="5040"/>
          </w:cols>
        </w:sectPr>
      </w:pPr>
    </w:p>
    <w:p>
      <w:pPr>
        <w:pStyle w:val="BodyText"/>
        <w:spacing w:before="7"/>
        <w:ind w:left="0"/>
        <w:rPr>
          <w:sz w:val="7"/>
        </w:rPr>
      </w:pPr>
    </w:p>
    <w:p>
      <w:pPr>
        <w:pStyle w:val="Heading3"/>
      </w:pPr>
      <w:r>
        <w:rPr>
          <w:color w:val="00AB54"/>
        </w:rPr>
        <w:t>Table 1</w:t>
      </w:r>
    </w:p>
    <w:p>
      <w:pPr>
        <w:spacing w:before="71"/>
        <w:ind w:left="100" w:right="0" w:firstLine="0"/>
        <w:jc w:val="left"/>
        <w:rPr>
          <w:rFonts w:ascii="Calibri"/>
          <w:sz w:val="16"/>
        </w:rPr>
      </w:pPr>
      <w:r>
        <w:rPr>
          <w:rFonts w:ascii="Calibri"/>
          <w:color w:val="231F20"/>
          <w:w w:val="105"/>
          <w:sz w:val="16"/>
        </w:rPr>
        <w:t>Studies included in this post-hoc analysis</w:t>
      </w:r>
    </w:p>
    <w:p>
      <w:pPr>
        <w:pStyle w:val="BodyText"/>
        <w:spacing w:before="7"/>
        <w:ind w:left="0"/>
        <w:rPr>
          <w:rFonts w:ascii="Calibri"/>
          <w:sz w:val="27"/>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56"/>
        <w:gridCol w:w="1469"/>
        <w:gridCol w:w="2563"/>
        <w:gridCol w:w="2963"/>
        <w:gridCol w:w="983"/>
        <w:gridCol w:w="454"/>
      </w:tblGrid>
      <w:tr>
        <w:trPr>
          <w:trHeight w:val="644" w:hRule="atLeast"/>
        </w:trPr>
        <w:tc>
          <w:tcPr>
            <w:tcW w:w="1756" w:type="dxa"/>
            <w:tcBorders>
              <w:top w:val="single" w:sz="6" w:space="0" w:color="231F20"/>
              <w:left w:val="single" w:sz="6" w:space="0" w:color="231F20"/>
              <w:bottom w:val="single" w:sz="6" w:space="0" w:color="231F20"/>
            </w:tcBorders>
            <w:shd w:val="clear" w:color="auto" w:fill="DBEEDF"/>
          </w:tcPr>
          <w:p>
            <w:pPr>
              <w:pStyle w:val="TableParagraph"/>
              <w:spacing w:line="252" w:lineRule="auto" w:before="44"/>
              <w:ind w:left="192"/>
              <w:rPr>
                <w:sz w:val="14"/>
              </w:rPr>
            </w:pPr>
            <w:r>
              <w:rPr>
                <w:color w:val="231F20"/>
                <w:w w:val="125"/>
                <w:sz w:val="14"/>
              </w:rPr>
              <w:t>Study identi</w:t>
            </w:r>
            <w:r>
              <w:rPr>
                <w:rFonts w:ascii="Arial" w:hAnsi="Arial"/>
                <w:color w:val="231F20"/>
                <w:w w:val="125"/>
                <w:sz w:val="14"/>
              </w:rPr>
              <w:t>ﬁ</w:t>
            </w:r>
            <w:r>
              <w:rPr>
                <w:color w:val="231F20"/>
                <w:w w:val="125"/>
                <w:sz w:val="14"/>
              </w:rPr>
              <w:t>er at ClinicalTrials.gov (Study name)</w:t>
            </w:r>
          </w:p>
        </w:tc>
        <w:tc>
          <w:tcPr>
            <w:tcW w:w="1469" w:type="dxa"/>
            <w:tcBorders>
              <w:top w:val="single" w:sz="6" w:space="0" w:color="231F20"/>
              <w:bottom w:val="single" w:sz="6" w:space="0" w:color="231F20"/>
            </w:tcBorders>
            <w:shd w:val="clear" w:color="auto" w:fill="DBEEDF"/>
          </w:tcPr>
          <w:p>
            <w:pPr>
              <w:pStyle w:val="TableParagraph"/>
              <w:spacing w:before="0"/>
              <w:rPr>
                <w:sz w:val="16"/>
              </w:rPr>
            </w:pPr>
          </w:p>
          <w:p>
            <w:pPr>
              <w:pStyle w:val="TableParagraph"/>
              <w:spacing w:before="1"/>
              <w:rPr>
                <w:sz w:val="17"/>
              </w:rPr>
            </w:pPr>
          </w:p>
          <w:p>
            <w:pPr>
              <w:pStyle w:val="TableParagraph"/>
              <w:spacing w:before="0"/>
              <w:ind w:left="239" w:right="230"/>
              <w:jc w:val="center"/>
              <w:rPr>
                <w:sz w:val="14"/>
              </w:rPr>
            </w:pPr>
            <w:r>
              <w:rPr>
                <w:color w:val="231F20"/>
                <w:w w:val="125"/>
                <w:sz w:val="14"/>
              </w:rPr>
              <w:t>Type of study</w:t>
            </w:r>
          </w:p>
        </w:tc>
        <w:tc>
          <w:tcPr>
            <w:tcW w:w="2563" w:type="dxa"/>
            <w:tcBorders>
              <w:top w:val="single" w:sz="6" w:space="0" w:color="231F20"/>
              <w:bottom w:val="single" w:sz="6" w:space="0" w:color="231F20"/>
            </w:tcBorders>
            <w:shd w:val="clear" w:color="auto" w:fill="DBEEDF"/>
          </w:tcPr>
          <w:p>
            <w:pPr>
              <w:pStyle w:val="TableParagraph"/>
              <w:spacing w:line="249" w:lineRule="auto" w:before="44"/>
              <w:ind w:left="258" w:right="153"/>
              <w:rPr>
                <w:sz w:val="14"/>
              </w:rPr>
            </w:pPr>
            <w:r>
              <w:rPr>
                <w:color w:val="231F20"/>
                <w:w w:val="125"/>
                <w:sz w:val="14"/>
              </w:rPr>
              <w:t>Number of patients included in the analysis, </w:t>
            </w:r>
            <w:r>
              <w:rPr>
                <w:rFonts w:ascii="Lucida Sans"/>
                <w:i/>
                <w:color w:val="231F20"/>
                <w:w w:val="125"/>
                <w:sz w:val="14"/>
              </w:rPr>
              <w:t>n </w:t>
            </w:r>
            <w:r>
              <w:rPr>
                <w:color w:val="231F20"/>
                <w:w w:val="125"/>
                <w:sz w:val="14"/>
              </w:rPr>
              <w:t>(%)</w:t>
            </w:r>
          </w:p>
          <w:p>
            <w:pPr>
              <w:pStyle w:val="TableParagraph"/>
              <w:spacing w:before="0"/>
              <w:ind w:left="258"/>
              <w:rPr>
                <w:sz w:val="14"/>
              </w:rPr>
            </w:pPr>
            <w:r>
              <w:rPr>
                <w:rFonts w:ascii="Lucida Sans"/>
                <w:i/>
                <w:color w:val="231F20"/>
                <w:w w:val="125"/>
                <w:sz w:val="14"/>
              </w:rPr>
              <w:t>N </w:t>
            </w:r>
            <w:r>
              <w:rPr>
                <w:color w:val="231F20"/>
                <w:w w:val="125"/>
                <w:sz w:val="14"/>
              </w:rPr>
              <w:t>= 876 (100%)</w:t>
            </w:r>
          </w:p>
        </w:tc>
        <w:tc>
          <w:tcPr>
            <w:tcW w:w="2963" w:type="dxa"/>
            <w:tcBorders>
              <w:top w:val="single" w:sz="6" w:space="0" w:color="231F20"/>
              <w:bottom w:val="single" w:sz="6" w:space="0" w:color="231F20"/>
            </w:tcBorders>
            <w:shd w:val="clear" w:color="auto" w:fill="DBEEDF"/>
          </w:tcPr>
          <w:p>
            <w:pPr>
              <w:pStyle w:val="TableParagraph"/>
              <w:spacing w:before="0"/>
              <w:rPr>
                <w:sz w:val="16"/>
              </w:rPr>
            </w:pPr>
          </w:p>
          <w:p>
            <w:pPr>
              <w:pStyle w:val="TableParagraph"/>
              <w:spacing w:before="1"/>
              <w:rPr>
                <w:sz w:val="17"/>
              </w:rPr>
            </w:pPr>
          </w:p>
          <w:p>
            <w:pPr>
              <w:pStyle w:val="TableParagraph"/>
              <w:spacing w:before="0"/>
              <w:ind w:left="257"/>
              <w:rPr>
                <w:sz w:val="14"/>
              </w:rPr>
            </w:pPr>
            <w:r>
              <w:rPr>
                <w:color w:val="231F20"/>
                <w:w w:val="125"/>
                <w:sz w:val="14"/>
              </w:rPr>
              <w:t>Patient population</w:t>
            </w:r>
          </w:p>
        </w:tc>
        <w:tc>
          <w:tcPr>
            <w:tcW w:w="983" w:type="dxa"/>
            <w:tcBorders>
              <w:top w:val="single" w:sz="6" w:space="0" w:color="231F20"/>
              <w:bottom w:val="single" w:sz="6" w:space="0" w:color="231F20"/>
            </w:tcBorders>
            <w:shd w:val="clear" w:color="auto" w:fill="DBEEDF"/>
          </w:tcPr>
          <w:p>
            <w:pPr>
              <w:pStyle w:val="TableParagraph"/>
              <w:spacing w:before="0"/>
              <w:rPr>
                <w:sz w:val="16"/>
              </w:rPr>
            </w:pPr>
          </w:p>
          <w:p>
            <w:pPr>
              <w:pStyle w:val="TableParagraph"/>
              <w:spacing w:before="1"/>
              <w:rPr>
                <w:sz w:val="17"/>
              </w:rPr>
            </w:pPr>
          </w:p>
          <w:p>
            <w:pPr>
              <w:pStyle w:val="TableParagraph"/>
              <w:spacing w:before="0"/>
              <w:ind w:left="258"/>
              <w:rPr>
                <w:sz w:val="14"/>
              </w:rPr>
            </w:pPr>
            <w:r>
              <w:rPr>
                <w:color w:val="231F20"/>
                <w:w w:val="120"/>
                <w:sz w:val="14"/>
              </w:rPr>
              <w:t>Reference</w:t>
            </w:r>
          </w:p>
        </w:tc>
        <w:tc>
          <w:tcPr>
            <w:tcW w:w="454" w:type="dxa"/>
            <w:tcBorders>
              <w:top w:val="single" w:sz="6" w:space="0" w:color="231F20"/>
              <w:bottom w:val="single" w:sz="6" w:space="0" w:color="231F20"/>
              <w:right w:val="single" w:sz="6" w:space="0" w:color="231F20"/>
            </w:tcBorders>
            <w:shd w:val="clear" w:color="auto" w:fill="DBEEDF"/>
          </w:tcPr>
          <w:p>
            <w:pPr>
              <w:pStyle w:val="TableParagraph"/>
              <w:spacing w:before="0"/>
              <w:rPr>
                <w:sz w:val="16"/>
              </w:rPr>
            </w:pPr>
          </w:p>
          <w:p>
            <w:pPr>
              <w:pStyle w:val="TableParagraph"/>
              <w:spacing w:before="1"/>
              <w:rPr>
                <w:sz w:val="17"/>
              </w:rPr>
            </w:pPr>
          </w:p>
          <w:p>
            <w:pPr>
              <w:pStyle w:val="TableParagraph"/>
              <w:spacing w:before="0"/>
              <w:ind w:left="25"/>
              <w:rPr>
                <w:sz w:val="14"/>
              </w:rPr>
            </w:pPr>
            <w:r>
              <w:rPr>
                <w:color w:val="231F20"/>
                <w:w w:val="120"/>
                <w:sz w:val="14"/>
              </w:rPr>
              <w:t>No.</w:t>
            </w:r>
          </w:p>
        </w:tc>
      </w:tr>
      <w:tr>
        <w:trPr>
          <w:trHeight w:val="477" w:hRule="atLeast"/>
        </w:trPr>
        <w:tc>
          <w:tcPr>
            <w:tcW w:w="1756" w:type="dxa"/>
            <w:tcBorders>
              <w:top w:val="single" w:sz="6" w:space="0" w:color="231F20"/>
              <w:left w:val="single" w:sz="6" w:space="0" w:color="231F20"/>
            </w:tcBorders>
            <w:shd w:val="clear" w:color="auto" w:fill="78C693"/>
          </w:tcPr>
          <w:p>
            <w:pPr>
              <w:pStyle w:val="TableParagraph"/>
              <w:spacing w:line="252" w:lineRule="auto" w:before="64"/>
              <w:ind w:left="192" w:right="535"/>
              <w:rPr>
                <w:sz w:val="14"/>
              </w:rPr>
            </w:pPr>
            <w:r>
              <w:rPr>
                <w:color w:val="231F20"/>
                <w:w w:val="125"/>
                <w:sz w:val="14"/>
              </w:rPr>
              <w:t>NCT02103699 (SONET)</w:t>
            </w:r>
          </w:p>
        </w:tc>
        <w:tc>
          <w:tcPr>
            <w:tcW w:w="1469" w:type="dxa"/>
            <w:tcBorders>
              <w:top w:val="single" w:sz="6" w:space="0" w:color="231F20"/>
            </w:tcBorders>
            <w:shd w:val="clear" w:color="auto" w:fill="78C693"/>
          </w:tcPr>
          <w:p>
            <w:pPr>
              <w:pStyle w:val="TableParagraph"/>
              <w:spacing w:line="252" w:lineRule="auto" w:before="64"/>
              <w:ind w:left="257"/>
              <w:rPr>
                <w:sz w:val="14"/>
              </w:rPr>
            </w:pPr>
            <w:r>
              <w:rPr>
                <w:color w:val="231F20"/>
                <w:w w:val="105"/>
                <w:sz w:val="14"/>
              </w:rPr>
              <w:t>Prospective observational</w:t>
            </w:r>
          </w:p>
        </w:tc>
        <w:tc>
          <w:tcPr>
            <w:tcW w:w="2563" w:type="dxa"/>
            <w:tcBorders>
              <w:top w:val="single" w:sz="6" w:space="0" w:color="231F20"/>
            </w:tcBorders>
            <w:shd w:val="clear" w:color="auto" w:fill="78C693"/>
          </w:tcPr>
          <w:p>
            <w:pPr>
              <w:pStyle w:val="TableParagraph"/>
              <w:spacing w:before="64"/>
              <w:ind w:left="876" w:right="865"/>
              <w:jc w:val="center"/>
              <w:rPr>
                <w:sz w:val="14"/>
              </w:rPr>
            </w:pPr>
            <w:r>
              <w:rPr>
                <w:color w:val="231F20"/>
                <w:w w:val="115"/>
                <w:sz w:val="14"/>
              </w:rPr>
              <w:t>308 (35.2%)</w:t>
            </w:r>
          </w:p>
        </w:tc>
        <w:tc>
          <w:tcPr>
            <w:tcW w:w="2963" w:type="dxa"/>
            <w:tcBorders>
              <w:top w:val="single" w:sz="6" w:space="0" w:color="231F20"/>
            </w:tcBorders>
            <w:shd w:val="clear" w:color="auto" w:fill="78C693"/>
          </w:tcPr>
          <w:p>
            <w:pPr>
              <w:pStyle w:val="TableParagraph"/>
              <w:spacing w:line="252" w:lineRule="auto" w:before="64"/>
              <w:ind w:left="257" w:right="539" w:hanging="1"/>
              <w:rPr>
                <w:sz w:val="14"/>
              </w:rPr>
            </w:pPr>
            <w:r>
              <w:rPr>
                <w:color w:val="231F20"/>
                <w:w w:val="105"/>
                <w:sz w:val="14"/>
              </w:rPr>
              <w:t>Naïve or experienced, treated with SMV at various practice settings</w:t>
            </w:r>
          </w:p>
        </w:tc>
        <w:tc>
          <w:tcPr>
            <w:tcW w:w="1437" w:type="dxa"/>
            <w:gridSpan w:val="2"/>
            <w:tcBorders>
              <w:top w:val="single" w:sz="6" w:space="0" w:color="231F20"/>
              <w:right w:val="single" w:sz="6" w:space="0" w:color="231F20"/>
            </w:tcBorders>
            <w:shd w:val="clear" w:color="auto" w:fill="78C693"/>
          </w:tcPr>
          <w:p>
            <w:pPr>
              <w:pStyle w:val="TableParagraph"/>
              <w:spacing w:before="64"/>
              <w:ind w:left="258"/>
              <w:rPr>
                <w:sz w:val="14"/>
              </w:rPr>
            </w:pPr>
            <w:r>
              <w:rPr>
                <w:color w:val="231F20"/>
                <w:w w:val="115"/>
                <w:sz w:val="14"/>
              </w:rPr>
              <w:t>19</w:t>
            </w:r>
          </w:p>
        </w:tc>
      </w:tr>
      <w:tr>
        <w:trPr>
          <w:trHeight w:val="480" w:hRule="atLeast"/>
        </w:trPr>
        <w:tc>
          <w:tcPr>
            <w:tcW w:w="1756" w:type="dxa"/>
            <w:tcBorders>
              <w:left w:val="single" w:sz="6" w:space="0" w:color="231F20"/>
            </w:tcBorders>
          </w:tcPr>
          <w:p>
            <w:pPr>
              <w:pStyle w:val="TableParagraph"/>
              <w:spacing w:line="252" w:lineRule="auto"/>
              <w:ind w:left="192" w:right="546"/>
              <w:rPr>
                <w:sz w:val="14"/>
              </w:rPr>
            </w:pPr>
            <w:r>
              <w:rPr>
                <w:color w:val="231F20"/>
                <w:w w:val="125"/>
                <w:sz w:val="14"/>
              </w:rPr>
              <w:t>NCT02114177 (OPTIMIST-1)</w:t>
            </w:r>
          </w:p>
        </w:tc>
        <w:tc>
          <w:tcPr>
            <w:tcW w:w="1469" w:type="dxa"/>
          </w:tcPr>
          <w:p>
            <w:pPr>
              <w:pStyle w:val="TableParagraph"/>
              <w:ind w:left="156" w:right="230"/>
              <w:jc w:val="center"/>
              <w:rPr>
                <w:sz w:val="14"/>
              </w:rPr>
            </w:pPr>
            <w:r>
              <w:rPr>
                <w:color w:val="231F20"/>
                <w:w w:val="105"/>
                <w:sz w:val="14"/>
              </w:rPr>
              <w:t>Interventional</w:t>
            </w:r>
          </w:p>
        </w:tc>
        <w:tc>
          <w:tcPr>
            <w:tcW w:w="2563" w:type="dxa"/>
          </w:tcPr>
          <w:p>
            <w:pPr>
              <w:pStyle w:val="TableParagraph"/>
              <w:ind w:left="876" w:right="866"/>
              <w:jc w:val="center"/>
              <w:rPr>
                <w:sz w:val="14"/>
              </w:rPr>
            </w:pPr>
            <w:r>
              <w:rPr>
                <w:color w:val="231F20"/>
                <w:w w:val="115"/>
                <w:sz w:val="14"/>
              </w:rPr>
              <w:t>155 (17.7%)</w:t>
            </w:r>
          </w:p>
        </w:tc>
        <w:tc>
          <w:tcPr>
            <w:tcW w:w="2963" w:type="dxa"/>
          </w:tcPr>
          <w:p>
            <w:pPr>
              <w:pStyle w:val="TableParagraph"/>
              <w:spacing w:line="252" w:lineRule="auto"/>
              <w:ind w:left="257" w:right="539" w:hanging="1"/>
              <w:rPr>
                <w:sz w:val="14"/>
              </w:rPr>
            </w:pPr>
            <w:r>
              <w:rPr>
                <w:color w:val="231F20"/>
                <w:w w:val="105"/>
                <w:sz w:val="14"/>
              </w:rPr>
              <w:t>Naïve, no cirrhosis, treated with SMV + SOF</w:t>
            </w:r>
          </w:p>
        </w:tc>
        <w:tc>
          <w:tcPr>
            <w:tcW w:w="1437" w:type="dxa"/>
            <w:gridSpan w:val="2"/>
            <w:tcBorders>
              <w:right w:val="single" w:sz="6" w:space="0" w:color="231F20"/>
            </w:tcBorders>
          </w:tcPr>
          <w:p>
            <w:pPr>
              <w:pStyle w:val="TableParagraph"/>
              <w:ind w:left="258"/>
              <w:rPr>
                <w:sz w:val="14"/>
              </w:rPr>
            </w:pPr>
            <w:r>
              <w:rPr>
                <w:color w:val="231F20"/>
                <w:w w:val="115"/>
                <w:sz w:val="14"/>
              </w:rPr>
              <w:t>14</w:t>
            </w:r>
          </w:p>
        </w:tc>
      </w:tr>
      <w:tr>
        <w:trPr>
          <w:trHeight w:val="479" w:hRule="atLeast"/>
        </w:trPr>
        <w:tc>
          <w:tcPr>
            <w:tcW w:w="1756" w:type="dxa"/>
            <w:tcBorders>
              <w:left w:val="single" w:sz="6" w:space="0" w:color="231F20"/>
            </w:tcBorders>
            <w:shd w:val="clear" w:color="auto" w:fill="78C693"/>
          </w:tcPr>
          <w:p>
            <w:pPr>
              <w:pStyle w:val="TableParagraph"/>
              <w:spacing w:line="252" w:lineRule="auto" w:before="66"/>
              <w:ind w:left="192" w:right="535"/>
              <w:rPr>
                <w:sz w:val="14"/>
              </w:rPr>
            </w:pPr>
            <w:r>
              <w:rPr>
                <w:color w:val="231F20"/>
                <w:w w:val="125"/>
                <w:sz w:val="14"/>
              </w:rPr>
              <w:t>NCT02268864 (COMMIT)</w:t>
            </w:r>
          </w:p>
        </w:tc>
        <w:tc>
          <w:tcPr>
            <w:tcW w:w="1469" w:type="dxa"/>
            <w:shd w:val="clear" w:color="auto" w:fill="78C693"/>
          </w:tcPr>
          <w:p>
            <w:pPr>
              <w:pStyle w:val="TableParagraph"/>
              <w:spacing w:before="66"/>
              <w:ind w:left="156" w:right="230"/>
              <w:jc w:val="center"/>
              <w:rPr>
                <w:sz w:val="14"/>
              </w:rPr>
            </w:pPr>
            <w:r>
              <w:rPr>
                <w:color w:val="231F20"/>
                <w:w w:val="105"/>
                <w:sz w:val="14"/>
              </w:rPr>
              <w:t>Interventional</w:t>
            </w:r>
          </w:p>
        </w:tc>
        <w:tc>
          <w:tcPr>
            <w:tcW w:w="2563" w:type="dxa"/>
            <w:shd w:val="clear" w:color="auto" w:fill="78C693"/>
          </w:tcPr>
          <w:p>
            <w:pPr>
              <w:pStyle w:val="TableParagraph"/>
              <w:spacing w:before="66"/>
              <w:ind w:left="876" w:right="866"/>
              <w:jc w:val="center"/>
              <w:rPr>
                <w:sz w:val="14"/>
              </w:rPr>
            </w:pPr>
            <w:r>
              <w:rPr>
                <w:color w:val="231F20"/>
                <w:w w:val="115"/>
                <w:sz w:val="14"/>
              </w:rPr>
              <w:t>106 (12.1%)</w:t>
            </w:r>
          </w:p>
        </w:tc>
        <w:tc>
          <w:tcPr>
            <w:tcW w:w="2963" w:type="dxa"/>
            <w:shd w:val="clear" w:color="auto" w:fill="78C693"/>
          </w:tcPr>
          <w:p>
            <w:pPr>
              <w:pStyle w:val="TableParagraph"/>
              <w:spacing w:line="252" w:lineRule="auto" w:before="66"/>
              <w:ind w:left="257" w:right="539" w:hanging="1"/>
              <w:rPr>
                <w:sz w:val="14"/>
              </w:rPr>
            </w:pPr>
            <w:r>
              <w:rPr>
                <w:color w:val="231F20"/>
                <w:w w:val="110"/>
                <w:sz w:val="14"/>
              </w:rPr>
              <w:t>Naïve, treated with SMV + DCV in GT 1b</w:t>
            </w:r>
          </w:p>
        </w:tc>
        <w:tc>
          <w:tcPr>
            <w:tcW w:w="1437" w:type="dxa"/>
            <w:gridSpan w:val="2"/>
            <w:tcBorders>
              <w:right w:val="single" w:sz="6" w:space="0" w:color="231F20"/>
            </w:tcBorders>
            <w:shd w:val="clear" w:color="auto" w:fill="78C693"/>
          </w:tcPr>
          <w:p>
            <w:pPr>
              <w:pStyle w:val="TableParagraph"/>
              <w:spacing w:before="66"/>
              <w:ind w:left="258"/>
              <w:rPr>
                <w:sz w:val="14"/>
              </w:rPr>
            </w:pPr>
            <w:r>
              <w:rPr>
                <w:color w:val="231F20"/>
                <w:w w:val="115"/>
                <w:sz w:val="14"/>
              </w:rPr>
              <w:t>18</w:t>
            </w:r>
          </w:p>
        </w:tc>
      </w:tr>
      <w:tr>
        <w:trPr>
          <w:trHeight w:val="479" w:hRule="atLeast"/>
        </w:trPr>
        <w:tc>
          <w:tcPr>
            <w:tcW w:w="1756" w:type="dxa"/>
            <w:tcBorders>
              <w:left w:val="single" w:sz="6" w:space="0" w:color="231F20"/>
            </w:tcBorders>
          </w:tcPr>
          <w:p>
            <w:pPr>
              <w:pStyle w:val="TableParagraph"/>
              <w:spacing w:line="252" w:lineRule="auto"/>
              <w:ind w:left="192" w:right="546"/>
              <w:rPr>
                <w:sz w:val="14"/>
              </w:rPr>
            </w:pPr>
            <w:r>
              <w:rPr>
                <w:color w:val="231F20"/>
                <w:w w:val="125"/>
                <w:sz w:val="14"/>
              </w:rPr>
              <w:t>NCT02114151 (OPTIMIST-2)</w:t>
            </w:r>
          </w:p>
        </w:tc>
        <w:tc>
          <w:tcPr>
            <w:tcW w:w="1469" w:type="dxa"/>
          </w:tcPr>
          <w:p>
            <w:pPr>
              <w:pStyle w:val="TableParagraph"/>
              <w:ind w:left="156" w:right="230"/>
              <w:jc w:val="center"/>
              <w:rPr>
                <w:sz w:val="14"/>
              </w:rPr>
            </w:pPr>
            <w:r>
              <w:rPr>
                <w:color w:val="231F20"/>
                <w:w w:val="105"/>
                <w:sz w:val="14"/>
              </w:rPr>
              <w:t>Interventional</w:t>
            </w:r>
          </w:p>
        </w:tc>
        <w:tc>
          <w:tcPr>
            <w:tcW w:w="2563" w:type="dxa"/>
          </w:tcPr>
          <w:p>
            <w:pPr>
              <w:pStyle w:val="TableParagraph"/>
              <w:ind w:left="876" w:right="866"/>
              <w:jc w:val="center"/>
              <w:rPr>
                <w:sz w:val="14"/>
              </w:rPr>
            </w:pPr>
            <w:r>
              <w:rPr>
                <w:color w:val="231F20"/>
                <w:w w:val="115"/>
                <w:sz w:val="14"/>
              </w:rPr>
              <w:t>103 (11.8%)</w:t>
            </w:r>
          </w:p>
        </w:tc>
        <w:tc>
          <w:tcPr>
            <w:tcW w:w="2963" w:type="dxa"/>
          </w:tcPr>
          <w:p>
            <w:pPr>
              <w:pStyle w:val="TableParagraph"/>
              <w:spacing w:line="252" w:lineRule="auto"/>
              <w:ind w:left="257" w:right="333" w:hanging="1"/>
              <w:rPr>
                <w:sz w:val="14"/>
              </w:rPr>
            </w:pPr>
            <w:r>
              <w:rPr>
                <w:color w:val="231F20"/>
                <w:w w:val="105"/>
                <w:sz w:val="14"/>
              </w:rPr>
              <w:t>DAA-naïve, with cirrhosis, treated with SMV + SOF</w:t>
            </w:r>
          </w:p>
        </w:tc>
        <w:tc>
          <w:tcPr>
            <w:tcW w:w="1437" w:type="dxa"/>
            <w:gridSpan w:val="2"/>
            <w:tcBorders>
              <w:right w:val="single" w:sz="6" w:space="0" w:color="231F20"/>
            </w:tcBorders>
          </w:tcPr>
          <w:p>
            <w:pPr>
              <w:pStyle w:val="TableParagraph"/>
              <w:ind w:left="258"/>
              <w:rPr>
                <w:sz w:val="14"/>
              </w:rPr>
            </w:pPr>
            <w:r>
              <w:rPr>
                <w:color w:val="231F20"/>
                <w:w w:val="115"/>
                <w:sz w:val="14"/>
              </w:rPr>
              <w:t>15</w:t>
            </w:r>
          </w:p>
        </w:tc>
      </w:tr>
      <w:tr>
        <w:trPr>
          <w:trHeight w:val="480" w:hRule="atLeast"/>
        </w:trPr>
        <w:tc>
          <w:tcPr>
            <w:tcW w:w="1756" w:type="dxa"/>
            <w:tcBorders>
              <w:left w:val="single" w:sz="6" w:space="0" w:color="231F20"/>
            </w:tcBorders>
            <w:shd w:val="clear" w:color="auto" w:fill="78C693"/>
          </w:tcPr>
          <w:p>
            <w:pPr>
              <w:pStyle w:val="TableParagraph"/>
              <w:spacing w:line="252" w:lineRule="auto" w:before="67"/>
              <w:ind w:left="192" w:right="535"/>
              <w:rPr>
                <w:sz w:val="14"/>
              </w:rPr>
            </w:pPr>
            <w:r>
              <w:rPr>
                <w:color w:val="231F20"/>
                <w:w w:val="125"/>
                <w:sz w:val="14"/>
              </w:rPr>
              <w:t>NCT02165189 </w:t>
            </w:r>
            <w:r>
              <w:rPr>
                <w:color w:val="231F20"/>
                <w:w w:val="130"/>
                <w:sz w:val="14"/>
              </w:rPr>
              <w:t>(GALAXY)</w:t>
            </w:r>
          </w:p>
        </w:tc>
        <w:tc>
          <w:tcPr>
            <w:tcW w:w="1469" w:type="dxa"/>
            <w:shd w:val="clear" w:color="auto" w:fill="78C693"/>
          </w:tcPr>
          <w:p>
            <w:pPr>
              <w:pStyle w:val="TableParagraph"/>
              <w:spacing w:before="67"/>
              <w:ind w:left="156" w:right="230"/>
              <w:jc w:val="center"/>
              <w:rPr>
                <w:sz w:val="14"/>
              </w:rPr>
            </w:pPr>
            <w:r>
              <w:rPr>
                <w:color w:val="231F20"/>
                <w:w w:val="105"/>
                <w:sz w:val="14"/>
              </w:rPr>
              <w:t>Interventional</w:t>
            </w:r>
          </w:p>
        </w:tc>
        <w:tc>
          <w:tcPr>
            <w:tcW w:w="2563" w:type="dxa"/>
            <w:shd w:val="clear" w:color="auto" w:fill="78C693"/>
          </w:tcPr>
          <w:p>
            <w:pPr>
              <w:pStyle w:val="TableParagraph"/>
              <w:spacing w:before="67"/>
              <w:ind w:left="876" w:right="865"/>
              <w:jc w:val="center"/>
              <w:rPr>
                <w:sz w:val="14"/>
              </w:rPr>
            </w:pPr>
            <w:r>
              <w:rPr>
                <w:color w:val="231F20"/>
                <w:w w:val="115"/>
                <w:sz w:val="14"/>
              </w:rPr>
              <w:t>46 (5.3%)</w:t>
            </w:r>
          </w:p>
        </w:tc>
        <w:tc>
          <w:tcPr>
            <w:tcW w:w="2963" w:type="dxa"/>
            <w:shd w:val="clear" w:color="auto" w:fill="78C693"/>
          </w:tcPr>
          <w:p>
            <w:pPr>
              <w:pStyle w:val="TableParagraph"/>
              <w:spacing w:line="252" w:lineRule="auto" w:before="67"/>
              <w:ind w:left="257" w:right="333" w:hanging="1"/>
              <w:rPr>
                <w:sz w:val="14"/>
              </w:rPr>
            </w:pPr>
            <w:r>
              <w:rPr>
                <w:color w:val="231F20"/>
                <w:w w:val="105"/>
                <w:sz w:val="14"/>
              </w:rPr>
              <w:t>Liver transplant, treated with SMV + SOF ± RBV</w:t>
            </w:r>
          </w:p>
        </w:tc>
        <w:tc>
          <w:tcPr>
            <w:tcW w:w="1437" w:type="dxa"/>
            <w:gridSpan w:val="2"/>
            <w:tcBorders>
              <w:right w:val="single" w:sz="6" w:space="0" w:color="231F20"/>
            </w:tcBorders>
            <w:shd w:val="clear" w:color="auto" w:fill="78C693"/>
          </w:tcPr>
          <w:p>
            <w:pPr>
              <w:pStyle w:val="TableParagraph"/>
              <w:spacing w:before="67"/>
              <w:ind w:left="258"/>
              <w:rPr>
                <w:sz w:val="14"/>
              </w:rPr>
            </w:pPr>
            <w:r>
              <w:rPr>
                <w:color w:val="231F20"/>
                <w:w w:val="115"/>
                <w:sz w:val="14"/>
              </w:rPr>
              <w:t>20</w:t>
            </w:r>
          </w:p>
        </w:tc>
      </w:tr>
      <w:tr>
        <w:trPr>
          <w:trHeight w:val="479" w:hRule="atLeast"/>
        </w:trPr>
        <w:tc>
          <w:tcPr>
            <w:tcW w:w="1756" w:type="dxa"/>
            <w:tcBorders>
              <w:left w:val="single" w:sz="6" w:space="0" w:color="231F20"/>
            </w:tcBorders>
          </w:tcPr>
          <w:p>
            <w:pPr>
              <w:pStyle w:val="TableParagraph"/>
              <w:spacing w:line="252" w:lineRule="auto"/>
              <w:ind w:left="192" w:right="535"/>
              <w:rPr>
                <w:sz w:val="14"/>
              </w:rPr>
            </w:pPr>
            <w:r>
              <w:rPr>
                <w:color w:val="231F20"/>
                <w:w w:val="125"/>
                <w:sz w:val="14"/>
              </w:rPr>
              <w:t>NCT02278419 (OSIRIS)</w:t>
            </w:r>
          </w:p>
        </w:tc>
        <w:tc>
          <w:tcPr>
            <w:tcW w:w="1469" w:type="dxa"/>
          </w:tcPr>
          <w:p>
            <w:pPr>
              <w:pStyle w:val="TableParagraph"/>
              <w:ind w:left="157" w:right="230"/>
              <w:jc w:val="center"/>
              <w:rPr>
                <w:sz w:val="14"/>
              </w:rPr>
            </w:pPr>
            <w:r>
              <w:rPr>
                <w:color w:val="231F20"/>
                <w:w w:val="105"/>
                <w:sz w:val="14"/>
              </w:rPr>
              <w:t>Interventional</w:t>
            </w:r>
          </w:p>
        </w:tc>
        <w:tc>
          <w:tcPr>
            <w:tcW w:w="2563" w:type="dxa"/>
          </w:tcPr>
          <w:p>
            <w:pPr>
              <w:pStyle w:val="TableParagraph"/>
              <w:ind w:left="876" w:right="863"/>
              <w:jc w:val="center"/>
              <w:rPr>
                <w:sz w:val="14"/>
              </w:rPr>
            </w:pPr>
            <w:r>
              <w:rPr>
                <w:color w:val="231F20"/>
                <w:w w:val="115"/>
                <w:sz w:val="14"/>
              </w:rPr>
              <w:t>43 (4.9%)</w:t>
            </w:r>
          </w:p>
        </w:tc>
        <w:tc>
          <w:tcPr>
            <w:tcW w:w="2963" w:type="dxa"/>
          </w:tcPr>
          <w:p>
            <w:pPr>
              <w:pStyle w:val="TableParagraph"/>
              <w:spacing w:line="252" w:lineRule="auto"/>
              <w:ind w:left="257"/>
              <w:rPr>
                <w:sz w:val="14"/>
              </w:rPr>
            </w:pPr>
            <w:r>
              <w:rPr>
                <w:color w:val="231F20"/>
                <w:w w:val="110"/>
                <w:sz w:val="14"/>
              </w:rPr>
              <w:t>Naïve or experienced Egyptians, GT 4, treated with SMV + SOF</w:t>
            </w:r>
          </w:p>
        </w:tc>
        <w:tc>
          <w:tcPr>
            <w:tcW w:w="1437" w:type="dxa"/>
            <w:gridSpan w:val="2"/>
            <w:tcBorders>
              <w:right w:val="single" w:sz="6" w:space="0" w:color="231F20"/>
            </w:tcBorders>
          </w:tcPr>
          <w:p>
            <w:pPr>
              <w:pStyle w:val="TableParagraph"/>
              <w:ind w:left="258"/>
              <w:rPr>
                <w:sz w:val="14"/>
              </w:rPr>
            </w:pPr>
            <w:r>
              <w:rPr>
                <w:color w:val="231F20"/>
                <w:w w:val="115"/>
                <w:sz w:val="14"/>
              </w:rPr>
              <w:t>16</w:t>
            </w:r>
          </w:p>
        </w:tc>
      </w:tr>
      <w:tr>
        <w:trPr>
          <w:trHeight w:val="659" w:hRule="atLeast"/>
        </w:trPr>
        <w:tc>
          <w:tcPr>
            <w:tcW w:w="1756" w:type="dxa"/>
            <w:tcBorders>
              <w:left w:val="single" w:sz="6" w:space="0" w:color="231F20"/>
            </w:tcBorders>
            <w:shd w:val="clear" w:color="auto" w:fill="78C693"/>
          </w:tcPr>
          <w:p>
            <w:pPr>
              <w:pStyle w:val="TableParagraph"/>
              <w:spacing w:line="252" w:lineRule="auto" w:before="66"/>
              <w:ind w:left="191" w:right="536"/>
              <w:rPr>
                <w:sz w:val="14"/>
              </w:rPr>
            </w:pPr>
            <w:r>
              <w:rPr>
                <w:color w:val="231F20"/>
                <w:w w:val="125"/>
                <w:sz w:val="14"/>
              </w:rPr>
              <w:t>NCT02262728 (IMPACT)</w:t>
            </w:r>
          </w:p>
        </w:tc>
        <w:tc>
          <w:tcPr>
            <w:tcW w:w="1469" w:type="dxa"/>
            <w:shd w:val="clear" w:color="auto" w:fill="78C693"/>
          </w:tcPr>
          <w:p>
            <w:pPr>
              <w:pStyle w:val="TableParagraph"/>
              <w:spacing w:before="66"/>
              <w:ind w:left="156" w:right="230"/>
              <w:jc w:val="center"/>
              <w:rPr>
                <w:sz w:val="14"/>
              </w:rPr>
            </w:pPr>
            <w:r>
              <w:rPr>
                <w:color w:val="231F20"/>
                <w:w w:val="105"/>
                <w:sz w:val="14"/>
              </w:rPr>
              <w:t>Interventional</w:t>
            </w:r>
          </w:p>
        </w:tc>
        <w:tc>
          <w:tcPr>
            <w:tcW w:w="2563" w:type="dxa"/>
            <w:shd w:val="clear" w:color="auto" w:fill="78C693"/>
          </w:tcPr>
          <w:p>
            <w:pPr>
              <w:pStyle w:val="TableParagraph"/>
              <w:spacing w:before="66"/>
              <w:ind w:left="876" w:right="864"/>
              <w:jc w:val="center"/>
              <w:rPr>
                <w:sz w:val="14"/>
              </w:rPr>
            </w:pPr>
            <w:r>
              <w:rPr>
                <w:color w:val="231F20"/>
                <w:w w:val="115"/>
                <w:sz w:val="14"/>
              </w:rPr>
              <w:t>40 (4.6%)</w:t>
            </w:r>
          </w:p>
        </w:tc>
        <w:tc>
          <w:tcPr>
            <w:tcW w:w="2963" w:type="dxa"/>
            <w:shd w:val="clear" w:color="auto" w:fill="78C693"/>
          </w:tcPr>
          <w:p>
            <w:pPr>
              <w:pStyle w:val="TableParagraph"/>
              <w:spacing w:line="252" w:lineRule="auto" w:before="66"/>
              <w:ind w:left="257" w:right="88" w:hanging="1"/>
              <w:rPr>
                <w:sz w:val="14"/>
              </w:rPr>
            </w:pPr>
            <w:r>
              <w:rPr>
                <w:color w:val="231F20"/>
                <w:w w:val="110"/>
                <w:sz w:val="14"/>
              </w:rPr>
              <w:t>Cirrhosis, decompensated liver disease, GT 1 and 4, treated with SMV + SOF</w:t>
            </w:r>
          </w:p>
          <w:p>
            <w:pPr>
              <w:pStyle w:val="TableParagraph"/>
              <w:spacing w:before="2"/>
              <w:ind w:left="257"/>
              <w:rPr>
                <w:sz w:val="14"/>
              </w:rPr>
            </w:pPr>
            <w:r>
              <w:rPr>
                <w:color w:val="231F20"/>
                <w:w w:val="115"/>
                <w:sz w:val="14"/>
              </w:rPr>
              <w:t>+ DCV</w:t>
            </w:r>
          </w:p>
        </w:tc>
        <w:tc>
          <w:tcPr>
            <w:tcW w:w="1437" w:type="dxa"/>
            <w:gridSpan w:val="2"/>
            <w:tcBorders>
              <w:right w:val="single" w:sz="6" w:space="0" w:color="231F20"/>
            </w:tcBorders>
            <w:shd w:val="clear" w:color="auto" w:fill="78C693"/>
          </w:tcPr>
          <w:p>
            <w:pPr>
              <w:pStyle w:val="TableParagraph"/>
              <w:spacing w:before="66"/>
              <w:ind w:left="258"/>
              <w:rPr>
                <w:sz w:val="14"/>
              </w:rPr>
            </w:pPr>
            <w:r>
              <w:rPr>
                <w:color w:val="231F20"/>
                <w:w w:val="115"/>
                <w:sz w:val="14"/>
              </w:rPr>
              <w:t>22</w:t>
            </w:r>
          </w:p>
        </w:tc>
      </w:tr>
      <w:tr>
        <w:trPr>
          <w:trHeight w:val="479" w:hRule="atLeast"/>
        </w:trPr>
        <w:tc>
          <w:tcPr>
            <w:tcW w:w="1756" w:type="dxa"/>
            <w:tcBorders>
              <w:left w:val="single" w:sz="6" w:space="0" w:color="231F20"/>
            </w:tcBorders>
          </w:tcPr>
          <w:p>
            <w:pPr>
              <w:pStyle w:val="TableParagraph"/>
              <w:spacing w:line="252" w:lineRule="auto"/>
              <w:ind w:left="191" w:right="536"/>
              <w:rPr>
                <w:sz w:val="14"/>
              </w:rPr>
            </w:pPr>
            <w:r>
              <w:rPr>
                <w:color w:val="231F20"/>
                <w:w w:val="125"/>
                <w:sz w:val="14"/>
              </w:rPr>
              <w:t>NCT02250807 (PLUTO)</w:t>
            </w:r>
          </w:p>
        </w:tc>
        <w:tc>
          <w:tcPr>
            <w:tcW w:w="1469" w:type="dxa"/>
          </w:tcPr>
          <w:p>
            <w:pPr>
              <w:pStyle w:val="TableParagraph"/>
              <w:ind w:left="157" w:right="230"/>
              <w:jc w:val="center"/>
              <w:rPr>
                <w:sz w:val="14"/>
              </w:rPr>
            </w:pPr>
            <w:r>
              <w:rPr>
                <w:color w:val="231F20"/>
                <w:w w:val="105"/>
                <w:sz w:val="14"/>
              </w:rPr>
              <w:t>Interventional</w:t>
            </w:r>
          </w:p>
        </w:tc>
        <w:tc>
          <w:tcPr>
            <w:tcW w:w="2563" w:type="dxa"/>
          </w:tcPr>
          <w:p>
            <w:pPr>
              <w:pStyle w:val="TableParagraph"/>
              <w:ind w:left="876" w:right="863"/>
              <w:jc w:val="center"/>
              <w:rPr>
                <w:sz w:val="14"/>
              </w:rPr>
            </w:pPr>
            <w:r>
              <w:rPr>
                <w:color w:val="231F20"/>
                <w:w w:val="115"/>
                <w:sz w:val="14"/>
              </w:rPr>
              <w:t>40 (4.6%)</w:t>
            </w:r>
          </w:p>
        </w:tc>
        <w:tc>
          <w:tcPr>
            <w:tcW w:w="2963" w:type="dxa"/>
          </w:tcPr>
          <w:p>
            <w:pPr>
              <w:pStyle w:val="TableParagraph"/>
              <w:spacing w:line="252" w:lineRule="auto"/>
              <w:ind w:left="257" w:right="333"/>
              <w:rPr>
                <w:sz w:val="14"/>
              </w:rPr>
            </w:pPr>
            <w:r>
              <w:rPr>
                <w:color w:val="231F20"/>
                <w:w w:val="110"/>
                <w:sz w:val="14"/>
              </w:rPr>
              <w:t>Naïve or experienced, GT 4, treated with SMV + SOF</w:t>
            </w:r>
          </w:p>
        </w:tc>
        <w:tc>
          <w:tcPr>
            <w:tcW w:w="1437" w:type="dxa"/>
            <w:gridSpan w:val="2"/>
            <w:tcBorders>
              <w:right w:val="single" w:sz="6" w:space="0" w:color="231F20"/>
            </w:tcBorders>
          </w:tcPr>
          <w:p>
            <w:pPr>
              <w:pStyle w:val="TableParagraph"/>
              <w:ind w:left="258"/>
              <w:rPr>
                <w:sz w:val="14"/>
              </w:rPr>
            </w:pPr>
            <w:r>
              <w:rPr>
                <w:color w:val="231F20"/>
                <w:w w:val="115"/>
                <w:sz w:val="14"/>
              </w:rPr>
              <w:t>17</w:t>
            </w:r>
          </w:p>
        </w:tc>
      </w:tr>
      <w:tr>
        <w:trPr>
          <w:trHeight w:val="480" w:hRule="atLeast"/>
        </w:trPr>
        <w:tc>
          <w:tcPr>
            <w:tcW w:w="1756" w:type="dxa"/>
            <w:tcBorders>
              <w:left w:val="single" w:sz="6" w:space="0" w:color="231F20"/>
              <w:bottom w:val="single" w:sz="4" w:space="0" w:color="231F20"/>
            </w:tcBorders>
            <w:shd w:val="clear" w:color="auto" w:fill="78C693"/>
          </w:tcPr>
          <w:p>
            <w:pPr>
              <w:pStyle w:val="TableParagraph"/>
              <w:spacing w:line="252" w:lineRule="auto" w:before="67"/>
              <w:ind w:left="191" w:right="536"/>
              <w:rPr>
                <w:sz w:val="14"/>
              </w:rPr>
            </w:pPr>
            <w:r>
              <w:rPr>
                <w:color w:val="231F20"/>
                <w:w w:val="125"/>
                <w:sz w:val="14"/>
              </w:rPr>
              <w:t>NCT01938625 (SATURN)</w:t>
            </w:r>
          </w:p>
        </w:tc>
        <w:tc>
          <w:tcPr>
            <w:tcW w:w="1469" w:type="dxa"/>
            <w:tcBorders>
              <w:bottom w:val="single" w:sz="4" w:space="0" w:color="231F20"/>
            </w:tcBorders>
            <w:shd w:val="clear" w:color="auto" w:fill="78C693"/>
          </w:tcPr>
          <w:p>
            <w:pPr>
              <w:pStyle w:val="TableParagraph"/>
              <w:spacing w:before="67"/>
              <w:ind w:left="156" w:right="230"/>
              <w:jc w:val="center"/>
              <w:rPr>
                <w:sz w:val="14"/>
              </w:rPr>
            </w:pPr>
            <w:r>
              <w:rPr>
                <w:color w:val="231F20"/>
                <w:w w:val="105"/>
                <w:sz w:val="14"/>
              </w:rPr>
              <w:t>Interventional</w:t>
            </w:r>
          </w:p>
        </w:tc>
        <w:tc>
          <w:tcPr>
            <w:tcW w:w="2563" w:type="dxa"/>
            <w:tcBorders>
              <w:bottom w:val="single" w:sz="4" w:space="0" w:color="231F20"/>
            </w:tcBorders>
            <w:shd w:val="clear" w:color="auto" w:fill="78C693"/>
          </w:tcPr>
          <w:p>
            <w:pPr>
              <w:pStyle w:val="TableParagraph"/>
              <w:spacing w:before="67"/>
              <w:ind w:left="876" w:right="863"/>
              <w:jc w:val="center"/>
              <w:rPr>
                <w:sz w:val="14"/>
              </w:rPr>
            </w:pPr>
            <w:r>
              <w:rPr>
                <w:color w:val="231F20"/>
                <w:w w:val="115"/>
                <w:sz w:val="14"/>
              </w:rPr>
              <w:t>35 (4.0%)</w:t>
            </w:r>
          </w:p>
        </w:tc>
        <w:tc>
          <w:tcPr>
            <w:tcW w:w="2963" w:type="dxa"/>
            <w:tcBorders>
              <w:bottom w:val="single" w:sz="4" w:space="0" w:color="231F20"/>
            </w:tcBorders>
            <w:shd w:val="clear" w:color="auto" w:fill="78C693"/>
          </w:tcPr>
          <w:p>
            <w:pPr>
              <w:pStyle w:val="TableParagraph"/>
              <w:spacing w:line="252" w:lineRule="auto" w:before="67"/>
              <w:ind w:left="257" w:right="333"/>
              <w:rPr>
                <w:sz w:val="14"/>
              </w:rPr>
            </w:pPr>
            <w:r>
              <w:rPr>
                <w:color w:val="231F20"/>
                <w:w w:val="105"/>
                <w:sz w:val="14"/>
              </w:rPr>
              <w:t>Liver transplant, GT 1b, treated with SMV + DCV + RBV</w:t>
            </w:r>
          </w:p>
        </w:tc>
        <w:tc>
          <w:tcPr>
            <w:tcW w:w="1437" w:type="dxa"/>
            <w:gridSpan w:val="2"/>
            <w:tcBorders>
              <w:bottom w:val="single" w:sz="4" w:space="0" w:color="231F20"/>
              <w:right w:val="single" w:sz="6" w:space="0" w:color="231F20"/>
            </w:tcBorders>
            <w:shd w:val="clear" w:color="auto" w:fill="78C693"/>
          </w:tcPr>
          <w:p>
            <w:pPr>
              <w:pStyle w:val="TableParagraph"/>
              <w:spacing w:before="67"/>
              <w:ind w:left="258"/>
              <w:rPr>
                <w:sz w:val="14"/>
              </w:rPr>
            </w:pPr>
            <w:r>
              <w:rPr>
                <w:color w:val="231F20"/>
                <w:w w:val="115"/>
                <w:sz w:val="14"/>
              </w:rPr>
              <w:t>21</w:t>
            </w:r>
          </w:p>
        </w:tc>
      </w:tr>
    </w:tbl>
    <w:p>
      <w:pPr>
        <w:spacing w:before="58"/>
        <w:ind w:left="289" w:right="0" w:firstLine="0"/>
        <w:jc w:val="left"/>
        <w:rPr>
          <w:rFonts w:ascii="Calibri"/>
          <w:sz w:val="15"/>
        </w:rPr>
      </w:pPr>
      <w:r>
        <w:rPr>
          <w:rFonts w:ascii="Calibri"/>
          <w:color w:val="231F20"/>
          <w:w w:val="110"/>
          <w:sz w:val="15"/>
        </w:rPr>
        <w:t>DAA, direct-acting antiviral agents; DCV, daclatasvir; GT, HCV genotype; RBV, ribavirin; SMV, simeprevir; SOF, sofosbuvir</w:t>
      </w:r>
    </w:p>
    <w:p>
      <w:pPr>
        <w:pStyle w:val="BodyText"/>
        <w:ind w:left="0"/>
        <w:rPr>
          <w:rFonts w:ascii="Calibri"/>
          <w:sz w:val="20"/>
        </w:rPr>
      </w:pPr>
    </w:p>
    <w:p>
      <w:pPr>
        <w:pStyle w:val="BodyText"/>
        <w:spacing w:before="11"/>
        <w:ind w:left="0"/>
        <w:rPr>
          <w:rFonts w:ascii="Calibri"/>
          <w:sz w:val="29"/>
        </w:rPr>
      </w:pPr>
    </w:p>
    <w:p>
      <w:pPr>
        <w:spacing w:after="0"/>
        <w:rPr>
          <w:rFonts w:ascii="Calibri"/>
          <w:sz w:val="29"/>
        </w:rPr>
        <w:sectPr>
          <w:pgSz w:w="11880" w:h="15670"/>
          <w:pgMar w:header="462" w:footer="669" w:top="980" w:bottom="860" w:left="740" w:right="720"/>
        </w:sectPr>
      </w:pPr>
    </w:p>
    <w:p>
      <w:pPr>
        <w:pStyle w:val="BodyText"/>
        <w:spacing w:line="230" w:lineRule="auto" w:before="88"/>
        <w:ind w:right="38"/>
        <w:jc w:val="both"/>
      </w:pPr>
      <w:r>
        <w:rPr>
          <w:color w:val="231F20"/>
          <w:w w:val="105"/>
        </w:rPr>
        <w:t>DDIs: antihypertensive drugs (AHDs), anxiolytic drugs (AXDs)</w:t>
      </w:r>
      <w:r>
        <w:rPr>
          <w:color w:val="231F20"/>
          <w:spacing w:val="-15"/>
          <w:w w:val="105"/>
        </w:rPr>
        <w:t> </w:t>
      </w:r>
      <w:r>
        <w:rPr>
          <w:color w:val="231F20"/>
          <w:w w:val="105"/>
        </w:rPr>
        <w:t>and</w:t>
      </w:r>
      <w:r>
        <w:rPr>
          <w:color w:val="231F20"/>
          <w:spacing w:val="-15"/>
          <w:w w:val="105"/>
        </w:rPr>
        <w:t> </w:t>
      </w:r>
      <w:r>
        <w:rPr>
          <w:color w:val="231F20"/>
          <w:w w:val="105"/>
        </w:rPr>
        <w:t>lipid-lowering</w:t>
      </w:r>
      <w:r>
        <w:rPr>
          <w:color w:val="231F20"/>
          <w:spacing w:val="-15"/>
          <w:w w:val="105"/>
        </w:rPr>
        <w:t> </w:t>
      </w:r>
      <w:r>
        <w:rPr>
          <w:color w:val="231F20"/>
          <w:w w:val="105"/>
        </w:rPr>
        <w:t>drugs</w:t>
      </w:r>
      <w:r>
        <w:rPr>
          <w:color w:val="231F20"/>
          <w:spacing w:val="-15"/>
          <w:w w:val="105"/>
        </w:rPr>
        <w:t> </w:t>
      </w:r>
      <w:r>
        <w:rPr>
          <w:color w:val="231F20"/>
          <w:w w:val="105"/>
        </w:rPr>
        <w:t>(LLDs).</w:t>
      </w:r>
      <w:r>
        <w:rPr>
          <w:color w:val="231F20"/>
          <w:spacing w:val="-15"/>
          <w:w w:val="105"/>
        </w:rPr>
        <w:t> </w:t>
      </w:r>
      <w:r>
        <w:rPr>
          <w:color w:val="231F20"/>
          <w:w w:val="105"/>
        </w:rPr>
        <w:t>Some</w:t>
      </w:r>
      <w:r>
        <w:rPr>
          <w:color w:val="231F20"/>
          <w:spacing w:val="-15"/>
          <w:w w:val="105"/>
        </w:rPr>
        <w:t> </w:t>
      </w:r>
      <w:r>
        <w:rPr>
          <w:color w:val="231F20"/>
          <w:w w:val="105"/>
        </w:rPr>
        <w:t>of</w:t>
      </w:r>
      <w:r>
        <w:rPr>
          <w:color w:val="231F20"/>
          <w:spacing w:val="-15"/>
          <w:w w:val="105"/>
        </w:rPr>
        <w:t> </w:t>
      </w:r>
      <w:r>
        <w:rPr>
          <w:color w:val="231F20"/>
          <w:w w:val="105"/>
        </w:rPr>
        <w:t>these</w:t>
      </w:r>
      <w:r>
        <w:rPr>
          <w:color w:val="231F20"/>
          <w:spacing w:val="-15"/>
          <w:w w:val="105"/>
        </w:rPr>
        <w:t> </w:t>
      </w:r>
      <w:r>
        <w:rPr>
          <w:color w:val="231F20"/>
          <w:w w:val="105"/>
        </w:rPr>
        <w:t>drugs have known or potential DDIs with SMV, either as victims (SMV affects the concentration of other drugs, particularly with a narrow therapeutic window </w:t>
      </w:r>
      <w:r>
        <w:rPr>
          <w:rFonts w:ascii="Lucida Sans" w:hAnsi="Lucida Sans"/>
          <w:color w:val="231F20"/>
          <w:w w:val="105"/>
        </w:rPr>
        <w:t>– </w:t>
      </w:r>
      <w:r>
        <w:rPr>
          <w:rFonts w:ascii="Book Antiqua" w:hAnsi="Book Antiqua"/>
          <w:i/>
          <w:color w:val="231F20"/>
          <w:w w:val="105"/>
        </w:rPr>
        <w:t>e.g</w:t>
      </w:r>
      <w:r>
        <w:rPr>
          <w:color w:val="231F20"/>
          <w:w w:val="105"/>
        </w:rPr>
        <w:t>. calcium channel blockers,</w:t>
      </w:r>
      <w:r>
        <w:rPr>
          <w:color w:val="231F20"/>
          <w:spacing w:val="-12"/>
          <w:w w:val="105"/>
        </w:rPr>
        <w:t> </w:t>
      </w:r>
      <w:r>
        <w:rPr>
          <w:color w:val="231F20"/>
          <w:w w:val="105"/>
        </w:rPr>
        <w:t>statins,</w:t>
      </w:r>
      <w:r>
        <w:rPr>
          <w:color w:val="231F20"/>
          <w:spacing w:val="-11"/>
          <w:w w:val="105"/>
        </w:rPr>
        <w:t> </w:t>
      </w:r>
      <w:r>
        <w:rPr>
          <w:color w:val="231F20"/>
          <w:w w:val="105"/>
        </w:rPr>
        <w:t>anxiolytics)</w:t>
      </w:r>
      <w:r>
        <w:rPr>
          <w:color w:val="231F20"/>
          <w:spacing w:val="-11"/>
          <w:w w:val="105"/>
        </w:rPr>
        <w:t> </w:t>
      </w:r>
      <w:r>
        <w:rPr>
          <w:color w:val="231F20"/>
          <w:w w:val="105"/>
        </w:rPr>
        <w:t>or</w:t>
      </w:r>
      <w:r>
        <w:rPr>
          <w:color w:val="231F20"/>
          <w:spacing w:val="-12"/>
          <w:w w:val="105"/>
        </w:rPr>
        <w:t> </w:t>
      </w:r>
      <w:r>
        <w:rPr>
          <w:color w:val="231F20"/>
          <w:w w:val="105"/>
        </w:rPr>
        <w:t>as</w:t>
      </w:r>
      <w:r>
        <w:rPr>
          <w:color w:val="231F20"/>
          <w:spacing w:val="-10"/>
          <w:w w:val="105"/>
        </w:rPr>
        <w:t> </w:t>
      </w:r>
      <w:r>
        <w:rPr>
          <w:color w:val="231F20"/>
          <w:w w:val="105"/>
        </w:rPr>
        <w:t>perpetrators</w:t>
      </w:r>
      <w:r>
        <w:rPr>
          <w:color w:val="231F20"/>
          <w:spacing w:val="-10"/>
          <w:w w:val="105"/>
        </w:rPr>
        <w:t> </w:t>
      </w:r>
      <w:r>
        <w:rPr>
          <w:color w:val="231F20"/>
          <w:w w:val="105"/>
        </w:rPr>
        <w:t>(SMV</w:t>
      </w:r>
      <w:r>
        <w:rPr>
          <w:color w:val="231F20"/>
          <w:spacing w:val="-10"/>
          <w:w w:val="105"/>
        </w:rPr>
        <w:t> </w:t>
      </w:r>
      <w:r>
        <w:rPr>
          <w:color w:val="231F20"/>
          <w:w w:val="105"/>
        </w:rPr>
        <w:t>concen- tration is affected by the other drug </w:t>
      </w:r>
      <w:r>
        <w:rPr>
          <w:rFonts w:ascii="Lucida Sans" w:hAnsi="Lucida Sans"/>
          <w:color w:val="231F20"/>
          <w:w w:val="105"/>
        </w:rPr>
        <w:t>– </w:t>
      </w:r>
      <w:r>
        <w:rPr>
          <w:color w:val="231F20"/>
          <w:w w:val="105"/>
        </w:rPr>
        <w:t>e.g. some calcium channel blockers) [4,</w:t>
      </w:r>
      <w:r>
        <w:rPr>
          <w:color w:val="231F20"/>
          <w:spacing w:val="10"/>
          <w:w w:val="105"/>
        </w:rPr>
        <w:t> </w:t>
      </w:r>
      <w:r>
        <w:rPr>
          <w:color w:val="231F20"/>
          <w:w w:val="105"/>
        </w:rPr>
        <w:t>5].</w:t>
      </w:r>
    </w:p>
    <w:p>
      <w:pPr>
        <w:pStyle w:val="BodyText"/>
        <w:spacing w:line="230" w:lineRule="auto"/>
        <w:ind w:right="40" w:firstLine="280"/>
        <w:jc w:val="both"/>
      </w:pPr>
      <w:r>
        <w:rPr>
          <w:color w:val="231F20"/>
          <w:w w:val="105"/>
        </w:rPr>
        <w:t>Treatment outcomes in patients taking drugs from more than one CMOI class were analysed in each class.</w:t>
      </w:r>
    </w:p>
    <w:p>
      <w:pPr>
        <w:pStyle w:val="BodyText"/>
        <w:spacing w:line="230" w:lineRule="auto"/>
        <w:ind w:right="38" w:firstLine="280"/>
        <w:jc w:val="both"/>
      </w:pPr>
      <w:r>
        <w:rPr>
          <w:color w:val="231F20"/>
          <w:w w:val="105"/>
        </w:rPr>
        <w:t>The</w:t>
      </w:r>
      <w:r>
        <w:rPr>
          <w:color w:val="231F20"/>
          <w:spacing w:val="-12"/>
          <w:w w:val="105"/>
        </w:rPr>
        <w:t> </w:t>
      </w:r>
      <w:r>
        <w:rPr>
          <w:color w:val="231F20"/>
          <w:w w:val="105"/>
        </w:rPr>
        <w:t>CMOIs</w:t>
      </w:r>
      <w:r>
        <w:rPr>
          <w:color w:val="231F20"/>
          <w:spacing w:val="-12"/>
          <w:w w:val="105"/>
        </w:rPr>
        <w:t> </w:t>
      </w:r>
      <w:r>
        <w:rPr>
          <w:color w:val="231F20"/>
          <w:w w:val="105"/>
        </w:rPr>
        <w:t>with</w:t>
      </w:r>
      <w:r>
        <w:rPr>
          <w:color w:val="231F20"/>
          <w:spacing w:val="-12"/>
          <w:w w:val="105"/>
        </w:rPr>
        <w:t> </w:t>
      </w:r>
      <w:r>
        <w:rPr>
          <w:color w:val="231F20"/>
          <w:w w:val="105"/>
        </w:rPr>
        <w:t>known</w:t>
      </w:r>
      <w:r>
        <w:rPr>
          <w:color w:val="231F20"/>
          <w:spacing w:val="-12"/>
          <w:w w:val="105"/>
        </w:rPr>
        <w:t> </w:t>
      </w:r>
      <w:r>
        <w:rPr>
          <w:color w:val="231F20"/>
          <w:w w:val="105"/>
        </w:rPr>
        <w:t>or</w:t>
      </w:r>
      <w:r>
        <w:rPr>
          <w:color w:val="231F20"/>
          <w:spacing w:val="-12"/>
          <w:w w:val="105"/>
        </w:rPr>
        <w:t> </w:t>
      </w:r>
      <w:r>
        <w:rPr>
          <w:color w:val="231F20"/>
          <w:w w:val="105"/>
        </w:rPr>
        <w:t>potential</w:t>
      </w:r>
      <w:r>
        <w:rPr>
          <w:color w:val="231F20"/>
          <w:spacing w:val="-12"/>
          <w:w w:val="105"/>
        </w:rPr>
        <w:t> </w:t>
      </w:r>
      <w:r>
        <w:rPr>
          <w:color w:val="231F20"/>
          <w:w w:val="105"/>
        </w:rPr>
        <w:t>DDIs</w:t>
      </w:r>
      <w:r>
        <w:rPr>
          <w:color w:val="231F20"/>
          <w:spacing w:val="-12"/>
          <w:w w:val="105"/>
        </w:rPr>
        <w:t> </w:t>
      </w:r>
      <w:r>
        <w:rPr>
          <w:color w:val="231F20"/>
          <w:w w:val="105"/>
        </w:rPr>
        <w:t>with</w:t>
      </w:r>
      <w:r>
        <w:rPr>
          <w:color w:val="231F20"/>
          <w:spacing w:val="-12"/>
          <w:w w:val="105"/>
        </w:rPr>
        <w:t> </w:t>
      </w:r>
      <w:r>
        <w:rPr>
          <w:color w:val="231F20"/>
          <w:w w:val="105"/>
        </w:rPr>
        <w:t>SMV</w:t>
      </w:r>
      <w:r>
        <w:rPr>
          <w:color w:val="231F20"/>
          <w:spacing w:val="-12"/>
          <w:w w:val="105"/>
        </w:rPr>
        <w:t> </w:t>
      </w:r>
      <w:r>
        <w:rPr>
          <w:color w:val="231F20"/>
          <w:w w:val="105"/>
        </w:rPr>
        <w:t>were labelled </w:t>
      </w:r>
      <w:r>
        <w:rPr>
          <w:rFonts w:ascii="Lucida Sans" w:hAnsi="Lucida Sans"/>
          <w:color w:val="231F20"/>
          <w:w w:val="105"/>
        </w:rPr>
        <w:t>‘</w:t>
      </w:r>
      <w:r>
        <w:rPr>
          <w:color w:val="231F20"/>
          <w:w w:val="105"/>
        </w:rPr>
        <w:t>amber</w:t>
      </w:r>
      <w:r>
        <w:rPr>
          <w:rFonts w:ascii="Lucida Sans" w:hAnsi="Lucida Sans"/>
          <w:color w:val="231F20"/>
          <w:w w:val="105"/>
        </w:rPr>
        <w:t>’</w:t>
      </w:r>
      <w:r>
        <w:rPr>
          <w:color w:val="231F20"/>
          <w:w w:val="105"/>
        </w:rPr>
        <w:t>, and CMOIs with no known or potential DDIs with SMV were labelled </w:t>
      </w:r>
      <w:r>
        <w:rPr>
          <w:rFonts w:ascii="Lucida Sans" w:hAnsi="Lucida Sans"/>
          <w:color w:val="231F20"/>
          <w:w w:val="105"/>
        </w:rPr>
        <w:t>‘</w:t>
      </w:r>
      <w:r>
        <w:rPr>
          <w:color w:val="231F20"/>
          <w:w w:val="105"/>
        </w:rPr>
        <w:t>green</w:t>
      </w:r>
      <w:r>
        <w:rPr>
          <w:rFonts w:ascii="Lucida Sans" w:hAnsi="Lucida Sans"/>
          <w:color w:val="231F20"/>
          <w:w w:val="105"/>
        </w:rPr>
        <w:t>’</w:t>
      </w:r>
      <w:r>
        <w:rPr>
          <w:color w:val="231F20"/>
          <w:w w:val="105"/>
        </w:rPr>
        <w:t>. The grouping into green and amber CMOIs was carried out according to the prescribing information for SMV [4] and the Liverpool DDI database (</w:t>
      </w:r>
      <w:hyperlink r:id="rId20">
        <w:r>
          <w:rPr>
            <w:color w:val="231F20"/>
            <w:w w:val="105"/>
          </w:rPr>
          <w:t>www.hep-druginteractions.or</w:t>
        </w:r>
      </w:hyperlink>
      <w:r>
        <w:rPr>
          <w:color w:val="231F20"/>
          <w:w w:val="105"/>
        </w:rPr>
        <w:t>g); in the absence of information from either source, expert advice was sought. Medications that are not recommended to be coadministered (</w:t>
      </w:r>
      <w:r>
        <w:rPr>
          <w:rFonts w:ascii="Lucida Sans" w:hAnsi="Lucida Sans"/>
          <w:color w:val="231F20"/>
          <w:w w:val="105"/>
        </w:rPr>
        <w:t>‘</w:t>
      </w:r>
      <w:r>
        <w:rPr>
          <w:color w:val="231F20"/>
          <w:w w:val="105"/>
        </w:rPr>
        <w:t>red</w:t>
      </w:r>
      <w:r>
        <w:rPr>
          <w:rFonts w:ascii="Lucida Sans" w:hAnsi="Lucida Sans"/>
          <w:color w:val="231F20"/>
          <w:w w:val="105"/>
        </w:rPr>
        <w:t>’</w:t>
      </w:r>
      <w:r>
        <w:rPr>
          <w:color w:val="231F20"/>
          <w:w w:val="105"/>
        </w:rPr>
        <w:t>) were disallowed in all clinical studies with SMV at study </w:t>
      </w:r>
      <w:r>
        <w:rPr>
          <w:color w:val="231F20"/>
          <w:spacing w:val="-3"/>
          <w:w w:val="105"/>
        </w:rPr>
        <w:t>entry, </w:t>
      </w:r>
      <w:r>
        <w:rPr>
          <w:color w:val="231F20"/>
          <w:w w:val="105"/>
        </w:rPr>
        <w:t>and thus this category was not considered in  the present</w:t>
      </w:r>
      <w:r>
        <w:rPr>
          <w:color w:val="231F20"/>
          <w:spacing w:val="5"/>
          <w:w w:val="105"/>
        </w:rPr>
        <w:t> </w:t>
      </w:r>
      <w:r>
        <w:rPr>
          <w:color w:val="231F20"/>
          <w:w w:val="105"/>
        </w:rPr>
        <w:t>analysis.</w:t>
      </w:r>
    </w:p>
    <w:p>
      <w:pPr>
        <w:pStyle w:val="BodyText"/>
        <w:spacing w:before="10"/>
        <w:ind w:left="0"/>
        <w:rPr>
          <w:sz w:val="16"/>
        </w:rPr>
      </w:pPr>
    </w:p>
    <w:p>
      <w:pPr>
        <w:pStyle w:val="Heading2"/>
        <w:rPr>
          <w:i/>
        </w:rPr>
      </w:pPr>
      <w:r>
        <w:rPr>
          <w:i/>
          <w:color w:val="00AB54"/>
        </w:rPr>
        <w:t>Study population</w:t>
      </w:r>
    </w:p>
    <w:p>
      <w:pPr>
        <w:pStyle w:val="BodyText"/>
        <w:spacing w:line="230" w:lineRule="auto"/>
        <w:ind w:right="38" w:hanging="1"/>
        <w:jc w:val="both"/>
      </w:pPr>
      <w:r>
        <w:rPr>
          <w:color w:val="231F20"/>
          <w:w w:val="105"/>
        </w:rPr>
        <w:t>The overall population was de</w:t>
      </w:r>
      <w:r>
        <w:rPr>
          <w:rFonts w:ascii="Times New Roman" w:hAnsi="Times New Roman"/>
          <w:color w:val="231F20"/>
          <w:w w:val="105"/>
        </w:rPr>
        <w:t>ﬁ</w:t>
      </w:r>
      <w:r>
        <w:rPr>
          <w:color w:val="231F20"/>
          <w:w w:val="105"/>
        </w:rPr>
        <w:t>ned as all study patients who had received SMV in combination with other DAAs (±RBV) and were observed for at least 12 weeks. To be included in the DDI analysis, patients also had to be receiving at least one</w:t>
      </w:r>
      <w:r>
        <w:rPr>
          <w:color w:val="231F20"/>
          <w:spacing w:val="-14"/>
          <w:w w:val="105"/>
        </w:rPr>
        <w:t> </w:t>
      </w:r>
      <w:r>
        <w:rPr>
          <w:color w:val="231F20"/>
          <w:w w:val="105"/>
        </w:rPr>
        <w:t>drug</w:t>
      </w:r>
      <w:r>
        <w:rPr>
          <w:color w:val="231F20"/>
          <w:spacing w:val="-14"/>
          <w:w w:val="105"/>
        </w:rPr>
        <w:t> </w:t>
      </w:r>
      <w:r>
        <w:rPr>
          <w:color w:val="231F20"/>
          <w:w w:val="105"/>
        </w:rPr>
        <w:t>from</w:t>
      </w:r>
      <w:r>
        <w:rPr>
          <w:color w:val="231F20"/>
          <w:spacing w:val="-14"/>
          <w:w w:val="105"/>
        </w:rPr>
        <w:t> </w:t>
      </w:r>
      <w:r>
        <w:rPr>
          <w:color w:val="231F20"/>
          <w:w w:val="105"/>
        </w:rPr>
        <w:t>a</w:t>
      </w:r>
      <w:r>
        <w:rPr>
          <w:color w:val="231F20"/>
          <w:spacing w:val="-15"/>
          <w:w w:val="105"/>
        </w:rPr>
        <w:t> </w:t>
      </w:r>
      <w:r>
        <w:rPr>
          <w:color w:val="231F20"/>
          <w:w w:val="105"/>
        </w:rPr>
        <w:t>class</w:t>
      </w:r>
      <w:r>
        <w:rPr>
          <w:color w:val="231F20"/>
          <w:spacing w:val="-13"/>
          <w:w w:val="105"/>
        </w:rPr>
        <w:t> </w:t>
      </w:r>
      <w:r>
        <w:rPr>
          <w:color w:val="231F20"/>
          <w:w w:val="105"/>
        </w:rPr>
        <w:t>of</w:t>
      </w:r>
      <w:r>
        <w:rPr>
          <w:color w:val="231F20"/>
          <w:spacing w:val="-14"/>
          <w:w w:val="105"/>
        </w:rPr>
        <w:t> </w:t>
      </w:r>
      <w:r>
        <w:rPr>
          <w:color w:val="231F20"/>
          <w:w w:val="105"/>
        </w:rPr>
        <w:t>CMOI;</w:t>
      </w:r>
      <w:r>
        <w:rPr>
          <w:color w:val="231F20"/>
          <w:spacing w:val="-15"/>
          <w:w w:val="105"/>
        </w:rPr>
        <w:t> </w:t>
      </w:r>
      <w:r>
        <w:rPr>
          <w:color w:val="231F20"/>
          <w:w w:val="105"/>
        </w:rPr>
        <w:t>patients</w:t>
      </w:r>
      <w:r>
        <w:rPr>
          <w:color w:val="231F20"/>
          <w:spacing w:val="-15"/>
          <w:w w:val="105"/>
        </w:rPr>
        <w:t> </w:t>
      </w:r>
      <w:r>
        <w:rPr>
          <w:color w:val="231F20"/>
          <w:w w:val="105"/>
        </w:rPr>
        <w:t>were</w:t>
      </w:r>
      <w:r>
        <w:rPr>
          <w:color w:val="231F20"/>
          <w:spacing w:val="-14"/>
          <w:w w:val="105"/>
        </w:rPr>
        <w:t> </w:t>
      </w:r>
      <w:r>
        <w:rPr>
          <w:color w:val="231F20"/>
          <w:w w:val="105"/>
        </w:rPr>
        <w:t>required</w:t>
      </w:r>
      <w:r>
        <w:rPr>
          <w:color w:val="231F20"/>
          <w:spacing w:val="-15"/>
          <w:w w:val="105"/>
        </w:rPr>
        <w:t> </w:t>
      </w:r>
      <w:r>
        <w:rPr>
          <w:color w:val="231F20"/>
          <w:w w:val="105"/>
        </w:rPr>
        <w:t>to</w:t>
      </w:r>
      <w:r>
        <w:rPr>
          <w:color w:val="231F20"/>
          <w:spacing w:val="-14"/>
          <w:w w:val="105"/>
        </w:rPr>
        <w:t> </w:t>
      </w:r>
      <w:r>
        <w:rPr>
          <w:color w:val="231F20"/>
          <w:w w:val="105"/>
        </w:rPr>
        <w:t>have started this CMOI before study start or screening,</w:t>
      </w:r>
      <w:r>
        <w:rPr>
          <w:color w:val="231F20"/>
          <w:spacing w:val="-9"/>
          <w:w w:val="105"/>
        </w:rPr>
        <w:t> </w:t>
      </w:r>
      <w:r>
        <w:rPr>
          <w:color w:val="231F20"/>
          <w:w w:val="105"/>
        </w:rPr>
        <w:t>and/or</w:t>
      </w:r>
    </w:p>
    <w:p>
      <w:pPr>
        <w:pStyle w:val="BodyText"/>
        <w:spacing w:line="230" w:lineRule="auto" w:before="88"/>
        <w:ind w:right="114"/>
        <w:jc w:val="both"/>
      </w:pPr>
      <w:r>
        <w:rPr/>
        <w:br w:type="column"/>
      </w:r>
      <w:r>
        <w:rPr>
          <w:color w:val="231F20"/>
          <w:w w:val="105"/>
        </w:rPr>
        <w:t>during the screening period. Patients who had not been on   a CMOI during screening or at study start but had started a CMOI after initiation of SMV therapy were excluded from the</w:t>
      </w:r>
      <w:r>
        <w:rPr>
          <w:color w:val="231F20"/>
          <w:spacing w:val="-10"/>
          <w:w w:val="105"/>
        </w:rPr>
        <w:t> </w:t>
      </w:r>
      <w:r>
        <w:rPr>
          <w:color w:val="231F20"/>
          <w:w w:val="105"/>
        </w:rPr>
        <w:t>analysis.</w:t>
      </w:r>
      <w:r>
        <w:rPr>
          <w:color w:val="231F20"/>
          <w:spacing w:val="-10"/>
          <w:w w:val="105"/>
        </w:rPr>
        <w:t> </w:t>
      </w:r>
      <w:r>
        <w:rPr>
          <w:color w:val="231F20"/>
          <w:w w:val="105"/>
        </w:rPr>
        <w:t>Two</w:t>
      </w:r>
      <w:r>
        <w:rPr>
          <w:color w:val="231F20"/>
          <w:spacing w:val="-10"/>
          <w:w w:val="105"/>
        </w:rPr>
        <w:t> </w:t>
      </w:r>
      <w:r>
        <w:rPr>
          <w:color w:val="231F20"/>
          <w:w w:val="105"/>
        </w:rPr>
        <w:t>analysis</w:t>
      </w:r>
      <w:r>
        <w:rPr>
          <w:color w:val="231F20"/>
          <w:spacing w:val="-11"/>
          <w:w w:val="105"/>
        </w:rPr>
        <w:t> </w:t>
      </w:r>
      <w:r>
        <w:rPr>
          <w:color w:val="231F20"/>
          <w:w w:val="105"/>
        </w:rPr>
        <w:t>sets</w:t>
      </w:r>
      <w:r>
        <w:rPr>
          <w:color w:val="231F20"/>
          <w:spacing w:val="-11"/>
          <w:w w:val="105"/>
        </w:rPr>
        <w:t> </w:t>
      </w:r>
      <w:r>
        <w:rPr>
          <w:color w:val="231F20"/>
          <w:w w:val="105"/>
        </w:rPr>
        <w:t>were</w:t>
      </w:r>
      <w:r>
        <w:rPr>
          <w:color w:val="231F20"/>
          <w:spacing w:val="-10"/>
          <w:w w:val="105"/>
        </w:rPr>
        <w:t> </w:t>
      </w:r>
      <w:r>
        <w:rPr>
          <w:color w:val="231F20"/>
          <w:w w:val="105"/>
        </w:rPr>
        <w:t>de</w:t>
      </w:r>
      <w:r>
        <w:rPr>
          <w:rFonts w:ascii="Times New Roman" w:hAnsi="Times New Roman"/>
          <w:color w:val="231F20"/>
          <w:w w:val="105"/>
        </w:rPr>
        <w:t>ﬁ</w:t>
      </w:r>
      <w:r>
        <w:rPr>
          <w:color w:val="231F20"/>
          <w:w w:val="105"/>
        </w:rPr>
        <w:t>ned:</w:t>
      </w:r>
      <w:r>
        <w:rPr>
          <w:color w:val="231F20"/>
          <w:spacing w:val="-10"/>
          <w:w w:val="105"/>
        </w:rPr>
        <w:t> </w:t>
      </w:r>
      <w:r>
        <w:rPr>
          <w:color w:val="231F20"/>
          <w:w w:val="105"/>
        </w:rPr>
        <w:t>the</w:t>
      </w:r>
      <w:r>
        <w:rPr>
          <w:color w:val="231F20"/>
          <w:spacing w:val="-9"/>
          <w:w w:val="105"/>
        </w:rPr>
        <w:t> </w:t>
      </w:r>
      <w:r>
        <w:rPr>
          <w:color w:val="231F20"/>
          <w:w w:val="105"/>
        </w:rPr>
        <w:t>outcomes</w:t>
      </w:r>
      <w:r>
        <w:rPr>
          <w:color w:val="231F20"/>
          <w:spacing w:val="-9"/>
          <w:w w:val="105"/>
        </w:rPr>
        <w:t> </w:t>
      </w:r>
      <w:r>
        <w:rPr>
          <w:color w:val="231F20"/>
          <w:w w:val="105"/>
        </w:rPr>
        <w:t>co- hort, which included data from the screening period and the initial 12 weeks of SMV treatment, and patients receiving both green and amber CMOIs were evaluated twice, sepa- rately in each group; and the safety cohort, which included only patient data from the initial 12 weeks of SMV treatment. For both cohorts, patients taking CMOIs from several classes were counted in each CMOI class separately. In the safety cohort, patients had to be still on the CMOI at the start of SMV</w:t>
      </w:r>
      <w:r>
        <w:rPr>
          <w:color w:val="231F20"/>
          <w:spacing w:val="-11"/>
          <w:w w:val="105"/>
        </w:rPr>
        <w:t> </w:t>
      </w:r>
      <w:r>
        <w:rPr>
          <w:color w:val="231F20"/>
          <w:spacing w:val="-3"/>
          <w:w w:val="105"/>
        </w:rPr>
        <w:t>therapy,</w:t>
      </w:r>
      <w:r>
        <w:rPr>
          <w:color w:val="231F20"/>
          <w:spacing w:val="-11"/>
          <w:w w:val="105"/>
        </w:rPr>
        <w:t> </w:t>
      </w:r>
      <w:r>
        <w:rPr>
          <w:color w:val="231F20"/>
          <w:w w:val="105"/>
        </w:rPr>
        <w:t>resulting</w:t>
      </w:r>
      <w:r>
        <w:rPr>
          <w:color w:val="231F20"/>
          <w:spacing w:val="-11"/>
          <w:w w:val="105"/>
        </w:rPr>
        <w:t> </w:t>
      </w:r>
      <w:r>
        <w:rPr>
          <w:color w:val="231F20"/>
          <w:w w:val="105"/>
        </w:rPr>
        <w:t>in</w:t>
      </w:r>
      <w:r>
        <w:rPr>
          <w:color w:val="231F20"/>
          <w:spacing w:val="-11"/>
          <w:w w:val="105"/>
        </w:rPr>
        <w:t> </w:t>
      </w:r>
      <w:r>
        <w:rPr>
          <w:color w:val="231F20"/>
          <w:w w:val="105"/>
        </w:rPr>
        <w:t>a</w:t>
      </w:r>
      <w:r>
        <w:rPr>
          <w:color w:val="231F20"/>
          <w:spacing w:val="-10"/>
          <w:w w:val="105"/>
        </w:rPr>
        <w:t> </w:t>
      </w:r>
      <w:r>
        <w:rPr>
          <w:color w:val="231F20"/>
          <w:w w:val="105"/>
        </w:rPr>
        <w:t>slightly</w:t>
      </w:r>
      <w:r>
        <w:rPr>
          <w:color w:val="231F20"/>
          <w:spacing w:val="-11"/>
          <w:w w:val="105"/>
        </w:rPr>
        <w:t> </w:t>
      </w:r>
      <w:r>
        <w:rPr>
          <w:color w:val="231F20"/>
          <w:w w:val="105"/>
        </w:rPr>
        <w:t>lower</w:t>
      </w:r>
      <w:r>
        <w:rPr>
          <w:color w:val="231F20"/>
          <w:spacing w:val="-11"/>
          <w:w w:val="105"/>
        </w:rPr>
        <w:t> </w:t>
      </w:r>
      <w:r>
        <w:rPr>
          <w:color w:val="231F20"/>
          <w:w w:val="105"/>
        </w:rPr>
        <w:t>number</w:t>
      </w:r>
      <w:r>
        <w:rPr>
          <w:color w:val="231F20"/>
          <w:spacing w:val="-11"/>
          <w:w w:val="105"/>
        </w:rPr>
        <w:t> </w:t>
      </w:r>
      <w:r>
        <w:rPr>
          <w:color w:val="231F20"/>
          <w:w w:val="105"/>
        </w:rPr>
        <w:t>of</w:t>
      </w:r>
      <w:r>
        <w:rPr>
          <w:color w:val="231F20"/>
          <w:spacing w:val="-11"/>
          <w:w w:val="105"/>
        </w:rPr>
        <w:t> </w:t>
      </w:r>
      <w:r>
        <w:rPr>
          <w:color w:val="231F20"/>
          <w:w w:val="105"/>
        </w:rPr>
        <w:t>subjects. Additionally,</w:t>
      </w:r>
      <w:r>
        <w:rPr>
          <w:color w:val="231F20"/>
          <w:spacing w:val="-7"/>
          <w:w w:val="105"/>
        </w:rPr>
        <w:t> </w:t>
      </w:r>
      <w:r>
        <w:rPr>
          <w:color w:val="231F20"/>
          <w:w w:val="105"/>
        </w:rPr>
        <w:t>in</w:t>
      </w:r>
      <w:r>
        <w:rPr>
          <w:color w:val="231F20"/>
          <w:spacing w:val="-7"/>
          <w:w w:val="105"/>
        </w:rPr>
        <w:t> </w:t>
      </w:r>
      <w:r>
        <w:rPr>
          <w:color w:val="231F20"/>
          <w:w w:val="105"/>
        </w:rPr>
        <w:t>this</w:t>
      </w:r>
      <w:r>
        <w:rPr>
          <w:color w:val="231F20"/>
          <w:spacing w:val="-7"/>
          <w:w w:val="105"/>
        </w:rPr>
        <w:t> </w:t>
      </w:r>
      <w:r>
        <w:rPr>
          <w:color w:val="231F20"/>
          <w:w w:val="105"/>
        </w:rPr>
        <w:t>cohort</w:t>
      </w:r>
      <w:r>
        <w:rPr>
          <w:color w:val="231F20"/>
          <w:spacing w:val="-7"/>
          <w:w w:val="105"/>
        </w:rPr>
        <w:t> </w:t>
      </w:r>
      <w:r>
        <w:rPr>
          <w:color w:val="231F20"/>
          <w:w w:val="105"/>
        </w:rPr>
        <w:t>patients</w:t>
      </w:r>
      <w:r>
        <w:rPr>
          <w:color w:val="231F20"/>
          <w:spacing w:val="-7"/>
          <w:w w:val="105"/>
        </w:rPr>
        <w:t> </w:t>
      </w:r>
      <w:r>
        <w:rPr>
          <w:color w:val="231F20"/>
          <w:w w:val="105"/>
        </w:rPr>
        <w:t>receiving</w:t>
      </w:r>
      <w:r>
        <w:rPr>
          <w:color w:val="231F20"/>
          <w:spacing w:val="-8"/>
          <w:w w:val="105"/>
        </w:rPr>
        <w:t> </w:t>
      </w:r>
      <w:r>
        <w:rPr>
          <w:color w:val="231F20"/>
          <w:w w:val="105"/>
        </w:rPr>
        <w:t>both</w:t>
      </w:r>
      <w:r>
        <w:rPr>
          <w:color w:val="231F20"/>
          <w:spacing w:val="-7"/>
          <w:w w:val="105"/>
        </w:rPr>
        <w:t> </w:t>
      </w:r>
      <w:r>
        <w:rPr>
          <w:color w:val="231F20"/>
          <w:w w:val="105"/>
        </w:rPr>
        <w:t>green</w:t>
      </w:r>
      <w:r>
        <w:rPr>
          <w:color w:val="231F20"/>
          <w:spacing w:val="-7"/>
          <w:w w:val="105"/>
        </w:rPr>
        <w:t> </w:t>
      </w:r>
      <w:r>
        <w:rPr>
          <w:color w:val="231F20"/>
          <w:w w:val="105"/>
        </w:rPr>
        <w:t>and amber CMOIs were only counted in the amber group based on the assumption that safety outcomes would be driven mainly by amber</w:t>
      </w:r>
      <w:r>
        <w:rPr>
          <w:color w:val="231F20"/>
          <w:spacing w:val="7"/>
          <w:w w:val="105"/>
        </w:rPr>
        <w:t> </w:t>
      </w:r>
      <w:r>
        <w:rPr>
          <w:color w:val="231F20"/>
          <w:w w:val="105"/>
        </w:rPr>
        <w:t>drugs.</w:t>
      </w:r>
    </w:p>
    <w:p>
      <w:pPr>
        <w:pStyle w:val="BodyText"/>
        <w:spacing w:before="11"/>
        <w:ind w:left="0"/>
        <w:rPr>
          <w:sz w:val="16"/>
        </w:rPr>
      </w:pPr>
    </w:p>
    <w:p>
      <w:pPr>
        <w:pStyle w:val="Heading2"/>
        <w:rPr>
          <w:i/>
        </w:rPr>
      </w:pPr>
      <w:r>
        <w:rPr>
          <w:i/>
          <w:color w:val="00AB54"/>
          <w:w w:val="105"/>
        </w:rPr>
        <w:t>Outcome measures</w:t>
      </w:r>
    </w:p>
    <w:p>
      <w:pPr>
        <w:pStyle w:val="BodyText"/>
        <w:spacing w:line="230" w:lineRule="auto"/>
        <w:ind w:right="115"/>
        <w:jc w:val="both"/>
      </w:pPr>
      <w:r>
        <w:rPr>
          <w:color w:val="231F20"/>
          <w:w w:val="105"/>
        </w:rPr>
        <w:t>The composite primary endpoint described dosing changes of the CMOI as an indicator for DDI management and was de</w:t>
      </w:r>
      <w:r>
        <w:rPr>
          <w:rFonts w:ascii="Times New Roman" w:hAnsi="Times New Roman"/>
          <w:color w:val="231F20"/>
          <w:w w:val="105"/>
        </w:rPr>
        <w:t>ﬁ</w:t>
      </w:r>
      <w:r>
        <w:rPr>
          <w:color w:val="231F20"/>
          <w:w w:val="105"/>
        </w:rPr>
        <w:t>ned as either discontinuation (permanent discontinua- tion or interruption for </w:t>
      </w:r>
      <w:r>
        <w:rPr>
          <w:rFonts w:ascii="Calibri" w:hAnsi="Calibri"/>
          <w:color w:val="231F20"/>
          <w:w w:val="105"/>
        </w:rPr>
        <w:t>≥</w:t>
      </w:r>
      <w:r>
        <w:rPr>
          <w:color w:val="231F20"/>
          <w:w w:val="105"/>
        </w:rPr>
        <w:t>14 days), interruption (interrup- tion of medication for 2</w:t>
      </w:r>
      <w:r>
        <w:rPr>
          <w:rFonts w:ascii="Lucida Sans" w:hAnsi="Lucida Sans"/>
          <w:color w:val="231F20"/>
          <w:w w:val="105"/>
        </w:rPr>
        <w:t>–</w:t>
      </w:r>
      <w:r>
        <w:rPr>
          <w:color w:val="231F20"/>
          <w:w w:val="105"/>
        </w:rPr>
        <w:t>13 days)  or  dose  modi</w:t>
      </w:r>
      <w:r>
        <w:rPr>
          <w:rFonts w:ascii="Times New Roman" w:hAnsi="Times New Roman"/>
          <w:color w:val="231F20"/>
          <w:w w:val="105"/>
        </w:rPr>
        <w:t>ﬁ</w:t>
      </w:r>
      <w:r>
        <w:rPr>
          <w:color w:val="231F20"/>
          <w:w w:val="105"/>
        </w:rPr>
        <w:t>cation  (any increase or decrease from </w:t>
      </w:r>
      <w:r>
        <w:rPr>
          <w:rFonts w:ascii="Times New Roman" w:hAnsi="Times New Roman"/>
          <w:color w:val="231F20"/>
          <w:w w:val="105"/>
        </w:rPr>
        <w:t>ﬁ</w:t>
      </w:r>
      <w:r>
        <w:rPr>
          <w:color w:val="231F20"/>
          <w:w w:val="105"/>
        </w:rPr>
        <w:t>rst recorded total daily dose or subsequent change, including interruptions up to 1 day  of SMV treatment). Clinical information on the reasons for discontinuation, interruption or  dose  modi</w:t>
      </w:r>
      <w:r>
        <w:rPr>
          <w:rFonts w:ascii="Times New Roman" w:hAnsi="Times New Roman"/>
          <w:color w:val="231F20"/>
          <w:w w:val="105"/>
        </w:rPr>
        <w:t>ﬁ</w:t>
      </w:r>
      <w:r>
        <w:rPr>
          <w:color w:val="231F20"/>
          <w:w w:val="105"/>
        </w:rPr>
        <w:t>cation  were not captured in the database, and thus not</w:t>
      </w:r>
      <w:r>
        <w:rPr>
          <w:color w:val="231F20"/>
          <w:spacing w:val="42"/>
          <w:w w:val="105"/>
        </w:rPr>
        <w:t> </w:t>
      </w:r>
      <w:r>
        <w:rPr>
          <w:color w:val="231F20"/>
          <w:w w:val="105"/>
        </w:rPr>
        <w:t>analysed</w:t>
      </w:r>
    </w:p>
    <w:p>
      <w:pPr>
        <w:spacing w:after="0" w:line="230" w:lineRule="auto"/>
        <w:jc w:val="both"/>
        <w:sectPr>
          <w:type w:val="continuous"/>
          <w:pgSz w:w="11880" w:h="15670"/>
          <w:pgMar w:top="380" w:bottom="0" w:left="740" w:right="720"/>
          <w:cols w:num="2" w:equalWidth="0">
            <w:col w:w="4963" w:space="417"/>
            <w:col w:w="5040"/>
          </w:cols>
        </w:sectPr>
      </w:pPr>
    </w:p>
    <w:p>
      <w:pPr>
        <w:pStyle w:val="BodyText"/>
        <w:spacing w:before="2"/>
        <w:ind w:left="0"/>
        <w:rPr>
          <w:sz w:val="8"/>
        </w:rPr>
      </w:pPr>
    </w:p>
    <w:p>
      <w:pPr>
        <w:spacing w:after="0"/>
        <w:rPr>
          <w:sz w:val="8"/>
        </w:rPr>
        <w:sectPr>
          <w:pgSz w:w="11880" w:h="15670"/>
          <w:pgMar w:header="462" w:footer="669" w:top="980" w:bottom="860" w:left="740" w:right="720"/>
        </w:sectPr>
      </w:pPr>
    </w:p>
    <w:p>
      <w:pPr>
        <w:pStyle w:val="BodyText"/>
        <w:spacing w:line="230" w:lineRule="auto" w:before="88"/>
        <w:ind w:right="41"/>
        <w:jc w:val="both"/>
      </w:pPr>
      <w:r>
        <w:rPr>
          <w:color w:val="231F20"/>
          <w:w w:val="105"/>
        </w:rPr>
        <w:t>retrospectively. No direct analyses of DDIs on a PK level were performed. The primary endpoint was  analysed  in  the outcomes</w:t>
      </w:r>
      <w:r>
        <w:rPr>
          <w:color w:val="231F20"/>
          <w:spacing w:val="-11"/>
          <w:w w:val="105"/>
        </w:rPr>
        <w:t> </w:t>
      </w:r>
      <w:r>
        <w:rPr>
          <w:color w:val="231F20"/>
          <w:w w:val="105"/>
        </w:rPr>
        <w:t>cohort.</w:t>
      </w:r>
    </w:p>
    <w:p>
      <w:pPr>
        <w:pStyle w:val="BodyText"/>
        <w:spacing w:line="230" w:lineRule="auto" w:before="1"/>
        <w:ind w:right="40" w:firstLine="280"/>
        <w:jc w:val="both"/>
      </w:pPr>
      <w:r>
        <w:rPr>
          <w:color w:val="231F20"/>
          <w:w w:val="105"/>
        </w:rPr>
        <w:t>Secondary endpoints included the occurrence of AEs and AEs of interest (AEOIs), and discontinuation of SMV,</w:t>
      </w:r>
      <w:r>
        <w:rPr>
          <w:color w:val="231F20"/>
          <w:spacing w:val="-32"/>
          <w:w w:val="105"/>
        </w:rPr>
        <w:t> </w:t>
      </w:r>
      <w:r>
        <w:rPr>
          <w:color w:val="231F20"/>
          <w:w w:val="105"/>
        </w:rPr>
        <w:t>regard- less of causality. Adverse events of interest were de</w:t>
      </w:r>
      <w:r>
        <w:rPr>
          <w:rFonts w:ascii="Times New Roman" w:hAnsi="Times New Roman"/>
          <w:color w:val="231F20"/>
          <w:w w:val="105"/>
        </w:rPr>
        <w:t>ﬁ</w:t>
      </w:r>
      <w:r>
        <w:rPr>
          <w:color w:val="231F20"/>
          <w:w w:val="105"/>
        </w:rPr>
        <w:t>ned as AEs that are either associated with the treated comorbidity, are signature AEs for the CMOI and would indicate either underdosing or overdosing. Secondary endpoints were analysed in the safety</w:t>
      </w:r>
      <w:r>
        <w:rPr>
          <w:color w:val="231F20"/>
          <w:spacing w:val="11"/>
          <w:w w:val="105"/>
        </w:rPr>
        <w:t> </w:t>
      </w:r>
      <w:r>
        <w:rPr>
          <w:color w:val="231F20"/>
          <w:w w:val="105"/>
        </w:rPr>
        <w:t>cohort.</w:t>
      </w:r>
    </w:p>
    <w:p>
      <w:pPr>
        <w:pStyle w:val="BodyText"/>
        <w:spacing w:before="5"/>
        <w:ind w:left="0"/>
        <w:rPr>
          <w:sz w:val="21"/>
        </w:rPr>
      </w:pPr>
    </w:p>
    <w:p>
      <w:pPr>
        <w:pStyle w:val="Heading2"/>
        <w:jc w:val="both"/>
        <w:rPr>
          <w:i/>
        </w:rPr>
      </w:pPr>
      <w:r>
        <w:rPr>
          <w:i/>
          <w:color w:val="00AB54"/>
          <w:w w:val="105"/>
        </w:rPr>
        <w:t>Statistical analyses</w:t>
      </w:r>
    </w:p>
    <w:p>
      <w:pPr>
        <w:pStyle w:val="BodyText"/>
        <w:spacing w:line="230" w:lineRule="auto"/>
        <w:ind w:right="38"/>
        <w:jc w:val="both"/>
      </w:pPr>
      <w:r>
        <w:rPr>
          <w:color w:val="231F20"/>
          <w:w w:val="105"/>
        </w:rPr>
        <w:t>Statistical</w:t>
      </w:r>
      <w:r>
        <w:rPr>
          <w:color w:val="231F20"/>
          <w:spacing w:val="-9"/>
          <w:w w:val="105"/>
        </w:rPr>
        <w:t> </w:t>
      </w:r>
      <w:r>
        <w:rPr>
          <w:color w:val="231F20"/>
          <w:w w:val="105"/>
        </w:rPr>
        <w:t>comparisons</w:t>
      </w:r>
      <w:r>
        <w:rPr>
          <w:color w:val="231F20"/>
          <w:spacing w:val="-8"/>
          <w:w w:val="105"/>
        </w:rPr>
        <w:t> </w:t>
      </w:r>
      <w:r>
        <w:rPr>
          <w:color w:val="231F20"/>
          <w:w w:val="105"/>
        </w:rPr>
        <w:t>of</w:t>
      </w:r>
      <w:r>
        <w:rPr>
          <w:color w:val="231F20"/>
          <w:spacing w:val="-8"/>
          <w:w w:val="105"/>
        </w:rPr>
        <w:t> </w:t>
      </w:r>
      <w:r>
        <w:rPr>
          <w:color w:val="231F20"/>
          <w:w w:val="105"/>
        </w:rPr>
        <w:t>baseline</w:t>
      </w:r>
      <w:r>
        <w:rPr>
          <w:color w:val="231F20"/>
          <w:spacing w:val="-9"/>
          <w:w w:val="105"/>
        </w:rPr>
        <w:t> </w:t>
      </w:r>
      <w:r>
        <w:rPr>
          <w:color w:val="231F20"/>
          <w:w w:val="105"/>
        </w:rPr>
        <w:t>demographics</w:t>
      </w:r>
      <w:r>
        <w:rPr>
          <w:color w:val="231F20"/>
          <w:spacing w:val="-9"/>
          <w:w w:val="105"/>
        </w:rPr>
        <w:t> </w:t>
      </w:r>
      <w:r>
        <w:rPr>
          <w:color w:val="231F20"/>
          <w:w w:val="105"/>
        </w:rPr>
        <w:t>and</w:t>
      </w:r>
      <w:r>
        <w:rPr>
          <w:color w:val="231F20"/>
          <w:spacing w:val="-9"/>
          <w:w w:val="105"/>
        </w:rPr>
        <w:t> </w:t>
      </w:r>
      <w:r>
        <w:rPr>
          <w:color w:val="231F20"/>
          <w:w w:val="105"/>
        </w:rPr>
        <w:t>disease parameters</w:t>
      </w:r>
      <w:r>
        <w:rPr>
          <w:color w:val="231F20"/>
          <w:spacing w:val="-11"/>
          <w:w w:val="105"/>
        </w:rPr>
        <w:t> </w:t>
      </w:r>
      <w:r>
        <w:rPr>
          <w:color w:val="231F20"/>
          <w:w w:val="105"/>
        </w:rPr>
        <w:t>in</w:t>
      </w:r>
      <w:r>
        <w:rPr>
          <w:color w:val="231F20"/>
          <w:spacing w:val="-13"/>
          <w:w w:val="105"/>
        </w:rPr>
        <w:t> </w:t>
      </w:r>
      <w:r>
        <w:rPr>
          <w:color w:val="231F20"/>
          <w:w w:val="105"/>
        </w:rPr>
        <w:t>green</w:t>
      </w:r>
      <w:r>
        <w:rPr>
          <w:color w:val="231F20"/>
          <w:spacing w:val="-13"/>
          <w:w w:val="105"/>
        </w:rPr>
        <w:t> </w:t>
      </w:r>
      <w:r>
        <w:rPr>
          <w:color w:val="231F20"/>
          <w:w w:val="105"/>
        </w:rPr>
        <w:t>and</w:t>
      </w:r>
      <w:r>
        <w:rPr>
          <w:color w:val="231F20"/>
          <w:spacing w:val="-12"/>
          <w:w w:val="105"/>
        </w:rPr>
        <w:t> </w:t>
      </w:r>
      <w:r>
        <w:rPr>
          <w:color w:val="231F20"/>
          <w:w w:val="105"/>
        </w:rPr>
        <w:t>amber</w:t>
      </w:r>
      <w:r>
        <w:rPr>
          <w:color w:val="231F20"/>
          <w:spacing w:val="-17"/>
          <w:w w:val="105"/>
        </w:rPr>
        <w:t> </w:t>
      </w:r>
      <w:r>
        <w:rPr>
          <w:color w:val="231F20"/>
          <w:w w:val="105"/>
        </w:rPr>
        <w:t>groups</w:t>
      </w:r>
      <w:r>
        <w:rPr>
          <w:color w:val="231F20"/>
          <w:spacing w:val="-12"/>
          <w:w w:val="105"/>
        </w:rPr>
        <w:t> </w:t>
      </w:r>
      <w:r>
        <w:rPr>
          <w:color w:val="231F20"/>
          <w:w w:val="105"/>
        </w:rPr>
        <w:t>were</w:t>
      </w:r>
      <w:r>
        <w:rPr>
          <w:color w:val="231F20"/>
          <w:spacing w:val="-13"/>
          <w:w w:val="105"/>
        </w:rPr>
        <w:t> </w:t>
      </w:r>
      <w:r>
        <w:rPr>
          <w:color w:val="231F20"/>
          <w:w w:val="105"/>
        </w:rPr>
        <w:t>carried</w:t>
      </w:r>
      <w:r>
        <w:rPr>
          <w:color w:val="231F20"/>
          <w:spacing w:val="-13"/>
          <w:w w:val="105"/>
        </w:rPr>
        <w:t> </w:t>
      </w:r>
      <w:r>
        <w:rPr>
          <w:color w:val="231F20"/>
          <w:w w:val="105"/>
        </w:rPr>
        <w:t>out</w:t>
      </w:r>
      <w:r>
        <w:rPr>
          <w:color w:val="231F20"/>
          <w:spacing w:val="-13"/>
          <w:w w:val="105"/>
        </w:rPr>
        <w:t> </w:t>
      </w:r>
      <w:r>
        <w:rPr>
          <w:color w:val="231F20"/>
          <w:w w:val="105"/>
        </w:rPr>
        <w:t>in</w:t>
      </w:r>
      <w:r>
        <w:rPr>
          <w:color w:val="231F20"/>
          <w:spacing w:val="-13"/>
          <w:w w:val="105"/>
        </w:rPr>
        <w:t> </w:t>
      </w:r>
      <w:r>
        <w:rPr>
          <w:color w:val="231F20"/>
          <w:w w:val="105"/>
        </w:rPr>
        <w:t>the safety cohort. Continuous parameters were tested using the Wilcoxon</w:t>
      </w:r>
      <w:r>
        <w:rPr>
          <w:rFonts w:ascii="Lucida Sans" w:hAnsi="Lucida Sans"/>
          <w:color w:val="231F20"/>
          <w:w w:val="105"/>
        </w:rPr>
        <w:t>–</w:t>
      </w:r>
      <w:r>
        <w:rPr>
          <w:color w:val="231F20"/>
          <w:w w:val="105"/>
        </w:rPr>
        <w:t>Mann</w:t>
      </w:r>
      <w:r>
        <w:rPr>
          <w:rFonts w:ascii="Lucida Sans" w:hAnsi="Lucida Sans"/>
          <w:color w:val="231F20"/>
          <w:w w:val="105"/>
        </w:rPr>
        <w:t>–</w:t>
      </w:r>
      <w:r>
        <w:rPr>
          <w:color w:val="231F20"/>
          <w:w w:val="105"/>
        </w:rPr>
        <w:t>Whitney test, and categorical parameters were tested using the chi-square test. Statistical analysis was conducted using the SAS statistical analysis software (SAS Institute Inc., </w:t>
      </w:r>
      <w:r>
        <w:rPr>
          <w:color w:val="231F20"/>
          <w:spacing w:val="-4"/>
          <w:w w:val="105"/>
        </w:rPr>
        <w:t>Cary,  </w:t>
      </w:r>
      <w:r>
        <w:rPr>
          <w:color w:val="231F20"/>
          <w:w w:val="105"/>
        </w:rPr>
        <w:t>N.C., USA). Representation of patients  in both the green and amber groups precluded statistical comparison in the outcomes</w:t>
      </w:r>
      <w:r>
        <w:rPr>
          <w:color w:val="231F20"/>
          <w:spacing w:val="12"/>
          <w:w w:val="105"/>
        </w:rPr>
        <w:t> </w:t>
      </w:r>
      <w:r>
        <w:rPr>
          <w:color w:val="231F20"/>
          <w:w w:val="105"/>
        </w:rPr>
        <w:t>cohort.</w:t>
      </w:r>
    </w:p>
    <w:p>
      <w:pPr>
        <w:pStyle w:val="BodyText"/>
        <w:spacing w:before="1"/>
        <w:ind w:left="0"/>
        <w:rPr>
          <w:sz w:val="21"/>
        </w:rPr>
      </w:pPr>
    </w:p>
    <w:p>
      <w:pPr>
        <w:pStyle w:val="Heading2"/>
        <w:jc w:val="both"/>
        <w:rPr>
          <w:i/>
        </w:rPr>
      </w:pPr>
      <w:r>
        <w:rPr>
          <w:i/>
          <w:color w:val="00AB54"/>
          <w:w w:val="105"/>
        </w:rPr>
        <w:t>Nomenclature of targets and ligands</w:t>
      </w:r>
    </w:p>
    <w:p>
      <w:pPr>
        <w:pStyle w:val="BodyText"/>
        <w:spacing w:line="230" w:lineRule="auto"/>
        <w:ind w:right="40"/>
        <w:jc w:val="both"/>
      </w:pPr>
      <w:r>
        <w:rPr>
          <w:color w:val="231F20"/>
          <w:w w:val="105"/>
        </w:rPr>
        <w:t>Key protein targets and ligands in this article are hyperlinked to corresponding entries in </w:t>
      </w:r>
      <w:hyperlink r:id="rId21">
        <w:r>
          <w:rPr>
            <w:color w:val="231F20"/>
            <w:w w:val="105"/>
          </w:rPr>
          <w:t>http://www.</w:t>
        </w:r>
      </w:hyperlink>
      <w:r>
        <w:rPr>
          <w:color w:val="231F20"/>
          <w:w w:val="105"/>
        </w:rPr>
        <w:t> </w:t>
      </w:r>
      <w:hyperlink r:id="rId21">
        <w:r>
          <w:rPr>
            <w:color w:val="231F20"/>
            <w:w w:val="105"/>
          </w:rPr>
          <w:t>guidetopharmacology.or</w:t>
        </w:r>
      </w:hyperlink>
      <w:r>
        <w:rPr>
          <w:color w:val="231F20"/>
          <w:w w:val="105"/>
        </w:rPr>
        <w:t>g, the common portal  for  data from the IUPHAR/BPS Guide to PHARMACOLOGY [23], and are permanently archived in the Concise Guide to PHARMACOLOGY 2017/18 [24,</w:t>
      </w:r>
      <w:r>
        <w:rPr>
          <w:color w:val="231F20"/>
          <w:spacing w:val="-14"/>
          <w:w w:val="105"/>
        </w:rPr>
        <w:t> </w:t>
      </w:r>
      <w:r>
        <w:rPr>
          <w:color w:val="231F20"/>
          <w:w w:val="105"/>
        </w:rPr>
        <w:t>25].</w:t>
      </w:r>
    </w:p>
    <w:p>
      <w:pPr>
        <w:pStyle w:val="BodyText"/>
        <w:ind w:left="0"/>
        <w:rPr>
          <w:sz w:val="20"/>
        </w:rPr>
      </w:pPr>
    </w:p>
    <w:p>
      <w:pPr>
        <w:pStyle w:val="BodyText"/>
        <w:spacing w:before="8"/>
        <w:ind w:left="0"/>
        <w:rPr>
          <w:sz w:val="22"/>
        </w:rPr>
      </w:pPr>
    </w:p>
    <w:p>
      <w:pPr>
        <w:pStyle w:val="Heading1"/>
        <w:spacing w:before="1"/>
        <w:jc w:val="both"/>
      </w:pPr>
      <w:r>
        <w:rPr>
          <w:color w:val="00AB54"/>
        </w:rPr>
        <w:t>Results</w:t>
      </w:r>
    </w:p>
    <w:p>
      <w:pPr>
        <w:pStyle w:val="Heading2"/>
        <w:spacing w:before="233"/>
        <w:jc w:val="both"/>
        <w:rPr>
          <w:i/>
        </w:rPr>
      </w:pPr>
      <w:r>
        <w:rPr>
          <w:i/>
          <w:color w:val="00AB54"/>
          <w:w w:val="105"/>
        </w:rPr>
        <w:t>Baseline characteristics</w:t>
      </w:r>
    </w:p>
    <w:p>
      <w:pPr>
        <w:pStyle w:val="BodyText"/>
        <w:spacing w:line="230" w:lineRule="auto"/>
        <w:ind w:right="38"/>
        <w:jc w:val="both"/>
      </w:pPr>
      <w:r>
        <w:rPr>
          <w:color w:val="231F20"/>
          <w:w w:val="105"/>
        </w:rPr>
        <w:t>In total, 876 patients receiving SMV from the nine studies listed in Table 1 comprised the overall population, of which 47% (409/876) of the patients received AHDs,  17%  (153/  876) received AXDs and </w:t>
      </w:r>
      <w:r>
        <w:rPr>
          <w:color w:val="231F20"/>
          <w:spacing w:val="-4"/>
          <w:w w:val="105"/>
        </w:rPr>
        <w:t>11% </w:t>
      </w:r>
      <w:r>
        <w:rPr>
          <w:color w:val="231F20"/>
          <w:w w:val="105"/>
        </w:rPr>
        <w:t>(96/876) received LLDs. The ob- servational study (SONET) contributed 35% (308/876) of the overall population, and 40% (162/409) of the patients receiv- ing AHDs, 44% (67/153) of those receiving AXDs, and 50% (48/96)</w:t>
      </w:r>
      <w:r>
        <w:rPr>
          <w:color w:val="231F20"/>
          <w:spacing w:val="-9"/>
          <w:w w:val="105"/>
        </w:rPr>
        <w:t> </w:t>
      </w:r>
      <w:r>
        <w:rPr>
          <w:color w:val="231F20"/>
          <w:w w:val="105"/>
        </w:rPr>
        <w:t>of</w:t>
      </w:r>
      <w:r>
        <w:rPr>
          <w:color w:val="231F20"/>
          <w:spacing w:val="-9"/>
          <w:w w:val="105"/>
        </w:rPr>
        <w:t> </w:t>
      </w:r>
      <w:r>
        <w:rPr>
          <w:color w:val="231F20"/>
          <w:w w:val="105"/>
        </w:rPr>
        <w:t>those</w:t>
      </w:r>
      <w:r>
        <w:rPr>
          <w:color w:val="231F20"/>
          <w:spacing w:val="-9"/>
          <w:w w:val="105"/>
        </w:rPr>
        <w:t> </w:t>
      </w:r>
      <w:r>
        <w:rPr>
          <w:color w:val="231F20"/>
          <w:w w:val="105"/>
        </w:rPr>
        <w:t>receiving</w:t>
      </w:r>
      <w:r>
        <w:rPr>
          <w:color w:val="231F20"/>
          <w:spacing w:val="-9"/>
          <w:w w:val="105"/>
        </w:rPr>
        <w:t> </w:t>
      </w:r>
      <w:r>
        <w:rPr>
          <w:color w:val="231F20"/>
          <w:w w:val="105"/>
        </w:rPr>
        <w:t>LLDs.</w:t>
      </w:r>
      <w:r>
        <w:rPr>
          <w:color w:val="231F20"/>
          <w:spacing w:val="-10"/>
          <w:w w:val="105"/>
        </w:rPr>
        <w:t> </w:t>
      </w:r>
      <w:r>
        <w:rPr>
          <w:color w:val="231F20"/>
          <w:w w:val="105"/>
        </w:rPr>
        <w:t>Table</w:t>
      </w:r>
      <w:r>
        <w:rPr>
          <w:color w:val="231F20"/>
          <w:spacing w:val="-9"/>
          <w:w w:val="105"/>
        </w:rPr>
        <w:t> </w:t>
      </w:r>
      <w:r>
        <w:rPr>
          <w:color w:val="231F20"/>
          <w:w w:val="105"/>
        </w:rPr>
        <w:t>S1</w:t>
      </w:r>
      <w:r>
        <w:rPr>
          <w:color w:val="231F20"/>
          <w:spacing w:val="-9"/>
          <w:w w:val="105"/>
        </w:rPr>
        <w:t> </w:t>
      </w:r>
      <w:r>
        <w:rPr>
          <w:color w:val="231F20"/>
          <w:w w:val="105"/>
        </w:rPr>
        <w:t>presents</w:t>
      </w:r>
      <w:r>
        <w:rPr>
          <w:color w:val="231F20"/>
          <w:spacing w:val="-9"/>
          <w:w w:val="105"/>
        </w:rPr>
        <w:t> </w:t>
      </w:r>
      <w:r>
        <w:rPr>
          <w:color w:val="231F20"/>
          <w:w w:val="105"/>
        </w:rPr>
        <w:t>the</w:t>
      </w:r>
      <w:r>
        <w:rPr>
          <w:color w:val="231F20"/>
          <w:spacing w:val="-9"/>
          <w:w w:val="105"/>
        </w:rPr>
        <w:t> </w:t>
      </w:r>
      <w:r>
        <w:rPr>
          <w:color w:val="231F20"/>
          <w:w w:val="105"/>
        </w:rPr>
        <w:t>propor- tions of patients analysed from the different</w:t>
      </w:r>
      <w:r>
        <w:rPr>
          <w:color w:val="231F20"/>
          <w:spacing w:val="13"/>
          <w:w w:val="105"/>
        </w:rPr>
        <w:t> </w:t>
      </w:r>
      <w:r>
        <w:rPr>
          <w:color w:val="231F20"/>
          <w:w w:val="105"/>
        </w:rPr>
        <w:t>studies.</w:t>
      </w:r>
    </w:p>
    <w:p>
      <w:pPr>
        <w:pStyle w:val="BodyText"/>
        <w:spacing w:before="4"/>
        <w:ind w:left="0"/>
        <w:rPr>
          <w:sz w:val="20"/>
        </w:rPr>
      </w:pPr>
    </w:p>
    <w:p>
      <w:pPr>
        <w:pStyle w:val="BodyText"/>
        <w:spacing w:line="230" w:lineRule="auto" w:before="1"/>
        <w:ind w:right="39"/>
        <w:jc w:val="both"/>
      </w:pPr>
      <w:r>
        <w:rPr>
          <w:rFonts w:ascii="Book Antiqua" w:hAnsi="Book Antiqua"/>
          <w:i/>
          <w:color w:val="231F20"/>
          <w:w w:val="105"/>
        </w:rPr>
        <w:t>Demographics and disease parameters. </w:t>
      </w:r>
      <w:r>
        <w:rPr>
          <w:color w:val="231F20"/>
          <w:w w:val="105"/>
        </w:rPr>
        <w:t>Patients from the outcomes cohort represented a diverse population, with 31</w:t>
      </w:r>
      <w:r>
        <w:rPr>
          <w:rFonts w:ascii="Lucida Sans" w:hAnsi="Lucida Sans"/>
          <w:color w:val="231F20"/>
          <w:w w:val="105"/>
        </w:rPr>
        <w:t>–</w:t>
      </w:r>
      <w:r>
        <w:rPr>
          <w:color w:val="231F20"/>
          <w:w w:val="105"/>
        </w:rPr>
        <w:t>41% women and 9</w:t>
      </w:r>
      <w:r>
        <w:rPr>
          <w:rFonts w:ascii="Lucida Sans" w:hAnsi="Lucida Sans"/>
          <w:color w:val="231F20"/>
          <w:w w:val="105"/>
        </w:rPr>
        <w:t>–</w:t>
      </w:r>
      <w:r>
        <w:rPr>
          <w:color w:val="231F20"/>
          <w:w w:val="105"/>
        </w:rPr>
        <w:t>34% black/African American in any green or amber CMOI group. Information on the cirrhosis status was available for a large majority (91</w:t>
      </w:r>
      <w:r>
        <w:rPr>
          <w:rFonts w:ascii="Lucida Sans" w:hAnsi="Lucida Sans"/>
          <w:color w:val="231F20"/>
          <w:w w:val="105"/>
        </w:rPr>
        <w:t>–</w:t>
      </w:r>
      <w:r>
        <w:rPr>
          <w:color w:val="231F20"/>
          <w:w w:val="105"/>
        </w:rPr>
        <w:t>100%), with cirrhosis prevalence ranging from 34% to 51% (Table S2). Some numerical (outcomes cohort) and statistically signi</w:t>
      </w:r>
      <w:r>
        <w:rPr>
          <w:rFonts w:ascii="Times New Roman" w:hAnsi="Times New Roman"/>
          <w:color w:val="231F20"/>
          <w:w w:val="105"/>
        </w:rPr>
        <w:t>ﬁ</w:t>
      </w:r>
      <w:r>
        <w:rPr>
          <w:color w:val="231F20"/>
          <w:w w:val="105"/>
        </w:rPr>
        <w:t>cant (safety cohort, Table S3) differences in demographic and disease parameters were detected between the green and amber groups.</w:t>
      </w:r>
    </w:p>
    <w:p>
      <w:pPr>
        <w:pStyle w:val="BodyText"/>
        <w:spacing w:before="10"/>
        <w:ind w:left="0"/>
        <w:rPr>
          <w:sz w:val="20"/>
        </w:rPr>
      </w:pPr>
    </w:p>
    <w:p>
      <w:pPr>
        <w:pStyle w:val="BodyText"/>
        <w:spacing w:line="230" w:lineRule="auto"/>
        <w:ind w:right="40"/>
        <w:jc w:val="both"/>
      </w:pPr>
      <w:r>
        <w:rPr>
          <w:rFonts w:ascii="Book Antiqua"/>
          <w:i/>
          <w:color w:val="231F20"/>
          <w:w w:val="105"/>
        </w:rPr>
        <w:t>Frequency</w:t>
      </w:r>
      <w:r>
        <w:rPr>
          <w:rFonts w:ascii="Book Antiqua"/>
          <w:i/>
          <w:color w:val="231F20"/>
          <w:spacing w:val="-15"/>
          <w:w w:val="105"/>
        </w:rPr>
        <w:t> </w:t>
      </w:r>
      <w:r>
        <w:rPr>
          <w:rFonts w:ascii="Book Antiqua"/>
          <w:i/>
          <w:color w:val="231F20"/>
          <w:w w:val="105"/>
        </w:rPr>
        <w:t>of</w:t>
      </w:r>
      <w:r>
        <w:rPr>
          <w:rFonts w:ascii="Book Antiqua"/>
          <w:i/>
          <w:color w:val="231F20"/>
          <w:spacing w:val="-15"/>
          <w:w w:val="105"/>
        </w:rPr>
        <w:t> </w:t>
      </w:r>
      <w:r>
        <w:rPr>
          <w:rFonts w:ascii="Book Antiqua"/>
          <w:i/>
          <w:color w:val="231F20"/>
          <w:w w:val="105"/>
        </w:rPr>
        <w:t>CMOIs.</w:t>
      </w:r>
      <w:r>
        <w:rPr>
          <w:rFonts w:ascii="Book Antiqua"/>
          <w:i/>
          <w:color w:val="231F20"/>
          <w:spacing w:val="13"/>
          <w:w w:val="105"/>
        </w:rPr>
        <w:t> </w:t>
      </w:r>
      <w:r>
        <w:rPr>
          <w:color w:val="231F20"/>
          <w:w w:val="105"/>
        </w:rPr>
        <w:t>The</w:t>
      </w:r>
      <w:r>
        <w:rPr>
          <w:color w:val="231F20"/>
          <w:spacing w:val="-15"/>
          <w:w w:val="105"/>
        </w:rPr>
        <w:t> </w:t>
      </w:r>
      <w:r>
        <w:rPr>
          <w:color w:val="231F20"/>
          <w:w w:val="105"/>
        </w:rPr>
        <w:t>prevalence</w:t>
      </w:r>
      <w:r>
        <w:rPr>
          <w:color w:val="231F20"/>
          <w:spacing w:val="-15"/>
          <w:w w:val="105"/>
        </w:rPr>
        <w:t> </w:t>
      </w:r>
      <w:r>
        <w:rPr>
          <w:color w:val="231F20"/>
          <w:w w:val="105"/>
        </w:rPr>
        <w:t>of</w:t>
      </w:r>
      <w:r>
        <w:rPr>
          <w:color w:val="231F20"/>
          <w:spacing w:val="-15"/>
          <w:w w:val="105"/>
        </w:rPr>
        <w:t> </w:t>
      </w:r>
      <w:r>
        <w:rPr>
          <w:color w:val="231F20"/>
          <w:w w:val="105"/>
        </w:rPr>
        <w:t>green</w:t>
      </w:r>
      <w:r>
        <w:rPr>
          <w:color w:val="231F20"/>
          <w:spacing w:val="-15"/>
          <w:w w:val="105"/>
        </w:rPr>
        <w:t> </w:t>
      </w:r>
      <w:r>
        <w:rPr>
          <w:rFonts w:ascii="Book Antiqua"/>
          <w:i/>
          <w:color w:val="231F20"/>
          <w:w w:val="105"/>
        </w:rPr>
        <w:t>vs</w:t>
      </w:r>
      <w:r>
        <w:rPr>
          <w:color w:val="231F20"/>
          <w:w w:val="105"/>
        </w:rPr>
        <w:t>.</w:t>
      </w:r>
      <w:r>
        <w:rPr>
          <w:color w:val="231F20"/>
          <w:spacing w:val="-15"/>
          <w:w w:val="105"/>
        </w:rPr>
        <w:t> </w:t>
      </w:r>
      <w:r>
        <w:rPr>
          <w:color w:val="231F20"/>
          <w:w w:val="105"/>
        </w:rPr>
        <w:t>amber</w:t>
      </w:r>
      <w:r>
        <w:rPr>
          <w:color w:val="231F20"/>
          <w:spacing w:val="-15"/>
          <w:w w:val="105"/>
        </w:rPr>
        <w:t> </w:t>
      </w:r>
      <w:r>
        <w:rPr>
          <w:color w:val="231F20"/>
          <w:w w:val="105"/>
        </w:rPr>
        <w:t>drugs differed</w:t>
      </w:r>
      <w:r>
        <w:rPr>
          <w:color w:val="231F20"/>
          <w:spacing w:val="-7"/>
          <w:w w:val="105"/>
        </w:rPr>
        <w:t> </w:t>
      </w:r>
      <w:r>
        <w:rPr>
          <w:color w:val="231F20"/>
          <w:w w:val="105"/>
        </w:rPr>
        <w:t>by</w:t>
      </w:r>
      <w:r>
        <w:rPr>
          <w:color w:val="231F20"/>
          <w:spacing w:val="-6"/>
          <w:w w:val="105"/>
        </w:rPr>
        <w:t> </w:t>
      </w:r>
      <w:r>
        <w:rPr>
          <w:color w:val="231F20"/>
          <w:w w:val="105"/>
        </w:rPr>
        <w:t>class</w:t>
      </w:r>
      <w:r>
        <w:rPr>
          <w:color w:val="231F20"/>
          <w:spacing w:val="-7"/>
          <w:w w:val="105"/>
        </w:rPr>
        <w:t> </w:t>
      </w:r>
      <w:r>
        <w:rPr>
          <w:color w:val="231F20"/>
          <w:w w:val="105"/>
        </w:rPr>
        <w:t>of</w:t>
      </w:r>
      <w:r>
        <w:rPr>
          <w:color w:val="231F20"/>
          <w:spacing w:val="-6"/>
          <w:w w:val="105"/>
        </w:rPr>
        <w:t> </w:t>
      </w:r>
      <w:r>
        <w:rPr>
          <w:color w:val="231F20"/>
          <w:w w:val="105"/>
        </w:rPr>
        <w:t>CMOI</w:t>
      </w:r>
      <w:r>
        <w:rPr>
          <w:color w:val="231F20"/>
          <w:spacing w:val="-6"/>
          <w:w w:val="105"/>
        </w:rPr>
        <w:t> </w:t>
      </w:r>
      <w:r>
        <w:rPr>
          <w:color w:val="231F20"/>
          <w:w w:val="105"/>
        </w:rPr>
        <w:t>(Figure</w:t>
      </w:r>
      <w:r>
        <w:rPr>
          <w:color w:val="231F20"/>
          <w:spacing w:val="-6"/>
          <w:w w:val="105"/>
        </w:rPr>
        <w:t> </w:t>
      </w:r>
      <w:r>
        <w:rPr>
          <w:color w:val="231F20"/>
          <w:w w:val="105"/>
        </w:rPr>
        <w:t>1,</w:t>
      </w:r>
      <w:r>
        <w:rPr>
          <w:color w:val="231F20"/>
          <w:spacing w:val="-6"/>
          <w:w w:val="105"/>
        </w:rPr>
        <w:t> </w:t>
      </w:r>
      <w:r>
        <w:rPr>
          <w:color w:val="231F20"/>
          <w:w w:val="105"/>
        </w:rPr>
        <w:t>Table</w:t>
      </w:r>
      <w:r>
        <w:rPr>
          <w:color w:val="231F20"/>
          <w:spacing w:val="-6"/>
          <w:w w:val="105"/>
        </w:rPr>
        <w:t> </w:t>
      </w:r>
      <w:r>
        <w:rPr>
          <w:color w:val="231F20"/>
          <w:w w:val="105"/>
        </w:rPr>
        <w:t>2).</w:t>
      </w:r>
      <w:r>
        <w:rPr>
          <w:color w:val="231F20"/>
          <w:spacing w:val="-7"/>
          <w:w w:val="105"/>
        </w:rPr>
        <w:t> </w:t>
      </w:r>
      <w:r>
        <w:rPr>
          <w:color w:val="231F20"/>
          <w:w w:val="105"/>
        </w:rPr>
        <w:t>In</w:t>
      </w:r>
      <w:r>
        <w:rPr>
          <w:color w:val="231F20"/>
          <w:spacing w:val="-7"/>
          <w:w w:val="105"/>
        </w:rPr>
        <w:t> </w:t>
      </w:r>
      <w:r>
        <w:rPr>
          <w:color w:val="231F20"/>
          <w:w w:val="105"/>
        </w:rPr>
        <w:t>the</w:t>
      </w:r>
      <w:r>
        <w:rPr>
          <w:color w:val="231F20"/>
          <w:spacing w:val="-6"/>
          <w:w w:val="105"/>
        </w:rPr>
        <w:t> </w:t>
      </w:r>
      <w:r>
        <w:rPr>
          <w:color w:val="231F20"/>
          <w:w w:val="105"/>
        </w:rPr>
        <w:t>outcomes cohort,</w:t>
      </w:r>
      <w:r>
        <w:rPr>
          <w:color w:val="231F20"/>
          <w:spacing w:val="-5"/>
          <w:w w:val="105"/>
        </w:rPr>
        <w:t> </w:t>
      </w:r>
      <w:r>
        <w:rPr>
          <w:color w:val="231F20"/>
          <w:w w:val="105"/>
        </w:rPr>
        <w:t>the</w:t>
      </w:r>
      <w:r>
        <w:rPr>
          <w:color w:val="231F20"/>
          <w:spacing w:val="-5"/>
          <w:w w:val="105"/>
        </w:rPr>
        <w:t> </w:t>
      </w:r>
      <w:r>
        <w:rPr>
          <w:color w:val="231F20"/>
          <w:w w:val="105"/>
        </w:rPr>
        <w:t>majority</w:t>
      </w:r>
      <w:r>
        <w:rPr>
          <w:color w:val="231F20"/>
          <w:spacing w:val="-6"/>
          <w:w w:val="105"/>
        </w:rPr>
        <w:t> </w:t>
      </w:r>
      <w:r>
        <w:rPr>
          <w:color w:val="231F20"/>
          <w:w w:val="105"/>
        </w:rPr>
        <w:t>of</w:t>
      </w:r>
      <w:r>
        <w:rPr>
          <w:color w:val="231F20"/>
          <w:spacing w:val="-6"/>
          <w:w w:val="105"/>
        </w:rPr>
        <w:t> </w:t>
      </w:r>
      <w:r>
        <w:rPr>
          <w:color w:val="231F20"/>
          <w:w w:val="105"/>
        </w:rPr>
        <w:t>patients</w:t>
      </w:r>
      <w:r>
        <w:rPr>
          <w:color w:val="231F20"/>
          <w:spacing w:val="-6"/>
          <w:w w:val="105"/>
        </w:rPr>
        <w:t> </w:t>
      </w:r>
      <w:r>
        <w:rPr>
          <w:color w:val="231F20"/>
          <w:w w:val="105"/>
        </w:rPr>
        <w:t>on</w:t>
      </w:r>
      <w:r>
        <w:rPr>
          <w:color w:val="231F20"/>
          <w:spacing w:val="-5"/>
          <w:w w:val="105"/>
        </w:rPr>
        <w:t> </w:t>
      </w:r>
      <w:r>
        <w:rPr>
          <w:color w:val="231F20"/>
          <w:w w:val="105"/>
        </w:rPr>
        <w:t>AHDs</w:t>
      </w:r>
      <w:r>
        <w:rPr>
          <w:color w:val="231F20"/>
          <w:spacing w:val="-5"/>
          <w:w w:val="105"/>
        </w:rPr>
        <w:t> </w:t>
      </w:r>
      <w:r>
        <w:rPr>
          <w:color w:val="231F20"/>
          <w:w w:val="105"/>
        </w:rPr>
        <w:t>received</w:t>
      </w:r>
      <w:r>
        <w:rPr>
          <w:color w:val="231F20"/>
          <w:spacing w:val="-5"/>
          <w:w w:val="105"/>
        </w:rPr>
        <w:t> </w:t>
      </w:r>
      <w:r>
        <w:rPr>
          <w:color w:val="231F20"/>
          <w:w w:val="105"/>
        </w:rPr>
        <w:t>only</w:t>
      </w:r>
      <w:r>
        <w:rPr>
          <w:color w:val="231F20"/>
          <w:spacing w:val="-5"/>
          <w:w w:val="105"/>
        </w:rPr>
        <w:t> </w:t>
      </w:r>
      <w:r>
        <w:rPr>
          <w:color w:val="231F20"/>
          <w:w w:val="105"/>
        </w:rPr>
        <w:t>green</w:t>
      </w:r>
    </w:p>
    <w:p>
      <w:pPr>
        <w:pStyle w:val="BodyText"/>
        <w:spacing w:line="230" w:lineRule="auto" w:before="88"/>
        <w:ind w:right="114"/>
        <w:jc w:val="both"/>
      </w:pPr>
      <w:r>
        <w:rPr/>
        <w:br w:type="column"/>
      </w:r>
      <w:r>
        <w:rPr>
          <w:color w:val="231F20"/>
          <w:w w:val="105"/>
        </w:rPr>
        <w:t>AHDs (252/409, 61%), while the opposite was seen in patients on AXDs and LLDs (amber AXDs: 121/153, 79%; amber LLDs: 54/96, 56%) (Figure 1A</w:t>
      </w:r>
      <w:r>
        <w:rPr>
          <w:rFonts w:ascii="Lucida Sans" w:hAnsi="Lucida Sans"/>
          <w:color w:val="231F20"/>
          <w:w w:val="105"/>
        </w:rPr>
        <w:t>–</w:t>
      </w:r>
      <w:r>
        <w:rPr>
          <w:color w:val="231F20"/>
          <w:w w:val="105"/>
        </w:rPr>
        <w:t>C). Patients receiving both green and amber CMOIs of the same drug class were most common in the AHD group (AHDs: 105/409, 26%; LLDs: 13/96, 14%; AXDs: 6/153, 4%). Table S3 lists the  CMOIs</w:t>
      </w:r>
      <w:r>
        <w:rPr>
          <w:color w:val="231F20"/>
          <w:spacing w:val="1"/>
          <w:w w:val="105"/>
        </w:rPr>
        <w:t> </w:t>
      </w:r>
      <w:r>
        <w:rPr>
          <w:color w:val="231F20"/>
          <w:w w:val="105"/>
        </w:rPr>
        <w:t>administered.</w:t>
      </w:r>
    </w:p>
    <w:p>
      <w:pPr>
        <w:pStyle w:val="BodyText"/>
        <w:spacing w:line="230" w:lineRule="auto"/>
        <w:ind w:right="114" w:firstLine="280"/>
        <w:jc w:val="both"/>
      </w:pPr>
      <w:r>
        <w:rPr>
          <w:color w:val="231F20"/>
          <w:w w:val="105"/>
        </w:rPr>
        <w:t>The frequency of polypharmacy was high in the study population. In the outcomes cohort, most patients [67% on AHDs (272/409), 64% on AXDs (98/153), and 83% on LLDs</w:t>
      </w:r>
    </w:p>
    <w:p>
      <w:pPr>
        <w:pStyle w:val="BodyText"/>
        <w:spacing w:line="230" w:lineRule="auto"/>
        <w:ind w:right="115"/>
        <w:jc w:val="both"/>
      </w:pPr>
      <w:r>
        <w:rPr>
          <w:color w:val="231F20"/>
          <w:w w:val="105"/>
        </w:rPr>
        <w:t>(80/96)] were taking </w:t>
      </w:r>
      <w:r>
        <w:rPr>
          <w:rFonts w:ascii="Times New Roman" w:hAnsi="Times New Roman"/>
          <w:color w:val="231F20"/>
          <w:w w:val="105"/>
        </w:rPr>
        <w:t>ﬁ</w:t>
      </w:r>
      <w:r>
        <w:rPr>
          <w:color w:val="231F20"/>
          <w:w w:val="105"/>
        </w:rPr>
        <w:t>ve or more of any type of concomitant medications. A relevant proportion of patients were taking more than one CMOI (Figure 2A</w:t>
      </w:r>
      <w:r>
        <w:rPr>
          <w:rFonts w:ascii="Lucida Sans" w:hAnsi="Lucida Sans"/>
          <w:color w:val="231F20"/>
          <w:w w:val="105"/>
        </w:rPr>
        <w:t>–</w:t>
      </w:r>
      <w:r>
        <w:rPr>
          <w:color w:val="231F20"/>
          <w:w w:val="105"/>
        </w:rPr>
        <w:t>C).</w:t>
      </w:r>
    </w:p>
    <w:p>
      <w:pPr>
        <w:pStyle w:val="BodyText"/>
        <w:spacing w:line="220" w:lineRule="auto" w:before="5"/>
        <w:ind w:right="114" w:firstLine="280"/>
        <w:jc w:val="both"/>
      </w:pPr>
      <w:r>
        <w:rPr>
          <w:color w:val="231F20"/>
          <w:w w:val="105"/>
        </w:rPr>
        <w:t>In the safety cohort, more patients in the amber groups were receiving </w:t>
      </w:r>
      <w:r>
        <w:rPr>
          <w:rFonts w:ascii="Lucida Sans Unicode" w:hAnsi="Lucida Sans Unicode"/>
          <w:color w:val="231F20"/>
          <w:w w:val="105"/>
        </w:rPr>
        <w:t>&gt;</w:t>
      </w:r>
      <w:r>
        <w:rPr>
          <w:color w:val="231F20"/>
          <w:w w:val="105"/>
        </w:rPr>
        <w:t>1 CMOI (AHD, AXD, LLD) than patients in the green groups [AHDs: 69% </w:t>
      </w:r>
      <w:r>
        <w:rPr>
          <w:rFonts w:ascii="Book Antiqua" w:hAnsi="Book Antiqua"/>
          <w:i/>
          <w:color w:val="231F20"/>
          <w:w w:val="105"/>
        </w:rPr>
        <w:t>vs</w:t>
      </w:r>
      <w:r>
        <w:rPr>
          <w:color w:val="231F20"/>
          <w:w w:val="105"/>
        </w:rPr>
        <w:t>. 36% (</w:t>
      </w:r>
      <w:r>
        <w:rPr>
          <w:rFonts w:ascii="Book Antiqua" w:hAnsi="Book Antiqua"/>
          <w:i/>
          <w:color w:val="231F20"/>
          <w:w w:val="105"/>
        </w:rPr>
        <w:t>P </w:t>
      </w:r>
      <w:r>
        <w:rPr>
          <w:rFonts w:ascii="Calibri" w:hAnsi="Calibri"/>
          <w:color w:val="231F20"/>
          <w:w w:val="105"/>
        </w:rPr>
        <w:t>≤ </w:t>
      </w:r>
      <w:r>
        <w:rPr>
          <w:color w:val="231F20"/>
          <w:w w:val="105"/>
        </w:rPr>
        <w:t>0.001); AXDs: 18.7% </w:t>
      </w:r>
      <w:r>
        <w:rPr>
          <w:rFonts w:ascii="Book Antiqua" w:hAnsi="Book Antiqua"/>
          <w:i/>
          <w:color w:val="231F20"/>
          <w:w w:val="105"/>
        </w:rPr>
        <w:t>vs</w:t>
      </w:r>
      <w:r>
        <w:rPr>
          <w:color w:val="231F20"/>
          <w:w w:val="105"/>
        </w:rPr>
        <w:t>. 4% (</w:t>
      </w:r>
      <w:r>
        <w:rPr>
          <w:rFonts w:ascii="Book Antiqua" w:hAnsi="Book Antiqua"/>
          <w:i/>
          <w:color w:val="231F20"/>
          <w:w w:val="105"/>
        </w:rPr>
        <w:t>P </w:t>
      </w:r>
      <w:r>
        <w:rPr>
          <w:color w:val="231F20"/>
          <w:w w:val="105"/>
        </w:rPr>
        <w:t>= 0.061); LLDs: 20% </w:t>
      </w:r>
      <w:r>
        <w:rPr>
          <w:rFonts w:ascii="Book Antiqua" w:hAnsi="Book Antiqua"/>
          <w:i/>
          <w:color w:val="231F20"/>
          <w:w w:val="105"/>
        </w:rPr>
        <w:t>vs</w:t>
      </w:r>
      <w:r>
        <w:rPr>
          <w:color w:val="231F20"/>
          <w:w w:val="105"/>
        </w:rPr>
        <w:t>. 11% (</w:t>
      </w:r>
      <w:r>
        <w:rPr>
          <w:rFonts w:ascii="Book Antiqua" w:hAnsi="Book Antiqua"/>
          <w:i/>
          <w:color w:val="231F20"/>
          <w:w w:val="105"/>
        </w:rPr>
        <w:t>P </w:t>
      </w:r>
      <w:r>
        <w:rPr>
          <w:color w:val="231F20"/>
          <w:w w:val="105"/>
        </w:rPr>
        <w:t>= 0.29)].</w:t>
      </w:r>
    </w:p>
    <w:p>
      <w:pPr>
        <w:pStyle w:val="BodyText"/>
        <w:spacing w:before="5"/>
        <w:ind w:left="0"/>
        <w:rPr>
          <w:sz w:val="22"/>
        </w:rPr>
      </w:pPr>
    </w:p>
    <w:p>
      <w:pPr>
        <w:pStyle w:val="Heading2"/>
        <w:spacing w:line="199" w:lineRule="auto"/>
        <w:ind w:right="116"/>
        <w:jc w:val="both"/>
      </w:pPr>
      <w:r>
        <w:rPr>
          <w:i/>
          <w:color w:val="00AB54"/>
          <w:w w:val="105"/>
        </w:rPr>
        <w:t>DDI management (composite primary</w:t>
      </w:r>
      <w:r>
        <w:rPr>
          <w:i/>
          <w:color w:val="00AB54"/>
          <w:spacing w:val="-22"/>
          <w:w w:val="105"/>
        </w:rPr>
        <w:t> </w:t>
      </w:r>
      <w:r>
        <w:rPr>
          <w:i/>
          <w:color w:val="00AB54"/>
          <w:w w:val="105"/>
        </w:rPr>
        <w:t>endpoint </w:t>
      </w:r>
      <w:r>
        <w:rPr>
          <w:color w:val="00AB54"/>
          <w:w w:val="105"/>
        </w:rPr>
        <w:t>in the outcomes</w:t>
      </w:r>
      <w:r>
        <w:rPr>
          <w:color w:val="00AB54"/>
          <w:spacing w:val="10"/>
          <w:w w:val="105"/>
        </w:rPr>
        <w:t> </w:t>
      </w:r>
      <w:r>
        <w:rPr>
          <w:color w:val="00AB54"/>
          <w:w w:val="105"/>
        </w:rPr>
        <w:t>cohort)</w:t>
      </w:r>
    </w:p>
    <w:p>
      <w:pPr>
        <w:pStyle w:val="BodyText"/>
        <w:spacing w:line="230" w:lineRule="auto"/>
        <w:ind w:right="116"/>
        <w:jc w:val="both"/>
      </w:pPr>
      <w:r>
        <w:rPr>
          <w:color w:val="231F20"/>
          <w:w w:val="105"/>
        </w:rPr>
        <w:t>Most patients remained on their original CMOI without any modi</w:t>
      </w:r>
      <w:r>
        <w:rPr>
          <w:rFonts w:ascii="Times New Roman" w:hAnsi="Times New Roman"/>
          <w:color w:val="231F20"/>
          <w:w w:val="105"/>
        </w:rPr>
        <w:t>ﬁ</w:t>
      </w:r>
      <w:r>
        <w:rPr>
          <w:color w:val="231F20"/>
          <w:w w:val="105"/>
        </w:rPr>
        <w:t>cation during SMV treatment. Between 3.1% (green AXD) to 19.4% (amber LLD) of patients met the composite endpoint (Figure 3A</w:t>
      </w:r>
      <w:r>
        <w:rPr>
          <w:rFonts w:ascii="Lucida Sans" w:hAnsi="Lucida Sans"/>
          <w:color w:val="231F20"/>
          <w:w w:val="105"/>
        </w:rPr>
        <w:t>–</w:t>
      </w:r>
      <w:r>
        <w:rPr>
          <w:color w:val="231F20"/>
          <w:w w:val="105"/>
        </w:rPr>
        <w:t>D).</w:t>
      </w:r>
    </w:p>
    <w:p>
      <w:pPr>
        <w:pStyle w:val="BodyText"/>
        <w:spacing w:before="5"/>
        <w:ind w:left="0"/>
        <w:rPr>
          <w:sz w:val="18"/>
        </w:rPr>
      </w:pPr>
    </w:p>
    <w:p>
      <w:pPr>
        <w:pStyle w:val="BodyText"/>
        <w:spacing w:line="230" w:lineRule="auto"/>
        <w:ind w:right="115"/>
        <w:jc w:val="both"/>
      </w:pPr>
      <w:r>
        <w:rPr>
          <w:rFonts w:ascii="Book Antiqua" w:hAnsi="Book Antiqua"/>
          <w:i/>
          <w:color w:val="231F20"/>
          <w:w w:val="105"/>
        </w:rPr>
        <w:t>Outcomes in patients on AHDs.</w:t>
      </w:r>
      <w:r>
        <w:rPr>
          <w:rFonts w:ascii="Book Antiqua" w:hAnsi="Book Antiqua"/>
          <w:i/>
          <w:color w:val="231F20"/>
          <w:spacing w:val="26"/>
          <w:w w:val="105"/>
        </w:rPr>
        <w:t> </w:t>
      </w:r>
      <w:r>
        <w:rPr>
          <w:color w:val="231F20"/>
          <w:w w:val="105"/>
        </w:rPr>
        <w:t>Among patients on AHDs, the overall</w:t>
      </w:r>
      <w:r>
        <w:rPr>
          <w:color w:val="231F20"/>
          <w:spacing w:val="-5"/>
          <w:w w:val="105"/>
        </w:rPr>
        <w:t> </w:t>
      </w:r>
      <w:r>
        <w:rPr>
          <w:color w:val="231F20"/>
          <w:w w:val="105"/>
        </w:rPr>
        <w:t>rate</w:t>
      </w:r>
      <w:r>
        <w:rPr>
          <w:color w:val="231F20"/>
          <w:spacing w:val="-5"/>
          <w:w w:val="105"/>
        </w:rPr>
        <w:t> </w:t>
      </w:r>
      <w:r>
        <w:rPr>
          <w:color w:val="231F20"/>
          <w:w w:val="105"/>
        </w:rPr>
        <w:t>of</w:t>
      </w:r>
      <w:r>
        <w:rPr>
          <w:color w:val="231F20"/>
          <w:spacing w:val="-5"/>
          <w:w w:val="105"/>
        </w:rPr>
        <w:t> </w:t>
      </w:r>
      <w:r>
        <w:rPr>
          <w:color w:val="231F20"/>
          <w:w w:val="105"/>
        </w:rPr>
        <w:t>CMOI</w:t>
      </w:r>
      <w:r>
        <w:rPr>
          <w:color w:val="231F20"/>
          <w:spacing w:val="-5"/>
          <w:w w:val="105"/>
        </w:rPr>
        <w:t> </w:t>
      </w:r>
      <w:r>
        <w:rPr>
          <w:color w:val="231F20"/>
          <w:w w:val="105"/>
        </w:rPr>
        <w:t>treatment</w:t>
      </w:r>
      <w:r>
        <w:rPr>
          <w:color w:val="231F20"/>
          <w:spacing w:val="-5"/>
          <w:w w:val="105"/>
        </w:rPr>
        <w:t> </w:t>
      </w:r>
      <w:r>
        <w:rPr>
          <w:color w:val="231F20"/>
          <w:w w:val="105"/>
        </w:rPr>
        <w:t>changes</w:t>
      </w:r>
      <w:r>
        <w:rPr>
          <w:color w:val="231F20"/>
          <w:spacing w:val="-6"/>
          <w:w w:val="105"/>
        </w:rPr>
        <w:t> </w:t>
      </w:r>
      <w:r>
        <w:rPr>
          <w:color w:val="231F20"/>
          <w:w w:val="105"/>
        </w:rPr>
        <w:t>was</w:t>
      </w:r>
      <w:r>
        <w:rPr>
          <w:color w:val="231F20"/>
          <w:spacing w:val="-5"/>
          <w:w w:val="105"/>
        </w:rPr>
        <w:t> </w:t>
      </w:r>
      <w:r>
        <w:rPr>
          <w:color w:val="231F20"/>
          <w:w w:val="105"/>
        </w:rPr>
        <w:t>similar</w:t>
      </w:r>
      <w:r>
        <w:rPr>
          <w:color w:val="231F20"/>
          <w:spacing w:val="-6"/>
          <w:w w:val="105"/>
        </w:rPr>
        <w:t> </w:t>
      </w:r>
      <w:r>
        <w:rPr>
          <w:color w:val="231F20"/>
          <w:w w:val="105"/>
        </w:rPr>
        <w:t>for</w:t>
      </w:r>
      <w:r>
        <w:rPr>
          <w:color w:val="231F20"/>
          <w:spacing w:val="-11"/>
          <w:w w:val="105"/>
        </w:rPr>
        <w:t> </w:t>
      </w:r>
      <w:r>
        <w:rPr>
          <w:color w:val="231F20"/>
          <w:w w:val="105"/>
        </w:rPr>
        <w:t>green and amber drugs [10.6% (38/357) in the green group, 14.0% (22/157) in the amber group; Figure 3A]. Most CMOI changes were either discontinuations or dose changes, with similar rates for amber and green drugs (Figure 3B). Most dose modi</w:t>
      </w:r>
      <w:r>
        <w:rPr>
          <w:rFonts w:ascii="Times New Roman" w:hAnsi="Times New Roman"/>
          <w:color w:val="231F20"/>
          <w:w w:val="105"/>
        </w:rPr>
        <w:t>ﬁ</w:t>
      </w:r>
      <w:r>
        <w:rPr>
          <w:color w:val="231F20"/>
          <w:w w:val="105"/>
        </w:rPr>
        <w:t>cations of amber drugs were single  dose  changes (6/10, 60%, with four dose increases), with a subsequent discontinuation in a single patient. Half of all discontinuations of amber AHDs occurred during the screening period or on day 1 of SMV therapy</w:t>
      </w:r>
      <w:r>
        <w:rPr>
          <w:color w:val="231F20"/>
          <w:spacing w:val="25"/>
          <w:w w:val="105"/>
        </w:rPr>
        <w:t> </w:t>
      </w:r>
      <w:r>
        <w:rPr>
          <w:color w:val="231F20"/>
          <w:w w:val="105"/>
        </w:rPr>
        <w:t>(7/14).</w:t>
      </w:r>
    </w:p>
    <w:p>
      <w:pPr>
        <w:pStyle w:val="BodyText"/>
        <w:spacing w:before="10"/>
        <w:ind w:left="0"/>
        <w:rPr>
          <w:sz w:val="18"/>
        </w:rPr>
      </w:pPr>
    </w:p>
    <w:p>
      <w:pPr>
        <w:pStyle w:val="BodyText"/>
        <w:spacing w:line="230" w:lineRule="auto"/>
        <w:ind w:right="114"/>
        <w:jc w:val="both"/>
      </w:pPr>
      <w:r>
        <w:rPr>
          <w:rFonts w:ascii="Book Antiqua"/>
          <w:i/>
          <w:color w:val="231F20"/>
          <w:w w:val="105"/>
        </w:rPr>
        <w:t>Outcomes in patients on AXDs. </w:t>
      </w:r>
      <w:r>
        <w:rPr>
          <w:color w:val="231F20"/>
          <w:w w:val="105"/>
        </w:rPr>
        <w:t>Among patients on AXDs, the overall rate of CMOI treatment changes was lower in the green group [3.1% (1/32)] than in the amber group [13.4% (17/127)] (Figure 3A). A single patient stopped a green AXD, while 14/127 patients (11%) discontinued their amber AXD concomitant medication (Figure 3C), 5/14 (36%) during screening or on day 1 of SMV therapy. There was no clear pattern in patients stopping amber AXDs regarding their cirrhosis status, age, type of AXD or timing of discontinuation in relation to SMV treatment.</w:t>
      </w:r>
    </w:p>
    <w:p>
      <w:pPr>
        <w:pStyle w:val="BodyText"/>
        <w:spacing w:before="10"/>
        <w:ind w:left="0"/>
        <w:rPr>
          <w:sz w:val="18"/>
        </w:rPr>
      </w:pPr>
    </w:p>
    <w:p>
      <w:pPr>
        <w:pStyle w:val="BodyText"/>
        <w:spacing w:line="230" w:lineRule="auto"/>
        <w:ind w:right="114"/>
        <w:jc w:val="both"/>
      </w:pPr>
      <w:r>
        <w:rPr>
          <w:rFonts w:ascii="Book Antiqua" w:hAnsi="Book Antiqua"/>
          <w:i/>
          <w:color w:val="231F20"/>
          <w:w w:val="105"/>
        </w:rPr>
        <w:t>Outcomes in patients on LLDs. </w:t>
      </w:r>
      <w:r>
        <w:rPr>
          <w:color w:val="231F20"/>
          <w:w w:val="105"/>
        </w:rPr>
        <w:t>More patients (19.4%, 13/67) receiving LLDs classi</w:t>
      </w:r>
      <w:r>
        <w:rPr>
          <w:rFonts w:ascii="Times New Roman" w:hAnsi="Times New Roman"/>
          <w:color w:val="231F20"/>
          <w:w w:val="105"/>
        </w:rPr>
        <w:t>ﬁ</w:t>
      </w:r>
      <w:r>
        <w:rPr>
          <w:color w:val="231F20"/>
          <w:w w:val="105"/>
        </w:rPr>
        <w:t>ed as amber changed their CMOI treatment compared with 3/42 (7.1%) patients on green LLDs (Figure 3A,D). This difference was driven by statin dose reductions at a single timepoint (</w:t>
      </w:r>
      <w:r>
        <w:rPr>
          <w:rFonts w:ascii="Book Antiqua" w:hAnsi="Book Antiqua"/>
          <w:i/>
          <w:color w:val="231F20"/>
          <w:w w:val="105"/>
        </w:rPr>
        <w:t>n </w:t>
      </w:r>
      <w:r>
        <w:rPr>
          <w:color w:val="231F20"/>
          <w:w w:val="105"/>
        </w:rPr>
        <w:t>= 7), mostly before SMV treatment was initiated (5/7) and in accordance with the US product information and EU Summary of Product Characteristics (SmPC) [4]. Four of these seven patients received a DCV-containing HCV regimen. One patient discontinued the statin following a dose change.</w:t>
      </w:r>
    </w:p>
    <w:p>
      <w:pPr>
        <w:pStyle w:val="BodyText"/>
        <w:spacing w:line="230" w:lineRule="auto"/>
        <w:ind w:right="115" w:firstLine="280"/>
        <w:jc w:val="both"/>
      </w:pPr>
      <w:r>
        <w:rPr>
          <w:color w:val="231F20"/>
          <w:w w:val="105"/>
        </w:rPr>
        <w:t>No major differences in the incidence of DDI manage- ment endpoints between clinical studies and the</w:t>
      </w:r>
    </w:p>
    <w:p>
      <w:pPr>
        <w:spacing w:after="0" w:line="230" w:lineRule="auto"/>
        <w:jc w:val="both"/>
        <w:sectPr>
          <w:type w:val="continuous"/>
          <w:pgSz w:w="11880" w:h="15670"/>
          <w:pgMar w:top="380" w:bottom="0" w:left="740" w:right="720"/>
          <w:cols w:num="2" w:equalWidth="0">
            <w:col w:w="4964" w:space="417"/>
            <w:col w:w="5039"/>
          </w:cols>
        </w:sectPr>
      </w:pPr>
    </w:p>
    <w:p>
      <w:pPr>
        <w:pStyle w:val="BodyText"/>
        <w:spacing w:before="1"/>
        <w:ind w:left="0"/>
        <w:rPr>
          <w:sz w:val="11"/>
        </w:rPr>
      </w:pPr>
    </w:p>
    <w:p>
      <w:pPr>
        <w:pStyle w:val="BodyText"/>
        <w:ind w:left="1781"/>
        <w:rPr>
          <w:sz w:val="20"/>
        </w:rPr>
      </w:pPr>
      <w:r>
        <w:rPr>
          <w:sz w:val="20"/>
        </w:rPr>
        <w:drawing>
          <wp:inline distT="0" distB="0" distL="0" distR="0">
            <wp:extent cx="4341716" cy="5230368"/>
            <wp:effectExtent l="0" t="0" r="0" b="0"/>
            <wp:docPr id="1" name="image5.jpeg" descr=""/>
            <wp:cNvGraphicFramePr>
              <a:graphicFrameLocks noChangeAspect="1"/>
            </wp:cNvGraphicFramePr>
            <a:graphic>
              <a:graphicData uri="http://schemas.openxmlformats.org/drawingml/2006/picture">
                <pic:pic>
                  <pic:nvPicPr>
                    <pic:cNvPr id="2" name="image5.jpeg"/>
                    <pic:cNvPicPr/>
                  </pic:nvPicPr>
                  <pic:blipFill>
                    <a:blip r:embed="rId22" cstate="print"/>
                    <a:stretch>
                      <a:fillRect/>
                    </a:stretch>
                  </pic:blipFill>
                  <pic:spPr>
                    <a:xfrm>
                      <a:off x="0" y="0"/>
                      <a:ext cx="4341716" cy="5230368"/>
                    </a:xfrm>
                    <a:prstGeom prst="rect">
                      <a:avLst/>
                    </a:prstGeom>
                  </pic:spPr>
                </pic:pic>
              </a:graphicData>
            </a:graphic>
          </wp:inline>
        </w:drawing>
      </w:r>
      <w:r>
        <w:rPr>
          <w:sz w:val="20"/>
        </w:rPr>
      </w:r>
    </w:p>
    <w:p>
      <w:pPr>
        <w:pStyle w:val="BodyText"/>
        <w:spacing w:before="6"/>
        <w:ind w:left="0"/>
        <w:rPr>
          <w:sz w:val="18"/>
        </w:rPr>
      </w:pPr>
    </w:p>
    <w:p>
      <w:pPr>
        <w:pStyle w:val="Heading3"/>
        <w:spacing w:before="95"/>
      </w:pPr>
      <w:r>
        <w:rPr>
          <w:color w:val="00AB54"/>
        </w:rPr>
        <w:t>Figure 1</w:t>
      </w:r>
    </w:p>
    <w:p>
      <w:pPr>
        <w:spacing w:line="244" w:lineRule="auto" w:before="42"/>
        <w:ind w:left="100" w:right="114" w:firstLine="0"/>
        <w:jc w:val="both"/>
        <w:rPr>
          <w:rFonts w:ascii="Calibri" w:hAnsi="Calibri"/>
          <w:sz w:val="16"/>
        </w:rPr>
      </w:pPr>
      <w:r>
        <w:rPr>
          <w:rFonts w:ascii="Calibri" w:hAnsi="Calibri"/>
          <w:color w:val="231F20"/>
          <w:w w:val="105"/>
          <w:sz w:val="16"/>
        </w:rPr>
        <w:t>Proportion of green and amber CMOIs. Proportion of patients taking CMOIs classi</w:t>
      </w:r>
      <w:r>
        <w:rPr>
          <w:rFonts w:ascii="Arial" w:hAnsi="Arial"/>
          <w:color w:val="231F20"/>
          <w:w w:val="105"/>
          <w:sz w:val="16"/>
        </w:rPr>
        <w:t>ﬁ</w:t>
      </w:r>
      <w:r>
        <w:rPr>
          <w:rFonts w:ascii="Calibri" w:hAnsi="Calibri"/>
          <w:color w:val="231F20"/>
          <w:w w:val="105"/>
          <w:sz w:val="16"/>
        </w:rPr>
        <w:t>ed as amber, green or both in the outcomes cohort and safety cohort. In both cohorts, most patients on AHDs were taking green AHDs only (A,D). The majority of patients on AXDs (B,E) and LLDs (C,F) were    taking amber drugs only. There were slightly fewer patients in the safety cohort. AHD, antihypertensive drug; AXD, anxiolytic drug; CMOI, con- comitant medication of interest; LLD: lipid-lowering</w:t>
      </w:r>
      <w:r>
        <w:rPr>
          <w:rFonts w:ascii="Calibri" w:hAnsi="Calibri"/>
          <w:color w:val="231F20"/>
          <w:spacing w:val="5"/>
          <w:w w:val="105"/>
          <w:sz w:val="16"/>
        </w:rPr>
        <w:t> </w:t>
      </w:r>
      <w:r>
        <w:rPr>
          <w:rFonts w:ascii="Calibri" w:hAnsi="Calibri"/>
          <w:color w:val="231F20"/>
          <w:w w:val="105"/>
          <w:sz w:val="16"/>
        </w:rPr>
        <w:t>drug</w:t>
      </w:r>
    </w:p>
    <w:p>
      <w:pPr>
        <w:pStyle w:val="BodyText"/>
        <w:spacing w:before="11"/>
        <w:ind w:left="0"/>
        <w:rPr>
          <w:rFonts w:ascii="Calibri"/>
          <w:sz w:val="25"/>
        </w:rPr>
      </w:pPr>
    </w:p>
    <w:p>
      <w:pPr>
        <w:spacing w:after="0"/>
        <w:rPr>
          <w:rFonts w:ascii="Calibri"/>
          <w:sz w:val="25"/>
        </w:rPr>
        <w:sectPr>
          <w:pgSz w:w="11880" w:h="15670"/>
          <w:pgMar w:header="462" w:footer="669" w:top="980" w:bottom="860" w:left="740" w:right="720"/>
        </w:sectPr>
      </w:pPr>
    </w:p>
    <w:p>
      <w:pPr>
        <w:pStyle w:val="BodyText"/>
        <w:spacing w:line="230" w:lineRule="auto" w:before="88"/>
        <w:ind w:right="39"/>
        <w:jc w:val="both"/>
      </w:pPr>
      <w:r>
        <w:rPr>
          <w:color w:val="231F20"/>
          <w:w w:val="105"/>
        </w:rPr>
        <w:t>observational cohort during the treatment period were ob- served (data not shown). When treatment and screening pe- riods were analysed separately, similar trends to the overall analysis</w:t>
      </w:r>
      <w:r>
        <w:rPr>
          <w:color w:val="231F20"/>
          <w:spacing w:val="-9"/>
          <w:w w:val="105"/>
        </w:rPr>
        <w:t> </w:t>
      </w:r>
      <w:r>
        <w:rPr>
          <w:color w:val="231F20"/>
          <w:w w:val="105"/>
        </w:rPr>
        <w:t>were</w:t>
      </w:r>
      <w:r>
        <w:rPr>
          <w:color w:val="231F20"/>
          <w:spacing w:val="-8"/>
          <w:w w:val="105"/>
        </w:rPr>
        <w:t> </w:t>
      </w:r>
      <w:r>
        <w:rPr>
          <w:color w:val="231F20"/>
          <w:w w:val="105"/>
        </w:rPr>
        <w:t>observed</w:t>
      </w:r>
      <w:r>
        <w:rPr>
          <w:color w:val="231F20"/>
          <w:spacing w:val="-8"/>
          <w:w w:val="105"/>
        </w:rPr>
        <w:t> </w:t>
      </w:r>
      <w:r>
        <w:rPr>
          <w:color w:val="231F20"/>
          <w:w w:val="105"/>
        </w:rPr>
        <w:t>(data</w:t>
      </w:r>
      <w:r>
        <w:rPr>
          <w:color w:val="231F20"/>
          <w:spacing w:val="-8"/>
          <w:w w:val="105"/>
        </w:rPr>
        <w:t> </w:t>
      </w:r>
      <w:r>
        <w:rPr>
          <w:color w:val="231F20"/>
          <w:w w:val="105"/>
        </w:rPr>
        <w:t>not</w:t>
      </w:r>
      <w:r>
        <w:rPr>
          <w:color w:val="231F20"/>
          <w:spacing w:val="-9"/>
          <w:w w:val="105"/>
        </w:rPr>
        <w:t> </w:t>
      </w:r>
      <w:r>
        <w:rPr>
          <w:color w:val="231F20"/>
          <w:w w:val="105"/>
        </w:rPr>
        <w:t>shown).</w:t>
      </w:r>
      <w:r>
        <w:rPr>
          <w:color w:val="231F20"/>
          <w:spacing w:val="-8"/>
          <w:w w:val="105"/>
        </w:rPr>
        <w:t> </w:t>
      </w:r>
      <w:r>
        <w:rPr>
          <w:color w:val="231F20"/>
          <w:w w:val="105"/>
        </w:rPr>
        <w:t>For</w:t>
      </w:r>
      <w:r>
        <w:rPr>
          <w:color w:val="231F20"/>
          <w:spacing w:val="-8"/>
          <w:w w:val="105"/>
        </w:rPr>
        <w:t> </w:t>
      </w:r>
      <w:r>
        <w:rPr>
          <w:color w:val="231F20"/>
          <w:w w:val="105"/>
        </w:rPr>
        <w:t>patients</w:t>
      </w:r>
      <w:r>
        <w:rPr>
          <w:color w:val="231F20"/>
          <w:spacing w:val="-9"/>
          <w:w w:val="105"/>
        </w:rPr>
        <w:t> </w:t>
      </w:r>
      <w:r>
        <w:rPr>
          <w:color w:val="231F20"/>
          <w:w w:val="105"/>
        </w:rPr>
        <w:t>on</w:t>
      </w:r>
      <w:r>
        <w:rPr>
          <w:color w:val="231F20"/>
          <w:spacing w:val="-9"/>
          <w:w w:val="105"/>
        </w:rPr>
        <w:t> </w:t>
      </w:r>
      <w:r>
        <w:rPr>
          <w:color w:val="231F20"/>
          <w:w w:val="105"/>
        </w:rPr>
        <w:t>am- ber LLDs, CMOI changes were mainly carried out during the screening period, and mostly related to</w:t>
      </w:r>
      <w:r>
        <w:rPr>
          <w:color w:val="231F20"/>
          <w:spacing w:val="12"/>
          <w:w w:val="105"/>
        </w:rPr>
        <w:t> </w:t>
      </w:r>
      <w:r>
        <w:rPr>
          <w:color w:val="231F20"/>
          <w:w w:val="105"/>
        </w:rPr>
        <w:t>statins.</w:t>
      </w:r>
    </w:p>
    <w:p>
      <w:pPr>
        <w:pStyle w:val="BodyText"/>
        <w:spacing w:before="11"/>
        <w:ind w:left="0"/>
        <w:rPr>
          <w:sz w:val="18"/>
        </w:rPr>
      </w:pPr>
    </w:p>
    <w:p>
      <w:pPr>
        <w:pStyle w:val="Heading2"/>
        <w:rPr>
          <w:i/>
        </w:rPr>
      </w:pPr>
      <w:r>
        <w:rPr>
          <w:i/>
          <w:color w:val="00AB54"/>
          <w:w w:val="105"/>
        </w:rPr>
        <w:t>Safety and tolerability (safety cohort)</w:t>
      </w:r>
    </w:p>
    <w:p>
      <w:pPr>
        <w:pStyle w:val="BodyText"/>
        <w:spacing w:line="230" w:lineRule="auto"/>
        <w:ind w:right="38"/>
        <w:jc w:val="both"/>
      </w:pPr>
      <w:r>
        <w:rPr>
          <w:color w:val="231F20"/>
          <w:w w:val="105"/>
        </w:rPr>
        <w:t>SMV in combination with green and amber CMOIs was well tolerated, with low rates of serious AEs (SAEs) and grade 3/4 events</w:t>
      </w:r>
      <w:r>
        <w:rPr>
          <w:color w:val="231F20"/>
          <w:spacing w:val="-6"/>
          <w:w w:val="105"/>
        </w:rPr>
        <w:t> </w:t>
      </w:r>
      <w:r>
        <w:rPr>
          <w:color w:val="231F20"/>
          <w:w w:val="105"/>
        </w:rPr>
        <w:t>(Table</w:t>
      </w:r>
      <w:r>
        <w:rPr>
          <w:color w:val="231F20"/>
          <w:spacing w:val="-7"/>
          <w:w w:val="105"/>
        </w:rPr>
        <w:t> </w:t>
      </w:r>
      <w:r>
        <w:rPr>
          <w:color w:val="231F20"/>
          <w:w w:val="105"/>
        </w:rPr>
        <w:t>3).</w:t>
      </w:r>
      <w:r>
        <w:rPr>
          <w:color w:val="231F20"/>
          <w:spacing w:val="-7"/>
          <w:w w:val="105"/>
        </w:rPr>
        <w:t> </w:t>
      </w:r>
      <w:r>
        <w:rPr>
          <w:color w:val="231F20"/>
          <w:w w:val="105"/>
        </w:rPr>
        <w:t>Similar</w:t>
      </w:r>
      <w:r>
        <w:rPr>
          <w:color w:val="231F20"/>
          <w:spacing w:val="-7"/>
          <w:w w:val="105"/>
        </w:rPr>
        <w:t> </w:t>
      </w:r>
      <w:r>
        <w:rPr>
          <w:color w:val="231F20"/>
          <w:w w:val="105"/>
        </w:rPr>
        <w:t>rates</w:t>
      </w:r>
      <w:r>
        <w:rPr>
          <w:color w:val="231F20"/>
          <w:spacing w:val="-8"/>
          <w:w w:val="105"/>
        </w:rPr>
        <w:t> </w:t>
      </w:r>
      <w:r>
        <w:rPr>
          <w:color w:val="231F20"/>
          <w:w w:val="105"/>
        </w:rPr>
        <w:t>were</w:t>
      </w:r>
      <w:r>
        <w:rPr>
          <w:color w:val="231F20"/>
          <w:spacing w:val="-7"/>
          <w:w w:val="105"/>
        </w:rPr>
        <w:t> </w:t>
      </w:r>
      <w:r>
        <w:rPr>
          <w:color w:val="231F20"/>
          <w:w w:val="105"/>
        </w:rPr>
        <w:t>seen</w:t>
      </w:r>
      <w:r>
        <w:rPr>
          <w:color w:val="231F20"/>
          <w:spacing w:val="-7"/>
          <w:w w:val="105"/>
        </w:rPr>
        <w:t> </w:t>
      </w:r>
      <w:r>
        <w:rPr>
          <w:color w:val="231F20"/>
          <w:w w:val="105"/>
        </w:rPr>
        <w:t>across</w:t>
      </w:r>
      <w:r>
        <w:rPr>
          <w:color w:val="231F20"/>
          <w:spacing w:val="-8"/>
          <w:w w:val="105"/>
        </w:rPr>
        <w:t> </w:t>
      </w:r>
      <w:r>
        <w:rPr>
          <w:color w:val="231F20"/>
          <w:w w:val="105"/>
        </w:rPr>
        <w:t>all</w:t>
      </w:r>
      <w:r>
        <w:rPr>
          <w:color w:val="231F20"/>
          <w:spacing w:val="-7"/>
          <w:w w:val="105"/>
        </w:rPr>
        <w:t> </w:t>
      </w:r>
      <w:r>
        <w:rPr>
          <w:color w:val="231F20"/>
          <w:w w:val="105"/>
        </w:rPr>
        <w:t>groups,</w:t>
      </w:r>
      <w:r>
        <w:rPr>
          <w:color w:val="231F20"/>
          <w:spacing w:val="-7"/>
          <w:w w:val="105"/>
        </w:rPr>
        <w:t> </w:t>
      </w:r>
      <w:r>
        <w:rPr>
          <w:color w:val="231F20"/>
          <w:w w:val="105"/>
        </w:rPr>
        <w:t>ex- cept</w:t>
      </w:r>
      <w:r>
        <w:rPr>
          <w:color w:val="231F20"/>
          <w:spacing w:val="-6"/>
          <w:w w:val="105"/>
        </w:rPr>
        <w:t> </w:t>
      </w:r>
      <w:r>
        <w:rPr>
          <w:color w:val="231F20"/>
          <w:w w:val="105"/>
        </w:rPr>
        <w:t>in</w:t>
      </w:r>
      <w:r>
        <w:rPr>
          <w:color w:val="231F20"/>
          <w:spacing w:val="-4"/>
          <w:w w:val="105"/>
        </w:rPr>
        <w:t> </w:t>
      </w:r>
      <w:r>
        <w:rPr>
          <w:color w:val="231F20"/>
          <w:w w:val="105"/>
        </w:rPr>
        <w:t>patients</w:t>
      </w:r>
      <w:r>
        <w:rPr>
          <w:color w:val="231F20"/>
          <w:spacing w:val="-6"/>
          <w:w w:val="105"/>
        </w:rPr>
        <w:t> </w:t>
      </w:r>
      <w:r>
        <w:rPr>
          <w:color w:val="231F20"/>
          <w:w w:val="105"/>
        </w:rPr>
        <w:t>taking</w:t>
      </w:r>
      <w:r>
        <w:rPr>
          <w:color w:val="231F20"/>
          <w:spacing w:val="-6"/>
          <w:w w:val="105"/>
        </w:rPr>
        <w:t> </w:t>
      </w:r>
      <w:r>
        <w:rPr>
          <w:color w:val="231F20"/>
          <w:w w:val="105"/>
        </w:rPr>
        <w:t>green</w:t>
      </w:r>
      <w:r>
        <w:rPr>
          <w:color w:val="231F20"/>
          <w:spacing w:val="-5"/>
          <w:w w:val="105"/>
        </w:rPr>
        <w:t> </w:t>
      </w:r>
      <w:r>
        <w:rPr>
          <w:color w:val="231F20"/>
          <w:w w:val="105"/>
        </w:rPr>
        <w:t>AXDs,</w:t>
      </w:r>
      <w:r>
        <w:rPr>
          <w:color w:val="231F20"/>
          <w:spacing w:val="-5"/>
          <w:w w:val="105"/>
        </w:rPr>
        <w:t> </w:t>
      </w:r>
      <w:r>
        <w:rPr>
          <w:color w:val="231F20"/>
          <w:w w:val="105"/>
        </w:rPr>
        <w:t>where</w:t>
      </w:r>
      <w:r>
        <w:rPr>
          <w:color w:val="231F20"/>
          <w:spacing w:val="-4"/>
          <w:w w:val="105"/>
        </w:rPr>
        <w:t> </w:t>
      </w:r>
      <w:r>
        <w:rPr>
          <w:color w:val="231F20"/>
          <w:w w:val="105"/>
        </w:rPr>
        <w:t>no</w:t>
      </w:r>
      <w:r>
        <w:rPr>
          <w:color w:val="231F20"/>
          <w:spacing w:val="-6"/>
          <w:w w:val="105"/>
        </w:rPr>
        <w:t> </w:t>
      </w:r>
      <w:r>
        <w:rPr>
          <w:color w:val="231F20"/>
          <w:w w:val="105"/>
        </w:rPr>
        <w:t>such</w:t>
      </w:r>
      <w:r>
        <w:rPr>
          <w:color w:val="231F20"/>
          <w:spacing w:val="-4"/>
          <w:w w:val="105"/>
        </w:rPr>
        <w:t> </w:t>
      </w:r>
      <w:r>
        <w:rPr>
          <w:color w:val="231F20"/>
          <w:w w:val="105"/>
        </w:rPr>
        <w:t>events</w:t>
      </w:r>
      <w:r>
        <w:rPr>
          <w:color w:val="231F20"/>
          <w:spacing w:val="-5"/>
          <w:w w:val="105"/>
        </w:rPr>
        <w:t> </w:t>
      </w:r>
      <w:r>
        <w:rPr>
          <w:color w:val="231F20"/>
          <w:w w:val="105"/>
        </w:rPr>
        <w:t>oc- curred. Two patients discontinued SMV owing to AEs</w:t>
      </w:r>
      <w:r>
        <w:rPr>
          <w:color w:val="231F20"/>
          <w:spacing w:val="-15"/>
          <w:w w:val="105"/>
        </w:rPr>
        <w:t> </w:t>
      </w:r>
      <w:r>
        <w:rPr>
          <w:color w:val="231F20"/>
          <w:w w:val="105"/>
        </w:rPr>
        <w:t>(grade 2</w:t>
      </w:r>
      <w:r>
        <w:rPr>
          <w:rFonts w:ascii="Lucida Sans" w:hAnsi="Lucida Sans"/>
          <w:color w:val="231F20"/>
          <w:w w:val="105"/>
        </w:rPr>
        <w:t>–</w:t>
      </w:r>
      <w:r>
        <w:rPr>
          <w:color w:val="231F20"/>
          <w:w w:val="105"/>
        </w:rPr>
        <w:t>3 rash and sepsis) during the observation period. One pa- tient</w:t>
      </w:r>
      <w:r>
        <w:rPr>
          <w:color w:val="231F20"/>
          <w:spacing w:val="-14"/>
          <w:w w:val="105"/>
        </w:rPr>
        <w:t> </w:t>
      </w:r>
      <w:r>
        <w:rPr>
          <w:color w:val="231F20"/>
          <w:w w:val="105"/>
        </w:rPr>
        <w:t>on</w:t>
      </w:r>
      <w:r>
        <w:rPr>
          <w:color w:val="231F20"/>
          <w:spacing w:val="-13"/>
          <w:w w:val="105"/>
        </w:rPr>
        <w:t> </w:t>
      </w:r>
      <w:r>
        <w:rPr>
          <w:color w:val="231F20"/>
          <w:w w:val="105"/>
        </w:rPr>
        <w:t>a</w:t>
      </w:r>
      <w:r>
        <w:rPr>
          <w:color w:val="231F20"/>
          <w:spacing w:val="-14"/>
          <w:w w:val="105"/>
        </w:rPr>
        <w:t> </w:t>
      </w:r>
      <w:r>
        <w:rPr>
          <w:color w:val="231F20"/>
          <w:w w:val="105"/>
        </w:rPr>
        <w:t>green</w:t>
      </w:r>
      <w:r>
        <w:rPr>
          <w:color w:val="231F20"/>
          <w:spacing w:val="-14"/>
          <w:w w:val="105"/>
        </w:rPr>
        <w:t> </w:t>
      </w:r>
      <w:r>
        <w:rPr>
          <w:color w:val="231F20"/>
          <w:w w:val="105"/>
        </w:rPr>
        <w:t>AHD</w:t>
      </w:r>
      <w:r>
        <w:rPr>
          <w:color w:val="231F20"/>
          <w:spacing w:val="-14"/>
          <w:w w:val="105"/>
        </w:rPr>
        <w:t> </w:t>
      </w:r>
      <w:r>
        <w:rPr>
          <w:color w:val="231F20"/>
          <w:w w:val="105"/>
        </w:rPr>
        <w:t>discontinued</w:t>
      </w:r>
      <w:r>
        <w:rPr>
          <w:color w:val="231F20"/>
          <w:spacing w:val="-14"/>
          <w:w w:val="105"/>
        </w:rPr>
        <w:t> </w:t>
      </w:r>
      <w:r>
        <w:rPr>
          <w:color w:val="231F20"/>
          <w:w w:val="105"/>
        </w:rPr>
        <w:t>SMV</w:t>
      </w:r>
      <w:r>
        <w:rPr>
          <w:color w:val="231F20"/>
          <w:spacing w:val="-14"/>
          <w:w w:val="105"/>
        </w:rPr>
        <w:t> </w:t>
      </w:r>
      <w:r>
        <w:rPr>
          <w:color w:val="231F20"/>
          <w:w w:val="105"/>
        </w:rPr>
        <w:t>owing</w:t>
      </w:r>
      <w:r>
        <w:rPr>
          <w:color w:val="231F20"/>
          <w:spacing w:val="-13"/>
          <w:w w:val="105"/>
        </w:rPr>
        <w:t> </w:t>
      </w:r>
      <w:r>
        <w:rPr>
          <w:color w:val="231F20"/>
          <w:w w:val="105"/>
        </w:rPr>
        <w:t>to</w:t>
      </w:r>
      <w:r>
        <w:rPr>
          <w:color w:val="231F20"/>
          <w:spacing w:val="-14"/>
          <w:w w:val="105"/>
        </w:rPr>
        <w:t> </w:t>
      </w:r>
      <w:r>
        <w:rPr>
          <w:color w:val="231F20"/>
          <w:w w:val="105"/>
        </w:rPr>
        <w:t>death</w:t>
      </w:r>
      <w:r>
        <w:rPr>
          <w:color w:val="231F20"/>
          <w:spacing w:val="-13"/>
          <w:w w:val="105"/>
        </w:rPr>
        <w:t> </w:t>
      </w:r>
      <w:r>
        <w:rPr>
          <w:color w:val="231F20"/>
          <w:w w:val="105"/>
        </w:rPr>
        <w:t>(road</w:t>
      </w:r>
    </w:p>
    <w:p>
      <w:pPr>
        <w:pStyle w:val="BodyText"/>
        <w:spacing w:line="230" w:lineRule="auto" w:before="88"/>
        <w:ind w:right="115"/>
        <w:jc w:val="both"/>
      </w:pPr>
      <w:r>
        <w:rPr/>
        <w:br w:type="column"/>
      </w:r>
      <w:r>
        <w:rPr>
          <w:color w:val="231F20"/>
          <w:w w:val="105"/>
        </w:rPr>
        <w:t>traf</w:t>
      </w:r>
      <w:r>
        <w:rPr>
          <w:rFonts w:ascii="Times New Roman" w:hAnsi="Times New Roman"/>
          <w:color w:val="231F20"/>
          <w:w w:val="105"/>
        </w:rPr>
        <w:t>ﬁ</w:t>
      </w:r>
      <w:r>
        <w:rPr>
          <w:color w:val="231F20"/>
          <w:w w:val="105"/>
        </w:rPr>
        <w:t>c accident, not related to SMV). Another patient discontinued SMV after the observation period, but was in- cluded in the analysis as the AE started during the observa- tion period.</w:t>
      </w:r>
    </w:p>
    <w:p>
      <w:pPr>
        <w:pStyle w:val="BodyText"/>
        <w:spacing w:before="8"/>
        <w:ind w:left="0"/>
        <w:rPr>
          <w:sz w:val="22"/>
        </w:rPr>
      </w:pPr>
    </w:p>
    <w:p>
      <w:pPr>
        <w:pStyle w:val="BodyText"/>
        <w:spacing w:line="230" w:lineRule="auto"/>
        <w:ind w:right="113"/>
        <w:jc w:val="both"/>
      </w:pPr>
      <w:r>
        <w:rPr>
          <w:rFonts w:ascii="Book Antiqua"/>
          <w:i/>
          <w:color w:val="231F20"/>
          <w:w w:val="105"/>
        </w:rPr>
        <w:t>AEs at least possibly related to SMV. </w:t>
      </w:r>
      <w:r>
        <w:rPr>
          <w:color w:val="231F20"/>
          <w:w w:val="105"/>
        </w:rPr>
        <w:t>AEs (all grades) at least possibly related to SMV were similar across CMOI groups, with no major differences between green and amber drugs (AHDs: green 37.1%, amber 44.1%; AXDs: green 34.6%,</w:t>
      </w:r>
    </w:p>
    <w:p>
      <w:pPr>
        <w:pStyle w:val="BodyText"/>
        <w:spacing w:line="230" w:lineRule="auto"/>
        <w:ind w:right="114"/>
        <w:jc w:val="both"/>
      </w:pPr>
      <w:r>
        <w:rPr>
          <w:color w:val="231F20"/>
          <w:w w:val="105"/>
        </w:rPr>
        <w:t>amber 39.8%; LLDs: green 40.7%, amber 32.8%; Table 3). Most of these related AEs were grade 1 or 2, with only seven patients experiencing grade 3 or 4 AEs. Serious AEs at least possibly related to SMV were reported in two patients: one patient on a green AHD (1/251, 0.4%) and one patient on an amber LLD (1/64, 1.6%).</w:t>
      </w:r>
    </w:p>
    <w:p>
      <w:pPr>
        <w:spacing w:after="0" w:line="230" w:lineRule="auto"/>
        <w:jc w:val="both"/>
        <w:sectPr>
          <w:type w:val="continuous"/>
          <w:pgSz w:w="11880" w:h="15670"/>
          <w:pgMar w:top="380" w:bottom="0" w:left="740" w:right="720"/>
          <w:cols w:num="2" w:equalWidth="0">
            <w:col w:w="4963" w:space="417"/>
            <w:col w:w="5040"/>
          </w:cols>
        </w:sectPr>
      </w:pPr>
    </w:p>
    <w:p>
      <w:pPr>
        <w:pStyle w:val="BodyText"/>
        <w:spacing w:before="7"/>
        <w:ind w:left="0"/>
        <w:rPr>
          <w:sz w:val="7"/>
        </w:rPr>
      </w:pPr>
    </w:p>
    <w:p>
      <w:pPr>
        <w:pStyle w:val="Heading3"/>
      </w:pPr>
      <w:r>
        <w:rPr>
          <w:color w:val="00AB54"/>
        </w:rPr>
        <w:t>Table 2</w:t>
      </w:r>
    </w:p>
    <w:p>
      <w:pPr>
        <w:spacing w:before="71"/>
        <w:ind w:left="100" w:right="0" w:firstLine="0"/>
        <w:jc w:val="left"/>
        <w:rPr>
          <w:rFonts w:ascii="Calibri"/>
          <w:sz w:val="16"/>
        </w:rPr>
      </w:pPr>
      <w:r>
        <w:rPr/>
        <w:pict>
          <v:line style="position:absolute;mso-position-horizontal-relative:page;mso-position-vertical-relative:paragraph;z-index:-30736" from="46.487999pt,44.417141pt" to="547.482999pt,44.417141pt" stroked="true" strokeweight=".51025pt" strokecolor="#231f20">
            <v:stroke dashstyle="solid"/>
            <w10:wrap type="none"/>
          </v:line>
        </w:pict>
      </w:r>
      <w:r>
        <w:rPr/>
        <w:pict>
          <v:line style="position:absolute;mso-position-horizontal-relative:page;mso-position-vertical-relative:paragraph;z-index:-30712" from="46.487999pt,253.898148pt" to="547.482999pt,253.898148pt" stroked="true" strokeweight=".51022pt" strokecolor="#231f20">
            <v:stroke dashstyle="solid"/>
            <w10:wrap type="none"/>
          </v:line>
        </w:pict>
      </w:r>
      <w:r>
        <w:rPr>
          <w:rFonts w:ascii="Calibri"/>
          <w:color w:val="231F20"/>
          <w:w w:val="105"/>
          <w:sz w:val="16"/>
        </w:rPr>
        <w:t>List of administered concomitant medication of interest (outcomes cohort)</w:t>
      </w:r>
    </w:p>
    <w:p>
      <w:pPr>
        <w:pStyle w:val="BodyText"/>
        <w:spacing w:before="7"/>
        <w:ind w:left="0"/>
        <w:rPr>
          <w:rFonts w:ascii="Calibri"/>
          <w:sz w:val="27"/>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78"/>
        <w:gridCol w:w="2837"/>
        <w:gridCol w:w="2507"/>
        <w:gridCol w:w="126"/>
        <w:gridCol w:w="2138"/>
      </w:tblGrid>
      <w:tr>
        <w:trPr>
          <w:trHeight w:val="567" w:hRule="atLeast"/>
        </w:trPr>
        <w:tc>
          <w:tcPr>
            <w:tcW w:w="5415" w:type="dxa"/>
            <w:gridSpan w:val="2"/>
            <w:tcBorders>
              <w:top w:val="single" w:sz="6" w:space="0" w:color="231F20"/>
              <w:left w:val="single" w:sz="6" w:space="0" w:color="231F20"/>
              <w:bottom w:val="single" w:sz="4" w:space="0" w:color="231F20"/>
            </w:tcBorders>
            <w:shd w:val="clear" w:color="auto" w:fill="DBEEDF"/>
          </w:tcPr>
          <w:p>
            <w:pPr>
              <w:pStyle w:val="TableParagraph"/>
              <w:spacing w:before="44"/>
              <w:ind w:left="192"/>
              <w:rPr>
                <w:sz w:val="14"/>
              </w:rPr>
            </w:pPr>
            <w:r>
              <w:rPr>
                <w:color w:val="231F20"/>
                <w:w w:val="125"/>
                <w:sz w:val="14"/>
              </w:rPr>
              <w:t>AHDs started before study/screening and/or during screening</w:t>
            </w:r>
          </w:p>
          <w:p>
            <w:pPr>
              <w:pStyle w:val="TableParagraph"/>
              <w:spacing w:before="107"/>
              <w:ind w:left="192"/>
              <w:rPr>
                <w:sz w:val="14"/>
              </w:rPr>
            </w:pPr>
            <w:r>
              <w:rPr>
                <w:color w:val="231F20"/>
                <w:w w:val="125"/>
                <w:sz w:val="14"/>
              </w:rPr>
              <w:t>Green (used in more than 3% of patients) (</w:t>
            </w:r>
            <w:r>
              <w:rPr>
                <w:rFonts w:ascii="Lucida Sans"/>
                <w:i/>
                <w:color w:val="231F20"/>
                <w:w w:val="125"/>
                <w:sz w:val="14"/>
              </w:rPr>
              <w:t>N </w:t>
            </w:r>
            <w:r>
              <w:rPr>
                <w:color w:val="231F20"/>
                <w:w w:val="125"/>
                <w:sz w:val="14"/>
              </w:rPr>
              <w:t>= 357)</w:t>
            </w:r>
          </w:p>
        </w:tc>
        <w:tc>
          <w:tcPr>
            <w:tcW w:w="2507" w:type="dxa"/>
            <w:tcBorders>
              <w:top w:val="single" w:sz="6" w:space="0" w:color="231F20"/>
              <w:bottom w:val="single" w:sz="4" w:space="0" w:color="231F20"/>
            </w:tcBorders>
            <w:shd w:val="clear" w:color="auto" w:fill="DBEEDF"/>
          </w:tcPr>
          <w:p>
            <w:pPr>
              <w:pStyle w:val="TableParagraph"/>
              <w:spacing w:before="0"/>
              <w:rPr>
                <w:sz w:val="16"/>
              </w:rPr>
            </w:pPr>
          </w:p>
          <w:p>
            <w:pPr>
              <w:pStyle w:val="TableParagraph"/>
              <w:spacing w:before="127"/>
              <w:ind w:left="1460"/>
              <w:rPr>
                <w:rFonts w:ascii="Lucida Sans"/>
                <w:i/>
                <w:sz w:val="14"/>
              </w:rPr>
            </w:pPr>
            <w:r>
              <w:rPr>
                <w:color w:val="231F20"/>
                <w:w w:val="125"/>
                <w:sz w:val="14"/>
              </w:rPr>
              <w:t>Amber (all) (</w:t>
            </w:r>
            <w:r>
              <w:rPr>
                <w:rFonts w:ascii="Lucida Sans"/>
                <w:i/>
                <w:color w:val="231F20"/>
                <w:w w:val="125"/>
                <w:sz w:val="14"/>
              </w:rPr>
              <w:t>N</w:t>
            </w:r>
          </w:p>
        </w:tc>
        <w:tc>
          <w:tcPr>
            <w:tcW w:w="126" w:type="dxa"/>
            <w:tcBorders>
              <w:top w:val="single" w:sz="6" w:space="0" w:color="231F20"/>
              <w:bottom w:val="single" w:sz="4" w:space="0" w:color="231F20"/>
            </w:tcBorders>
            <w:shd w:val="clear" w:color="auto" w:fill="DBEEDF"/>
          </w:tcPr>
          <w:p>
            <w:pPr>
              <w:pStyle w:val="TableParagraph"/>
              <w:spacing w:before="0"/>
              <w:rPr>
                <w:sz w:val="16"/>
              </w:rPr>
            </w:pPr>
          </w:p>
          <w:p>
            <w:pPr>
              <w:pStyle w:val="TableParagraph"/>
              <w:spacing w:before="129"/>
              <w:ind w:left="26" w:right="-29"/>
              <w:rPr>
                <w:sz w:val="14"/>
              </w:rPr>
            </w:pPr>
            <w:r>
              <w:rPr>
                <w:color w:val="231F20"/>
                <w:w w:val="125"/>
                <w:sz w:val="14"/>
              </w:rPr>
              <w:t>=</w:t>
            </w:r>
            <w:r>
              <w:rPr>
                <w:color w:val="231F20"/>
                <w:spacing w:val="6"/>
                <w:sz w:val="14"/>
              </w:rPr>
              <w:t> </w:t>
            </w:r>
          </w:p>
        </w:tc>
        <w:tc>
          <w:tcPr>
            <w:tcW w:w="2138" w:type="dxa"/>
            <w:tcBorders>
              <w:top w:val="single" w:sz="6" w:space="0" w:color="231F20"/>
              <w:bottom w:val="single" w:sz="4" w:space="0" w:color="231F20"/>
              <w:right w:val="single" w:sz="6" w:space="0" w:color="231F20"/>
            </w:tcBorders>
            <w:shd w:val="clear" w:color="auto" w:fill="DBEEDF"/>
          </w:tcPr>
          <w:p>
            <w:pPr>
              <w:pStyle w:val="TableParagraph"/>
              <w:spacing w:before="0"/>
              <w:rPr>
                <w:sz w:val="16"/>
              </w:rPr>
            </w:pPr>
          </w:p>
          <w:p>
            <w:pPr>
              <w:pStyle w:val="TableParagraph"/>
              <w:spacing w:before="129"/>
              <w:ind w:left="27"/>
              <w:rPr>
                <w:sz w:val="14"/>
              </w:rPr>
            </w:pPr>
            <w:r>
              <w:rPr>
                <w:color w:val="231F20"/>
                <w:w w:val="130"/>
                <w:sz w:val="14"/>
              </w:rPr>
              <w:t>157)</w:t>
            </w:r>
          </w:p>
        </w:tc>
      </w:tr>
      <w:tr>
        <w:trPr>
          <w:trHeight w:val="300" w:hRule="atLeast"/>
        </w:trPr>
        <w:tc>
          <w:tcPr>
            <w:tcW w:w="2578" w:type="dxa"/>
            <w:tcBorders>
              <w:top w:val="single" w:sz="4" w:space="0" w:color="231F20"/>
              <w:left w:val="single" w:sz="6" w:space="0" w:color="231F20"/>
            </w:tcBorders>
            <w:shd w:val="clear" w:color="auto" w:fill="78C693"/>
          </w:tcPr>
          <w:p>
            <w:pPr>
              <w:pStyle w:val="TableParagraph"/>
              <w:spacing w:before="67"/>
              <w:ind w:left="192"/>
              <w:rPr>
                <w:sz w:val="14"/>
              </w:rPr>
            </w:pPr>
            <w:r>
              <w:rPr>
                <w:color w:val="231F20"/>
                <w:w w:val="130"/>
                <w:sz w:val="14"/>
              </w:rPr>
              <w:t>Lisinopril</w:t>
            </w:r>
          </w:p>
        </w:tc>
        <w:tc>
          <w:tcPr>
            <w:tcW w:w="2837" w:type="dxa"/>
            <w:tcBorders>
              <w:top w:val="single" w:sz="4" w:space="0" w:color="231F20"/>
            </w:tcBorders>
            <w:shd w:val="clear" w:color="auto" w:fill="78C693"/>
          </w:tcPr>
          <w:p>
            <w:pPr>
              <w:pStyle w:val="TableParagraph"/>
              <w:spacing w:before="67"/>
              <w:ind w:right="773"/>
              <w:jc w:val="right"/>
              <w:rPr>
                <w:sz w:val="14"/>
              </w:rPr>
            </w:pPr>
            <w:r>
              <w:rPr>
                <w:color w:val="231F20"/>
                <w:w w:val="115"/>
                <w:sz w:val="14"/>
              </w:rPr>
              <w:t>99 (27.7%)</w:t>
            </w:r>
          </w:p>
        </w:tc>
        <w:tc>
          <w:tcPr>
            <w:tcW w:w="2507" w:type="dxa"/>
            <w:tcBorders>
              <w:top w:val="single" w:sz="4" w:space="0" w:color="231F20"/>
            </w:tcBorders>
            <w:shd w:val="clear" w:color="auto" w:fill="78C693"/>
          </w:tcPr>
          <w:p>
            <w:pPr>
              <w:pStyle w:val="TableParagraph"/>
              <w:spacing w:before="67"/>
              <w:ind w:left="1459"/>
              <w:rPr>
                <w:sz w:val="14"/>
              </w:rPr>
            </w:pPr>
            <w:r>
              <w:rPr>
                <w:color w:val="231F20"/>
                <w:w w:val="105"/>
                <w:sz w:val="14"/>
              </w:rPr>
              <w:t>Amlodipine</w:t>
            </w:r>
          </w:p>
        </w:tc>
        <w:tc>
          <w:tcPr>
            <w:tcW w:w="2264" w:type="dxa"/>
            <w:gridSpan w:val="2"/>
            <w:tcBorders>
              <w:top w:val="single" w:sz="4" w:space="0" w:color="231F20"/>
              <w:right w:val="single" w:sz="6" w:space="0" w:color="231F20"/>
            </w:tcBorders>
            <w:shd w:val="clear" w:color="auto" w:fill="78C693"/>
          </w:tcPr>
          <w:p>
            <w:pPr>
              <w:pStyle w:val="TableParagraph"/>
              <w:spacing w:before="67"/>
              <w:ind w:left="1276"/>
              <w:rPr>
                <w:sz w:val="14"/>
              </w:rPr>
            </w:pPr>
            <w:r>
              <w:rPr>
                <w:color w:val="231F20"/>
                <w:w w:val="115"/>
                <w:sz w:val="14"/>
              </w:rPr>
              <w:t>102 (65.0%)</w:t>
            </w:r>
          </w:p>
        </w:tc>
      </w:tr>
      <w:tr>
        <w:trPr>
          <w:trHeight w:val="300" w:hRule="atLeast"/>
        </w:trPr>
        <w:tc>
          <w:tcPr>
            <w:tcW w:w="2578" w:type="dxa"/>
            <w:tcBorders>
              <w:left w:val="single" w:sz="6" w:space="0" w:color="231F20"/>
            </w:tcBorders>
          </w:tcPr>
          <w:p>
            <w:pPr>
              <w:pStyle w:val="TableParagraph"/>
              <w:ind w:left="192"/>
              <w:rPr>
                <w:sz w:val="14"/>
              </w:rPr>
            </w:pPr>
            <w:r>
              <w:rPr>
                <w:color w:val="231F20"/>
                <w:w w:val="120"/>
                <w:sz w:val="14"/>
              </w:rPr>
              <w:t>Furosemide</w:t>
            </w:r>
          </w:p>
        </w:tc>
        <w:tc>
          <w:tcPr>
            <w:tcW w:w="2837" w:type="dxa"/>
          </w:tcPr>
          <w:p>
            <w:pPr>
              <w:pStyle w:val="TableParagraph"/>
              <w:ind w:right="773"/>
              <w:jc w:val="right"/>
              <w:rPr>
                <w:sz w:val="14"/>
              </w:rPr>
            </w:pPr>
            <w:r>
              <w:rPr>
                <w:color w:val="231F20"/>
                <w:w w:val="115"/>
                <w:sz w:val="14"/>
              </w:rPr>
              <w:t>57 (16.0%)</w:t>
            </w:r>
          </w:p>
        </w:tc>
        <w:tc>
          <w:tcPr>
            <w:tcW w:w="2507" w:type="dxa"/>
          </w:tcPr>
          <w:p>
            <w:pPr>
              <w:pStyle w:val="TableParagraph"/>
              <w:ind w:left="1460"/>
              <w:rPr>
                <w:sz w:val="14"/>
              </w:rPr>
            </w:pPr>
            <w:r>
              <w:rPr>
                <w:color w:val="231F20"/>
                <w:w w:val="105"/>
                <w:sz w:val="14"/>
              </w:rPr>
              <w:t>Carvedilol</w:t>
            </w:r>
          </w:p>
        </w:tc>
        <w:tc>
          <w:tcPr>
            <w:tcW w:w="2264" w:type="dxa"/>
            <w:gridSpan w:val="2"/>
            <w:tcBorders>
              <w:right w:val="single" w:sz="6" w:space="0" w:color="231F20"/>
            </w:tcBorders>
          </w:tcPr>
          <w:p>
            <w:pPr>
              <w:pStyle w:val="TableParagraph"/>
              <w:ind w:left="1275"/>
              <w:rPr>
                <w:sz w:val="14"/>
              </w:rPr>
            </w:pPr>
            <w:r>
              <w:rPr>
                <w:color w:val="231F20"/>
                <w:w w:val="115"/>
                <w:sz w:val="14"/>
              </w:rPr>
              <w:t>25 (15.9%)</w:t>
            </w:r>
          </w:p>
        </w:tc>
      </w:tr>
      <w:tr>
        <w:trPr>
          <w:trHeight w:val="299" w:hRule="atLeast"/>
        </w:trPr>
        <w:tc>
          <w:tcPr>
            <w:tcW w:w="2578" w:type="dxa"/>
            <w:tcBorders>
              <w:left w:val="single" w:sz="6" w:space="0" w:color="231F20"/>
            </w:tcBorders>
            <w:shd w:val="clear" w:color="auto" w:fill="78C693"/>
          </w:tcPr>
          <w:p>
            <w:pPr>
              <w:pStyle w:val="TableParagraph"/>
              <w:spacing w:before="66"/>
              <w:ind w:left="192"/>
              <w:rPr>
                <w:sz w:val="14"/>
              </w:rPr>
            </w:pPr>
            <w:r>
              <w:rPr>
                <w:color w:val="231F20"/>
                <w:w w:val="125"/>
                <w:sz w:val="14"/>
              </w:rPr>
              <w:t>Metoprolol</w:t>
            </w:r>
          </w:p>
        </w:tc>
        <w:tc>
          <w:tcPr>
            <w:tcW w:w="2837" w:type="dxa"/>
            <w:shd w:val="clear" w:color="auto" w:fill="78C693"/>
          </w:tcPr>
          <w:p>
            <w:pPr>
              <w:pStyle w:val="TableParagraph"/>
              <w:spacing w:before="66"/>
              <w:ind w:right="773"/>
              <w:jc w:val="right"/>
              <w:rPr>
                <w:sz w:val="14"/>
              </w:rPr>
            </w:pPr>
            <w:r>
              <w:rPr>
                <w:color w:val="231F20"/>
                <w:w w:val="115"/>
                <w:sz w:val="14"/>
              </w:rPr>
              <w:t>57 (16.0%)</w:t>
            </w:r>
          </w:p>
        </w:tc>
        <w:tc>
          <w:tcPr>
            <w:tcW w:w="2507" w:type="dxa"/>
            <w:shd w:val="clear" w:color="auto" w:fill="78C693"/>
          </w:tcPr>
          <w:p>
            <w:pPr>
              <w:pStyle w:val="TableParagraph"/>
              <w:spacing w:before="66"/>
              <w:ind w:left="1460"/>
              <w:rPr>
                <w:sz w:val="14"/>
              </w:rPr>
            </w:pPr>
            <w:r>
              <w:rPr>
                <w:color w:val="231F20"/>
                <w:w w:val="105"/>
                <w:sz w:val="14"/>
              </w:rPr>
              <w:t>Bisoprolol</w:t>
            </w:r>
          </w:p>
        </w:tc>
        <w:tc>
          <w:tcPr>
            <w:tcW w:w="2264" w:type="dxa"/>
            <w:gridSpan w:val="2"/>
            <w:tcBorders>
              <w:right w:val="single" w:sz="6" w:space="0" w:color="231F20"/>
            </w:tcBorders>
            <w:shd w:val="clear" w:color="auto" w:fill="78C693"/>
          </w:tcPr>
          <w:p>
            <w:pPr>
              <w:pStyle w:val="TableParagraph"/>
              <w:spacing w:before="66"/>
              <w:ind w:left="1275"/>
              <w:rPr>
                <w:sz w:val="14"/>
              </w:rPr>
            </w:pPr>
            <w:r>
              <w:rPr>
                <w:color w:val="231F20"/>
                <w:w w:val="115"/>
                <w:sz w:val="14"/>
              </w:rPr>
              <w:t>20 (12.7%)</w:t>
            </w:r>
          </w:p>
        </w:tc>
      </w:tr>
      <w:tr>
        <w:trPr>
          <w:trHeight w:val="300" w:hRule="atLeast"/>
        </w:trPr>
        <w:tc>
          <w:tcPr>
            <w:tcW w:w="2578" w:type="dxa"/>
            <w:tcBorders>
              <w:left w:val="single" w:sz="6" w:space="0" w:color="231F20"/>
            </w:tcBorders>
          </w:tcPr>
          <w:p>
            <w:pPr>
              <w:pStyle w:val="TableParagraph"/>
              <w:ind w:left="192"/>
              <w:rPr>
                <w:sz w:val="14"/>
              </w:rPr>
            </w:pPr>
            <w:r>
              <w:rPr>
                <w:color w:val="231F20"/>
                <w:w w:val="125"/>
                <w:sz w:val="14"/>
              </w:rPr>
              <w:t>Hydrochlorothiazide</w:t>
            </w:r>
          </w:p>
        </w:tc>
        <w:tc>
          <w:tcPr>
            <w:tcW w:w="2837" w:type="dxa"/>
          </w:tcPr>
          <w:p>
            <w:pPr>
              <w:pStyle w:val="TableParagraph"/>
              <w:ind w:right="774"/>
              <w:jc w:val="right"/>
              <w:rPr>
                <w:sz w:val="14"/>
              </w:rPr>
            </w:pPr>
            <w:r>
              <w:rPr>
                <w:color w:val="231F20"/>
                <w:w w:val="115"/>
                <w:sz w:val="14"/>
              </w:rPr>
              <w:t>53 (14.8%)</w:t>
            </w:r>
          </w:p>
        </w:tc>
        <w:tc>
          <w:tcPr>
            <w:tcW w:w="2507" w:type="dxa"/>
          </w:tcPr>
          <w:p>
            <w:pPr>
              <w:pStyle w:val="TableParagraph"/>
              <w:ind w:left="1460"/>
              <w:rPr>
                <w:sz w:val="14"/>
              </w:rPr>
            </w:pPr>
            <w:r>
              <w:rPr>
                <w:color w:val="231F20"/>
                <w:w w:val="105"/>
                <w:sz w:val="14"/>
              </w:rPr>
              <w:t>Diltiazem</w:t>
            </w:r>
          </w:p>
        </w:tc>
        <w:tc>
          <w:tcPr>
            <w:tcW w:w="2264" w:type="dxa"/>
            <w:gridSpan w:val="2"/>
            <w:tcBorders>
              <w:right w:val="single" w:sz="6" w:space="0" w:color="231F20"/>
            </w:tcBorders>
          </w:tcPr>
          <w:p>
            <w:pPr>
              <w:pStyle w:val="TableParagraph"/>
              <w:ind w:left="1275"/>
              <w:rPr>
                <w:sz w:val="14"/>
              </w:rPr>
            </w:pPr>
            <w:r>
              <w:rPr>
                <w:color w:val="231F20"/>
                <w:w w:val="115"/>
                <w:sz w:val="14"/>
              </w:rPr>
              <w:t>10 (6.4%)</w:t>
            </w:r>
          </w:p>
        </w:tc>
      </w:tr>
      <w:tr>
        <w:trPr>
          <w:trHeight w:val="299" w:hRule="atLeast"/>
        </w:trPr>
        <w:tc>
          <w:tcPr>
            <w:tcW w:w="2578" w:type="dxa"/>
            <w:tcBorders>
              <w:left w:val="single" w:sz="6" w:space="0" w:color="231F20"/>
            </w:tcBorders>
            <w:shd w:val="clear" w:color="auto" w:fill="78C693"/>
          </w:tcPr>
          <w:p>
            <w:pPr>
              <w:pStyle w:val="TableParagraph"/>
              <w:spacing w:before="66"/>
              <w:ind w:left="192"/>
              <w:rPr>
                <w:sz w:val="14"/>
              </w:rPr>
            </w:pPr>
            <w:r>
              <w:rPr>
                <w:color w:val="231F20"/>
                <w:w w:val="125"/>
                <w:sz w:val="14"/>
              </w:rPr>
              <w:t>Losartan</w:t>
            </w:r>
          </w:p>
        </w:tc>
        <w:tc>
          <w:tcPr>
            <w:tcW w:w="2837" w:type="dxa"/>
            <w:shd w:val="clear" w:color="auto" w:fill="78C693"/>
          </w:tcPr>
          <w:p>
            <w:pPr>
              <w:pStyle w:val="TableParagraph"/>
              <w:spacing w:before="66"/>
              <w:ind w:right="772"/>
              <w:jc w:val="right"/>
              <w:rPr>
                <w:sz w:val="14"/>
              </w:rPr>
            </w:pPr>
            <w:r>
              <w:rPr>
                <w:color w:val="231F20"/>
                <w:w w:val="115"/>
                <w:sz w:val="14"/>
              </w:rPr>
              <w:t>43 (12.0%)</w:t>
            </w:r>
          </w:p>
        </w:tc>
        <w:tc>
          <w:tcPr>
            <w:tcW w:w="2507" w:type="dxa"/>
            <w:shd w:val="clear" w:color="auto" w:fill="78C693"/>
          </w:tcPr>
          <w:p>
            <w:pPr>
              <w:pStyle w:val="TableParagraph"/>
              <w:spacing w:before="66"/>
              <w:ind w:left="1460"/>
              <w:rPr>
                <w:sz w:val="14"/>
              </w:rPr>
            </w:pPr>
            <w:r>
              <w:rPr>
                <w:color w:val="231F20"/>
                <w:w w:val="105"/>
                <w:sz w:val="14"/>
              </w:rPr>
              <w:t>Verapamil</w:t>
            </w:r>
          </w:p>
        </w:tc>
        <w:tc>
          <w:tcPr>
            <w:tcW w:w="2264" w:type="dxa"/>
            <w:gridSpan w:val="2"/>
            <w:tcBorders>
              <w:right w:val="single" w:sz="6" w:space="0" w:color="231F20"/>
            </w:tcBorders>
            <w:shd w:val="clear" w:color="auto" w:fill="78C693"/>
          </w:tcPr>
          <w:p>
            <w:pPr>
              <w:pStyle w:val="TableParagraph"/>
              <w:spacing w:before="66"/>
              <w:ind w:left="1276"/>
              <w:rPr>
                <w:sz w:val="14"/>
              </w:rPr>
            </w:pPr>
            <w:r>
              <w:rPr>
                <w:color w:val="231F20"/>
                <w:w w:val="115"/>
                <w:sz w:val="14"/>
              </w:rPr>
              <w:t>4 (2.5%)</w:t>
            </w:r>
          </w:p>
        </w:tc>
      </w:tr>
      <w:tr>
        <w:trPr>
          <w:trHeight w:val="300" w:hRule="atLeast"/>
        </w:trPr>
        <w:tc>
          <w:tcPr>
            <w:tcW w:w="2578" w:type="dxa"/>
            <w:tcBorders>
              <w:left w:val="single" w:sz="6" w:space="0" w:color="231F20"/>
            </w:tcBorders>
          </w:tcPr>
          <w:p>
            <w:pPr>
              <w:pStyle w:val="TableParagraph"/>
              <w:ind w:left="192"/>
              <w:rPr>
                <w:sz w:val="14"/>
              </w:rPr>
            </w:pPr>
            <w:r>
              <w:rPr>
                <w:color w:val="231F20"/>
                <w:w w:val="125"/>
                <w:sz w:val="14"/>
              </w:rPr>
              <w:t>Spironolactone</w:t>
            </w:r>
          </w:p>
        </w:tc>
        <w:tc>
          <w:tcPr>
            <w:tcW w:w="2837" w:type="dxa"/>
          </w:tcPr>
          <w:p>
            <w:pPr>
              <w:pStyle w:val="TableParagraph"/>
              <w:ind w:right="772"/>
              <w:jc w:val="right"/>
              <w:rPr>
                <w:sz w:val="14"/>
              </w:rPr>
            </w:pPr>
            <w:r>
              <w:rPr>
                <w:color w:val="231F20"/>
                <w:w w:val="115"/>
                <w:sz w:val="14"/>
              </w:rPr>
              <w:t>39 (10.9%)</w:t>
            </w:r>
          </w:p>
        </w:tc>
        <w:tc>
          <w:tcPr>
            <w:tcW w:w="2507" w:type="dxa"/>
          </w:tcPr>
          <w:p>
            <w:pPr>
              <w:pStyle w:val="TableParagraph"/>
              <w:ind w:left="1460"/>
              <w:rPr>
                <w:sz w:val="14"/>
              </w:rPr>
            </w:pPr>
            <w:r>
              <w:rPr>
                <w:color w:val="231F20"/>
                <w:w w:val="105"/>
                <w:sz w:val="14"/>
              </w:rPr>
              <w:t>Felodipine</w:t>
            </w:r>
          </w:p>
        </w:tc>
        <w:tc>
          <w:tcPr>
            <w:tcW w:w="2264" w:type="dxa"/>
            <w:gridSpan w:val="2"/>
            <w:tcBorders>
              <w:right w:val="single" w:sz="6" w:space="0" w:color="231F20"/>
            </w:tcBorders>
          </w:tcPr>
          <w:p>
            <w:pPr>
              <w:pStyle w:val="TableParagraph"/>
              <w:ind w:left="1275"/>
              <w:rPr>
                <w:sz w:val="14"/>
              </w:rPr>
            </w:pPr>
            <w:r>
              <w:rPr>
                <w:color w:val="231F20"/>
                <w:w w:val="115"/>
                <w:sz w:val="14"/>
              </w:rPr>
              <w:t>3 (1.9%)</w:t>
            </w:r>
          </w:p>
        </w:tc>
      </w:tr>
      <w:tr>
        <w:trPr>
          <w:trHeight w:val="299" w:hRule="atLeast"/>
        </w:trPr>
        <w:tc>
          <w:tcPr>
            <w:tcW w:w="2578" w:type="dxa"/>
            <w:tcBorders>
              <w:left w:val="single" w:sz="6" w:space="0" w:color="231F20"/>
            </w:tcBorders>
            <w:shd w:val="clear" w:color="auto" w:fill="78C693"/>
          </w:tcPr>
          <w:p>
            <w:pPr>
              <w:pStyle w:val="TableParagraph"/>
              <w:spacing w:before="66"/>
              <w:ind w:left="192"/>
              <w:rPr>
                <w:sz w:val="14"/>
              </w:rPr>
            </w:pPr>
            <w:r>
              <w:rPr>
                <w:color w:val="231F20"/>
                <w:w w:val="125"/>
                <w:sz w:val="14"/>
              </w:rPr>
              <w:t>Atenolol</w:t>
            </w:r>
          </w:p>
        </w:tc>
        <w:tc>
          <w:tcPr>
            <w:tcW w:w="2837" w:type="dxa"/>
            <w:shd w:val="clear" w:color="auto" w:fill="78C693"/>
          </w:tcPr>
          <w:p>
            <w:pPr>
              <w:pStyle w:val="TableParagraph"/>
              <w:spacing w:before="66"/>
              <w:ind w:right="856"/>
              <w:jc w:val="right"/>
              <w:rPr>
                <w:sz w:val="14"/>
              </w:rPr>
            </w:pPr>
            <w:r>
              <w:rPr>
                <w:color w:val="231F20"/>
                <w:w w:val="115"/>
                <w:sz w:val="14"/>
              </w:rPr>
              <w:t>26 (7.3%)</w:t>
            </w:r>
          </w:p>
        </w:tc>
        <w:tc>
          <w:tcPr>
            <w:tcW w:w="2507" w:type="dxa"/>
            <w:shd w:val="clear" w:color="auto" w:fill="78C693"/>
          </w:tcPr>
          <w:p>
            <w:pPr>
              <w:pStyle w:val="TableParagraph"/>
              <w:spacing w:before="66"/>
              <w:ind w:left="1461"/>
              <w:rPr>
                <w:sz w:val="14"/>
              </w:rPr>
            </w:pPr>
            <w:r>
              <w:rPr>
                <w:color w:val="231F20"/>
                <w:w w:val="110"/>
                <w:sz w:val="14"/>
              </w:rPr>
              <w:t>Indapamide</w:t>
            </w:r>
          </w:p>
        </w:tc>
        <w:tc>
          <w:tcPr>
            <w:tcW w:w="2264" w:type="dxa"/>
            <w:gridSpan w:val="2"/>
            <w:tcBorders>
              <w:right w:val="single" w:sz="6" w:space="0" w:color="231F20"/>
            </w:tcBorders>
            <w:shd w:val="clear" w:color="auto" w:fill="78C693"/>
          </w:tcPr>
          <w:p>
            <w:pPr>
              <w:pStyle w:val="TableParagraph"/>
              <w:spacing w:before="66"/>
              <w:ind w:left="1275"/>
              <w:rPr>
                <w:sz w:val="14"/>
              </w:rPr>
            </w:pPr>
            <w:r>
              <w:rPr>
                <w:color w:val="231F20"/>
                <w:w w:val="115"/>
                <w:sz w:val="14"/>
              </w:rPr>
              <w:t>2 (1.3%)</w:t>
            </w:r>
          </w:p>
        </w:tc>
      </w:tr>
      <w:tr>
        <w:trPr>
          <w:trHeight w:val="300" w:hRule="atLeast"/>
        </w:trPr>
        <w:tc>
          <w:tcPr>
            <w:tcW w:w="2578" w:type="dxa"/>
            <w:tcBorders>
              <w:left w:val="single" w:sz="6" w:space="0" w:color="231F20"/>
            </w:tcBorders>
          </w:tcPr>
          <w:p>
            <w:pPr>
              <w:pStyle w:val="TableParagraph"/>
              <w:ind w:left="192"/>
              <w:rPr>
                <w:sz w:val="14"/>
              </w:rPr>
            </w:pPr>
            <w:r>
              <w:rPr>
                <w:color w:val="231F20"/>
                <w:w w:val="125"/>
                <w:sz w:val="14"/>
              </w:rPr>
              <w:t>Propranolol</w:t>
            </w:r>
          </w:p>
        </w:tc>
        <w:tc>
          <w:tcPr>
            <w:tcW w:w="2837" w:type="dxa"/>
          </w:tcPr>
          <w:p>
            <w:pPr>
              <w:pStyle w:val="TableParagraph"/>
              <w:ind w:right="856"/>
              <w:jc w:val="right"/>
              <w:rPr>
                <w:sz w:val="14"/>
              </w:rPr>
            </w:pPr>
            <w:r>
              <w:rPr>
                <w:color w:val="231F20"/>
                <w:w w:val="115"/>
                <w:sz w:val="14"/>
              </w:rPr>
              <w:t>26 (7.3%)</w:t>
            </w:r>
          </w:p>
        </w:tc>
        <w:tc>
          <w:tcPr>
            <w:tcW w:w="2507" w:type="dxa"/>
          </w:tcPr>
          <w:p>
            <w:pPr>
              <w:pStyle w:val="TableParagraph"/>
              <w:spacing w:before="0"/>
              <w:rPr>
                <w:rFonts w:ascii="Times New Roman"/>
                <w:sz w:val="14"/>
              </w:rPr>
            </w:pPr>
          </w:p>
        </w:tc>
        <w:tc>
          <w:tcPr>
            <w:tcW w:w="2264" w:type="dxa"/>
            <w:gridSpan w:val="2"/>
            <w:tcBorders>
              <w:right w:val="single" w:sz="6" w:space="0" w:color="231F20"/>
            </w:tcBorders>
          </w:tcPr>
          <w:p>
            <w:pPr>
              <w:pStyle w:val="TableParagraph"/>
              <w:spacing w:before="0"/>
              <w:rPr>
                <w:rFonts w:ascii="Times New Roman"/>
                <w:sz w:val="14"/>
              </w:rPr>
            </w:pPr>
          </w:p>
        </w:tc>
      </w:tr>
      <w:tr>
        <w:trPr>
          <w:trHeight w:val="300" w:hRule="atLeast"/>
        </w:trPr>
        <w:tc>
          <w:tcPr>
            <w:tcW w:w="2578" w:type="dxa"/>
            <w:tcBorders>
              <w:left w:val="single" w:sz="6" w:space="0" w:color="231F20"/>
            </w:tcBorders>
            <w:shd w:val="clear" w:color="auto" w:fill="78C693"/>
          </w:tcPr>
          <w:p>
            <w:pPr>
              <w:pStyle w:val="TableParagraph"/>
              <w:spacing w:before="66"/>
              <w:ind w:left="192"/>
              <w:rPr>
                <w:sz w:val="14"/>
              </w:rPr>
            </w:pPr>
            <w:r>
              <w:rPr>
                <w:color w:val="231F20"/>
                <w:w w:val="125"/>
                <w:sz w:val="14"/>
              </w:rPr>
              <w:t>Nadolol</w:t>
            </w:r>
          </w:p>
        </w:tc>
        <w:tc>
          <w:tcPr>
            <w:tcW w:w="2837" w:type="dxa"/>
            <w:shd w:val="clear" w:color="auto" w:fill="78C693"/>
          </w:tcPr>
          <w:p>
            <w:pPr>
              <w:pStyle w:val="TableParagraph"/>
              <w:spacing w:before="66"/>
              <w:ind w:right="856"/>
              <w:jc w:val="right"/>
              <w:rPr>
                <w:sz w:val="14"/>
              </w:rPr>
            </w:pPr>
            <w:r>
              <w:rPr>
                <w:color w:val="231F20"/>
                <w:w w:val="115"/>
                <w:sz w:val="14"/>
              </w:rPr>
              <w:t>25 (7.0%)</w:t>
            </w:r>
          </w:p>
        </w:tc>
        <w:tc>
          <w:tcPr>
            <w:tcW w:w="2507" w:type="dxa"/>
            <w:shd w:val="clear" w:color="auto" w:fill="78C693"/>
          </w:tcPr>
          <w:p>
            <w:pPr>
              <w:pStyle w:val="TableParagraph"/>
              <w:spacing w:before="0"/>
              <w:rPr>
                <w:rFonts w:ascii="Times New Roman"/>
                <w:sz w:val="14"/>
              </w:rPr>
            </w:pPr>
          </w:p>
        </w:tc>
        <w:tc>
          <w:tcPr>
            <w:tcW w:w="2264" w:type="dxa"/>
            <w:gridSpan w:val="2"/>
            <w:tcBorders>
              <w:right w:val="single" w:sz="6" w:space="0" w:color="231F20"/>
            </w:tcBorders>
            <w:shd w:val="clear" w:color="auto" w:fill="78C693"/>
          </w:tcPr>
          <w:p>
            <w:pPr>
              <w:pStyle w:val="TableParagraph"/>
              <w:spacing w:before="0"/>
              <w:rPr>
                <w:rFonts w:ascii="Times New Roman"/>
                <w:sz w:val="14"/>
              </w:rPr>
            </w:pPr>
          </w:p>
        </w:tc>
      </w:tr>
      <w:tr>
        <w:trPr>
          <w:trHeight w:val="299" w:hRule="atLeast"/>
        </w:trPr>
        <w:tc>
          <w:tcPr>
            <w:tcW w:w="2578" w:type="dxa"/>
            <w:tcBorders>
              <w:left w:val="single" w:sz="6" w:space="0" w:color="231F20"/>
            </w:tcBorders>
          </w:tcPr>
          <w:p>
            <w:pPr>
              <w:pStyle w:val="TableParagraph"/>
              <w:ind w:left="192"/>
              <w:rPr>
                <w:sz w:val="14"/>
              </w:rPr>
            </w:pPr>
            <w:r>
              <w:rPr>
                <w:color w:val="231F20"/>
                <w:w w:val="125"/>
                <w:sz w:val="14"/>
              </w:rPr>
              <w:t>Enalapril</w:t>
            </w:r>
          </w:p>
        </w:tc>
        <w:tc>
          <w:tcPr>
            <w:tcW w:w="2837" w:type="dxa"/>
          </w:tcPr>
          <w:p>
            <w:pPr>
              <w:pStyle w:val="TableParagraph"/>
              <w:ind w:right="856"/>
              <w:jc w:val="right"/>
              <w:rPr>
                <w:sz w:val="14"/>
              </w:rPr>
            </w:pPr>
            <w:r>
              <w:rPr>
                <w:color w:val="231F20"/>
                <w:w w:val="115"/>
                <w:sz w:val="14"/>
              </w:rPr>
              <w:t>20 (5.6%)</w:t>
            </w:r>
          </w:p>
        </w:tc>
        <w:tc>
          <w:tcPr>
            <w:tcW w:w="2507" w:type="dxa"/>
          </w:tcPr>
          <w:p>
            <w:pPr>
              <w:pStyle w:val="TableParagraph"/>
              <w:spacing w:before="0"/>
              <w:rPr>
                <w:rFonts w:ascii="Times New Roman"/>
                <w:sz w:val="14"/>
              </w:rPr>
            </w:pPr>
          </w:p>
        </w:tc>
        <w:tc>
          <w:tcPr>
            <w:tcW w:w="2264" w:type="dxa"/>
            <w:gridSpan w:val="2"/>
            <w:tcBorders>
              <w:right w:val="single" w:sz="6" w:space="0" w:color="231F20"/>
            </w:tcBorders>
          </w:tcPr>
          <w:p>
            <w:pPr>
              <w:pStyle w:val="TableParagraph"/>
              <w:spacing w:before="0"/>
              <w:rPr>
                <w:rFonts w:ascii="Times New Roman"/>
                <w:sz w:val="14"/>
              </w:rPr>
            </w:pPr>
          </w:p>
        </w:tc>
      </w:tr>
      <w:tr>
        <w:trPr>
          <w:trHeight w:val="300" w:hRule="atLeast"/>
        </w:trPr>
        <w:tc>
          <w:tcPr>
            <w:tcW w:w="2578" w:type="dxa"/>
            <w:tcBorders>
              <w:left w:val="single" w:sz="6" w:space="0" w:color="231F20"/>
            </w:tcBorders>
            <w:shd w:val="clear" w:color="auto" w:fill="78C693"/>
          </w:tcPr>
          <w:p>
            <w:pPr>
              <w:pStyle w:val="TableParagraph"/>
              <w:spacing w:before="67"/>
              <w:ind w:left="192"/>
              <w:rPr>
                <w:sz w:val="14"/>
              </w:rPr>
            </w:pPr>
            <w:r>
              <w:rPr>
                <w:color w:val="231F20"/>
                <w:w w:val="125"/>
                <w:sz w:val="14"/>
              </w:rPr>
              <w:t>Valsartan</w:t>
            </w:r>
          </w:p>
        </w:tc>
        <w:tc>
          <w:tcPr>
            <w:tcW w:w="2837" w:type="dxa"/>
            <w:shd w:val="clear" w:color="auto" w:fill="78C693"/>
          </w:tcPr>
          <w:p>
            <w:pPr>
              <w:pStyle w:val="TableParagraph"/>
              <w:spacing w:before="67"/>
              <w:ind w:right="856"/>
              <w:jc w:val="right"/>
              <w:rPr>
                <w:sz w:val="14"/>
              </w:rPr>
            </w:pPr>
            <w:r>
              <w:rPr>
                <w:color w:val="231F20"/>
                <w:w w:val="115"/>
                <w:sz w:val="14"/>
              </w:rPr>
              <w:t>17 (4.8%)</w:t>
            </w:r>
          </w:p>
        </w:tc>
        <w:tc>
          <w:tcPr>
            <w:tcW w:w="2507" w:type="dxa"/>
            <w:shd w:val="clear" w:color="auto" w:fill="78C693"/>
          </w:tcPr>
          <w:p>
            <w:pPr>
              <w:pStyle w:val="TableParagraph"/>
              <w:spacing w:before="0"/>
              <w:rPr>
                <w:rFonts w:ascii="Times New Roman"/>
                <w:sz w:val="14"/>
              </w:rPr>
            </w:pPr>
          </w:p>
        </w:tc>
        <w:tc>
          <w:tcPr>
            <w:tcW w:w="2264" w:type="dxa"/>
            <w:gridSpan w:val="2"/>
            <w:tcBorders>
              <w:right w:val="single" w:sz="6" w:space="0" w:color="231F20"/>
            </w:tcBorders>
            <w:shd w:val="clear" w:color="auto" w:fill="78C693"/>
          </w:tcPr>
          <w:p>
            <w:pPr>
              <w:pStyle w:val="TableParagraph"/>
              <w:spacing w:before="0"/>
              <w:rPr>
                <w:rFonts w:ascii="Times New Roman"/>
                <w:sz w:val="14"/>
              </w:rPr>
            </w:pPr>
          </w:p>
        </w:tc>
      </w:tr>
      <w:tr>
        <w:trPr>
          <w:trHeight w:val="296" w:hRule="atLeast"/>
        </w:trPr>
        <w:tc>
          <w:tcPr>
            <w:tcW w:w="2578" w:type="dxa"/>
            <w:tcBorders>
              <w:left w:val="single" w:sz="6" w:space="0" w:color="231F20"/>
              <w:bottom w:val="single" w:sz="6" w:space="0" w:color="231F20"/>
            </w:tcBorders>
          </w:tcPr>
          <w:p>
            <w:pPr>
              <w:pStyle w:val="TableParagraph"/>
              <w:ind w:left="192"/>
              <w:rPr>
                <w:sz w:val="14"/>
              </w:rPr>
            </w:pPr>
            <w:r>
              <w:rPr>
                <w:color w:val="231F20"/>
                <w:w w:val="125"/>
                <w:sz w:val="14"/>
              </w:rPr>
              <w:t>Clonidine</w:t>
            </w:r>
          </w:p>
        </w:tc>
        <w:tc>
          <w:tcPr>
            <w:tcW w:w="2837" w:type="dxa"/>
            <w:tcBorders>
              <w:bottom w:val="single" w:sz="6" w:space="0" w:color="231F20"/>
            </w:tcBorders>
          </w:tcPr>
          <w:p>
            <w:pPr>
              <w:pStyle w:val="TableParagraph"/>
              <w:ind w:right="856"/>
              <w:jc w:val="right"/>
              <w:rPr>
                <w:sz w:val="14"/>
              </w:rPr>
            </w:pPr>
            <w:r>
              <w:rPr>
                <w:color w:val="231F20"/>
                <w:w w:val="115"/>
                <w:sz w:val="14"/>
              </w:rPr>
              <w:t>11 (3.1%)</w:t>
            </w:r>
          </w:p>
        </w:tc>
        <w:tc>
          <w:tcPr>
            <w:tcW w:w="2507" w:type="dxa"/>
            <w:tcBorders>
              <w:bottom w:val="single" w:sz="6" w:space="0" w:color="231F20"/>
            </w:tcBorders>
          </w:tcPr>
          <w:p>
            <w:pPr>
              <w:pStyle w:val="TableParagraph"/>
              <w:spacing w:before="0"/>
              <w:rPr>
                <w:rFonts w:ascii="Times New Roman"/>
                <w:sz w:val="14"/>
              </w:rPr>
            </w:pPr>
          </w:p>
        </w:tc>
        <w:tc>
          <w:tcPr>
            <w:tcW w:w="2264" w:type="dxa"/>
            <w:gridSpan w:val="2"/>
            <w:tcBorders>
              <w:bottom w:val="single" w:sz="6" w:space="0" w:color="231F20"/>
              <w:right w:val="single" w:sz="6" w:space="0" w:color="231F20"/>
            </w:tcBorders>
          </w:tcPr>
          <w:p>
            <w:pPr>
              <w:pStyle w:val="TableParagraph"/>
              <w:spacing w:before="0"/>
              <w:rPr>
                <w:rFonts w:ascii="Times New Roman"/>
                <w:sz w:val="14"/>
              </w:rPr>
            </w:pPr>
          </w:p>
        </w:tc>
      </w:tr>
      <w:tr>
        <w:trPr>
          <w:trHeight w:val="565" w:hRule="atLeast"/>
        </w:trPr>
        <w:tc>
          <w:tcPr>
            <w:tcW w:w="5415" w:type="dxa"/>
            <w:gridSpan w:val="2"/>
            <w:tcBorders>
              <w:top w:val="single" w:sz="6" w:space="0" w:color="231F20"/>
              <w:left w:val="single" w:sz="6" w:space="0" w:color="231F20"/>
              <w:bottom w:val="single" w:sz="6" w:space="0" w:color="231F20"/>
            </w:tcBorders>
            <w:shd w:val="clear" w:color="auto" w:fill="DBEEDF"/>
          </w:tcPr>
          <w:p>
            <w:pPr>
              <w:pStyle w:val="TableParagraph"/>
              <w:spacing w:before="44"/>
              <w:ind w:left="192"/>
              <w:rPr>
                <w:sz w:val="14"/>
              </w:rPr>
            </w:pPr>
            <w:r>
              <w:rPr>
                <w:color w:val="231F20"/>
                <w:w w:val="125"/>
                <w:sz w:val="14"/>
              </w:rPr>
              <w:t>AXDs started before study/screening and/or during screening</w:t>
            </w:r>
          </w:p>
          <w:p>
            <w:pPr>
              <w:pStyle w:val="TableParagraph"/>
              <w:spacing w:before="107"/>
              <w:ind w:left="192"/>
              <w:rPr>
                <w:sz w:val="14"/>
              </w:rPr>
            </w:pPr>
            <w:r>
              <w:rPr>
                <w:color w:val="231F20"/>
                <w:w w:val="120"/>
                <w:sz w:val="14"/>
              </w:rPr>
              <w:t>Green (</w:t>
            </w:r>
            <w:r>
              <w:rPr>
                <w:rFonts w:ascii="Lucida Sans"/>
                <w:i/>
                <w:color w:val="231F20"/>
                <w:w w:val="120"/>
                <w:sz w:val="14"/>
              </w:rPr>
              <w:t>N </w:t>
            </w:r>
            <w:r>
              <w:rPr>
                <w:color w:val="231F20"/>
                <w:w w:val="120"/>
                <w:sz w:val="14"/>
              </w:rPr>
              <w:t>= 32)</w:t>
            </w:r>
          </w:p>
        </w:tc>
        <w:tc>
          <w:tcPr>
            <w:tcW w:w="2507" w:type="dxa"/>
            <w:tcBorders>
              <w:top w:val="single" w:sz="6" w:space="0" w:color="231F20"/>
              <w:bottom w:val="single" w:sz="6" w:space="0" w:color="231F20"/>
            </w:tcBorders>
            <w:shd w:val="clear" w:color="auto" w:fill="DBEEDF"/>
          </w:tcPr>
          <w:p>
            <w:pPr>
              <w:pStyle w:val="TableParagraph"/>
              <w:spacing w:before="0"/>
              <w:rPr>
                <w:sz w:val="16"/>
              </w:rPr>
            </w:pPr>
          </w:p>
          <w:p>
            <w:pPr>
              <w:pStyle w:val="TableParagraph"/>
              <w:spacing w:before="127"/>
              <w:ind w:left="750"/>
              <w:rPr>
                <w:sz w:val="14"/>
              </w:rPr>
            </w:pPr>
            <w:r>
              <w:rPr>
                <w:color w:val="231F20"/>
                <w:w w:val="125"/>
                <w:sz w:val="14"/>
              </w:rPr>
              <w:t>Amber (</w:t>
            </w:r>
            <w:r>
              <w:rPr>
                <w:rFonts w:ascii="Lucida Sans"/>
                <w:i/>
                <w:color w:val="231F20"/>
                <w:w w:val="125"/>
                <w:sz w:val="14"/>
              </w:rPr>
              <w:t>N </w:t>
            </w:r>
            <w:r>
              <w:rPr>
                <w:color w:val="231F20"/>
                <w:w w:val="125"/>
                <w:sz w:val="14"/>
              </w:rPr>
              <w:t>= 127)</w:t>
            </w:r>
          </w:p>
        </w:tc>
        <w:tc>
          <w:tcPr>
            <w:tcW w:w="2264" w:type="dxa"/>
            <w:gridSpan w:val="2"/>
            <w:tcBorders>
              <w:top w:val="single" w:sz="6" w:space="0" w:color="231F20"/>
              <w:bottom w:val="single" w:sz="6" w:space="0" w:color="231F20"/>
              <w:right w:val="single" w:sz="6" w:space="0" w:color="231F20"/>
            </w:tcBorders>
            <w:shd w:val="clear" w:color="auto" w:fill="DBEEDF"/>
          </w:tcPr>
          <w:p>
            <w:pPr>
              <w:pStyle w:val="TableParagraph"/>
              <w:spacing w:before="0"/>
              <w:rPr>
                <w:rFonts w:ascii="Times New Roman"/>
                <w:sz w:val="14"/>
              </w:rPr>
            </w:pPr>
          </w:p>
        </w:tc>
      </w:tr>
      <w:tr>
        <w:trPr>
          <w:trHeight w:val="296" w:hRule="atLeast"/>
        </w:trPr>
        <w:tc>
          <w:tcPr>
            <w:tcW w:w="2578" w:type="dxa"/>
            <w:tcBorders>
              <w:top w:val="single" w:sz="6" w:space="0" w:color="231F20"/>
              <w:left w:val="single" w:sz="6" w:space="0" w:color="231F20"/>
            </w:tcBorders>
            <w:shd w:val="clear" w:color="auto" w:fill="78C693"/>
          </w:tcPr>
          <w:p>
            <w:pPr>
              <w:pStyle w:val="TableParagraph"/>
              <w:spacing w:before="64"/>
              <w:ind w:left="192"/>
              <w:rPr>
                <w:sz w:val="14"/>
              </w:rPr>
            </w:pPr>
            <w:r>
              <w:rPr>
                <w:color w:val="231F20"/>
                <w:w w:val="125"/>
                <w:sz w:val="14"/>
              </w:rPr>
              <w:t>Lorazepam</w:t>
            </w:r>
          </w:p>
        </w:tc>
        <w:tc>
          <w:tcPr>
            <w:tcW w:w="2837" w:type="dxa"/>
            <w:tcBorders>
              <w:top w:val="single" w:sz="6" w:space="0" w:color="231F20"/>
            </w:tcBorders>
            <w:shd w:val="clear" w:color="auto" w:fill="78C693"/>
          </w:tcPr>
          <w:p>
            <w:pPr>
              <w:pStyle w:val="TableParagraph"/>
              <w:spacing w:before="64"/>
              <w:ind w:left="907"/>
              <w:rPr>
                <w:sz w:val="14"/>
              </w:rPr>
            </w:pPr>
            <w:r>
              <w:rPr>
                <w:color w:val="231F20"/>
                <w:w w:val="115"/>
                <w:sz w:val="14"/>
              </w:rPr>
              <w:t>22 (68.8%)</w:t>
            </w:r>
          </w:p>
        </w:tc>
        <w:tc>
          <w:tcPr>
            <w:tcW w:w="2507" w:type="dxa"/>
            <w:tcBorders>
              <w:top w:val="single" w:sz="6" w:space="0" w:color="231F20"/>
            </w:tcBorders>
            <w:shd w:val="clear" w:color="auto" w:fill="78C693"/>
          </w:tcPr>
          <w:p>
            <w:pPr>
              <w:pStyle w:val="TableParagraph"/>
              <w:spacing w:before="64"/>
              <w:ind w:left="751"/>
              <w:rPr>
                <w:sz w:val="14"/>
              </w:rPr>
            </w:pPr>
            <w:r>
              <w:rPr>
                <w:color w:val="231F20"/>
                <w:w w:val="105"/>
                <w:sz w:val="14"/>
              </w:rPr>
              <w:t>Alprazolam</w:t>
            </w:r>
          </w:p>
        </w:tc>
        <w:tc>
          <w:tcPr>
            <w:tcW w:w="2264" w:type="dxa"/>
            <w:gridSpan w:val="2"/>
            <w:tcBorders>
              <w:top w:val="single" w:sz="6" w:space="0" w:color="231F20"/>
              <w:right w:val="single" w:sz="6" w:space="0" w:color="231F20"/>
            </w:tcBorders>
            <w:shd w:val="clear" w:color="auto" w:fill="78C693"/>
          </w:tcPr>
          <w:p>
            <w:pPr>
              <w:pStyle w:val="TableParagraph"/>
              <w:spacing w:before="64"/>
              <w:ind w:left="1235"/>
              <w:rPr>
                <w:sz w:val="14"/>
              </w:rPr>
            </w:pPr>
            <w:r>
              <w:rPr>
                <w:color w:val="231F20"/>
                <w:w w:val="115"/>
                <w:sz w:val="14"/>
              </w:rPr>
              <w:t>46 (36.2%)</w:t>
            </w:r>
          </w:p>
        </w:tc>
      </w:tr>
      <w:tr>
        <w:trPr>
          <w:trHeight w:val="300" w:hRule="atLeast"/>
        </w:trPr>
        <w:tc>
          <w:tcPr>
            <w:tcW w:w="2578" w:type="dxa"/>
            <w:tcBorders>
              <w:left w:val="single" w:sz="6" w:space="0" w:color="231F20"/>
            </w:tcBorders>
          </w:tcPr>
          <w:p>
            <w:pPr>
              <w:pStyle w:val="TableParagraph"/>
              <w:ind w:left="192"/>
              <w:rPr>
                <w:sz w:val="14"/>
              </w:rPr>
            </w:pPr>
            <w:r>
              <w:rPr>
                <w:color w:val="231F20"/>
                <w:w w:val="125"/>
                <w:sz w:val="14"/>
              </w:rPr>
              <w:t>Temazepam</w:t>
            </w:r>
          </w:p>
        </w:tc>
        <w:tc>
          <w:tcPr>
            <w:tcW w:w="2837" w:type="dxa"/>
          </w:tcPr>
          <w:p>
            <w:pPr>
              <w:pStyle w:val="TableParagraph"/>
              <w:ind w:left="936" w:right="1153"/>
              <w:jc w:val="center"/>
              <w:rPr>
                <w:sz w:val="14"/>
              </w:rPr>
            </w:pPr>
            <w:r>
              <w:rPr>
                <w:color w:val="231F20"/>
                <w:w w:val="115"/>
                <w:sz w:val="14"/>
              </w:rPr>
              <w:t>6 (18.8%)</w:t>
            </w:r>
          </w:p>
        </w:tc>
        <w:tc>
          <w:tcPr>
            <w:tcW w:w="2507" w:type="dxa"/>
          </w:tcPr>
          <w:p>
            <w:pPr>
              <w:pStyle w:val="TableParagraph"/>
              <w:ind w:left="750"/>
              <w:rPr>
                <w:sz w:val="14"/>
              </w:rPr>
            </w:pPr>
            <w:r>
              <w:rPr>
                <w:color w:val="231F20"/>
                <w:w w:val="110"/>
                <w:sz w:val="14"/>
              </w:rPr>
              <w:t>Zolpidem</w:t>
            </w:r>
          </w:p>
        </w:tc>
        <w:tc>
          <w:tcPr>
            <w:tcW w:w="2264" w:type="dxa"/>
            <w:gridSpan w:val="2"/>
            <w:tcBorders>
              <w:right w:val="single" w:sz="6" w:space="0" w:color="231F20"/>
            </w:tcBorders>
          </w:tcPr>
          <w:p>
            <w:pPr>
              <w:pStyle w:val="TableParagraph"/>
              <w:ind w:left="1235"/>
              <w:rPr>
                <w:sz w:val="14"/>
              </w:rPr>
            </w:pPr>
            <w:r>
              <w:rPr>
                <w:color w:val="231F20"/>
                <w:w w:val="115"/>
                <w:sz w:val="14"/>
              </w:rPr>
              <w:t>43 (33.9%)</w:t>
            </w:r>
          </w:p>
        </w:tc>
      </w:tr>
      <w:tr>
        <w:trPr>
          <w:trHeight w:val="299" w:hRule="atLeast"/>
        </w:trPr>
        <w:tc>
          <w:tcPr>
            <w:tcW w:w="2578" w:type="dxa"/>
            <w:tcBorders>
              <w:left w:val="single" w:sz="6" w:space="0" w:color="231F20"/>
            </w:tcBorders>
            <w:shd w:val="clear" w:color="auto" w:fill="78C693"/>
          </w:tcPr>
          <w:p>
            <w:pPr>
              <w:pStyle w:val="TableParagraph"/>
              <w:spacing w:before="66"/>
              <w:ind w:left="192"/>
              <w:rPr>
                <w:sz w:val="14"/>
              </w:rPr>
            </w:pPr>
            <w:r>
              <w:rPr>
                <w:color w:val="231F20"/>
                <w:w w:val="125"/>
                <w:sz w:val="14"/>
              </w:rPr>
              <w:t>Oxazepam</w:t>
            </w:r>
          </w:p>
        </w:tc>
        <w:tc>
          <w:tcPr>
            <w:tcW w:w="2837" w:type="dxa"/>
            <w:shd w:val="clear" w:color="auto" w:fill="78C693"/>
          </w:tcPr>
          <w:p>
            <w:pPr>
              <w:pStyle w:val="TableParagraph"/>
              <w:spacing w:before="66"/>
              <w:ind w:left="989"/>
              <w:rPr>
                <w:sz w:val="14"/>
              </w:rPr>
            </w:pPr>
            <w:r>
              <w:rPr>
                <w:color w:val="231F20"/>
                <w:w w:val="115"/>
                <w:sz w:val="14"/>
              </w:rPr>
              <w:t>3 (9.4%)</w:t>
            </w:r>
          </w:p>
        </w:tc>
        <w:tc>
          <w:tcPr>
            <w:tcW w:w="2507" w:type="dxa"/>
            <w:shd w:val="clear" w:color="auto" w:fill="78C693"/>
          </w:tcPr>
          <w:p>
            <w:pPr>
              <w:pStyle w:val="TableParagraph"/>
              <w:spacing w:before="66"/>
              <w:ind w:left="750"/>
              <w:rPr>
                <w:sz w:val="14"/>
              </w:rPr>
            </w:pPr>
            <w:r>
              <w:rPr>
                <w:color w:val="231F20"/>
                <w:w w:val="110"/>
                <w:sz w:val="14"/>
              </w:rPr>
              <w:t>Clonazepam</w:t>
            </w:r>
          </w:p>
        </w:tc>
        <w:tc>
          <w:tcPr>
            <w:tcW w:w="2264" w:type="dxa"/>
            <w:gridSpan w:val="2"/>
            <w:tcBorders>
              <w:right w:val="single" w:sz="6" w:space="0" w:color="231F20"/>
            </w:tcBorders>
            <w:shd w:val="clear" w:color="auto" w:fill="78C693"/>
          </w:tcPr>
          <w:p>
            <w:pPr>
              <w:pStyle w:val="TableParagraph"/>
              <w:spacing w:before="66"/>
              <w:ind w:left="1236"/>
              <w:rPr>
                <w:sz w:val="14"/>
              </w:rPr>
            </w:pPr>
            <w:r>
              <w:rPr>
                <w:color w:val="231F20"/>
                <w:w w:val="115"/>
                <w:sz w:val="14"/>
              </w:rPr>
              <w:t>26 (20.5%)</w:t>
            </w:r>
          </w:p>
        </w:tc>
      </w:tr>
      <w:tr>
        <w:trPr>
          <w:trHeight w:val="300" w:hRule="atLeast"/>
        </w:trPr>
        <w:tc>
          <w:tcPr>
            <w:tcW w:w="2578" w:type="dxa"/>
            <w:tcBorders>
              <w:left w:val="single" w:sz="6" w:space="0" w:color="231F20"/>
            </w:tcBorders>
          </w:tcPr>
          <w:p>
            <w:pPr>
              <w:pStyle w:val="TableParagraph"/>
              <w:ind w:left="192"/>
              <w:rPr>
                <w:sz w:val="14"/>
              </w:rPr>
            </w:pPr>
            <w:r>
              <w:rPr>
                <w:color w:val="231F20"/>
                <w:w w:val="125"/>
                <w:sz w:val="14"/>
              </w:rPr>
              <w:t>Bromazepam</w:t>
            </w:r>
          </w:p>
        </w:tc>
        <w:tc>
          <w:tcPr>
            <w:tcW w:w="2837" w:type="dxa"/>
          </w:tcPr>
          <w:p>
            <w:pPr>
              <w:pStyle w:val="TableParagraph"/>
              <w:ind w:left="989"/>
              <w:rPr>
                <w:sz w:val="14"/>
              </w:rPr>
            </w:pPr>
            <w:r>
              <w:rPr>
                <w:color w:val="231F20"/>
                <w:w w:val="115"/>
                <w:sz w:val="14"/>
              </w:rPr>
              <w:t>1 (3.1%)</w:t>
            </w:r>
          </w:p>
        </w:tc>
        <w:tc>
          <w:tcPr>
            <w:tcW w:w="2507" w:type="dxa"/>
          </w:tcPr>
          <w:p>
            <w:pPr>
              <w:pStyle w:val="TableParagraph"/>
              <w:ind w:left="750"/>
              <w:rPr>
                <w:sz w:val="14"/>
              </w:rPr>
            </w:pPr>
            <w:r>
              <w:rPr>
                <w:color w:val="231F20"/>
                <w:w w:val="110"/>
                <w:sz w:val="14"/>
              </w:rPr>
              <w:t>Diazepam</w:t>
            </w:r>
          </w:p>
        </w:tc>
        <w:tc>
          <w:tcPr>
            <w:tcW w:w="2264" w:type="dxa"/>
            <w:gridSpan w:val="2"/>
            <w:tcBorders>
              <w:right w:val="single" w:sz="6" w:space="0" w:color="231F20"/>
            </w:tcBorders>
          </w:tcPr>
          <w:p>
            <w:pPr>
              <w:pStyle w:val="TableParagraph"/>
              <w:ind w:left="1236"/>
              <w:rPr>
                <w:sz w:val="14"/>
              </w:rPr>
            </w:pPr>
            <w:r>
              <w:rPr>
                <w:color w:val="231F20"/>
                <w:w w:val="115"/>
                <w:sz w:val="14"/>
              </w:rPr>
              <w:t>14 (11.0%)</w:t>
            </w:r>
          </w:p>
        </w:tc>
      </w:tr>
      <w:tr>
        <w:trPr>
          <w:trHeight w:val="300" w:hRule="atLeast"/>
        </w:trPr>
        <w:tc>
          <w:tcPr>
            <w:tcW w:w="2578" w:type="dxa"/>
            <w:tcBorders>
              <w:left w:val="single" w:sz="6" w:space="0" w:color="231F20"/>
            </w:tcBorders>
            <w:shd w:val="clear" w:color="auto" w:fill="78C693"/>
          </w:tcPr>
          <w:p>
            <w:pPr>
              <w:pStyle w:val="TableParagraph"/>
              <w:spacing w:before="66"/>
              <w:ind w:left="192"/>
              <w:rPr>
                <w:sz w:val="14"/>
              </w:rPr>
            </w:pPr>
            <w:r>
              <w:rPr>
                <w:color w:val="231F20"/>
                <w:w w:val="125"/>
                <w:sz w:val="14"/>
              </w:rPr>
              <w:t>Lormetazepam</w:t>
            </w:r>
          </w:p>
        </w:tc>
        <w:tc>
          <w:tcPr>
            <w:tcW w:w="2837" w:type="dxa"/>
            <w:shd w:val="clear" w:color="auto" w:fill="78C693"/>
          </w:tcPr>
          <w:p>
            <w:pPr>
              <w:pStyle w:val="TableParagraph"/>
              <w:spacing w:before="66"/>
              <w:ind w:left="989"/>
              <w:rPr>
                <w:sz w:val="14"/>
              </w:rPr>
            </w:pPr>
            <w:r>
              <w:rPr>
                <w:color w:val="231F20"/>
                <w:w w:val="115"/>
                <w:sz w:val="14"/>
              </w:rPr>
              <w:t>1 (3.1%)</w:t>
            </w:r>
          </w:p>
        </w:tc>
        <w:tc>
          <w:tcPr>
            <w:tcW w:w="2507" w:type="dxa"/>
            <w:shd w:val="clear" w:color="auto" w:fill="78C693"/>
          </w:tcPr>
          <w:p>
            <w:pPr>
              <w:pStyle w:val="TableParagraph"/>
              <w:spacing w:before="66"/>
              <w:ind w:left="751"/>
              <w:rPr>
                <w:sz w:val="14"/>
              </w:rPr>
            </w:pPr>
            <w:r>
              <w:rPr>
                <w:color w:val="231F20"/>
                <w:w w:val="105"/>
                <w:sz w:val="14"/>
              </w:rPr>
              <w:t>Buspirone</w:t>
            </w:r>
          </w:p>
        </w:tc>
        <w:tc>
          <w:tcPr>
            <w:tcW w:w="2264" w:type="dxa"/>
            <w:gridSpan w:val="2"/>
            <w:tcBorders>
              <w:right w:val="single" w:sz="6" w:space="0" w:color="231F20"/>
            </w:tcBorders>
            <w:shd w:val="clear" w:color="auto" w:fill="78C693"/>
          </w:tcPr>
          <w:p>
            <w:pPr>
              <w:pStyle w:val="TableParagraph"/>
              <w:spacing w:before="66"/>
              <w:ind w:left="1317"/>
              <w:rPr>
                <w:sz w:val="14"/>
              </w:rPr>
            </w:pPr>
            <w:r>
              <w:rPr>
                <w:color w:val="231F20"/>
                <w:w w:val="115"/>
                <w:sz w:val="14"/>
              </w:rPr>
              <w:t>7 (5.5%)</w:t>
            </w:r>
          </w:p>
        </w:tc>
      </w:tr>
      <w:tr>
        <w:trPr>
          <w:trHeight w:val="299" w:hRule="atLeast"/>
        </w:trPr>
        <w:tc>
          <w:tcPr>
            <w:tcW w:w="5415" w:type="dxa"/>
            <w:gridSpan w:val="2"/>
            <w:tcBorders>
              <w:left w:val="single" w:sz="6" w:space="0" w:color="231F20"/>
            </w:tcBorders>
          </w:tcPr>
          <w:p>
            <w:pPr>
              <w:pStyle w:val="TableParagraph"/>
              <w:spacing w:before="0"/>
              <w:rPr>
                <w:rFonts w:ascii="Times New Roman"/>
                <w:sz w:val="14"/>
              </w:rPr>
            </w:pPr>
          </w:p>
        </w:tc>
        <w:tc>
          <w:tcPr>
            <w:tcW w:w="2507" w:type="dxa"/>
          </w:tcPr>
          <w:p>
            <w:pPr>
              <w:pStyle w:val="TableParagraph"/>
              <w:ind w:left="750"/>
              <w:rPr>
                <w:sz w:val="14"/>
              </w:rPr>
            </w:pPr>
            <w:r>
              <w:rPr>
                <w:color w:val="231F20"/>
                <w:w w:val="105"/>
                <w:sz w:val="14"/>
              </w:rPr>
              <w:t>Clorazepate</w:t>
            </w:r>
          </w:p>
        </w:tc>
        <w:tc>
          <w:tcPr>
            <w:tcW w:w="2264" w:type="dxa"/>
            <w:gridSpan w:val="2"/>
            <w:tcBorders>
              <w:right w:val="single" w:sz="6" w:space="0" w:color="231F20"/>
            </w:tcBorders>
          </w:tcPr>
          <w:p>
            <w:pPr>
              <w:pStyle w:val="TableParagraph"/>
              <w:ind w:left="1318"/>
              <w:rPr>
                <w:sz w:val="14"/>
              </w:rPr>
            </w:pPr>
            <w:r>
              <w:rPr>
                <w:color w:val="231F20"/>
                <w:w w:val="115"/>
                <w:sz w:val="14"/>
              </w:rPr>
              <w:t>2 (1.6%)</w:t>
            </w:r>
          </w:p>
        </w:tc>
      </w:tr>
      <w:tr>
        <w:trPr>
          <w:trHeight w:val="300" w:hRule="atLeast"/>
        </w:trPr>
        <w:tc>
          <w:tcPr>
            <w:tcW w:w="5415" w:type="dxa"/>
            <w:gridSpan w:val="2"/>
            <w:tcBorders>
              <w:left w:val="single" w:sz="6" w:space="0" w:color="231F20"/>
            </w:tcBorders>
            <w:shd w:val="clear" w:color="auto" w:fill="78C693"/>
          </w:tcPr>
          <w:p>
            <w:pPr>
              <w:pStyle w:val="TableParagraph"/>
              <w:spacing w:before="0"/>
              <w:rPr>
                <w:rFonts w:ascii="Times New Roman"/>
                <w:sz w:val="14"/>
              </w:rPr>
            </w:pPr>
          </w:p>
        </w:tc>
        <w:tc>
          <w:tcPr>
            <w:tcW w:w="2507" w:type="dxa"/>
            <w:shd w:val="clear" w:color="auto" w:fill="78C693"/>
          </w:tcPr>
          <w:p>
            <w:pPr>
              <w:pStyle w:val="TableParagraph"/>
              <w:spacing w:before="67"/>
              <w:ind w:left="750"/>
              <w:rPr>
                <w:sz w:val="14"/>
              </w:rPr>
            </w:pPr>
            <w:r>
              <w:rPr>
                <w:color w:val="231F20"/>
                <w:w w:val="105"/>
                <w:sz w:val="14"/>
              </w:rPr>
              <w:t>Eszopiclone</w:t>
            </w:r>
          </w:p>
        </w:tc>
        <w:tc>
          <w:tcPr>
            <w:tcW w:w="2264" w:type="dxa"/>
            <w:gridSpan w:val="2"/>
            <w:tcBorders>
              <w:right w:val="single" w:sz="6" w:space="0" w:color="231F20"/>
            </w:tcBorders>
            <w:shd w:val="clear" w:color="auto" w:fill="78C693"/>
          </w:tcPr>
          <w:p>
            <w:pPr>
              <w:pStyle w:val="TableParagraph"/>
              <w:spacing w:before="67"/>
              <w:ind w:left="1318"/>
              <w:rPr>
                <w:sz w:val="14"/>
              </w:rPr>
            </w:pPr>
            <w:r>
              <w:rPr>
                <w:color w:val="231F20"/>
                <w:w w:val="115"/>
                <w:sz w:val="14"/>
              </w:rPr>
              <w:t>2 (1.6%)</w:t>
            </w:r>
          </w:p>
        </w:tc>
      </w:tr>
      <w:tr>
        <w:trPr>
          <w:trHeight w:val="299" w:hRule="atLeast"/>
        </w:trPr>
        <w:tc>
          <w:tcPr>
            <w:tcW w:w="5415" w:type="dxa"/>
            <w:gridSpan w:val="2"/>
            <w:tcBorders>
              <w:left w:val="single" w:sz="6" w:space="0" w:color="231F20"/>
            </w:tcBorders>
          </w:tcPr>
          <w:p>
            <w:pPr>
              <w:pStyle w:val="TableParagraph"/>
              <w:spacing w:before="0"/>
              <w:rPr>
                <w:rFonts w:ascii="Times New Roman"/>
                <w:sz w:val="14"/>
              </w:rPr>
            </w:pPr>
          </w:p>
        </w:tc>
        <w:tc>
          <w:tcPr>
            <w:tcW w:w="2507" w:type="dxa"/>
          </w:tcPr>
          <w:p>
            <w:pPr>
              <w:pStyle w:val="TableParagraph"/>
              <w:ind w:left="750"/>
              <w:rPr>
                <w:sz w:val="14"/>
              </w:rPr>
            </w:pPr>
            <w:r>
              <w:rPr>
                <w:color w:val="231F20"/>
                <w:w w:val="105"/>
                <w:sz w:val="14"/>
              </w:rPr>
              <w:t>Triazolam</w:t>
            </w:r>
          </w:p>
        </w:tc>
        <w:tc>
          <w:tcPr>
            <w:tcW w:w="2264" w:type="dxa"/>
            <w:gridSpan w:val="2"/>
            <w:tcBorders>
              <w:right w:val="single" w:sz="6" w:space="0" w:color="231F20"/>
            </w:tcBorders>
          </w:tcPr>
          <w:p>
            <w:pPr>
              <w:pStyle w:val="TableParagraph"/>
              <w:ind w:left="1318"/>
              <w:rPr>
                <w:sz w:val="14"/>
              </w:rPr>
            </w:pPr>
            <w:r>
              <w:rPr>
                <w:color w:val="231F20"/>
                <w:w w:val="115"/>
                <w:sz w:val="14"/>
              </w:rPr>
              <w:t>2 (1.6%)</w:t>
            </w:r>
          </w:p>
        </w:tc>
      </w:tr>
      <w:tr>
        <w:trPr>
          <w:trHeight w:val="300" w:hRule="atLeast"/>
        </w:trPr>
        <w:tc>
          <w:tcPr>
            <w:tcW w:w="5415" w:type="dxa"/>
            <w:gridSpan w:val="2"/>
            <w:tcBorders>
              <w:left w:val="single" w:sz="6" w:space="0" w:color="231F20"/>
            </w:tcBorders>
            <w:shd w:val="clear" w:color="auto" w:fill="78C693"/>
          </w:tcPr>
          <w:p>
            <w:pPr>
              <w:pStyle w:val="TableParagraph"/>
              <w:spacing w:before="0"/>
              <w:rPr>
                <w:rFonts w:ascii="Times New Roman"/>
                <w:sz w:val="14"/>
              </w:rPr>
            </w:pPr>
          </w:p>
        </w:tc>
        <w:tc>
          <w:tcPr>
            <w:tcW w:w="2507" w:type="dxa"/>
            <w:shd w:val="clear" w:color="auto" w:fill="78C693"/>
          </w:tcPr>
          <w:p>
            <w:pPr>
              <w:pStyle w:val="TableParagraph"/>
              <w:spacing w:before="67"/>
              <w:ind w:left="750"/>
              <w:rPr>
                <w:sz w:val="14"/>
              </w:rPr>
            </w:pPr>
            <w:r>
              <w:rPr>
                <w:color w:val="231F20"/>
                <w:w w:val="110"/>
                <w:sz w:val="14"/>
              </w:rPr>
              <w:t>Zaleplon</w:t>
            </w:r>
          </w:p>
        </w:tc>
        <w:tc>
          <w:tcPr>
            <w:tcW w:w="2264" w:type="dxa"/>
            <w:gridSpan w:val="2"/>
            <w:tcBorders>
              <w:right w:val="single" w:sz="6" w:space="0" w:color="231F20"/>
            </w:tcBorders>
            <w:shd w:val="clear" w:color="auto" w:fill="78C693"/>
          </w:tcPr>
          <w:p>
            <w:pPr>
              <w:pStyle w:val="TableParagraph"/>
              <w:spacing w:before="67"/>
              <w:ind w:left="1317"/>
              <w:rPr>
                <w:sz w:val="14"/>
              </w:rPr>
            </w:pPr>
            <w:r>
              <w:rPr>
                <w:color w:val="231F20"/>
                <w:w w:val="115"/>
                <w:sz w:val="14"/>
              </w:rPr>
              <w:t>2 (1.6%)</w:t>
            </w:r>
          </w:p>
        </w:tc>
      </w:tr>
      <w:tr>
        <w:trPr>
          <w:trHeight w:val="300" w:hRule="atLeast"/>
        </w:trPr>
        <w:tc>
          <w:tcPr>
            <w:tcW w:w="5415" w:type="dxa"/>
            <w:gridSpan w:val="2"/>
            <w:tcBorders>
              <w:left w:val="single" w:sz="6" w:space="0" w:color="231F20"/>
            </w:tcBorders>
          </w:tcPr>
          <w:p>
            <w:pPr>
              <w:pStyle w:val="TableParagraph"/>
              <w:spacing w:before="0"/>
              <w:rPr>
                <w:rFonts w:ascii="Times New Roman"/>
                <w:sz w:val="14"/>
              </w:rPr>
            </w:pPr>
          </w:p>
        </w:tc>
        <w:tc>
          <w:tcPr>
            <w:tcW w:w="2507" w:type="dxa"/>
          </w:tcPr>
          <w:p>
            <w:pPr>
              <w:pStyle w:val="TableParagraph"/>
              <w:spacing w:before="87"/>
              <w:ind w:left="750"/>
              <w:rPr>
                <w:sz w:val="14"/>
              </w:rPr>
            </w:pPr>
            <w:r>
              <w:rPr>
                <w:color w:val="231F20"/>
                <w:w w:val="110"/>
                <w:sz w:val="14"/>
              </w:rPr>
              <w:t>Zopiclone</w:t>
            </w:r>
          </w:p>
        </w:tc>
        <w:tc>
          <w:tcPr>
            <w:tcW w:w="2264" w:type="dxa"/>
            <w:gridSpan w:val="2"/>
            <w:tcBorders>
              <w:right w:val="single" w:sz="6" w:space="0" w:color="231F20"/>
            </w:tcBorders>
          </w:tcPr>
          <w:p>
            <w:pPr>
              <w:pStyle w:val="TableParagraph"/>
              <w:spacing w:before="87"/>
              <w:ind w:left="1317"/>
              <w:rPr>
                <w:sz w:val="14"/>
              </w:rPr>
            </w:pPr>
            <w:r>
              <w:rPr>
                <w:color w:val="231F20"/>
                <w:w w:val="115"/>
                <w:sz w:val="14"/>
              </w:rPr>
              <w:t>2 (1.6%)</w:t>
            </w:r>
          </w:p>
        </w:tc>
      </w:tr>
      <w:tr>
        <w:trPr>
          <w:trHeight w:val="296" w:hRule="atLeast"/>
        </w:trPr>
        <w:tc>
          <w:tcPr>
            <w:tcW w:w="5415" w:type="dxa"/>
            <w:gridSpan w:val="2"/>
            <w:tcBorders>
              <w:left w:val="single" w:sz="6" w:space="0" w:color="231F20"/>
              <w:bottom w:val="single" w:sz="6" w:space="0" w:color="231F20"/>
            </w:tcBorders>
            <w:shd w:val="clear" w:color="auto" w:fill="78C693"/>
          </w:tcPr>
          <w:p>
            <w:pPr>
              <w:pStyle w:val="TableParagraph"/>
              <w:spacing w:before="0"/>
              <w:rPr>
                <w:rFonts w:ascii="Times New Roman"/>
                <w:sz w:val="14"/>
              </w:rPr>
            </w:pPr>
          </w:p>
        </w:tc>
        <w:tc>
          <w:tcPr>
            <w:tcW w:w="2507" w:type="dxa"/>
            <w:tcBorders>
              <w:bottom w:val="single" w:sz="6" w:space="0" w:color="231F20"/>
            </w:tcBorders>
            <w:shd w:val="clear" w:color="auto" w:fill="78C693"/>
          </w:tcPr>
          <w:p>
            <w:pPr>
              <w:pStyle w:val="TableParagraph"/>
              <w:spacing w:before="66"/>
              <w:ind w:left="750"/>
              <w:rPr>
                <w:sz w:val="14"/>
              </w:rPr>
            </w:pPr>
            <w:r>
              <w:rPr>
                <w:color w:val="231F20"/>
                <w:w w:val="105"/>
                <w:sz w:val="14"/>
              </w:rPr>
              <w:t>Prazepam</w:t>
            </w:r>
          </w:p>
        </w:tc>
        <w:tc>
          <w:tcPr>
            <w:tcW w:w="2264" w:type="dxa"/>
            <w:gridSpan w:val="2"/>
            <w:tcBorders>
              <w:bottom w:val="single" w:sz="6" w:space="0" w:color="231F20"/>
              <w:right w:val="single" w:sz="6" w:space="0" w:color="231F20"/>
            </w:tcBorders>
            <w:shd w:val="clear" w:color="auto" w:fill="78C693"/>
          </w:tcPr>
          <w:p>
            <w:pPr>
              <w:pStyle w:val="TableParagraph"/>
              <w:spacing w:before="66"/>
              <w:ind w:left="1318"/>
              <w:rPr>
                <w:sz w:val="14"/>
              </w:rPr>
            </w:pPr>
            <w:r>
              <w:rPr>
                <w:color w:val="231F20"/>
                <w:w w:val="115"/>
                <w:sz w:val="14"/>
              </w:rPr>
              <w:t>1 (0.8%)</w:t>
            </w:r>
          </w:p>
        </w:tc>
      </w:tr>
      <w:tr>
        <w:trPr>
          <w:trHeight w:val="567" w:hRule="atLeast"/>
        </w:trPr>
        <w:tc>
          <w:tcPr>
            <w:tcW w:w="5415" w:type="dxa"/>
            <w:gridSpan w:val="2"/>
            <w:tcBorders>
              <w:top w:val="single" w:sz="6" w:space="0" w:color="231F20"/>
              <w:left w:val="single" w:sz="6" w:space="0" w:color="231F20"/>
              <w:bottom w:val="single" w:sz="4" w:space="0" w:color="231F20"/>
            </w:tcBorders>
            <w:shd w:val="clear" w:color="auto" w:fill="DBEEDF"/>
          </w:tcPr>
          <w:p>
            <w:pPr>
              <w:pStyle w:val="TableParagraph"/>
              <w:spacing w:before="44"/>
              <w:ind w:left="192"/>
              <w:rPr>
                <w:sz w:val="14"/>
              </w:rPr>
            </w:pPr>
            <w:r>
              <w:rPr>
                <w:color w:val="231F20"/>
                <w:w w:val="125"/>
                <w:sz w:val="14"/>
              </w:rPr>
              <w:t>LLDs started before study/screening and/or during screening</w:t>
            </w:r>
          </w:p>
          <w:p>
            <w:pPr>
              <w:pStyle w:val="TableParagraph"/>
              <w:spacing w:before="108"/>
              <w:ind w:left="192"/>
              <w:rPr>
                <w:sz w:val="14"/>
              </w:rPr>
            </w:pPr>
            <w:r>
              <w:rPr>
                <w:color w:val="231F20"/>
                <w:w w:val="120"/>
                <w:sz w:val="14"/>
              </w:rPr>
              <w:t>Green (</w:t>
            </w:r>
            <w:r>
              <w:rPr>
                <w:rFonts w:ascii="Lucida Sans"/>
                <w:i/>
                <w:color w:val="231F20"/>
                <w:w w:val="120"/>
                <w:sz w:val="14"/>
              </w:rPr>
              <w:t>N </w:t>
            </w:r>
            <w:r>
              <w:rPr>
                <w:color w:val="231F20"/>
                <w:w w:val="120"/>
                <w:sz w:val="14"/>
              </w:rPr>
              <w:t>= 42)</w:t>
            </w:r>
          </w:p>
        </w:tc>
        <w:tc>
          <w:tcPr>
            <w:tcW w:w="2507" w:type="dxa"/>
            <w:tcBorders>
              <w:top w:val="single" w:sz="6" w:space="0" w:color="231F20"/>
              <w:bottom w:val="single" w:sz="4" w:space="0" w:color="231F20"/>
            </w:tcBorders>
            <w:shd w:val="clear" w:color="auto" w:fill="DBEEDF"/>
          </w:tcPr>
          <w:p>
            <w:pPr>
              <w:pStyle w:val="TableParagraph"/>
              <w:spacing w:before="0"/>
              <w:rPr>
                <w:sz w:val="16"/>
              </w:rPr>
            </w:pPr>
          </w:p>
          <w:p>
            <w:pPr>
              <w:pStyle w:val="TableParagraph"/>
              <w:spacing w:before="127"/>
              <w:ind w:left="796"/>
              <w:rPr>
                <w:sz w:val="14"/>
              </w:rPr>
            </w:pPr>
            <w:r>
              <w:rPr>
                <w:color w:val="231F20"/>
                <w:w w:val="125"/>
                <w:sz w:val="14"/>
              </w:rPr>
              <w:t>Amber (</w:t>
            </w:r>
            <w:r>
              <w:rPr>
                <w:rFonts w:ascii="Lucida Sans"/>
                <w:i/>
                <w:color w:val="231F20"/>
                <w:w w:val="125"/>
                <w:sz w:val="14"/>
              </w:rPr>
              <w:t>N </w:t>
            </w:r>
            <w:r>
              <w:rPr>
                <w:color w:val="231F20"/>
                <w:w w:val="125"/>
                <w:sz w:val="14"/>
              </w:rPr>
              <w:t>= 67)</w:t>
            </w:r>
          </w:p>
        </w:tc>
        <w:tc>
          <w:tcPr>
            <w:tcW w:w="2264" w:type="dxa"/>
            <w:gridSpan w:val="2"/>
            <w:tcBorders>
              <w:top w:val="single" w:sz="6" w:space="0" w:color="231F20"/>
              <w:bottom w:val="single" w:sz="4" w:space="0" w:color="231F20"/>
              <w:right w:val="single" w:sz="6" w:space="0" w:color="231F20"/>
            </w:tcBorders>
            <w:shd w:val="clear" w:color="auto" w:fill="DBEEDF"/>
          </w:tcPr>
          <w:p>
            <w:pPr>
              <w:pStyle w:val="TableParagraph"/>
              <w:spacing w:before="0"/>
              <w:rPr>
                <w:rFonts w:ascii="Times New Roman"/>
                <w:sz w:val="14"/>
              </w:rPr>
            </w:pPr>
          </w:p>
        </w:tc>
      </w:tr>
      <w:tr>
        <w:trPr>
          <w:trHeight w:val="299" w:hRule="atLeast"/>
        </w:trPr>
        <w:tc>
          <w:tcPr>
            <w:tcW w:w="2578" w:type="dxa"/>
            <w:tcBorders>
              <w:top w:val="single" w:sz="4" w:space="0" w:color="231F20"/>
              <w:left w:val="single" w:sz="6" w:space="0" w:color="231F20"/>
            </w:tcBorders>
            <w:shd w:val="clear" w:color="auto" w:fill="78C693"/>
          </w:tcPr>
          <w:p>
            <w:pPr>
              <w:pStyle w:val="TableParagraph"/>
              <w:spacing w:before="67"/>
              <w:ind w:left="192"/>
              <w:rPr>
                <w:sz w:val="14"/>
              </w:rPr>
            </w:pPr>
            <w:r>
              <w:rPr>
                <w:color w:val="231F20"/>
                <w:w w:val="125"/>
                <w:sz w:val="14"/>
              </w:rPr>
              <w:t>Omega 3 </w:t>
            </w:r>
            <w:r>
              <w:rPr>
                <w:rFonts w:ascii="Arial" w:hAnsi="Arial"/>
                <w:color w:val="231F20"/>
                <w:w w:val="125"/>
                <w:sz w:val="14"/>
              </w:rPr>
              <w:t>ﬁ</w:t>
            </w:r>
            <w:r>
              <w:rPr>
                <w:color w:val="231F20"/>
                <w:w w:val="125"/>
                <w:sz w:val="14"/>
              </w:rPr>
              <w:t>sh oil</w:t>
            </w:r>
          </w:p>
        </w:tc>
        <w:tc>
          <w:tcPr>
            <w:tcW w:w="2837" w:type="dxa"/>
            <w:tcBorders>
              <w:top w:val="single" w:sz="4" w:space="0" w:color="231F20"/>
            </w:tcBorders>
            <w:shd w:val="clear" w:color="auto" w:fill="78C693"/>
          </w:tcPr>
          <w:p>
            <w:pPr>
              <w:pStyle w:val="TableParagraph"/>
              <w:spacing w:before="67"/>
              <w:ind w:left="942" w:right="1153"/>
              <w:jc w:val="center"/>
              <w:rPr>
                <w:sz w:val="14"/>
              </w:rPr>
            </w:pPr>
            <w:r>
              <w:rPr>
                <w:color w:val="231F20"/>
                <w:w w:val="115"/>
                <w:sz w:val="14"/>
              </w:rPr>
              <w:t>31 (73.8%)</w:t>
            </w:r>
          </w:p>
        </w:tc>
        <w:tc>
          <w:tcPr>
            <w:tcW w:w="2507" w:type="dxa"/>
            <w:tcBorders>
              <w:top w:val="single" w:sz="4" w:space="0" w:color="231F20"/>
            </w:tcBorders>
            <w:shd w:val="clear" w:color="auto" w:fill="78C693"/>
          </w:tcPr>
          <w:p>
            <w:pPr>
              <w:pStyle w:val="TableParagraph"/>
              <w:spacing w:before="67"/>
              <w:ind w:left="796"/>
              <w:rPr>
                <w:sz w:val="14"/>
              </w:rPr>
            </w:pPr>
            <w:r>
              <w:rPr>
                <w:color w:val="231F20"/>
                <w:w w:val="105"/>
                <w:sz w:val="14"/>
              </w:rPr>
              <w:t>Simvastatin</w:t>
            </w:r>
          </w:p>
        </w:tc>
        <w:tc>
          <w:tcPr>
            <w:tcW w:w="2264" w:type="dxa"/>
            <w:gridSpan w:val="2"/>
            <w:tcBorders>
              <w:top w:val="single" w:sz="4" w:space="0" w:color="231F20"/>
              <w:right w:val="single" w:sz="6" w:space="0" w:color="231F20"/>
            </w:tcBorders>
            <w:shd w:val="clear" w:color="auto" w:fill="78C693"/>
          </w:tcPr>
          <w:p>
            <w:pPr>
              <w:pStyle w:val="TableParagraph"/>
              <w:spacing w:before="67"/>
              <w:ind w:left="1250"/>
              <w:rPr>
                <w:sz w:val="14"/>
              </w:rPr>
            </w:pPr>
            <w:r>
              <w:rPr>
                <w:color w:val="231F20"/>
                <w:w w:val="115"/>
                <w:sz w:val="14"/>
              </w:rPr>
              <w:t>22 (32.8%)</w:t>
            </w:r>
          </w:p>
        </w:tc>
      </w:tr>
      <w:tr>
        <w:trPr>
          <w:trHeight w:val="300" w:hRule="atLeast"/>
        </w:trPr>
        <w:tc>
          <w:tcPr>
            <w:tcW w:w="2578" w:type="dxa"/>
            <w:tcBorders>
              <w:left w:val="single" w:sz="6" w:space="0" w:color="231F20"/>
            </w:tcBorders>
          </w:tcPr>
          <w:p>
            <w:pPr>
              <w:pStyle w:val="TableParagraph"/>
              <w:spacing w:before="87"/>
              <w:ind w:left="192"/>
              <w:rPr>
                <w:sz w:val="14"/>
              </w:rPr>
            </w:pPr>
            <w:r>
              <w:rPr>
                <w:color w:val="231F20"/>
                <w:w w:val="125"/>
                <w:sz w:val="14"/>
              </w:rPr>
              <w:t>Ezetimibe</w:t>
            </w:r>
          </w:p>
        </w:tc>
        <w:tc>
          <w:tcPr>
            <w:tcW w:w="2837" w:type="dxa"/>
          </w:tcPr>
          <w:p>
            <w:pPr>
              <w:pStyle w:val="TableParagraph"/>
              <w:spacing w:before="87"/>
              <w:ind w:left="944" w:right="1074"/>
              <w:jc w:val="center"/>
              <w:rPr>
                <w:sz w:val="14"/>
              </w:rPr>
            </w:pPr>
            <w:r>
              <w:rPr>
                <w:color w:val="231F20"/>
                <w:w w:val="115"/>
                <w:sz w:val="14"/>
              </w:rPr>
              <w:t>7 (16.7%)</w:t>
            </w:r>
          </w:p>
        </w:tc>
        <w:tc>
          <w:tcPr>
            <w:tcW w:w="2507" w:type="dxa"/>
          </w:tcPr>
          <w:p>
            <w:pPr>
              <w:pStyle w:val="TableParagraph"/>
              <w:spacing w:before="87"/>
              <w:ind w:left="796"/>
              <w:rPr>
                <w:sz w:val="14"/>
              </w:rPr>
            </w:pPr>
            <w:r>
              <w:rPr>
                <w:color w:val="231F20"/>
                <w:w w:val="105"/>
                <w:sz w:val="14"/>
              </w:rPr>
              <w:t>Atorvastatin</w:t>
            </w:r>
          </w:p>
        </w:tc>
        <w:tc>
          <w:tcPr>
            <w:tcW w:w="2264" w:type="dxa"/>
            <w:gridSpan w:val="2"/>
            <w:tcBorders>
              <w:right w:val="single" w:sz="6" w:space="0" w:color="231F20"/>
            </w:tcBorders>
          </w:tcPr>
          <w:p>
            <w:pPr>
              <w:pStyle w:val="TableParagraph"/>
              <w:spacing w:before="87"/>
              <w:ind w:left="1251"/>
              <w:rPr>
                <w:sz w:val="14"/>
              </w:rPr>
            </w:pPr>
            <w:r>
              <w:rPr>
                <w:color w:val="231F20"/>
                <w:w w:val="115"/>
                <w:sz w:val="14"/>
              </w:rPr>
              <w:t>19 (28.4%)</w:t>
            </w:r>
          </w:p>
        </w:tc>
      </w:tr>
      <w:tr>
        <w:trPr>
          <w:trHeight w:val="299" w:hRule="atLeast"/>
        </w:trPr>
        <w:tc>
          <w:tcPr>
            <w:tcW w:w="2578" w:type="dxa"/>
            <w:tcBorders>
              <w:left w:val="single" w:sz="6" w:space="0" w:color="231F20"/>
            </w:tcBorders>
            <w:shd w:val="clear" w:color="auto" w:fill="78C693"/>
          </w:tcPr>
          <w:p>
            <w:pPr>
              <w:pStyle w:val="TableParagraph"/>
              <w:spacing w:before="66"/>
              <w:ind w:left="192"/>
              <w:rPr>
                <w:sz w:val="14"/>
              </w:rPr>
            </w:pPr>
            <w:r>
              <w:rPr>
                <w:color w:val="231F20"/>
                <w:w w:val="125"/>
                <w:sz w:val="14"/>
              </w:rPr>
              <w:t>Feno</w:t>
            </w:r>
            <w:r>
              <w:rPr>
                <w:rFonts w:ascii="Arial" w:hAnsi="Arial"/>
                <w:color w:val="231F20"/>
                <w:w w:val="125"/>
                <w:sz w:val="14"/>
              </w:rPr>
              <w:t>ﬁ</w:t>
            </w:r>
            <w:r>
              <w:rPr>
                <w:color w:val="231F20"/>
                <w:w w:val="125"/>
                <w:sz w:val="14"/>
              </w:rPr>
              <w:t>brate</w:t>
            </w:r>
          </w:p>
        </w:tc>
        <w:tc>
          <w:tcPr>
            <w:tcW w:w="2837" w:type="dxa"/>
            <w:shd w:val="clear" w:color="auto" w:fill="78C693"/>
          </w:tcPr>
          <w:p>
            <w:pPr>
              <w:pStyle w:val="TableParagraph"/>
              <w:spacing w:before="66"/>
              <w:ind w:left="944" w:right="1071"/>
              <w:jc w:val="center"/>
              <w:rPr>
                <w:sz w:val="14"/>
              </w:rPr>
            </w:pPr>
            <w:r>
              <w:rPr>
                <w:color w:val="231F20"/>
                <w:w w:val="115"/>
                <w:sz w:val="14"/>
              </w:rPr>
              <w:t>6 (14.3%)</w:t>
            </w:r>
          </w:p>
        </w:tc>
        <w:tc>
          <w:tcPr>
            <w:tcW w:w="2507" w:type="dxa"/>
            <w:shd w:val="clear" w:color="auto" w:fill="78C693"/>
          </w:tcPr>
          <w:p>
            <w:pPr>
              <w:pStyle w:val="TableParagraph"/>
              <w:spacing w:before="66"/>
              <w:ind w:left="796"/>
              <w:rPr>
                <w:sz w:val="14"/>
              </w:rPr>
            </w:pPr>
            <w:r>
              <w:rPr>
                <w:color w:val="231F20"/>
                <w:w w:val="105"/>
                <w:sz w:val="14"/>
              </w:rPr>
              <w:t>Pravastatin</w:t>
            </w:r>
          </w:p>
        </w:tc>
        <w:tc>
          <w:tcPr>
            <w:tcW w:w="2264" w:type="dxa"/>
            <w:gridSpan w:val="2"/>
            <w:tcBorders>
              <w:right w:val="single" w:sz="6" w:space="0" w:color="231F20"/>
            </w:tcBorders>
            <w:shd w:val="clear" w:color="auto" w:fill="78C693"/>
          </w:tcPr>
          <w:p>
            <w:pPr>
              <w:pStyle w:val="TableParagraph"/>
              <w:spacing w:before="66"/>
              <w:ind w:left="1250"/>
              <w:rPr>
                <w:sz w:val="14"/>
              </w:rPr>
            </w:pPr>
            <w:r>
              <w:rPr>
                <w:color w:val="231F20"/>
                <w:w w:val="115"/>
                <w:sz w:val="14"/>
              </w:rPr>
              <w:t>14 (20.9%)</w:t>
            </w:r>
          </w:p>
        </w:tc>
      </w:tr>
      <w:tr>
        <w:trPr>
          <w:trHeight w:val="300" w:hRule="atLeast"/>
        </w:trPr>
        <w:tc>
          <w:tcPr>
            <w:tcW w:w="2578" w:type="dxa"/>
            <w:tcBorders>
              <w:left w:val="single" w:sz="6" w:space="0" w:color="231F20"/>
            </w:tcBorders>
          </w:tcPr>
          <w:p>
            <w:pPr>
              <w:pStyle w:val="TableParagraph"/>
              <w:spacing w:before="87"/>
              <w:ind w:left="192"/>
              <w:rPr>
                <w:sz w:val="14"/>
              </w:rPr>
            </w:pPr>
            <w:r>
              <w:rPr>
                <w:color w:val="231F20"/>
                <w:w w:val="125"/>
                <w:sz w:val="14"/>
              </w:rPr>
              <w:t>Beza</w:t>
            </w:r>
            <w:r>
              <w:rPr>
                <w:rFonts w:ascii="Arial" w:hAnsi="Arial"/>
                <w:color w:val="231F20"/>
                <w:w w:val="125"/>
                <w:sz w:val="14"/>
              </w:rPr>
              <w:t>ﬁ</w:t>
            </w:r>
            <w:r>
              <w:rPr>
                <w:color w:val="231F20"/>
                <w:w w:val="125"/>
                <w:sz w:val="14"/>
              </w:rPr>
              <w:t>brate</w:t>
            </w:r>
          </w:p>
        </w:tc>
        <w:tc>
          <w:tcPr>
            <w:tcW w:w="2837" w:type="dxa"/>
          </w:tcPr>
          <w:p>
            <w:pPr>
              <w:pStyle w:val="TableParagraph"/>
              <w:spacing w:before="87"/>
              <w:ind w:left="1033"/>
              <w:rPr>
                <w:sz w:val="14"/>
              </w:rPr>
            </w:pPr>
            <w:r>
              <w:rPr>
                <w:color w:val="231F20"/>
                <w:w w:val="115"/>
                <w:sz w:val="14"/>
              </w:rPr>
              <w:t>1 (2.4%)</w:t>
            </w:r>
          </w:p>
        </w:tc>
        <w:tc>
          <w:tcPr>
            <w:tcW w:w="2507" w:type="dxa"/>
          </w:tcPr>
          <w:p>
            <w:pPr>
              <w:pStyle w:val="TableParagraph"/>
              <w:spacing w:before="87"/>
              <w:ind w:left="796"/>
              <w:rPr>
                <w:sz w:val="14"/>
              </w:rPr>
            </w:pPr>
            <w:r>
              <w:rPr>
                <w:color w:val="231F20"/>
                <w:w w:val="105"/>
                <w:sz w:val="14"/>
              </w:rPr>
              <w:t>Lovastatin</w:t>
            </w:r>
          </w:p>
        </w:tc>
        <w:tc>
          <w:tcPr>
            <w:tcW w:w="2264" w:type="dxa"/>
            <w:gridSpan w:val="2"/>
            <w:tcBorders>
              <w:right w:val="single" w:sz="6" w:space="0" w:color="231F20"/>
            </w:tcBorders>
          </w:tcPr>
          <w:p>
            <w:pPr>
              <w:pStyle w:val="TableParagraph"/>
              <w:spacing w:before="87"/>
              <w:ind w:left="1333"/>
              <w:rPr>
                <w:sz w:val="14"/>
              </w:rPr>
            </w:pPr>
            <w:r>
              <w:rPr>
                <w:color w:val="231F20"/>
                <w:w w:val="115"/>
                <w:sz w:val="14"/>
              </w:rPr>
              <w:t>5 (7.5%)</w:t>
            </w:r>
          </w:p>
        </w:tc>
      </w:tr>
      <w:tr>
        <w:trPr>
          <w:trHeight w:val="299" w:hRule="atLeast"/>
        </w:trPr>
        <w:tc>
          <w:tcPr>
            <w:tcW w:w="2578" w:type="dxa"/>
            <w:tcBorders>
              <w:left w:val="single" w:sz="6" w:space="0" w:color="231F20"/>
            </w:tcBorders>
            <w:shd w:val="clear" w:color="auto" w:fill="78C693"/>
          </w:tcPr>
          <w:p>
            <w:pPr>
              <w:pStyle w:val="TableParagraph"/>
              <w:spacing w:before="66"/>
              <w:ind w:left="192"/>
              <w:rPr>
                <w:sz w:val="14"/>
              </w:rPr>
            </w:pPr>
            <w:r>
              <w:rPr>
                <w:color w:val="231F20"/>
                <w:w w:val="125"/>
                <w:sz w:val="14"/>
              </w:rPr>
              <w:t>Fluvastatin</w:t>
            </w:r>
          </w:p>
        </w:tc>
        <w:tc>
          <w:tcPr>
            <w:tcW w:w="2837" w:type="dxa"/>
            <w:shd w:val="clear" w:color="auto" w:fill="78C693"/>
          </w:tcPr>
          <w:p>
            <w:pPr>
              <w:pStyle w:val="TableParagraph"/>
              <w:spacing w:before="66"/>
              <w:ind w:left="1033"/>
              <w:rPr>
                <w:sz w:val="14"/>
              </w:rPr>
            </w:pPr>
            <w:r>
              <w:rPr>
                <w:color w:val="231F20"/>
                <w:w w:val="115"/>
                <w:sz w:val="14"/>
              </w:rPr>
              <w:t>1 (2.4%)</w:t>
            </w:r>
          </w:p>
        </w:tc>
        <w:tc>
          <w:tcPr>
            <w:tcW w:w="2507" w:type="dxa"/>
            <w:shd w:val="clear" w:color="auto" w:fill="78C693"/>
          </w:tcPr>
          <w:p>
            <w:pPr>
              <w:pStyle w:val="TableParagraph"/>
              <w:spacing w:before="66"/>
              <w:ind w:left="796"/>
              <w:rPr>
                <w:sz w:val="14"/>
              </w:rPr>
            </w:pPr>
            <w:r>
              <w:rPr>
                <w:color w:val="231F20"/>
                <w:w w:val="105"/>
                <w:sz w:val="14"/>
              </w:rPr>
              <w:t>Rosuvastatin</w:t>
            </w:r>
          </w:p>
        </w:tc>
        <w:tc>
          <w:tcPr>
            <w:tcW w:w="2264" w:type="dxa"/>
            <w:gridSpan w:val="2"/>
            <w:tcBorders>
              <w:right w:val="single" w:sz="6" w:space="0" w:color="231F20"/>
            </w:tcBorders>
            <w:shd w:val="clear" w:color="auto" w:fill="78C693"/>
          </w:tcPr>
          <w:p>
            <w:pPr>
              <w:pStyle w:val="TableParagraph"/>
              <w:spacing w:before="66"/>
              <w:ind w:left="1333"/>
              <w:rPr>
                <w:sz w:val="14"/>
              </w:rPr>
            </w:pPr>
            <w:r>
              <w:rPr>
                <w:color w:val="231F20"/>
                <w:w w:val="115"/>
                <w:sz w:val="14"/>
              </w:rPr>
              <w:t>4 (6.0%)</w:t>
            </w:r>
          </w:p>
        </w:tc>
      </w:tr>
      <w:tr>
        <w:trPr>
          <w:trHeight w:val="298" w:hRule="atLeast"/>
        </w:trPr>
        <w:tc>
          <w:tcPr>
            <w:tcW w:w="5415" w:type="dxa"/>
            <w:gridSpan w:val="2"/>
            <w:tcBorders>
              <w:left w:val="single" w:sz="6" w:space="0" w:color="231F20"/>
              <w:bottom w:val="single" w:sz="6" w:space="0" w:color="231F20"/>
            </w:tcBorders>
          </w:tcPr>
          <w:p>
            <w:pPr>
              <w:pStyle w:val="TableParagraph"/>
              <w:spacing w:before="0"/>
              <w:rPr>
                <w:rFonts w:ascii="Times New Roman"/>
                <w:sz w:val="14"/>
              </w:rPr>
            </w:pPr>
          </w:p>
        </w:tc>
        <w:tc>
          <w:tcPr>
            <w:tcW w:w="2507" w:type="dxa"/>
            <w:tcBorders>
              <w:bottom w:val="single" w:sz="6" w:space="0" w:color="231F20"/>
            </w:tcBorders>
          </w:tcPr>
          <w:p>
            <w:pPr>
              <w:pStyle w:val="TableParagraph"/>
              <w:spacing w:before="87"/>
              <w:ind w:left="796"/>
              <w:rPr>
                <w:sz w:val="14"/>
              </w:rPr>
            </w:pPr>
            <w:r>
              <w:rPr>
                <w:color w:val="231F20"/>
                <w:w w:val="105"/>
                <w:sz w:val="14"/>
              </w:rPr>
              <w:t>Gem</w:t>
            </w:r>
            <w:r>
              <w:rPr>
                <w:rFonts w:ascii="Arial" w:hAnsi="Arial"/>
                <w:color w:val="231F20"/>
                <w:w w:val="105"/>
                <w:sz w:val="14"/>
              </w:rPr>
              <w:t>ﬁ</w:t>
            </w:r>
            <w:r>
              <w:rPr>
                <w:color w:val="231F20"/>
                <w:w w:val="105"/>
                <w:sz w:val="14"/>
              </w:rPr>
              <w:t>brozil</w:t>
            </w:r>
          </w:p>
        </w:tc>
        <w:tc>
          <w:tcPr>
            <w:tcW w:w="2264" w:type="dxa"/>
            <w:gridSpan w:val="2"/>
            <w:tcBorders>
              <w:bottom w:val="single" w:sz="6" w:space="0" w:color="231F20"/>
              <w:right w:val="single" w:sz="6" w:space="0" w:color="231F20"/>
            </w:tcBorders>
          </w:tcPr>
          <w:p>
            <w:pPr>
              <w:pStyle w:val="TableParagraph"/>
              <w:spacing w:before="87"/>
              <w:ind w:left="1333"/>
              <w:rPr>
                <w:sz w:val="14"/>
              </w:rPr>
            </w:pPr>
            <w:r>
              <w:rPr>
                <w:color w:val="231F20"/>
                <w:w w:val="115"/>
                <w:sz w:val="14"/>
              </w:rPr>
              <w:t>3 (4.5%)</w:t>
            </w:r>
          </w:p>
        </w:tc>
      </w:tr>
    </w:tbl>
    <w:p>
      <w:pPr>
        <w:spacing w:before="56"/>
        <w:ind w:left="334" w:right="5098" w:firstLine="0"/>
        <w:jc w:val="center"/>
        <w:rPr>
          <w:rFonts w:ascii="Calibri"/>
          <w:sz w:val="15"/>
        </w:rPr>
      </w:pPr>
      <w:r>
        <w:rPr/>
        <w:pict>
          <v:line style="position:absolute;mso-position-horizontal-relative:page;mso-position-vertical-relative:paragraph;z-index:-30688" from="46.487999pt,-105.797295pt" to="547.482999pt,-105.797295pt" stroked="true" strokeweight=".51022pt" strokecolor="#231f20">
            <v:stroke dashstyle="solid"/>
            <w10:wrap type="none"/>
          </v:line>
        </w:pict>
      </w:r>
      <w:r>
        <w:rPr>
          <w:rFonts w:ascii="Calibri"/>
          <w:color w:val="231F20"/>
          <w:w w:val="110"/>
          <w:sz w:val="15"/>
        </w:rPr>
        <w:t>AHD, antihypertensive drug; AXD, anxiolytic drug; LLD, lipid-lowering drug</w:t>
      </w:r>
    </w:p>
    <w:p>
      <w:pPr>
        <w:pStyle w:val="BodyText"/>
        <w:spacing w:before="5"/>
        <w:ind w:left="0"/>
        <w:rPr>
          <w:rFonts w:ascii="Calibri"/>
          <w:sz w:val="16"/>
        </w:rPr>
      </w:pPr>
    </w:p>
    <w:p>
      <w:pPr>
        <w:spacing w:after="0"/>
        <w:rPr>
          <w:rFonts w:ascii="Calibri"/>
          <w:sz w:val="16"/>
        </w:rPr>
        <w:sectPr>
          <w:pgSz w:w="11880" w:h="15670"/>
          <w:pgMar w:header="462" w:footer="669" w:top="980" w:bottom="860" w:left="740" w:right="720"/>
        </w:sectPr>
      </w:pPr>
    </w:p>
    <w:p>
      <w:pPr>
        <w:spacing w:line="230" w:lineRule="auto" w:before="109"/>
        <w:ind w:left="100" w:right="38" w:firstLine="0"/>
        <w:jc w:val="both"/>
        <w:rPr>
          <w:sz w:val="17"/>
        </w:rPr>
      </w:pPr>
      <w:r>
        <w:rPr>
          <w:rFonts w:ascii="Book Antiqua"/>
          <w:i/>
          <w:color w:val="231F20"/>
          <w:w w:val="105"/>
          <w:sz w:val="17"/>
        </w:rPr>
        <w:t>Safety of patients who discontinued their CMOI before or on day 1 </w:t>
      </w:r>
      <w:r>
        <w:rPr>
          <w:rFonts w:ascii="Book Antiqua"/>
          <w:i/>
          <w:color w:val="231F20"/>
          <w:w w:val="105"/>
          <w:sz w:val="17"/>
        </w:rPr>
        <w:t>of SMV initiation. </w:t>
      </w:r>
      <w:r>
        <w:rPr>
          <w:color w:val="231F20"/>
          <w:w w:val="105"/>
          <w:sz w:val="17"/>
        </w:rPr>
        <w:t>Twelve patients  (12/403,  3%)  discontinued their AHD before or on day 1 of SMV treatment, six stopped an amber AHD (6/152, 4%) and six stopped a green AHD (6/251, 2%). Six patients started another AHD (two green, four amber) and two of them restarted</w:t>
      </w:r>
      <w:r>
        <w:rPr>
          <w:color w:val="231F20"/>
          <w:spacing w:val="27"/>
          <w:w w:val="105"/>
          <w:sz w:val="17"/>
        </w:rPr>
        <w:t> </w:t>
      </w:r>
      <w:r>
        <w:rPr>
          <w:color w:val="231F20"/>
          <w:w w:val="105"/>
          <w:sz w:val="17"/>
        </w:rPr>
        <w:t>their</w:t>
      </w:r>
      <w:r>
        <w:rPr>
          <w:color w:val="231F20"/>
          <w:spacing w:val="26"/>
          <w:w w:val="105"/>
          <w:sz w:val="17"/>
        </w:rPr>
        <w:t> </w:t>
      </w:r>
      <w:r>
        <w:rPr>
          <w:color w:val="231F20"/>
          <w:w w:val="105"/>
          <w:sz w:val="17"/>
        </w:rPr>
        <w:t>original</w:t>
      </w:r>
      <w:r>
        <w:rPr>
          <w:color w:val="231F20"/>
          <w:spacing w:val="26"/>
          <w:w w:val="105"/>
          <w:sz w:val="17"/>
        </w:rPr>
        <w:t> </w:t>
      </w:r>
      <w:r>
        <w:rPr>
          <w:color w:val="231F20"/>
          <w:w w:val="105"/>
          <w:sz w:val="17"/>
        </w:rPr>
        <w:t>AHD</w:t>
      </w:r>
      <w:r>
        <w:rPr>
          <w:color w:val="231F20"/>
          <w:spacing w:val="27"/>
          <w:w w:val="105"/>
          <w:sz w:val="17"/>
        </w:rPr>
        <w:t> </w:t>
      </w:r>
      <w:r>
        <w:rPr>
          <w:color w:val="231F20"/>
          <w:w w:val="105"/>
          <w:sz w:val="17"/>
        </w:rPr>
        <w:t>after</w:t>
      </w:r>
      <w:r>
        <w:rPr>
          <w:color w:val="231F20"/>
          <w:spacing w:val="26"/>
          <w:w w:val="105"/>
          <w:sz w:val="17"/>
        </w:rPr>
        <w:t> </w:t>
      </w:r>
      <w:r>
        <w:rPr>
          <w:color w:val="231F20"/>
          <w:w w:val="105"/>
          <w:sz w:val="17"/>
        </w:rPr>
        <w:t>2</w:t>
      </w:r>
      <w:r>
        <w:rPr>
          <w:color w:val="231F20"/>
          <w:spacing w:val="26"/>
          <w:w w:val="105"/>
          <w:sz w:val="17"/>
        </w:rPr>
        <w:t> </w:t>
      </w:r>
      <w:r>
        <w:rPr>
          <w:color w:val="231F20"/>
          <w:w w:val="105"/>
          <w:sz w:val="17"/>
        </w:rPr>
        <w:t>weeks</w:t>
      </w:r>
      <w:r>
        <w:rPr>
          <w:color w:val="231F20"/>
          <w:spacing w:val="27"/>
          <w:w w:val="105"/>
          <w:sz w:val="17"/>
        </w:rPr>
        <w:t> </w:t>
      </w:r>
      <w:r>
        <w:rPr>
          <w:color w:val="231F20"/>
          <w:w w:val="105"/>
          <w:sz w:val="17"/>
        </w:rPr>
        <w:t>to</w:t>
      </w:r>
      <w:r>
        <w:rPr>
          <w:color w:val="231F20"/>
          <w:spacing w:val="26"/>
          <w:w w:val="105"/>
          <w:sz w:val="17"/>
        </w:rPr>
        <w:t> </w:t>
      </w:r>
      <w:r>
        <w:rPr>
          <w:color w:val="231F20"/>
          <w:w w:val="105"/>
          <w:sz w:val="17"/>
        </w:rPr>
        <w:t>5</w:t>
      </w:r>
      <w:r>
        <w:rPr>
          <w:color w:val="231F20"/>
          <w:spacing w:val="26"/>
          <w:w w:val="105"/>
          <w:sz w:val="17"/>
        </w:rPr>
        <w:t> </w:t>
      </w:r>
      <w:r>
        <w:rPr>
          <w:color w:val="231F20"/>
          <w:w w:val="105"/>
          <w:sz w:val="17"/>
        </w:rPr>
        <w:t>months</w:t>
      </w:r>
      <w:r>
        <w:rPr>
          <w:color w:val="231F20"/>
          <w:spacing w:val="27"/>
          <w:w w:val="105"/>
          <w:sz w:val="17"/>
        </w:rPr>
        <w:t> </w:t>
      </w:r>
      <w:r>
        <w:rPr>
          <w:color w:val="231F20"/>
          <w:w w:val="105"/>
          <w:sz w:val="17"/>
        </w:rPr>
        <w:t>of</w:t>
      </w:r>
    </w:p>
    <w:p>
      <w:pPr>
        <w:pStyle w:val="BodyText"/>
        <w:spacing w:line="230" w:lineRule="auto" w:before="89"/>
        <w:ind w:right="116"/>
        <w:jc w:val="both"/>
      </w:pPr>
      <w:r>
        <w:rPr/>
        <w:br w:type="column"/>
      </w:r>
      <w:r>
        <w:rPr>
          <w:color w:val="231F20"/>
          <w:w w:val="105"/>
        </w:rPr>
        <w:t>discontinuation (one green, one amber). Eleven of these 12 patients experienced AEs, mostly of mild severity (grade 1</w:t>
      </w:r>
      <w:r>
        <w:rPr>
          <w:rFonts w:ascii="Lucida Sans" w:hAnsi="Lucida Sans"/>
          <w:color w:val="231F20"/>
          <w:w w:val="105"/>
        </w:rPr>
        <w:t>–</w:t>
      </w:r>
      <w:r>
        <w:rPr>
          <w:color w:val="231F20"/>
          <w:w w:val="105"/>
        </w:rPr>
        <w:t>2). One grade 4 event (increased lipase) was reported, which resolved during SMV therapy and was considered not to be related to SMV.</w:t>
      </w:r>
    </w:p>
    <w:p>
      <w:pPr>
        <w:pStyle w:val="BodyText"/>
        <w:spacing w:line="230" w:lineRule="auto"/>
        <w:ind w:firstLine="280"/>
      </w:pPr>
      <w:r>
        <w:rPr>
          <w:color w:val="231F20"/>
        </w:rPr>
        <w:t>Transient cardiovascular AEs of mild to moderate severity (grades 1</w:t>
      </w:r>
      <w:r>
        <w:rPr>
          <w:rFonts w:ascii="Lucida Sans" w:hAnsi="Lucida Sans"/>
          <w:color w:val="231F20"/>
        </w:rPr>
        <w:t>–</w:t>
      </w:r>
      <w:r>
        <w:rPr>
          <w:color w:val="231F20"/>
        </w:rPr>
        <w:t>2) were reported in four of the 12 patients (two</w:t>
      </w:r>
    </w:p>
    <w:p>
      <w:pPr>
        <w:spacing w:after="0" w:line="230" w:lineRule="auto"/>
        <w:sectPr>
          <w:type w:val="continuous"/>
          <w:pgSz w:w="11880" w:h="15670"/>
          <w:pgMar w:top="380" w:bottom="0" w:left="740" w:right="720"/>
          <w:cols w:num="2" w:equalWidth="0">
            <w:col w:w="4963" w:space="418"/>
            <w:col w:w="5039"/>
          </w:cols>
        </w:sectPr>
      </w:pPr>
    </w:p>
    <w:p>
      <w:pPr>
        <w:pStyle w:val="BodyText"/>
        <w:spacing w:before="1"/>
        <w:ind w:left="0"/>
        <w:rPr>
          <w:sz w:val="11"/>
        </w:rPr>
      </w:pPr>
    </w:p>
    <w:p>
      <w:pPr>
        <w:pStyle w:val="BodyText"/>
        <w:ind w:left="2062"/>
        <w:rPr>
          <w:sz w:val="20"/>
        </w:rPr>
      </w:pPr>
      <w:r>
        <w:rPr>
          <w:sz w:val="20"/>
        </w:rPr>
        <w:drawing>
          <wp:inline distT="0" distB="0" distL="0" distR="0">
            <wp:extent cx="3988065" cy="6071616"/>
            <wp:effectExtent l="0" t="0" r="0" b="0"/>
            <wp:docPr id="3" name="image6.jpeg" descr=""/>
            <wp:cNvGraphicFramePr>
              <a:graphicFrameLocks noChangeAspect="1"/>
            </wp:cNvGraphicFramePr>
            <a:graphic>
              <a:graphicData uri="http://schemas.openxmlformats.org/drawingml/2006/picture">
                <pic:pic>
                  <pic:nvPicPr>
                    <pic:cNvPr id="4" name="image6.jpeg"/>
                    <pic:cNvPicPr/>
                  </pic:nvPicPr>
                  <pic:blipFill>
                    <a:blip r:embed="rId23" cstate="print"/>
                    <a:stretch>
                      <a:fillRect/>
                    </a:stretch>
                  </pic:blipFill>
                  <pic:spPr>
                    <a:xfrm>
                      <a:off x="0" y="0"/>
                      <a:ext cx="3988065" cy="6071616"/>
                    </a:xfrm>
                    <a:prstGeom prst="rect">
                      <a:avLst/>
                    </a:prstGeom>
                  </pic:spPr>
                </pic:pic>
              </a:graphicData>
            </a:graphic>
          </wp:inline>
        </w:drawing>
      </w:r>
      <w:r>
        <w:rPr>
          <w:sz w:val="20"/>
        </w:rPr>
      </w:r>
    </w:p>
    <w:p>
      <w:pPr>
        <w:pStyle w:val="BodyText"/>
        <w:spacing w:before="3"/>
        <w:ind w:left="0"/>
        <w:rPr>
          <w:sz w:val="18"/>
        </w:rPr>
      </w:pPr>
    </w:p>
    <w:p>
      <w:pPr>
        <w:pStyle w:val="Heading3"/>
        <w:spacing w:before="95"/>
      </w:pPr>
      <w:r>
        <w:rPr>
          <w:color w:val="00AB54"/>
        </w:rPr>
        <w:t>Figure 2</w:t>
      </w:r>
    </w:p>
    <w:p>
      <w:pPr>
        <w:spacing w:line="244" w:lineRule="auto" w:before="42"/>
        <w:ind w:left="100" w:right="114" w:firstLine="0"/>
        <w:jc w:val="both"/>
        <w:rPr>
          <w:rFonts w:ascii="Calibri" w:hAnsi="Calibri"/>
          <w:sz w:val="16"/>
        </w:rPr>
      </w:pPr>
      <w:r>
        <w:rPr>
          <w:rFonts w:ascii="Calibri" w:hAnsi="Calibri"/>
          <w:color w:val="231F20"/>
          <w:w w:val="105"/>
          <w:sz w:val="16"/>
        </w:rPr>
        <w:t>Frequency of CMOI (outcomes cohort). The number of concomitant drugs (any or additional CMOI) given in addition to SMV-based therapy are described. In all patient groups, rates of polypharmacy were similar for amber and green drugs. (A) Among patients on AHDs, the level of polypharmacy was high, with almost half of the patients taking any </w:t>
      </w:r>
      <w:r>
        <w:rPr>
          <w:rFonts w:ascii="Arial" w:hAnsi="Arial"/>
          <w:color w:val="231F20"/>
          <w:w w:val="105"/>
          <w:sz w:val="16"/>
        </w:rPr>
        <w:t>ﬁ</w:t>
      </w:r>
      <w:r>
        <w:rPr>
          <w:rFonts w:ascii="Calibri" w:hAnsi="Calibri"/>
          <w:color w:val="231F20"/>
          <w:w w:val="105"/>
          <w:sz w:val="16"/>
        </w:rPr>
        <w:t>ve to nine concomitant medications in addition to HCV therapy. It was com-</w:t>
      </w:r>
      <w:r>
        <w:rPr>
          <w:rFonts w:ascii="Calibri" w:hAnsi="Calibri"/>
          <w:color w:val="231F20"/>
          <w:spacing w:val="36"/>
          <w:w w:val="105"/>
          <w:sz w:val="16"/>
        </w:rPr>
        <w:t> </w:t>
      </w:r>
      <w:r>
        <w:rPr>
          <w:rFonts w:ascii="Calibri" w:hAnsi="Calibri"/>
          <w:color w:val="231F20"/>
          <w:w w:val="105"/>
          <w:sz w:val="16"/>
        </w:rPr>
        <w:t>mon to take one or two AHDs. (B) Polypharmacy was high, with most patients on AXDs taking any </w:t>
      </w:r>
      <w:r>
        <w:rPr>
          <w:rFonts w:ascii="Arial" w:hAnsi="Arial"/>
          <w:color w:val="231F20"/>
          <w:w w:val="105"/>
          <w:sz w:val="16"/>
        </w:rPr>
        <w:t>ﬁ</w:t>
      </w:r>
      <w:r>
        <w:rPr>
          <w:rFonts w:ascii="Calibri" w:hAnsi="Calibri"/>
          <w:color w:val="231F20"/>
          <w:w w:val="105"/>
          <w:sz w:val="16"/>
        </w:rPr>
        <w:t>ve to nine concomitant medications. It was      very common to take only one AXD, and less common to take two or three AXDs. (C) Among patients on LLDs, the frequency of any concomitant medications was higher compared with AHDs and AXDs, especially for patients taking 10 or more concomitant medications. It was very common      to take only one LLD, and less common to take two or three LLDs. AHD, antihypertensive drug; AXD, anxiolytic drug; CMOI,  concomitant  med- ication</w:t>
      </w:r>
      <w:r>
        <w:rPr>
          <w:rFonts w:ascii="Calibri" w:hAnsi="Calibri"/>
          <w:color w:val="231F20"/>
          <w:spacing w:val="5"/>
          <w:w w:val="105"/>
          <w:sz w:val="16"/>
        </w:rPr>
        <w:t> </w:t>
      </w:r>
      <w:r>
        <w:rPr>
          <w:rFonts w:ascii="Calibri" w:hAnsi="Calibri"/>
          <w:color w:val="231F20"/>
          <w:w w:val="105"/>
          <w:sz w:val="16"/>
        </w:rPr>
        <w:t>of</w:t>
      </w:r>
      <w:r>
        <w:rPr>
          <w:rFonts w:ascii="Calibri" w:hAnsi="Calibri"/>
          <w:color w:val="231F20"/>
          <w:spacing w:val="7"/>
          <w:w w:val="105"/>
          <w:sz w:val="16"/>
        </w:rPr>
        <w:t> </w:t>
      </w:r>
      <w:r>
        <w:rPr>
          <w:rFonts w:ascii="Calibri" w:hAnsi="Calibri"/>
          <w:color w:val="231F20"/>
          <w:w w:val="105"/>
          <w:sz w:val="16"/>
        </w:rPr>
        <w:t>interest;</w:t>
      </w:r>
      <w:r>
        <w:rPr>
          <w:rFonts w:ascii="Calibri" w:hAnsi="Calibri"/>
          <w:color w:val="231F20"/>
          <w:spacing w:val="7"/>
          <w:w w:val="105"/>
          <w:sz w:val="16"/>
        </w:rPr>
        <w:t> </w:t>
      </w:r>
      <w:r>
        <w:rPr>
          <w:rFonts w:ascii="Calibri" w:hAnsi="Calibri"/>
          <w:color w:val="231F20"/>
          <w:w w:val="105"/>
          <w:sz w:val="16"/>
        </w:rPr>
        <w:t>HCV,</w:t>
      </w:r>
      <w:r>
        <w:rPr>
          <w:rFonts w:ascii="Calibri" w:hAnsi="Calibri"/>
          <w:color w:val="231F20"/>
          <w:spacing w:val="7"/>
          <w:w w:val="105"/>
          <w:sz w:val="16"/>
        </w:rPr>
        <w:t> </w:t>
      </w:r>
      <w:r>
        <w:rPr>
          <w:rFonts w:ascii="Calibri" w:hAnsi="Calibri"/>
          <w:color w:val="231F20"/>
          <w:w w:val="105"/>
          <w:sz w:val="16"/>
        </w:rPr>
        <w:t>hepatitis</w:t>
      </w:r>
      <w:r>
        <w:rPr>
          <w:rFonts w:ascii="Calibri" w:hAnsi="Calibri"/>
          <w:color w:val="231F20"/>
          <w:spacing w:val="6"/>
          <w:w w:val="105"/>
          <w:sz w:val="16"/>
        </w:rPr>
        <w:t> </w:t>
      </w:r>
      <w:r>
        <w:rPr>
          <w:rFonts w:ascii="Calibri" w:hAnsi="Calibri"/>
          <w:color w:val="231F20"/>
          <w:w w:val="105"/>
          <w:sz w:val="16"/>
        </w:rPr>
        <w:t>C</w:t>
      </w:r>
      <w:r>
        <w:rPr>
          <w:rFonts w:ascii="Calibri" w:hAnsi="Calibri"/>
          <w:color w:val="231F20"/>
          <w:spacing w:val="6"/>
          <w:w w:val="105"/>
          <w:sz w:val="16"/>
        </w:rPr>
        <w:t> </w:t>
      </w:r>
      <w:r>
        <w:rPr>
          <w:rFonts w:ascii="Calibri" w:hAnsi="Calibri"/>
          <w:color w:val="231F20"/>
          <w:w w:val="105"/>
          <w:sz w:val="16"/>
        </w:rPr>
        <w:t>virus;</w:t>
      </w:r>
      <w:r>
        <w:rPr>
          <w:rFonts w:ascii="Calibri" w:hAnsi="Calibri"/>
          <w:color w:val="231F20"/>
          <w:spacing w:val="6"/>
          <w:w w:val="105"/>
          <w:sz w:val="16"/>
        </w:rPr>
        <w:t> </w:t>
      </w:r>
      <w:r>
        <w:rPr>
          <w:rFonts w:ascii="Calibri" w:hAnsi="Calibri"/>
          <w:color w:val="231F20"/>
          <w:w w:val="105"/>
          <w:sz w:val="16"/>
        </w:rPr>
        <w:t>SMV,</w:t>
      </w:r>
      <w:r>
        <w:rPr>
          <w:rFonts w:ascii="Calibri" w:hAnsi="Calibri"/>
          <w:color w:val="231F20"/>
          <w:spacing w:val="6"/>
          <w:w w:val="105"/>
          <w:sz w:val="16"/>
        </w:rPr>
        <w:t> </w:t>
      </w:r>
      <w:r>
        <w:rPr>
          <w:rFonts w:ascii="Calibri" w:hAnsi="Calibri"/>
          <w:color w:val="231F20"/>
          <w:w w:val="105"/>
          <w:sz w:val="16"/>
        </w:rPr>
        <w:t>simeprevir;</w:t>
      </w:r>
      <w:r>
        <w:rPr>
          <w:rFonts w:ascii="Calibri" w:hAnsi="Calibri"/>
          <w:color w:val="231F20"/>
          <w:spacing w:val="6"/>
          <w:w w:val="105"/>
          <w:sz w:val="16"/>
        </w:rPr>
        <w:t> </w:t>
      </w:r>
      <w:r>
        <w:rPr>
          <w:rFonts w:ascii="Calibri" w:hAnsi="Calibri"/>
          <w:color w:val="231F20"/>
          <w:w w:val="105"/>
          <w:sz w:val="16"/>
        </w:rPr>
        <w:t>LLD,</w:t>
      </w:r>
      <w:r>
        <w:rPr>
          <w:rFonts w:ascii="Calibri" w:hAnsi="Calibri"/>
          <w:color w:val="231F20"/>
          <w:spacing w:val="7"/>
          <w:w w:val="105"/>
          <w:sz w:val="16"/>
        </w:rPr>
        <w:t> </w:t>
      </w:r>
      <w:r>
        <w:rPr>
          <w:rFonts w:ascii="Calibri" w:hAnsi="Calibri"/>
          <w:color w:val="231F20"/>
          <w:w w:val="105"/>
          <w:sz w:val="16"/>
        </w:rPr>
        <w:t>lipid-lowering</w:t>
      </w:r>
      <w:r>
        <w:rPr>
          <w:rFonts w:ascii="Calibri" w:hAnsi="Calibri"/>
          <w:color w:val="231F20"/>
          <w:spacing w:val="6"/>
          <w:w w:val="105"/>
          <w:sz w:val="16"/>
        </w:rPr>
        <w:t> </w:t>
      </w:r>
      <w:r>
        <w:rPr>
          <w:rFonts w:ascii="Calibri" w:hAnsi="Calibri"/>
          <w:color w:val="231F20"/>
          <w:w w:val="105"/>
          <w:sz w:val="16"/>
        </w:rPr>
        <w:t>drug</w:t>
      </w:r>
    </w:p>
    <w:p>
      <w:pPr>
        <w:pStyle w:val="BodyText"/>
        <w:spacing w:before="2"/>
        <w:ind w:left="0"/>
        <w:rPr>
          <w:rFonts w:ascii="Calibri"/>
          <w:sz w:val="21"/>
        </w:rPr>
      </w:pPr>
    </w:p>
    <w:p>
      <w:pPr>
        <w:spacing w:after="0"/>
        <w:rPr>
          <w:rFonts w:ascii="Calibri"/>
          <w:sz w:val="21"/>
        </w:rPr>
        <w:sectPr>
          <w:pgSz w:w="11880" w:h="15670"/>
          <w:pgMar w:header="462" w:footer="669" w:top="980" w:bottom="860" w:left="740" w:right="720"/>
        </w:sectPr>
      </w:pPr>
    </w:p>
    <w:p>
      <w:pPr>
        <w:pStyle w:val="BodyText"/>
        <w:spacing w:line="230" w:lineRule="auto" w:before="88"/>
      </w:pPr>
      <w:r>
        <w:rPr>
          <w:color w:val="231F20"/>
        </w:rPr>
        <w:t>green AHDs, two amber AHDs) and not considered by the in- vestigator to be related to SMV.</w:t>
      </w:r>
    </w:p>
    <w:p>
      <w:pPr>
        <w:pStyle w:val="BodyText"/>
        <w:spacing w:line="230" w:lineRule="auto"/>
        <w:ind w:right="38" w:firstLine="280"/>
        <w:jc w:val="both"/>
      </w:pPr>
      <w:r>
        <w:rPr>
          <w:color w:val="231F20"/>
          <w:w w:val="105"/>
        </w:rPr>
        <w:t>Among patients on AXDs, </w:t>
      </w:r>
      <w:r>
        <w:rPr>
          <w:rFonts w:ascii="Times New Roman" w:hAnsi="Times New Roman"/>
          <w:color w:val="231F20"/>
          <w:w w:val="105"/>
        </w:rPr>
        <w:t>ﬁ</w:t>
      </w:r>
      <w:r>
        <w:rPr>
          <w:color w:val="231F20"/>
          <w:w w:val="105"/>
        </w:rPr>
        <w:t>ve patients discontinued their AXD  before  or  on  day  1  of  SMV  treatment  (0  green AXDs, </w:t>
      </w:r>
      <w:r>
        <w:rPr>
          <w:rFonts w:ascii="Times New Roman" w:hAnsi="Times New Roman"/>
          <w:color w:val="231F20"/>
          <w:w w:val="105"/>
        </w:rPr>
        <w:t>ﬁ</w:t>
      </w:r>
      <w:r>
        <w:rPr>
          <w:color w:val="231F20"/>
          <w:w w:val="105"/>
        </w:rPr>
        <w:t>ve amber AXDs). No patients switched to another AXD. One patient restarted the original AXD</w:t>
      </w:r>
    </w:p>
    <w:p>
      <w:pPr>
        <w:pStyle w:val="BodyText"/>
        <w:spacing w:line="230" w:lineRule="auto" w:before="88"/>
        <w:ind w:right="115"/>
        <w:jc w:val="both"/>
      </w:pPr>
      <w:r>
        <w:rPr/>
        <w:br w:type="column"/>
      </w:r>
      <w:r>
        <w:rPr>
          <w:color w:val="231F20"/>
          <w:w w:val="105"/>
        </w:rPr>
        <w:t>after 2 months of discontinuation. AEs during SMV treatment in these </w:t>
      </w:r>
      <w:r>
        <w:rPr>
          <w:rFonts w:ascii="Times New Roman" w:hAnsi="Times New Roman"/>
          <w:color w:val="231F20"/>
          <w:w w:val="105"/>
        </w:rPr>
        <w:t>ﬁ</w:t>
      </w:r>
      <w:r>
        <w:rPr>
          <w:color w:val="231F20"/>
          <w:w w:val="105"/>
        </w:rPr>
        <w:t>ve patients were mostly mild (grades 1</w:t>
      </w:r>
      <w:r>
        <w:rPr>
          <w:rFonts w:ascii="Lucida Sans" w:hAnsi="Lucida Sans"/>
          <w:color w:val="231F20"/>
          <w:w w:val="105"/>
        </w:rPr>
        <w:t>–</w:t>
      </w:r>
      <w:r>
        <w:rPr>
          <w:color w:val="231F20"/>
          <w:w w:val="105"/>
        </w:rPr>
        <w:t>2). No grade 3/4 AEs were reported. None of these </w:t>
      </w:r>
      <w:r>
        <w:rPr>
          <w:rFonts w:ascii="Times New Roman" w:hAnsi="Times New Roman"/>
          <w:color w:val="231F20"/>
          <w:w w:val="105"/>
        </w:rPr>
        <w:t>ﬁ</w:t>
      </w:r>
      <w:r>
        <w:rPr>
          <w:color w:val="231F20"/>
          <w:w w:val="105"/>
        </w:rPr>
        <w:t>ve patients experienced AEs that indicated a withdrawal syndrome or experienced new or worsening psychiatric symptoms.</w:t>
      </w:r>
    </w:p>
    <w:p>
      <w:pPr>
        <w:spacing w:after="0" w:line="230" w:lineRule="auto"/>
        <w:jc w:val="both"/>
        <w:sectPr>
          <w:type w:val="continuous"/>
          <w:pgSz w:w="11880" w:h="15670"/>
          <w:pgMar w:top="380" w:bottom="0" w:left="740" w:right="720"/>
          <w:cols w:num="2" w:equalWidth="0">
            <w:col w:w="4962" w:space="418"/>
            <w:col w:w="5040"/>
          </w:cols>
        </w:sectPr>
      </w:pPr>
    </w:p>
    <w:p>
      <w:pPr>
        <w:pStyle w:val="BodyText"/>
        <w:spacing w:before="1"/>
        <w:ind w:left="0"/>
        <w:rPr>
          <w:sz w:val="11"/>
        </w:rPr>
      </w:pPr>
    </w:p>
    <w:p>
      <w:pPr>
        <w:pStyle w:val="BodyText"/>
        <w:ind w:left="1785"/>
        <w:rPr>
          <w:sz w:val="20"/>
        </w:rPr>
      </w:pPr>
      <w:r>
        <w:rPr>
          <w:sz w:val="20"/>
        </w:rPr>
        <w:drawing>
          <wp:inline distT="0" distB="0" distL="0" distR="0">
            <wp:extent cx="4341787" cy="4956048"/>
            <wp:effectExtent l="0" t="0" r="0" b="0"/>
            <wp:docPr id="5" name="image7.jpeg" descr=""/>
            <wp:cNvGraphicFramePr>
              <a:graphicFrameLocks noChangeAspect="1"/>
            </wp:cNvGraphicFramePr>
            <a:graphic>
              <a:graphicData uri="http://schemas.openxmlformats.org/drawingml/2006/picture">
                <pic:pic>
                  <pic:nvPicPr>
                    <pic:cNvPr id="6" name="image7.jpeg"/>
                    <pic:cNvPicPr/>
                  </pic:nvPicPr>
                  <pic:blipFill>
                    <a:blip r:embed="rId24" cstate="print"/>
                    <a:stretch>
                      <a:fillRect/>
                    </a:stretch>
                  </pic:blipFill>
                  <pic:spPr>
                    <a:xfrm>
                      <a:off x="0" y="0"/>
                      <a:ext cx="4341787" cy="4956048"/>
                    </a:xfrm>
                    <a:prstGeom prst="rect">
                      <a:avLst/>
                    </a:prstGeom>
                  </pic:spPr>
                </pic:pic>
              </a:graphicData>
            </a:graphic>
          </wp:inline>
        </w:drawing>
      </w:r>
      <w:r>
        <w:rPr>
          <w:sz w:val="20"/>
        </w:rPr>
      </w:r>
    </w:p>
    <w:p>
      <w:pPr>
        <w:pStyle w:val="BodyText"/>
        <w:ind w:left="0"/>
        <w:rPr>
          <w:sz w:val="18"/>
        </w:rPr>
      </w:pPr>
    </w:p>
    <w:p>
      <w:pPr>
        <w:pStyle w:val="Heading3"/>
      </w:pPr>
      <w:r>
        <w:rPr>
          <w:color w:val="00AB54"/>
        </w:rPr>
        <w:t>Figure 3</w:t>
      </w:r>
    </w:p>
    <w:p>
      <w:pPr>
        <w:spacing w:line="244" w:lineRule="auto" w:before="41"/>
        <w:ind w:left="100" w:right="115" w:firstLine="0"/>
        <w:jc w:val="both"/>
        <w:rPr>
          <w:rFonts w:ascii="Calibri" w:hAnsi="Calibri"/>
          <w:sz w:val="16"/>
        </w:rPr>
      </w:pPr>
      <w:r>
        <w:rPr>
          <w:rFonts w:ascii="Calibri" w:hAnsi="Calibri"/>
          <w:color w:val="231F20"/>
          <w:w w:val="105"/>
          <w:sz w:val="16"/>
        </w:rPr>
        <w:t>Primary outcome: treatment management of CMOI (outcomes cohort). Composite primary endpoint  (A)  and  endpoint  components  (B,  C,  D). AHD,  antihypertensive  drug;  AXD,  anxiolytic  drug;  CMOI,  concomitant  medication  of  interest;  LLD,  lipid-lowering  drug*Composite  endpoint  of</w:t>
      </w:r>
      <w:r>
        <w:rPr>
          <w:rFonts w:ascii="Calibri" w:hAnsi="Calibri"/>
          <w:color w:val="231F20"/>
          <w:spacing w:val="8"/>
          <w:w w:val="105"/>
          <w:sz w:val="16"/>
        </w:rPr>
        <w:t> </w:t>
      </w:r>
      <w:r>
        <w:rPr>
          <w:rFonts w:ascii="Calibri" w:hAnsi="Calibri"/>
          <w:color w:val="231F20"/>
          <w:w w:val="105"/>
          <w:sz w:val="16"/>
        </w:rPr>
        <w:t>either</w:t>
      </w:r>
      <w:r>
        <w:rPr>
          <w:rFonts w:ascii="Calibri" w:hAnsi="Calibri"/>
          <w:color w:val="231F20"/>
          <w:spacing w:val="7"/>
          <w:w w:val="105"/>
          <w:sz w:val="16"/>
        </w:rPr>
        <w:t> </w:t>
      </w:r>
      <w:r>
        <w:rPr>
          <w:rFonts w:ascii="Calibri" w:hAnsi="Calibri"/>
          <w:color w:val="231F20"/>
          <w:w w:val="105"/>
          <w:sz w:val="16"/>
        </w:rPr>
        <w:t>discontinuation,</w:t>
      </w:r>
      <w:r>
        <w:rPr>
          <w:rFonts w:ascii="Calibri" w:hAnsi="Calibri"/>
          <w:color w:val="231F20"/>
          <w:spacing w:val="8"/>
          <w:w w:val="105"/>
          <w:sz w:val="16"/>
        </w:rPr>
        <w:t> </w:t>
      </w:r>
      <w:r>
        <w:rPr>
          <w:rFonts w:ascii="Calibri" w:hAnsi="Calibri"/>
          <w:color w:val="231F20"/>
          <w:w w:val="105"/>
          <w:sz w:val="16"/>
        </w:rPr>
        <w:t>interruption</w:t>
      </w:r>
      <w:r>
        <w:rPr>
          <w:rFonts w:ascii="Calibri" w:hAnsi="Calibri"/>
          <w:color w:val="231F20"/>
          <w:spacing w:val="7"/>
          <w:w w:val="105"/>
          <w:sz w:val="16"/>
        </w:rPr>
        <w:t> </w:t>
      </w:r>
      <w:r>
        <w:rPr>
          <w:rFonts w:ascii="Calibri" w:hAnsi="Calibri"/>
          <w:color w:val="231F20"/>
          <w:w w:val="105"/>
          <w:sz w:val="16"/>
        </w:rPr>
        <w:t>or</w:t>
      </w:r>
      <w:r>
        <w:rPr>
          <w:rFonts w:ascii="Calibri" w:hAnsi="Calibri"/>
          <w:color w:val="231F20"/>
          <w:spacing w:val="7"/>
          <w:w w:val="105"/>
          <w:sz w:val="16"/>
        </w:rPr>
        <w:t> </w:t>
      </w:r>
      <w:r>
        <w:rPr>
          <w:rFonts w:ascii="Calibri" w:hAnsi="Calibri"/>
          <w:color w:val="231F20"/>
          <w:w w:val="105"/>
          <w:sz w:val="16"/>
        </w:rPr>
        <w:t>dose</w:t>
      </w:r>
      <w:r>
        <w:rPr>
          <w:rFonts w:ascii="Calibri" w:hAnsi="Calibri"/>
          <w:color w:val="231F20"/>
          <w:spacing w:val="7"/>
          <w:w w:val="105"/>
          <w:sz w:val="16"/>
        </w:rPr>
        <w:t> </w:t>
      </w:r>
      <w:r>
        <w:rPr>
          <w:rFonts w:ascii="Calibri" w:hAnsi="Calibri"/>
          <w:color w:val="231F20"/>
          <w:w w:val="105"/>
          <w:sz w:val="16"/>
        </w:rPr>
        <w:t>modi</w:t>
      </w:r>
      <w:r>
        <w:rPr>
          <w:rFonts w:ascii="Arial" w:hAnsi="Arial"/>
          <w:color w:val="231F20"/>
          <w:w w:val="105"/>
          <w:sz w:val="16"/>
        </w:rPr>
        <w:t>ﬁ</w:t>
      </w:r>
      <w:r>
        <w:rPr>
          <w:rFonts w:ascii="Calibri" w:hAnsi="Calibri"/>
          <w:color w:val="231F20"/>
          <w:w w:val="105"/>
          <w:sz w:val="16"/>
        </w:rPr>
        <w:t>cation</w:t>
      </w:r>
      <w:r>
        <w:rPr>
          <w:rFonts w:ascii="Calibri" w:hAnsi="Calibri"/>
          <w:color w:val="231F20"/>
          <w:spacing w:val="7"/>
          <w:w w:val="105"/>
          <w:sz w:val="16"/>
        </w:rPr>
        <w:t> </w:t>
      </w:r>
      <w:r>
        <w:rPr>
          <w:rFonts w:ascii="Calibri" w:hAnsi="Calibri"/>
          <w:color w:val="231F20"/>
          <w:w w:val="105"/>
          <w:sz w:val="16"/>
        </w:rPr>
        <w:t>of</w:t>
      </w:r>
      <w:r>
        <w:rPr>
          <w:rFonts w:ascii="Calibri" w:hAnsi="Calibri"/>
          <w:color w:val="231F20"/>
          <w:spacing w:val="8"/>
          <w:w w:val="105"/>
          <w:sz w:val="16"/>
        </w:rPr>
        <w:t> </w:t>
      </w:r>
      <w:r>
        <w:rPr>
          <w:rFonts w:ascii="Calibri" w:hAnsi="Calibri"/>
          <w:color w:val="231F20"/>
          <w:w w:val="105"/>
          <w:sz w:val="16"/>
        </w:rPr>
        <w:t>the</w:t>
      </w:r>
      <w:r>
        <w:rPr>
          <w:rFonts w:ascii="Calibri" w:hAnsi="Calibri"/>
          <w:color w:val="231F20"/>
          <w:spacing w:val="7"/>
          <w:w w:val="105"/>
          <w:sz w:val="16"/>
        </w:rPr>
        <w:t> </w:t>
      </w:r>
      <w:r>
        <w:rPr>
          <w:rFonts w:ascii="Calibri" w:hAnsi="Calibri"/>
          <w:color w:val="231F20"/>
          <w:w w:val="105"/>
          <w:sz w:val="16"/>
        </w:rPr>
        <w:t>concomitant</w:t>
      </w:r>
      <w:r>
        <w:rPr>
          <w:rFonts w:ascii="Calibri" w:hAnsi="Calibri"/>
          <w:color w:val="231F20"/>
          <w:spacing w:val="7"/>
          <w:w w:val="105"/>
          <w:sz w:val="16"/>
        </w:rPr>
        <w:t> </w:t>
      </w:r>
      <w:r>
        <w:rPr>
          <w:rFonts w:ascii="Calibri" w:hAnsi="Calibri"/>
          <w:color w:val="231F20"/>
          <w:w w:val="105"/>
          <w:sz w:val="16"/>
        </w:rPr>
        <w:t>medication</w:t>
      </w:r>
      <w:r>
        <w:rPr>
          <w:rFonts w:ascii="Calibri" w:hAnsi="Calibri"/>
          <w:color w:val="231F20"/>
          <w:spacing w:val="7"/>
          <w:w w:val="105"/>
          <w:sz w:val="16"/>
        </w:rPr>
        <w:t> </w:t>
      </w:r>
      <w:r>
        <w:rPr>
          <w:rFonts w:ascii="Calibri" w:hAnsi="Calibri"/>
          <w:color w:val="231F20"/>
          <w:w w:val="105"/>
          <w:sz w:val="16"/>
        </w:rPr>
        <w:t>of</w:t>
      </w:r>
      <w:r>
        <w:rPr>
          <w:rFonts w:ascii="Calibri" w:hAnsi="Calibri"/>
          <w:color w:val="231F20"/>
          <w:spacing w:val="6"/>
          <w:w w:val="105"/>
          <w:sz w:val="16"/>
        </w:rPr>
        <w:t> </w:t>
      </w:r>
      <w:r>
        <w:rPr>
          <w:rFonts w:ascii="Calibri" w:hAnsi="Calibri"/>
          <w:color w:val="231F20"/>
          <w:w w:val="105"/>
          <w:sz w:val="16"/>
        </w:rPr>
        <w:t>interest</w:t>
      </w:r>
    </w:p>
    <w:p>
      <w:pPr>
        <w:pStyle w:val="BodyText"/>
        <w:spacing w:before="6"/>
        <w:ind w:left="0"/>
        <w:rPr>
          <w:rFonts w:ascii="Calibri"/>
          <w:sz w:val="28"/>
        </w:rPr>
      </w:pPr>
    </w:p>
    <w:p>
      <w:pPr>
        <w:spacing w:after="0"/>
        <w:rPr>
          <w:rFonts w:ascii="Calibri"/>
          <w:sz w:val="28"/>
        </w:rPr>
        <w:sectPr>
          <w:pgSz w:w="11880" w:h="15670"/>
          <w:pgMar w:header="462" w:footer="669" w:top="980" w:bottom="860" w:left="740" w:right="720"/>
        </w:sectPr>
      </w:pPr>
    </w:p>
    <w:p>
      <w:pPr>
        <w:pStyle w:val="BodyText"/>
        <w:spacing w:line="230" w:lineRule="auto" w:before="115"/>
        <w:ind w:right="38" w:firstLine="280"/>
        <w:jc w:val="both"/>
      </w:pPr>
      <w:r>
        <w:rPr>
          <w:color w:val="231F20"/>
          <w:w w:val="105"/>
        </w:rPr>
        <w:t>Five patients discontinued an LLD before or on day 1 of SMV treatment (two green LLDs, three amber LLDs). All</w:t>
      </w:r>
      <w:r>
        <w:rPr>
          <w:color w:val="231F20"/>
          <w:spacing w:val="-22"/>
          <w:w w:val="105"/>
        </w:rPr>
        <w:t> </w:t>
      </w:r>
      <w:r>
        <w:rPr>
          <w:color w:val="231F20"/>
          <w:w w:val="105"/>
        </w:rPr>
        <w:t>am- ber LLDs were statins. None of the patients started another LLD or restarted the original LLD. AEs during SMV therapy (12</w:t>
      </w:r>
      <w:r>
        <w:rPr>
          <w:color w:val="231F20"/>
          <w:spacing w:val="-12"/>
          <w:w w:val="105"/>
        </w:rPr>
        <w:t> </w:t>
      </w:r>
      <w:r>
        <w:rPr>
          <w:color w:val="231F20"/>
          <w:w w:val="105"/>
        </w:rPr>
        <w:t>weeks)</w:t>
      </w:r>
      <w:r>
        <w:rPr>
          <w:color w:val="231F20"/>
          <w:spacing w:val="-12"/>
          <w:w w:val="105"/>
        </w:rPr>
        <w:t> </w:t>
      </w:r>
      <w:r>
        <w:rPr>
          <w:color w:val="231F20"/>
          <w:w w:val="105"/>
        </w:rPr>
        <w:t>were</w:t>
      </w:r>
      <w:r>
        <w:rPr>
          <w:color w:val="231F20"/>
          <w:spacing w:val="-11"/>
          <w:w w:val="105"/>
        </w:rPr>
        <w:t> </w:t>
      </w:r>
      <w:r>
        <w:rPr>
          <w:color w:val="231F20"/>
          <w:w w:val="105"/>
        </w:rPr>
        <w:t>mostly</w:t>
      </w:r>
      <w:r>
        <w:rPr>
          <w:color w:val="231F20"/>
          <w:spacing w:val="-11"/>
          <w:w w:val="105"/>
        </w:rPr>
        <w:t> </w:t>
      </w:r>
      <w:r>
        <w:rPr>
          <w:color w:val="231F20"/>
          <w:w w:val="105"/>
        </w:rPr>
        <w:t>mild</w:t>
      </w:r>
      <w:r>
        <w:rPr>
          <w:color w:val="231F20"/>
          <w:spacing w:val="-11"/>
          <w:w w:val="105"/>
        </w:rPr>
        <w:t> </w:t>
      </w:r>
      <w:r>
        <w:rPr>
          <w:color w:val="231F20"/>
          <w:w w:val="105"/>
        </w:rPr>
        <w:t>(grades</w:t>
      </w:r>
      <w:r>
        <w:rPr>
          <w:color w:val="231F20"/>
          <w:spacing w:val="-11"/>
          <w:w w:val="105"/>
        </w:rPr>
        <w:t> </w:t>
      </w:r>
      <w:r>
        <w:rPr>
          <w:color w:val="231F20"/>
          <w:w w:val="105"/>
        </w:rPr>
        <w:t>1</w:t>
      </w:r>
      <w:r>
        <w:rPr>
          <w:rFonts w:ascii="Lucida Sans" w:hAnsi="Lucida Sans"/>
          <w:color w:val="231F20"/>
          <w:w w:val="105"/>
        </w:rPr>
        <w:t>–</w:t>
      </w:r>
      <w:r>
        <w:rPr>
          <w:color w:val="231F20"/>
          <w:w w:val="105"/>
        </w:rPr>
        <w:t>2);</w:t>
      </w:r>
      <w:r>
        <w:rPr>
          <w:color w:val="231F20"/>
          <w:spacing w:val="-12"/>
          <w:w w:val="105"/>
        </w:rPr>
        <w:t> </w:t>
      </w:r>
      <w:r>
        <w:rPr>
          <w:color w:val="231F20"/>
          <w:w w:val="105"/>
        </w:rPr>
        <w:t>no</w:t>
      </w:r>
      <w:r>
        <w:rPr>
          <w:color w:val="231F20"/>
          <w:spacing w:val="-12"/>
          <w:w w:val="105"/>
        </w:rPr>
        <w:t> </w:t>
      </w:r>
      <w:r>
        <w:rPr>
          <w:color w:val="231F20"/>
          <w:w w:val="105"/>
        </w:rPr>
        <w:t>grade</w:t>
      </w:r>
      <w:r>
        <w:rPr>
          <w:color w:val="231F20"/>
          <w:spacing w:val="-12"/>
          <w:w w:val="105"/>
        </w:rPr>
        <w:t> </w:t>
      </w:r>
      <w:r>
        <w:rPr>
          <w:color w:val="231F20"/>
          <w:w w:val="105"/>
        </w:rPr>
        <w:t>3/4</w:t>
      </w:r>
      <w:r>
        <w:rPr>
          <w:color w:val="231F20"/>
          <w:spacing w:val="-11"/>
          <w:w w:val="105"/>
        </w:rPr>
        <w:t> </w:t>
      </w:r>
      <w:r>
        <w:rPr>
          <w:color w:val="231F20"/>
          <w:w w:val="105"/>
        </w:rPr>
        <w:t>events were seen. One patient reported two SAEs (vomiting and ab- dominal pain), which resolved and were not considered to be</w:t>
      </w:r>
      <w:r>
        <w:rPr>
          <w:color w:val="231F20"/>
          <w:spacing w:val="-8"/>
          <w:w w:val="105"/>
        </w:rPr>
        <w:t> </w:t>
      </w:r>
      <w:r>
        <w:rPr>
          <w:color w:val="231F20"/>
          <w:w w:val="105"/>
        </w:rPr>
        <w:t>related</w:t>
      </w:r>
      <w:r>
        <w:rPr>
          <w:color w:val="231F20"/>
          <w:spacing w:val="-8"/>
          <w:w w:val="105"/>
        </w:rPr>
        <w:t> </w:t>
      </w:r>
      <w:r>
        <w:rPr>
          <w:color w:val="231F20"/>
          <w:w w:val="105"/>
        </w:rPr>
        <w:t>to</w:t>
      </w:r>
      <w:r>
        <w:rPr>
          <w:color w:val="231F20"/>
          <w:spacing w:val="-8"/>
          <w:w w:val="105"/>
        </w:rPr>
        <w:t> </w:t>
      </w:r>
      <w:r>
        <w:rPr>
          <w:color w:val="231F20"/>
          <w:w w:val="105"/>
        </w:rPr>
        <w:t>SMV</w:t>
      </w:r>
      <w:r>
        <w:rPr>
          <w:color w:val="231F20"/>
          <w:spacing w:val="-8"/>
          <w:w w:val="105"/>
        </w:rPr>
        <w:t> </w:t>
      </w:r>
      <w:r>
        <w:rPr>
          <w:color w:val="231F20"/>
          <w:w w:val="105"/>
        </w:rPr>
        <w:t>treatment.</w:t>
      </w:r>
      <w:r>
        <w:rPr>
          <w:color w:val="231F20"/>
          <w:spacing w:val="-8"/>
          <w:w w:val="105"/>
        </w:rPr>
        <w:t> </w:t>
      </w:r>
      <w:r>
        <w:rPr>
          <w:color w:val="231F20"/>
          <w:w w:val="105"/>
        </w:rPr>
        <w:t>No</w:t>
      </w:r>
      <w:r>
        <w:rPr>
          <w:color w:val="231F20"/>
          <w:spacing w:val="-8"/>
          <w:w w:val="105"/>
        </w:rPr>
        <w:t> </w:t>
      </w:r>
      <w:r>
        <w:rPr>
          <w:color w:val="231F20"/>
          <w:w w:val="105"/>
        </w:rPr>
        <w:t>AEs</w:t>
      </w:r>
      <w:r>
        <w:rPr>
          <w:color w:val="231F20"/>
          <w:spacing w:val="-8"/>
          <w:w w:val="105"/>
        </w:rPr>
        <w:t> </w:t>
      </w:r>
      <w:r>
        <w:rPr>
          <w:color w:val="231F20"/>
          <w:w w:val="105"/>
        </w:rPr>
        <w:t>were</w:t>
      </w:r>
      <w:r>
        <w:rPr>
          <w:color w:val="231F20"/>
          <w:spacing w:val="-8"/>
          <w:w w:val="105"/>
        </w:rPr>
        <w:t> </w:t>
      </w:r>
      <w:r>
        <w:rPr>
          <w:color w:val="231F20"/>
          <w:w w:val="105"/>
        </w:rPr>
        <w:t>linked</w:t>
      </w:r>
      <w:r>
        <w:rPr>
          <w:color w:val="231F20"/>
          <w:spacing w:val="-8"/>
          <w:w w:val="105"/>
        </w:rPr>
        <w:t> </w:t>
      </w:r>
      <w:r>
        <w:rPr>
          <w:color w:val="231F20"/>
          <w:w w:val="105"/>
        </w:rPr>
        <w:t>to</w:t>
      </w:r>
      <w:r>
        <w:rPr>
          <w:color w:val="231F20"/>
          <w:spacing w:val="-8"/>
          <w:w w:val="105"/>
        </w:rPr>
        <w:t> </w:t>
      </w:r>
      <w:r>
        <w:rPr>
          <w:color w:val="231F20"/>
          <w:w w:val="105"/>
        </w:rPr>
        <w:t>the</w:t>
      </w:r>
      <w:r>
        <w:rPr>
          <w:color w:val="231F20"/>
          <w:spacing w:val="-8"/>
          <w:w w:val="105"/>
        </w:rPr>
        <w:t> </w:t>
      </w:r>
      <w:r>
        <w:rPr>
          <w:color w:val="231F20"/>
          <w:w w:val="105"/>
        </w:rPr>
        <w:t>with- drawal of LLDs, including two patients with ongoing hyper- lipidaemia in their medical</w:t>
      </w:r>
      <w:r>
        <w:rPr>
          <w:color w:val="231F20"/>
          <w:spacing w:val="8"/>
          <w:w w:val="105"/>
        </w:rPr>
        <w:t> </w:t>
      </w:r>
      <w:r>
        <w:rPr>
          <w:color w:val="231F20"/>
          <w:spacing w:val="-3"/>
          <w:w w:val="105"/>
        </w:rPr>
        <w:t>history.</w:t>
      </w:r>
    </w:p>
    <w:p>
      <w:pPr>
        <w:pStyle w:val="BodyText"/>
        <w:ind w:left="0"/>
        <w:rPr>
          <w:sz w:val="20"/>
        </w:rPr>
      </w:pPr>
    </w:p>
    <w:p>
      <w:pPr>
        <w:pStyle w:val="BodyText"/>
        <w:spacing w:line="230" w:lineRule="auto" w:before="169"/>
        <w:ind w:right="39"/>
        <w:jc w:val="both"/>
      </w:pPr>
      <w:r>
        <w:rPr>
          <w:rFonts w:ascii="Book Antiqua"/>
          <w:i/>
          <w:color w:val="231F20"/>
          <w:w w:val="105"/>
        </w:rPr>
        <w:t>AEOIs. </w:t>
      </w:r>
      <w:r>
        <w:rPr>
          <w:color w:val="231F20"/>
          <w:w w:val="105"/>
        </w:rPr>
        <w:t>Overall, AEIOs were rare. No differences among patients on green </w:t>
      </w:r>
      <w:r>
        <w:rPr>
          <w:rFonts w:ascii="Book Antiqua"/>
          <w:i/>
          <w:color w:val="231F20"/>
          <w:w w:val="105"/>
        </w:rPr>
        <w:t>vs</w:t>
      </w:r>
      <w:r>
        <w:rPr>
          <w:color w:val="231F20"/>
          <w:w w:val="105"/>
        </w:rPr>
        <w:t>. amber CMOIs for AHDs and LLDs could be detected (Table S4). Among patients taking AXDs, patients on amber CMOIs showed higher frequencies of agitation (8.9% </w:t>
      </w:r>
      <w:r>
        <w:rPr>
          <w:rFonts w:ascii="Book Antiqua"/>
          <w:i/>
          <w:color w:val="231F20"/>
          <w:w w:val="105"/>
        </w:rPr>
        <w:t>vs</w:t>
      </w:r>
      <w:r>
        <w:rPr>
          <w:color w:val="231F20"/>
          <w:w w:val="105"/>
        </w:rPr>
        <w:t>. 0.0%) and dizziness (4.1% </w:t>
      </w:r>
      <w:r>
        <w:rPr>
          <w:rFonts w:ascii="Book Antiqua"/>
          <w:i/>
          <w:color w:val="231F20"/>
          <w:w w:val="105"/>
        </w:rPr>
        <w:t>vs</w:t>
      </w:r>
      <w:r>
        <w:rPr>
          <w:color w:val="231F20"/>
          <w:w w:val="105"/>
        </w:rPr>
        <w:t>. 0.0%) in comparison with patients on green CMOIs.</w:t>
      </w:r>
    </w:p>
    <w:p>
      <w:pPr>
        <w:pStyle w:val="Heading1"/>
        <w:spacing w:before="95"/>
      </w:pPr>
      <w:r>
        <w:rPr/>
        <w:br w:type="column"/>
      </w:r>
      <w:r>
        <w:rPr>
          <w:color w:val="00AB54"/>
        </w:rPr>
        <w:t>Discussion</w:t>
      </w:r>
    </w:p>
    <w:p>
      <w:pPr>
        <w:pStyle w:val="BodyText"/>
        <w:spacing w:line="230" w:lineRule="auto" w:before="154"/>
        <w:ind w:right="115"/>
        <w:jc w:val="both"/>
      </w:pPr>
      <w:r>
        <w:rPr>
          <w:color w:val="231F20"/>
          <w:w w:val="105"/>
        </w:rPr>
        <w:t>We have presented a method to characterize the impact on patient safety and clinical management burden of the coad- ministration of DAAs with comedications with potential in- teractions. This is, to our knowledge, the </w:t>
      </w:r>
      <w:r>
        <w:rPr>
          <w:rFonts w:ascii="Times New Roman" w:hAnsi="Times New Roman"/>
          <w:color w:val="231F20"/>
          <w:w w:val="105"/>
        </w:rPr>
        <w:t>ﬁ</w:t>
      </w:r>
      <w:r>
        <w:rPr>
          <w:color w:val="231F20"/>
          <w:w w:val="105"/>
        </w:rPr>
        <w:t>rst report of such an in-depth analysis in a diverse HCV-infected population with a high prevalence of advanced compensated liver dis- ease and polypharmacy.</w:t>
      </w:r>
    </w:p>
    <w:p>
      <w:pPr>
        <w:pStyle w:val="BodyText"/>
        <w:spacing w:line="230" w:lineRule="auto"/>
        <w:ind w:right="115" w:firstLine="280"/>
        <w:jc w:val="both"/>
      </w:pPr>
      <w:r>
        <w:rPr>
          <w:color w:val="231F20"/>
          <w:w w:val="105"/>
        </w:rPr>
        <w:t>One of the strengths of the present analysis was the size- able proportion of safety and outcomes data from carefully executed clinical trials, with strict capturing and follow-up of AEs and clinical outcomes. In addition, complete docu- mentation of concomitant medication intake was available. As</w:t>
      </w:r>
      <w:r>
        <w:rPr>
          <w:color w:val="231F20"/>
          <w:spacing w:val="-11"/>
          <w:w w:val="105"/>
        </w:rPr>
        <w:t> </w:t>
      </w:r>
      <w:r>
        <w:rPr>
          <w:color w:val="231F20"/>
          <w:w w:val="105"/>
        </w:rPr>
        <w:t>the</w:t>
      </w:r>
      <w:r>
        <w:rPr>
          <w:color w:val="231F20"/>
          <w:spacing w:val="-12"/>
          <w:w w:val="105"/>
        </w:rPr>
        <w:t> </w:t>
      </w:r>
      <w:r>
        <w:rPr>
          <w:color w:val="231F20"/>
          <w:w w:val="105"/>
        </w:rPr>
        <w:t>clinical</w:t>
      </w:r>
      <w:r>
        <w:rPr>
          <w:color w:val="231F20"/>
          <w:spacing w:val="-11"/>
          <w:w w:val="105"/>
        </w:rPr>
        <w:t> </w:t>
      </w:r>
      <w:r>
        <w:rPr>
          <w:color w:val="231F20"/>
          <w:w w:val="105"/>
        </w:rPr>
        <w:t>study</w:t>
      </w:r>
      <w:r>
        <w:rPr>
          <w:color w:val="231F20"/>
          <w:spacing w:val="-12"/>
          <w:w w:val="105"/>
        </w:rPr>
        <w:t> </w:t>
      </w:r>
      <w:r>
        <w:rPr>
          <w:color w:val="231F20"/>
          <w:w w:val="105"/>
        </w:rPr>
        <w:t>protocols</w:t>
      </w:r>
      <w:r>
        <w:rPr>
          <w:color w:val="231F20"/>
          <w:spacing w:val="-11"/>
          <w:w w:val="105"/>
        </w:rPr>
        <w:t> </w:t>
      </w:r>
      <w:r>
        <w:rPr>
          <w:color w:val="231F20"/>
          <w:w w:val="105"/>
        </w:rPr>
        <w:t>with</w:t>
      </w:r>
      <w:r>
        <w:rPr>
          <w:color w:val="231F20"/>
          <w:spacing w:val="-12"/>
          <w:w w:val="105"/>
        </w:rPr>
        <w:t> </w:t>
      </w:r>
      <w:r>
        <w:rPr>
          <w:color w:val="231F20"/>
          <w:w w:val="105"/>
        </w:rPr>
        <w:t>SMV</w:t>
      </w:r>
      <w:r>
        <w:rPr>
          <w:color w:val="231F20"/>
          <w:spacing w:val="-11"/>
          <w:w w:val="105"/>
        </w:rPr>
        <w:t> </w:t>
      </w:r>
      <w:r>
        <w:rPr>
          <w:color w:val="231F20"/>
          <w:w w:val="105"/>
        </w:rPr>
        <w:t>generally</w:t>
      </w:r>
      <w:r>
        <w:rPr>
          <w:color w:val="231F20"/>
          <w:spacing w:val="-11"/>
          <w:w w:val="105"/>
        </w:rPr>
        <w:t> </w:t>
      </w:r>
      <w:r>
        <w:rPr>
          <w:color w:val="231F20"/>
          <w:w w:val="105"/>
        </w:rPr>
        <w:t>did</w:t>
      </w:r>
      <w:r>
        <w:rPr>
          <w:color w:val="231F20"/>
          <w:spacing w:val="-12"/>
          <w:w w:val="105"/>
        </w:rPr>
        <w:t> </w:t>
      </w:r>
      <w:r>
        <w:rPr>
          <w:color w:val="231F20"/>
          <w:w w:val="105"/>
        </w:rPr>
        <w:t>not</w:t>
      </w:r>
      <w:r>
        <w:rPr>
          <w:color w:val="231F20"/>
          <w:spacing w:val="-12"/>
          <w:w w:val="105"/>
        </w:rPr>
        <w:t> </w:t>
      </w:r>
      <w:r>
        <w:rPr>
          <w:color w:val="231F20"/>
          <w:w w:val="105"/>
        </w:rPr>
        <w:t>re- quire changes in the dosage of the CMOIs analysed in the present study (e.g. for statins, only general guidance similar to the SmPC was included), the management of</w:t>
      </w:r>
      <w:r>
        <w:rPr>
          <w:color w:val="231F20"/>
          <w:spacing w:val="7"/>
          <w:w w:val="105"/>
        </w:rPr>
        <w:t> </w:t>
      </w:r>
      <w:r>
        <w:rPr>
          <w:color w:val="231F20"/>
          <w:w w:val="105"/>
        </w:rPr>
        <w:t>concomitant</w:t>
      </w:r>
    </w:p>
    <w:p>
      <w:pPr>
        <w:spacing w:after="0" w:line="230" w:lineRule="auto"/>
        <w:jc w:val="both"/>
        <w:sectPr>
          <w:type w:val="continuous"/>
          <w:pgSz w:w="11880" w:h="15670"/>
          <w:pgMar w:top="380" w:bottom="0" w:left="740" w:right="720"/>
          <w:cols w:num="2" w:equalWidth="0">
            <w:col w:w="4963" w:space="417"/>
            <w:col w:w="5040"/>
          </w:cols>
        </w:sectPr>
      </w:pPr>
    </w:p>
    <w:p>
      <w:pPr>
        <w:pStyle w:val="BodyText"/>
        <w:spacing w:before="7"/>
        <w:ind w:left="0"/>
        <w:rPr>
          <w:sz w:val="7"/>
        </w:rPr>
      </w:pPr>
    </w:p>
    <w:p>
      <w:pPr>
        <w:pStyle w:val="Heading3"/>
      </w:pPr>
      <w:r>
        <w:rPr>
          <w:color w:val="00AB54"/>
        </w:rPr>
        <w:t>Table 3</w:t>
      </w:r>
    </w:p>
    <w:p>
      <w:pPr>
        <w:spacing w:before="71"/>
        <w:ind w:left="100" w:right="0" w:firstLine="0"/>
        <w:jc w:val="left"/>
        <w:rPr>
          <w:rFonts w:ascii="Calibri"/>
          <w:sz w:val="16"/>
        </w:rPr>
      </w:pPr>
      <w:r>
        <w:rPr/>
        <w:pict>
          <v:line style="position:absolute;mso-position-horizontal-relative:page;mso-position-vertical-relative:paragraph;z-index:-30664" from="169.625pt,44.417141pt" to="287.319pt,44.417141pt" stroked="true" strokeweight=".51025pt" strokecolor="#231f20">
            <v:stroke dashstyle="solid"/>
            <w10:wrap type="none"/>
          </v:line>
        </w:pict>
      </w:r>
      <w:r>
        <w:rPr/>
        <w:pict>
          <v:line style="position:absolute;mso-position-horizontal-relative:page;mso-position-vertical-relative:paragraph;z-index:-30640" from="303.70401pt,44.417141pt" to="416.92001pt,44.417141pt" stroked="true" strokeweight=".51025pt" strokecolor="#231f20">
            <v:stroke dashstyle="solid"/>
            <w10:wrap type="none"/>
          </v:line>
        </w:pict>
      </w:r>
      <w:r>
        <w:rPr/>
        <w:pict>
          <v:line style="position:absolute;mso-position-horizontal-relative:page;mso-position-vertical-relative:paragraph;z-index:-30616" from="433.247009pt,44.417141pt" to="547.483009pt,44.417141pt" stroked="true" strokeweight=".51025pt" strokecolor="#231f20">
            <v:stroke dashstyle="solid"/>
            <w10:wrap type="none"/>
          </v:line>
        </w:pict>
      </w:r>
      <w:r>
        <w:rPr>
          <w:rFonts w:ascii="Calibri"/>
          <w:color w:val="231F20"/>
          <w:w w:val="105"/>
          <w:sz w:val="16"/>
        </w:rPr>
        <w:t>Safety summary and tolerability of simeprevir (SMV) in combination with green and amber concomitant medication of interest (safety cohort)</w:t>
      </w:r>
    </w:p>
    <w:p>
      <w:pPr>
        <w:pStyle w:val="BodyText"/>
        <w:spacing w:before="7"/>
        <w:ind w:left="0"/>
        <w:rPr>
          <w:rFonts w:ascii="Calibri"/>
          <w:sz w:val="27"/>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29"/>
        <w:gridCol w:w="1336"/>
        <w:gridCol w:w="1300"/>
        <w:gridCol w:w="1293"/>
        <w:gridCol w:w="1252"/>
        <w:gridCol w:w="1283"/>
      </w:tblGrid>
      <w:tr>
        <w:trPr>
          <w:trHeight w:val="319" w:hRule="atLeast"/>
        </w:trPr>
        <w:tc>
          <w:tcPr>
            <w:tcW w:w="3729" w:type="dxa"/>
            <w:tcBorders>
              <w:top w:val="single" w:sz="6" w:space="0" w:color="231F20"/>
              <w:left w:val="single" w:sz="6" w:space="0" w:color="231F20"/>
            </w:tcBorders>
            <w:shd w:val="clear" w:color="auto" w:fill="DBEEDF"/>
          </w:tcPr>
          <w:p>
            <w:pPr>
              <w:pStyle w:val="TableParagraph"/>
              <w:tabs>
                <w:tab w:pos="2544" w:val="left" w:leader="none"/>
              </w:tabs>
              <w:spacing w:line="257" w:lineRule="exact" w:before="42"/>
              <w:ind w:left="192"/>
              <w:rPr>
                <w:sz w:val="14"/>
              </w:rPr>
            </w:pPr>
            <w:r>
              <w:rPr>
                <w:color w:val="231F20"/>
                <w:w w:val="125"/>
                <w:sz w:val="14"/>
              </w:rPr>
              <w:t>Drug class</w:t>
            </w:r>
            <w:r>
              <w:rPr>
                <w:color w:val="231F20"/>
                <w:spacing w:val="5"/>
                <w:w w:val="125"/>
                <w:sz w:val="14"/>
              </w:rPr>
              <w:t> </w:t>
            </w:r>
            <w:r>
              <w:rPr>
                <w:color w:val="231F20"/>
                <w:w w:val="125"/>
                <w:sz w:val="14"/>
              </w:rPr>
              <w:t>of</w:t>
            </w:r>
            <w:r>
              <w:rPr>
                <w:color w:val="231F20"/>
                <w:spacing w:val="0"/>
                <w:w w:val="125"/>
                <w:sz w:val="14"/>
              </w:rPr>
              <w:t> </w:t>
            </w:r>
            <w:r>
              <w:rPr>
                <w:color w:val="231F20"/>
                <w:w w:val="125"/>
                <w:sz w:val="14"/>
              </w:rPr>
              <w:t>interest</w:t>
              <w:tab/>
            </w:r>
            <w:r>
              <w:rPr>
                <w:color w:val="231F20"/>
                <w:w w:val="125"/>
                <w:position w:val="10"/>
                <w:sz w:val="14"/>
              </w:rPr>
              <w:t>AHD (</w:t>
            </w:r>
            <w:r>
              <w:rPr>
                <w:rFonts w:ascii="Lucida Sans"/>
                <w:i/>
                <w:color w:val="231F20"/>
                <w:w w:val="125"/>
                <w:position w:val="10"/>
                <w:sz w:val="14"/>
              </w:rPr>
              <w:t>N </w:t>
            </w:r>
            <w:r>
              <w:rPr>
                <w:color w:val="231F20"/>
                <w:w w:val="125"/>
                <w:position w:val="10"/>
                <w:sz w:val="14"/>
              </w:rPr>
              <w:t>=</w:t>
            </w:r>
            <w:r>
              <w:rPr>
                <w:color w:val="231F20"/>
                <w:spacing w:val="-18"/>
                <w:w w:val="125"/>
                <w:position w:val="10"/>
                <w:sz w:val="14"/>
              </w:rPr>
              <w:t> </w:t>
            </w:r>
            <w:r>
              <w:rPr>
                <w:color w:val="231F20"/>
                <w:w w:val="125"/>
                <w:position w:val="10"/>
                <w:sz w:val="14"/>
              </w:rPr>
              <w:t>403)</w:t>
            </w:r>
          </w:p>
        </w:tc>
        <w:tc>
          <w:tcPr>
            <w:tcW w:w="1336" w:type="dxa"/>
            <w:tcBorders>
              <w:top w:val="single" w:sz="6" w:space="0" w:color="231F20"/>
            </w:tcBorders>
            <w:shd w:val="clear" w:color="auto" w:fill="DBEEDF"/>
          </w:tcPr>
          <w:p>
            <w:pPr>
              <w:pStyle w:val="TableParagraph"/>
              <w:spacing w:before="0"/>
              <w:rPr>
                <w:rFonts w:ascii="Times New Roman"/>
                <w:sz w:val="16"/>
              </w:rPr>
            </w:pPr>
          </w:p>
        </w:tc>
        <w:tc>
          <w:tcPr>
            <w:tcW w:w="1300" w:type="dxa"/>
            <w:tcBorders>
              <w:top w:val="single" w:sz="6" w:space="0" w:color="231F20"/>
            </w:tcBorders>
            <w:shd w:val="clear" w:color="auto" w:fill="DBEEDF"/>
          </w:tcPr>
          <w:p>
            <w:pPr>
              <w:pStyle w:val="TableParagraph"/>
              <w:spacing w:before="42"/>
              <w:ind w:left="168"/>
              <w:rPr>
                <w:sz w:val="14"/>
              </w:rPr>
            </w:pPr>
            <w:r>
              <w:rPr>
                <w:color w:val="231F20"/>
                <w:w w:val="125"/>
                <w:sz w:val="14"/>
              </w:rPr>
              <w:t>AXD (</w:t>
            </w:r>
            <w:r>
              <w:rPr>
                <w:rFonts w:ascii="Lucida Sans"/>
                <w:i/>
                <w:color w:val="231F20"/>
                <w:w w:val="125"/>
                <w:sz w:val="14"/>
              </w:rPr>
              <w:t>N </w:t>
            </w:r>
            <w:r>
              <w:rPr>
                <w:color w:val="231F20"/>
                <w:w w:val="125"/>
                <w:sz w:val="14"/>
              </w:rPr>
              <w:t>= 149)</w:t>
            </w:r>
          </w:p>
        </w:tc>
        <w:tc>
          <w:tcPr>
            <w:tcW w:w="1293" w:type="dxa"/>
            <w:tcBorders>
              <w:top w:val="single" w:sz="6" w:space="0" w:color="231F20"/>
            </w:tcBorders>
            <w:shd w:val="clear" w:color="auto" w:fill="DBEEDF"/>
          </w:tcPr>
          <w:p>
            <w:pPr>
              <w:pStyle w:val="TableParagraph"/>
              <w:spacing w:before="0"/>
              <w:rPr>
                <w:rFonts w:ascii="Times New Roman"/>
                <w:sz w:val="16"/>
              </w:rPr>
            </w:pPr>
          </w:p>
        </w:tc>
        <w:tc>
          <w:tcPr>
            <w:tcW w:w="1252" w:type="dxa"/>
            <w:tcBorders>
              <w:top w:val="single" w:sz="6" w:space="0" w:color="231F20"/>
            </w:tcBorders>
            <w:shd w:val="clear" w:color="auto" w:fill="DBEEDF"/>
          </w:tcPr>
          <w:p>
            <w:pPr>
              <w:pStyle w:val="TableParagraph"/>
              <w:spacing w:before="42"/>
              <w:ind w:left="166"/>
              <w:rPr>
                <w:sz w:val="14"/>
              </w:rPr>
            </w:pPr>
            <w:r>
              <w:rPr>
                <w:color w:val="231F20"/>
                <w:w w:val="125"/>
                <w:sz w:val="14"/>
              </w:rPr>
              <w:t>LLD (</w:t>
            </w:r>
            <w:r>
              <w:rPr>
                <w:rFonts w:ascii="Lucida Sans"/>
                <w:i/>
                <w:color w:val="231F20"/>
                <w:w w:val="125"/>
                <w:sz w:val="14"/>
              </w:rPr>
              <w:t>N </w:t>
            </w:r>
            <w:r>
              <w:rPr>
                <w:color w:val="231F20"/>
                <w:w w:val="125"/>
                <w:sz w:val="14"/>
              </w:rPr>
              <w:t>= 91)</w:t>
            </w:r>
          </w:p>
        </w:tc>
        <w:tc>
          <w:tcPr>
            <w:tcW w:w="1283" w:type="dxa"/>
            <w:tcBorders>
              <w:top w:val="single" w:sz="6" w:space="0" w:color="231F20"/>
              <w:right w:val="single" w:sz="6" w:space="0" w:color="231F20"/>
            </w:tcBorders>
            <w:shd w:val="clear" w:color="auto" w:fill="DBEEDF"/>
          </w:tcPr>
          <w:p>
            <w:pPr>
              <w:pStyle w:val="TableParagraph"/>
              <w:spacing w:before="0"/>
              <w:rPr>
                <w:rFonts w:ascii="Times New Roman"/>
                <w:sz w:val="16"/>
              </w:rPr>
            </w:pPr>
          </w:p>
        </w:tc>
      </w:tr>
      <w:tr>
        <w:trPr>
          <w:trHeight w:val="179" w:hRule="atLeast"/>
        </w:trPr>
        <w:tc>
          <w:tcPr>
            <w:tcW w:w="3729" w:type="dxa"/>
            <w:tcBorders>
              <w:left w:val="single" w:sz="6" w:space="0" w:color="231F20"/>
            </w:tcBorders>
            <w:shd w:val="clear" w:color="auto" w:fill="DBEEDF"/>
          </w:tcPr>
          <w:p>
            <w:pPr>
              <w:pStyle w:val="TableParagraph"/>
              <w:spacing w:line="155" w:lineRule="exact" w:before="5"/>
              <w:ind w:left="192"/>
              <w:rPr>
                <w:sz w:val="14"/>
              </w:rPr>
            </w:pPr>
            <w:r>
              <w:rPr>
                <w:color w:val="231F20"/>
                <w:w w:val="125"/>
                <w:sz w:val="14"/>
              </w:rPr>
              <w:t>(Patients on both green and</w:t>
            </w:r>
          </w:p>
        </w:tc>
        <w:tc>
          <w:tcPr>
            <w:tcW w:w="1336" w:type="dxa"/>
            <w:shd w:val="clear" w:color="auto" w:fill="DBEEDF"/>
          </w:tcPr>
          <w:p>
            <w:pPr>
              <w:pStyle w:val="TableParagraph"/>
              <w:spacing w:before="0"/>
              <w:rPr>
                <w:rFonts w:ascii="Times New Roman"/>
                <w:sz w:val="12"/>
              </w:rPr>
            </w:pPr>
          </w:p>
        </w:tc>
        <w:tc>
          <w:tcPr>
            <w:tcW w:w="1300" w:type="dxa"/>
            <w:shd w:val="clear" w:color="auto" w:fill="DBEEDF"/>
          </w:tcPr>
          <w:p>
            <w:pPr>
              <w:pStyle w:val="TableParagraph"/>
              <w:spacing w:before="0"/>
              <w:rPr>
                <w:rFonts w:ascii="Times New Roman"/>
                <w:sz w:val="12"/>
              </w:rPr>
            </w:pPr>
          </w:p>
        </w:tc>
        <w:tc>
          <w:tcPr>
            <w:tcW w:w="1293" w:type="dxa"/>
            <w:shd w:val="clear" w:color="auto" w:fill="DBEEDF"/>
          </w:tcPr>
          <w:p>
            <w:pPr>
              <w:pStyle w:val="TableParagraph"/>
              <w:spacing w:before="0"/>
              <w:rPr>
                <w:rFonts w:ascii="Times New Roman"/>
                <w:sz w:val="12"/>
              </w:rPr>
            </w:pPr>
          </w:p>
        </w:tc>
        <w:tc>
          <w:tcPr>
            <w:tcW w:w="1252" w:type="dxa"/>
            <w:shd w:val="clear" w:color="auto" w:fill="DBEEDF"/>
          </w:tcPr>
          <w:p>
            <w:pPr>
              <w:pStyle w:val="TableParagraph"/>
              <w:spacing w:before="0"/>
              <w:rPr>
                <w:rFonts w:ascii="Times New Roman"/>
                <w:sz w:val="12"/>
              </w:rPr>
            </w:pPr>
          </w:p>
        </w:tc>
        <w:tc>
          <w:tcPr>
            <w:tcW w:w="1283" w:type="dxa"/>
            <w:tcBorders>
              <w:right w:val="single" w:sz="6" w:space="0" w:color="231F20"/>
            </w:tcBorders>
            <w:shd w:val="clear" w:color="auto" w:fill="DBEEDF"/>
          </w:tcPr>
          <w:p>
            <w:pPr>
              <w:pStyle w:val="TableParagraph"/>
              <w:spacing w:before="0"/>
              <w:rPr>
                <w:rFonts w:ascii="Times New Roman"/>
                <w:sz w:val="12"/>
              </w:rPr>
            </w:pPr>
          </w:p>
        </w:tc>
      </w:tr>
      <w:tr>
        <w:trPr>
          <w:trHeight w:val="179" w:hRule="atLeast"/>
        </w:trPr>
        <w:tc>
          <w:tcPr>
            <w:tcW w:w="3729" w:type="dxa"/>
            <w:tcBorders>
              <w:left w:val="single" w:sz="6" w:space="0" w:color="231F20"/>
            </w:tcBorders>
            <w:shd w:val="clear" w:color="auto" w:fill="DBEEDF"/>
          </w:tcPr>
          <w:p>
            <w:pPr>
              <w:pStyle w:val="TableParagraph"/>
              <w:tabs>
                <w:tab w:pos="2544" w:val="left" w:leader="none"/>
              </w:tabs>
              <w:spacing w:line="155" w:lineRule="exact" w:before="4"/>
              <w:ind w:left="192"/>
              <w:rPr>
                <w:sz w:val="14"/>
              </w:rPr>
            </w:pPr>
            <w:r>
              <w:rPr>
                <w:color w:val="231F20"/>
                <w:w w:val="120"/>
                <w:sz w:val="14"/>
              </w:rPr>
              <w:t>amber  drugs</w:t>
            </w:r>
            <w:r>
              <w:rPr>
                <w:color w:val="231F20"/>
                <w:spacing w:val="-6"/>
                <w:w w:val="120"/>
                <w:sz w:val="14"/>
              </w:rPr>
              <w:t> </w:t>
            </w:r>
            <w:r>
              <w:rPr>
                <w:color w:val="231F20"/>
                <w:w w:val="120"/>
                <w:sz w:val="14"/>
              </w:rPr>
              <w:t>were</w:t>
            </w:r>
            <w:r>
              <w:rPr>
                <w:color w:val="231F20"/>
                <w:spacing w:val="15"/>
                <w:w w:val="120"/>
                <w:sz w:val="14"/>
              </w:rPr>
              <w:t> </w:t>
            </w:r>
            <w:r>
              <w:rPr>
                <w:color w:val="231F20"/>
                <w:w w:val="120"/>
                <w:sz w:val="14"/>
              </w:rPr>
              <w:t>counted</w:t>
              <w:tab/>
              <w:t>Green</w:t>
            </w:r>
          </w:p>
        </w:tc>
        <w:tc>
          <w:tcPr>
            <w:tcW w:w="1336" w:type="dxa"/>
            <w:shd w:val="clear" w:color="auto" w:fill="DBEEDF"/>
          </w:tcPr>
          <w:p>
            <w:pPr>
              <w:pStyle w:val="TableParagraph"/>
              <w:spacing w:line="155" w:lineRule="exact" w:before="4"/>
              <w:ind w:left="164"/>
              <w:rPr>
                <w:sz w:val="14"/>
              </w:rPr>
            </w:pPr>
            <w:r>
              <w:rPr>
                <w:color w:val="231F20"/>
                <w:w w:val="125"/>
                <w:sz w:val="14"/>
              </w:rPr>
              <w:t>Amber</w:t>
            </w:r>
          </w:p>
        </w:tc>
        <w:tc>
          <w:tcPr>
            <w:tcW w:w="1300" w:type="dxa"/>
            <w:shd w:val="clear" w:color="auto" w:fill="DBEEDF"/>
          </w:tcPr>
          <w:p>
            <w:pPr>
              <w:pStyle w:val="TableParagraph"/>
              <w:spacing w:line="155" w:lineRule="exact" w:before="4"/>
              <w:ind w:left="168"/>
              <w:rPr>
                <w:sz w:val="14"/>
              </w:rPr>
            </w:pPr>
            <w:r>
              <w:rPr>
                <w:color w:val="231F20"/>
                <w:w w:val="120"/>
                <w:sz w:val="14"/>
              </w:rPr>
              <w:t>Green</w:t>
            </w:r>
          </w:p>
        </w:tc>
        <w:tc>
          <w:tcPr>
            <w:tcW w:w="1293" w:type="dxa"/>
            <w:shd w:val="clear" w:color="auto" w:fill="DBEEDF"/>
          </w:tcPr>
          <w:p>
            <w:pPr>
              <w:pStyle w:val="TableParagraph"/>
              <w:spacing w:line="155" w:lineRule="exact" w:before="4"/>
              <w:ind w:left="119"/>
              <w:rPr>
                <w:sz w:val="14"/>
              </w:rPr>
            </w:pPr>
            <w:r>
              <w:rPr>
                <w:color w:val="231F20"/>
                <w:w w:val="125"/>
                <w:sz w:val="14"/>
              </w:rPr>
              <w:t>Amber</w:t>
            </w:r>
          </w:p>
        </w:tc>
        <w:tc>
          <w:tcPr>
            <w:tcW w:w="1252" w:type="dxa"/>
            <w:shd w:val="clear" w:color="auto" w:fill="DBEEDF"/>
          </w:tcPr>
          <w:p>
            <w:pPr>
              <w:pStyle w:val="TableParagraph"/>
              <w:spacing w:line="155" w:lineRule="exact" w:before="4"/>
              <w:ind w:left="166"/>
              <w:rPr>
                <w:sz w:val="14"/>
              </w:rPr>
            </w:pPr>
            <w:r>
              <w:rPr>
                <w:color w:val="231F20"/>
                <w:w w:val="120"/>
                <w:sz w:val="14"/>
              </w:rPr>
              <w:t>Green</w:t>
            </w:r>
          </w:p>
        </w:tc>
        <w:tc>
          <w:tcPr>
            <w:tcW w:w="1283" w:type="dxa"/>
            <w:tcBorders>
              <w:right w:val="single" w:sz="6" w:space="0" w:color="231F20"/>
            </w:tcBorders>
            <w:shd w:val="clear" w:color="auto" w:fill="DBEEDF"/>
          </w:tcPr>
          <w:p>
            <w:pPr>
              <w:pStyle w:val="TableParagraph"/>
              <w:spacing w:line="155" w:lineRule="exact" w:before="4"/>
              <w:ind w:left="166"/>
              <w:rPr>
                <w:sz w:val="14"/>
              </w:rPr>
            </w:pPr>
            <w:r>
              <w:rPr>
                <w:color w:val="231F20"/>
                <w:w w:val="125"/>
                <w:sz w:val="14"/>
              </w:rPr>
              <w:t>Amber</w:t>
            </w:r>
          </w:p>
        </w:tc>
      </w:tr>
      <w:tr>
        <w:trPr>
          <w:trHeight w:val="245" w:hRule="atLeast"/>
        </w:trPr>
        <w:tc>
          <w:tcPr>
            <w:tcW w:w="3729" w:type="dxa"/>
            <w:tcBorders>
              <w:left w:val="single" w:sz="6" w:space="0" w:color="231F20"/>
              <w:bottom w:val="single" w:sz="6" w:space="0" w:color="231F20"/>
            </w:tcBorders>
            <w:shd w:val="clear" w:color="auto" w:fill="DBEEDF"/>
          </w:tcPr>
          <w:p>
            <w:pPr>
              <w:pStyle w:val="TableParagraph"/>
              <w:tabs>
                <w:tab w:pos="2544" w:val="left" w:leader="none"/>
              </w:tabs>
              <w:spacing w:before="3"/>
              <w:ind w:left="192"/>
              <w:rPr>
                <w:sz w:val="14"/>
              </w:rPr>
            </w:pPr>
            <w:r>
              <w:rPr>
                <w:color w:val="231F20"/>
                <w:w w:val="125"/>
                <w:sz w:val="14"/>
              </w:rPr>
              <w:t>only in the</w:t>
            </w:r>
            <w:r>
              <w:rPr>
                <w:color w:val="231F20"/>
                <w:spacing w:val="15"/>
                <w:w w:val="125"/>
                <w:sz w:val="14"/>
              </w:rPr>
              <w:t> </w:t>
            </w:r>
            <w:r>
              <w:rPr>
                <w:color w:val="231F20"/>
                <w:w w:val="125"/>
                <w:sz w:val="14"/>
              </w:rPr>
              <w:t>amber</w:t>
            </w:r>
            <w:r>
              <w:rPr>
                <w:color w:val="231F20"/>
                <w:spacing w:val="5"/>
                <w:w w:val="125"/>
                <w:sz w:val="14"/>
              </w:rPr>
              <w:t> </w:t>
            </w:r>
            <w:r>
              <w:rPr>
                <w:color w:val="231F20"/>
                <w:w w:val="125"/>
                <w:sz w:val="14"/>
              </w:rPr>
              <w:t>group)</w:t>
              <w:tab/>
            </w:r>
            <w:r>
              <w:rPr>
                <w:rFonts w:ascii="Lucida Sans"/>
                <w:i/>
                <w:color w:val="231F20"/>
                <w:w w:val="125"/>
                <w:sz w:val="14"/>
              </w:rPr>
              <w:t>n </w:t>
            </w:r>
            <w:r>
              <w:rPr>
                <w:color w:val="231F20"/>
                <w:w w:val="125"/>
                <w:sz w:val="14"/>
              </w:rPr>
              <w:t>= 251</w:t>
            </w:r>
            <w:r>
              <w:rPr>
                <w:color w:val="231F20"/>
                <w:spacing w:val="-8"/>
                <w:w w:val="125"/>
                <w:sz w:val="14"/>
              </w:rPr>
              <w:t> </w:t>
            </w:r>
            <w:r>
              <w:rPr>
                <w:color w:val="231F20"/>
                <w:w w:val="125"/>
                <w:sz w:val="14"/>
              </w:rPr>
              <w:t>(62%)</w:t>
            </w:r>
          </w:p>
        </w:tc>
        <w:tc>
          <w:tcPr>
            <w:tcW w:w="1336" w:type="dxa"/>
            <w:tcBorders>
              <w:bottom w:val="single" w:sz="6" w:space="0" w:color="231F20"/>
            </w:tcBorders>
            <w:shd w:val="clear" w:color="auto" w:fill="DBEEDF"/>
          </w:tcPr>
          <w:p>
            <w:pPr>
              <w:pStyle w:val="TableParagraph"/>
              <w:spacing w:before="3"/>
              <w:ind w:left="164"/>
              <w:rPr>
                <w:sz w:val="14"/>
              </w:rPr>
            </w:pPr>
            <w:r>
              <w:rPr>
                <w:rFonts w:ascii="Lucida Sans"/>
                <w:i/>
                <w:color w:val="231F20"/>
                <w:w w:val="125"/>
                <w:sz w:val="14"/>
              </w:rPr>
              <w:t>n </w:t>
            </w:r>
            <w:r>
              <w:rPr>
                <w:color w:val="231F20"/>
                <w:w w:val="125"/>
                <w:sz w:val="14"/>
              </w:rPr>
              <w:t>= 152 (38%)</w:t>
            </w:r>
          </w:p>
        </w:tc>
        <w:tc>
          <w:tcPr>
            <w:tcW w:w="1300" w:type="dxa"/>
            <w:tcBorders>
              <w:bottom w:val="single" w:sz="6" w:space="0" w:color="231F20"/>
            </w:tcBorders>
            <w:shd w:val="clear" w:color="auto" w:fill="DBEEDF"/>
          </w:tcPr>
          <w:p>
            <w:pPr>
              <w:pStyle w:val="TableParagraph"/>
              <w:spacing w:before="3"/>
              <w:ind w:left="168"/>
              <w:rPr>
                <w:sz w:val="14"/>
              </w:rPr>
            </w:pPr>
            <w:r>
              <w:rPr>
                <w:rFonts w:ascii="Lucida Sans"/>
                <w:i/>
                <w:color w:val="231F20"/>
                <w:w w:val="125"/>
                <w:sz w:val="14"/>
              </w:rPr>
              <w:t>n </w:t>
            </w:r>
            <w:r>
              <w:rPr>
                <w:color w:val="231F20"/>
                <w:w w:val="125"/>
                <w:sz w:val="14"/>
              </w:rPr>
              <w:t>= 26 (17%)</w:t>
            </w:r>
          </w:p>
        </w:tc>
        <w:tc>
          <w:tcPr>
            <w:tcW w:w="1293" w:type="dxa"/>
            <w:tcBorders>
              <w:bottom w:val="single" w:sz="6" w:space="0" w:color="231F20"/>
            </w:tcBorders>
            <w:shd w:val="clear" w:color="auto" w:fill="DBEEDF"/>
          </w:tcPr>
          <w:p>
            <w:pPr>
              <w:pStyle w:val="TableParagraph"/>
              <w:spacing w:before="3"/>
              <w:ind w:left="119"/>
              <w:rPr>
                <w:sz w:val="14"/>
              </w:rPr>
            </w:pPr>
            <w:r>
              <w:rPr>
                <w:rFonts w:ascii="Lucida Sans"/>
                <w:i/>
                <w:color w:val="231F20"/>
                <w:w w:val="125"/>
                <w:sz w:val="14"/>
              </w:rPr>
              <w:t>n </w:t>
            </w:r>
            <w:r>
              <w:rPr>
                <w:color w:val="231F20"/>
                <w:w w:val="125"/>
                <w:sz w:val="14"/>
              </w:rPr>
              <w:t>= 123 (83%)</w:t>
            </w:r>
          </w:p>
        </w:tc>
        <w:tc>
          <w:tcPr>
            <w:tcW w:w="1252" w:type="dxa"/>
            <w:tcBorders>
              <w:bottom w:val="single" w:sz="6" w:space="0" w:color="231F20"/>
            </w:tcBorders>
            <w:shd w:val="clear" w:color="auto" w:fill="DBEEDF"/>
          </w:tcPr>
          <w:p>
            <w:pPr>
              <w:pStyle w:val="TableParagraph"/>
              <w:spacing w:before="3"/>
              <w:ind w:left="166"/>
              <w:rPr>
                <w:sz w:val="14"/>
              </w:rPr>
            </w:pPr>
            <w:r>
              <w:rPr>
                <w:rFonts w:ascii="Lucida Sans"/>
                <w:i/>
                <w:color w:val="231F20"/>
                <w:w w:val="125"/>
                <w:sz w:val="14"/>
              </w:rPr>
              <w:t>n </w:t>
            </w:r>
            <w:r>
              <w:rPr>
                <w:color w:val="231F20"/>
                <w:w w:val="125"/>
                <w:sz w:val="14"/>
              </w:rPr>
              <w:t>= 27 (30%)</w:t>
            </w:r>
          </w:p>
        </w:tc>
        <w:tc>
          <w:tcPr>
            <w:tcW w:w="1283" w:type="dxa"/>
            <w:tcBorders>
              <w:bottom w:val="single" w:sz="6" w:space="0" w:color="231F20"/>
              <w:right w:val="single" w:sz="6" w:space="0" w:color="231F20"/>
            </w:tcBorders>
            <w:shd w:val="clear" w:color="auto" w:fill="DBEEDF"/>
          </w:tcPr>
          <w:p>
            <w:pPr>
              <w:pStyle w:val="TableParagraph"/>
              <w:spacing w:before="3"/>
              <w:ind w:left="166"/>
              <w:rPr>
                <w:sz w:val="14"/>
              </w:rPr>
            </w:pPr>
            <w:r>
              <w:rPr>
                <w:rFonts w:ascii="Lucida Sans"/>
                <w:i/>
                <w:color w:val="231F20"/>
                <w:w w:val="125"/>
                <w:sz w:val="14"/>
              </w:rPr>
              <w:t>n </w:t>
            </w:r>
            <w:r>
              <w:rPr>
                <w:color w:val="231F20"/>
                <w:w w:val="125"/>
                <w:sz w:val="14"/>
              </w:rPr>
              <w:t>= 64 (70%)</w:t>
            </w:r>
          </w:p>
        </w:tc>
      </w:tr>
      <w:tr>
        <w:trPr>
          <w:trHeight w:val="296" w:hRule="atLeast"/>
        </w:trPr>
        <w:tc>
          <w:tcPr>
            <w:tcW w:w="3729" w:type="dxa"/>
            <w:tcBorders>
              <w:top w:val="single" w:sz="6" w:space="0" w:color="231F20"/>
              <w:left w:val="single" w:sz="6" w:space="0" w:color="231F20"/>
            </w:tcBorders>
            <w:shd w:val="clear" w:color="auto" w:fill="78C693"/>
          </w:tcPr>
          <w:p>
            <w:pPr>
              <w:pStyle w:val="TableParagraph"/>
              <w:tabs>
                <w:tab w:pos="2544" w:val="left" w:leader="none"/>
              </w:tabs>
              <w:spacing w:before="62"/>
              <w:ind w:left="192"/>
              <w:rPr>
                <w:sz w:val="14"/>
              </w:rPr>
            </w:pPr>
            <w:r>
              <w:rPr>
                <w:color w:val="231F20"/>
                <w:w w:val="125"/>
                <w:sz w:val="14"/>
              </w:rPr>
              <w:t>≥1 AE (all grades),</w:t>
            </w:r>
            <w:r>
              <w:rPr>
                <w:color w:val="231F20"/>
                <w:spacing w:val="20"/>
                <w:w w:val="125"/>
                <w:sz w:val="14"/>
              </w:rPr>
              <w:t> </w:t>
            </w:r>
            <w:r>
              <w:rPr>
                <w:rFonts w:ascii="Lucida Sans" w:hAnsi="Lucida Sans"/>
                <w:i/>
                <w:color w:val="231F20"/>
                <w:w w:val="125"/>
                <w:sz w:val="14"/>
              </w:rPr>
              <w:t>n</w:t>
            </w:r>
            <w:r>
              <w:rPr>
                <w:rFonts w:ascii="Lucida Sans" w:hAnsi="Lucida Sans"/>
                <w:i/>
                <w:color w:val="231F20"/>
                <w:spacing w:val="-11"/>
                <w:w w:val="125"/>
                <w:sz w:val="14"/>
              </w:rPr>
              <w:t> </w:t>
            </w:r>
            <w:r>
              <w:rPr>
                <w:color w:val="231F20"/>
                <w:w w:val="125"/>
                <w:sz w:val="14"/>
              </w:rPr>
              <w:t>(%)</w:t>
              <w:tab/>
              <w:t>159</w:t>
            </w:r>
            <w:r>
              <w:rPr>
                <w:color w:val="231F20"/>
                <w:spacing w:val="-5"/>
                <w:w w:val="125"/>
                <w:sz w:val="14"/>
              </w:rPr>
              <w:t> </w:t>
            </w:r>
            <w:r>
              <w:rPr>
                <w:color w:val="231F20"/>
                <w:w w:val="125"/>
                <w:sz w:val="14"/>
              </w:rPr>
              <w:t>(63.3%)</w:t>
            </w:r>
          </w:p>
        </w:tc>
        <w:tc>
          <w:tcPr>
            <w:tcW w:w="1336" w:type="dxa"/>
            <w:tcBorders>
              <w:top w:val="single" w:sz="6" w:space="0" w:color="231F20"/>
            </w:tcBorders>
            <w:shd w:val="clear" w:color="auto" w:fill="78C693"/>
          </w:tcPr>
          <w:p>
            <w:pPr>
              <w:pStyle w:val="TableParagraph"/>
              <w:spacing w:before="64"/>
              <w:ind w:left="310"/>
              <w:rPr>
                <w:sz w:val="14"/>
              </w:rPr>
            </w:pPr>
            <w:r>
              <w:rPr>
                <w:color w:val="231F20"/>
                <w:w w:val="115"/>
                <w:sz w:val="14"/>
              </w:rPr>
              <w:t>98 (64.5%)</w:t>
            </w:r>
          </w:p>
        </w:tc>
        <w:tc>
          <w:tcPr>
            <w:tcW w:w="1300" w:type="dxa"/>
            <w:tcBorders>
              <w:top w:val="single" w:sz="6" w:space="0" w:color="231F20"/>
            </w:tcBorders>
            <w:shd w:val="clear" w:color="auto" w:fill="78C693"/>
          </w:tcPr>
          <w:p>
            <w:pPr>
              <w:pStyle w:val="TableParagraph"/>
              <w:spacing w:before="64"/>
              <w:ind w:left="270"/>
              <w:rPr>
                <w:sz w:val="14"/>
              </w:rPr>
            </w:pPr>
            <w:r>
              <w:rPr>
                <w:color w:val="231F20"/>
                <w:w w:val="115"/>
                <w:sz w:val="14"/>
              </w:rPr>
              <w:t>17 (65.4%)</w:t>
            </w:r>
          </w:p>
        </w:tc>
        <w:tc>
          <w:tcPr>
            <w:tcW w:w="1293" w:type="dxa"/>
            <w:tcBorders>
              <w:top w:val="single" w:sz="6" w:space="0" w:color="231F20"/>
            </w:tcBorders>
            <w:shd w:val="clear" w:color="auto" w:fill="78C693"/>
          </w:tcPr>
          <w:p>
            <w:pPr>
              <w:pStyle w:val="TableParagraph"/>
              <w:spacing w:before="64"/>
              <w:ind w:left="265"/>
              <w:rPr>
                <w:sz w:val="14"/>
              </w:rPr>
            </w:pPr>
            <w:r>
              <w:rPr>
                <w:color w:val="231F20"/>
                <w:w w:val="115"/>
                <w:sz w:val="14"/>
              </w:rPr>
              <w:t>79 (64.2%)</w:t>
            </w:r>
          </w:p>
        </w:tc>
        <w:tc>
          <w:tcPr>
            <w:tcW w:w="1252" w:type="dxa"/>
            <w:tcBorders>
              <w:top w:val="single" w:sz="6" w:space="0" w:color="231F20"/>
            </w:tcBorders>
            <w:shd w:val="clear" w:color="auto" w:fill="78C693"/>
          </w:tcPr>
          <w:p>
            <w:pPr>
              <w:pStyle w:val="TableParagraph"/>
              <w:spacing w:before="64"/>
              <w:ind w:right="258"/>
              <w:jc w:val="right"/>
              <w:rPr>
                <w:sz w:val="14"/>
              </w:rPr>
            </w:pPr>
            <w:r>
              <w:rPr>
                <w:color w:val="231F20"/>
                <w:w w:val="115"/>
                <w:sz w:val="14"/>
              </w:rPr>
              <w:t>19 (70.4%)</w:t>
            </w:r>
          </w:p>
        </w:tc>
        <w:tc>
          <w:tcPr>
            <w:tcW w:w="1283" w:type="dxa"/>
            <w:tcBorders>
              <w:top w:val="single" w:sz="6" w:space="0" w:color="231F20"/>
              <w:right w:val="single" w:sz="6" w:space="0" w:color="231F20"/>
            </w:tcBorders>
            <w:shd w:val="clear" w:color="auto" w:fill="78C693"/>
          </w:tcPr>
          <w:p>
            <w:pPr>
              <w:pStyle w:val="TableParagraph"/>
              <w:spacing w:before="64"/>
              <w:ind w:left="166"/>
              <w:rPr>
                <w:sz w:val="14"/>
              </w:rPr>
            </w:pPr>
            <w:r>
              <w:rPr>
                <w:color w:val="231F20"/>
                <w:w w:val="115"/>
                <w:sz w:val="14"/>
              </w:rPr>
              <w:t>35 (54.7%)</w:t>
            </w:r>
          </w:p>
        </w:tc>
      </w:tr>
      <w:tr>
        <w:trPr>
          <w:trHeight w:val="300" w:hRule="atLeast"/>
        </w:trPr>
        <w:tc>
          <w:tcPr>
            <w:tcW w:w="3729" w:type="dxa"/>
            <w:tcBorders>
              <w:left w:val="single" w:sz="6" w:space="0" w:color="231F20"/>
            </w:tcBorders>
          </w:tcPr>
          <w:p>
            <w:pPr>
              <w:pStyle w:val="TableParagraph"/>
              <w:tabs>
                <w:tab w:pos="2627" w:val="left" w:leader="none"/>
              </w:tabs>
              <w:spacing w:before="84"/>
              <w:ind w:left="192"/>
              <w:rPr>
                <w:sz w:val="14"/>
              </w:rPr>
            </w:pPr>
            <w:r>
              <w:rPr>
                <w:color w:val="231F20"/>
                <w:w w:val="125"/>
                <w:sz w:val="14"/>
              </w:rPr>
              <w:t>≥1 SAE,</w:t>
            </w:r>
            <w:r>
              <w:rPr>
                <w:color w:val="231F20"/>
                <w:spacing w:val="1"/>
                <w:w w:val="125"/>
                <w:sz w:val="14"/>
              </w:rPr>
              <w:t> </w:t>
            </w:r>
            <w:r>
              <w:rPr>
                <w:rFonts w:ascii="Lucida Sans" w:hAnsi="Lucida Sans"/>
                <w:i/>
                <w:color w:val="231F20"/>
                <w:w w:val="120"/>
                <w:sz w:val="14"/>
              </w:rPr>
              <w:t>n</w:t>
            </w:r>
            <w:r>
              <w:rPr>
                <w:rFonts w:ascii="Lucida Sans" w:hAnsi="Lucida Sans"/>
                <w:i/>
                <w:color w:val="231F20"/>
                <w:spacing w:val="-13"/>
                <w:w w:val="120"/>
                <w:sz w:val="14"/>
              </w:rPr>
              <w:t> </w:t>
            </w:r>
            <w:r>
              <w:rPr>
                <w:color w:val="231F20"/>
                <w:w w:val="125"/>
                <w:sz w:val="14"/>
              </w:rPr>
              <w:t>(%)</w:t>
              <w:tab/>
              <w:t>18</w:t>
            </w:r>
            <w:r>
              <w:rPr>
                <w:color w:val="231F20"/>
                <w:spacing w:val="-3"/>
                <w:w w:val="125"/>
                <w:sz w:val="14"/>
              </w:rPr>
              <w:t> </w:t>
            </w:r>
            <w:r>
              <w:rPr>
                <w:color w:val="231F20"/>
                <w:w w:val="125"/>
                <w:sz w:val="14"/>
              </w:rPr>
              <w:t>(7.2%)</w:t>
            </w:r>
          </w:p>
        </w:tc>
        <w:tc>
          <w:tcPr>
            <w:tcW w:w="1336" w:type="dxa"/>
          </w:tcPr>
          <w:p>
            <w:pPr>
              <w:pStyle w:val="TableParagraph"/>
              <w:ind w:left="393"/>
              <w:rPr>
                <w:sz w:val="14"/>
              </w:rPr>
            </w:pPr>
            <w:r>
              <w:rPr>
                <w:color w:val="231F20"/>
                <w:w w:val="115"/>
                <w:sz w:val="14"/>
              </w:rPr>
              <w:t>9 (5.9%)</w:t>
            </w:r>
          </w:p>
        </w:tc>
        <w:tc>
          <w:tcPr>
            <w:tcW w:w="1300" w:type="dxa"/>
          </w:tcPr>
          <w:p>
            <w:pPr>
              <w:pStyle w:val="TableParagraph"/>
              <w:ind w:left="392"/>
              <w:rPr>
                <w:sz w:val="14"/>
              </w:rPr>
            </w:pPr>
            <w:r>
              <w:rPr>
                <w:color w:val="231F20"/>
                <w:w w:val="112"/>
                <w:sz w:val="14"/>
              </w:rPr>
              <w:t>0</w:t>
            </w:r>
          </w:p>
        </w:tc>
        <w:tc>
          <w:tcPr>
            <w:tcW w:w="1293" w:type="dxa"/>
          </w:tcPr>
          <w:p>
            <w:pPr>
              <w:pStyle w:val="TableParagraph"/>
              <w:ind w:left="348"/>
              <w:rPr>
                <w:sz w:val="14"/>
              </w:rPr>
            </w:pPr>
            <w:r>
              <w:rPr>
                <w:color w:val="231F20"/>
                <w:w w:val="115"/>
                <w:sz w:val="14"/>
              </w:rPr>
              <w:t>9 (7.3%)</w:t>
            </w:r>
          </w:p>
        </w:tc>
        <w:tc>
          <w:tcPr>
            <w:tcW w:w="1252" w:type="dxa"/>
          </w:tcPr>
          <w:p>
            <w:pPr>
              <w:pStyle w:val="TableParagraph"/>
              <w:ind w:left="351"/>
              <w:rPr>
                <w:sz w:val="14"/>
              </w:rPr>
            </w:pPr>
            <w:r>
              <w:rPr>
                <w:color w:val="231F20"/>
                <w:w w:val="115"/>
                <w:sz w:val="14"/>
              </w:rPr>
              <w:t>2 (7.4%)</w:t>
            </w:r>
          </w:p>
        </w:tc>
        <w:tc>
          <w:tcPr>
            <w:tcW w:w="1283" w:type="dxa"/>
            <w:tcBorders>
              <w:right w:val="single" w:sz="6" w:space="0" w:color="231F20"/>
            </w:tcBorders>
          </w:tcPr>
          <w:p>
            <w:pPr>
              <w:pStyle w:val="TableParagraph"/>
              <w:ind w:left="248"/>
              <w:rPr>
                <w:sz w:val="14"/>
              </w:rPr>
            </w:pPr>
            <w:r>
              <w:rPr>
                <w:color w:val="231F20"/>
                <w:w w:val="115"/>
                <w:sz w:val="14"/>
              </w:rPr>
              <w:t>2 (3.1%)</w:t>
            </w:r>
          </w:p>
        </w:tc>
      </w:tr>
      <w:tr>
        <w:trPr>
          <w:trHeight w:val="300" w:hRule="atLeast"/>
        </w:trPr>
        <w:tc>
          <w:tcPr>
            <w:tcW w:w="3729" w:type="dxa"/>
            <w:tcBorders>
              <w:left w:val="single" w:sz="6" w:space="0" w:color="231F20"/>
            </w:tcBorders>
            <w:shd w:val="clear" w:color="auto" w:fill="78C693"/>
          </w:tcPr>
          <w:p>
            <w:pPr>
              <w:pStyle w:val="TableParagraph"/>
              <w:tabs>
                <w:tab w:pos="2627" w:val="left" w:leader="none"/>
              </w:tabs>
              <w:spacing w:before="64"/>
              <w:ind w:left="192"/>
              <w:rPr>
                <w:sz w:val="14"/>
              </w:rPr>
            </w:pPr>
            <w:r>
              <w:rPr>
                <w:color w:val="231F20"/>
                <w:w w:val="125"/>
                <w:sz w:val="14"/>
              </w:rPr>
              <w:t>≥1 Grade 3/4 AE,</w:t>
            </w:r>
            <w:r>
              <w:rPr>
                <w:color w:val="231F20"/>
                <w:spacing w:val="6"/>
                <w:w w:val="125"/>
                <w:sz w:val="14"/>
              </w:rPr>
              <w:t> </w:t>
            </w:r>
            <w:r>
              <w:rPr>
                <w:rFonts w:ascii="Lucida Sans" w:hAnsi="Lucida Sans"/>
                <w:i/>
                <w:color w:val="231F20"/>
                <w:w w:val="120"/>
                <w:sz w:val="14"/>
              </w:rPr>
              <w:t>n</w:t>
            </w:r>
            <w:r>
              <w:rPr>
                <w:rFonts w:ascii="Lucida Sans" w:hAnsi="Lucida Sans"/>
                <w:i/>
                <w:color w:val="231F20"/>
                <w:spacing w:val="-12"/>
                <w:w w:val="120"/>
                <w:sz w:val="14"/>
              </w:rPr>
              <w:t> </w:t>
            </w:r>
            <w:r>
              <w:rPr>
                <w:color w:val="231F20"/>
                <w:w w:val="125"/>
                <w:sz w:val="14"/>
              </w:rPr>
              <w:t>(%)</w:t>
              <w:tab/>
              <w:t>22</w:t>
            </w:r>
            <w:r>
              <w:rPr>
                <w:color w:val="231F20"/>
                <w:spacing w:val="-3"/>
                <w:w w:val="125"/>
                <w:sz w:val="14"/>
              </w:rPr>
              <w:t> </w:t>
            </w:r>
            <w:r>
              <w:rPr>
                <w:color w:val="231F20"/>
                <w:w w:val="125"/>
                <w:sz w:val="14"/>
              </w:rPr>
              <w:t>(8.8%)</w:t>
            </w:r>
          </w:p>
        </w:tc>
        <w:tc>
          <w:tcPr>
            <w:tcW w:w="1336" w:type="dxa"/>
            <w:shd w:val="clear" w:color="auto" w:fill="78C693"/>
          </w:tcPr>
          <w:p>
            <w:pPr>
              <w:pStyle w:val="TableParagraph"/>
              <w:spacing w:before="66"/>
              <w:ind w:left="310"/>
              <w:rPr>
                <w:sz w:val="14"/>
              </w:rPr>
            </w:pPr>
            <w:r>
              <w:rPr>
                <w:color w:val="231F20"/>
                <w:w w:val="115"/>
                <w:sz w:val="14"/>
              </w:rPr>
              <w:t>11 (7.2%)</w:t>
            </w:r>
          </w:p>
        </w:tc>
        <w:tc>
          <w:tcPr>
            <w:tcW w:w="1300" w:type="dxa"/>
            <w:shd w:val="clear" w:color="auto" w:fill="78C693"/>
          </w:tcPr>
          <w:p>
            <w:pPr>
              <w:pStyle w:val="TableParagraph"/>
              <w:spacing w:before="66"/>
              <w:ind w:left="391"/>
              <w:rPr>
                <w:sz w:val="14"/>
              </w:rPr>
            </w:pPr>
            <w:r>
              <w:rPr>
                <w:color w:val="231F20"/>
                <w:w w:val="112"/>
                <w:sz w:val="14"/>
              </w:rPr>
              <w:t>0</w:t>
            </w:r>
          </w:p>
        </w:tc>
        <w:tc>
          <w:tcPr>
            <w:tcW w:w="1293" w:type="dxa"/>
            <w:shd w:val="clear" w:color="auto" w:fill="78C693"/>
          </w:tcPr>
          <w:p>
            <w:pPr>
              <w:pStyle w:val="TableParagraph"/>
              <w:spacing w:before="66"/>
              <w:ind w:left="347"/>
              <w:rPr>
                <w:sz w:val="14"/>
              </w:rPr>
            </w:pPr>
            <w:r>
              <w:rPr>
                <w:color w:val="231F20"/>
                <w:w w:val="115"/>
                <w:sz w:val="14"/>
              </w:rPr>
              <w:t>7 (5.7%)</w:t>
            </w:r>
          </w:p>
        </w:tc>
        <w:tc>
          <w:tcPr>
            <w:tcW w:w="1252" w:type="dxa"/>
            <w:shd w:val="clear" w:color="auto" w:fill="78C693"/>
          </w:tcPr>
          <w:p>
            <w:pPr>
              <w:pStyle w:val="TableParagraph"/>
              <w:spacing w:before="66"/>
              <w:ind w:left="350"/>
              <w:rPr>
                <w:sz w:val="14"/>
              </w:rPr>
            </w:pPr>
            <w:r>
              <w:rPr>
                <w:color w:val="231F20"/>
                <w:w w:val="115"/>
                <w:sz w:val="14"/>
              </w:rPr>
              <w:t>2 (7.4%)</w:t>
            </w:r>
          </w:p>
        </w:tc>
        <w:tc>
          <w:tcPr>
            <w:tcW w:w="1283" w:type="dxa"/>
            <w:tcBorders>
              <w:right w:val="single" w:sz="6" w:space="0" w:color="231F20"/>
            </w:tcBorders>
            <w:shd w:val="clear" w:color="auto" w:fill="78C693"/>
          </w:tcPr>
          <w:p>
            <w:pPr>
              <w:pStyle w:val="TableParagraph"/>
              <w:spacing w:before="66"/>
              <w:ind w:left="247"/>
              <w:rPr>
                <w:sz w:val="14"/>
              </w:rPr>
            </w:pPr>
            <w:r>
              <w:rPr>
                <w:color w:val="231F20"/>
                <w:w w:val="115"/>
                <w:sz w:val="14"/>
              </w:rPr>
              <w:t>5 (7.8%)</w:t>
            </w:r>
          </w:p>
        </w:tc>
      </w:tr>
      <w:tr>
        <w:trPr>
          <w:trHeight w:val="479" w:hRule="atLeast"/>
        </w:trPr>
        <w:tc>
          <w:tcPr>
            <w:tcW w:w="3729" w:type="dxa"/>
            <w:tcBorders>
              <w:left w:val="single" w:sz="6" w:space="0" w:color="231F20"/>
            </w:tcBorders>
          </w:tcPr>
          <w:p>
            <w:pPr>
              <w:pStyle w:val="TableParagraph"/>
              <w:tabs>
                <w:tab w:pos="2598" w:val="left" w:leader="none"/>
              </w:tabs>
              <w:ind w:left="192"/>
              <w:rPr>
                <w:sz w:val="14"/>
              </w:rPr>
            </w:pPr>
            <w:r>
              <w:rPr>
                <w:color w:val="231F20"/>
                <w:w w:val="125"/>
                <w:sz w:val="14"/>
              </w:rPr>
              <w:t>Discontinuation</w:t>
            </w:r>
            <w:r>
              <w:rPr>
                <w:color w:val="231F20"/>
                <w:spacing w:val="2"/>
                <w:w w:val="125"/>
                <w:sz w:val="14"/>
              </w:rPr>
              <w:t> </w:t>
            </w:r>
            <w:r>
              <w:rPr>
                <w:color w:val="231F20"/>
                <w:w w:val="125"/>
                <w:sz w:val="14"/>
              </w:rPr>
              <w:t>of</w:t>
            </w:r>
            <w:r>
              <w:rPr>
                <w:color w:val="231F20"/>
                <w:spacing w:val="2"/>
                <w:w w:val="125"/>
                <w:sz w:val="14"/>
              </w:rPr>
              <w:t> </w:t>
            </w:r>
            <w:r>
              <w:rPr>
                <w:color w:val="231F20"/>
                <w:w w:val="125"/>
                <w:sz w:val="14"/>
              </w:rPr>
              <w:t>SMV</w:t>
              <w:tab/>
              <w:t>3</w:t>
            </w:r>
            <w:r>
              <w:rPr>
                <w:color w:val="231F20"/>
                <w:w w:val="125"/>
                <w:sz w:val="14"/>
                <w:vertAlign w:val="superscript"/>
              </w:rPr>
              <w:t>a,b</w:t>
            </w:r>
            <w:r>
              <w:rPr>
                <w:color w:val="231F20"/>
                <w:w w:val="125"/>
                <w:sz w:val="14"/>
                <w:vertAlign w:val="baseline"/>
              </w:rPr>
              <w:t>(1.2%)</w:t>
            </w:r>
          </w:p>
          <w:p>
            <w:pPr>
              <w:pStyle w:val="TableParagraph"/>
              <w:spacing w:before="7"/>
              <w:ind w:left="192"/>
              <w:rPr>
                <w:sz w:val="14"/>
              </w:rPr>
            </w:pPr>
            <w:r>
              <w:rPr>
                <w:color w:val="231F20"/>
                <w:w w:val="130"/>
                <w:sz w:val="14"/>
              </w:rPr>
              <w:t>(any AE), </w:t>
            </w:r>
            <w:r>
              <w:rPr>
                <w:rFonts w:ascii="Lucida Sans"/>
                <w:i/>
                <w:color w:val="231F20"/>
                <w:w w:val="120"/>
                <w:sz w:val="14"/>
              </w:rPr>
              <w:t>n </w:t>
            </w:r>
            <w:r>
              <w:rPr>
                <w:color w:val="231F20"/>
                <w:w w:val="130"/>
                <w:sz w:val="14"/>
              </w:rPr>
              <w:t>(%)</w:t>
            </w:r>
          </w:p>
        </w:tc>
        <w:tc>
          <w:tcPr>
            <w:tcW w:w="1336" w:type="dxa"/>
          </w:tcPr>
          <w:p>
            <w:pPr>
              <w:pStyle w:val="TableParagraph"/>
              <w:ind w:left="379"/>
              <w:rPr>
                <w:sz w:val="14"/>
              </w:rPr>
            </w:pPr>
            <w:r>
              <w:rPr>
                <w:color w:val="231F20"/>
                <w:w w:val="115"/>
                <w:sz w:val="14"/>
              </w:rPr>
              <w:t>1</w:t>
            </w:r>
            <w:r>
              <w:rPr>
                <w:color w:val="231F20"/>
                <w:w w:val="115"/>
                <w:sz w:val="14"/>
                <w:vertAlign w:val="superscript"/>
              </w:rPr>
              <w:t>c</w:t>
            </w:r>
            <w:r>
              <w:rPr>
                <w:color w:val="231F20"/>
                <w:w w:val="115"/>
                <w:sz w:val="14"/>
                <w:vertAlign w:val="baseline"/>
              </w:rPr>
              <w:t>(0.7%)</w:t>
            </w:r>
          </w:p>
        </w:tc>
        <w:tc>
          <w:tcPr>
            <w:tcW w:w="1300" w:type="dxa"/>
          </w:tcPr>
          <w:p>
            <w:pPr>
              <w:pStyle w:val="TableParagraph"/>
              <w:ind w:left="392"/>
              <w:rPr>
                <w:sz w:val="14"/>
              </w:rPr>
            </w:pPr>
            <w:r>
              <w:rPr>
                <w:color w:val="231F20"/>
                <w:w w:val="112"/>
                <w:sz w:val="14"/>
              </w:rPr>
              <w:t>0</w:t>
            </w:r>
          </w:p>
        </w:tc>
        <w:tc>
          <w:tcPr>
            <w:tcW w:w="1293" w:type="dxa"/>
          </w:tcPr>
          <w:p>
            <w:pPr>
              <w:pStyle w:val="TableParagraph"/>
              <w:ind w:left="388"/>
              <w:rPr>
                <w:sz w:val="14"/>
              </w:rPr>
            </w:pPr>
            <w:r>
              <w:rPr>
                <w:color w:val="231F20"/>
                <w:w w:val="112"/>
                <w:sz w:val="14"/>
              </w:rPr>
              <w:t>0</w:t>
            </w:r>
          </w:p>
        </w:tc>
        <w:tc>
          <w:tcPr>
            <w:tcW w:w="1252" w:type="dxa"/>
          </w:tcPr>
          <w:p>
            <w:pPr>
              <w:pStyle w:val="TableParagraph"/>
              <w:ind w:left="325"/>
              <w:rPr>
                <w:sz w:val="14"/>
              </w:rPr>
            </w:pPr>
            <w:r>
              <w:rPr>
                <w:color w:val="231F20"/>
                <w:w w:val="115"/>
                <w:sz w:val="14"/>
              </w:rPr>
              <w:t>1</w:t>
            </w:r>
            <w:r>
              <w:rPr>
                <w:color w:val="231F20"/>
                <w:w w:val="115"/>
                <w:sz w:val="14"/>
                <w:vertAlign w:val="superscript"/>
              </w:rPr>
              <w:t>b</w:t>
            </w:r>
            <w:r>
              <w:rPr>
                <w:color w:val="231F20"/>
                <w:w w:val="115"/>
                <w:sz w:val="14"/>
                <w:vertAlign w:val="baseline"/>
              </w:rPr>
              <w:t>(3.7%)</w:t>
            </w:r>
          </w:p>
        </w:tc>
        <w:tc>
          <w:tcPr>
            <w:tcW w:w="1283" w:type="dxa"/>
            <w:tcBorders>
              <w:right w:val="single" w:sz="6" w:space="0" w:color="231F20"/>
            </w:tcBorders>
          </w:tcPr>
          <w:p>
            <w:pPr>
              <w:pStyle w:val="TableParagraph"/>
              <w:ind w:left="287"/>
              <w:rPr>
                <w:sz w:val="14"/>
              </w:rPr>
            </w:pPr>
            <w:r>
              <w:rPr>
                <w:color w:val="231F20"/>
                <w:w w:val="112"/>
                <w:sz w:val="14"/>
              </w:rPr>
              <w:t>0</w:t>
            </w:r>
          </w:p>
        </w:tc>
      </w:tr>
      <w:tr>
        <w:trPr>
          <w:trHeight w:val="265" w:hRule="atLeast"/>
        </w:trPr>
        <w:tc>
          <w:tcPr>
            <w:tcW w:w="3729" w:type="dxa"/>
            <w:tcBorders>
              <w:left w:val="single" w:sz="6" w:space="0" w:color="231F20"/>
            </w:tcBorders>
            <w:shd w:val="clear" w:color="auto" w:fill="78C693"/>
          </w:tcPr>
          <w:p>
            <w:pPr>
              <w:pStyle w:val="TableParagraph"/>
              <w:spacing w:before="66"/>
              <w:ind w:left="192"/>
              <w:rPr>
                <w:sz w:val="14"/>
              </w:rPr>
            </w:pPr>
            <w:r>
              <w:rPr>
                <w:color w:val="231F20"/>
                <w:w w:val="125"/>
                <w:sz w:val="14"/>
              </w:rPr>
              <w:t>AEs at least possibly related to SMV</w:t>
            </w:r>
          </w:p>
        </w:tc>
        <w:tc>
          <w:tcPr>
            <w:tcW w:w="1336" w:type="dxa"/>
            <w:shd w:val="clear" w:color="auto" w:fill="78C693"/>
          </w:tcPr>
          <w:p>
            <w:pPr>
              <w:pStyle w:val="TableParagraph"/>
              <w:spacing w:before="0"/>
              <w:rPr>
                <w:rFonts w:ascii="Times New Roman"/>
                <w:sz w:val="16"/>
              </w:rPr>
            </w:pPr>
          </w:p>
        </w:tc>
        <w:tc>
          <w:tcPr>
            <w:tcW w:w="1300" w:type="dxa"/>
            <w:shd w:val="clear" w:color="auto" w:fill="78C693"/>
          </w:tcPr>
          <w:p>
            <w:pPr>
              <w:pStyle w:val="TableParagraph"/>
              <w:spacing w:before="0"/>
              <w:rPr>
                <w:rFonts w:ascii="Times New Roman"/>
                <w:sz w:val="16"/>
              </w:rPr>
            </w:pPr>
          </w:p>
        </w:tc>
        <w:tc>
          <w:tcPr>
            <w:tcW w:w="1293" w:type="dxa"/>
            <w:shd w:val="clear" w:color="auto" w:fill="78C693"/>
          </w:tcPr>
          <w:p>
            <w:pPr>
              <w:pStyle w:val="TableParagraph"/>
              <w:spacing w:before="0"/>
              <w:rPr>
                <w:rFonts w:ascii="Times New Roman"/>
                <w:sz w:val="16"/>
              </w:rPr>
            </w:pPr>
          </w:p>
        </w:tc>
        <w:tc>
          <w:tcPr>
            <w:tcW w:w="1252" w:type="dxa"/>
            <w:shd w:val="clear" w:color="auto" w:fill="78C693"/>
          </w:tcPr>
          <w:p>
            <w:pPr>
              <w:pStyle w:val="TableParagraph"/>
              <w:spacing w:before="0"/>
              <w:rPr>
                <w:rFonts w:ascii="Times New Roman"/>
                <w:sz w:val="16"/>
              </w:rPr>
            </w:pPr>
          </w:p>
        </w:tc>
        <w:tc>
          <w:tcPr>
            <w:tcW w:w="1283" w:type="dxa"/>
            <w:tcBorders>
              <w:right w:val="single" w:sz="6" w:space="0" w:color="231F20"/>
            </w:tcBorders>
            <w:shd w:val="clear" w:color="auto" w:fill="78C693"/>
          </w:tcPr>
          <w:p>
            <w:pPr>
              <w:pStyle w:val="TableParagraph"/>
              <w:spacing w:before="0"/>
              <w:rPr>
                <w:rFonts w:ascii="Times New Roman"/>
                <w:sz w:val="16"/>
              </w:rPr>
            </w:pPr>
          </w:p>
        </w:tc>
      </w:tr>
      <w:tr>
        <w:trPr>
          <w:trHeight w:val="271" w:hRule="atLeast"/>
        </w:trPr>
        <w:tc>
          <w:tcPr>
            <w:tcW w:w="3729" w:type="dxa"/>
            <w:tcBorders>
              <w:left w:val="single" w:sz="6" w:space="0" w:color="231F20"/>
            </w:tcBorders>
            <w:shd w:val="clear" w:color="auto" w:fill="78C693"/>
          </w:tcPr>
          <w:p>
            <w:pPr>
              <w:pStyle w:val="TableParagraph"/>
              <w:tabs>
                <w:tab w:pos="2627" w:val="left" w:leader="none"/>
              </w:tabs>
              <w:spacing w:before="38"/>
              <w:ind w:left="351"/>
              <w:rPr>
                <w:sz w:val="14"/>
              </w:rPr>
            </w:pPr>
            <w:r>
              <w:rPr>
                <w:color w:val="231F20"/>
                <w:w w:val="125"/>
                <w:sz w:val="14"/>
              </w:rPr>
              <w:t>≥1 AE (all grades),</w:t>
            </w:r>
            <w:r>
              <w:rPr>
                <w:color w:val="231F20"/>
                <w:spacing w:val="18"/>
                <w:w w:val="125"/>
                <w:sz w:val="14"/>
              </w:rPr>
              <w:t> </w:t>
            </w:r>
            <w:r>
              <w:rPr>
                <w:rFonts w:ascii="Lucida Sans" w:hAnsi="Lucida Sans"/>
                <w:i/>
                <w:color w:val="231F20"/>
                <w:w w:val="125"/>
                <w:sz w:val="14"/>
              </w:rPr>
              <w:t>n</w:t>
            </w:r>
            <w:r>
              <w:rPr>
                <w:rFonts w:ascii="Lucida Sans" w:hAnsi="Lucida Sans"/>
                <w:i/>
                <w:color w:val="231F20"/>
                <w:spacing w:val="-11"/>
                <w:w w:val="125"/>
                <w:sz w:val="14"/>
              </w:rPr>
              <w:t> </w:t>
            </w:r>
            <w:r>
              <w:rPr>
                <w:color w:val="231F20"/>
                <w:w w:val="125"/>
                <w:sz w:val="14"/>
              </w:rPr>
              <w:t>(%)</w:t>
              <w:tab/>
              <w:t>93</w:t>
            </w:r>
            <w:r>
              <w:rPr>
                <w:color w:val="231F20"/>
                <w:spacing w:val="-5"/>
                <w:w w:val="125"/>
                <w:sz w:val="14"/>
              </w:rPr>
              <w:t> </w:t>
            </w:r>
            <w:r>
              <w:rPr>
                <w:color w:val="231F20"/>
                <w:w w:val="125"/>
                <w:sz w:val="14"/>
              </w:rPr>
              <w:t>(37.1%)</w:t>
            </w:r>
          </w:p>
        </w:tc>
        <w:tc>
          <w:tcPr>
            <w:tcW w:w="1336" w:type="dxa"/>
            <w:shd w:val="clear" w:color="auto" w:fill="78C693"/>
          </w:tcPr>
          <w:p>
            <w:pPr>
              <w:pStyle w:val="TableParagraph"/>
              <w:spacing w:before="40"/>
              <w:ind w:left="310"/>
              <w:rPr>
                <w:sz w:val="14"/>
              </w:rPr>
            </w:pPr>
            <w:r>
              <w:rPr>
                <w:color w:val="231F20"/>
                <w:w w:val="115"/>
                <w:sz w:val="14"/>
              </w:rPr>
              <w:t>67 (44.1%)</w:t>
            </w:r>
          </w:p>
        </w:tc>
        <w:tc>
          <w:tcPr>
            <w:tcW w:w="1300" w:type="dxa"/>
            <w:shd w:val="clear" w:color="auto" w:fill="78C693"/>
          </w:tcPr>
          <w:p>
            <w:pPr>
              <w:pStyle w:val="TableParagraph"/>
              <w:spacing w:before="40"/>
              <w:ind w:left="352"/>
              <w:rPr>
                <w:sz w:val="14"/>
              </w:rPr>
            </w:pPr>
            <w:r>
              <w:rPr>
                <w:color w:val="231F20"/>
                <w:w w:val="115"/>
                <w:sz w:val="14"/>
              </w:rPr>
              <w:t>9 (34.6%)</w:t>
            </w:r>
          </w:p>
        </w:tc>
        <w:tc>
          <w:tcPr>
            <w:tcW w:w="1293" w:type="dxa"/>
            <w:shd w:val="clear" w:color="auto" w:fill="78C693"/>
          </w:tcPr>
          <w:p>
            <w:pPr>
              <w:pStyle w:val="TableParagraph"/>
              <w:spacing w:before="40"/>
              <w:ind w:left="265"/>
              <w:rPr>
                <w:sz w:val="14"/>
              </w:rPr>
            </w:pPr>
            <w:r>
              <w:rPr>
                <w:color w:val="231F20"/>
                <w:w w:val="115"/>
                <w:sz w:val="14"/>
              </w:rPr>
              <w:t>49 (39.8%)</w:t>
            </w:r>
          </w:p>
        </w:tc>
        <w:tc>
          <w:tcPr>
            <w:tcW w:w="1252" w:type="dxa"/>
            <w:shd w:val="clear" w:color="auto" w:fill="78C693"/>
          </w:tcPr>
          <w:p>
            <w:pPr>
              <w:pStyle w:val="TableParagraph"/>
              <w:spacing w:before="40"/>
              <w:ind w:right="258"/>
              <w:jc w:val="right"/>
              <w:rPr>
                <w:sz w:val="14"/>
              </w:rPr>
            </w:pPr>
            <w:r>
              <w:rPr>
                <w:color w:val="231F20"/>
                <w:w w:val="115"/>
                <w:sz w:val="14"/>
              </w:rPr>
              <w:t>11 (40.7%)</w:t>
            </w:r>
          </w:p>
        </w:tc>
        <w:tc>
          <w:tcPr>
            <w:tcW w:w="1283" w:type="dxa"/>
            <w:tcBorders>
              <w:right w:val="single" w:sz="6" w:space="0" w:color="231F20"/>
            </w:tcBorders>
            <w:shd w:val="clear" w:color="auto" w:fill="78C693"/>
          </w:tcPr>
          <w:p>
            <w:pPr>
              <w:pStyle w:val="TableParagraph"/>
              <w:spacing w:before="40"/>
              <w:ind w:left="166"/>
              <w:rPr>
                <w:sz w:val="14"/>
              </w:rPr>
            </w:pPr>
            <w:r>
              <w:rPr>
                <w:color w:val="231F20"/>
                <w:w w:val="115"/>
                <w:sz w:val="14"/>
              </w:rPr>
              <w:t>21 (32.8%)</w:t>
            </w:r>
          </w:p>
        </w:tc>
      </w:tr>
      <w:tr>
        <w:trPr>
          <w:trHeight w:val="296" w:hRule="atLeast"/>
        </w:trPr>
        <w:tc>
          <w:tcPr>
            <w:tcW w:w="3729" w:type="dxa"/>
            <w:tcBorders>
              <w:left w:val="single" w:sz="6" w:space="0" w:color="231F20"/>
            </w:tcBorders>
            <w:shd w:val="clear" w:color="auto" w:fill="78C693"/>
          </w:tcPr>
          <w:p>
            <w:pPr>
              <w:pStyle w:val="TableParagraph"/>
              <w:tabs>
                <w:tab w:pos="2710" w:val="left" w:leader="none"/>
              </w:tabs>
              <w:spacing w:before="67"/>
              <w:ind w:left="351"/>
              <w:rPr>
                <w:sz w:val="14"/>
              </w:rPr>
            </w:pPr>
            <w:r>
              <w:rPr>
                <w:color w:val="231F20"/>
                <w:w w:val="125"/>
                <w:sz w:val="14"/>
              </w:rPr>
              <w:t>≥1 Grade 3/4 AE,</w:t>
            </w:r>
            <w:r>
              <w:rPr>
                <w:color w:val="231F20"/>
                <w:spacing w:val="6"/>
                <w:w w:val="125"/>
                <w:sz w:val="14"/>
              </w:rPr>
              <w:t> </w:t>
            </w:r>
            <w:r>
              <w:rPr>
                <w:rFonts w:ascii="Lucida Sans" w:hAnsi="Lucida Sans"/>
                <w:i/>
                <w:color w:val="231F20"/>
                <w:w w:val="120"/>
                <w:sz w:val="14"/>
              </w:rPr>
              <w:t>n</w:t>
            </w:r>
            <w:r>
              <w:rPr>
                <w:rFonts w:ascii="Lucida Sans" w:hAnsi="Lucida Sans"/>
                <w:i/>
                <w:color w:val="231F20"/>
                <w:spacing w:val="-12"/>
                <w:w w:val="120"/>
                <w:sz w:val="14"/>
              </w:rPr>
              <w:t> </w:t>
            </w:r>
            <w:r>
              <w:rPr>
                <w:color w:val="231F20"/>
                <w:w w:val="125"/>
                <w:sz w:val="14"/>
              </w:rPr>
              <w:t>(%)</w:t>
              <w:tab/>
              <w:t>4</w:t>
            </w:r>
            <w:r>
              <w:rPr>
                <w:color w:val="231F20"/>
                <w:spacing w:val="-3"/>
                <w:w w:val="125"/>
                <w:sz w:val="14"/>
              </w:rPr>
              <w:t> </w:t>
            </w:r>
            <w:r>
              <w:rPr>
                <w:color w:val="231F20"/>
                <w:w w:val="125"/>
                <w:sz w:val="14"/>
              </w:rPr>
              <w:t>(1.6%)</w:t>
            </w:r>
          </w:p>
        </w:tc>
        <w:tc>
          <w:tcPr>
            <w:tcW w:w="1336" w:type="dxa"/>
            <w:shd w:val="clear" w:color="auto" w:fill="78C693"/>
          </w:tcPr>
          <w:p>
            <w:pPr>
              <w:pStyle w:val="TableParagraph"/>
              <w:spacing w:before="69"/>
              <w:ind w:left="394"/>
              <w:rPr>
                <w:sz w:val="14"/>
              </w:rPr>
            </w:pPr>
            <w:r>
              <w:rPr>
                <w:color w:val="231F20"/>
                <w:w w:val="115"/>
                <w:sz w:val="14"/>
              </w:rPr>
              <w:t>2 (1.3%)</w:t>
            </w:r>
          </w:p>
        </w:tc>
        <w:tc>
          <w:tcPr>
            <w:tcW w:w="1300" w:type="dxa"/>
            <w:shd w:val="clear" w:color="auto" w:fill="78C693"/>
          </w:tcPr>
          <w:p>
            <w:pPr>
              <w:pStyle w:val="TableParagraph"/>
              <w:spacing w:before="69"/>
              <w:ind w:left="392"/>
              <w:rPr>
                <w:sz w:val="14"/>
              </w:rPr>
            </w:pPr>
            <w:r>
              <w:rPr>
                <w:color w:val="231F20"/>
                <w:w w:val="112"/>
                <w:sz w:val="14"/>
              </w:rPr>
              <w:t>0</w:t>
            </w:r>
          </w:p>
        </w:tc>
        <w:tc>
          <w:tcPr>
            <w:tcW w:w="1293" w:type="dxa"/>
            <w:shd w:val="clear" w:color="auto" w:fill="78C693"/>
          </w:tcPr>
          <w:p>
            <w:pPr>
              <w:pStyle w:val="TableParagraph"/>
              <w:spacing w:before="69"/>
              <w:ind w:left="348"/>
              <w:rPr>
                <w:sz w:val="14"/>
              </w:rPr>
            </w:pPr>
            <w:r>
              <w:rPr>
                <w:color w:val="231F20"/>
                <w:w w:val="115"/>
                <w:sz w:val="14"/>
              </w:rPr>
              <w:t>1 (0.8%)</w:t>
            </w:r>
          </w:p>
        </w:tc>
        <w:tc>
          <w:tcPr>
            <w:tcW w:w="1252" w:type="dxa"/>
            <w:shd w:val="clear" w:color="auto" w:fill="78C693"/>
          </w:tcPr>
          <w:p>
            <w:pPr>
              <w:pStyle w:val="TableParagraph"/>
              <w:spacing w:before="69"/>
              <w:ind w:left="391"/>
              <w:rPr>
                <w:sz w:val="14"/>
              </w:rPr>
            </w:pPr>
            <w:r>
              <w:rPr>
                <w:color w:val="231F20"/>
                <w:w w:val="112"/>
                <w:sz w:val="14"/>
              </w:rPr>
              <w:t>0</w:t>
            </w:r>
          </w:p>
        </w:tc>
        <w:tc>
          <w:tcPr>
            <w:tcW w:w="1283" w:type="dxa"/>
            <w:tcBorders>
              <w:right w:val="single" w:sz="6" w:space="0" w:color="231F20"/>
            </w:tcBorders>
            <w:shd w:val="clear" w:color="auto" w:fill="78C693"/>
          </w:tcPr>
          <w:p>
            <w:pPr>
              <w:pStyle w:val="TableParagraph"/>
              <w:spacing w:before="69"/>
              <w:ind w:left="288"/>
              <w:rPr>
                <w:sz w:val="14"/>
              </w:rPr>
            </w:pPr>
            <w:r>
              <w:rPr>
                <w:color w:val="231F20"/>
                <w:w w:val="112"/>
                <w:sz w:val="14"/>
              </w:rPr>
              <w:t>0</w:t>
            </w:r>
          </w:p>
        </w:tc>
      </w:tr>
      <w:tr>
        <w:trPr>
          <w:trHeight w:val="303" w:hRule="atLeast"/>
        </w:trPr>
        <w:tc>
          <w:tcPr>
            <w:tcW w:w="3729" w:type="dxa"/>
            <w:tcBorders>
              <w:left w:val="single" w:sz="6" w:space="0" w:color="231F20"/>
              <w:bottom w:val="single" w:sz="6" w:space="0" w:color="231F20"/>
            </w:tcBorders>
            <w:shd w:val="clear" w:color="auto" w:fill="78C693"/>
          </w:tcPr>
          <w:p>
            <w:pPr>
              <w:pStyle w:val="TableParagraph"/>
              <w:tabs>
                <w:tab w:pos="2682" w:val="left" w:leader="none"/>
              </w:tabs>
              <w:spacing w:before="70"/>
              <w:ind w:left="351"/>
              <w:rPr>
                <w:sz w:val="14"/>
              </w:rPr>
            </w:pPr>
            <w:r>
              <w:rPr>
                <w:color w:val="231F20"/>
                <w:w w:val="125"/>
                <w:sz w:val="14"/>
              </w:rPr>
              <w:t>≥1 SAE, </w:t>
            </w:r>
            <w:r>
              <w:rPr>
                <w:rFonts w:ascii="Lucida Sans" w:hAnsi="Lucida Sans"/>
                <w:i/>
                <w:color w:val="231F20"/>
                <w:w w:val="125"/>
                <w:sz w:val="14"/>
              </w:rPr>
              <w:t>n</w:t>
            </w:r>
            <w:r>
              <w:rPr>
                <w:rFonts w:ascii="Lucida Sans" w:hAnsi="Lucida Sans"/>
                <w:i/>
                <w:color w:val="231F20"/>
                <w:spacing w:val="-16"/>
                <w:w w:val="125"/>
                <w:sz w:val="14"/>
              </w:rPr>
              <w:t> </w:t>
            </w:r>
            <w:r>
              <w:rPr>
                <w:color w:val="231F20"/>
                <w:w w:val="125"/>
                <w:sz w:val="14"/>
              </w:rPr>
              <w:t>(%)</w:t>
              <w:tab/>
              <w:t>1</w:t>
            </w:r>
            <w:r>
              <w:rPr>
                <w:color w:val="231F20"/>
                <w:w w:val="125"/>
                <w:sz w:val="14"/>
                <w:vertAlign w:val="superscript"/>
              </w:rPr>
              <w:t>d</w:t>
            </w:r>
            <w:r>
              <w:rPr>
                <w:color w:val="231F20"/>
                <w:w w:val="125"/>
                <w:sz w:val="14"/>
                <w:vertAlign w:val="baseline"/>
              </w:rPr>
              <w:t>(0.4%)</w:t>
            </w:r>
          </w:p>
        </w:tc>
        <w:tc>
          <w:tcPr>
            <w:tcW w:w="1336" w:type="dxa"/>
            <w:tcBorders>
              <w:bottom w:val="single" w:sz="6" w:space="0" w:color="231F20"/>
            </w:tcBorders>
            <w:shd w:val="clear" w:color="auto" w:fill="78C693"/>
          </w:tcPr>
          <w:p>
            <w:pPr>
              <w:pStyle w:val="TableParagraph"/>
              <w:spacing w:before="72"/>
              <w:ind w:left="433"/>
              <w:rPr>
                <w:sz w:val="14"/>
              </w:rPr>
            </w:pPr>
            <w:r>
              <w:rPr>
                <w:color w:val="231F20"/>
                <w:w w:val="112"/>
                <w:sz w:val="14"/>
              </w:rPr>
              <w:t>0</w:t>
            </w:r>
          </w:p>
        </w:tc>
        <w:tc>
          <w:tcPr>
            <w:tcW w:w="1300" w:type="dxa"/>
            <w:tcBorders>
              <w:bottom w:val="single" w:sz="6" w:space="0" w:color="231F20"/>
            </w:tcBorders>
            <w:shd w:val="clear" w:color="auto" w:fill="78C693"/>
          </w:tcPr>
          <w:p>
            <w:pPr>
              <w:pStyle w:val="TableParagraph"/>
              <w:spacing w:before="72"/>
              <w:ind w:left="392"/>
              <w:rPr>
                <w:sz w:val="14"/>
              </w:rPr>
            </w:pPr>
            <w:r>
              <w:rPr>
                <w:color w:val="231F20"/>
                <w:w w:val="112"/>
                <w:sz w:val="14"/>
              </w:rPr>
              <w:t>0</w:t>
            </w:r>
          </w:p>
        </w:tc>
        <w:tc>
          <w:tcPr>
            <w:tcW w:w="1293" w:type="dxa"/>
            <w:tcBorders>
              <w:bottom w:val="single" w:sz="6" w:space="0" w:color="231F20"/>
            </w:tcBorders>
            <w:shd w:val="clear" w:color="auto" w:fill="78C693"/>
          </w:tcPr>
          <w:p>
            <w:pPr>
              <w:pStyle w:val="TableParagraph"/>
              <w:spacing w:before="72"/>
              <w:ind w:left="388"/>
              <w:rPr>
                <w:sz w:val="14"/>
              </w:rPr>
            </w:pPr>
            <w:r>
              <w:rPr>
                <w:color w:val="231F20"/>
                <w:w w:val="112"/>
                <w:sz w:val="14"/>
              </w:rPr>
              <w:t>0</w:t>
            </w:r>
          </w:p>
        </w:tc>
        <w:tc>
          <w:tcPr>
            <w:tcW w:w="1252" w:type="dxa"/>
            <w:tcBorders>
              <w:bottom w:val="single" w:sz="6" w:space="0" w:color="231F20"/>
            </w:tcBorders>
            <w:shd w:val="clear" w:color="auto" w:fill="78C693"/>
          </w:tcPr>
          <w:p>
            <w:pPr>
              <w:pStyle w:val="TableParagraph"/>
              <w:spacing w:before="72"/>
              <w:ind w:left="391"/>
              <w:rPr>
                <w:sz w:val="14"/>
              </w:rPr>
            </w:pPr>
            <w:r>
              <w:rPr>
                <w:color w:val="231F20"/>
                <w:w w:val="112"/>
                <w:sz w:val="14"/>
              </w:rPr>
              <w:t>0</w:t>
            </w:r>
          </w:p>
        </w:tc>
        <w:tc>
          <w:tcPr>
            <w:tcW w:w="1283" w:type="dxa"/>
            <w:tcBorders>
              <w:bottom w:val="single" w:sz="6" w:space="0" w:color="231F20"/>
              <w:right w:val="single" w:sz="6" w:space="0" w:color="231F20"/>
            </w:tcBorders>
            <w:shd w:val="clear" w:color="auto" w:fill="78C693"/>
          </w:tcPr>
          <w:p>
            <w:pPr>
              <w:pStyle w:val="TableParagraph"/>
              <w:spacing w:before="72"/>
              <w:ind w:left="232"/>
              <w:rPr>
                <w:sz w:val="14"/>
              </w:rPr>
            </w:pPr>
            <w:r>
              <w:rPr>
                <w:color w:val="231F20"/>
                <w:w w:val="115"/>
                <w:sz w:val="14"/>
              </w:rPr>
              <w:t>1</w:t>
            </w:r>
            <w:r>
              <w:rPr>
                <w:color w:val="231F20"/>
                <w:w w:val="115"/>
                <w:sz w:val="14"/>
                <w:vertAlign w:val="superscript"/>
              </w:rPr>
              <w:t>e</w:t>
            </w:r>
            <w:r>
              <w:rPr>
                <w:color w:val="231F20"/>
                <w:w w:val="115"/>
                <w:sz w:val="14"/>
                <w:vertAlign w:val="baseline"/>
              </w:rPr>
              <w:t>(1.6%)</w:t>
            </w:r>
          </w:p>
        </w:tc>
      </w:tr>
    </w:tbl>
    <w:p>
      <w:pPr>
        <w:spacing w:line="247" w:lineRule="auto" w:before="58"/>
        <w:ind w:left="289" w:right="395" w:firstLine="0"/>
        <w:jc w:val="both"/>
        <w:rPr>
          <w:rFonts w:ascii="Calibri" w:hAnsi="Calibri"/>
          <w:sz w:val="15"/>
        </w:rPr>
      </w:pPr>
      <w:r>
        <w:rPr>
          <w:rFonts w:ascii="Calibri" w:hAnsi="Calibri"/>
          <w:color w:val="231F20"/>
          <w:w w:val="105"/>
          <w:sz w:val="15"/>
        </w:rPr>
        <w:t>AE, adverse event; AHD, antihypertensive drug; AXD, anxiolytic drug; LLD, lipid-lowering drug; </w:t>
      </w:r>
      <w:r>
        <w:rPr>
          <w:rFonts w:ascii="Cambria" w:hAnsi="Cambria"/>
          <w:i/>
          <w:color w:val="231F20"/>
          <w:w w:val="105"/>
          <w:sz w:val="15"/>
        </w:rPr>
        <w:t>n</w:t>
      </w:r>
      <w:r>
        <w:rPr>
          <w:rFonts w:ascii="Calibri" w:hAnsi="Calibri"/>
          <w:color w:val="231F20"/>
          <w:w w:val="105"/>
          <w:sz w:val="15"/>
        </w:rPr>
        <w:t>, number of patients; SAE, serious adverse event </w:t>
      </w:r>
      <w:r>
        <w:rPr>
          <w:rFonts w:ascii="Calibri" w:hAnsi="Calibri"/>
          <w:color w:val="231F20"/>
          <w:w w:val="105"/>
          <w:position w:val="7"/>
          <w:sz w:val="10"/>
        </w:rPr>
        <w:t>a</w:t>
      </w:r>
      <w:r>
        <w:rPr>
          <w:rFonts w:ascii="Calibri" w:hAnsi="Calibri"/>
          <w:color w:val="231F20"/>
          <w:w w:val="105"/>
          <w:sz w:val="15"/>
        </w:rPr>
        <w:t>Reasons for discontinuation: hyperbilirubinaemia Grade 4 (possibly related; recovered), sepsis (not related; recovered), road traf</w:t>
      </w:r>
      <w:r>
        <w:rPr>
          <w:rFonts w:ascii="Arial" w:hAnsi="Arial"/>
          <w:color w:val="231F20"/>
          <w:w w:val="105"/>
          <w:sz w:val="15"/>
        </w:rPr>
        <w:t>ﬁ</w:t>
      </w:r>
      <w:r>
        <w:rPr>
          <w:rFonts w:ascii="Calibri" w:hAnsi="Calibri"/>
          <w:color w:val="231F20"/>
          <w:w w:val="105"/>
          <w:sz w:val="15"/>
        </w:rPr>
        <w:t>c accident (not related; death)</w:t>
      </w:r>
    </w:p>
    <w:p>
      <w:pPr>
        <w:spacing w:line="192" w:lineRule="exact" w:before="0"/>
        <w:ind w:left="289" w:right="0" w:firstLine="0"/>
        <w:jc w:val="both"/>
        <w:rPr>
          <w:rFonts w:ascii="Calibri" w:hAnsi="Calibri"/>
          <w:sz w:val="15"/>
        </w:rPr>
      </w:pPr>
      <w:r>
        <w:rPr>
          <w:rFonts w:ascii="Calibri" w:hAnsi="Calibri"/>
          <w:color w:val="231F20"/>
          <w:w w:val="105"/>
          <w:position w:val="7"/>
          <w:sz w:val="10"/>
        </w:rPr>
        <w:t>b</w:t>
      </w:r>
      <w:r>
        <w:rPr>
          <w:rFonts w:ascii="Calibri" w:hAnsi="Calibri"/>
          <w:color w:val="231F20"/>
          <w:w w:val="105"/>
          <w:sz w:val="15"/>
        </w:rPr>
        <w:t>Reason for discontinuation: sepsis (not related; recovered) </w:t>
      </w:r>
      <w:r>
        <w:rPr>
          <w:rFonts w:ascii="Arial" w:hAnsi="Arial"/>
          <w:color w:val="231F20"/>
          <w:w w:val="105"/>
          <w:sz w:val="15"/>
        </w:rPr>
        <w:t>– </w:t>
      </w:r>
      <w:r>
        <w:rPr>
          <w:rFonts w:ascii="Calibri" w:hAnsi="Calibri"/>
          <w:color w:val="231F20"/>
          <w:w w:val="105"/>
          <w:sz w:val="15"/>
        </w:rPr>
        <w:t>same patient as in green AHD group</w:t>
      </w:r>
    </w:p>
    <w:p>
      <w:pPr>
        <w:spacing w:line="200" w:lineRule="exact" w:before="0"/>
        <w:ind w:left="289" w:right="0" w:firstLine="0"/>
        <w:jc w:val="both"/>
        <w:rPr>
          <w:rFonts w:ascii="Calibri"/>
          <w:sz w:val="15"/>
        </w:rPr>
      </w:pPr>
      <w:r>
        <w:rPr>
          <w:rFonts w:ascii="Calibri"/>
          <w:color w:val="231F20"/>
          <w:w w:val="105"/>
          <w:position w:val="7"/>
          <w:sz w:val="10"/>
        </w:rPr>
        <w:t>c</w:t>
      </w:r>
      <w:r>
        <w:rPr>
          <w:rFonts w:ascii="Calibri"/>
          <w:color w:val="231F20"/>
          <w:w w:val="105"/>
          <w:sz w:val="15"/>
        </w:rPr>
        <w:t>Reason for discontinuation: rash Grade 2/3 (probably related; recovered)</w:t>
      </w:r>
    </w:p>
    <w:p>
      <w:pPr>
        <w:spacing w:line="200" w:lineRule="exact" w:before="0"/>
        <w:ind w:left="289" w:right="0" w:firstLine="0"/>
        <w:jc w:val="both"/>
        <w:rPr>
          <w:rFonts w:ascii="Calibri"/>
          <w:sz w:val="15"/>
        </w:rPr>
      </w:pPr>
      <w:r>
        <w:rPr>
          <w:rFonts w:ascii="Calibri"/>
          <w:color w:val="231F20"/>
          <w:w w:val="105"/>
          <w:position w:val="7"/>
          <w:sz w:val="10"/>
        </w:rPr>
        <w:t>d</w:t>
      </w:r>
      <w:r>
        <w:rPr>
          <w:rFonts w:ascii="Calibri"/>
          <w:color w:val="231F20"/>
          <w:w w:val="105"/>
          <w:sz w:val="15"/>
        </w:rPr>
        <w:t>Anaemia Grade 3 and hyperbilirubinaemia Grade 4 (possibly related to SMV therapy; recovered/resolved)</w:t>
      </w:r>
    </w:p>
    <w:p>
      <w:pPr>
        <w:spacing w:line="203" w:lineRule="exact" w:before="0"/>
        <w:ind w:left="289" w:right="0" w:firstLine="0"/>
        <w:jc w:val="both"/>
        <w:rPr>
          <w:rFonts w:ascii="Calibri"/>
          <w:sz w:val="15"/>
        </w:rPr>
      </w:pPr>
      <w:r>
        <w:rPr>
          <w:rFonts w:ascii="Calibri"/>
          <w:color w:val="231F20"/>
          <w:w w:val="105"/>
          <w:position w:val="7"/>
          <w:sz w:val="10"/>
        </w:rPr>
        <w:t>e</w:t>
      </w:r>
      <w:r>
        <w:rPr>
          <w:rFonts w:ascii="Calibri"/>
          <w:color w:val="231F20"/>
          <w:w w:val="105"/>
          <w:sz w:val="15"/>
        </w:rPr>
        <w:t>Photosensitivity reaction Grade 1 (possibly related to SMV therapy; recovered/resolved)</w:t>
      </w:r>
    </w:p>
    <w:p>
      <w:pPr>
        <w:pStyle w:val="BodyText"/>
        <w:spacing w:before="10"/>
        <w:ind w:left="0"/>
        <w:rPr>
          <w:rFonts w:ascii="Calibri"/>
          <w:sz w:val="22"/>
        </w:rPr>
      </w:pPr>
    </w:p>
    <w:p>
      <w:pPr>
        <w:spacing w:after="0"/>
        <w:rPr>
          <w:rFonts w:ascii="Calibri"/>
          <w:sz w:val="22"/>
        </w:rPr>
        <w:sectPr>
          <w:pgSz w:w="11880" w:h="15670"/>
          <w:pgMar w:header="462" w:footer="669" w:top="980" w:bottom="860" w:left="740" w:right="720"/>
        </w:sectPr>
      </w:pPr>
    </w:p>
    <w:p>
      <w:pPr>
        <w:pStyle w:val="BodyText"/>
        <w:spacing w:line="230" w:lineRule="auto" w:before="89"/>
        <w:ind w:right="38"/>
        <w:jc w:val="both"/>
      </w:pPr>
      <w:r>
        <w:rPr>
          <w:color w:val="231F20"/>
          <w:w w:val="105"/>
        </w:rPr>
        <w:t>medication in these studies resembles routine clinical prac- tice. In addition, the observational study contributed a sub- stantial proportion of the study population, re</w:t>
      </w:r>
      <w:r>
        <w:rPr>
          <w:rFonts w:ascii="Times New Roman" w:hAnsi="Times New Roman"/>
          <w:color w:val="231F20"/>
          <w:w w:val="105"/>
        </w:rPr>
        <w:t>ﬂ</w:t>
      </w:r>
      <w:r>
        <w:rPr>
          <w:color w:val="231F20"/>
          <w:w w:val="105"/>
        </w:rPr>
        <w:t>ecting common clinical practice. Investigators in the observational study were obliged to record changes in a participant</w:t>
      </w:r>
      <w:r>
        <w:rPr>
          <w:rFonts w:ascii="Lucida Sans" w:hAnsi="Lucida Sans"/>
          <w:color w:val="231F20"/>
          <w:w w:val="105"/>
        </w:rPr>
        <w:t>’</w:t>
      </w:r>
      <w:r>
        <w:rPr>
          <w:color w:val="231F20"/>
          <w:w w:val="105"/>
        </w:rPr>
        <w:t>s con- comitant medications. Moreover, monitoring and source data veri</w:t>
      </w:r>
      <w:r>
        <w:rPr>
          <w:rFonts w:ascii="Times New Roman" w:hAnsi="Times New Roman"/>
          <w:color w:val="231F20"/>
          <w:w w:val="105"/>
        </w:rPr>
        <w:t>ﬁ</w:t>
      </w:r>
      <w:r>
        <w:rPr>
          <w:color w:val="231F20"/>
          <w:w w:val="105"/>
        </w:rPr>
        <w:t>cation took place in the observational </w:t>
      </w:r>
      <w:r>
        <w:rPr>
          <w:color w:val="231F20"/>
          <w:spacing w:val="-4"/>
          <w:w w:val="105"/>
        </w:rPr>
        <w:t>study, </w:t>
      </w:r>
      <w:r>
        <w:rPr>
          <w:color w:val="231F20"/>
          <w:w w:val="105"/>
        </w:rPr>
        <w:t>and dose changes possibly related to DDI management were most likely reported. This was con</w:t>
      </w:r>
      <w:r>
        <w:rPr>
          <w:rFonts w:ascii="Times New Roman" w:hAnsi="Times New Roman"/>
          <w:color w:val="231F20"/>
          <w:w w:val="105"/>
        </w:rPr>
        <w:t>ﬁ</w:t>
      </w:r>
      <w:r>
        <w:rPr>
          <w:color w:val="231F20"/>
          <w:w w:val="105"/>
        </w:rPr>
        <w:t>rmed by an additional analysis separating the data from  the  clinical  trials,  and  the observational study revealing similar low rates of DDI management incidence during  the  treatment  period  in both</w:t>
      </w:r>
      <w:r>
        <w:rPr>
          <w:color w:val="231F20"/>
          <w:spacing w:val="20"/>
          <w:w w:val="105"/>
        </w:rPr>
        <w:t> </w:t>
      </w:r>
      <w:r>
        <w:rPr>
          <w:color w:val="231F20"/>
          <w:w w:val="105"/>
        </w:rPr>
        <w:t>settings.</w:t>
      </w:r>
    </w:p>
    <w:p>
      <w:pPr>
        <w:pStyle w:val="BodyText"/>
        <w:spacing w:line="230" w:lineRule="auto"/>
        <w:ind w:right="38" w:firstLine="280"/>
        <w:jc w:val="both"/>
      </w:pPr>
      <w:r>
        <w:rPr>
          <w:color w:val="231F20"/>
          <w:w w:val="105"/>
        </w:rPr>
        <w:t>Most patients remained on their original CMOI without dose change or interruption during SMV treatment. In addi- tion, only small differences in CMOI management between green and amber drugs were observed. As green CMOIs are not known to interact with SMV, this indicates that SMV treatment</w:t>
      </w:r>
      <w:r>
        <w:rPr>
          <w:color w:val="231F20"/>
          <w:spacing w:val="-12"/>
          <w:w w:val="105"/>
        </w:rPr>
        <w:t> </w:t>
      </w:r>
      <w:r>
        <w:rPr>
          <w:color w:val="231F20"/>
          <w:w w:val="105"/>
        </w:rPr>
        <w:t>in</w:t>
      </w:r>
      <w:r>
        <w:rPr>
          <w:color w:val="231F20"/>
          <w:spacing w:val="-11"/>
          <w:w w:val="105"/>
        </w:rPr>
        <w:t> </w:t>
      </w:r>
      <w:r>
        <w:rPr>
          <w:color w:val="231F20"/>
          <w:w w:val="105"/>
        </w:rPr>
        <w:t>the</w:t>
      </w:r>
      <w:r>
        <w:rPr>
          <w:color w:val="231F20"/>
          <w:spacing w:val="-11"/>
          <w:w w:val="105"/>
        </w:rPr>
        <w:t> </w:t>
      </w:r>
      <w:r>
        <w:rPr>
          <w:color w:val="231F20"/>
          <w:w w:val="105"/>
        </w:rPr>
        <w:t>presence</w:t>
      </w:r>
      <w:r>
        <w:rPr>
          <w:color w:val="231F20"/>
          <w:spacing w:val="-11"/>
          <w:w w:val="105"/>
        </w:rPr>
        <w:t> </w:t>
      </w:r>
      <w:r>
        <w:rPr>
          <w:color w:val="231F20"/>
          <w:w w:val="105"/>
        </w:rPr>
        <w:t>of</w:t>
      </w:r>
      <w:r>
        <w:rPr>
          <w:color w:val="231F20"/>
          <w:spacing w:val="-11"/>
          <w:w w:val="105"/>
        </w:rPr>
        <w:t> </w:t>
      </w:r>
      <w:r>
        <w:rPr>
          <w:color w:val="231F20"/>
          <w:w w:val="105"/>
        </w:rPr>
        <w:t>amber</w:t>
      </w:r>
      <w:r>
        <w:rPr>
          <w:color w:val="231F20"/>
          <w:spacing w:val="-11"/>
          <w:w w:val="105"/>
        </w:rPr>
        <w:t> </w:t>
      </w:r>
      <w:r>
        <w:rPr>
          <w:color w:val="231F20"/>
          <w:w w:val="105"/>
        </w:rPr>
        <w:t>CMOIs</w:t>
      </w:r>
      <w:r>
        <w:rPr>
          <w:color w:val="231F20"/>
          <w:spacing w:val="-12"/>
          <w:w w:val="105"/>
        </w:rPr>
        <w:t> </w:t>
      </w:r>
      <w:r>
        <w:rPr>
          <w:color w:val="231F20"/>
          <w:w w:val="105"/>
        </w:rPr>
        <w:t>with</w:t>
      </w:r>
      <w:r>
        <w:rPr>
          <w:color w:val="231F20"/>
          <w:spacing w:val="-11"/>
          <w:w w:val="105"/>
        </w:rPr>
        <w:t> </w:t>
      </w:r>
      <w:r>
        <w:rPr>
          <w:color w:val="231F20"/>
          <w:w w:val="105"/>
        </w:rPr>
        <w:t>known</w:t>
      </w:r>
      <w:r>
        <w:rPr>
          <w:color w:val="231F20"/>
          <w:spacing w:val="-11"/>
          <w:w w:val="105"/>
        </w:rPr>
        <w:t> </w:t>
      </w:r>
      <w:r>
        <w:rPr>
          <w:color w:val="231F20"/>
          <w:w w:val="105"/>
        </w:rPr>
        <w:t>or</w:t>
      </w:r>
      <w:r>
        <w:rPr>
          <w:color w:val="231F20"/>
          <w:spacing w:val="-11"/>
          <w:w w:val="105"/>
        </w:rPr>
        <w:t> </w:t>
      </w:r>
      <w:r>
        <w:rPr>
          <w:color w:val="231F20"/>
          <w:w w:val="105"/>
        </w:rPr>
        <w:t>po- tential</w:t>
      </w:r>
      <w:r>
        <w:rPr>
          <w:color w:val="231F20"/>
          <w:spacing w:val="-9"/>
          <w:w w:val="105"/>
        </w:rPr>
        <w:t> </w:t>
      </w:r>
      <w:r>
        <w:rPr>
          <w:color w:val="231F20"/>
          <w:w w:val="105"/>
        </w:rPr>
        <w:t>PK</w:t>
      </w:r>
      <w:r>
        <w:rPr>
          <w:color w:val="231F20"/>
          <w:spacing w:val="-8"/>
          <w:w w:val="105"/>
        </w:rPr>
        <w:t> </w:t>
      </w:r>
      <w:r>
        <w:rPr>
          <w:color w:val="231F20"/>
          <w:w w:val="105"/>
        </w:rPr>
        <w:t>interactions</w:t>
      </w:r>
      <w:r>
        <w:rPr>
          <w:color w:val="231F20"/>
          <w:spacing w:val="-9"/>
          <w:w w:val="105"/>
        </w:rPr>
        <w:t> </w:t>
      </w:r>
      <w:r>
        <w:rPr>
          <w:color w:val="231F20"/>
          <w:w w:val="105"/>
        </w:rPr>
        <w:t>is</w:t>
      </w:r>
      <w:r>
        <w:rPr>
          <w:color w:val="231F20"/>
          <w:spacing w:val="-8"/>
          <w:w w:val="105"/>
        </w:rPr>
        <w:t> </w:t>
      </w:r>
      <w:r>
        <w:rPr>
          <w:color w:val="231F20"/>
          <w:w w:val="105"/>
        </w:rPr>
        <w:t>manageable</w:t>
      </w:r>
      <w:r>
        <w:rPr>
          <w:color w:val="231F20"/>
          <w:spacing w:val="-9"/>
          <w:w w:val="105"/>
        </w:rPr>
        <w:t> </w:t>
      </w:r>
      <w:r>
        <w:rPr>
          <w:color w:val="231F20"/>
          <w:w w:val="105"/>
        </w:rPr>
        <w:t>with</w:t>
      </w:r>
      <w:r>
        <w:rPr>
          <w:color w:val="231F20"/>
          <w:spacing w:val="-9"/>
          <w:w w:val="105"/>
        </w:rPr>
        <w:t> </w:t>
      </w:r>
      <w:r>
        <w:rPr>
          <w:color w:val="231F20"/>
          <w:w w:val="105"/>
        </w:rPr>
        <w:t>few</w:t>
      </w:r>
      <w:r>
        <w:rPr>
          <w:color w:val="231F20"/>
          <w:spacing w:val="-9"/>
          <w:w w:val="105"/>
        </w:rPr>
        <w:t> </w:t>
      </w:r>
      <w:r>
        <w:rPr>
          <w:color w:val="231F20"/>
          <w:w w:val="105"/>
        </w:rPr>
        <w:t>adaptations.</w:t>
      </w:r>
      <w:r>
        <w:rPr>
          <w:color w:val="231F20"/>
          <w:spacing w:val="-8"/>
          <w:w w:val="105"/>
        </w:rPr>
        <w:t> </w:t>
      </w:r>
      <w:r>
        <w:rPr>
          <w:color w:val="231F20"/>
          <w:w w:val="105"/>
        </w:rPr>
        <w:t>If dose changes or discontinuations were considered necessary, they were to similar degrees implemented during screening and during SMV treatment, except for changes of amber LLDs.</w:t>
      </w:r>
      <w:r>
        <w:rPr>
          <w:color w:val="231F20"/>
          <w:spacing w:val="-7"/>
          <w:w w:val="105"/>
        </w:rPr>
        <w:t> </w:t>
      </w:r>
      <w:r>
        <w:rPr>
          <w:color w:val="231F20"/>
          <w:w w:val="105"/>
        </w:rPr>
        <w:t>Most</w:t>
      </w:r>
      <w:r>
        <w:rPr>
          <w:color w:val="231F20"/>
          <w:spacing w:val="-6"/>
          <w:w w:val="105"/>
        </w:rPr>
        <w:t> </w:t>
      </w:r>
      <w:r>
        <w:rPr>
          <w:color w:val="231F20"/>
          <w:w w:val="105"/>
        </w:rPr>
        <w:t>of</w:t>
      </w:r>
      <w:r>
        <w:rPr>
          <w:color w:val="231F20"/>
          <w:spacing w:val="-6"/>
          <w:w w:val="105"/>
        </w:rPr>
        <w:t> </w:t>
      </w:r>
      <w:r>
        <w:rPr>
          <w:color w:val="231F20"/>
          <w:w w:val="105"/>
        </w:rPr>
        <w:t>these</w:t>
      </w:r>
      <w:r>
        <w:rPr>
          <w:color w:val="231F20"/>
          <w:spacing w:val="-6"/>
          <w:w w:val="105"/>
        </w:rPr>
        <w:t> </w:t>
      </w:r>
      <w:r>
        <w:rPr>
          <w:color w:val="231F20"/>
          <w:w w:val="105"/>
        </w:rPr>
        <w:t>LLDs</w:t>
      </w:r>
      <w:r>
        <w:rPr>
          <w:color w:val="231F20"/>
          <w:spacing w:val="-7"/>
          <w:w w:val="105"/>
        </w:rPr>
        <w:t> </w:t>
      </w:r>
      <w:r>
        <w:rPr>
          <w:color w:val="231F20"/>
          <w:w w:val="105"/>
        </w:rPr>
        <w:t>were</w:t>
      </w:r>
      <w:r>
        <w:rPr>
          <w:color w:val="231F20"/>
          <w:spacing w:val="-7"/>
          <w:w w:val="105"/>
        </w:rPr>
        <w:t> </w:t>
      </w:r>
      <w:r>
        <w:rPr>
          <w:color w:val="231F20"/>
          <w:w w:val="105"/>
        </w:rPr>
        <w:t>statins,</w:t>
      </w:r>
      <w:r>
        <w:rPr>
          <w:color w:val="231F20"/>
          <w:spacing w:val="-7"/>
          <w:w w:val="105"/>
        </w:rPr>
        <w:t> </w:t>
      </w:r>
      <w:r>
        <w:rPr>
          <w:color w:val="231F20"/>
          <w:w w:val="105"/>
        </w:rPr>
        <w:t>which</w:t>
      </w:r>
      <w:r>
        <w:rPr>
          <w:color w:val="231F20"/>
          <w:spacing w:val="-7"/>
          <w:w w:val="105"/>
        </w:rPr>
        <w:t> </w:t>
      </w:r>
      <w:r>
        <w:rPr>
          <w:color w:val="231F20"/>
          <w:w w:val="105"/>
        </w:rPr>
        <w:t>may</w:t>
      </w:r>
      <w:r>
        <w:rPr>
          <w:color w:val="231F20"/>
          <w:spacing w:val="-7"/>
          <w:w w:val="105"/>
        </w:rPr>
        <w:t> </w:t>
      </w:r>
      <w:r>
        <w:rPr>
          <w:color w:val="231F20"/>
          <w:w w:val="105"/>
        </w:rPr>
        <w:t>have</w:t>
      </w:r>
      <w:r>
        <w:rPr>
          <w:color w:val="231F20"/>
          <w:spacing w:val="-6"/>
          <w:w w:val="105"/>
        </w:rPr>
        <w:t> </w:t>
      </w:r>
      <w:r>
        <w:rPr>
          <w:color w:val="231F20"/>
          <w:w w:val="105"/>
        </w:rPr>
        <w:t>been pre-emptively</w:t>
      </w:r>
      <w:r>
        <w:rPr>
          <w:color w:val="231F20"/>
          <w:spacing w:val="-18"/>
          <w:w w:val="105"/>
        </w:rPr>
        <w:t> </w:t>
      </w:r>
      <w:r>
        <w:rPr>
          <w:color w:val="231F20"/>
          <w:w w:val="105"/>
        </w:rPr>
        <w:t>adjusted</w:t>
      </w:r>
      <w:r>
        <w:rPr>
          <w:color w:val="231F20"/>
          <w:spacing w:val="-18"/>
          <w:w w:val="105"/>
        </w:rPr>
        <w:t> </w:t>
      </w:r>
      <w:r>
        <w:rPr>
          <w:color w:val="231F20"/>
          <w:w w:val="105"/>
        </w:rPr>
        <w:t>for</w:t>
      </w:r>
      <w:r>
        <w:rPr>
          <w:color w:val="231F20"/>
          <w:spacing w:val="-18"/>
          <w:w w:val="105"/>
        </w:rPr>
        <w:t> </w:t>
      </w:r>
      <w:r>
        <w:rPr>
          <w:color w:val="231F20"/>
          <w:w w:val="105"/>
        </w:rPr>
        <w:t>potential</w:t>
      </w:r>
      <w:r>
        <w:rPr>
          <w:color w:val="231F20"/>
          <w:spacing w:val="-18"/>
          <w:w w:val="105"/>
        </w:rPr>
        <w:t> </w:t>
      </w:r>
      <w:r>
        <w:rPr>
          <w:color w:val="231F20"/>
          <w:w w:val="105"/>
        </w:rPr>
        <w:t>DDIs</w:t>
      </w:r>
      <w:r>
        <w:rPr>
          <w:color w:val="231F20"/>
          <w:spacing w:val="-18"/>
          <w:w w:val="105"/>
        </w:rPr>
        <w:t> </w:t>
      </w:r>
      <w:r>
        <w:rPr>
          <w:color w:val="231F20"/>
          <w:w w:val="105"/>
        </w:rPr>
        <w:t>with</w:t>
      </w:r>
      <w:r>
        <w:rPr>
          <w:color w:val="231F20"/>
          <w:spacing w:val="-18"/>
          <w:w w:val="105"/>
        </w:rPr>
        <w:t> </w:t>
      </w:r>
      <w:r>
        <w:rPr>
          <w:color w:val="231F20"/>
          <w:w w:val="105"/>
        </w:rPr>
        <w:t>SMV.</w:t>
      </w:r>
      <w:r>
        <w:rPr>
          <w:color w:val="231F20"/>
          <w:spacing w:val="-18"/>
          <w:w w:val="105"/>
        </w:rPr>
        <w:t> </w:t>
      </w:r>
      <w:r>
        <w:rPr>
          <w:color w:val="231F20"/>
          <w:w w:val="105"/>
        </w:rPr>
        <w:t>This</w:t>
      </w:r>
      <w:r>
        <w:rPr>
          <w:color w:val="231F20"/>
          <w:spacing w:val="-18"/>
          <w:w w:val="105"/>
        </w:rPr>
        <w:t> </w:t>
      </w:r>
      <w:r>
        <w:rPr>
          <w:color w:val="231F20"/>
          <w:w w:val="105"/>
        </w:rPr>
        <w:t>fur- ther indicates that patients on some statins may </w:t>
      </w:r>
      <w:r>
        <w:rPr>
          <w:rFonts w:ascii="Lucida Sans" w:hAnsi="Lucida Sans"/>
          <w:color w:val="231F20"/>
          <w:w w:val="105"/>
        </w:rPr>
        <w:t>– </w:t>
      </w:r>
      <w:r>
        <w:rPr>
          <w:color w:val="231F20"/>
          <w:w w:val="105"/>
        </w:rPr>
        <w:t>in accor- dance with the label </w:t>
      </w:r>
      <w:r>
        <w:rPr>
          <w:rFonts w:ascii="Lucida Sans" w:hAnsi="Lucida Sans"/>
          <w:color w:val="231F20"/>
          <w:w w:val="105"/>
        </w:rPr>
        <w:t>– </w:t>
      </w:r>
      <w:r>
        <w:rPr>
          <w:color w:val="231F20"/>
          <w:w w:val="105"/>
        </w:rPr>
        <w:t>require DDI management prior to SMV treatment. In the studies analysed, healthcare profes- sionals were aware of potential DDIs and the recommended coadministration, and followed clinical recommendations. However,</w:t>
      </w:r>
      <w:r>
        <w:rPr>
          <w:color w:val="231F20"/>
          <w:spacing w:val="-5"/>
          <w:w w:val="105"/>
        </w:rPr>
        <w:t> </w:t>
      </w:r>
      <w:r>
        <w:rPr>
          <w:color w:val="231F20"/>
          <w:w w:val="105"/>
        </w:rPr>
        <w:t>as</w:t>
      </w:r>
      <w:r>
        <w:rPr>
          <w:color w:val="231F20"/>
          <w:spacing w:val="-5"/>
          <w:w w:val="105"/>
        </w:rPr>
        <w:t> </w:t>
      </w:r>
      <w:r>
        <w:rPr>
          <w:color w:val="231F20"/>
          <w:w w:val="105"/>
        </w:rPr>
        <w:t>the</w:t>
      </w:r>
      <w:r>
        <w:rPr>
          <w:color w:val="231F20"/>
          <w:spacing w:val="-5"/>
          <w:w w:val="105"/>
        </w:rPr>
        <w:t> </w:t>
      </w:r>
      <w:r>
        <w:rPr>
          <w:color w:val="231F20"/>
          <w:w w:val="105"/>
        </w:rPr>
        <w:t>number</w:t>
      </w:r>
      <w:r>
        <w:rPr>
          <w:color w:val="231F20"/>
          <w:spacing w:val="-6"/>
          <w:w w:val="105"/>
        </w:rPr>
        <w:t> </w:t>
      </w:r>
      <w:r>
        <w:rPr>
          <w:color w:val="231F20"/>
          <w:w w:val="105"/>
        </w:rPr>
        <w:t>of</w:t>
      </w:r>
      <w:r>
        <w:rPr>
          <w:color w:val="231F20"/>
          <w:spacing w:val="-5"/>
          <w:w w:val="105"/>
        </w:rPr>
        <w:t> </w:t>
      </w:r>
      <w:r>
        <w:rPr>
          <w:color w:val="231F20"/>
          <w:w w:val="105"/>
        </w:rPr>
        <w:t>patients</w:t>
      </w:r>
      <w:r>
        <w:rPr>
          <w:color w:val="231F20"/>
          <w:spacing w:val="-5"/>
          <w:w w:val="105"/>
        </w:rPr>
        <w:t> </w:t>
      </w:r>
      <w:r>
        <w:rPr>
          <w:color w:val="231F20"/>
          <w:w w:val="105"/>
        </w:rPr>
        <w:t>in</w:t>
      </w:r>
      <w:r>
        <w:rPr>
          <w:color w:val="231F20"/>
          <w:spacing w:val="-5"/>
          <w:w w:val="105"/>
        </w:rPr>
        <w:t> </w:t>
      </w:r>
      <w:r>
        <w:rPr>
          <w:color w:val="231F20"/>
          <w:w w:val="105"/>
        </w:rPr>
        <w:t>the</w:t>
      </w:r>
      <w:r>
        <w:rPr>
          <w:color w:val="231F20"/>
          <w:spacing w:val="-5"/>
          <w:w w:val="105"/>
        </w:rPr>
        <w:t> </w:t>
      </w:r>
      <w:r>
        <w:rPr>
          <w:color w:val="231F20"/>
          <w:w w:val="105"/>
        </w:rPr>
        <w:t>various</w:t>
      </w:r>
      <w:r>
        <w:rPr>
          <w:color w:val="231F20"/>
          <w:spacing w:val="-5"/>
          <w:w w:val="105"/>
        </w:rPr>
        <w:t> </w:t>
      </w:r>
      <w:r>
        <w:rPr>
          <w:color w:val="231F20"/>
          <w:w w:val="105"/>
        </w:rPr>
        <w:t>subgroups decreases, especially for AXDs and LLDs, interpretations should be made with</w:t>
      </w:r>
      <w:r>
        <w:rPr>
          <w:color w:val="231F20"/>
          <w:spacing w:val="10"/>
          <w:w w:val="105"/>
        </w:rPr>
        <w:t> </w:t>
      </w:r>
      <w:r>
        <w:rPr>
          <w:color w:val="231F20"/>
          <w:w w:val="105"/>
        </w:rPr>
        <w:t>caution.</w:t>
      </w:r>
    </w:p>
    <w:p>
      <w:pPr>
        <w:pStyle w:val="BodyText"/>
        <w:spacing w:line="230" w:lineRule="auto" w:before="89"/>
        <w:ind w:right="115" w:firstLine="280"/>
        <w:jc w:val="both"/>
      </w:pPr>
      <w:r>
        <w:rPr/>
        <w:br w:type="column"/>
      </w:r>
      <w:r>
        <w:rPr>
          <w:color w:val="231F20"/>
          <w:w w:val="105"/>
        </w:rPr>
        <w:t>In</w:t>
      </w:r>
      <w:r>
        <w:rPr>
          <w:color w:val="231F20"/>
          <w:spacing w:val="-8"/>
          <w:w w:val="105"/>
        </w:rPr>
        <w:t> </w:t>
      </w:r>
      <w:r>
        <w:rPr>
          <w:color w:val="231F20"/>
          <w:w w:val="105"/>
        </w:rPr>
        <w:t>this</w:t>
      </w:r>
      <w:r>
        <w:rPr>
          <w:color w:val="231F20"/>
          <w:spacing w:val="-8"/>
          <w:w w:val="105"/>
        </w:rPr>
        <w:t> </w:t>
      </w:r>
      <w:r>
        <w:rPr>
          <w:color w:val="231F20"/>
          <w:w w:val="105"/>
        </w:rPr>
        <w:t>group</w:t>
      </w:r>
      <w:r>
        <w:rPr>
          <w:color w:val="231F20"/>
          <w:spacing w:val="-9"/>
          <w:w w:val="105"/>
        </w:rPr>
        <w:t> </w:t>
      </w:r>
      <w:r>
        <w:rPr>
          <w:color w:val="231F20"/>
          <w:w w:val="105"/>
        </w:rPr>
        <w:t>of</w:t>
      </w:r>
      <w:r>
        <w:rPr>
          <w:color w:val="231F20"/>
          <w:spacing w:val="-8"/>
          <w:w w:val="105"/>
        </w:rPr>
        <w:t> </w:t>
      </w:r>
      <w:r>
        <w:rPr>
          <w:color w:val="231F20"/>
          <w:w w:val="105"/>
        </w:rPr>
        <w:t>well-managed</w:t>
      </w:r>
      <w:r>
        <w:rPr>
          <w:color w:val="231F20"/>
          <w:spacing w:val="-9"/>
          <w:w w:val="105"/>
        </w:rPr>
        <w:t> </w:t>
      </w:r>
      <w:r>
        <w:rPr>
          <w:color w:val="231F20"/>
          <w:w w:val="105"/>
        </w:rPr>
        <w:t>patients,</w:t>
      </w:r>
      <w:r>
        <w:rPr>
          <w:color w:val="231F20"/>
          <w:spacing w:val="-8"/>
          <w:w w:val="105"/>
        </w:rPr>
        <w:t> </w:t>
      </w:r>
      <w:r>
        <w:rPr>
          <w:color w:val="231F20"/>
          <w:w w:val="105"/>
        </w:rPr>
        <w:t>12</w:t>
      </w:r>
      <w:r>
        <w:rPr>
          <w:color w:val="231F20"/>
          <w:spacing w:val="-8"/>
          <w:w w:val="105"/>
        </w:rPr>
        <w:t> </w:t>
      </w:r>
      <w:r>
        <w:rPr>
          <w:color w:val="231F20"/>
          <w:w w:val="105"/>
        </w:rPr>
        <w:t>weeks</w:t>
      </w:r>
      <w:r>
        <w:rPr>
          <w:color w:val="231F20"/>
          <w:spacing w:val="-8"/>
          <w:w w:val="105"/>
        </w:rPr>
        <w:t> </w:t>
      </w:r>
      <w:r>
        <w:rPr>
          <w:color w:val="231F20"/>
          <w:w w:val="105"/>
        </w:rPr>
        <w:t>of</w:t>
      </w:r>
      <w:r>
        <w:rPr>
          <w:color w:val="231F20"/>
          <w:spacing w:val="-8"/>
          <w:w w:val="105"/>
        </w:rPr>
        <w:t> </w:t>
      </w:r>
      <w:r>
        <w:rPr>
          <w:color w:val="231F20"/>
          <w:w w:val="105"/>
        </w:rPr>
        <w:t>SMV- based treatment were generally well tolerated, despite a high level</w:t>
      </w:r>
      <w:r>
        <w:rPr>
          <w:color w:val="231F20"/>
          <w:spacing w:val="-12"/>
          <w:w w:val="105"/>
        </w:rPr>
        <w:t> </w:t>
      </w:r>
      <w:r>
        <w:rPr>
          <w:color w:val="231F20"/>
          <w:w w:val="105"/>
        </w:rPr>
        <w:t>of</w:t>
      </w:r>
      <w:r>
        <w:rPr>
          <w:color w:val="231F20"/>
          <w:spacing w:val="-11"/>
          <w:w w:val="105"/>
        </w:rPr>
        <w:t> </w:t>
      </w:r>
      <w:r>
        <w:rPr>
          <w:color w:val="231F20"/>
          <w:w w:val="105"/>
        </w:rPr>
        <w:t>polypharmacy</w:t>
      </w:r>
      <w:r>
        <w:rPr>
          <w:color w:val="231F20"/>
          <w:spacing w:val="-11"/>
          <w:w w:val="105"/>
        </w:rPr>
        <w:t> </w:t>
      </w:r>
      <w:r>
        <w:rPr>
          <w:color w:val="231F20"/>
          <w:w w:val="105"/>
        </w:rPr>
        <w:t>and</w:t>
      </w:r>
      <w:r>
        <w:rPr>
          <w:color w:val="231F20"/>
          <w:spacing w:val="-11"/>
          <w:w w:val="105"/>
        </w:rPr>
        <w:t> </w:t>
      </w:r>
      <w:r>
        <w:rPr>
          <w:color w:val="231F20"/>
          <w:w w:val="105"/>
        </w:rPr>
        <w:t>a</w:t>
      </w:r>
      <w:r>
        <w:rPr>
          <w:color w:val="231F20"/>
          <w:spacing w:val="-12"/>
          <w:w w:val="105"/>
        </w:rPr>
        <w:t> </w:t>
      </w:r>
      <w:r>
        <w:rPr>
          <w:color w:val="231F20"/>
          <w:w w:val="105"/>
        </w:rPr>
        <w:t>large</w:t>
      </w:r>
      <w:r>
        <w:rPr>
          <w:color w:val="231F20"/>
          <w:spacing w:val="-11"/>
          <w:w w:val="105"/>
        </w:rPr>
        <w:t> </w:t>
      </w:r>
      <w:r>
        <w:rPr>
          <w:color w:val="231F20"/>
          <w:w w:val="105"/>
        </w:rPr>
        <w:t>proportion</w:t>
      </w:r>
      <w:r>
        <w:rPr>
          <w:color w:val="231F20"/>
          <w:spacing w:val="-11"/>
          <w:w w:val="105"/>
        </w:rPr>
        <w:t> </w:t>
      </w:r>
      <w:r>
        <w:rPr>
          <w:color w:val="231F20"/>
          <w:w w:val="105"/>
        </w:rPr>
        <w:t>of</w:t>
      </w:r>
      <w:r>
        <w:rPr>
          <w:color w:val="231F20"/>
          <w:spacing w:val="-12"/>
          <w:w w:val="105"/>
        </w:rPr>
        <w:t> </w:t>
      </w:r>
      <w:r>
        <w:rPr>
          <w:color w:val="231F20"/>
          <w:w w:val="105"/>
        </w:rPr>
        <w:t>patients</w:t>
      </w:r>
      <w:r>
        <w:rPr>
          <w:color w:val="231F20"/>
          <w:spacing w:val="-13"/>
          <w:w w:val="105"/>
        </w:rPr>
        <w:t> </w:t>
      </w:r>
      <w:r>
        <w:rPr>
          <w:color w:val="231F20"/>
          <w:w w:val="105"/>
        </w:rPr>
        <w:t>with advanced disease, with most AEs being of mild or moderate </w:t>
      </w:r>
      <w:r>
        <w:rPr>
          <w:color w:val="231F20"/>
          <w:spacing w:val="-3"/>
          <w:w w:val="105"/>
        </w:rPr>
        <w:t>severity.</w:t>
      </w:r>
    </w:p>
    <w:p>
      <w:pPr>
        <w:pStyle w:val="BodyText"/>
        <w:spacing w:line="230" w:lineRule="auto"/>
        <w:ind w:right="115" w:firstLine="280"/>
        <w:jc w:val="both"/>
      </w:pPr>
      <w:r>
        <w:rPr>
          <w:color w:val="231F20"/>
          <w:w w:val="105"/>
        </w:rPr>
        <w:t>No major differences in the safety outcomes were ob- served between green and amber CMOIs for AHDs and LLDs, despite some differences existing in baseline parame- ters among patients on AHDs, and patients on amber drugs tending to have a higher frequency of polypharmacy. Patients on amber AXDs had a higher rate of AEOIs, such   as agitation; however, we could not determine whether  these AEs were due to DDIs. Moreover, signi</w:t>
      </w:r>
      <w:r>
        <w:rPr>
          <w:rFonts w:ascii="Times New Roman" w:hAnsi="Times New Roman"/>
          <w:color w:val="231F20"/>
          <w:w w:val="105"/>
        </w:rPr>
        <w:t>ﬁ</w:t>
      </w:r>
      <w:r>
        <w:rPr>
          <w:color w:val="231F20"/>
          <w:w w:val="105"/>
        </w:rPr>
        <w:t>cant differ- ences in baseline parameters existed  between  the  green  and amber</w:t>
      </w:r>
      <w:r>
        <w:rPr>
          <w:color w:val="231F20"/>
          <w:spacing w:val="-2"/>
          <w:w w:val="105"/>
        </w:rPr>
        <w:t> </w:t>
      </w:r>
      <w:r>
        <w:rPr>
          <w:color w:val="231F20"/>
          <w:w w:val="105"/>
        </w:rPr>
        <w:t>groups.</w:t>
      </w:r>
    </w:p>
    <w:p>
      <w:pPr>
        <w:pStyle w:val="BodyText"/>
        <w:spacing w:line="230" w:lineRule="auto"/>
        <w:ind w:right="115" w:firstLine="280"/>
        <w:jc w:val="both"/>
      </w:pPr>
      <w:r>
        <w:rPr>
          <w:color w:val="231F20"/>
          <w:w w:val="105"/>
        </w:rPr>
        <w:t>In patients who discontinued their CMOIs before starting SMV </w:t>
      </w:r>
      <w:r>
        <w:rPr>
          <w:color w:val="231F20"/>
          <w:spacing w:val="-3"/>
          <w:w w:val="105"/>
        </w:rPr>
        <w:t>therapy, </w:t>
      </w:r>
      <w:r>
        <w:rPr>
          <w:color w:val="231F20"/>
          <w:w w:val="105"/>
        </w:rPr>
        <w:t>few AEs were reported. These AEs were not likely to be associated with the discontinuation of the respec- tive</w:t>
      </w:r>
      <w:r>
        <w:rPr>
          <w:color w:val="231F20"/>
          <w:spacing w:val="-9"/>
          <w:w w:val="105"/>
        </w:rPr>
        <w:t> </w:t>
      </w:r>
      <w:r>
        <w:rPr>
          <w:color w:val="231F20"/>
          <w:w w:val="105"/>
        </w:rPr>
        <w:t>CMOI.</w:t>
      </w:r>
      <w:r>
        <w:rPr>
          <w:color w:val="231F20"/>
          <w:spacing w:val="-8"/>
          <w:w w:val="105"/>
        </w:rPr>
        <w:t> </w:t>
      </w:r>
      <w:r>
        <w:rPr>
          <w:color w:val="231F20"/>
          <w:w w:val="105"/>
        </w:rPr>
        <w:t>For</w:t>
      </w:r>
      <w:r>
        <w:rPr>
          <w:color w:val="231F20"/>
          <w:spacing w:val="-7"/>
          <w:w w:val="105"/>
        </w:rPr>
        <w:t> </w:t>
      </w:r>
      <w:r>
        <w:rPr>
          <w:color w:val="231F20"/>
          <w:w w:val="105"/>
        </w:rPr>
        <w:t>discontinuations</w:t>
      </w:r>
      <w:r>
        <w:rPr>
          <w:color w:val="231F20"/>
          <w:spacing w:val="-8"/>
          <w:w w:val="105"/>
        </w:rPr>
        <w:t> </w:t>
      </w:r>
      <w:r>
        <w:rPr>
          <w:color w:val="231F20"/>
          <w:w w:val="105"/>
        </w:rPr>
        <w:t>of</w:t>
      </w:r>
      <w:r>
        <w:rPr>
          <w:color w:val="231F20"/>
          <w:spacing w:val="-8"/>
          <w:w w:val="105"/>
        </w:rPr>
        <w:t> </w:t>
      </w:r>
      <w:r>
        <w:rPr>
          <w:color w:val="231F20"/>
          <w:w w:val="105"/>
        </w:rPr>
        <w:t>LLDs,</w:t>
      </w:r>
      <w:r>
        <w:rPr>
          <w:color w:val="231F20"/>
          <w:spacing w:val="-8"/>
          <w:w w:val="105"/>
        </w:rPr>
        <w:t> </w:t>
      </w:r>
      <w:r>
        <w:rPr>
          <w:color w:val="231F20"/>
          <w:w w:val="105"/>
        </w:rPr>
        <w:t>the</w:t>
      </w:r>
      <w:r>
        <w:rPr>
          <w:color w:val="231F20"/>
          <w:spacing w:val="-7"/>
          <w:w w:val="105"/>
        </w:rPr>
        <w:t> </w:t>
      </w:r>
      <w:r>
        <w:rPr>
          <w:color w:val="231F20"/>
          <w:w w:val="105"/>
        </w:rPr>
        <w:t>observation</w:t>
      </w:r>
      <w:r>
        <w:rPr>
          <w:color w:val="231F20"/>
          <w:spacing w:val="-9"/>
          <w:w w:val="105"/>
        </w:rPr>
        <w:t> </w:t>
      </w:r>
      <w:r>
        <w:rPr>
          <w:color w:val="231F20"/>
          <w:w w:val="105"/>
        </w:rPr>
        <w:t>pe- riod may have been too short for the development of any AE linked to</w:t>
      </w:r>
      <w:r>
        <w:rPr>
          <w:color w:val="231F20"/>
          <w:spacing w:val="3"/>
          <w:w w:val="105"/>
        </w:rPr>
        <w:t> </w:t>
      </w:r>
      <w:r>
        <w:rPr>
          <w:color w:val="231F20"/>
          <w:w w:val="105"/>
        </w:rPr>
        <w:t>hyperlipidaemia.</w:t>
      </w:r>
    </w:p>
    <w:p>
      <w:pPr>
        <w:pStyle w:val="BodyText"/>
        <w:spacing w:before="4"/>
        <w:ind w:left="0"/>
        <w:rPr>
          <w:sz w:val="29"/>
        </w:rPr>
      </w:pPr>
    </w:p>
    <w:p>
      <w:pPr>
        <w:spacing w:line="277" w:lineRule="exact" w:before="1"/>
        <w:ind w:left="100" w:right="0" w:firstLine="0"/>
        <w:jc w:val="left"/>
        <w:rPr>
          <w:rFonts w:ascii="Book Antiqua"/>
          <w:i/>
          <w:sz w:val="24"/>
        </w:rPr>
      </w:pPr>
      <w:r>
        <w:rPr>
          <w:rFonts w:ascii="Book Antiqua"/>
          <w:i/>
          <w:color w:val="00AB54"/>
          <w:w w:val="105"/>
          <w:sz w:val="24"/>
        </w:rPr>
        <w:t>Limitations</w:t>
      </w:r>
    </w:p>
    <w:p>
      <w:pPr>
        <w:pStyle w:val="BodyText"/>
        <w:spacing w:line="230" w:lineRule="auto"/>
        <w:ind w:right="115"/>
        <w:jc w:val="both"/>
      </w:pPr>
      <w:r>
        <w:rPr>
          <w:color w:val="231F20"/>
          <w:w w:val="105"/>
        </w:rPr>
        <w:t>The present study was a </w:t>
      </w:r>
      <w:r>
        <w:rPr>
          <w:rFonts w:ascii="Book Antiqua"/>
          <w:i/>
          <w:color w:val="231F20"/>
          <w:w w:val="105"/>
        </w:rPr>
        <w:t>post hoc </w:t>
      </w:r>
      <w:r>
        <w:rPr>
          <w:color w:val="231F20"/>
          <w:w w:val="105"/>
        </w:rPr>
        <w:t>analysis. Patients on green and amber AHDs and AXDs differed slightly in key disease and demographic parameters and in polypharmacy rates, limiting comparisons between groups. Outcomes were not differentiated</w:t>
      </w:r>
      <w:r>
        <w:rPr>
          <w:color w:val="231F20"/>
          <w:spacing w:val="-17"/>
          <w:w w:val="105"/>
        </w:rPr>
        <w:t> </w:t>
      </w:r>
      <w:r>
        <w:rPr>
          <w:color w:val="231F20"/>
          <w:w w:val="105"/>
        </w:rPr>
        <w:t>for</w:t>
      </w:r>
      <w:r>
        <w:rPr>
          <w:color w:val="231F20"/>
          <w:spacing w:val="-18"/>
          <w:w w:val="105"/>
        </w:rPr>
        <w:t> </w:t>
      </w:r>
      <w:r>
        <w:rPr>
          <w:color w:val="231F20"/>
          <w:w w:val="105"/>
        </w:rPr>
        <w:t>patients</w:t>
      </w:r>
      <w:r>
        <w:rPr>
          <w:color w:val="231F20"/>
          <w:spacing w:val="-17"/>
          <w:w w:val="105"/>
        </w:rPr>
        <w:t> </w:t>
      </w:r>
      <w:r>
        <w:rPr>
          <w:color w:val="231F20"/>
          <w:w w:val="105"/>
        </w:rPr>
        <w:t>taking</w:t>
      </w:r>
      <w:r>
        <w:rPr>
          <w:color w:val="231F20"/>
          <w:spacing w:val="-18"/>
          <w:w w:val="105"/>
        </w:rPr>
        <w:t> </w:t>
      </w:r>
      <w:r>
        <w:rPr>
          <w:color w:val="231F20"/>
          <w:w w:val="105"/>
        </w:rPr>
        <w:t>drugs</w:t>
      </w:r>
      <w:r>
        <w:rPr>
          <w:color w:val="231F20"/>
          <w:spacing w:val="-17"/>
          <w:w w:val="105"/>
        </w:rPr>
        <w:t> </w:t>
      </w:r>
      <w:r>
        <w:rPr>
          <w:color w:val="231F20"/>
          <w:w w:val="105"/>
        </w:rPr>
        <w:t>from</w:t>
      </w:r>
      <w:r>
        <w:rPr>
          <w:color w:val="231F20"/>
          <w:spacing w:val="-17"/>
          <w:w w:val="105"/>
        </w:rPr>
        <w:t> </w:t>
      </w:r>
      <w:r>
        <w:rPr>
          <w:color w:val="231F20"/>
          <w:w w:val="105"/>
        </w:rPr>
        <w:t>several</w:t>
      </w:r>
      <w:r>
        <w:rPr>
          <w:color w:val="231F20"/>
          <w:spacing w:val="-17"/>
          <w:w w:val="105"/>
        </w:rPr>
        <w:t> </w:t>
      </w:r>
      <w:r>
        <w:rPr>
          <w:color w:val="231F20"/>
          <w:w w:val="105"/>
        </w:rPr>
        <w:t>drug</w:t>
      </w:r>
      <w:r>
        <w:rPr>
          <w:color w:val="231F20"/>
          <w:spacing w:val="-18"/>
          <w:w w:val="105"/>
        </w:rPr>
        <w:t> </w:t>
      </w:r>
      <w:r>
        <w:rPr>
          <w:color w:val="231F20"/>
          <w:w w:val="105"/>
        </w:rPr>
        <w:t>clas- ses of interest. In the database, there was no information available on whether dose changes or dose interruptions of CMOIs</w:t>
      </w:r>
      <w:r>
        <w:rPr>
          <w:color w:val="231F20"/>
          <w:spacing w:val="-11"/>
          <w:w w:val="105"/>
        </w:rPr>
        <w:t> </w:t>
      </w:r>
      <w:r>
        <w:rPr>
          <w:color w:val="231F20"/>
          <w:w w:val="105"/>
        </w:rPr>
        <w:t>were</w:t>
      </w:r>
      <w:r>
        <w:rPr>
          <w:color w:val="231F20"/>
          <w:spacing w:val="-11"/>
          <w:w w:val="105"/>
        </w:rPr>
        <w:t> </w:t>
      </w:r>
      <w:r>
        <w:rPr>
          <w:color w:val="231F20"/>
          <w:w w:val="105"/>
        </w:rPr>
        <w:t>due</w:t>
      </w:r>
      <w:r>
        <w:rPr>
          <w:color w:val="231F20"/>
          <w:spacing w:val="-11"/>
          <w:w w:val="105"/>
        </w:rPr>
        <w:t> </w:t>
      </w:r>
      <w:r>
        <w:rPr>
          <w:color w:val="231F20"/>
          <w:w w:val="105"/>
        </w:rPr>
        <w:t>to</w:t>
      </w:r>
      <w:r>
        <w:rPr>
          <w:color w:val="231F20"/>
          <w:spacing w:val="-11"/>
          <w:w w:val="105"/>
        </w:rPr>
        <w:t> </w:t>
      </w:r>
      <w:r>
        <w:rPr>
          <w:color w:val="231F20"/>
          <w:w w:val="105"/>
        </w:rPr>
        <w:t>DDIs</w:t>
      </w:r>
      <w:r>
        <w:rPr>
          <w:color w:val="231F20"/>
          <w:spacing w:val="-11"/>
          <w:w w:val="105"/>
        </w:rPr>
        <w:t> </w:t>
      </w:r>
      <w:r>
        <w:rPr>
          <w:color w:val="231F20"/>
          <w:w w:val="105"/>
        </w:rPr>
        <w:t>with</w:t>
      </w:r>
      <w:r>
        <w:rPr>
          <w:color w:val="231F20"/>
          <w:spacing w:val="-11"/>
          <w:w w:val="105"/>
        </w:rPr>
        <w:t> </w:t>
      </w:r>
      <w:r>
        <w:rPr>
          <w:color w:val="231F20"/>
          <w:w w:val="105"/>
        </w:rPr>
        <w:t>HCV</w:t>
      </w:r>
      <w:r>
        <w:rPr>
          <w:color w:val="231F20"/>
          <w:spacing w:val="-11"/>
          <w:w w:val="105"/>
        </w:rPr>
        <w:t> </w:t>
      </w:r>
      <w:r>
        <w:rPr>
          <w:color w:val="231F20"/>
          <w:w w:val="105"/>
        </w:rPr>
        <w:t>treatment.</w:t>
      </w:r>
      <w:r>
        <w:rPr>
          <w:color w:val="231F20"/>
          <w:spacing w:val="-11"/>
          <w:w w:val="105"/>
        </w:rPr>
        <w:t> </w:t>
      </w:r>
      <w:r>
        <w:rPr>
          <w:color w:val="231F20"/>
          <w:w w:val="105"/>
        </w:rPr>
        <w:t>In</w:t>
      </w:r>
      <w:r>
        <w:rPr>
          <w:color w:val="231F20"/>
          <w:spacing w:val="-11"/>
          <w:w w:val="105"/>
        </w:rPr>
        <w:t> </w:t>
      </w:r>
      <w:r>
        <w:rPr>
          <w:color w:val="231F20"/>
          <w:w w:val="105"/>
        </w:rPr>
        <w:t>cases</w:t>
      </w:r>
      <w:r>
        <w:rPr>
          <w:color w:val="231F20"/>
          <w:spacing w:val="-11"/>
          <w:w w:val="105"/>
        </w:rPr>
        <w:t> </w:t>
      </w:r>
      <w:r>
        <w:rPr>
          <w:color w:val="231F20"/>
          <w:w w:val="105"/>
        </w:rPr>
        <w:t>where DDIs</w:t>
      </w:r>
      <w:r>
        <w:rPr>
          <w:color w:val="231F20"/>
          <w:spacing w:val="7"/>
          <w:w w:val="105"/>
        </w:rPr>
        <w:t> </w:t>
      </w:r>
      <w:r>
        <w:rPr>
          <w:color w:val="231F20"/>
          <w:w w:val="105"/>
        </w:rPr>
        <w:t>may</w:t>
      </w:r>
      <w:r>
        <w:rPr>
          <w:color w:val="231F20"/>
          <w:spacing w:val="7"/>
          <w:w w:val="105"/>
        </w:rPr>
        <w:t> </w:t>
      </w:r>
      <w:r>
        <w:rPr>
          <w:color w:val="231F20"/>
          <w:w w:val="105"/>
        </w:rPr>
        <w:t>have</w:t>
      </w:r>
      <w:r>
        <w:rPr>
          <w:color w:val="231F20"/>
          <w:spacing w:val="7"/>
          <w:w w:val="105"/>
        </w:rPr>
        <w:t> </w:t>
      </w:r>
      <w:r>
        <w:rPr>
          <w:color w:val="231F20"/>
          <w:w w:val="105"/>
        </w:rPr>
        <w:t>been</w:t>
      </w:r>
      <w:r>
        <w:rPr>
          <w:color w:val="231F20"/>
          <w:spacing w:val="6"/>
          <w:w w:val="105"/>
        </w:rPr>
        <w:t> </w:t>
      </w:r>
      <w:r>
        <w:rPr>
          <w:color w:val="231F20"/>
          <w:w w:val="105"/>
        </w:rPr>
        <w:t>the</w:t>
      </w:r>
      <w:r>
        <w:rPr>
          <w:color w:val="231F20"/>
          <w:spacing w:val="6"/>
          <w:w w:val="105"/>
        </w:rPr>
        <w:t> </w:t>
      </w:r>
      <w:r>
        <w:rPr>
          <w:color w:val="231F20"/>
          <w:w w:val="105"/>
        </w:rPr>
        <w:t>reason</w:t>
      </w:r>
      <w:r>
        <w:rPr>
          <w:color w:val="231F20"/>
          <w:spacing w:val="7"/>
          <w:w w:val="105"/>
        </w:rPr>
        <w:t> </w:t>
      </w:r>
      <w:r>
        <w:rPr>
          <w:color w:val="231F20"/>
          <w:w w:val="105"/>
        </w:rPr>
        <w:t>for</w:t>
      </w:r>
      <w:r>
        <w:rPr>
          <w:color w:val="231F20"/>
          <w:spacing w:val="7"/>
          <w:w w:val="105"/>
        </w:rPr>
        <w:t> </w:t>
      </w:r>
      <w:r>
        <w:rPr>
          <w:color w:val="231F20"/>
          <w:w w:val="105"/>
        </w:rPr>
        <w:t>reaching</w:t>
      </w:r>
      <w:r>
        <w:rPr>
          <w:color w:val="231F20"/>
          <w:spacing w:val="7"/>
          <w:w w:val="105"/>
        </w:rPr>
        <w:t> </w:t>
      </w:r>
      <w:r>
        <w:rPr>
          <w:color w:val="231F20"/>
          <w:w w:val="105"/>
        </w:rPr>
        <w:t>the</w:t>
      </w:r>
      <w:r>
        <w:rPr>
          <w:color w:val="231F20"/>
          <w:spacing w:val="7"/>
          <w:w w:val="105"/>
        </w:rPr>
        <w:t> </w:t>
      </w:r>
      <w:r>
        <w:rPr>
          <w:color w:val="231F20"/>
          <w:w w:val="105"/>
        </w:rPr>
        <w:t>primary</w:t>
      </w:r>
      <w:r>
        <w:rPr>
          <w:color w:val="231F20"/>
          <w:spacing w:val="7"/>
          <w:w w:val="105"/>
        </w:rPr>
        <w:t> </w:t>
      </w:r>
      <w:r>
        <w:rPr>
          <w:color w:val="231F20"/>
          <w:w w:val="105"/>
        </w:rPr>
        <w:t>or</w:t>
      </w:r>
    </w:p>
    <w:p>
      <w:pPr>
        <w:spacing w:after="0" w:line="230" w:lineRule="auto"/>
        <w:jc w:val="both"/>
        <w:sectPr>
          <w:type w:val="continuous"/>
          <w:pgSz w:w="11880" w:h="15670"/>
          <w:pgMar w:top="380" w:bottom="0" w:left="740" w:right="720"/>
          <w:cols w:num="2" w:equalWidth="0">
            <w:col w:w="4963" w:space="417"/>
            <w:col w:w="5040"/>
          </w:cols>
        </w:sectPr>
      </w:pPr>
    </w:p>
    <w:p>
      <w:pPr>
        <w:pStyle w:val="BodyText"/>
        <w:spacing w:before="2"/>
        <w:ind w:left="0"/>
        <w:rPr>
          <w:sz w:val="8"/>
        </w:rPr>
      </w:pPr>
    </w:p>
    <w:p>
      <w:pPr>
        <w:spacing w:after="0"/>
        <w:rPr>
          <w:sz w:val="8"/>
        </w:rPr>
        <w:sectPr>
          <w:pgSz w:w="11880" w:h="15670"/>
          <w:pgMar w:header="462" w:footer="669" w:top="980" w:bottom="860" w:left="740" w:right="720"/>
        </w:sectPr>
      </w:pPr>
    </w:p>
    <w:p>
      <w:pPr>
        <w:pStyle w:val="BodyText"/>
        <w:spacing w:line="230" w:lineRule="auto" w:before="88"/>
        <w:ind w:right="40"/>
        <w:jc w:val="both"/>
      </w:pPr>
      <w:r>
        <w:rPr>
          <w:color w:val="231F20"/>
          <w:w w:val="105"/>
        </w:rPr>
        <w:t>secondary endpoint, the data did not allow us to identify the interacting drugs (SMV, DCV, SOF or RBV).</w:t>
      </w:r>
    </w:p>
    <w:p>
      <w:pPr>
        <w:pStyle w:val="BodyText"/>
        <w:spacing w:line="230" w:lineRule="auto" w:before="1"/>
        <w:ind w:right="39" w:firstLine="280"/>
        <w:jc w:val="both"/>
      </w:pPr>
      <w:r>
        <w:rPr>
          <w:color w:val="231F20"/>
          <w:w w:val="105"/>
        </w:rPr>
        <w:t>We did not analyse the potential for DDIs in patients receiving multiple concomitant medications, as the main objective was to elucidate the impact of the short-term anti-HCV treatment. However, some of the CMOI changes could have been due to interactions with drugs other than the DAAs.</w:t>
      </w:r>
    </w:p>
    <w:p>
      <w:pPr>
        <w:pStyle w:val="BodyText"/>
        <w:spacing w:line="230" w:lineRule="auto"/>
        <w:ind w:right="38" w:firstLine="280"/>
        <w:jc w:val="both"/>
      </w:pPr>
      <w:r>
        <w:rPr>
          <w:color w:val="231F20"/>
          <w:w w:val="105"/>
        </w:rPr>
        <w:t>Clinicians may already have taken the ongoing concomi- tant medication into account prior to screening, potentially resulting in recruitment of patients with easy to manage con- comitant medications. On the other hand, clinical trials doc- ument and grade safety events in a much more complete, consistent and reproducible manner compared with real- world cohorts, providing a robust picture of the real safety issues. Further, in the present analysis a high degree of polypharmacy</w:t>
      </w:r>
      <w:r>
        <w:rPr>
          <w:color w:val="231F20"/>
          <w:spacing w:val="-8"/>
          <w:w w:val="105"/>
        </w:rPr>
        <w:t> </w:t>
      </w:r>
      <w:r>
        <w:rPr>
          <w:color w:val="231F20"/>
          <w:w w:val="105"/>
        </w:rPr>
        <w:t>was</w:t>
      </w:r>
      <w:r>
        <w:rPr>
          <w:color w:val="231F20"/>
          <w:spacing w:val="-7"/>
          <w:w w:val="105"/>
        </w:rPr>
        <w:t> </w:t>
      </w:r>
      <w:r>
        <w:rPr>
          <w:color w:val="231F20"/>
          <w:w w:val="105"/>
        </w:rPr>
        <w:t>still</w:t>
      </w:r>
      <w:r>
        <w:rPr>
          <w:color w:val="231F20"/>
          <w:spacing w:val="-7"/>
          <w:w w:val="105"/>
        </w:rPr>
        <w:t> </w:t>
      </w:r>
      <w:r>
        <w:rPr>
          <w:color w:val="231F20"/>
          <w:w w:val="105"/>
        </w:rPr>
        <w:t>seen,</w:t>
      </w:r>
      <w:r>
        <w:rPr>
          <w:color w:val="231F20"/>
          <w:spacing w:val="-7"/>
          <w:w w:val="105"/>
        </w:rPr>
        <w:t> </w:t>
      </w:r>
      <w:r>
        <w:rPr>
          <w:color w:val="231F20"/>
          <w:w w:val="105"/>
        </w:rPr>
        <w:t>so</w:t>
      </w:r>
      <w:r>
        <w:rPr>
          <w:color w:val="231F20"/>
          <w:spacing w:val="-8"/>
          <w:w w:val="105"/>
        </w:rPr>
        <w:t> </w:t>
      </w:r>
      <w:r>
        <w:rPr>
          <w:color w:val="231F20"/>
          <w:w w:val="105"/>
        </w:rPr>
        <w:t>we</w:t>
      </w:r>
      <w:r>
        <w:rPr>
          <w:color w:val="231F20"/>
          <w:spacing w:val="-7"/>
          <w:w w:val="105"/>
        </w:rPr>
        <w:t> </w:t>
      </w:r>
      <w:r>
        <w:rPr>
          <w:color w:val="231F20"/>
          <w:w w:val="105"/>
        </w:rPr>
        <w:t>do</w:t>
      </w:r>
      <w:r>
        <w:rPr>
          <w:color w:val="231F20"/>
          <w:spacing w:val="-8"/>
          <w:w w:val="105"/>
        </w:rPr>
        <w:t> </w:t>
      </w:r>
      <w:r>
        <w:rPr>
          <w:color w:val="231F20"/>
          <w:w w:val="105"/>
        </w:rPr>
        <w:t>not</w:t>
      </w:r>
      <w:r>
        <w:rPr>
          <w:color w:val="231F20"/>
          <w:spacing w:val="-8"/>
          <w:w w:val="105"/>
        </w:rPr>
        <w:t> </w:t>
      </w:r>
      <w:r>
        <w:rPr>
          <w:color w:val="231F20"/>
          <w:w w:val="105"/>
        </w:rPr>
        <w:t>consider</w:t>
      </w:r>
      <w:r>
        <w:rPr>
          <w:color w:val="231F20"/>
          <w:spacing w:val="-7"/>
          <w:w w:val="105"/>
        </w:rPr>
        <w:t> </w:t>
      </w:r>
      <w:r>
        <w:rPr>
          <w:color w:val="231F20"/>
          <w:w w:val="105"/>
        </w:rPr>
        <w:t>exclusion of certain comedications to be a relevant confounder of our analysis. In an unselected sample of 261 DAA-naive HCV- mono-infected patients, only 0.4% received a concomitant medication that was strictly contraindicated for SMV</w:t>
      </w:r>
      <w:r>
        <w:rPr>
          <w:rFonts w:ascii="Lucida Sans" w:hAnsi="Lucida Sans"/>
          <w:color w:val="231F20"/>
          <w:w w:val="105"/>
        </w:rPr>
        <w:t>–</w:t>
      </w:r>
      <w:r>
        <w:rPr>
          <w:color w:val="231F20"/>
          <w:w w:val="105"/>
        </w:rPr>
        <w:t>SOF, while</w:t>
      </w:r>
      <w:r>
        <w:rPr>
          <w:color w:val="231F20"/>
          <w:spacing w:val="-12"/>
          <w:w w:val="105"/>
        </w:rPr>
        <w:t> </w:t>
      </w:r>
      <w:r>
        <w:rPr>
          <w:color w:val="231F20"/>
          <w:w w:val="105"/>
        </w:rPr>
        <w:t>drugs</w:t>
      </w:r>
      <w:r>
        <w:rPr>
          <w:color w:val="231F20"/>
          <w:spacing w:val="-12"/>
          <w:w w:val="105"/>
        </w:rPr>
        <w:t> </w:t>
      </w:r>
      <w:r>
        <w:rPr>
          <w:color w:val="231F20"/>
          <w:w w:val="105"/>
        </w:rPr>
        <w:t>with</w:t>
      </w:r>
      <w:r>
        <w:rPr>
          <w:color w:val="231F20"/>
          <w:spacing w:val="-12"/>
          <w:w w:val="105"/>
        </w:rPr>
        <w:t> </w:t>
      </w:r>
      <w:r>
        <w:rPr>
          <w:color w:val="231F20"/>
          <w:w w:val="105"/>
        </w:rPr>
        <w:t>potential</w:t>
      </w:r>
      <w:r>
        <w:rPr>
          <w:color w:val="231F20"/>
          <w:spacing w:val="-13"/>
          <w:w w:val="105"/>
        </w:rPr>
        <w:t> </w:t>
      </w:r>
      <w:r>
        <w:rPr>
          <w:color w:val="231F20"/>
          <w:w w:val="105"/>
        </w:rPr>
        <w:t>DDIs</w:t>
      </w:r>
      <w:r>
        <w:rPr>
          <w:color w:val="231F20"/>
          <w:spacing w:val="-11"/>
          <w:w w:val="105"/>
        </w:rPr>
        <w:t> </w:t>
      </w:r>
      <w:r>
        <w:rPr>
          <w:color w:val="231F20"/>
          <w:w w:val="105"/>
        </w:rPr>
        <w:t>(category</w:t>
      </w:r>
      <w:r>
        <w:rPr>
          <w:color w:val="231F20"/>
          <w:spacing w:val="-12"/>
          <w:w w:val="105"/>
        </w:rPr>
        <w:t> </w:t>
      </w:r>
      <w:r>
        <w:rPr>
          <w:color w:val="231F20"/>
          <w:w w:val="105"/>
        </w:rPr>
        <w:t>amber)</w:t>
      </w:r>
      <w:r>
        <w:rPr>
          <w:color w:val="231F20"/>
          <w:spacing w:val="-12"/>
          <w:w w:val="105"/>
        </w:rPr>
        <w:t> </w:t>
      </w:r>
      <w:r>
        <w:rPr>
          <w:color w:val="231F20"/>
          <w:w w:val="105"/>
        </w:rPr>
        <w:t>were</w:t>
      </w:r>
      <w:r>
        <w:rPr>
          <w:color w:val="231F20"/>
          <w:spacing w:val="-12"/>
          <w:w w:val="105"/>
        </w:rPr>
        <w:t> </w:t>
      </w:r>
      <w:r>
        <w:rPr>
          <w:color w:val="231F20"/>
          <w:w w:val="105"/>
        </w:rPr>
        <w:t>found in</w:t>
      </w:r>
      <w:r>
        <w:rPr>
          <w:color w:val="231F20"/>
          <w:spacing w:val="-4"/>
          <w:w w:val="105"/>
        </w:rPr>
        <w:t> </w:t>
      </w:r>
      <w:r>
        <w:rPr>
          <w:color w:val="231F20"/>
          <w:w w:val="105"/>
        </w:rPr>
        <w:t>31%</w:t>
      </w:r>
      <w:r>
        <w:rPr>
          <w:color w:val="231F20"/>
          <w:spacing w:val="-4"/>
          <w:w w:val="105"/>
        </w:rPr>
        <w:t> </w:t>
      </w:r>
      <w:r>
        <w:rPr>
          <w:color w:val="231F20"/>
          <w:w w:val="105"/>
        </w:rPr>
        <w:t>of</w:t>
      </w:r>
      <w:r>
        <w:rPr>
          <w:color w:val="231F20"/>
          <w:spacing w:val="-3"/>
          <w:w w:val="105"/>
        </w:rPr>
        <w:t> </w:t>
      </w:r>
      <w:r>
        <w:rPr>
          <w:color w:val="231F20"/>
          <w:w w:val="105"/>
        </w:rPr>
        <w:t>the</w:t>
      </w:r>
      <w:r>
        <w:rPr>
          <w:color w:val="231F20"/>
          <w:spacing w:val="-4"/>
          <w:w w:val="105"/>
        </w:rPr>
        <w:t> </w:t>
      </w:r>
      <w:r>
        <w:rPr>
          <w:color w:val="231F20"/>
          <w:w w:val="105"/>
        </w:rPr>
        <w:t>sample</w:t>
      </w:r>
      <w:r>
        <w:rPr>
          <w:color w:val="231F20"/>
          <w:spacing w:val="-4"/>
          <w:w w:val="105"/>
        </w:rPr>
        <w:t> </w:t>
      </w:r>
      <w:r>
        <w:rPr>
          <w:color w:val="231F20"/>
          <w:w w:val="105"/>
        </w:rPr>
        <w:t>[11].</w:t>
      </w:r>
      <w:r>
        <w:rPr>
          <w:color w:val="231F20"/>
          <w:spacing w:val="-4"/>
          <w:w w:val="105"/>
        </w:rPr>
        <w:t> </w:t>
      </w:r>
      <w:r>
        <w:rPr>
          <w:color w:val="231F20"/>
          <w:w w:val="105"/>
        </w:rPr>
        <w:t>Our</w:t>
      </w:r>
      <w:r>
        <w:rPr>
          <w:color w:val="231F20"/>
          <w:spacing w:val="-4"/>
          <w:w w:val="105"/>
        </w:rPr>
        <w:t> </w:t>
      </w:r>
      <w:r>
        <w:rPr>
          <w:color w:val="231F20"/>
          <w:w w:val="105"/>
        </w:rPr>
        <w:t>dataset</w:t>
      </w:r>
      <w:r>
        <w:rPr>
          <w:color w:val="231F20"/>
          <w:spacing w:val="-4"/>
          <w:w w:val="105"/>
        </w:rPr>
        <w:t> </w:t>
      </w:r>
      <w:r>
        <w:rPr>
          <w:color w:val="231F20"/>
          <w:w w:val="105"/>
        </w:rPr>
        <w:t>thus</w:t>
      </w:r>
      <w:r>
        <w:rPr>
          <w:color w:val="231F20"/>
          <w:spacing w:val="-5"/>
          <w:w w:val="105"/>
        </w:rPr>
        <w:t> </w:t>
      </w:r>
      <w:r>
        <w:rPr>
          <w:color w:val="231F20"/>
          <w:w w:val="105"/>
        </w:rPr>
        <w:t>was</w:t>
      </w:r>
      <w:r>
        <w:rPr>
          <w:color w:val="231F20"/>
          <w:spacing w:val="-5"/>
          <w:w w:val="105"/>
        </w:rPr>
        <w:t> </w:t>
      </w:r>
      <w:r>
        <w:rPr>
          <w:color w:val="231F20"/>
          <w:w w:val="105"/>
        </w:rPr>
        <w:t>a</w:t>
      </w:r>
      <w:r>
        <w:rPr>
          <w:color w:val="231F20"/>
          <w:spacing w:val="-4"/>
          <w:w w:val="105"/>
        </w:rPr>
        <w:t> </w:t>
      </w:r>
      <w:r>
        <w:rPr>
          <w:color w:val="231F20"/>
          <w:w w:val="105"/>
        </w:rPr>
        <w:t>good</w:t>
      </w:r>
      <w:r>
        <w:rPr>
          <w:color w:val="231F20"/>
          <w:spacing w:val="-4"/>
          <w:w w:val="105"/>
        </w:rPr>
        <w:t> </w:t>
      </w:r>
      <w:r>
        <w:rPr>
          <w:color w:val="231F20"/>
          <w:w w:val="105"/>
        </w:rPr>
        <w:t>re</w:t>
      </w:r>
      <w:r>
        <w:rPr>
          <w:rFonts w:ascii="Times New Roman" w:hAnsi="Times New Roman"/>
          <w:color w:val="231F20"/>
          <w:w w:val="105"/>
        </w:rPr>
        <w:t>ﬂ</w:t>
      </w:r>
      <w:r>
        <w:rPr>
          <w:color w:val="231F20"/>
          <w:w w:val="105"/>
        </w:rPr>
        <w:t>ec- tion of the distribution of comedications used by mono- infected patients in routine clinical</w:t>
      </w:r>
      <w:r>
        <w:rPr>
          <w:color w:val="231F20"/>
          <w:spacing w:val="17"/>
          <w:w w:val="105"/>
        </w:rPr>
        <w:t> </w:t>
      </w:r>
      <w:r>
        <w:rPr>
          <w:color w:val="231F20"/>
          <w:w w:val="105"/>
        </w:rPr>
        <w:t>practice.</w:t>
      </w:r>
    </w:p>
    <w:p>
      <w:pPr>
        <w:pStyle w:val="BodyText"/>
        <w:ind w:left="0"/>
        <w:rPr>
          <w:sz w:val="20"/>
        </w:rPr>
      </w:pPr>
    </w:p>
    <w:p>
      <w:pPr>
        <w:pStyle w:val="Heading1"/>
        <w:spacing w:before="145"/>
      </w:pPr>
      <w:r>
        <w:rPr>
          <w:color w:val="00AB54"/>
        </w:rPr>
        <w:t>Conclusions</w:t>
      </w:r>
    </w:p>
    <w:p>
      <w:pPr>
        <w:pStyle w:val="BodyText"/>
        <w:spacing w:line="230" w:lineRule="auto" w:before="154"/>
        <w:ind w:right="38" w:hanging="1"/>
        <w:jc w:val="both"/>
      </w:pPr>
      <w:r>
        <w:rPr>
          <w:color w:val="231F20"/>
          <w:w w:val="105"/>
        </w:rPr>
        <w:t>In</w:t>
      </w:r>
      <w:r>
        <w:rPr>
          <w:color w:val="231F20"/>
          <w:spacing w:val="-6"/>
          <w:w w:val="105"/>
        </w:rPr>
        <w:t> </w:t>
      </w:r>
      <w:r>
        <w:rPr>
          <w:color w:val="231F20"/>
          <w:w w:val="105"/>
        </w:rPr>
        <w:t>the</w:t>
      </w:r>
      <w:r>
        <w:rPr>
          <w:color w:val="231F20"/>
          <w:spacing w:val="-6"/>
          <w:w w:val="105"/>
        </w:rPr>
        <w:t> </w:t>
      </w:r>
      <w:r>
        <w:rPr>
          <w:color w:val="231F20"/>
          <w:w w:val="105"/>
        </w:rPr>
        <w:t>present</w:t>
      </w:r>
      <w:r>
        <w:rPr>
          <w:color w:val="231F20"/>
          <w:spacing w:val="-6"/>
          <w:w w:val="105"/>
        </w:rPr>
        <w:t> </w:t>
      </w:r>
      <w:r>
        <w:rPr>
          <w:rFonts w:ascii="Book Antiqua" w:hAnsi="Book Antiqua"/>
          <w:i/>
          <w:color w:val="231F20"/>
          <w:w w:val="105"/>
        </w:rPr>
        <w:t>post</w:t>
      </w:r>
      <w:r>
        <w:rPr>
          <w:rFonts w:ascii="Book Antiqua" w:hAnsi="Book Antiqua"/>
          <w:i/>
          <w:color w:val="231F20"/>
          <w:spacing w:val="-6"/>
          <w:w w:val="105"/>
        </w:rPr>
        <w:t> </w:t>
      </w:r>
      <w:r>
        <w:rPr>
          <w:rFonts w:ascii="Book Antiqua" w:hAnsi="Book Antiqua"/>
          <w:i/>
          <w:color w:val="231F20"/>
          <w:w w:val="105"/>
        </w:rPr>
        <w:t>hoc</w:t>
      </w:r>
      <w:r>
        <w:rPr>
          <w:rFonts w:ascii="Book Antiqua" w:hAnsi="Book Antiqua"/>
          <w:i/>
          <w:color w:val="231F20"/>
          <w:spacing w:val="-6"/>
          <w:w w:val="105"/>
        </w:rPr>
        <w:t> </w:t>
      </w:r>
      <w:r>
        <w:rPr>
          <w:color w:val="231F20"/>
          <w:w w:val="105"/>
        </w:rPr>
        <w:t>analysis</w:t>
      </w:r>
      <w:r>
        <w:rPr>
          <w:color w:val="231F20"/>
          <w:spacing w:val="-6"/>
          <w:w w:val="105"/>
        </w:rPr>
        <w:t> </w:t>
      </w:r>
      <w:r>
        <w:rPr>
          <w:color w:val="231F20"/>
          <w:w w:val="105"/>
        </w:rPr>
        <w:t>of</w:t>
      </w:r>
      <w:r>
        <w:rPr>
          <w:color w:val="231F20"/>
          <w:spacing w:val="-6"/>
          <w:w w:val="105"/>
        </w:rPr>
        <w:t> </w:t>
      </w:r>
      <w:r>
        <w:rPr>
          <w:color w:val="231F20"/>
          <w:w w:val="105"/>
        </w:rPr>
        <w:t>pooled</w:t>
      </w:r>
      <w:r>
        <w:rPr>
          <w:color w:val="231F20"/>
          <w:spacing w:val="-5"/>
          <w:w w:val="105"/>
        </w:rPr>
        <w:t> </w:t>
      </w:r>
      <w:r>
        <w:rPr>
          <w:color w:val="231F20"/>
          <w:w w:val="105"/>
        </w:rPr>
        <w:t>data</w:t>
      </w:r>
      <w:r>
        <w:rPr>
          <w:color w:val="231F20"/>
          <w:spacing w:val="-7"/>
          <w:w w:val="105"/>
        </w:rPr>
        <w:t> </w:t>
      </w:r>
      <w:r>
        <w:rPr>
          <w:color w:val="231F20"/>
          <w:w w:val="105"/>
        </w:rPr>
        <w:t>from</w:t>
      </w:r>
      <w:r>
        <w:rPr>
          <w:color w:val="231F20"/>
          <w:spacing w:val="-6"/>
          <w:w w:val="105"/>
        </w:rPr>
        <w:t> </w:t>
      </w:r>
      <w:r>
        <w:rPr>
          <w:color w:val="231F20"/>
          <w:w w:val="105"/>
        </w:rPr>
        <w:t>eight</w:t>
      </w:r>
      <w:r>
        <w:rPr>
          <w:color w:val="231F20"/>
          <w:spacing w:val="-5"/>
          <w:w w:val="105"/>
        </w:rPr>
        <w:t> </w:t>
      </w:r>
      <w:r>
        <w:rPr>
          <w:color w:val="231F20"/>
          <w:w w:val="105"/>
        </w:rPr>
        <w:t>clin- ical trials and one observational study with interferon-free SMV combinations, coadministration of the evaluated medications with known or potential PK interactions with SMV was manageable. This observation is encouraging and should increase the level of con</w:t>
      </w:r>
      <w:r>
        <w:rPr>
          <w:rFonts w:ascii="Times New Roman" w:hAnsi="Times New Roman"/>
          <w:color w:val="231F20"/>
          <w:w w:val="105"/>
        </w:rPr>
        <w:t>ﬁ</w:t>
      </w:r>
      <w:r>
        <w:rPr>
          <w:color w:val="231F20"/>
          <w:w w:val="105"/>
        </w:rPr>
        <w:t>dence of healthcare pro- viders in handling such DDIs, thereby improving the man- agement of HCV patients. However, healthcare providers should</w:t>
      </w:r>
      <w:r>
        <w:rPr>
          <w:color w:val="231F20"/>
          <w:spacing w:val="-9"/>
          <w:w w:val="105"/>
        </w:rPr>
        <w:t> </w:t>
      </w:r>
      <w:r>
        <w:rPr>
          <w:color w:val="231F20"/>
          <w:w w:val="105"/>
        </w:rPr>
        <w:t>remain</w:t>
      </w:r>
      <w:r>
        <w:rPr>
          <w:color w:val="231F20"/>
          <w:spacing w:val="-11"/>
          <w:w w:val="105"/>
        </w:rPr>
        <w:t> </w:t>
      </w:r>
      <w:r>
        <w:rPr>
          <w:color w:val="231F20"/>
          <w:w w:val="105"/>
        </w:rPr>
        <w:t>vigilant</w:t>
      </w:r>
      <w:r>
        <w:rPr>
          <w:color w:val="231F20"/>
          <w:spacing w:val="-10"/>
          <w:w w:val="105"/>
        </w:rPr>
        <w:t> </w:t>
      </w:r>
      <w:r>
        <w:rPr>
          <w:color w:val="231F20"/>
          <w:w w:val="105"/>
        </w:rPr>
        <w:t>of</w:t>
      </w:r>
      <w:r>
        <w:rPr>
          <w:color w:val="231F20"/>
          <w:spacing w:val="-10"/>
          <w:w w:val="105"/>
        </w:rPr>
        <w:t> </w:t>
      </w:r>
      <w:r>
        <w:rPr>
          <w:color w:val="231F20"/>
          <w:w w:val="105"/>
        </w:rPr>
        <w:t>potential</w:t>
      </w:r>
      <w:r>
        <w:rPr>
          <w:color w:val="231F20"/>
          <w:spacing w:val="-11"/>
          <w:w w:val="105"/>
        </w:rPr>
        <w:t> </w:t>
      </w:r>
      <w:r>
        <w:rPr>
          <w:color w:val="231F20"/>
          <w:w w:val="105"/>
        </w:rPr>
        <w:t>DDIs</w:t>
      </w:r>
      <w:r>
        <w:rPr>
          <w:color w:val="231F20"/>
          <w:spacing w:val="-11"/>
          <w:w w:val="105"/>
        </w:rPr>
        <w:t> </w:t>
      </w:r>
      <w:r>
        <w:rPr>
          <w:color w:val="231F20"/>
          <w:w w:val="105"/>
        </w:rPr>
        <w:t>when</w:t>
      </w:r>
      <w:r>
        <w:rPr>
          <w:color w:val="231F20"/>
          <w:spacing w:val="-10"/>
          <w:w w:val="105"/>
        </w:rPr>
        <w:t> </w:t>
      </w:r>
      <w:r>
        <w:rPr>
          <w:color w:val="231F20"/>
          <w:w w:val="105"/>
        </w:rPr>
        <w:t>administering HCV</w:t>
      </w:r>
      <w:r>
        <w:rPr>
          <w:color w:val="231F20"/>
          <w:spacing w:val="1"/>
          <w:w w:val="105"/>
        </w:rPr>
        <w:t> </w:t>
      </w:r>
      <w:r>
        <w:rPr>
          <w:color w:val="231F20"/>
          <w:w w:val="105"/>
        </w:rPr>
        <w:t>medication.</w:t>
      </w:r>
    </w:p>
    <w:p>
      <w:pPr>
        <w:pStyle w:val="BodyText"/>
        <w:spacing w:line="230" w:lineRule="auto"/>
        <w:ind w:right="38" w:firstLine="280"/>
        <w:jc w:val="both"/>
      </w:pPr>
      <w:r>
        <w:rPr>
          <w:color w:val="231F20"/>
          <w:w w:val="105"/>
        </w:rPr>
        <w:t>Our method could serve as a blueprint for the evaluation of the impact of DDIs in other areas </w:t>
      </w:r>
      <w:r>
        <w:rPr>
          <w:rFonts w:ascii="Lucida Sans" w:hAnsi="Lucida Sans"/>
          <w:color w:val="231F20"/>
          <w:w w:val="105"/>
        </w:rPr>
        <w:t>– </w:t>
      </w:r>
      <w:r>
        <w:rPr>
          <w:color w:val="231F20"/>
          <w:w w:val="105"/>
        </w:rPr>
        <w:t>e.g. with other DAAs, to</w:t>
      </w:r>
      <w:r>
        <w:rPr>
          <w:color w:val="231F20"/>
          <w:spacing w:val="-8"/>
          <w:w w:val="105"/>
        </w:rPr>
        <w:t> </w:t>
      </w:r>
      <w:r>
        <w:rPr>
          <w:color w:val="231F20"/>
          <w:w w:val="105"/>
        </w:rPr>
        <w:t>elucidate</w:t>
      </w:r>
      <w:r>
        <w:rPr>
          <w:color w:val="231F20"/>
          <w:spacing w:val="-7"/>
          <w:w w:val="105"/>
        </w:rPr>
        <w:t> </w:t>
      </w:r>
      <w:r>
        <w:rPr>
          <w:color w:val="231F20"/>
          <w:w w:val="105"/>
        </w:rPr>
        <w:t>the</w:t>
      </w:r>
      <w:r>
        <w:rPr>
          <w:color w:val="231F20"/>
          <w:spacing w:val="-7"/>
          <w:w w:val="105"/>
        </w:rPr>
        <w:t> </w:t>
      </w:r>
      <w:r>
        <w:rPr>
          <w:color w:val="231F20"/>
          <w:w w:val="105"/>
        </w:rPr>
        <w:t>clinical</w:t>
      </w:r>
      <w:r>
        <w:rPr>
          <w:color w:val="231F20"/>
          <w:spacing w:val="-7"/>
          <w:w w:val="105"/>
        </w:rPr>
        <w:t> </w:t>
      </w:r>
      <w:r>
        <w:rPr>
          <w:color w:val="231F20"/>
          <w:w w:val="105"/>
        </w:rPr>
        <w:t>consequences</w:t>
      </w:r>
      <w:r>
        <w:rPr>
          <w:color w:val="231F20"/>
          <w:spacing w:val="-8"/>
          <w:w w:val="105"/>
        </w:rPr>
        <w:t> </w:t>
      </w:r>
      <w:r>
        <w:rPr>
          <w:color w:val="231F20"/>
          <w:w w:val="105"/>
        </w:rPr>
        <w:t>of</w:t>
      </w:r>
      <w:r>
        <w:rPr>
          <w:color w:val="231F20"/>
          <w:spacing w:val="-8"/>
          <w:w w:val="105"/>
        </w:rPr>
        <w:t> </w:t>
      </w:r>
      <w:r>
        <w:rPr>
          <w:color w:val="231F20"/>
          <w:w w:val="105"/>
        </w:rPr>
        <w:t>administering</w:t>
      </w:r>
      <w:r>
        <w:rPr>
          <w:color w:val="231F20"/>
          <w:spacing w:val="-8"/>
          <w:w w:val="105"/>
        </w:rPr>
        <w:t> </w:t>
      </w:r>
      <w:r>
        <w:rPr>
          <w:color w:val="231F20"/>
          <w:w w:val="105"/>
        </w:rPr>
        <w:t>DAAs in a setting with a high rate of comorbidities and concomi- tant medication. With this method, it would be possible to utilize clinical study outcomes data in retrospect, in the ab- sence of prospectively collected PK</w:t>
      </w:r>
      <w:r>
        <w:rPr>
          <w:color w:val="231F20"/>
          <w:spacing w:val="10"/>
          <w:w w:val="105"/>
        </w:rPr>
        <w:t> </w:t>
      </w:r>
      <w:r>
        <w:rPr>
          <w:color w:val="231F20"/>
          <w:w w:val="105"/>
        </w:rPr>
        <w:t>data.</w:t>
      </w:r>
    </w:p>
    <w:p>
      <w:pPr>
        <w:pStyle w:val="BodyText"/>
        <w:ind w:left="0"/>
        <w:rPr>
          <w:sz w:val="20"/>
        </w:rPr>
      </w:pPr>
    </w:p>
    <w:p>
      <w:pPr>
        <w:pStyle w:val="Heading1"/>
        <w:spacing w:before="148"/>
      </w:pPr>
      <w:r>
        <w:rPr>
          <w:color w:val="00AB54"/>
        </w:rPr>
        <w:t>Competing Interests</w:t>
      </w:r>
    </w:p>
    <w:p>
      <w:pPr>
        <w:pStyle w:val="BodyText"/>
        <w:spacing w:line="230" w:lineRule="auto" w:before="153"/>
        <w:ind w:right="39" w:hanging="1"/>
        <w:jc w:val="both"/>
      </w:pPr>
      <w:r>
        <w:rPr>
          <w:color w:val="231F20"/>
          <w:w w:val="105"/>
        </w:rPr>
        <w:t>F.M. reports personal fees and non</w:t>
      </w:r>
      <w:r>
        <w:rPr>
          <w:rFonts w:ascii="Times New Roman" w:hAnsi="Times New Roman"/>
          <w:color w:val="231F20"/>
          <w:w w:val="105"/>
        </w:rPr>
        <w:t>ﬁ</w:t>
      </w:r>
      <w:r>
        <w:rPr>
          <w:color w:val="231F20"/>
          <w:w w:val="105"/>
        </w:rPr>
        <w:t>nancial support from Abbvie,</w:t>
      </w:r>
      <w:r>
        <w:rPr>
          <w:color w:val="231F20"/>
          <w:spacing w:val="-13"/>
          <w:w w:val="105"/>
        </w:rPr>
        <w:t> </w:t>
      </w:r>
      <w:r>
        <w:rPr>
          <w:color w:val="231F20"/>
          <w:w w:val="105"/>
        </w:rPr>
        <w:t>Gilead,</w:t>
      </w:r>
      <w:r>
        <w:rPr>
          <w:color w:val="231F20"/>
          <w:spacing w:val="-13"/>
          <w:w w:val="105"/>
        </w:rPr>
        <w:t> </w:t>
      </w:r>
      <w:r>
        <w:rPr>
          <w:color w:val="231F20"/>
          <w:w w:val="105"/>
        </w:rPr>
        <w:t>MSD,</w:t>
      </w:r>
      <w:r>
        <w:rPr>
          <w:color w:val="231F20"/>
          <w:spacing w:val="-13"/>
          <w:w w:val="105"/>
        </w:rPr>
        <w:t> </w:t>
      </w:r>
      <w:r>
        <w:rPr>
          <w:color w:val="231F20"/>
          <w:w w:val="105"/>
        </w:rPr>
        <w:t>BMS</w:t>
      </w:r>
      <w:r>
        <w:rPr>
          <w:color w:val="231F20"/>
          <w:spacing w:val="-14"/>
          <w:w w:val="105"/>
        </w:rPr>
        <w:t> </w:t>
      </w:r>
      <w:r>
        <w:rPr>
          <w:color w:val="231F20"/>
          <w:w w:val="105"/>
        </w:rPr>
        <w:t>and</w:t>
      </w:r>
      <w:r>
        <w:rPr>
          <w:color w:val="231F20"/>
          <w:spacing w:val="-13"/>
          <w:w w:val="105"/>
        </w:rPr>
        <w:t> </w:t>
      </w:r>
      <w:r>
        <w:rPr>
          <w:color w:val="231F20"/>
          <w:w w:val="105"/>
        </w:rPr>
        <w:t>Janssen</w:t>
      </w:r>
      <w:r>
        <w:rPr>
          <w:color w:val="231F20"/>
          <w:spacing w:val="-14"/>
          <w:w w:val="105"/>
        </w:rPr>
        <w:t> </w:t>
      </w:r>
      <w:r>
        <w:rPr>
          <w:color w:val="231F20"/>
          <w:w w:val="105"/>
        </w:rPr>
        <w:t>outside</w:t>
      </w:r>
      <w:r>
        <w:rPr>
          <w:color w:val="231F20"/>
          <w:spacing w:val="-14"/>
          <w:w w:val="105"/>
        </w:rPr>
        <w:t> </w:t>
      </w:r>
      <w:r>
        <w:rPr>
          <w:color w:val="231F20"/>
          <w:w w:val="105"/>
        </w:rPr>
        <w:t>the</w:t>
      </w:r>
      <w:r>
        <w:rPr>
          <w:color w:val="231F20"/>
          <w:spacing w:val="-14"/>
          <w:w w:val="105"/>
        </w:rPr>
        <w:t> </w:t>
      </w:r>
      <w:r>
        <w:rPr>
          <w:color w:val="231F20"/>
          <w:w w:val="105"/>
        </w:rPr>
        <w:t>submitted work.</w:t>
      </w:r>
      <w:r>
        <w:rPr>
          <w:color w:val="231F20"/>
          <w:spacing w:val="-18"/>
          <w:w w:val="105"/>
        </w:rPr>
        <w:t> </w:t>
      </w:r>
      <w:r>
        <w:rPr>
          <w:color w:val="231F20"/>
          <w:w w:val="105"/>
        </w:rPr>
        <w:t>C.H.S.</w:t>
      </w:r>
      <w:r>
        <w:rPr>
          <w:color w:val="231F20"/>
          <w:spacing w:val="-18"/>
          <w:w w:val="105"/>
        </w:rPr>
        <w:t> </w:t>
      </w:r>
      <w:r>
        <w:rPr>
          <w:color w:val="231F20"/>
          <w:w w:val="105"/>
        </w:rPr>
        <w:t>reports</w:t>
      </w:r>
      <w:r>
        <w:rPr>
          <w:color w:val="231F20"/>
          <w:spacing w:val="-18"/>
          <w:w w:val="105"/>
        </w:rPr>
        <w:t> </w:t>
      </w:r>
      <w:r>
        <w:rPr>
          <w:color w:val="231F20"/>
          <w:w w:val="105"/>
        </w:rPr>
        <w:t>grants</w:t>
      </w:r>
      <w:r>
        <w:rPr>
          <w:color w:val="231F20"/>
          <w:spacing w:val="-18"/>
          <w:w w:val="105"/>
        </w:rPr>
        <w:t> </w:t>
      </w:r>
      <w:r>
        <w:rPr>
          <w:color w:val="231F20"/>
          <w:w w:val="105"/>
        </w:rPr>
        <w:t>from</w:t>
      </w:r>
      <w:r>
        <w:rPr>
          <w:color w:val="231F20"/>
          <w:spacing w:val="-17"/>
          <w:w w:val="105"/>
        </w:rPr>
        <w:t> </w:t>
      </w:r>
      <w:r>
        <w:rPr>
          <w:color w:val="231F20"/>
          <w:w w:val="105"/>
        </w:rPr>
        <w:t>the</w:t>
      </w:r>
      <w:r>
        <w:rPr>
          <w:color w:val="231F20"/>
          <w:spacing w:val="-17"/>
          <w:w w:val="105"/>
        </w:rPr>
        <w:t> </w:t>
      </w:r>
      <w:r>
        <w:rPr>
          <w:color w:val="231F20"/>
          <w:w w:val="105"/>
        </w:rPr>
        <w:t>German</w:t>
      </w:r>
      <w:r>
        <w:rPr>
          <w:color w:val="231F20"/>
          <w:spacing w:val="-18"/>
          <w:w w:val="105"/>
        </w:rPr>
        <w:t> </w:t>
      </w:r>
      <w:r>
        <w:rPr>
          <w:color w:val="231F20"/>
          <w:w w:val="105"/>
        </w:rPr>
        <w:t>Federal</w:t>
      </w:r>
      <w:r>
        <w:rPr>
          <w:color w:val="231F20"/>
          <w:spacing w:val="-18"/>
          <w:w w:val="105"/>
        </w:rPr>
        <w:t> </w:t>
      </w:r>
      <w:r>
        <w:rPr>
          <w:color w:val="231F20"/>
          <w:w w:val="105"/>
        </w:rPr>
        <w:t>Ministry of Education and Research, and personal fees from Gilead during</w:t>
      </w:r>
      <w:r>
        <w:rPr>
          <w:color w:val="231F20"/>
          <w:spacing w:val="-4"/>
          <w:w w:val="105"/>
        </w:rPr>
        <w:t> </w:t>
      </w:r>
      <w:r>
        <w:rPr>
          <w:color w:val="231F20"/>
          <w:w w:val="105"/>
        </w:rPr>
        <w:t>the</w:t>
      </w:r>
      <w:r>
        <w:rPr>
          <w:color w:val="231F20"/>
          <w:spacing w:val="-4"/>
          <w:w w:val="105"/>
        </w:rPr>
        <w:t> </w:t>
      </w:r>
      <w:r>
        <w:rPr>
          <w:color w:val="231F20"/>
          <w:w w:val="105"/>
        </w:rPr>
        <w:t>conduct</w:t>
      </w:r>
      <w:r>
        <w:rPr>
          <w:color w:val="231F20"/>
          <w:spacing w:val="-4"/>
          <w:w w:val="105"/>
        </w:rPr>
        <w:t> </w:t>
      </w:r>
      <w:r>
        <w:rPr>
          <w:color w:val="231F20"/>
          <w:w w:val="105"/>
        </w:rPr>
        <w:t>of</w:t>
      </w:r>
      <w:r>
        <w:rPr>
          <w:color w:val="231F20"/>
          <w:spacing w:val="-4"/>
          <w:w w:val="105"/>
        </w:rPr>
        <w:t> </w:t>
      </w:r>
      <w:r>
        <w:rPr>
          <w:color w:val="231F20"/>
          <w:w w:val="105"/>
        </w:rPr>
        <w:t>the</w:t>
      </w:r>
      <w:r>
        <w:rPr>
          <w:color w:val="231F20"/>
          <w:spacing w:val="-5"/>
          <w:w w:val="105"/>
        </w:rPr>
        <w:t> </w:t>
      </w:r>
      <w:r>
        <w:rPr>
          <w:color w:val="231F20"/>
          <w:spacing w:val="-4"/>
          <w:w w:val="105"/>
        </w:rPr>
        <w:t>study,</w:t>
      </w:r>
      <w:r>
        <w:rPr>
          <w:color w:val="231F20"/>
          <w:spacing w:val="-5"/>
          <w:w w:val="105"/>
        </w:rPr>
        <w:t> </w:t>
      </w:r>
      <w:r>
        <w:rPr>
          <w:color w:val="231F20"/>
          <w:w w:val="105"/>
        </w:rPr>
        <w:t>as</w:t>
      </w:r>
      <w:r>
        <w:rPr>
          <w:color w:val="231F20"/>
          <w:spacing w:val="-5"/>
          <w:w w:val="105"/>
        </w:rPr>
        <w:t> </w:t>
      </w:r>
      <w:r>
        <w:rPr>
          <w:color w:val="231F20"/>
          <w:w w:val="105"/>
        </w:rPr>
        <w:t>well</w:t>
      </w:r>
      <w:r>
        <w:rPr>
          <w:color w:val="231F20"/>
          <w:spacing w:val="-5"/>
          <w:w w:val="105"/>
        </w:rPr>
        <w:t> </w:t>
      </w:r>
      <w:r>
        <w:rPr>
          <w:color w:val="231F20"/>
          <w:w w:val="105"/>
        </w:rPr>
        <w:t>as</w:t>
      </w:r>
      <w:r>
        <w:rPr>
          <w:color w:val="231F20"/>
          <w:spacing w:val="-5"/>
          <w:w w:val="105"/>
        </w:rPr>
        <w:t> </w:t>
      </w:r>
      <w:r>
        <w:rPr>
          <w:color w:val="231F20"/>
          <w:w w:val="105"/>
        </w:rPr>
        <w:t>personal</w:t>
      </w:r>
      <w:r>
        <w:rPr>
          <w:color w:val="231F20"/>
          <w:spacing w:val="-5"/>
          <w:w w:val="105"/>
        </w:rPr>
        <w:t> </w:t>
      </w:r>
      <w:r>
        <w:rPr>
          <w:color w:val="231F20"/>
          <w:w w:val="105"/>
        </w:rPr>
        <w:t>fees</w:t>
      </w:r>
      <w:r>
        <w:rPr>
          <w:color w:val="231F20"/>
          <w:spacing w:val="-5"/>
          <w:w w:val="105"/>
        </w:rPr>
        <w:t> </w:t>
      </w:r>
      <w:r>
        <w:rPr>
          <w:color w:val="231F20"/>
          <w:w w:val="105"/>
        </w:rPr>
        <w:t>from Roche, Gilead and MSD outside the submitted work. S.K. re- ports grants from Merck, Abbvie, Gilead, Janssen and ViiV outside</w:t>
      </w:r>
      <w:r>
        <w:rPr>
          <w:color w:val="231F20"/>
          <w:spacing w:val="-6"/>
          <w:w w:val="105"/>
        </w:rPr>
        <w:t> </w:t>
      </w:r>
      <w:r>
        <w:rPr>
          <w:color w:val="231F20"/>
          <w:w w:val="105"/>
        </w:rPr>
        <w:t>the</w:t>
      </w:r>
      <w:r>
        <w:rPr>
          <w:color w:val="231F20"/>
          <w:spacing w:val="-6"/>
          <w:w w:val="105"/>
        </w:rPr>
        <w:t> </w:t>
      </w:r>
      <w:r>
        <w:rPr>
          <w:color w:val="231F20"/>
          <w:w w:val="105"/>
        </w:rPr>
        <w:t>submitted</w:t>
      </w:r>
      <w:r>
        <w:rPr>
          <w:color w:val="231F20"/>
          <w:spacing w:val="-6"/>
          <w:w w:val="105"/>
        </w:rPr>
        <w:t> </w:t>
      </w:r>
      <w:r>
        <w:rPr>
          <w:color w:val="231F20"/>
          <w:w w:val="105"/>
        </w:rPr>
        <w:t>work.</w:t>
      </w:r>
      <w:r>
        <w:rPr>
          <w:color w:val="231F20"/>
          <w:spacing w:val="-6"/>
          <w:w w:val="105"/>
        </w:rPr>
        <w:t> </w:t>
      </w:r>
      <w:r>
        <w:rPr>
          <w:color w:val="231F20"/>
          <w:w w:val="105"/>
        </w:rPr>
        <w:t>D.B.</w:t>
      </w:r>
      <w:r>
        <w:rPr>
          <w:color w:val="231F20"/>
          <w:spacing w:val="-6"/>
          <w:w w:val="105"/>
        </w:rPr>
        <w:t> </w:t>
      </w:r>
      <w:r>
        <w:rPr>
          <w:color w:val="231F20"/>
          <w:w w:val="105"/>
        </w:rPr>
        <w:t>reports</w:t>
      </w:r>
      <w:r>
        <w:rPr>
          <w:color w:val="231F20"/>
          <w:spacing w:val="-7"/>
          <w:w w:val="105"/>
        </w:rPr>
        <w:t> </w:t>
      </w:r>
      <w:r>
        <w:rPr>
          <w:color w:val="231F20"/>
          <w:w w:val="105"/>
        </w:rPr>
        <w:t>grants</w:t>
      </w:r>
      <w:r>
        <w:rPr>
          <w:color w:val="231F20"/>
          <w:spacing w:val="-7"/>
          <w:w w:val="105"/>
        </w:rPr>
        <w:t> </w:t>
      </w:r>
      <w:r>
        <w:rPr>
          <w:color w:val="231F20"/>
          <w:w w:val="105"/>
        </w:rPr>
        <w:t>from</w:t>
      </w:r>
      <w:r>
        <w:rPr>
          <w:color w:val="231F20"/>
          <w:spacing w:val="-6"/>
          <w:w w:val="105"/>
        </w:rPr>
        <w:t> </w:t>
      </w:r>
      <w:r>
        <w:rPr>
          <w:color w:val="231F20"/>
          <w:w w:val="105"/>
        </w:rPr>
        <w:t>Janssen during</w:t>
      </w:r>
      <w:r>
        <w:rPr>
          <w:color w:val="231F20"/>
          <w:spacing w:val="-5"/>
          <w:w w:val="105"/>
        </w:rPr>
        <w:t> </w:t>
      </w:r>
      <w:r>
        <w:rPr>
          <w:color w:val="231F20"/>
          <w:w w:val="105"/>
        </w:rPr>
        <w:t>the</w:t>
      </w:r>
      <w:r>
        <w:rPr>
          <w:color w:val="231F20"/>
          <w:spacing w:val="-5"/>
          <w:w w:val="105"/>
        </w:rPr>
        <w:t> </w:t>
      </w:r>
      <w:r>
        <w:rPr>
          <w:color w:val="231F20"/>
          <w:w w:val="105"/>
        </w:rPr>
        <w:t>conduct</w:t>
      </w:r>
      <w:r>
        <w:rPr>
          <w:color w:val="231F20"/>
          <w:spacing w:val="-5"/>
          <w:w w:val="105"/>
        </w:rPr>
        <w:t> </w:t>
      </w:r>
      <w:r>
        <w:rPr>
          <w:color w:val="231F20"/>
          <w:w w:val="105"/>
        </w:rPr>
        <w:t>of</w:t>
      </w:r>
      <w:r>
        <w:rPr>
          <w:color w:val="231F20"/>
          <w:spacing w:val="-6"/>
          <w:w w:val="105"/>
        </w:rPr>
        <w:t> </w:t>
      </w:r>
      <w:r>
        <w:rPr>
          <w:color w:val="231F20"/>
          <w:w w:val="105"/>
        </w:rPr>
        <w:t>the</w:t>
      </w:r>
      <w:r>
        <w:rPr>
          <w:color w:val="231F20"/>
          <w:spacing w:val="-5"/>
          <w:w w:val="105"/>
        </w:rPr>
        <w:t> </w:t>
      </w:r>
      <w:r>
        <w:rPr>
          <w:color w:val="231F20"/>
          <w:spacing w:val="-4"/>
          <w:w w:val="105"/>
        </w:rPr>
        <w:t>study,</w:t>
      </w:r>
      <w:r>
        <w:rPr>
          <w:color w:val="231F20"/>
          <w:spacing w:val="-5"/>
          <w:w w:val="105"/>
        </w:rPr>
        <w:t> </w:t>
      </w:r>
      <w:r>
        <w:rPr>
          <w:color w:val="231F20"/>
          <w:w w:val="105"/>
        </w:rPr>
        <w:t>and</w:t>
      </w:r>
      <w:r>
        <w:rPr>
          <w:color w:val="231F20"/>
          <w:spacing w:val="-5"/>
          <w:w w:val="105"/>
        </w:rPr>
        <w:t> </w:t>
      </w:r>
      <w:r>
        <w:rPr>
          <w:color w:val="231F20"/>
          <w:w w:val="105"/>
        </w:rPr>
        <w:t>grants</w:t>
      </w:r>
      <w:r>
        <w:rPr>
          <w:color w:val="231F20"/>
          <w:spacing w:val="-5"/>
          <w:w w:val="105"/>
        </w:rPr>
        <w:t> </w:t>
      </w:r>
      <w:r>
        <w:rPr>
          <w:color w:val="231F20"/>
          <w:w w:val="105"/>
        </w:rPr>
        <w:t>and</w:t>
      </w:r>
      <w:r>
        <w:rPr>
          <w:color w:val="231F20"/>
          <w:spacing w:val="-5"/>
          <w:w w:val="105"/>
        </w:rPr>
        <w:t> </w:t>
      </w:r>
      <w:r>
        <w:rPr>
          <w:color w:val="231F20"/>
          <w:w w:val="105"/>
        </w:rPr>
        <w:t>personal</w:t>
      </w:r>
      <w:r>
        <w:rPr>
          <w:color w:val="231F20"/>
          <w:spacing w:val="-5"/>
          <w:w w:val="105"/>
        </w:rPr>
        <w:t> </w:t>
      </w:r>
      <w:r>
        <w:rPr>
          <w:color w:val="231F20"/>
          <w:w w:val="105"/>
        </w:rPr>
        <w:t>fees from Janssen, Abbvie, Gilead and Merck outside the submit- ted</w:t>
      </w:r>
      <w:r>
        <w:rPr>
          <w:color w:val="231F20"/>
          <w:spacing w:val="25"/>
          <w:w w:val="105"/>
        </w:rPr>
        <w:t> </w:t>
      </w:r>
      <w:r>
        <w:rPr>
          <w:color w:val="231F20"/>
          <w:w w:val="105"/>
        </w:rPr>
        <w:t>work.</w:t>
      </w:r>
      <w:r>
        <w:rPr>
          <w:color w:val="231F20"/>
          <w:spacing w:val="25"/>
          <w:w w:val="105"/>
        </w:rPr>
        <w:t> </w:t>
      </w:r>
      <w:r>
        <w:rPr>
          <w:color w:val="231F20"/>
          <w:w w:val="105"/>
        </w:rPr>
        <w:t>M.S.</w:t>
      </w:r>
      <w:r>
        <w:rPr>
          <w:color w:val="231F20"/>
          <w:spacing w:val="25"/>
          <w:w w:val="105"/>
        </w:rPr>
        <w:t> </w:t>
      </w:r>
      <w:r>
        <w:rPr>
          <w:color w:val="231F20"/>
          <w:w w:val="105"/>
        </w:rPr>
        <w:t>is</w:t>
      </w:r>
      <w:r>
        <w:rPr>
          <w:color w:val="231F20"/>
          <w:spacing w:val="23"/>
          <w:w w:val="105"/>
        </w:rPr>
        <w:t> </w:t>
      </w:r>
      <w:r>
        <w:rPr>
          <w:color w:val="231F20"/>
          <w:w w:val="105"/>
        </w:rPr>
        <w:t>an</w:t>
      </w:r>
      <w:r>
        <w:rPr>
          <w:color w:val="231F20"/>
          <w:spacing w:val="25"/>
          <w:w w:val="105"/>
        </w:rPr>
        <w:t> </w:t>
      </w:r>
      <w:r>
        <w:rPr>
          <w:color w:val="231F20"/>
          <w:w w:val="105"/>
        </w:rPr>
        <w:t>employee</w:t>
      </w:r>
      <w:r>
        <w:rPr>
          <w:color w:val="231F20"/>
          <w:spacing w:val="25"/>
          <w:w w:val="105"/>
        </w:rPr>
        <w:t> </w:t>
      </w:r>
      <w:r>
        <w:rPr>
          <w:color w:val="231F20"/>
          <w:w w:val="105"/>
        </w:rPr>
        <w:t>and</w:t>
      </w:r>
      <w:r>
        <w:rPr>
          <w:color w:val="231F20"/>
          <w:spacing w:val="23"/>
          <w:w w:val="105"/>
        </w:rPr>
        <w:t> </w:t>
      </w:r>
      <w:r>
        <w:rPr>
          <w:color w:val="231F20"/>
          <w:w w:val="105"/>
        </w:rPr>
        <w:t>shareholder</w:t>
      </w:r>
      <w:r>
        <w:rPr>
          <w:color w:val="231F20"/>
          <w:spacing w:val="25"/>
          <w:w w:val="105"/>
        </w:rPr>
        <w:t> </w:t>
      </w:r>
      <w:r>
        <w:rPr>
          <w:color w:val="231F20"/>
          <w:w w:val="105"/>
        </w:rPr>
        <w:t>of</w:t>
      </w:r>
      <w:r>
        <w:rPr>
          <w:color w:val="231F20"/>
          <w:spacing w:val="25"/>
          <w:w w:val="105"/>
        </w:rPr>
        <w:t> </w:t>
      </w:r>
      <w:r>
        <w:rPr>
          <w:color w:val="231F20"/>
          <w:w w:val="105"/>
        </w:rPr>
        <w:t>Janssen</w:t>
      </w:r>
    </w:p>
    <w:p>
      <w:pPr>
        <w:pStyle w:val="BodyText"/>
        <w:spacing w:line="230" w:lineRule="auto" w:before="88"/>
        <w:ind w:right="115"/>
        <w:jc w:val="both"/>
      </w:pPr>
      <w:r>
        <w:rPr/>
        <w:br w:type="column"/>
      </w:r>
      <w:r>
        <w:rPr>
          <w:color w:val="231F20"/>
          <w:w w:val="105"/>
        </w:rPr>
        <w:t>Cilag Pharma. S.O.M. reports personal fees from Johnson &amp; Johnson outside the submitted work. C.B. reports personal fees</w:t>
      </w:r>
      <w:r>
        <w:rPr>
          <w:color w:val="231F20"/>
          <w:spacing w:val="-5"/>
          <w:w w:val="105"/>
        </w:rPr>
        <w:t> </w:t>
      </w:r>
      <w:r>
        <w:rPr>
          <w:color w:val="231F20"/>
          <w:w w:val="105"/>
        </w:rPr>
        <w:t>from</w:t>
      </w:r>
      <w:r>
        <w:rPr>
          <w:color w:val="231F20"/>
          <w:spacing w:val="-5"/>
          <w:w w:val="105"/>
        </w:rPr>
        <w:t> </w:t>
      </w:r>
      <w:r>
        <w:rPr>
          <w:color w:val="231F20"/>
          <w:w w:val="105"/>
        </w:rPr>
        <w:t>Bicer</w:t>
      </w:r>
      <w:r>
        <w:rPr>
          <w:color w:val="231F20"/>
          <w:spacing w:val="-6"/>
          <w:w w:val="105"/>
        </w:rPr>
        <w:t> </w:t>
      </w:r>
      <w:r>
        <w:rPr>
          <w:color w:val="231F20"/>
          <w:w w:val="105"/>
        </w:rPr>
        <w:t>Consulting</w:t>
      </w:r>
      <w:r>
        <w:rPr>
          <w:color w:val="231F20"/>
          <w:spacing w:val="-5"/>
          <w:w w:val="105"/>
        </w:rPr>
        <w:t> </w:t>
      </w:r>
      <w:r>
        <w:rPr>
          <w:color w:val="231F20"/>
          <w:w w:val="105"/>
        </w:rPr>
        <w:t>&amp;</w:t>
      </w:r>
      <w:r>
        <w:rPr>
          <w:color w:val="231F20"/>
          <w:spacing w:val="-6"/>
          <w:w w:val="105"/>
        </w:rPr>
        <w:t> </w:t>
      </w:r>
      <w:r>
        <w:rPr>
          <w:color w:val="231F20"/>
          <w:w w:val="105"/>
        </w:rPr>
        <w:t>Research</w:t>
      </w:r>
      <w:r>
        <w:rPr>
          <w:color w:val="231F20"/>
          <w:spacing w:val="-6"/>
          <w:w w:val="105"/>
        </w:rPr>
        <w:t> </w:t>
      </w:r>
      <w:r>
        <w:rPr>
          <w:color w:val="231F20"/>
          <w:w w:val="105"/>
        </w:rPr>
        <w:t>BVBA</w:t>
      </w:r>
      <w:r>
        <w:rPr>
          <w:color w:val="231F20"/>
          <w:spacing w:val="-4"/>
          <w:w w:val="105"/>
        </w:rPr>
        <w:t> </w:t>
      </w:r>
      <w:r>
        <w:rPr>
          <w:color w:val="231F20"/>
          <w:w w:val="105"/>
        </w:rPr>
        <w:t>during</w:t>
      </w:r>
      <w:r>
        <w:rPr>
          <w:color w:val="231F20"/>
          <w:spacing w:val="-5"/>
          <w:w w:val="105"/>
        </w:rPr>
        <w:t> </w:t>
      </w:r>
      <w:r>
        <w:rPr>
          <w:color w:val="231F20"/>
          <w:w w:val="105"/>
        </w:rPr>
        <w:t>the</w:t>
      </w:r>
      <w:r>
        <w:rPr>
          <w:color w:val="231F20"/>
          <w:spacing w:val="-6"/>
          <w:w w:val="105"/>
        </w:rPr>
        <w:t> </w:t>
      </w:r>
      <w:r>
        <w:rPr>
          <w:color w:val="231F20"/>
          <w:w w:val="105"/>
        </w:rPr>
        <w:t>con- duct of the study and outside of the submitted work. I.L.D.</w:t>
      </w:r>
      <w:r>
        <w:rPr>
          <w:color w:val="231F20"/>
          <w:spacing w:val="-32"/>
          <w:w w:val="105"/>
        </w:rPr>
        <w:t> </w:t>
      </w:r>
      <w:r>
        <w:rPr>
          <w:color w:val="231F20"/>
          <w:w w:val="105"/>
        </w:rPr>
        <w:t>is an employee of Janssen. W.J. is an employee of Janssen Pharmaceutica NV and a shareholder of Johnson &amp;</w:t>
      </w:r>
      <w:r>
        <w:rPr>
          <w:color w:val="231F20"/>
          <w:spacing w:val="21"/>
          <w:w w:val="105"/>
        </w:rPr>
        <w:t> </w:t>
      </w:r>
      <w:r>
        <w:rPr>
          <w:color w:val="231F20"/>
          <w:w w:val="105"/>
        </w:rPr>
        <w:t>Johnson.</w:t>
      </w:r>
    </w:p>
    <w:p>
      <w:pPr>
        <w:pStyle w:val="BodyText"/>
        <w:spacing w:line="230" w:lineRule="auto"/>
        <w:ind w:right="114"/>
        <w:jc w:val="both"/>
      </w:pPr>
      <w:r>
        <w:rPr>
          <w:color w:val="231F20"/>
          <w:w w:val="105"/>
        </w:rPr>
        <w:t>M.B.M. is an employee of Janssen. R.K. is an employee of Janssen</w:t>
      </w:r>
      <w:r>
        <w:rPr>
          <w:color w:val="231F20"/>
          <w:spacing w:val="-11"/>
          <w:w w:val="105"/>
        </w:rPr>
        <w:t> </w:t>
      </w:r>
      <w:r>
        <w:rPr>
          <w:color w:val="231F20"/>
          <w:w w:val="105"/>
        </w:rPr>
        <w:t>Pharmaceutica.</w:t>
      </w:r>
      <w:r>
        <w:rPr>
          <w:color w:val="231F20"/>
          <w:spacing w:val="-11"/>
          <w:w w:val="105"/>
        </w:rPr>
        <w:t> </w:t>
      </w:r>
      <w:r>
        <w:rPr>
          <w:color w:val="231F20"/>
          <w:w w:val="105"/>
        </w:rPr>
        <w:t>M.C.</w:t>
      </w:r>
      <w:r>
        <w:rPr>
          <w:color w:val="231F20"/>
          <w:spacing w:val="-10"/>
          <w:w w:val="105"/>
        </w:rPr>
        <w:t> </w:t>
      </w:r>
      <w:r>
        <w:rPr>
          <w:color w:val="231F20"/>
          <w:w w:val="105"/>
        </w:rPr>
        <w:t>reports</w:t>
      </w:r>
      <w:r>
        <w:rPr>
          <w:color w:val="231F20"/>
          <w:spacing w:val="-11"/>
          <w:w w:val="105"/>
        </w:rPr>
        <w:t> </w:t>
      </w:r>
      <w:r>
        <w:rPr>
          <w:color w:val="231F20"/>
          <w:w w:val="105"/>
        </w:rPr>
        <w:t>grants</w:t>
      </w:r>
      <w:r>
        <w:rPr>
          <w:color w:val="231F20"/>
          <w:spacing w:val="-10"/>
          <w:w w:val="105"/>
        </w:rPr>
        <w:t> </w:t>
      </w:r>
      <w:r>
        <w:rPr>
          <w:color w:val="231F20"/>
          <w:w w:val="105"/>
        </w:rPr>
        <w:t>and</w:t>
      </w:r>
      <w:r>
        <w:rPr>
          <w:color w:val="231F20"/>
          <w:spacing w:val="-10"/>
          <w:w w:val="105"/>
        </w:rPr>
        <w:t> </w:t>
      </w:r>
      <w:r>
        <w:rPr>
          <w:color w:val="231F20"/>
          <w:w w:val="105"/>
        </w:rPr>
        <w:t>personal</w:t>
      </w:r>
      <w:r>
        <w:rPr>
          <w:color w:val="231F20"/>
          <w:spacing w:val="-12"/>
          <w:w w:val="105"/>
        </w:rPr>
        <w:t> </w:t>
      </w:r>
      <w:r>
        <w:rPr>
          <w:color w:val="231F20"/>
          <w:w w:val="105"/>
        </w:rPr>
        <w:t>fees from Abbvie, Bristol-Myers Squibb, Gilead, Janssen-Cilag, Roche, Merck, MSD, Biogen, Falk Foundation, Boehringer- Ingelheim</w:t>
      </w:r>
      <w:r>
        <w:rPr>
          <w:color w:val="231F20"/>
          <w:spacing w:val="-10"/>
          <w:w w:val="105"/>
        </w:rPr>
        <w:t> </w:t>
      </w:r>
      <w:r>
        <w:rPr>
          <w:color w:val="231F20"/>
          <w:w w:val="105"/>
        </w:rPr>
        <w:t>and</w:t>
      </w:r>
      <w:r>
        <w:rPr>
          <w:color w:val="231F20"/>
          <w:spacing w:val="-9"/>
          <w:w w:val="105"/>
        </w:rPr>
        <w:t> </w:t>
      </w:r>
      <w:r>
        <w:rPr>
          <w:color w:val="231F20"/>
          <w:w w:val="105"/>
        </w:rPr>
        <w:t>Siemens</w:t>
      </w:r>
      <w:r>
        <w:rPr>
          <w:color w:val="231F20"/>
          <w:spacing w:val="-9"/>
          <w:w w:val="105"/>
        </w:rPr>
        <w:t> </w:t>
      </w:r>
      <w:r>
        <w:rPr>
          <w:color w:val="231F20"/>
          <w:w w:val="105"/>
        </w:rPr>
        <w:t>outside</w:t>
      </w:r>
      <w:r>
        <w:rPr>
          <w:color w:val="231F20"/>
          <w:spacing w:val="-10"/>
          <w:w w:val="105"/>
        </w:rPr>
        <w:t> </w:t>
      </w:r>
      <w:r>
        <w:rPr>
          <w:color w:val="231F20"/>
          <w:w w:val="105"/>
        </w:rPr>
        <w:t>the</w:t>
      </w:r>
      <w:r>
        <w:rPr>
          <w:color w:val="231F20"/>
          <w:spacing w:val="-10"/>
          <w:w w:val="105"/>
        </w:rPr>
        <w:t> </w:t>
      </w:r>
      <w:r>
        <w:rPr>
          <w:color w:val="231F20"/>
          <w:w w:val="105"/>
        </w:rPr>
        <w:t>submitted</w:t>
      </w:r>
      <w:r>
        <w:rPr>
          <w:color w:val="231F20"/>
          <w:spacing w:val="-9"/>
          <w:w w:val="105"/>
        </w:rPr>
        <w:t> </w:t>
      </w:r>
      <w:r>
        <w:rPr>
          <w:color w:val="231F20"/>
          <w:w w:val="105"/>
        </w:rPr>
        <w:t>work.</w:t>
      </w:r>
      <w:r>
        <w:rPr>
          <w:color w:val="231F20"/>
          <w:spacing w:val="-9"/>
          <w:w w:val="105"/>
        </w:rPr>
        <w:t> </w:t>
      </w:r>
      <w:r>
        <w:rPr>
          <w:color w:val="231F20"/>
          <w:w w:val="105"/>
        </w:rPr>
        <w:t>The</w:t>
      </w:r>
      <w:r>
        <w:rPr>
          <w:color w:val="231F20"/>
          <w:spacing w:val="-10"/>
          <w:w w:val="105"/>
        </w:rPr>
        <w:t> </w:t>
      </w:r>
      <w:r>
        <w:rPr>
          <w:color w:val="231F20"/>
          <w:w w:val="105"/>
        </w:rPr>
        <w:t>data have</w:t>
      </w:r>
      <w:r>
        <w:rPr>
          <w:color w:val="231F20"/>
          <w:spacing w:val="-7"/>
          <w:w w:val="105"/>
        </w:rPr>
        <w:t> </w:t>
      </w:r>
      <w:r>
        <w:rPr>
          <w:color w:val="231F20"/>
          <w:w w:val="105"/>
        </w:rPr>
        <w:t>been</w:t>
      </w:r>
      <w:r>
        <w:rPr>
          <w:color w:val="231F20"/>
          <w:spacing w:val="-7"/>
          <w:w w:val="105"/>
        </w:rPr>
        <w:t> </w:t>
      </w:r>
      <w:r>
        <w:rPr>
          <w:color w:val="231F20"/>
          <w:w w:val="105"/>
        </w:rPr>
        <w:t>previously</w:t>
      </w:r>
      <w:r>
        <w:rPr>
          <w:color w:val="231F20"/>
          <w:spacing w:val="-7"/>
          <w:w w:val="105"/>
        </w:rPr>
        <w:t> </w:t>
      </w:r>
      <w:r>
        <w:rPr>
          <w:color w:val="231F20"/>
          <w:w w:val="105"/>
        </w:rPr>
        <w:t>presented,</w:t>
      </w:r>
      <w:r>
        <w:rPr>
          <w:color w:val="231F20"/>
          <w:spacing w:val="-6"/>
          <w:w w:val="105"/>
        </w:rPr>
        <w:t> </w:t>
      </w:r>
      <w:r>
        <w:rPr>
          <w:color w:val="231F20"/>
          <w:w w:val="105"/>
        </w:rPr>
        <w:t>in</w:t>
      </w:r>
      <w:r>
        <w:rPr>
          <w:color w:val="231F20"/>
          <w:spacing w:val="-6"/>
          <w:w w:val="105"/>
        </w:rPr>
        <w:t> </w:t>
      </w:r>
      <w:r>
        <w:rPr>
          <w:color w:val="231F20"/>
          <w:w w:val="105"/>
        </w:rPr>
        <w:t>part,</w:t>
      </w:r>
      <w:r>
        <w:rPr>
          <w:color w:val="231F20"/>
          <w:spacing w:val="-7"/>
          <w:w w:val="105"/>
        </w:rPr>
        <w:t> </w:t>
      </w:r>
      <w:r>
        <w:rPr>
          <w:color w:val="231F20"/>
          <w:w w:val="105"/>
        </w:rPr>
        <w:t>as</w:t>
      </w:r>
      <w:r>
        <w:rPr>
          <w:color w:val="231F20"/>
          <w:spacing w:val="-8"/>
          <w:w w:val="105"/>
        </w:rPr>
        <w:t> </w:t>
      </w:r>
      <w:r>
        <w:rPr>
          <w:color w:val="231F20"/>
          <w:w w:val="105"/>
        </w:rPr>
        <w:t>a</w:t>
      </w:r>
      <w:r>
        <w:rPr>
          <w:color w:val="231F20"/>
          <w:spacing w:val="-7"/>
          <w:w w:val="105"/>
        </w:rPr>
        <w:t> </w:t>
      </w:r>
      <w:r>
        <w:rPr>
          <w:color w:val="231F20"/>
          <w:w w:val="105"/>
        </w:rPr>
        <w:t>poster</w:t>
      </w:r>
      <w:r>
        <w:rPr>
          <w:color w:val="231F20"/>
          <w:spacing w:val="-7"/>
          <w:w w:val="105"/>
        </w:rPr>
        <w:t> </w:t>
      </w:r>
      <w:r>
        <w:rPr>
          <w:color w:val="231F20"/>
          <w:w w:val="105"/>
        </w:rPr>
        <w:t>at</w:t>
      </w:r>
      <w:r>
        <w:rPr>
          <w:color w:val="231F20"/>
          <w:spacing w:val="-8"/>
          <w:w w:val="105"/>
        </w:rPr>
        <w:t> </w:t>
      </w:r>
      <w:r>
        <w:rPr>
          <w:color w:val="231F20"/>
          <w:w w:val="105"/>
        </w:rPr>
        <w:t>the</w:t>
      </w:r>
      <w:r>
        <w:rPr>
          <w:color w:val="231F20"/>
          <w:spacing w:val="-7"/>
          <w:w w:val="105"/>
        </w:rPr>
        <w:t> </w:t>
      </w:r>
      <w:r>
        <w:rPr>
          <w:color w:val="231F20"/>
          <w:w w:val="105"/>
        </w:rPr>
        <w:t>fol- lowing conferences: EASL Special Conference 2016 (Poster 251), International Liver Congress 2017 (Poster THU-281) and International Workshop on Clinical Pharmacology of Antiviral Therapy 2017 (Poster</w:t>
      </w:r>
      <w:r>
        <w:rPr>
          <w:color w:val="231F20"/>
          <w:spacing w:val="12"/>
          <w:w w:val="105"/>
        </w:rPr>
        <w:t> </w:t>
      </w:r>
      <w:r>
        <w:rPr>
          <w:color w:val="231F20"/>
          <w:w w:val="105"/>
        </w:rPr>
        <w:t>35).</w:t>
      </w:r>
    </w:p>
    <w:p>
      <w:pPr>
        <w:spacing w:line="249" w:lineRule="auto" w:before="12"/>
        <w:ind w:left="100" w:right="116" w:firstLine="280"/>
        <w:jc w:val="both"/>
        <w:rPr>
          <w:sz w:val="17"/>
        </w:rPr>
      </w:pPr>
      <w:r>
        <w:rPr>
          <w:rFonts w:ascii="Book Antiqua"/>
          <w:i/>
          <w:color w:val="231F20"/>
          <w:w w:val="105"/>
          <w:sz w:val="17"/>
        </w:rPr>
        <w:t>The authors thank Sandy van Hemelryck for reviewing part of </w:t>
      </w:r>
      <w:r>
        <w:rPr>
          <w:rFonts w:ascii="Book Antiqua"/>
          <w:i/>
          <w:color w:val="231F20"/>
          <w:w w:val="105"/>
          <w:sz w:val="17"/>
        </w:rPr>
        <w:t>the data and T.O.M. Life Science Consulting for editorial assistance. The study and editorial assistance was supported financially by Janssen Cilag Pharma</w:t>
      </w:r>
      <w:r>
        <w:rPr>
          <w:color w:val="231F20"/>
          <w:w w:val="105"/>
          <w:sz w:val="17"/>
        </w:rPr>
        <w:t>.</w:t>
      </w:r>
    </w:p>
    <w:p>
      <w:pPr>
        <w:pStyle w:val="BodyText"/>
        <w:ind w:left="0"/>
        <w:rPr>
          <w:sz w:val="20"/>
        </w:rPr>
      </w:pPr>
    </w:p>
    <w:p>
      <w:pPr>
        <w:pStyle w:val="Heading1"/>
        <w:spacing w:before="179"/>
      </w:pPr>
      <w:r>
        <w:rPr>
          <w:color w:val="00AB54"/>
        </w:rPr>
        <w:t>Contributors</w:t>
      </w:r>
    </w:p>
    <w:p>
      <w:pPr>
        <w:pStyle w:val="BodyText"/>
        <w:spacing w:line="225" w:lineRule="exact" w:before="146"/>
      </w:pPr>
      <w:r>
        <w:rPr>
          <w:color w:val="231F20"/>
          <w:w w:val="105"/>
        </w:rPr>
        <w:t>F.M., C.H.S., S.K., D.B., M.C., R.K., M.B., W.J., M.S. and I.L.D.</w:t>
      </w:r>
    </w:p>
    <w:p>
      <w:pPr>
        <w:pStyle w:val="BodyText"/>
        <w:spacing w:line="230" w:lineRule="auto" w:before="3"/>
        <w:ind w:right="115"/>
        <w:jc w:val="both"/>
      </w:pPr>
      <w:r>
        <w:rPr>
          <w:color w:val="231F20"/>
          <w:w w:val="105"/>
        </w:rPr>
        <w:t>were responsible for the study concept and design. F.M., C.H.S., S.K., D.B., M.C., S.O.M., C.B., W.J. and M.S. carried</w:t>
      </w:r>
    </w:p>
    <w:p>
      <w:pPr>
        <w:pStyle w:val="BodyText"/>
        <w:spacing w:line="230" w:lineRule="auto"/>
        <w:ind w:right="115"/>
        <w:jc w:val="both"/>
      </w:pPr>
      <w:r>
        <w:rPr>
          <w:color w:val="231F20"/>
          <w:w w:val="105"/>
        </w:rPr>
        <w:t>out analysis and interpretation of the data. F.M.,  C.H.S., S.K., D.B., M.C., C.B. and M.S. drafted the manuscript, with editorial support from T.O.M. Life Science Consulting. All authors critically revised and approved the</w:t>
      </w:r>
      <w:r>
        <w:rPr>
          <w:color w:val="231F20"/>
          <w:spacing w:val="1"/>
          <w:w w:val="105"/>
        </w:rPr>
        <w:t> </w:t>
      </w:r>
      <w:r>
        <w:rPr>
          <w:color w:val="231F20"/>
          <w:w w:val="105"/>
        </w:rPr>
        <w:t>manuscript.</w:t>
      </w:r>
    </w:p>
    <w:p>
      <w:pPr>
        <w:pStyle w:val="BodyText"/>
        <w:ind w:left="0"/>
        <w:rPr>
          <w:sz w:val="20"/>
        </w:rPr>
      </w:pPr>
    </w:p>
    <w:p>
      <w:pPr>
        <w:pStyle w:val="BodyText"/>
        <w:spacing w:before="6"/>
        <w:ind w:left="0"/>
        <w:rPr>
          <w:sz w:val="11"/>
        </w:rPr>
      </w:pPr>
      <w:r>
        <w:rPr/>
        <w:pict>
          <v:line style="position:absolute;mso-position-horizontal-relative:page;mso-position-vertical-relative:paragraph;z-index:1216;mso-wrap-distance-left:0;mso-wrap-distance-right:0" from="311.016998pt,9.841918pt" to="552.018998pt,9.841918pt" stroked="true" strokeweight=".283450pt" strokecolor="#00ab54">
            <v:stroke dashstyle="solid"/>
            <w10:wrap type="topAndBottom"/>
          </v:line>
        </w:pict>
      </w:r>
    </w:p>
    <w:p>
      <w:pPr>
        <w:pStyle w:val="BodyText"/>
        <w:spacing w:before="11"/>
        <w:ind w:left="0"/>
        <w:rPr>
          <w:sz w:val="20"/>
        </w:rPr>
      </w:pPr>
    </w:p>
    <w:p>
      <w:pPr>
        <w:pStyle w:val="Heading3"/>
        <w:spacing w:before="1"/>
        <w:rPr>
          <w:rFonts w:ascii="Calibri"/>
        </w:rPr>
      </w:pPr>
      <w:r>
        <w:rPr>
          <w:rFonts w:ascii="Calibri"/>
          <w:color w:val="00AB54"/>
          <w:w w:val="120"/>
        </w:rPr>
        <w:t>References</w:t>
      </w:r>
    </w:p>
    <w:p>
      <w:pPr>
        <w:pStyle w:val="ListParagraph"/>
        <w:numPr>
          <w:ilvl w:val="0"/>
          <w:numId w:val="2"/>
        </w:numPr>
        <w:tabs>
          <w:tab w:pos="341" w:val="left" w:leader="none"/>
        </w:tabs>
        <w:spacing w:line="240" w:lineRule="auto" w:before="103" w:after="0"/>
        <w:ind w:left="340" w:right="241" w:hanging="165"/>
        <w:jc w:val="left"/>
        <w:rPr>
          <w:sz w:val="15"/>
        </w:rPr>
      </w:pPr>
      <w:r>
        <w:rPr>
          <w:color w:val="231F20"/>
          <w:w w:val="105"/>
          <w:sz w:val="15"/>
        </w:rPr>
        <w:t>Back D, Else L. The importance of drug-drug interactions in the DAA era. Dig Liver Dis 2013; 45 (Suppl. 5):</w:t>
      </w:r>
      <w:r>
        <w:rPr>
          <w:color w:val="231F20"/>
          <w:spacing w:val="25"/>
          <w:w w:val="105"/>
          <w:sz w:val="15"/>
        </w:rPr>
        <w:t> </w:t>
      </w:r>
      <w:r>
        <w:rPr>
          <w:color w:val="231F20"/>
          <w:w w:val="105"/>
          <w:sz w:val="15"/>
        </w:rPr>
        <w:t>S343</w:t>
      </w:r>
      <w:r>
        <w:rPr>
          <w:rFonts w:ascii="Lucida Sans" w:hAnsi="Lucida Sans"/>
          <w:color w:val="231F20"/>
          <w:w w:val="105"/>
          <w:sz w:val="15"/>
        </w:rPr>
        <w:t>–</w:t>
      </w:r>
      <w:r>
        <w:rPr>
          <w:color w:val="231F20"/>
          <w:w w:val="105"/>
          <w:sz w:val="15"/>
        </w:rPr>
        <w:t>8.</w:t>
      </w:r>
    </w:p>
    <w:p>
      <w:pPr>
        <w:pStyle w:val="ListParagraph"/>
        <w:numPr>
          <w:ilvl w:val="0"/>
          <w:numId w:val="2"/>
        </w:numPr>
        <w:tabs>
          <w:tab w:pos="341" w:val="left" w:leader="none"/>
        </w:tabs>
        <w:spacing w:line="237" w:lineRule="auto" w:before="97" w:after="0"/>
        <w:ind w:left="340" w:right="176" w:hanging="165"/>
        <w:jc w:val="left"/>
        <w:rPr>
          <w:sz w:val="15"/>
        </w:rPr>
      </w:pPr>
      <w:r>
        <w:rPr>
          <w:color w:val="231F20"/>
          <w:w w:val="105"/>
          <w:sz w:val="15"/>
        </w:rPr>
        <w:t>Soriano V, Labarga P, Barreiro P, Fernandez-Montero JV, de Mendoza C, Esposito I, </w:t>
      </w:r>
      <w:r>
        <w:rPr>
          <w:rFonts w:ascii="Book Antiqua" w:hAnsi="Book Antiqua"/>
          <w:i/>
          <w:color w:val="231F20"/>
          <w:w w:val="105"/>
          <w:sz w:val="15"/>
        </w:rPr>
        <w:t>et al</w:t>
      </w:r>
      <w:r>
        <w:rPr>
          <w:color w:val="231F20"/>
          <w:w w:val="105"/>
          <w:sz w:val="15"/>
        </w:rPr>
        <w:t>. Drug interactions with new hepatitis C oral drugs. Expert Opin Drug Metab Toxicol 2015;  </w:t>
      </w:r>
      <w:r>
        <w:rPr>
          <w:color w:val="231F20"/>
          <w:spacing w:val="-3"/>
          <w:w w:val="105"/>
          <w:sz w:val="15"/>
        </w:rPr>
        <w:t>11:</w:t>
      </w:r>
      <w:r>
        <w:rPr>
          <w:color w:val="231F20"/>
          <w:spacing w:val="22"/>
          <w:w w:val="105"/>
          <w:sz w:val="15"/>
        </w:rPr>
        <w:t> </w:t>
      </w:r>
      <w:r>
        <w:rPr>
          <w:color w:val="231F20"/>
          <w:w w:val="105"/>
          <w:sz w:val="15"/>
        </w:rPr>
        <w:t>333</w:t>
      </w:r>
      <w:r>
        <w:rPr>
          <w:rFonts w:ascii="Lucida Sans" w:hAnsi="Lucida Sans"/>
          <w:color w:val="231F20"/>
          <w:w w:val="105"/>
          <w:sz w:val="15"/>
        </w:rPr>
        <w:t>–</w:t>
      </w:r>
      <w:r>
        <w:rPr>
          <w:color w:val="231F20"/>
          <w:w w:val="105"/>
          <w:sz w:val="15"/>
        </w:rPr>
        <w:t>41.</w:t>
      </w:r>
    </w:p>
    <w:p>
      <w:pPr>
        <w:pStyle w:val="ListParagraph"/>
        <w:numPr>
          <w:ilvl w:val="0"/>
          <w:numId w:val="2"/>
        </w:numPr>
        <w:tabs>
          <w:tab w:pos="341" w:val="left" w:leader="none"/>
        </w:tabs>
        <w:spacing w:line="237" w:lineRule="auto" w:before="99" w:after="0"/>
        <w:ind w:left="340" w:right="141" w:hanging="165"/>
        <w:jc w:val="left"/>
        <w:rPr>
          <w:sz w:val="15"/>
        </w:rPr>
      </w:pPr>
      <w:r>
        <w:rPr>
          <w:color w:val="231F20"/>
          <w:w w:val="105"/>
          <w:sz w:val="15"/>
        </w:rPr>
        <w:t>Moreno C, Berg T, Tanwandee T, Thongsawat S, Van Vlierberghe H, Zeuzem S, </w:t>
      </w:r>
      <w:r>
        <w:rPr>
          <w:rFonts w:ascii="Book Antiqua" w:hAnsi="Book Antiqua"/>
          <w:i/>
          <w:color w:val="231F20"/>
          <w:w w:val="105"/>
          <w:sz w:val="15"/>
        </w:rPr>
        <w:t>et al</w:t>
      </w:r>
      <w:r>
        <w:rPr>
          <w:color w:val="231F20"/>
          <w:w w:val="105"/>
          <w:sz w:val="15"/>
        </w:rPr>
        <w:t>. Antiviral activity of TMC435 monotherapy in patients infected with HCV genotypes 2-6: TMC435-C202, a phase IIa, open-label </w:t>
      </w:r>
      <w:r>
        <w:rPr>
          <w:color w:val="231F20"/>
          <w:spacing w:val="-3"/>
          <w:w w:val="105"/>
          <w:sz w:val="15"/>
        </w:rPr>
        <w:t>study. </w:t>
      </w:r>
      <w:r>
        <w:rPr>
          <w:color w:val="231F20"/>
          <w:w w:val="105"/>
          <w:sz w:val="15"/>
        </w:rPr>
        <w:t>J Hepatol 2012; 56:</w:t>
      </w:r>
      <w:r>
        <w:rPr>
          <w:color w:val="231F20"/>
          <w:spacing w:val="26"/>
          <w:w w:val="105"/>
          <w:sz w:val="15"/>
        </w:rPr>
        <w:t> </w:t>
      </w:r>
      <w:r>
        <w:rPr>
          <w:color w:val="231F20"/>
          <w:w w:val="105"/>
          <w:sz w:val="15"/>
        </w:rPr>
        <w:t>1247</w:t>
      </w:r>
      <w:r>
        <w:rPr>
          <w:rFonts w:ascii="Lucida Sans" w:hAnsi="Lucida Sans"/>
          <w:color w:val="231F20"/>
          <w:w w:val="105"/>
          <w:sz w:val="15"/>
        </w:rPr>
        <w:t>–</w:t>
      </w:r>
      <w:r>
        <w:rPr>
          <w:color w:val="231F20"/>
          <w:w w:val="105"/>
          <w:sz w:val="15"/>
        </w:rPr>
        <w:t>53.</w:t>
      </w:r>
    </w:p>
    <w:p>
      <w:pPr>
        <w:pStyle w:val="ListParagraph"/>
        <w:numPr>
          <w:ilvl w:val="0"/>
          <w:numId w:val="2"/>
        </w:numPr>
        <w:tabs>
          <w:tab w:pos="341" w:val="left" w:leader="none"/>
        </w:tabs>
        <w:spacing w:line="237" w:lineRule="auto" w:before="99" w:after="0"/>
        <w:ind w:left="340" w:right="162" w:hanging="165"/>
        <w:jc w:val="left"/>
        <w:rPr>
          <w:sz w:val="15"/>
        </w:rPr>
      </w:pPr>
      <w:r>
        <w:rPr>
          <w:color w:val="231F20"/>
          <w:w w:val="105"/>
          <w:sz w:val="15"/>
        </w:rPr>
        <w:t>Janssen-Cilag International NV. Olysio </w:t>
      </w:r>
      <w:r>
        <w:rPr>
          <w:rFonts w:ascii="Lucida Sans" w:hAnsi="Lucida Sans"/>
          <w:color w:val="231F20"/>
          <w:w w:val="105"/>
          <w:sz w:val="15"/>
        </w:rPr>
        <w:t>– </w:t>
      </w:r>
      <w:r>
        <w:rPr>
          <w:color w:val="231F20"/>
          <w:w w:val="105"/>
          <w:sz w:val="15"/>
        </w:rPr>
        <w:t>Summary of Product Characteristics. Eur Med Agency 2017. Available at </w:t>
      </w:r>
      <w:hyperlink r:id="rId25">
        <w:r>
          <w:rPr>
            <w:color w:val="231F20"/>
            <w:w w:val="105"/>
            <w:sz w:val="15"/>
          </w:rPr>
          <w:t>http://www.</w:t>
        </w:r>
      </w:hyperlink>
      <w:hyperlink r:id="rId25">
        <w:r>
          <w:rPr>
            <w:color w:val="231F20"/>
            <w:w w:val="105"/>
            <w:sz w:val="15"/>
          </w:rPr>
          <w:t> </w:t>
        </w:r>
        <w:r>
          <w:rPr>
            <w:color w:val="231F20"/>
            <w:sz w:val="15"/>
          </w:rPr>
          <w:t>ema.europa.eu/docs/en_GB/document_library/EPAR_-_Product_</w:t>
        </w:r>
      </w:hyperlink>
      <w:hyperlink r:id="rId25">
        <w:r>
          <w:rPr>
            <w:color w:val="231F20"/>
            <w:sz w:val="15"/>
          </w:rPr>
          <w:t> </w:t>
        </w:r>
        <w:r>
          <w:rPr>
            <w:color w:val="231F20"/>
            <w:w w:val="105"/>
            <w:sz w:val="15"/>
          </w:rPr>
          <w:t>Information/human/002777/WC500167867.pdf </w:t>
        </w:r>
      </w:hyperlink>
      <w:r>
        <w:rPr>
          <w:color w:val="231F20"/>
          <w:w w:val="105"/>
          <w:sz w:val="15"/>
        </w:rPr>
        <w:t>(last accessed February</w:t>
      </w:r>
      <w:r>
        <w:rPr>
          <w:color w:val="231F20"/>
          <w:spacing w:val="1"/>
          <w:w w:val="105"/>
          <w:sz w:val="15"/>
        </w:rPr>
        <w:t> </w:t>
      </w:r>
      <w:r>
        <w:rPr>
          <w:color w:val="231F20"/>
          <w:w w:val="105"/>
          <w:sz w:val="15"/>
        </w:rPr>
        <w:t>2018).</w:t>
      </w:r>
    </w:p>
    <w:p>
      <w:pPr>
        <w:pStyle w:val="ListParagraph"/>
        <w:numPr>
          <w:ilvl w:val="0"/>
          <w:numId w:val="2"/>
        </w:numPr>
        <w:tabs>
          <w:tab w:pos="341" w:val="left" w:leader="none"/>
        </w:tabs>
        <w:spacing w:line="237" w:lineRule="auto" w:before="98" w:after="0"/>
        <w:ind w:left="340" w:right="136" w:hanging="165"/>
        <w:jc w:val="left"/>
        <w:rPr>
          <w:sz w:val="15"/>
        </w:rPr>
      </w:pPr>
      <w:r>
        <w:rPr>
          <w:color w:val="231F20"/>
          <w:sz w:val="15"/>
        </w:rPr>
        <w:t>Ouwerkerk-Mahadevan S, Snoeys J, Peeters M, Beumont-Mauviel M, Simion A. Drug-drug interactions with the NS3/4A protease inhibitor simeprevir. Clin Pharmacokinet 2016; 55:</w:t>
      </w:r>
      <w:r>
        <w:rPr>
          <w:color w:val="231F20"/>
          <w:spacing w:val="-17"/>
          <w:sz w:val="15"/>
        </w:rPr>
        <w:t> </w:t>
      </w:r>
      <w:r>
        <w:rPr>
          <w:color w:val="231F20"/>
          <w:sz w:val="15"/>
        </w:rPr>
        <w:t>197</w:t>
      </w:r>
      <w:r>
        <w:rPr>
          <w:rFonts w:ascii="Lucida Sans" w:hAnsi="Lucida Sans"/>
          <w:color w:val="231F20"/>
          <w:sz w:val="15"/>
        </w:rPr>
        <w:t>–</w:t>
      </w:r>
      <w:r>
        <w:rPr>
          <w:color w:val="231F20"/>
          <w:sz w:val="15"/>
        </w:rPr>
        <w:t>208.</w:t>
      </w:r>
    </w:p>
    <w:p>
      <w:pPr>
        <w:pStyle w:val="ListParagraph"/>
        <w:numPr>
          <w:ilvl w:val="0"/>
          <w:numId w:val="2"/>
        </w:numPr>
        <w:tabs>
          <w:tab w:pos="341" w:val="left" w:leader="none"/>
        </w:tabs>
        <w:spacing w:line="237" w:lineRule="auto" w:before="98" w:after="0"/>
        <w:ind w:left="340" w:right="114" w:hanging="165"/>
        <w:jc w:val="both"/>
        <w:rPr>
          <w:sz w:val="15"/>
        </w:rPr>
      </w:pPr>
      <w:r>
        <w:rPr>
          <w:color w:val="231F20"/>
          <w:w w:val="105"/>
          <w:sz w:val="15"/>
        </w:rPr>
        <w:t>Fukui</w:t>
      </w:r>
      <w:r>
        <w:rPr>
          <w:color w:val="231F20"/>
          <w:spacing w:val="-18"/>
          <w:w w:val="105"/>
          <w:sz w:val="15"/>
        </w:rPr>
        <w:t> </w:t>
      </w:r>
      <w:r>
        <w:rPr>
          <w:color w:val="231F20"/>
          <w:w w:val="105"/>
          <w:sz w:val="15"/>
        </w:rPr>
        <w:t>M,</w:t>
      </w:r>
      <w:r>
        <w:rPr>
          <w:color w:val="231F20"/>
          <w:spacing w:val="-18"/>
          <w:w w:val="105"/>
          <w:sz w:val="15"/>
        </w:rPr>
        <w:t> </w:t>
      </w:r>
      <w:r>
        <w:rPr>
          <w:color w:val="231F20"/>
          <w:w w:val="105"/>
          <w:sz w:val="15"/>
        </w:rPr>
        <w:t>Kitagawa</w:t>
      </w:r>
      <w:r>
        <w:rPr>
          <w:color w:val="231F20"/>
          <w:spacing w:val="-18"/>
          <w:w w:val="105"/>
          <w:sz w:val="15"/>
        </w:rPr>
        <w:t> </w:t>
      </w:r>
      <w:r>
        <w:rPr>
          <w:color w:val="231F20"/>
          <w:w w:val="105"/>
          <w:sz w:val="15"/>
        </w:rPr>
        <w:t>Y,</w:t>
      </w:r>
      <w:r>
        <w:rPr>
          <w:color w:val="231F20"/>
          <w:spacing w:val="-18"/>
          <w:w w:val="105"/>
          <w:sz w:val="15"/>
        </w:rPr>
        <w:t> </w:t>
      </w:r>
      <w:r>
        <w:rPr>
          <w:color w:val="231F20"/>
          <w:w w:val="105"/>
          <w:sz w:val="15"/>
        </w:rPr>
        <w:t>Nakamura</w:t>
      </w:r>
      <w:r>
        <w:rPr>
          <w:color w:val="231F20"/>
          <w:spacing w:val="-18"/>
          <w:w w:val="105"/>
          <w:sz w:val="15"/>
        </w:rPr>
        <w:t> </w:t>
      </w:r>
      <w:r>
        <w:rPr>
          <w:color w:val="231F20"/>
          <w:w w:val="105"/>
          <w:sz w:val="15"/>
        </w:rPr>
        <w:t>N,</w:t>
      </w:r>
      <w:r>
        <w:rPr>
          <w:color w:val="231F20"/>
          <w:spacing w:val="-18"/>
          <w:w w:val="105"/>
          <w:sz w:val="15"/>
        </w:rPr>
        <w:t> </w:t>
      </w:r>
      <w:r>
        <w:rPr>
          <w:color w:val="231F20"/>
          <w:w w:val="105"/>
          <w:sz w:val="15"/>
        </w:rPr>
        <w:t>Yoshikawa</w:t>
      </w:r>
      <w:r>
        <w:rPr>
          <w:color w:val="231F20"/>
          <w:spacing w:val="-18"/>
          <w:w w:val="105"/>
          <w:sz w:val="15"/>
        </w:rPr>
        <w:t> </w:t>
      </w:r>
      <w:r>
        <w:rPr>
          <w:color w:val="231F20"/>
          <w:w w:val="105"/>
          <w:sz w:val="15"/>
        </w:rPr>
        <w:t>T.</w:t>
      </w:r>
      <w:r>
        <w:rPr>
          <w:color w:val="231F20"/>
          <w:spacing w:val="-18"/>
          <w:w w:val="105"/>
          <w:sz w:val="15"/>
        </w:rPr>
        <w:t> </w:t>
      </w:r>
      <w:r>
        <w:rPr>
          <w:color w:val="231F20"/>
          <w:w w:val="105"/>
          <w:sz w:val="15"/>
        </w:rPr>
        <w:t>Hepatitis</w:t>
      </w:r>
      <w:r>
        <w:rPr>
          <w:color w:val="231F20"/>
          <w:spacing w:val="-18"/>
          <w:w w:val="105"/>
          <w:sz w:val="15"/>
        </w:rPr>
        <w:t> </w:t>
      </w:r>
      <w:r>
        <w:rPr>
          <w:color w:val="231F20"/>
          <w:w w:val="105"/>
          <w:sz w:val="15"/>
        </w:rPr>
        <w:t>C</w:t>
      </w:r>
      <w:r>
        <w:rPr>
          <w:color w:val="231F20"/>
          <w:spacing w:val="-18"/>
          <w:w w:val="105"/>
          <w:sz w:val="15"/>
        </w:rPr>
        <w:t> </w:t>
      </w:r>
      <w:r>
        <w:rPr>
          <w:color w:val="231F20"/>
          <w:w w:val="105"/>
          <w:sz w:val="15"/>
        </w:rPr>
        <w:t>virus and atherosclerosis in patients with type 2 diabetes. JAMA 2003; 289:</w:t>
      </w:r>
      <w:r>
        <w:rPr>
          <w:color w:val="231F20"/>
          <w:spacing w:val="2"/>
          <w:w w:val="105"/>
          <w:sz w:val="15"/>
        </w:rPr>
        <w:t> </w:t>
      </w:r>
      <w:r>
        <w:rPr>
          <w:color w:val="231F20"/>
          <w:w w:val="105"/>
          <w:sz w:val="15"/>
        </w:rPr>
        <w:t>1245</w:t>
      </w:r>
      <w:r>
        <w:rPr>
          <w:rFonts w:ascii="Lucida Sans" w:hAnsi="Lucida Sans"/>
          <w:color w:val="231F20"/>
          <w:w w:val="105"/>
          <w:sz w:val="15"/>
        </w:rPr>
        <w:t>–</w:t>
      </w:r>
      <w:r>
        <w:rPr>
          <w:color w:val="231F20"/>
          <w:w w:val="105"/>
          <w:sz w:val="15"/>
        </w:rPr>
        <w:t>6.</w:t>
      </w:r>
    </w:p>
    <w:p>
      <w:pPr>
        <w:pStyle w:val="ListParagraph"/>
        <w:numPr>
          <w:ilvl w:val="0"/>
          <w:numId w:val="2"/>
        </w:numPr>
        <w:tabs>
          <w:tab w:pos="341" w:val="left" w:leader="none"/>
        </w:tabs>
        <w:spacing w:line="237" w:lineRule="auto" w:before="100" w:after="0"/>
        <w:ind w:left="340" w:right="146" w:hanging="165"/>
        <w:jc w:val="left"/>
        <w:rPr>
          <w:sz w:val="15"/>
        </w:rPr>
      </w:pPr>
      <w:r>
        <w:rPr>
          <w:color w:val="231F20"/>
          <w:w w:val="105"/>
          <w:sz w:val="15"/>
        </w:rPr>
        <w:t>Jacobson IM, Cacoub P, Dal Maso L, Harrison SA, Younossi ZM. Manifestations of chronic hepatitis C virus infection beyond the liver. Clin Gastroenterol Hepatol 2010; 8:</w:t>
      </w:r>
      <w:r>
        <w:rPr>
          <w:color w:val="231F20"/>
          <w:spacing w:val="33"/>
          <w:w w:val="105"/>
          <w:sz w:val="15"/>
        </w:rPr>
        <w:t> </w:t>
      </w:r>
      <w:r>
        <w:rPr>
          <w:color w:val="231F20"/>
          <w:w w:val="105"/>
          <w:sz w:val="15"/>
        </w:rPr>
        <w:t>1017</w:t>
      </w:r>
      <w:r>
        <w:rPr>
          <w:rFonts w:ascii="Lucida Sans" w:hAnsi="Lucida Sans"/>
          <w:color w:val="231F20"/>
          <w:w w:val="105"/>
          <w:sz w:val="15"/>
        </w:rPr>
        <w:t>–</w:t>
      </w:r>
      <w:r>
        <w:rPr>
          <w:color w:val="231F20"/>
          <w:w w:val="105"/>
          <w:sz w:val="15"/>
        </w:rPr>
        <w:t>29.</w:t>
      </w:r>
    </w:p>
    <w:p>
      <w:pPr>
        <w:spacing w:after="0" w:line="237" w:lineRule="auto"/>
        <w:jc w:val="left"/>
        <w:rPr>
          <w:sz w:val="15"/>
        </w:rPr>
        <w:sectPr>
          <w:type w:val="continuous"/>
          <w:pgSz w:w="11880" w:h="15670"/>
          <w:pgMar w:top="380" w:bottom="0" w:left="740" w:right="720"/>
          <w:cols w:num="2" w:equalWidth="0">
            <w:col w:w="4964" w:space="417"/>
            <w:col w:w="5039"/>
          </w:cols>
        </w:sectPr>
      </w:pPr>
    </w:p>
    <w:p>
      <w:pPr>
        <w:pStyle w:val="BodyText"/>
        <w:spacing w:before="10"/>
        <w:ind w:left="0"/>
        <w:rPr>
          <w:sz w:val="7"/>
        </w:rPr>
      </w:pPr>
    </w:p>
    <w:p>
      <w:pPr>
        <w:spacing w:after="0"/>
        <w:rPr>
          <w:sz w:val="7"/>
        </w:rPr>
        <w:sectPr>
          <w:pgSz w:w="11880" w:h="15670"/>
          <w:pgMar w:header="462" w:footer="669" w:top="980" w:bottom="860" w:left="740" w:right="720"/>
        </w:sectPr>
      </w:pPr>
    </w:p>
    <w:p>
      <w:pPr>
        <w:pStyle w:val="ListParagraph"/>
        <w:numPr>
          <w:ilvl w:val="0"/>
          <w:numId w:val="2"/>
        </w:numPr>
        <w:tabs>
          <w:tab w:pos="341" w:val="left" w:leader="none"/>
        </w:tabs>
        <w:spacing w:line="237" w:lineRule="auto" w:before="90" w:after="0"/>
        <w:ind w:left="340" w:right="574" w:hanging="165"/>
        <w:jc w:val="left"/>
        <w:rPr>
          <w:sz w:val="15"/>
        </w:rPr>
      </w:pPr>
      <w:r>
        <w:rPr>
          <w:color w:val="231F20"/>
          <w:w w:val="105"/>
          <w:sz w:val="15"/>
        </w:rPr>
        <w:t>Adinol</w:t>
      </w:r>
      <w:r>
        <w:rPr>
          <w:rFonts w:ascii="Times New Roman" w:hAnsi="Times New Roman"/>
          <w:color w:val="231F20"/>
          <w:w w:val="105"/>
          <w:sz w:val="15"/>
        </w:rPr>
        <w:t>ﬁ</w:t>
      </w:r>
      <w:r>
        <w:rPr>
          <w:rFonts w:ascii="Times New Roman" w:hAnsi="Times New Roman"/>
          <w:color w:val="231F20"/>
          <w:spacing w:val="-8"/>
          <w:w w:val="105"/>
          <w:sz w:val="15"/>
        </w:rPr>
        <w:t> </w:t>
      </w:r>
      <w:r>
        <w:rPr>
          <w:color w:val="231F20"/>
          <w:w w:val="105"/>
          <w:sz w:val="15"/>
        </w:rPr>
        <w:t>LE,</w:t>
      </w:r>
      <w:r>
        <w:rPr>
          <w:color w:val="231F20"/>
          <w:spacing w:val="-8"/>
          <w:w w:val="105"/>
          <w:sz w:val="15"/>
        </w:rPr>
        <w:t> </w:t>
      </w:r>
      <w:r>
        <w:rPr>
          <w:color w:val="231F20"/>
          <w:w w:val="105"/>
          <w:sz w:val="15"/>
        </w:rPr>
        <w:t>Zampino</w:t>
      </w:r>
      <w:r>
        <w:rPr>
          <w:color w:val="231F20"/>
          <w:spacing w:val="-8"/>
          <w:w w:val="105"/>
          <w:sz w:val="15"/>
        </w:rPr>
        <w:t> </w:t>
      </w:r>
      <w:r>
        <w:rPr>
          <w:color w:val="231F20"/>
          <w:w w:val="105"/>
          <w:sz w:val="15"/>
        </w:rPr>
        <w:t>R,</w:t>
      </w:r>
      <w:r>
        <w:rPr>
          <w:color w:val="231F20"/>
          <w:spacing w:val="-8"/>
          <w:w w:val="105"/>
          <w:sz w:val="15"/>
        </w:rPr>
        <w:t> </w:t>
      </w:r>
      <w:r>
        <w:rPr>
          <w:color w:val="231F20"/>
          <w:w w:val="105"/>
          <w:sz w:val="15"/>
        </w:rPr>
        <w:t>Restivo</w:t>
      </w:r>
      <w:r>
        <w:rPr>
          <w:color w:val="231F20"/>
          <w:spacing w:val="-9"/>
          <w:w w:val="105"/>
          <w:sz w:val="15"/>
        </w:rPr>
        <w:t> </w:t>
      </w:r>
      <w:r>
        <w:rPr>
          <w:color w:val="231F20"/>
          <w:w w:val="105"/>
          <w:sz w:val="15"/>
        </w:rPr>
        <w:t>L,</w:t>
      </w:r>
      <w:r>
        <w:rPr>
          <w:color w:val="231F20"/>
          <w:spacing w:val="-8"/>
          <w:w w:val="105"/>
          <w:sz w:val="15"/>
        </w:rPr>
        <w:t> </w:t>
      </w:r>
      <w:r>
        <w:rPr>
          <w:color w:val="231F20"/>
          <w:w w:val="105"/>
          <w:sz w:val="15"/>
        </w:rPr>
        <w:t>Lonardo</w:t>
      </w:r>
      <w:r>
        <w:rPr>
          <w:color w:val="231F20"/>
          <w:spacing w:val="-9"/>
          <w:w w:val="105"/>
          <w:sz w:val="15"/>
        </w:rPr>
        <w:t> </w:t>
      </w:r>
      <w:r>
        <w:rPr>
          <w:color w:val="231F20"/>
          <w:w w:val="105"/>
          <w:sz w:val="15"/>
        </w:rPr>
        <w:t>A,</w:t>
      </w:r>
      <w:r>
        <w:rPr>
          <w:color w:val="231F20"/>
          <w:spacing w:val="-8"/>
          <w:w w:val="105"/>
          <w:sz w:val="15"/>
        </w:rPr>
        <w:t> </w:t>
      </w:r>
      <w:r>
        <w:rPr>
          <w:color w:val="231F20"/>
          <w:w w:val="105"/>
          <w:sz w:val="15"/>
        </w:rPr>
        <w:t>Guerrera</w:t>
      </w:r>
      <w:r>
        <w:rPr>
          <w:color w:val="231F20"/>
          <w:spacing w:val="-8"/>
          <w:w w:val="105"/>
          <w:sz w:val="15"/>
        </w:rPr>
        <w:t> </w:t>
      </w:r>
      <w:r>
        <w:rPr>
          <w:color w:val="231F20"/>
          <w:w w:val="105"/>
          <w:sz w:val="15"/>
        </w:rPr>
        <w:t>B, Marrone A, </w:t>
      </w:r>
      <w:r>
        <w:rPr>
          <w:rFonts w:ascii="Book Antiqua" w:hAnsi="Book Antiqua"/>
          <w:i/>
          <w:color w:val="231F20"/>
          <w:w w:val="105"/>
          <w:sz w:val="15"/>
        </w:rPr>
        <w:t>et al</w:t>
      </w:r>
      <w:r>
        <w:rPr>
          <w:color w:val="231F20"/>
          <w:w w:val="105"/>
          <w:sz w:val="15"/>
        </w:rPr>
        <w:t>. Chronic hepatitis C virus infection and atherosclerosis: clinical impact and mechanisms. World J Gastroenterol 2014; 20:</w:t>
      </w:r>
      <w:r>
        <w:rPr>
          <w:color w:val="231F20"/>
          <w:spacing w:val="15"/>
          <w:w w:val="105"/>
          <w:sz w:val="15"/>
        </w:rPr>
        <w:t> </w:t>
      </w:r>
      <w:r>
        <w:rPr>
          <w:color w:val="231F20"/>
          <w:w w:val="105"/>
          <w:sz w:val="15"/>
        </w:rPr>
        <w:t>3410</w:t>
      </w:r>
      <w:r>
        <w:rPr>
          <w:rFonts w:ascii="Lucida Sans" w:hAnsi="Lucida Sans"/>
          <w:color w:val="231F20"/>
          <w:w w:val="105"/>
          <w:sz w:val="15"/>
        </w:rPr>
        <w:t>–</w:t>
      </w:r>
      <w:r>
        <w:rPr>
          <w:color w:val="231F20"/>
          <w:w w:val="105"/>
          <w:sz w:val="15"/>
        </w:rPr>
        <w:t>7.</w:t>
      </w:r>
    </w:p>
    <w:p>
      <w:pPr>
        <w:pStyle w:val="ListParagraph"/>
        <w:numPr>
          <w:ilvl w:val="0"/>
          <w:numId w:val="2"/>
        </w:numPr>
        <w:tabs>
          <w:tab w:pos="341" w:val="left" w:leader="none"/>
        </w:tabs>
        <w:spacing w:line="237" w:lineRule="auto" w:before="99" w:after="0"/>
        <w:ind w:left="340" w:right="208" w:hanging="166"/>
        <w:jc w:val="left"/>
        <w:rPr>
          <w:sz w:val="15"/>
        </w:rPr>
      </w:pPr>
      <w:r>
        <w:rPr>
          <w:color w:val="231F20"/>
          <w:w w:val="105"/>
          <w:sz w:val="15"/>
        </w:rPr>
        <w:t>Adinol</w:t>
      </w:r>
      <w:r>
        <w:rPr>
          <w:rFonts w:ascii="Times New Roman" w:hAnsi="Times New Roman"/>
          <w:color w:val="231F20"/>
          <w:w w:val="105"/>
          <w:sz w:val="15"/>
        </w:rPr>
        <w:t>ﬁ</w:t>
      </w:r>
      <w:r>
        <w:rPr>
          <w:rFonts w:ascii="Times New Roman" w:hAnsi="Times New Roman"/>
          <w:color w:val="231F20"/>
          <w:spacing w:val="-5"/>
          <w:w w:val="105"/>
          <w:sz w:val="15"/>
        </w:rPr>
        <w:t> </w:t>
      </w:r>
      <w:r>
        <w:rPr>
          <w:color w:val="231F20"/>
          <w:w w:val="105"/>
          <w:sz w:val="15"/>
        </w:rPr>
        <w:t>LE,</w:t>
      </w:r>
      <w:r>
        <w:rPr>
          <w:color w:val="231F20"/>
          <w:spacing w:val="-5"/>
          <w:w w:val="105"/>
          <w:sz w:val="15"/>
        </w:rPr>
        <w:t> </w:t>
      </w:r>
      <w:r>
        <w:rPr>
          <w:color w:val="231F20"/>
          <w:w w:val="105"/>
          <w:sz w:val="15"/>
        </w:rPr>
        <w:t>Nevola</w:t>
      </w:r>
      <w:r>
        <w:rPr>
          <w:color w:val="231F20"/>
          <w:spacing w:val="-5"/>
          <w:w w:val="105"/>
          <w:sz w:val="15"/>
        </w:rPr>
        <w:t> </w:t>
      </w:r>
      <w:r>
        <w:rPr>
          <w:color w:val="231F20"/>
          <w:w w:val="105"/>
          <w:sz w:val="15"/>
        </w:rPr>
        <w:t>R,</w:t>
      </w:r>
      <w:r>
        <w:rPr>
          <w:color w:val="231F20"/>
          <w:spacing w:val="-5"/>
          <w:w w:val="105"/>
          <w:sz w:val="15"/>
        </w:rPr>
        <w:t> </w:t>
      </w:r>
      <w:r>
        <w:rPr>
          <w:color w:val="231F20"/>
          <w:w w:val="105"/>
          <w:sz w:val="15"/>
        </w:rPr>
        <w:t>Lus</w:t>
      </w:r>
      <w:r>
        <w:rPr>
          <w:color w:val="231F20"/>
          <w:spacing w:val="-5"/>
          <w:w w:val="105"/>
          <w:sz w:val="15"/>
        </w:rPr>
        <w:t> </w:t>
      </w:r>
      <w:r>
        <w:rPr>
          <w:color w:val="231F20"/>
          <w:w w:val="105"/>
          <w:sz w:val="15"/>
        </w:rPr>
        <w:t>G,</w:t>
      </w:r>
      <w:r>
        <w:rPr>
          <w:color w:val="231F20"/>
          <w:spacing w:val="-5"/>
          <w:w w:val="105"/>
          <w:sz w:val="15"/>
        </w:rPr>
        <w:t> </w:t>
      </w:r>
      <w:r>
        <w:rPr>
          <w:color w:val="231F20"/>
          <w:w w:val="105"/>
          <w:sz w:val="15"/>
        </w:rPr>
        <w:t>Restivo</w:t>
      </w:r>
      <w:r>
        <w:rPr>
          <w:color w:val="231F20"/>
          <w:spacing w:val="-5"/>
          <w:w w:val="105"/>
          <w:sz w:val="15"/>
        </w:rPr>
        <w:t> </w:t>
      </w:r>
      <w:r>
        <w:rPr>
          <w:color w:val="231F20"/>
          <w:w w:val="105"/>
          <w:sz w:val="15"/>
        </w:rPr>
        <w:t>L,</w:t>
      </w:r>
      <w:r>
        <w:rPr>
          <w:color w:val="231F20"/>
          <w:spacing w:val="-6"/>
          <w:w w:val="105"/>
          <w:sz w:val="15"/>
        </w:rPr>
        <w:t> </w:t>
      </w:r>
      <w:r>
        <w:rPr>
          <w:color w:val="231F20"/>
          <w:w w:val="105"/>
          <w:sz w:val="15"/>
        </w:rPr>
        <w:t>Guerrera</w:t>
      </w:r>
      <w:r>
        <w:rPr>
          <w:color w:val="231F20"/>
          <w:spacing w:val="-5"/>
          <w:w w:val="105"/>
          <w:sz w:val="15"/>
        </w:rPr>
        <w:t> </w:t>
      </w:r>
      <w:r>
        <w:rPr>
          <w:color w:val="231F20"/>
          <w:w w:val="105"/>
          <w:sz w:val="15"/>
        </w:rPr>
        <w:t>B,</w:t>
      </w:r>
      <w:r>
        <w:rPr>
          <w:color w:val="231F20"/>
          <w:spacing w:val="-5"/>
          <w:w w:val="105"/>
          <w:sz w:val="15"/>
        </w:rPr>
        <w:t> </w:t>
      </w:r>
      <w:r>
        <w:rPr>
          <w:color w:val="231F20"/>
          <w:w w:val="105"/>
          <w:sz w:val="15"/>
        </w:rPr>
        <w:t>Romano</w:t>
      </w:r>
      <w:r>
        <w:rPr>
          <w:color w:val="231F20"/>
          <w:spacing w:val="-6"/>
          <w:w w:val="105"/>
          <w:sz w:val="15"/>
        </w:rPr>
        <w:t> </w:t>
      </w:r>
      <w:r>
        <w:rPr>
          <w:color w:val="231F20"/>
          <w:w w:val="105"/>
          <w:sz w:val="15"/>
        </w:rPr>
        <w:t>C, </w:t>
      </w:r>
      <w:r>
        <w:rPr>
          <w:rFonts w:ascii="Book Antiqua" w:hAnsi="Book Antiqua"/>
          <w:i/>
          <w:color w:val="231F20"/>
          <w:w w:val="105"/>
          <w:sz w:val="15"/>
        </w:rPr>
        <w:t>et al</w:t>
      </w:r>
      <w:r>
        <w:rPr>
          <w:color w:val="231F20"/>
          <w:w w:val="105"/>
          <w:sz w:val="15"/>
        </w:rPr>
        <w:t>. Chronic hepatitis C virus infection and neurological and psychiatric disorders: an overview. World J Gastroenterol 2015; 21:</w:t>
      </w:r>
      <w:r>
        <w:rPr>
          <w:color w:val="231F20"/>
          <w:spacing w:val="1"/>
          <w:w w:val="105"/>
          <w:sz w:val="15"/>
        </w:rPr>
        <w:t> </w:t>
      </w:r>
      <w:r>
        <w:rPr>
          <w:color w:val="231F20"/>
          <w:w w:val="105"/>
          <w:sz w:val="15"/>
        </w:rPr>
        <w:t>2269</w:t>
      </w:r>
      <w:r>
        <w:rPr>
          <w:rFonts w:ascii="Lucida Sans" w:hAnsi="Lucida Sans"/>
          <w:color w:val="231F20"/>
          <w:w w:val="105"/>
          <w:sz w:val="15"/>
        </w:rPr>
        <w:t>–</w:t>
      </w:r>
      <w:r>
        <w:rPr>
          <w:color w:val="231F20"/>
          <w:w w:val="105"/>
          <w:sz w:val="15"/>
        </w:rPr>
        <w:t>80.</w:t>
      </w:r>
    </w:p>
    <w:p>
      <w:pPr>
        <w:pStyle w:val="ListParagraph"/>
        <w:numPr>
          <w:ilvl w:val="0"/>
          <w:numId w:val="2"/>
        </w:numPr>
        <w:tabs>
          <w:tab w:pos="363" w:val="left" w:leader="none"/>
        </w:tabs>
        <w:spacing w:line="240" w:lineRule="auto" w:before="96" w:after="0"/>
        <w:ind w:left="362" w:right="73" w:hanging="262"/>
        <w:jc w:val="left"/>
        <w:rPr>
          <w:sz w:val="15"/>
        </w:rPr>
      </w:pPr>
      <w:r>
        <w:rPr>
          <w:color w:val="231F20"/>
          <w:w w:val="105"/>
          <w:sz w:val="15"/>
        </w:rPr>
        <w:t>Gleason</w:t>
      </w:r>
      <w:r>
        <w:rPr>
          <w:color w:val="231F20"/>
          <w:spacing w:val="-5"/>
          <w:w w:val="105"/>
          <w:sz w:val="15"/>
        </w:rPr>
        <w:t> </w:t>
      </w:r>
      <w:r>
        <w:rPr>
          <w:color w:val="231F20"/>
          <w:w w:val="105"/>
          <w:sz w:val="15"/>
        </w:rPr>
        <w:t>LJ,</w:t>
      </w:r>
      <w:r>
        <w:rPr>
          <w:color w:val="231F20"/>
          <w:spacing w:val="-7"/>
          <w:w w:val="105"/>
          <w:sz w:val="15"/>
        </w:rPr>
        <w:t> </w:t>
      </w:r>
      <w:r>
        <w:rPr>
          <w:color w:val="231F20"/>
          <w:w w:val="105"/>
          <w:sz w:val="15"/>
        </w:rPr>
        <w:t>Luque</w:t>
      </w:r>
      <w:r>
        <w:rPr>
          <w:color w:val="231F20"/>
          <w:spacing w:val="-5"/>
          <w:w w:val="105"/>
          <w:sz w:val="15"/>
        </w:rPr>
        <w:t> </w:t>
      </w:r>
      <w:r>
        <w:rPr>
          <w:color w:val="231F20"/>
          <w:w w:val="105"/>
          <w:sz w:val="15"/>
        </w:rPr>
        <w:t>AE,</w:t>
      </w:r>
      <w:r>
        <w:rPr>
          <w:color w:val="231F20"/>
          <w:spacing w:val="-6"/>
          <w:w w:val="105"/>
          <w:sz w:val="15"/>
        </w:rPr>
        <w:t> </w:t>
      </w:r>
      <w:r>
        <w:rPr>
          <w:color w:val="231F20"/>
          <w:w w:val="105"/>
          <w:sz w:val="15"/>
        </w:rPr>
        <w:t>Shah</w:t>
      </w:r>
      <w:r>
        <w:rPr>
          <w:color w:val="231F20"/>
          <w:spacing w:val="-5"/>
          <w:w w:val="105"/>
          <w:sz w:val="15"/>
        </w:rPr>
        <w:t> </w:t>
      </w:r>
      <w:r>
        <w:rPr>
          <w:color w:val="231F20"/>
          <w:w w:val="105"/>
          <w:sz w:val="15"/>
        </w:rPr>
        <w:t>K.</w:t>
      </w:r>
      <w:r>
        <w:rPr>
          <w:color w:val="231F20"/>
          <w:spacing w:val="-7"/>
          <w:w w:val="105"/>
          <w:sz w:val="15"/>
        </w:rPr>
        <w:t> </w:t>
      </w:r>
      <w:r>
        <w:rPr>
          <w:color w:val="231F20"/>
          <w:w w:val="105"/>
          <w:sz w:val="15"/>
        </w:rPr>
        <w:t>Polypharmacy</w:t>
      </w:r>
      <w:r>
        <w:rPr>
          <w:color w:val="231F20"/>
          <w:spacing w:val="-7"/>
          <w:w w:val="105"/>
          <w:sz w:val="15"/>
        </w:rPr>
        <w:t> </w:t>
      </w:r>
      <w:r>
        <w:rPr>
          <w:color w:val="231F20"/>
          <w:w w:val="105"/>
          <w:sz w:val="15"/>
        </w:rPr>
        <w:t>in</w:t>
      </w:r>
      <w:r>
        <w:rPr>
          <w:color w:val="231F20"/>
          <w:spacing w:val="-5"/>
          <w:w w:val="105"/>
          <w:sz w:val="15"/>
        </w:rPr>
        <w:t> </w:t>
      </w:r>
      <w:r>
        <w:rPr>
          <w:color w:val="231F20"/>
          <w:w w:val="105"/>
          <w:sz w:val="15"/>
        </w:rPr>
        <w:t>the</w:t>
      </w:r>
      <w:r>
        <w:rPr>
          <w:color w:val="231F20"/>
          <w:spacing w:val="-5"/>
          <w:w w:val="105"/>
          <w:sz w:val="15"/>
        </w:rPr>
        <w:t> </w:t>
      </w:r>
      <w:r>
        <w:rPr>
          <w:color w:val="231F20"/>
          <w:w w:val="105"/>
          <w:sz w:val="15"/>
        </w:rPr>
        <w:t>HIV-infected older</w:t>
      </w:r>
      <w:r>
        <w:rPr>
          <w:color w:val="231F20"/>
          <w:spacing w:val="7"/>
          <w:w w:val="105"/>
          <w:sz w:val="15"/>
        </w:rPr>
        <w:t> </w:t>
      </w:r>
      <w:r>
        <w:rPr>
          <w:color w:val="231F20"/>
          <w:w w:val="105"/>
          <w:sz w:val="15"/>
        </w:rPr>
        <w:t>adult</w:t>
      </w:r>
      <w:r>
        <w:rPr>
          <w:color w:val="231F20"/>
          <w:spacing w:val="6"/>
          <w:w w:val="105"/>
          <w:sz w:val="15"/>
        </w:rPr>
        <w:t> </w:t>
      </w:r>
      <w:r>
        <w:rPr>
          <w:color w:val="231F20"/>
          <w:w w:val="105"/>
          <w:sz w:val="15"/>
        </w:rPr>
        <w:t>population.</w:t>
      </w:r>
      <w:r>
        <w:rPr>
          <w:color w:val="231F20"/>
          <w:spacing w:val="5"/>
          <w:w w:val="105"/>
          <w:sz w:val="15"/>
        </w:rPr>
        <w:t> </w:t>
      </w:r>
      <w:r>
        <w:rPr>
          <w:color w:val="231F20"/>
          <w:w w:val="105"/>
          <w:sz w:val="15"/>
        </w:rPr>
        <w:t>Clin</w:t>
      </w:r>
      <w:r>
        <w:rPr>
          <w:color w:val="231F20"/>
          <w:spacing w:val="5"/>
          <w:w w:val="105"/>
          <w:sz w:val="15"/>
        </w:rPr>
        <w:t> </w:t>
      </w:r>
      <w:r>
        <w:rPr>
          <w:color w:val="231F20"/>
          <w:w w:val="105"/>
          <w:sz w:val="15"/>
        </w:rPr>
        <w:t>Interv</w:t>
      </w:r>
      <w:r>
        <w:rPr>
          <w:color w:val="231F20"/>
          <w:spacing w:val="6"/>
          <w:w w:val="105"/>
          <w:sz w:val="15"/>
        </w:rPr>
        <w:t> </w:t>
      </w:r>
      <w:r>
        <w:rPr>
          <w:color w:val="231F20"/>
          <w:w w:val="105"/>
          <w:sz w:val="15"/>
        </w:rPr>
        <w:t>Aging</w:t>
      </w:r>
      <w:r>
        <w:rPr>
          <w:color w:val="231F20"/>
          <w:spacing w:val="5"/>
          <w:w w:val="105"/>
          <w:sz w:val="15"/>
        </w:rPr>
        <w:t> </w:t>
      </w:r>
      <w:r>
        <w:rPr>
          <w:color w:val="231F20"/>
          <w:w w:val="105"/>
          <w:sz w:val="15"/>
        </w:rPr>
        <w:t>2013;</w:t>
      </w:r>
      <w:r>
        <w:rPr>
          <w:color w:val="231F20"/>
          <w:spacing w:val="6"/>
          <w:w w:val="105"/>
          <w:sz w:val="15"/>
        </w:rPr>
        <w:t> </w:t>
      </w:r>
      <w:r>
        <w:rPr>
          <w:color w:val="231F20"/>
          <w:w w:val="105"/>
          <w:sz w:val="15"/>
        </w:rPr>
        <w:t>8:</w:t>
      </w:r>
      <w:r>
        <w:rPr>
          <w:color w:val="231F20"/>
          <w:spacing w:val="6"/>
          <w:w w:val="105"/>
          <w:sz w:val="15"/>
        </w:rPr>
        <w:t> </w:t>
      </w:r>
      <w:r>
        <w:rPr>
          <w:color w:val="231F20"/>
          <w:w w:val="105"/>
          <w:sz w:val="15"/>
        </w:rPr>
        <w:t>749</w:t>
      </w:r>
      <w:r>
        <w:rPr>
          <w:rFonts w:ascii="Lucida Sans" w:hAnsi="Lucida Sans"/>
          <w:color w:val="231F20"/>
          <w:w w:val="105"/>
          <w:sz w:val="15"/>
        </w:rPr>
        <w:t>–</w:t>
      </w:r>
      <w:r>
        <w:rPr>
          <w:color w:val="231F20"/>
          <w:w w:val="105"/>
          <w:sz w:val="15"/>
        </w:rPr>
        <w:t>63.</w:t>
      </w:r>
    </w:p>
    <w:p>
      <w:pPr>
        <w:pStyle w:val="ListParagraph"/>
        <w:numPr>
          <w:ilvl w:val="0"/>
          <w:numId w:val="2"/>
        </w:numPr>
        <w:tabs>
          <w:tab w:pos="363" w:val="left" w:leader="none"/>
        </w:tabs>
        <w:spacing w:line="237" w:lineRule="auto" w:before="97" w:after="0"/>
        <w:ind w:left="362" w:right="72" w:hanging="262"/>
        <w:jc w:val="left"/>
        <w:rPr>
          <w:sz w:val="15"/>
        </w:rPr>
      </w:pPr>
      <w:r>
        <w:rPr>
          <w:color w:val="231F20"/>
          <w:w w:val="105"/>
          <w:sz w:val="15"/>
        </w:rPr>
        <w:t>Höner</w:t>
      </w:r>
      <w:r>
        <w:rPr>
          <w:color w:val="231F20"/>
          <w:spacing w:val="-16"/>
          <w:w w:val="105"/>
          <w:sz w:val="15"/>
        </w:rPr>
        <w:t> </w:t>
      </w:r>
      <w:r>
        <w:rPr>
          <w:color w:val="231F20"/>
          <w:w w:val="105"/>
          <w:sz w:val="15"/>
        </w:rPr>
        <w:t>Zu</w:t>
      </w:r>
      <w:r>
        <w:rPr>
          <w:color w:val="231F20"/>
          <w:spacing w:val="-16"/>
          <w:w w:val="105"/>
          <w:sz w:val="15"/>
        </w:rPr>
        <w:t> </w:t>
      </w:r>
      <w:r>
        <w:rPr>
          <w:color w:val="231F20"/>
          <w:w w:val="105"/>
          <w:sz w:val="15"/>
        </w:rPr>
        <w:t>Siederdissen</w:t>
      </w:r>
      <w:r>
        <w:rPr>
          <w:color w:val="231F20"/>
          <w:spacing w:val="-16"/>
          <w:w w:val="105"/>
          <w:sz w:val="15"/>
        </w:rPr>
        <w:t> </w:t>
      </w:r>
      <w:r>
        <w:rPr>
          <w:color w:val="231F20"/>
          <w:w w:val="105"/>
          <w:sz w:val="15"/>
        </w:rPr>
        <w:t>C,</w:t>
      </w:r>
      <w:r>
        <w:rPr>
          <w:color w:val="231F20"/>
          <w:spacing w:val="-16"/>
          <w:w w:val="105"/>
          <w:sz w:val="15"/>
        </w:rPr>
        <w:t> </w:t>
      </w:r>
      <w:r>
        <w:rPr>
          <w:color w:val="231F20"/>
          <w:w w:val="105"/>
          <w:sz w:val="15"/>
        </w:rPr>
        <w:t>Maasoumy</w:t>
      </w:r>
      <w:r>
        <w:rPr>
          <w:color w:val="231F20"/>
          <w:spacing w:val="-15"/>
          <w:w w:val="105"/>
          <w:sz w:val="15"/>
        </w:rPr>
        <w:t> </w:t>
      </w:r>
      <w:r>
        <w:rPr>
          <w:color w:val="231F20"/>
          <w:w w:val="105"/>
          <w:sz w:val="15"/>
        </w:rPr>
        <w:t>B,</w:t>
      </w:r>
      <w:r>
        <w:rPr>
          <w:color w:val="231F20"/>
          <w:spacing w:val="-16"/>
          <w:w w:val="105"/>
          <w:sz w:val="15"/>
        </w:rPr>
        <w:t> </w:t>
      </w:r>
      <w:r>
        <w:rPr>
          <w:color w:val="231F20"/>
          <w:w w:val="105"/>
          <w:sz w:val="15"/>
        </w:rPr>
        <w:t>Marra</w:t>
      </w:r>
      <w:r>
        <w:rPr>
          <w:color w:val="231F20"/>
          <w:spacing w:val="-16"/>
          <w:w w:val="105"/>
          <w:sz w:val="15"/>
        </w:rPr>
        <w:t> </w:t>
      </w:r>
      <w:r>
        <w:rPr>
          <w:color w:val="231F20"/>
          <w:w w:val="105"/>
          <w:sz w:val="15"/>
        </w:rPr>
        <w:t>F,</w:t>
      </w:r>
      <w:r>
        <w:rPr>
          <w:color w:val="231F20"/>
          <w:spacing w:val="-16"/>
          <w:w w:val="105"/>
          <w:sz w:val="15"/>
        </w:rPr>
        <w:t> </w:t>
      </w:r>
      <w:r>
        <w:rPr>
          <w:color w:val="231F20"/>
          <w:w w:val="105"/>
          <w:sz w:val="15"/>
        </w:rPr>
        <w:t>Deterding</w:t>
      </w:r>
      <w:r>
        <w:rPr>
          <w:color w:val="231F20"/>
          <w:spacing w:val="-16"/>
          <w:w w:val="105"/>
          <w:sz w:val="15"/>
        </w:rPr>
        <w:t> </w:t>
      </w:r>
      <w:r>
        <w:rPr>
          <w:color w:val="231F20"/>
          <w:w w:val="105"/>
          <w:sz w:val="15"/>
        </w:rPr>
        <w:t>K,</w:t>
      </w:r>
      <w:r>
        <w:rPr>
          <w:color w:val="231F20"/>
          <w:spacing w:val="-16"/>
          <w:w w:val="105"/>
          <w:sz w:val="15"/>
        </w:rPr>
        <w:t> </w:t>
      </w:r>
      <w:r>
        <w:rPr>
          <w:color w:val="231F20"/>
          <w:w w:val="105"/>
          <w:sz w:val="15"/>
        </w:rPr>
        <w:t>Port K, Manns MP, </w:t>
      </w:r>
      <w:r>
        <w:rPr>
          <w:rFonts w:ascii="Book Antiqua" w:hAnsi="Book Antiqua"/>
          <w:i/>
          <w:color w:val="231F20"/>
          <w:w w:val="105"/>
          <w:sz w:val="15"/>
        </w:rPr>
        <w:t>et al</w:t>
      </w:r>
      <w:r>
        <w:rPr>
          <w:color w:val="231F20"/>
          <w:w w:val="105"/>
          <w:sz w:val="15"/>
        </w:rPr>
        <w:t>. Drug-drug interactions with novel all oral interferon-free antiviral agents in a large real-world cohort. Clin Infect Dis 2016; 62:</w:t>
      </w:r>
      <w:r>
        <w:rPr>
          <w:color w:val="231F20"/>
          <w:spacing w:val="16"/>
          <w:w w:val="105"/>
          <w:sz w:val="15"/>
        </w:rPr>
        <w:t> </w:t>
      </w:r>
      <w:r>
        <w:rPr>
          <w:color w:val="231F20"/>
          <w:w w:val="105"/>
          <w:sz w:val="15"/>
        </w:rPr>
        <w:t>561</w:t>
      </w:r>
      <w:r>
        <w:rPr>
          <w:rFonts w:ascii="Lucida Sans" w:hAnsi="Lucida Sans"/>
          <w:color w:val="231F20"/>
          <w:w w:val="105"/>
          <w:sz w:val="15"/>
        </w:rPr>
        <w:t>–</w:t>
      </w:r>
      <w:r>
        <w:rPr>
          <w:color w:val="231F20"/>
          <w:w w:val="105"/>
          <w:sz w:val="15"/>
        </w:rPr>
        <w:t>7.</w:t>
      </w:r>
    </w:p>
    <w:p>
      <w:pPr>
        <w:pStyle w:val="ListParagraph"/>
        <w:numPr>
          <w:ilvl w:val="0"/>
          <w:numId w:val="2"/>
        </w:numPr>
        <w:tabs>
          <w:tab w:pos="363" w:val="left" w:leader="none"/>
        </w:tabs>
        <w:spacing w:line="237" w:lineRule="auto" w:before="99" w:after="0"/>
        <w:ind w:left="362" w:right="38" w:hanging="262"/>
        <w:jc w:val="left"/>
        <w:rPr>
          <w:sz w:val="15"/>
        </w:rPr>
      </w:pPr>
      <w:r>
        <w:rPr>
          <w:color w:val="231F20"/>
          <w:w w:val="105"/>
          <w:sz w:val="15"/>
        </w:rPr>
        <w:t>Patel</w:t>
      </w:r>
      <w:r>
        <w:rPr>
          <w:color w:val="231F20"/>
          <w:spacing w:val="-12"/>
          <w:w w:val="105"/>
          <w:sz w:val="15"/>
        </w:rPr>
        <w:t> </w:t>
      </w:r>
      <w:r>
        <w:rPr>
          <w:color w:val="231F20"/>
          <w:w w:val="105"/>
          <w:sz w:val="15"/>
        </w:rPr>
        <w:t>N,</w:t>
      </w:r>
      <w:r>
        <w:rPr>
          <w:color w:val="231F20"/>
          <w:spacing w:val="-12"/>
          <w:w w:val="105"/>
          <w:sz w:val="15"/>
        </w:rPr>
        <w:t> </w:t>
      </w:r>
      <w:r>
        <w:rPr>
          <w:color w:val="231F20"/>
          <w:w w:val="105"/>
          <w:sz w:val="15"/>
        </w:rPr>
        <w:t>Nasiri</w:t>
      </w:r>
      <w:r>
        <w:rPr>
          <w:color w:val="231F20"/>
          <w:spacing w:val="-12"/>
          <w:w w:val="105"/>
          <w:sz w:val="15"/>
        </w:rPr>
        <w:t> </w:t>
      </w:r>
      <w:r>
        <w:rPr>
          <w:color w:val="231F20"/>
          <w:w w:val="105"/>
          <w:sz w:val="15"/>
        </w:rPr>
        <w:t>M,</w:t>
      </w:r>
      <w:r>
        <w:rPr>
          <w:color w:val="231F20"/>
          <w:spacing w:val="-12"/>
          <w:w w:val="105"/>
          <w:sz w:val="15"/>
        </w:rPr>
        <w:t> </w:t>
      </w:r>
      <w:r>
        <w:rPr>
          <w:color w:val="231F20"/>
          <w:w w:val="105"/>
          <w:sz w:val="15"/>
        </w:rPr>
        <w:t>Koroglu</w:t>
      </w:r>
      <w:r>
        <w:rPr>
          <w:color w:val="231F20"/>
          <w:spacing w:val="-12"/>
          <w:w w:val="105"/>
          <w:sz w:val="15"/>
        </w:rPr>
        <w:t> </w:t>
      </w:r>
      <w:r>
        <w:rPr>
          <w:color w:val="231F20"/>
          <w:w w:val="105"/>
          <w:sz w:val="15"/>
        </w:rPr>
        <w:t>A,</w:t>
      </w:r>
      <w:r>
        <w:rPr>
          <w:color w:val="231F20"/>
          <w:spacing w:val="-13"/>
          <w:w w:val="105"/>
          <w:sz w:val="15"/>
        </w:rPr>
        <w:t> </w:t>
      </w:r>
      <w:r>
        <w:rPr>
          <w:color w:val="231F20"/>
          <w:w w:val="105"/>
          <w:sz w:val="15"/>
        </w:rPr>
        <w:t>Bliss</w:t>
      </w:r>
      <w:r>
        <w:rPr>
          <w:color w:val="231F20"/>
          <w:spacing w:val="-12"/>
          <w:w w:val="105"/>
          <w:sz w:val="15"/>
        </w:rPr>
        <w:t> </w:t>
      </w:r>
      <w:r>
        <w:rPr>
          <w:color w:val="231F20"/>
          <w:w w:val="105"/>
          <w:sz w:val="15"/>
        </w:rPr>
        <w:t>S,</w:t>
      </w:r>
      <w:r>
        <w:rPr>
          <w:color w:val="231F20"/>
          <w:spacing w:val="-12"/>
          <w:w w:val="105"/>
          <w:sz w:val="15"/>
        </w:rPr>
        <w:t> </w:t>
      </w:r>
      <w:r>
        <w:rPr>
          <w:color w:val="231F20"/>
          <w:w w:val="105"/>
          <w:sz w:val="15"/>
        </w:rPr>
        <w:t>Davis</w:t>
      </w:r>
      <w:r>
        <w:rPr>
          <w:color w:val="231F20"/>
          <w:spacing w:val="-12"/>
          <w:w w:val="105"/>
          <w:sz w:val="15"/>
        </w:rPr>
        <w:t> </w:t>
      </w:r>
      <w:r>
        <w:rPr>
          <w:color w:val="231F20"/>
          <w:w w:val="105"/>
          <w:sz w:val="15"/>
        </w:rPr>
        <w:t>M,</w:t>
      </w:r>
      <w:r>
        <w:rPr>
          <w:color w:val="231F20"/>
          <w:spacing w:val="-12"/>
          <w:w w:val="105"/>
          <w:sz w:val="15"/>
        </w:rPr>
        <w:t> </w:t>
      </w:r>
      <w:r>
        <w:rPr>
          <w:color w:val="231F20"/>
          <w:w w:val="105"/>
          <w:sz w:val="15"/>
        </w:rPr>
        <w:t>McNutt</w:t>
      </w:r>
      <w:r>
        <w:rPr>
          <w:color w:val="231F20"/>
          <w:spacing w:val="-12"/>
          <w:w w:val="105"/>
          <w:sz w:val="15"/>
        </w:rPr>
        <w:t> </w:t>
      </w:r>
      <w:r>
        <w:rPr>
          <w:color w:val="231F20"/>
          <w:w w:val="105"/>
          <w:sz w:val="15"/>
        </w:rPr>
        <w:t>L-A,</w:t>
      </w:r>
      <w:r>
        <w:rPr>
          <w:color w:val="231F20"/>
          <w:spacing w:val="-12"/>
          <w:w w:val="105"/>
          <w:sz w:val="15"/>
        </w:rPr>
        <w:t> </w:t>
      </w:r>
      <w:r>
        <w:rPr>
          <w:rFonts w:ascii="Book Antiqua" w:hAnsi="Book Antiqua"/>
          <w:i/>
          <w:color w:val="231F20"/>
          <w:w w:val="105"/>
          <w:sz w:val="15"/>
        </w:rPr>
        <w:t>et</w:t>
      </w:r>
      <w:r>
        <w:rPr>
          <w:rFonts w:ascii="Book Antiqua" w:hAnsi="Book Antiqua"/>
          <w:i/>
          <w:color w:val="231F20"/>
          <w:spacing w:val="-12"/>
          <w:w w:val="105"/>
          <w:sz w:val="15"/>
        </w:rPr>
        <w:t> </w:t>
      </w:r>
      <w:r>
        <w:rPr>
          <w:rFonts w:ascii="Book Antiqua" w:hAnsi="Book Antiqua"/>
          <w:i/>
          <w:color w:val="231F20"/>
          <w:spacing w:val="8"/>
          <w:w w:val="105"/>
          <w:sz w:val="15"/>
        </w:rPr>
        <w:t>al</w:t>
      </w:r>
      <w:r>
        <w:rPr>
          <w:color w:val="231F20"/>
          <w:spacing w:val="8"/>
          <w:w w:val="105"/>
          <w:sz w:val="15"/>
        </w:rPr>
        <w:t>.A </w:t>
      </w:r>
      <w:r>
        <w:rPr>
          <w:color w:val="231F20"/>
          <w:w w:val="105"/>
          <w:sz w:val="15"/>
        </w:rPr>
        <w:t>cross-sectional study comparing the frequency of drug interactions after adding simeprevir- or sofosbuvir-containing therapy to medication pro</w:t>
      </w:r>
      <w:r>
        <w:rPr>
          <w:rFonts w:ascii="Times New Roman" w:hAnsi="Times New Roman"/>
          <w:color w:val="231F20"/>
          <w:w w:val="105"/>
          <w:sz w:val="15"/>
        </w:rPr>
        <w:t>ﬁ</w:t>
      </w:r>
      <w:r>
        <w:rPr>
          <w:color w:val="231F20"/>
          <w:w w:val="105"/>
          <w:sz w:val="15"/>
        </w:rPr>
        <w:t>les of hepatitis C monoinfected patients. Infect Dis Ther 2015; 4:</w:t>
      </w:r>
      <w:r>
        <w:rPr>
          <w:color w:val="231F20"/>
          <w:spacing w:val="28"/>
          <w:w w:val="105"/>
          <w:sz w:val="15"/>
        </w:rPr>
        <w:t> </w:t>
      </w:r>
      <w:r>
        <w:rPr>
          <w:color w:val="231F20"/>
          <w:w w:val="105"/>
          <w:sz w:val="15"/>
        </w:rPr>
        <w:t>67</w:t>
      </w:r>
      <w:r>
        <w:rPr>
          <w:rFonts w:ascii="Lucida Sans" w:hAnsi="Lucida Sans"/>
          <w:color w:val="231F20"/>
          <w:w w:val="105"/>
          <w:sz w:val="15"/>
        </w:rPr>
        <w:t>–</w:t>
      </w:r>
      <w:r>
        <w:rPr>
          <w:color w:val="231F20"/>
          <w:w w:val="105"/>
          <w:sz w:val="15"/>
        </w:rPr>
        <w:t>78.</w:t>
      </w:r>
    </w:p>
    <w:p>
      <w:pPr>
        <w:pStyle w:val="ListParagraph"/>
        <w:numPr>
          <w:ilvl w:val="0"/>
          <w:numId w:val="2"/>
        </w:numPr>
        <w:tabs>
          <w:tab w:pos="363" w:val="left" w:leader="none"/>
        </w:tabs>
        <w:spacing w:line="237" w:lineRule="auto" w:before="98" w:after="0"/>
        <w:ind w:left="362" w:right="105" w:hanging="262"/>
        <w:jc w:val="left"/>
        <w:rPr>
          <w:sz w:val="15"/>
        </w:rPr>
      </w:pPr>
      <w:r>
        <w:rPr>
          <w:color w:val="231F20"/>
          <w:w w:val="105"/>
          <w:sz w:val="15"/>
        </w:rPr>
        <w:t>Smolders EJ, Smit C, de Kanter C, Dofferhoff A, Arends JE, Brinkman K, </w:t>
      </w:r>
      <w:r>
        <w:rPr>
          <w:rFonts w:ascii="Book Antiqua"/>
          <w:i/>
          <w:color w:val="231F20"/>
          <w:w w:val="105"/>
          <w:sz w:val="15"/>
        </w:rPr>
        <w:t>et al</w:t>
      </w:r>
      <w:r>
        <w:rPr>
          <w:color w:val="231F20"/>
          <w:w w:val="105"/>
          <w:sz w:val="15"/>
        </w:rPr>
        <w:t>. Management of drug interactions with direct- acting antivirals in Dutch HIV/hepatitis C virus-coinfected patients: adequate but not perfect. HIV Med 2017. </w:t>
      </w:r>
      <w:hyperlink r:id="rId26">
        <w:r>
          <w:rPr>
            <w:color w:val="231F20"/>
            <w:w w:val="105"/>
            <w:sz w:val="15"/>
          </w:rPr>
          <w:t>https://doi.</w:t>
        </w:r>
      </w:hyperlink>
      <w:hyperlink r:id="rId26">
        <w:r>
          <w:rPr>
            <w:color w:val="231F20"/>
            <w:w w:val="105"/>
            <w:sz w:val="15"/>
          </w:rPr>
          <w:t> org/10.1111/hiv.12570</w:t>
        </w:r>
      </w:hyperlink>
      <w:r>
        <w:rPr>
          <w:color w:val="231F20"/>
          <w:w w:val="105"/>
          <w:sz w:val="15"/>
        </w:rPr>
        <w:t>.</w:t>
      </w:r>
    </w:p>
    <w:p>
      <w:pPr>
        <w:pStyle w:val="ListParagraph"/>
        <w:numPr>
          <w:ilvl w:val="0"/>
          <w:numId w:val="2"/>
        </w:numPr>
        <w:tabs>
          <w:tab w:pos="363" w:val="left" w:leader="none"/>
        </w:tabs>
        <w:spacing w:line="237" w:lineRule="auto" w:before="98" w:after="0"/>
        <w:ind w:left="362" w:right="74" w:hanging="262"/>
        <w:jc w:val="left"/>
        <w:rPr>
          <w:sz w:val="15"/>
        </w:rPr>
      </w:pPr>
      <w:r>
        <w:rPr>
          <w:color w:val="231F20"/>
          <w:sz w:val="15"/>
        </w:rPr>
        <w:t>Kwo P, Gitlin N, Nahass R, Bernstein D, Etzkorn K, Rojter S, </w:t>
      </w:r>
      <w:r>
        <w:rPr>
          <w:rFonts w:ascii="Book Antiqua" w:hAnsi="Book Antiqua"/>
          <w:i/>
          <w:color w:val="231F20"/>
          <w:sz w:val="15"/>
        </w:rPr>
        <w:t>et al</w:t>
      </w:r>
      <w:r>
        <w:rPr>
          <w:color w:val="231F20"/>
          <w:sz w:val="15"/>
        </w:rPr>
        <w:t>. Simeprevir plus sofosbuvir (12 and 8 weeks) in hepatitis C virus genotype 1-infected patients without cirrhosis: OPTIMIST-1,  a phase</w:t>
      </w:r>
      <w:r>
        <w:rPr>
          <w:color w:val="231F20"/>
          <w:spacing w:val="16"/>
          <w:sz w:val="15"/>
        </w:rPr>
        <w:t> </w:t>
      </w:r>
      <w:r>
        <w:rPr>
          <w:color w:val="231F20"/>
          <w:sz w:val="15"/>
        </w:rPr>
        <w:t>3,</w:t>
      </w:r>
      <w:r>
        <w:rPr>
          <w:color w:val="231F20"/>
          <w:spacing w:val="16"/>
          <w:sz w:val="15"/>
        </w:rPr>
        <w:t> </w:t>
      </w:r>
      <w:r>
        <w:rPr>
          <w:color w:val="231F20"/>
          <w:sz w:val="15"/>
        </w:rPr>
        <w:t>randomized</w:t>
      </w:r>
      <w:r>
        <w:rPr>
          <w:color w:val="231F20"/>
          <w:spacing w:val="17"/>
          <w:sz w:val="15"/>
        </w:rPr>
        <w:t> </w:t>
      </w:r>
      <w:r>
        <w:rPr>
          <w:color w:val="231F20"/>
          <w:spacing w:val="-3"/>
          <w:sz w:val="15"/>
        </w:rPr>
        <w:t>study.</w:t>
      </w:r>
      <w:r>
        <w:rPr>
          <w:color w:val="231F20"/>
          <w:spacing w:val="17"/>
          <w:sz w:val="15"/>
        </w:rPr>
        <w:t> </w:t>
      </w:r>
      <w:r>
        <w:rPr>
          <w:color w:val="231F20"/>
          <w:sz w:val="15"/>
        </w:rPr>
        <w:t>Hepatology</w:t>
      </w:r>
      <w:r>
        <w:rPr>
          <w:color w:val="231F20"/>
          <w:spacing w:val="16"/>
          <w:sz w:val="15"/>
        </w:rPr>
        <w:t> </w:t>
      </w:r>
      <w:r>
        <w:rPr>
          <w:color w:val="231F20"/>
          <w:sz w:val="15"/>
        </w:rPr>
        <w:t>2016;</w:t>
      </w:r>
      <w:r>
        <w:rPr>
          <w:color w:val="231F20"/>
          <w:spacing w:val="16"/>
          <w:sz w:val="15"/>
        </w:rPr>
        <w:t> </w:t>
      </w:r>
      <w:r>
        <w:rPr>
          <w:color w:val="231F20"/>
          <w:sz w:val="15"/>
        </w:rPr>
        <w:t>64:</w:t>
      </w:r>
      <w:r>
        <w:rPr>
          <w:color w:val="231F20"/>
          <w:spacing w:val="16"/>
          <w:sz w:val="15"/>
        </w:rPr>
        <w:t> </w:t>
      </w:r>
      <w:r>
        <w:rPr>
          <w:color w:val="231F20"/>
          <w:sz w:val="15"/>
        </w:rPr>
        <w:t>370</w:t>
      </w:r>
      <w:r>
        <w:rPr>
          <w:rFonts w:ascii="Lucida Sans" w:hAnsi="Lucida Sans"/>
          <w:color w:val="231F20"/>
          <w:sz w:val="15"/>
        </w:rPr>
        <w:t>–</w:t>
      </w:r>
      <w:r>
        <w:rPr>
          <w:color w:val="231F20"/>
          <w:sz w:val="15"/>
        </w:rPr>
        <w:t>80.</w:t>
      </w:r>
    </w:p>
    <w:p>
      <w:pPr>
        <w:pStyle w:val="ListParagraph"/>
        <w:numPr>
          <w:ilvl w:val="0"/>
          <w:numId w:val="2"/>
        </w:numPr>
        <w:tabs>
          <w:tab w:pos="363" w:val="left" w:leader="none"/>
        </w:tabs>
        <w:spacing w:line="237" w:lineRule="auto" w:before="99" w:after="0"/>
        <w:ind w:left="362" w:right="108" w:hanging="262"/>
        <w:jc w:val="left"/>
        <w:rPr>
          <w:sz w:val="15"/>
        </w:rPr>
      </w:pPr>
      <w:r>
        <w:rPr>
          <w:color w:val="231F20"/>
          <w:w w:val="105"/>
          <w:sz w:val="15"/>
        </w:rPr>
        <w:t>Lawitz</w:t>
      </w:r>
      <w:r>
        <w:rPr>
          <w:color w:val="231F20"/>
          <w:spacing w:val="-7"/>
          <w:w w:val="105"/>
          <w:sz w:val="15"/>
        </w:rPr>
        <w:t> </w:t>
      </w:r>
      <w:r>
        <w:rPr>
          <w:color w:val="231F20"/>
          <w:w w:val="105"/>
          <w:sz w:val="15"/>
        </w:rPr>
        <w:t>E,</w:t>
      </w:r>
      <w:r>
        <w:rPr>
          <w:color w:val="231F20"/>
          <w:spacing w:val="-6"/>
          <w:w w:val="105"/>
          <w:sz w:val="15"/>
        </w:rPr>
        <w:t> </w:t>
      </w:r>
      <w:r>
        <w:rPr>
          <w:color w:val="231F20"/>
          <w:w w:val="105"/>
          <w:sz w:val="15"/>
        </w:rPr>
        <w:t>Matusow</w:t>
      </w:r>
      <w:r>
        <w:rPr>
          <w:color w:val="231F20"/>
          <w:spacing w:val="-7"/>
          <w:w w:val="105"/>
          <w:sz w:val="15"/>
        </w:rPr>
        <w:t> </w:t>
      </w:r>
      <w:r>
        <w:rPr>
          <w:color w:val="231F20"/>
          <w:w w:val="105"/>
          <w:sz w:val="15"/>
        </w:rPr>
        <w:t>G,</w:t>
      </w:r>
      <w:r>
        <w:rPr>
          <w:color w:val="231F20"/>
          <w:spacing w:val="-6"/>
          <w:w w:val="105"/>
          <w:sz w:val="15"/>
        </w:rPr>
        <w:t> </w:t>
      </w:r>
      <w:r>
        <w:rPr>
          <w:color w:val="231F20"/>
          <w:w w:val="105"/>
          <w:sz w:val="15"/>
        </w:rPr>
        <w:t>DeJesus</w:t>
      </w:r>
      <w:r>
        <w:rPr>
          <w:color w:val="231F20"/>
          <w:spacing w:val="-7"/>
          <w:w w:val="105"/>
          <w:sz w:val="15"/>
        </w:rPr>
        <w:t> </w:t>
      </w:r>
      <w:r>
        <w:rPr>
          <w:color w:val="231F20"/>
          <w:w w:val="105"/>
          <w:sz w:val="15"/>
        </w:rPr>
        <w:t>E,</w:t>
      </w:r>
      <w:r>
        <w:rPr>
          <w:color w:val="231F20"/>
          <w:spacing w:val="-6"/>
          <w:w w:val="105"/>
          <w:sz w:val="15"/>
        </w:rPr>
        <w:t> </w:t>
      </w:r>
      <w:r>
        <w:rPr>
          <w:color w:val="231F20"/>
          <w:w w:val="105"/>
          <w:sz w:val="15"/>
        </w:rPr>
        <w:t>Yoshida</w:t>
      </w:r>
      <w:r>
        <w:rPr>
          <w:color w:val="231F20"/>
          <w:spacing w:val="-6"/>
          <w:w w:val="105"/>
          <w:sz w:val="15"/>
        </w:rPr>
        <w:t> </w:t>
      </w:r>
      <w:r>
        <w:rPr>
          <w:color w:val="231F20"/>
          <w:w w:val="105"/>
          <w:sz w:val="15"/>
        </w:rPr>
        <w:t>EM,</w:t>
      </w:r>
      <w:r>
        <w:rPr>
          <w:color w:val="231F20"/>
          <w:spacing w:val="-6"/>
          <w:w w:val="105"/>
          <w:sz w:val="15"/>
        </w:rPr>
        <w:t> </w:t>
      </w:r>
      <w:r>
        <w:rPr>
          <w:color w:val="231F20"/>
          <w:w w:val="105"/>
          <w:sz w:val="15"/>
        </w:rPr>
        <w:t>Felizarta</w:t>
      </w:r>
      <w:r>
        <w:rPr>
          <w:color w:val="231F20"/>
          <w:spacing w:val="-6"/>
          <w:w w:val="105"/>
          <w:sz w:val="15"/>
        </w:rPr>
        <w:t> </w:t>
      </w:r>
      <w:r>
        <w:rPr>
          <w:color w:val="231F20"/>
          <w:w w:val="105"/>
          <w:sz w:val="15"/>
        </w:rPr>
        <w:t>F,</w:t>
      </w:r>
      <w:r>
        <w:rPr>
          <w:color w:val="231F20"/>
          <w:spacing w:val="-6"/>
          <w:w w:val="105"/>
          <w:sz w:val="15"/>
        </w:rPr>
        <w:t> </w:t>
      </w:r>
      <w:r>
        <w:rPr>
          <w:color w:val="231F20"/>
          <w:w w:val="105"/>
          <w:sz w:val="15"/>
        </w:rPr>
        <w:t>Ghalib R, </w:t>
      </w:r>
      <w:r>
        <w:rPr>
          <w:rFonts w:ascii="Book Antiqua" w:hAnsi="Book Antiqua"/>
          <w:i/>
          <w:color w:val="231F20"/>
          <w:w w:val="105"/>
          <w:sz w:val="15"/>
        </w:rPr>
        <w:t>et al</w:t>
      </w:r>
      <w:r>
        <w:rPr>
          <w:color w:val="231F20"/>
          <w:w w:val="105"/>
          <w:sz w:val="15"/>
        </w:rPr>
        <w:t>. Simeprevir plus sofosbuvir in patients with chronic hepatitis C virus genotype 1 infection and cirrhosis: a phase 3 study (OPTIMIST-2). Hepatology 2016; 64:</w:t>
      </w:r>
      <w:r>
        <w:rPr>
          <w:color w:val="231F20"/>
          <w:spacing w:val="22"/>
          <w:w w:val="105"/>
          <w:sz w:val="15"/>
        </w:rPr>
        <w:t> </w:t>
      </w:r>
      <w:r>
        <w:rPr>
          <w:color w:val="231F20"/>
          <w:w w:val="105"/>
          <w:sz w:val="15"/>
        </w:rPr>
        <w:t>360</w:t>
      </w:r>
      <w:r>
        <w:rPr>
          <w:rFonts w:ascii="Lucida Sans" w:hAnsi="Lucida Sans"/>
          <w:color w:val="231F20"/>
          <w:w w:val="105"/>
          <w:sz w:val="15"/>
        </w:rPr>
        <w:t>–</w:t>
      </w:r>
      <w:r>
        <w:rPr>
          <w:color w:val="231F20"/>
          <w:w w:val="105"/>
          <w:sz w:val="15"/>
        </w:rPr>
        <w:t>9.</w:t>
      </w:r>
    </w:p>
    <w:p>
      <w:pPr>
        <w:pStyle w:val="ListParagraph"/>
        <w:numPr>
          <w:ilvl w:val="0"/>
          <w:numId w:val="2"/>
        </w:numPr>
        <w:tabs>
          <w:tab w:pos="363" w:val="left" w:leader="none"/>
        </w:tabs>
        <w:spacing w:line="237" w:lineRule="auto" w:before="99" w:after="0"/>
        <w:ind w:left="362" w:right="72" w:hanging="262"/>
        <w:jc w:val="left"/>
        <w:rPr>
          <w:sz w:val="15"/>
        </w:rPr>
      </w:pPr>
      <w:r>
        <w:rPr>
          <w:color w:val="231F20"/>
          <w:w w:val="105"/>
          <w:sz w:val="15"/>
        </w:rPr>
        <w:t>El</w:t>
      </w:r>
      <w:r>
        <w:rPr>
          <w:color w:val="231F20"/>
          <w:spacing w:val="-8"/>
          <w:w w:val="105"/>
          <w:sz w:val="15"/>
        </w:rPr>
        <w:t> </w:t>
      </w:r>
      <w:r>
        <w:rPr>
          <w:color w:val="231F20"/>
          <w:w w:val="105"/>
          <w:sz w:val="15"/>
        </w:rPr>
        <w:t>Raziky</w:t>
      </w:r>
      <w:r>
        <w:rPr>
          <w:color w:val="231F20"/>
          <w:spacing w:val="-8"/>
          <w:w w:val="105"/>
          <w:sz w:val="15"/>
        </w:rPr>
        <w:t> </w:t>
      </w:r>
      <w:r>
        <w:rPr>
          <w:color w:val="231F20"/>
          <w:w w:val="105"/>
          <w:sz w:val="15"/>
        </w:rPr>
        <w:t>M,</w:t>
      </w:r>
      <w:r>
        <w:rPr>
          <w:color w:val="231F20"/>
          <w:spacing w:val="-9"/>
          <w:w w:val="105"/>
          <w:sz w:val="15"/>
        </w:rPr>
        <w:t> </w:t>
      </w:r>
      <w:r>
        <w:rPr>
          <w:color w:val="231F20"/>
          <w:w w:val="105"/>
          <w:sz w:val="15"/>
        </w:rPr>
        <w:t>Gamil</w:t>
      </w:r>
      <w:r>
        <w:rPr>
          <w:color w:val="231F20"/>
          <w:spacing w:val="-9"/>
          <w:w w:val="105"/>
          <w:sz w:val="15"/>
        </w:rPr>
        <w:t> </w:t>
      </w:r>
      <w:r>
        <w:rPr>
          <w:color w:val="231F20"/>
          <w:w w:val="105"/>
          <w:sz w:val="15"/>
        </w:rPr>
        <w:t>M,</w:t>
      </w:r>
      <w:r>
        <w:rPr>
          <w:color w:val="231F20"/>
          <w:spacing w:val="-9"/>
          <w:w w:val="105"/>
          <w:sz w:val="15"/>
        </w:rPr>
        <w:t> </w:t>
      </w:r>
      <w:r>
        <w:rPr>
          <w:color w:val="231F20"/>
          <w:w w:val="105"/>
          <w:sz w:val="15"/>
        </w:rPr>
        <w:t>Ashour</w:t>
      </w:r>
      <w:r>
        <w:rPr>
          <w:color w:val="231F20"/>
          <w:spacing w:val="-9"/>
          <w:w w:val="105"/>
          <w:sz w:val="15"/>
        </w:rPr>
        <w:t> </w:t>
      </w:r>
      <w:r>
        <w:rPr>
          <w:color w:val="231F20"/>
          <w:w w:val="105"/>
          <w:sz w:val="15"/>
        </w:rPr>
        <w:t>MK,</w:t>
      </w:r>
      <w:r>
        <w:rPr>
          <w:color w:val="231F20"/>
          <w:spacing w:val="-9"/>
          <w:w w:val="105"/>
          <w:sz w:val="15"/>
        </w:rPr>
        <w:t> </w:t>
      </w:r>
      <w:r>
        <w:rPr>
          <w:color w:val="231F20"/>
          <w:w w:val="105"/>
          <w:sz w:val="15"/>
        </w:rPr>
        <w:t>Sameea</w:t>
      </w:r>
      <w:r>
        <w:rPr>
          <w:color w:val="231F20"/>
          <w:spacing w:val="-8"/>
          <w:w w:val="105"/>
          <w:sz w:val="15"/>
        </w:rPr>
        <w:t> </w:t>
      </w:r>
      <w:r>
        <w:rPr>
          <w:color w:val="231F20"/>
          <w:w w:val="105"/>
          <w:sz w:val="15"/>
        </w:rPr>
        <w:t>EA,</w:t>
      </w:r>
      <w:r>
        <w:rPr>
          <w:color w:val="231F20"/>
          <w:spacing w:val="-8"/>
          <w:w w:val="105"/>
          <w:sz w:val="15"/>
        </w:rPr>
        <w:t> </w:t>
      </w:r>
      <w:r>
        <w:rPr>
          <w:color w:val="231F20"/>
          <w:w w:val="105"/>
          <w:sz w:val="15"/>
        </w:rPr>
        <w:t>Doss</w:t>
      </w:r>
      <w:r>
        <w:rPr>
          <w:color w:val="231F20"/>
          <w:spacing w:val="-9"/>
          <w:w w:val="105"/>
          <w:sz w:val="15"/>
        </w:rPr>
        <w:t> </w:t>
      </w:r>
      <w:r>
        <w:rPr>
          <w:color w:val="231F20"/>
          <w:w w:val="105"/>
          <w:sz w:val="15"/>
        </w:rPr>
        <w:t>W,</w:t>
      </w:r>
      <w:r>
        <w:rPr>
          <w:color w:val="231F20"/>
          <w:spacing w:val="-9"/>
          <w:w w:val="105"/>
          <w:sz w:val="15"/>
        </w:rPr>
        <w:t> </w:t>
      </w:r>
      <w:r>
        <w:rPr>
          <w:color w:val="231F20"/>
          <w:w w:val="105"/>
          <w:sz w:val="15"/>
        </w:rPr>
        <w:t>Hamada Y, </w:t>
      </w:r>
      <w:r>
        <w:rPr>
          <w:rFonts w:ascii="Book Antiqua" w:hAnsi="Book Antiqua"/>
          <w:i/>
          <w:color w:val="231F20"/>
          <w:w w:val="105"/>
          <w:sz w:val="15"/>
        </w:rPr>
        <w:t>et al</w:t>
      </w:r>
      <w:r>
        <w:rPr>
          <w:color w:val="231F20"/>
          <w:w w:val="105"/>
          <w:sz w:val="15"/>
        </w:rPr>
        <w:t>. Simeprevir plus sofosbuvir for eight or 12 weeks in treatment-naïve and treatment-experienced hepatitis C virus genotype 4 patients with or without cirrhosis. J Viral Hepat 2016; 24:</w:t>
      </w:r>
      <w:r>
        <w:rPr>
          <w:color w:val="231F20"/>
          <w:spacing w:val="2"/>
          <w:w w:val="105"/>
          <w:sz w:val="15"/>
        </w:rPr>
        <w:t> </w:t>
      </w:r>
      <w:r>
        <w:rPr>
          <w:color w:val="231F20"/>
          <w:w w:val="105"/>
          <w:sz w:val="15"/>
        </w:rPr>
        <w:t>102</w:t>
      </w:r>
      <w:r>
        <w:rPr>
          <w:rFonts w:ascii="Lucida Sans" w:hAnsi="Lucida Sans"/>
          <w:color w:val="231F20"/>
          <w:w w:val="105"/>
          <w:sz w:val="15"/>
        </w:rPr>
        <w:t>–</w:t>
      </w:r>
      <w:r>
        <w:rPr>
          <w:color w:val="231F20"/>
          <w:w w:val="105"/>
          <w:sz w:val="15"/>
        </w:rPr>
        <w:t>10.</w:t>
      </w:r>
    </w:p>
    <w:p>
      <w:pPr>
        <w:pStyle w:val="ListParagraph"/>
        <w:numPr>
          <w:ilvl w:val="0"/>
          <w:numId w:val="2"/>
        </w:numPr>
        <w:tabs>
          <w:tab w:pos="363" w:val="left" w:leader="none"/>
        </w:tabs>
        <w:spacing w:line="237" w:lineRule="auto" w:before="98" w:after="0"/>
        <w:ind w:left="362" w:right="229" w:hanging="262"/>
        <w:jc w:val="left"/>
        <w:rPr>
          <w:sz w:val="15"/>
        </w:rPr>
      </w:pPr>
      <w:r>
        <w:rPr>
          <w:color w:val="231F20"/>
          <w:w w:val="105"/>
          <w:sz w:val="15"/>
        </w:rPr>
        <w:t>Buti M, Calleja JL, Lens S, Diago M, Ortega E, Crespo J, </w:t>
      </w:r>
      <w:r>
        <w:rPr>
          <w:rFonts w:ascii="Book Antiqua" w:hAnsi="Book Antiqua"/>
          <w:i/>
          <w:color w:val="231F20"/>
          <w:w w:val="105"/>
          <w:sz w:val="15"/>
        </w:rPr>
        <w:t>et al</w:t>
      </w:r>
      <w:r>
        <w:rPr>
          <w:color w:val="231F20"/>
          <w:w w:val="105"/>
          <w:sz w:val="15"/>
        </w:rPr>
        <w:t>. Simeprevir in combination with sofosbuvir in treatment-naïve and -experienced patients with hepatitis C virus genotype 4 infection: a phase III, open-label, single-arm study (PLUTO). Aliment Pharmacol Ther 2017; 45:</w:t>
      </w:r>
      <w:r>
        <w:rPr>
          <w:color w:val="231F20"/>
          <w:spacing w:val="25"/>
          <w:w w:val="105"/>
          <w:sz w:val="15"/>
        </w:rPr>
        <w:t> </w:t>
      </w:r>
      <w:r>
        <w:rPr>
          <w:color w:val="231F20"/>
          <w:w w:val="105"/>
          <w:sz w:val="15"/>
        </w:rPr>
        <w:t>468</w:t>
      </w:r>
      <w:r>
        <w:rPr>
          <w:rFonts w:ascii="Lucida Sans" w:hAnsi="Lucida Sans"/>
          <w:color w:val="231F20"/>
          <w:w w:val="105"/>
          <w:sz w:val="15"/>
        </w:rPr>
        <w:t>–</w:t>
      </w:r>
      <w:r>
        <w:rPr>
          <w:color w:val="231F20"/>
          <w:w w:val="105"/>
          <w:sz w:val="15"/>
        </w:rPr>
        <w:t>75.</w:t>
      </w:r>
    </w:p>
    <w:p>
      <w:pPr>
        <w:pStyle w:val="ListParagraph"/>
        <w:numPr>
          <w:ilvl w:val="0"/>
          <w:numId w:val="2"/>
        </w:numPr>
        <w:tabs>
          <w:tab w:pos="363" w:val="left" w:leader="none"/>
        </w:tabs>
        <w:spacing w:line="237" w:lineRule="auto" w:before="98" w:after="0"/>
        <w:ind w:left="362" w:right="72" w:hanging="262"/>
        <w:jc w:val="left"/>
        <w:rPr>
          <w:sz w:val="15"/>
        </w:rPr>
      </w:pPr>
      <w:r>
        <w:rPr>
          <w:color w:val="231F20"/>
          <w:w w:val="105"/>
          <w:sz w:val="15"/>
        </w:rPr>
        <w:t>Hezode</w:t>
      </w:r>
      <w:r>
        <w:rPr>
          <w:color w:val="231F20"/>
          <w:spacing w:val="-12"/>
          <w:w w:val="105"/>
          <w:sz w:val="15"/>
        </w:rPr>
        <w:t> </w:t>
      </w:r>
      <w:r>
        <w:rPr>
          <w:color w:val="231F20"/>
          <w:w w:val="105"/>
          <w:sz w:val="15"/>
        </w:rPr>
        <w:t>C,</w:t>
      </w:r>
      <w:r>
        <w:rPr>
          <w:color w:val="231F20"/>
          <w:spacing w:val="-12"/>
          <w:w w:val="105"/>
          <w:sz w:val="15"/>
        </w:rPr>
        <w:t> </w:t>
      </w:r>
      <w:r>
        <w:rPr>
          <w:color w:val="231F20"/>
          <w:w w:val="105"/>
          <w:sz w:val="15"/>
        </w:rPr>
        <w:t>Almasio</w:t>
      </w:r>
      <w:r>
        <w:rPr>
          <w:color w:val="231F20"/>
          <w:spacing w:val="-12"/>
          <w:w w:val="105"/>
          <w:sz w:val="15"/>
        </w:rPr>
        <w:t> </w:t>
      </w:r>
      <w:r>
        <w:rPr>
          <w:color w:val="231F20"/>
          <w:w w:val="105"/>
          <w:sz w:val="15"/>
        </w:rPr>
        <w:t>P,</w:t>
      </w:r>
      <w:r>
        <w:rPr>
          <w:color w:val="231F20"/>
          <w:spacing w:val="-12"/>
          <w:w w:val="105"/>
          <w:sz w:val="15"/>
        </w:rPr>
        <w:t> </w:t>
      </w:r>
      <w:r>
        <w:rPr>
          <w:color w:val="231F20"/>
          <w:w w:val="105"/>
          <w:sz w:val="15"/>
        </w:rPr>
        <w:t>Bourgeois</w:t>
      </w:r>
      <w:r>
        <w:rPr>
          <w:color w:val="231F20"/>
          <w:spacing w:val="-12"/>
          <w:w w:val="105"/>
          <w:sz w:val="15"/>
        </w:rPr>
        <w:t> </w:t>
      </w:r>
      <w:r>
        <w:rPr>
          <w:color w:val="231F20"/>
          <w:w w:val="105"/>
          <w:sz w:val="15"/>
        </w:rPr>
        <w:t>S,</w:t>
      </w:r>
      <w:r>
        <w:rPr>
          <w:color w:val="231F20"/>
          <w:spacing w:val="-13"/>
          <w:w w:val="105"/>
          <w:sz w:val="15"/>
        </w:rPr>
        <w:t> </w:t>
      </w:r>
      <w:r>
        <w:rPr>
          <w:color w:val="231F20"/>
          <w:w w:val="105"/>
          <w:sz w:val="15"/>
        </w:rPr>
        <w:t>Buggisch</w:t>
      </w:r>
      <w:r>
        <w:rPr>
          <w:color w:val="231F20"/>
          <w:spacing w:val="-12"/>
          <w:w w:val="105"/>
          <w:sz w:val="15"/>
        </w:rPr>
        <w:t> </w:t>
      </w:r>
      <w:r>
        <w:rPr>
          <w:color w:val="231F20"/>
          <w:w w:val="105"/>
          <w:sz w:val="15"/>
        </w:rPr>
        <w:t>P,</w:t>
      </w:r>
      <w:r>
        <w:rPr>
          <w:color w:val="231F20"/>
          <w:spacing w:val="-12"/>
          <w:w w:val="105"/>
          <w:sz w:val="15"/>
        </w:rPr>
        <w:t> </w:t>
      </w:r>
      <w:r>
        <w:rPr>
          <w:color w:val="231F20"/>
          <w:w w:val="105"/>
          <w:sz w:val="15"/>
        </w:rPr>
        <w:t>Brown</w:t>
      </w:r>
      <w:r>
        <w:rPr>
          <w:color w:val="231F20"/>
          <w:spacing w:val="-12"/>
          <w:w w:val="105"/>
          <w:sz w:val="15"/>
        </w:rPr>
        <w:t> </w:t>
      </w:r>
      <w:r>
        <w:rPr>
          <w:color w:val="231F20"/>
          <w:w w:val="105"/>
          <w:sz w:val="15"/>
        </w:rPr>
        <w:t>A,</w:t>
      </w:r>
      <w:r>
        <w:rPr>
          <w:color w:val="231F20"/>
          <w:spacing w:val="-13"/>
          <w:w w:val="105"/>
          <w:sz w:val="15"/>
        </w:rPr>
        <w:t> </w:t>
      </w:r>
      <w:r>
        <w:rPr>
          <w:color w:val="231F20"/>
          <w:w w:val="105"/>
          <w:sz w:val="15"/>
        </w:rPr>
        <w:t>Diago</w:t>
      </w:r>
      <w:r>
        <w:rPr>
          <w:color w:val="231F20"/>
          <w:spacing w:val="-12"/>
          <w:w w:val="105"/>
          <w:sz w:val="15"/>
        </w:rPr>
        <w:t> </w:t>
      </w:r>
      <w:r>
        <w:rPr>
          <w:color w:val="231F20"/>
          <w:w w:val="105"/>
          <w:sz w:val="15"/>
        </w:rPr>
        <w:t>M, </w:t>
      </w:r>
      <w:r>
        <w:rPr>
          <w:rFonts w:ascii="Book Antiqua" w:hAnsi="Book Antiqua"/>
          <w:i/>
          <w:color w:val="231F20"/>
          <w:w w:val="105"/>
          <w:sz w:val="15"/>
        </w:rPr>
        <w:t>et al</w:t>
      </w:r>
      <w:r>
        <w:rPr>
          <w:color w:val="231F20"/>
          <w:w w:val="105"/>
          <w:sz w:val="15"/>
        </w:rPr>
        <w:t>. Ef</w:t>
      </w:r>
      <w:r>
        <w:rPr>
          <w:rFonts w:ascii="Times New Roman" w:hAnsi="Times New Roman"/>
          <w:color w:val="231F20"/>
          <w:w w:val="105"/>
          <w:sz w:val="15"/>
        </w:rPr>
        <w:t>ﬁ</w:t>
      </w:r>
      <w:r>
        <w:rPr>
          <w:color w:val="231F20"/>
          <w:w w:val="105"/>
          <w:sz w:val="15"/>
        </w:rPr>
        <w:t>cacy and tolerability of simeprevir and daclatasvir for 12 or 24 weeks in HCV genotype 1b-infected treatment-naive patients with advanced </w:t>
      </w:r>
      <w:r>
        <w:rPr>
          <w:rFonts w:ascii="Times New Roman" w:hAnsi="Times New Roman"/>
          <w:color w:val="231F20"/>
          <w:w w:val="105"/>
          <w:sz w:val="15"/>
        </w:rPr>
        <w:t>ﬁ</w:t>
      </w:r>
      <w:r>
        <w:rPr>
          <w:color w:val="231F20"/>
          <w:w w:val="105"/>
          <w:sz w:val="15"/>
        </w:rPr>
        <w:t>brosis or compensated cirrhosis. J Hepatol 2016; 64 (Suppl):</w:t>
      </w:r>
      <w:r>
        <w:rPr>
          <w:color w:val="231F20"/>
          <w:spacing w:val="12"/>
          <w:w w:val="105"/>
          <w:sz w:val="15"/>
        </w:rPr>
        <w:t> </w:t>
      </w:r>
      <w:r>
        <w:rPr>
          <w:color w:val="231F20"/>
          <w:w w:val="105"/>
          <w:sz w:val="15"/>
        </w:rPr>
        <w:t>S754.</w:t>
      </w:r>
    </w:p>
    <w:p>
      <w:pPr>
        <w:pStyle w:val="ListParagraph"/>
        <w:numPr>
          <w:ilvl w:val="0"/>
          <w:numId w:val="2"/>
        </w:numPr>
        <w:tabs>
          <w:tab w:pos="363" w:val="left" w:leader="none"/>
        </w:tabs>
        <w:spacing w:line="240" w:lineRule="auto" w:before="96" w:after="0"/>
        <w:ind w:left="362" w:right="129" w:hanging="262"/>
        <w:jc w:val="left"/>
        <w:rPr>
          <w:sz w:val="15"/>
        </w:rPr>
      </w:pPr>
      <w:r>
        <w:rPr>
          <w:color w:val="231F20"/>
          <w:w w:val="105"/>
          <w:sz w:val="15"/>
        </w:rPr>
        <w:t>Alam</w:t>
      </w:r>
      <w:r>
        <w:rPr>
          <w:color w:val="231F20"/>
          <w:spacing w:val="-5"/>
          <w:w w:val="105"/>
          <w:sz w:val="15"/>
        </w:rPr>
        <w:t> </w:t>
      </w:r>
      <w:r>
        <w:rPr>
          <w:color w:val="231F20"/>
          <w:w w:val="105"/>
          <w:sz w:val="15"/>
        </w:rPr>
        <w:t>I,</w:t>
      </w:r>
      <w:r>
        <w:rPr>
          <w:color w:val="231F20"/>
          <w:spacing w:val="-5"/>
          <w:w w:val="105"/>
          <w:sz w:val="15"/>
        </w:rPr>
        <w:t> </w:t>
      </w:r>
      <w:r>
        <w:rPr>
          <w:color w:val="231F20"/>
          <w:w w:val="105"/>
          <w:sz w:val="15"/>
        </w:rPr>
        <w:t>Brown</w:t>
      </w:r>
      <w:r>
        <w:rPr>
          <w:color w:val="231F20"/>
          <w:spacing w:val="-5"/>
          <w:w w:val="105"/>
          <w:sz w:val="15"/>
        </w:rPr>
        <w:t> </w:t>
      </w:r>
      <w:r>
        <w:rPr>
          <w:color w:val="231F20"/>
          <w:w w:val="105"/>
          <w:sz w:val="15"/>
        </w:rPr>
        <w:t>K,</w:t>
      </w:r>
      <w:r>
        <w:rPr>
          <w:color w:val="231F20"/>
          <w:spacing w:val="-4"/>
          <w:w w:val="105"/>
          <w:sz w:val="15"/>
        </w:rPr>
        <w:t> </w:t>
      </w:r>
      <w:r>
        <w:rPr>
          <w:color w:val="231F20"/>
          <w:w w:val="105"/>
          <w:sz w:val="15"/>
        </w:rPr>
        <w:t>Donovan</w:t>
      </w:r>
      <w:r>
        <w:rPr>
          <w:color w:val="231F20"/>
          <w:spacing w:val="-4"/>
          <w:w w:val="105"/>
          <w:sz w:val="15"/>
        </w:rPr>
        <w:t> </w:t>
      </w:r>
      <w:r>
        <w:rPr>
          <w:color w:val="231F20"/>
          <w:w w:val="105"/>
          <w:sz w:val="15"/>
        </w:rPr>
        <w:t>C,</w:t>
      </w:r>
      <w:r>
        <w:rPr>
          <w:color w:val="231F20"/>
          <w:spacing w:val="-5"/>
          <w:w w:val="105"/>
          <w:sz w:val="15"/>
        </w:rPr>
        <w:t> </w:t>
      </w:r>
      <w:r>
        <w:rPr>
          <w:color w:val="231F20"/>
          <w:w w:val="105"/>
          <w:sz w:val="15"/>
        </w:rPr>
        <w:t>Forlenza</w:t>
      </w:r>
      <w:r>
        <w:rPr>
          <w:color w:val="231F20"/>
          <w:spacing w:val="-4"/>
          <w:w w:val="105"/>
          <w:sz w:val="15"/>
        </w:rPr>
        <w:t> </w:t>
      </w:r>
      <w:r>
        <w:rPr>
          <w:color w:val="231F20"/>
          <w:w w:val="105"/>
          <w:sz w:val="15"/>
        </w:rPr>
        <w:t>J,</w:t>
      </w:r>
      <w:r>
        <w:rPr>
          <w:color w:val="231F20"/>
          <w:spacing w:val="-4"/>
          <w:w w:val="105"/>
          <w:sz w:val="15"/>
        </w:rPr>
        <w:t> </w:t>
      </w:r>
      <w:r>
        <w:rPr>
          <w:color w:val="231F20"/>
          <w:w w:val="105"/>
          <w:sz w:val="15"/>
        </w:rPr>
        <w:t>Lauwers</w:t>
      </w:r>
      <w:r>
        <w:rPr>
          <w:color w:val="231F20"/>
          <w:spacing w:val="-5"/>
          <w:w w:val="105"/>
          <w:sz w:val="15"/>
        </w:rPr>
        <w:t> </w:t>
      </w:r>
      <w:r>
        <w:rPr>
          <w:color w:val="231F20"/>
          <w:w w:val="105"/>
          <w:sz w:val="15"/>
        </w:rPr>
        <w:t>K,</w:t>
      </w:r>
      <w:r>
        <w:rPr>
          <w:color w:val="231F20"/>
          <w:spacing w:val="-4"/>
          <w:w w:val="105"/>
          <w:sz w:val="15"/>
        </w:rPr>
        <w:t> </w:t>
      </w:r>
      <w:r>
        <w:rPr>
          <w:color w:val="231F20"/>
          <w:w w:val="105"/>
          <w:sz w:val="15"/>
        </w:rPr>
        <w:t>Mah</w:t>
      </w:r>
      <w:r>
        <w:rPr>
          <w:rFonts w:ascii="Lucida Sans" w:hAnsi="Lucida Sans"/>
          <w:color w:val="231F20"/>
          <w:w w:val="105"/>
          <w:sz w:val="15"/>
        </w:rPr>
        <w:t>’</w:t>
      </w:r>
      <w:r>
        <w:rPr>
          <w:color w:val="231F20"/>
          <w:w w:val="105"/>
          <w:sz w:val="15"/>
        </w:rPr>
        <w:t>moud MA, </w:t>
      </w:r>
      <w:r>
        <w:rPr>
          <w:rFonts w:ascii="Book Antiqua" w:hAnsi="Book Antiqua"/>
          <w:i/>
          <w:color w:val="231F20"/>
          <w:w w:val="105"/>
          <w:sz w:val="15"/>
        </w:rPr>
        <w:t>et al</w:t>
      </w:r>
      <w:r>
        <w:rPr>
          <w:color w:val="231F20"/>
          <w:w w:val="105"/>
          <w:sz w:val="15"/>
        </w:rPr>
        <w:t>. Real-world effectiveness of</w:t>
      </w:r>
      <w:r>
        <w:rPr>
          <w:color w:val="231F20"/>
          <w:spacing w:val="7"/>
          <w:w w:val="105"/>
          <w:sz w:val="15"/>
        </w:rPr>
        <w:t> </w:t>
      </w:r>
      <w:r>
        <w:rPr>
          <w:color w:val="231F20"/>
          <w:w w:val="105"/>
          <w:sz w:val="15"/>
        </w:rPr>
        <w:t>simeprevir-containing</w:t>
      </w:r>
    </w:p>
    <w:p>
      <w:pPr>
        <w:spacing w:line="237" w:lineRule="auto" w:before="90"/>
        <w:ind w:left="360" w:right="54" w:firstLine="0"/>
        <w:jc w:val="left"/>
        <w:rPr>
          <w:sz w:val="15"/>
        </w:rPr>
      </w:pPr>
      <w:r>
        <w:rPr/>
        <w:br w:type="column"/>
      </w:r>
      <w:r>
        <w:rPr>
          <w:color w:val="231F20"/>
          <w:w w:val="105"/>
          <w:sz w:val="15"/>
        </w:rPr>
        <w:t>regimens among patients with chronic hepatitis C virus: the SONET study. Open Forum Infect Dis 2017; 4: ofw258.</w:t>
      </w:r>
    </w:p>
    <w:p>
      <w:pPr>
        <w:pStyle w:val="ListParagraph"/>
        <w:numPr>
          <w:ilvl w:val="0"/>
          <w:numId w:val="2"/>
        </w:numPr>
        <w:tabs>
          <w:tab w:pos="361" w:val="left" w:leader="none"/>
        </w:tabs>
        <w:spacing w:line="237" w:lineRule="auto" w:before="99" w:after="0"/>
        <w:ind w:left="360" w:right="114" w:hanging="260"/>
        <w:jc w:val="left"/>
        <w:rPr>
          <w:sz w:val="15"/>
        </w:rPr>
      </w:pPr>
      <w:r>
        <w:rPr>
          <w:color w:val="231F20"/>
          <w:w w:val="105"/>
          <w:sz w:val="15"/>
        </w:rPr>
        <w:t>O</w:t>
      </w:r>
      <w:r>
        <w:rPr>
          <w:rFonts w:ascii="Lucida Sans" w:hAnsi="Lucida Sans"/>
          <w:color w:val="231F20"/>
          <w:w w:val="105"/>
          <w:sz w:val="15"/>
        </w:rPr>
        <w:t>’</w:t>
      </w:r>
      <w:r>
        <w:rPr>
          <w:color w:val="231F20"/>
          <w:w w:val="105"/>
          <w:sz w:val="15"/>
        </w:rPr>
        <w:t>Leary</w:t>
      </w:r>
      <w:r>
        <w:rPr>
          <w:color w:val="231F20"/>
          <w:spacing w:val="-5"/>
          <w:w w:val="105"/>
          <w:sz w:val="15"/>
        </w:rPr>
        <w:t> </w:t>
      </w:r>
      <w:r>
        <w:rPr>
          <w:color w:val="231F20"/>
          <w:w w:val="105"/>
          <w:sz w:val="15"/>
        </w:rPr>
        <w:t>JG,</w:t>
      </w:r>
      <w:r>
        <w:rPr>
          <w:color w:val="231F20"/>
          <w:spacing w:val="-5"/>
          <w:w w:val="105"/>
          <w:sz w:val="15"/>
        </w:rPr>
        <w:t> </w:t>
      </w:r>
      <w:r>
        <w:rPr>
          <w:color w:val="231F20"/>
          <w:w w:val="105"/>
          <w:sz w:val="15"/>
        </w:rPr>
        <w:t>Fontana</w:t>
      </w:r>
      <w:r>
        <w:rPr>
          <w:color w:val="231F20"/>
          <w:spacing w:val="-5"/>
          <w:w w:val="105"/>
          <w:sz w:val="15"/>
        </w:rPr>
        <w:t> </w:t>
      </w:r>
      <w:r>
        <w:rPr>
          <w:color w:val="231F20"/>
          <w:w w:val="105"/>
          <w:sz w:val="15"/>
        </w:rPr>
        <w:t>RJ,</w:t>
      </w:r>
      <w:r>
        <w:rPr>
          <w:color w:val="231F20"/>
          <w:spacing w:val="-5"/>
          <w:w w:val="105"/>
          <w:sz w:val="15"/>
        </w:rPr>
        <w:t> </w:t>
      </w:r>
      <w:r>
        <w:rPr>
          <w:color w:val="231F20"/>
          <w:w w:val="105"/>
          <w:sz w:val="15"/>
        </w:rPr>
        <w:t>Brown</w:t>
      </w:r>
      <w:r>
        <w:rPr>
          <w:color w:val="231F20"/>
          <w:spacing w:val="-5"/>
          <w:w w:val="105"/>
          <w:sz w:val="15"/>
        </w:rPr>
        <w:t> </w:t>
      </w:r>
      <w:r>
        <w:rPr>
          <w:color w:val="231F20"/>
          <w:w w:val="105"/>
          <w:sz w:val="15"/>
        </w:rPr>
        <w:t>K,</w:t>
      </w:r>
      <w:r>
        <w:rPr>
          <w:color w:val="231F20"/>
          <w:spacing w:val="-5"/>
          <w:w w:val="105"/>
          <w:sz w:val="15"/>
        </w:rPr>
        <w:t> </w:t>
      </w:r>
      <w:r>
        <w:rPr>
          <w:color w:val="231F20"/>
          <w:w w:val="105"/>
          <w:sz w:val="15"/>
        </w:rPr>
        <w:t>Burton</w:t>
      </w:r>
      <w:r>
        <w:rPr>
          <w:color w:val="231F20"/>
          <w:spacing w:val="-5"/>
          <w:w w:val="105"/>
          <w:sz w:val="15"/>
        </w:rPr>
        <w:t> </w:t>
      </w:r>
      <w:r>
        <w:rPr>
          <w:color w:val="231F20"/>
          <w:w w:val="105"/>
          <w:sz w:val="15"/>
        </w:rPr>
        <w:t>JR,</w:t>
      </w:r>
      <w:r>
        <w:rPr>
          <w:color w:val="231F20"/>
          <w:spacing w:val="-5"/>
          <w:w w:val="105"/>
          <w:sz w:val="15"/>
        </w:rPr>
        <w:t> </w:t>
      </w:r>
      <w:r>
        <w:rPr>
          <w:color w:val="231F20"/>
          <w:w w:val="105"/>
          <w:sz w:val="15"/>
        </w:rPr>
        <w:t>Firpi-Morell</w:t>
      </w:r>
      <w:r>
        <w:rPr>
          <w:color w:val="231F20"/>
          <w:spacing w:val="-5"/>
          <w:w w:val="105"/>
          <w:sz w:val="15"/>
        </w:rPr>
        <w:t> </w:t>
      </w:r>
      <w:r>
        <w:rPr>
          <w:color w:val="231F20"/>
          <w:w w:val="105"/>
          <w:sz w:val="15"/>
        </w:rPr>
        <w:t>R,</w:t>
      </w:r>
      <w:r>
        <w:rPr>
          <w:color w:val="231F20"/>
          <w:spacing w:val="-5"/>
          <w:w w:val="105"/>
          <w:sz w:val="15"/>
        </w:rPr>
        <w:t> </w:t>
      </w:r>
      <w:r>
        <w:rPr>
          <w:color w:val="231F20"/>
          <w:w w:val="105"/>
          <w:sz w:val="15"/>
        </w:rPr>
        <w:t>Muir A, </w:t>
      </w:r>
      <w:r>
        <w:rPr>
          <w:rFonts w:ascii="Book Antiqua" w:hAnsi="Book Antiqua"/>
          <w:i/>
          <w:color w:val="231F20"/>
          <w:w w:val="105"/>
          <w:sz w:val="15"/>
        </w:rPr>
        <w:t>et al</w:t>
      </w:r>
      <w:r>
        <w:rPr>
          <w:color w:val="231F20"/>
          <w:w w:val="105"/>
          <w:sz w:val="15"/>
        </w:rPr>
        <w:t>. Ef</w:t>
      </w:r>
      <w:r>
        <w:rPr>
          <w:rFonts w:ascii="Times New Roman" w:hAnsi="Times New Roman"/>
          <w:color w:val="231F20"/>
          <w:w w:val="105"/>
          <w:sz w:val="15"/>
        </w:rPr>
        <w:t>ﬁ</w:t>
      </w:r>
      <w:r>
        <w:rPr>
          <w:color w:val="231F20"/>
          <w:w w:val="105"/>
          <w:sz w:val="15"/>
        </w:rPr>
        <w:t>cacy and safety of simeprevir and sofosbuvir with</w:t>
      </w:r>
      <w:r>
        <w:rPr>
          <w:color w:val="231F20"/>
          <w:spacing w:val="-27"/>
          <w:w w:val="105"/>
          <w:sz w:val="15"/>
        </w:rPr>
        <w:t> </w:t>
      </w:r>
      <w:r>
        <w:rPr>
          <w:color w:val="231F20"/>
          <w:w w:val="105"/>
          <w:sz w:val="15"/>
        </w:rPr>
        <w:t>and without ribavirin in subjects with recurrent genotype 1 hepatitis C postorthotopic liver transplant: the randomized GALAXY </w:t>
      </w:r>
      <w:r>
        <w:rPr>
          <w:color w:val="231F20"/>
          <w:spacing w:val="-3"/>
          <w:w w:val="105"/>
          <w:sz w:val="15"/>
        </w:rPr>
        <w:t>study. </w:t>
      </w:r>
      <w:r>
        <w:rPr>
          <w:color w:val="231F20"/>
          <w:w w:val="105"/>
          <w:sz w:val="15"/>
        </w:rPr>
        <w:t>Transpl Int 2017; 30:</w:t>
      </w:r>
      <w:r>
        <w:rPr>
          <w:color w:val="231F20"/>
          <w:spacing w:val="26"/>
          <w:w w:val="105"/>
          <w:sz w:val="15"/>
        </w:rPr>
        <w:t> </w:t>
      </w:r>
      <w:r>
        <w:rPr>
          <w:color w:val="231F20"/>
          <w:w w:val="105"/>
          <w:sz w:val="15"/>
        </w:rPr>
        <w:t>196</w:t>
      </w:r>
      <w:r>
        <w:rPr>
          <w:rFonts w:ascii="Lucida Sans" w:hAnsi="Lucida Sans"/>
          <w:color w:val="231F20"/>
          <w:w w:val="105"/>
          <w:sz w:val="15"/>
        </w:rPr>
        <w:t>–</w:t>
      </w:r>
      <w:r>
        <w:rPr>
          <w:color w:val="231F20"/>
          <w:w w:val="105"/>
          <w:sz w:val="15"/>
        </w:rPr>
        <w:t>208.</w:t>
      </w:r>
    </w:p>
    <w:p>
      <w:pPr>
        <w:pStyle w:val="ListParagraph"/>
        <w:numPr>
          <w:ilvl w:val="0"/>
          <w:numId w:val="2"/>
        </w:numPr>
        <w:tabs>
          <w:tab w:pos="361" w:val="left" w:leader="none"/>
        </w:tabs>
        <w:spacing w:line="237" w:lineRule="auto" w:before="98" w:after="0"/>
        <w:ind w:left="360" w:right="254" w:hanging="260"/>
        <w:jc w:val="left"/>
        <w:rPr>
          <w:sz w:val="15"/>
        </w:rPr>
      </w:pPr>
      <w:r>
        <w:rPr>
          <w:color w:val="231F20"/>
          <w:w w:val="110"/>
          <w:sz w:val="15"/>
        </w:rPr>
        <w:t>Forns X, Berenguer M, Herzer K, Sterneck M, Donato MF, Andreone P, </w:t>
      </w:r>
      <w:r>
        <w:rPr>
          <w:rFonts w:ascii="Book Antiqua" w:hAnsi="Book Antiqua"/>
          <w:i/>
          <w:color w:val="231F20"/>
          <w:w w:val="110"/>
          <w:sz w:val="15"/>
        </w:rPr>
        <w:t>et al</w:t>
      </w:r>
      <w:r>
        <w:rPr>
          <w:color w:val="231F20"/>
          <w:w w:val="110"/>
          <w:sz w:val="15"/>
        </w:rPr>
        <w:t>. Ef</w:t>
      </w:r>
      <w:r>
        <w:rPr>
          <w:rFonts w:ascii="Times New Roman" w:hAnsi="Times New Roman"/>
          <w:color w:val="231F20"/>
          <w:w w:val="110"/>
          <w:sz w:val="15"/>
        </w:rPr>
        <w:t>ﬁ</w:t>
      </w:r>
      <w:r>
        <w:rPr>
          <w:color w:val="231F20"/>
          <w:w w:val="110"/>
          <w:sz w:val="15"/>
        </w:rPr>
        <w:t>cacy, safety, and pharmacokinetics of </w:t>
      </w:r>
      <w:r>
        <w:rPr>
          <w:color w:val="231F20"/>
          <w:w w:val="105"/>
          <w:sz w:val="15"/>
        </w:rPr>
        <w:t>simeprevir, daclatasvir, and ribavirin in patients with recurrent </w:t>
      </w:r>
      <w:r>
        <w:rPr>
          <w:color w:val="231F20"/>
          <w:w w:val="110"/>
          <w:sz w:val="15"/>
        </w:rPr>
        <w:t>hepatitis C virus genotype 1b infection after orthotopic liver transplantation:</w:t>
      </w:r>
      <w:r>
        <w:rPr>
          <w:color w:val="231F20"/>
          <w:spacing w:val="-24"/>
          <w:w w:val="110"/>
          <w:sz w:val="15"/>
        </w:rPr>
        <w:t> </w:t>
      </w:r>
      <w:r>
        <w:rPr>
          <w:color w:val="231F20"/>
          <w:w w:val="110"/>
          <w:sz w:val="15"/>
        </w:rPr>
        <w:t>the</w:t>
      </w:r>
      <w:r>
        <w:rPr>
          <w:color w:val="231F20"/>
          <w:spacing w:val="-24"/>
          <w:w w:val="110"/>
          <w:sz w:val="15"/>
        </w:rPr>
        <w:t> </w:t>
      </w:r>
      <w:r>
        <w:rPr>
          <w:color w:val="231F20"/>
          <w:w w:val="110"/>
          <w:sz w:val="15"/>
        </w:rPr>
        <w:t>phase</w:t>
      </w:r>
      <w:r>
        <w:rPr>
          <w:color w:val="231F20"/>
          <w:spacing w:val="-24"/>
          <w:w w:val="110"/>
          <w:sz w:val="15"/>
        </w:rPr>
        <w:t> </w:t>
      </w:r>
      <w:r>
        <w:rPr>
          <w:color w:val="231F20"/>
          <w:w w:val="110"/>
          <w:sz w:val="15"/>
        </w:rPr>
        <w:t>II</w:t>
      </w:r>
      <w:r>
        <w:rPr>
          <w:color w:val="231F20"/>
          <w:spacing w:val="-24"/>
          <w:w w:val="110"/>
          <w:sz w:val="15"/>
        </w:rPr>
        <w:t> </w:t>
      </w:r>
      <w:r>
        <w:rPr>
          <w:color w:val="231F20"/>
          <w:w w:val="110"/>
          <w:sz w:val="15"/>
        </w:rPr>
        <w:t>SATURN</w:t>
      </w:r>
      <w:r>
        <w:rPr>
          <w:color w:val="231F20"/>
          <w:spacing w:val="-25"/>
          <w:w w:val="110"/>
          <w:sz w:val="15"/>
        </w:rPr>
        <w:t> </w:t>
      </w:r>
      <w:r>
        <w:rPr>
          <w:color w:val="231F20"/>
          <w:spacing w:val="-3"/>
          <w:w w:val="110"/>
          <w:sz w:val="15"/>
        </w:rPr>
        <w:t>study.</w:t>
      </w:r>
      <w:r>
        <w:rPr>
          <w:color w:val="231F20"/>
          <w:spacing w:val="-24"/>
          <w:w w:val="110"/>
          <w:sz w:val="15"/>
        </w:rPr>
        <w:t> </w:t>
      </w:r>
      <w:r>
        <w:rPr>
          <w:color w:val="231F20"/>
          <w:w w:val="110"/>
          <w:sz w:val="15"/>
        </w:rPr>
        <w:t>Transpl</w:t>
      </w:r>
      <w:r>
        <w:rPr>
          <w:color w:val="231F20"/>
          <w:spacing w:val="-25"/>
          <w:w w:val="110"/>
          <w:sz w:val="15"/>
        </w:rPr>
        <w:t> </w:t>
      </w:r>
      <w:r>
        <w:rPr>
          <w:color w:val="231F20"/>
          <w:w w:val="110"/>
          <w:sz w:val="15"/>
        </w:rPr>
        <w:t>Infect</w:t>
      </w:r>
      <w:r>
        <w:rPr>
          <w:color w:val="231F20"/>
          <w:spacing w:val="-24"/>
          <w:w w:val="110"/>
          <w:sz w:val="15"/>
        </w:rPr>
        <w:t> </w:t>
      </w:r>
      <w:r>
        <w:rPr>
          <w:color w:val="231F20"/>
          <w:w w:val="110"/>
          <w:sz w:val="15"/>
        </w:rPr>
        <w:t>Dis 2017; 19: e12696.</w:t>
      </w:r>
      <w:r>
        <w:rPr>
          <w:color w:val="231F20"/>
          <w:spacing w:val="12"/>
          <w:w w:val="110"/>
          <w:sz w:val="15"/>
        </w:rPr>
        <w:t> </w:t>
      </w:r>
      <w:hyperlink r:id="rId27">
        <w:r>
          <w:rPr>
            <w:color w:val="231F20"/>
            <w:w w:val="110"/>
            <w:sz w:val="15"/>
          </w:rPr>
          <w:t>https://doi.org/10.1111/tid.12696</w:t>
        </w:r>
      </w:hyperlink>
      <w:r>
        <w:rPr>
          <w:color w:val="231F20"/>
          <w:w w:val="110"/>
          <w:sz w:val="15"/>
        </w:rPr>
        <w:t>.</w:t>
      </w:r>
    </w:p>
    <w:p>
      <w:pPr>
        <w:pStyle w:val="ListParagraph"/>
        <w:numPr>
          <w:ilvl w:val="0"/>
          <w:numId w:val="2"/>
        </w:numPr>
        <w:tabs>
          <w:tab w:pos="361" w:val="left" w:leader="none"/>
        </w:tabs>
        <w:spacing w:line="237" w:lineRule="auto" w:before="98" w:after="0"/>
        <w:ind w:left="360" w:right="115" w:hanging="260"/>
        <w:jc w:val="left"/>
        <w:rPr>
          <w:sz w:val="15"/>
        </w:rPr>
      </w:pPr>
      <w:r>
        <w:rPr>
          <w:color w:val="231F20"/>
          <w:w w:val="105"/>
          <w:sz w:val="15"/>
        </w:rPr>
        <w:t>Lawitz</w:t>
      </w:r>
      <w:r>
        <w:rPr>
          <w:color w:val="231F20"/>
          <w:spacing w:val="-11"/>
          <w:w w:val="105"/>
          <w:sz w:val="15"/>
        </w:rPr>
        <w:t> </w:t>
      </w:r>
      <w:r>
        <w:rPr>
          <w:color w:val="231F20"/>
          <w:w w:val="105"/>
          <w:sz w:val="15"/>
        </w:rPr>
        <w:t>E,</w:t>
      </w:r>
      <w:r>
        <w:rPr>
          <w:color w:val="231F20"/>
          <w:spacing w:val="-12"/>
          <w:w w:val="105"/>
          <w:sz w:val="15"/>
        </w:rPr>
        <w:t> </w:t>
      </w:r>
      <w:r>
        <w:rPr>
          <w:color w:val="231F20"/>
          <w:w w:val="105"/>
          <w:sz w:val="15"/>
        </w:rPr>
        <w:t>Poordad</w:t>
      </w:r>
      <w:r>
        <w:rPr>
          <w:color w:val="231F20"/>
          <w:spacing w:val="-12"/>
          <w:w w:val="105"/>
          <w:sz w:val="15"/>
        </w:rPr>
        <w:t> </w:t>
      </w:r>
      <w:r>
        <w:rPr>
          <w:color w:val="231F20"/>
          <w:w w:val="105"/>
          <w:sz w:val="15"/>
        </w:rPr>
        <w:t>F,</w:t>
      </w:r>
      <w:r>
        <w:rPr>
          <w:color w:val="231F20"/>
          <w:spacing w:val="-12"/>
          <w:w w:val="105"/>
          <w:sz w:val="15"/>
        </w:rPr>
        <w:t> </w:t>
      </w:r>
      <w:r>
        <w:rPr>
          <w:color w:val="231F20"/>
          <w:w w:val="105"/>
          <w:sz w:val="15"/>
        </w:rPr>
        <w:t>Gutierrez</w:t>
      </w:r>
      <w:r>
        <w:rPr>
          <w:color w:val="231F20"/>
          <w:spacing w:val="-11"/>
          <w:w w:val="105"/>
          <w:sz w:val="15"/>
        </w:rPr>
        <w:t> </w:t>
      </w:r>
      <w:r>
        <w:rPr>
          <w:color w:val="231F20"/>
          <w:w w:val="105"/>
          <w:sz w:val="15"/>
        </w:rPr>
        <w:t>JA,</w:t>
      </w:r>
      <w:r>
        <w:rPr>
          <w:color w:val="231F20"/>
          <w:spacing w:val="-12"/>
          <w:w w:val="105"/>
          <w:sz w:val="15"/>
        </w:rPr>
        <w:t> </w:t>
      </w:r>
      <w:r>
        <w:rPr>
          <w:color w:val="231F20"/>
          <w:w w:val="105"/>
          <w:sz w:val="15"/>
        </w:rPr>
        <w:t>Kakuda</w:t>
      </w:r>
      <w:r>
        <w:rPr>
          <w:color w:val="231F20"/>
          <w:spacing w:val="-12"/>
          <w:w w:val="105"/>
          <w:sz w:val="15"/>
        </w:rPr>
        <w:t> </w:t>
      </w:r>
      <w:r>
        <w:rPr>
          <w:color w:val="231F20"/>
          <w:w w:val="105"/>
          <w:sz w:val="15"/>
        </w:rPr>
        <w:t>TN,</w:t>
      </w:r>
      <w:r>
        <w:rPr>
          <w:color w:val="231F20"/>
          <w:spacing w:val="-12"/>
          <w:w w:val="105"/>
          <w:sz w:val="15"/>
        </w:rPr>
        <w:t> </w:t>
      </w:r>
      <w:r>
        <w:rPr>
          <w:color w:val="231F20"/>
          <w:w w:val="105"/>
          <w:sz w:val="15"/>
        </w:rPr>
        <w:t>Picchio</w:t>
      </w:r>
      <w:r>
        <w:rPr>
          <w:color w:val="231F20"/>
          <w:spacing w:val="-12"/>
          <w:w w:val="105"/>
          <w:sz w:val="15"/>
        </w:rPr>
        <w:t> </w:t>
      </w:r>
      <w:r>
        <w:rPr>
          <w:color w:val="231F20"/>
          <w:w w:val="105"/>
          <w:sz w:val="15"/>
        </w:rPr>
        <w:t>G,</w:t>
      </w:r>
      <w:r>
        <w:rPr>
          <w:color w:val="231F20"/>
          <w:spacing w:val="-12"/>
          <w:w w:val="105"/>
          <w:sz w:val="15"/>
        </w:rPr>
        <w:t> </w:t>
      </w:r>
      <w:r>
        <w:rPr>
          <w:color w:val="231F20"/>
          <w:w w:val="105"/>
          <w:sz w:val="15"/>
        </w:rPr>
        <w:t>Beets</w:t>
      </w:r>
      <w:r>
        <w:rPr>
          <w:color w:val="231F20"/>
          <w:spacing w:val="-11"/>
          <w:w w:val="105"/>
          <w:sz w:val="15"/>
        </w:rPr>
        <w:t> </w:t>
      </w:r>
      <w:r>
        <w:rPr>
          <w:color w:val="231F20"/>
          <w:w w:val="105"/>
          <w:sz w:val="15"/>
        </w:rPr>
        <w:t>G, </w:t>
      </w:r>
      <w:r>
        <w:rPr>
          <w:rFonts w:ascii="Book Antiqua" w:hAnsi="Book Antiqua"/>
          <w:i/>
          <w:color w:val="231F20"/>
          <w:w w:val="105"/>
          <w:sz w:val="15"/>
        </w:rPr>
        <w:t>et al</w:t>
      </w:r>
      <w:r>
        <w:rPr>
          <w:color w:val="231F20"/>
          <w:w w:val="105"/>
          <w:sz w:val="15"/>
        </w:rPr>
        <w:t>. 39-SVR12 results from the phase II, open-label IMPACT study</w:t>
      </w:r>
      <w:r>
        <w:rPr>
          <w:color w:val="231F20"/>
          <w:spacing w:val="-7"/>
          <w:w w:val="105"/>
          <w:sz w:val="15"/>
        </w:rPr>
        <w:t> </w:t>
      </w:r>
      <w:r>
        <w:rPr>
          <w:color w:val="231F20"/>
          <w:w w:val="105"/>
          <w:sz w:val="15"/>
        </w:rPr>
        <w:t>of</w:t>
      </w:r>
      <w:r>
        <w:rPr>
          <w:color w:val="231F20"/>
          <w:spacing w:val="-7"/>
          <w:w w:val="105"/>
          <w:sz w:val="15"/>
        </w:rPr>
        <w:t> </w:t>
      </w:r>
      <w:r>
        <w:rPr>
          <w:color w:val="231F20"/>
          <w:w w:val="105"/>
          <w:sz w:val="15"/>
        </w:rPr>
        <w:t>simeprevir</w:t>
      </w:r>
      <w:r>
        <w:rPr>
          <w:color w:val="231F20"/>
          <w:spacing w:val="-8"/>
          <w:w w:val="105"/>
          <w:sz w:val="15"/>
        </w:rPr>
        <w:t> </w:t>
      </w:r>
      <w:r>
        <w:rPr>
          <w:color w:val="231F20"/>
          <w:w w:val="105"/>
          <w:sz w:val="15"/>
        </w:rPr>
        <w:t>(SMV)</w:t>
      </w:r>
      <w:r>
        <w:rPr>
          <w:color w:val="231F20"/>
          <w:spacing w:val="-7"/>
          <w:w w:val="105"/>
          <w:sz w:val="15"/>
        </w:rPr>
        <w:t> </w:t>
      </w:r>
      <w:r>
        <w:rPr>
          <w:color w:val="231F20"/>
          <w:w w:val="105"/>
          <w:sz w:val="15"/>
        </w:rPr>
        <w:t>in</w:t>
      </w:r>
      <w:r>
        <w:rPr>
          <w:color w:val="231F20"/>
          <w:spacing w:val="-8"/>
          <w:w w:val="105"/>
          <w:sz w:val="15"/>
        </w:rPr>
        <w:t> </w:t>
      </w:r>
      <w:r>
        <w:rPr>
          <w:color w:val="231F20"/>
          <w:w w:val="105"/>
          <w:sz w:val="15"/>
        </w:rPr>
        <w:t>combination</w:t>
      </w:r>
      <w:r>
        <w:rPr>
          <w:color w:val="231F20"/>
          <w:spacing w:val="-7"/>
          <w:w w:val="105"/>
          <w:sz w:val="15"/>
        </w:rPr>
        <w:t> </w:t>
      </w:r>
      <w:r>
        <w:rPr>
          <w:color w:val="231F20"/>
          <w:w w:val="105"/>
          <w:sz w:val="15"/>
        </w:rPr>
        <w:t>with</w:t>
      </w:r>
      <w:r>
        <w:rPr>
          <w:color w:val="231F20"/>
          <w:spacing w:val="-8"/>
          <w:w w:val="105"/>
          <w:sz w:val="15"/>
        </w:rPr>
        <w:t> </w:t>
      </w:r>
      <w:r>
        <w:rPr>
          <w:color w:val="231F20"/>
          <w:w w:val="105"/>
          <w:sz w:val="15"/>
        </w:rPr>
        <w:t>daclatasvir</w:t>
      </w:r>
      <w:r>
        <w:rPr>
          <w:color w:val="231F20"/>
          <w:spacing w:val="-8"/>
          <w:w w:val="105"/>
          <w:sz w:val="15"/>
        </w:rPr>
        <w:t> </w:t>
      </w:r>
      <w:r>
        <w:rPr>
          <w:color w:val="231F20"/>
          <w:w w:val="105"/>
          <w:sz w:val="15"/>
        </w:rPr>
        <w:t>(DCV) and sofosbuvir (SOF) in treatment-naïve and -experienced patients with chronic HCV genotype 1/4 infection and decompensated liver disease. Hepatology 2015; 1:</w:t>
      </w:r>
      <w:r>
        <w:rPr>
          <w:color w:val="231F20"/>
          <w:spacing w:val="26"/>
          <w:w w:val="105"/>
          <w:sz w:val="15"/>
        </w:rPr>
        <w:t> </w:t>
      </w:r>
      <w:r>
        <w:rPr>
          <w:color w:val="231F20"/>
          <w:w w:val="105"/>
          <w:sz w:val="15"/>
        </w:rPr>
        <w:t>227A.</w:t>
      </w:r>
    </w:p>
    <w:p>
      <w:pPr>
        <w:pStyle w:val="ListParagraph"/>
        <w:numPr>
          <w:ilvl w:val="0"/>
          <w:numId w:val="2"/>
        </w:numPr>
        <w:tabs>
          <w:tab w:pos="361" w:val="left" w:leader="none"/>
        </w:tabs>
        <w:spacing w:line="237" w:lineRule="auto" w:before="98" w:after="0"/>
        <w:ind w:left="360" w:right="224" w:hanging="260"/>
        <w:jc w:val="left"/>
        <w:rPr>
          <w:sz w:val="15"/>
        </w:rPr>
      </w:pPr>
      <w:r>
        <w:rPr>
          <w:color w:val="231F20"/>
          <w:sz w:val="15"/>
        </w:rPr>
        <w:t>Harding SD, Sharman JL, Faccenda E, Southan C, Pawson AJ, Ireland S, </w:t>
      </w:r>
      <w:r>
        <w:rPr>
          <w:rFonts w:ascii="Book Antiqua" w:hAnsi="Book Antiqua"/>
          <w:i/>
          <w:color w:val="231F20"/>
          <w:sz w:val="15"/>
        </w:rPr>
        <w:t>et al</w:t>
      </w:r>
      <w:r>
        <w:rPr>
          <w:color w:val="231F20"/>
          <w:sz w:val="15"/>
        </w:rPr>
        <w:t>. The IUPHAR/BPS guide to PHARMACOLOGY in 2018: updates and expansion to encompass the new guide to IMMUNOPHARMACOLOGY. Nucl Acids Res 2018; 46: D1091</w:t>
      </w:r>
      <w:r>
        <w:rPr>
          <w:rFonts w:ascii="Lucida Sans" w:hAnsi="Lucida Sans"/>
          <w:color w:val="231F20"/>
          <w:sz w:val="15"/>
        </w:rPr>
        <w:t>–</w:t>
      </w:r>
      <w:r>
        <w:rPr>
          <w:color w:val="231F20"/>
          <w:sz w:val="15"/>
        </w:rPr>
        <w:t>106.</w:t>
      </w:r>
    </w:p>
    <w:p>
      <w:pPr>
        <w:pStyle w:val="ListParagraph"/>
        <w:numPr>
          <w:ilvl w:val="0"/>
          <w:numId w:val="2"/>
        </w:numPr>
        <w:tabs>
          <w:tab w:pos="361" w:val="left" w:leader="none"/>
        </w:tabs>
        <w:spacing w:line="237" w:lineRule="auto" w:before="98" w:after="0"/>
        <w:ind w:left="360" w:right="551" w:hanging="260"/>
        <w:jc w:val="left"/>
        <w:rPr>
          <w:sz w:val="15"/>
        </w:rPr>
      </w:pPr>
      <w:r>
        <w:rPr>
          <w:color w:val="231F20"/>
          <w:w w:val="105"/>
          <w:sz w:val="15"/>
        </w:rPr>
        <w:t>Alexander SPH, Fabbro D, Kelly E, Marrion NV, Peters JA, Faccenda</w:t>
      </w:r>
      <w:r>
        <w:rPr>
          <w:color w:val="231F20"/>
          <w:spacing w:val="-6"/>
          <w:w w:val="105"/>
          <w:sz w:val="15"/>
        </w:rPr>
        <w:t> </w:t>
      </w:r>
      <w:r>
        <w:rPr>
          <w:color w:val="231F20"/>
          <w:w w:val="105"/>
          <w:sz w:val="15"/>
        </w:rPr>
        <w:t>E,</w:t>
      </w:r>
      <w:r>
        <w:rPr>
          <w:color w:val="231F20"/>
          <w:spacing w:val="-6"/>
          <w:w w:val="105"/>
          <w:sz w:val="15"/>
        </w:rPr>
        <w:t> </w:t>
      </w:r>
      <w:r>
        <w:rPr>
          <w:rFonts w:ascii="Book Antiqua" w:hAnsi="Book Antiqua"/>
          <w:i/>
          <w:color w:val="231F20"/>
          <w:w w:val="105"/>
          <w:sz w:val="15"/>
        </w:rPr>
        <w:t>et</w:t>
      </w:r>
      <w:r>
        <w:rPr>
          <w:rFonts w:ascii="Book Antiqua" w:hAnsi="Book Antiqua"/>
          <w:i/>
          <w:color w:val="231F20"/>
          <w:spacing w:val="-7"/>
          <w:w w:val="105"/>
          <w:sz w:val="15"/>
        </w:rPr>
        <w:t> </w:t>
      </w:r>
      <w:r>
        <w:rPr>
          <w:rFonts w:ascii="Book Antiqua" w:hAnsi="Book Antiqua"/>
          <w:i/>
          <w:color w:val="231F20"/>
          <w:w w:val="105"/>
          <w:sz w:val="15"/>
        </w:rPr>
        <w:t>al</w:t>
      </w:r>
      <w:r>
        <w:rPr>
          <w:color w:val="231F20"/>
          <w:w w:val="105"/>
          <w:sz w:val="15"/>
        </w:rPr>
        <w:t>.</w:t>
      </w:r>
      <w:r>
        <w:rPr>
          <w:color w:val="231F20"/>
          <w:spacing w:val="-7"/>
          <w:w w:val="105"/>
          <w:sz w:val="15"/>
        </w:rPr>
        <w:t> </w:t>
      </w:r>
      <w:r>
        <w:rPr>
          <w:color w:val="231F20"/>
          <w:w w:val="105"/>
          <w:sz w:val="15"/>
        </w:rPr>
        <w:t>The</w:t>
      </w:r>
      <w:r>
        <w:rPr>
          <w:color w:val="231F20"/>
          <w:spacing w:val="-7"/>
          <w:w w:val="105"/>
          <w:sz w:val="15"/>
        </w:rPr>
        <w:t> </w:t>
      </w:r>
      <w:r>
        <w:rPr>
          <w:color w:val="231F20"/>
          <w:w w:val="105"/>
          <w:sz w:val="15"/>
        </w:rPr>
        <w:t>Concise</w:t>
      </w:r>
      <w:r>
        <w:rPr>
          <w:color w:val="231F20"/>
          <w:spacing w:val="-7"/>
          <w:w w:val="105"/>
          <w:sz w:val="15"/>
        </w:rPr>
        <w:t> </w:t>
      </w:r>
      <w:r>
        <w:rPr>
          <w:color w:val="231F20"/>
          <w:w w:val="105"/>
          <w:sz w:val="15"/>
        </w:rPr>
        <w:t>Guide</w:t>
      </w:r>
      <w:r>
        <w:rPr>
          <w:color w:val="231F20"/>
          <w:spacing w:val="-7"/>
          <w:w w:val="105"/>
          <w:sz w:val="15"/>
        </w:rPr>
        <w:t> </w:t>
      </w:r>
      <w:r>
        <w:rPr>
          <w:color w:val="231F20"/>
          <w:w w:val="105"/>
          <w:sz w:val="15"/>
        </w:rPr>
        <w:t>to</w:t>
      </w:r>
      <w:r>
        <w:rPr>
          <w:color w:val="231F20"/>
          <w:spacing w:val="-6"/>
          <w:w w:val="105"/>
          <w:sz w:val="15"/>
        </w:rPr>
        <w:t> </w:t>
      </w:r>
      <w:r>
        <w:rPr>
          <w:color w:val="231F20"/>
          <w:w w:val="105"/>
          <w:sz w:val="15"/>
        </w:rPr>
        <w:t>PHARMACOLOGY 2017/18: enzymes. Br J Pharmacol 2017; 174:</w:t>
      </w:r>
      <w:r>
        <w:rPr>
          <w:color w:val="231F20"/>
          <w:spacing w:val="6"/>
          <w:w w:val="105"/>
          <w:sz w:val="15"/>
        </w:rPr>
        <w:t> </w:t>
      </w:r>
      <w:r>
        <w:rPr>
          <w:color w:val="231F20"/>
          <w:w w:val="105"/>
          <w:sz w:val="15"/>
        </w:rPr>
        <w:t>S272</w:t>
      </w:r>
      <w:r>
        <w:rPr>
          <w:rFonts w:ascii="Lucida Sans" w:hAnsi="Lucida Sans"/>
          <w:color w:val="231F20"/>
          <w:w w:val="105"/>
          <w:sz w:val="15"/>
        </w:rPr>
        <w:t>–</w:t>
      </w:r>
      <w:r>
        <w:rPr>
          <w:color w:val="231F20"/>
          <w:w w:val="105"/>
          <w:sz w:val="15"/>
        </w:rPr>
        <w:t>359.</w:t>
      </w:r>
    </w:p>
    <w:p>
      <w:pPr>
        <w:pStyle w:val="ListParagraph"/>
        <w:numPr>
          <w:ilvl w:val="0"/>
          <w:numId w:val="2"/>
        </w:numPr>
        <w:tabs>
          <w:tab w:pos="361" w:val="left" w:leader="none"/>
        </w:tabs>
        <w:spacing w:line="237" w:lineRule="auto" w:before="100" w:after="0"/>
        <w:ind w:left="360" w:right="513" w:hanging="260"/>
        <w:jc w:val="both"/>
        <w:rPr>
          <w:sz w:val="15"/>
        </w:rPr>
      </w:pPr>
      <w:r>
        <w:rPr>
          <w:color w:val="231F20"/>
          <w:w w:val="105"/>
          <w:sz w:val="15"/>
        </w:rPr>
        <w:t>Alexander</w:t>
      </w:r>
      <w:r>
        <w:rPr>
          <w:color w:val="231F20"/>
          <w:spacing w:val="-10"/>
          <w:w w:val="105"/>
          <w:sz w:val="15"/>
        </w:rPr>
        <w:t> </w:t>
      </w:r>
      <w:r>
        <w:rPr>
          <w:color w:val="231F20"/>
          <w:w w:val="105"/>
          <w:sz w:val="15"/>
        </w:rPr>
        <w:t>SPH,</w:t>
      </w:r>
      <w:r>
        <w:rPr>
          <w:color w:val="231F20"/>
          <w:spacing w:val="-9"/>
          <w:w w:val="105"/>
          <w:sz w:val="15"/>
        </w:rPr>
        <w:t> </w:t>
      </w:r>
      <w:r>
        <w:rPr>
          <w:color w:val="231F20"/>
          <w:w w:val="105"/>
          <w:sz w:val="15"/>
        </w:rPr>
        <w:t>Kelly</w:t>
      </w:r>
      <w:r>
        <w:rPr>
          <w:color w:val="231F20"/>
          <w:spacing w:val="-10"/>
          <w:w w:val="105"/>
          <w:sz w:val="15"/>
        </w:rPr>
        <w:t> </w:t>
      </w:r>
      <w:r>
        <w:rPr>
          <w:color w:val="231F20"/>
          <w:w w:val="105"/>
          <w:sz w:val="15"/>
        </w:rPr>
        <w:t>E,</w:t>
      </w:r>
      <w:r>
        <w:rPr>
          <w:color w:val="231F20"/>
          <w:spacing w:val="-9"/>
          <w:w w:val="105"/>
          <w:sz w:val="15"/>
        </w:rPr>
        <w:t> </w:t>
      </w:r>
      <w:r>
        <w:rPr>
          <w:color w:val="231F20"/>
          <w:w w:val="105"/>
          <w:sz w:val="15"/>
        </w:rPr>
        <w:t>Marrion</w:t>
      </w:r>
      <w:r>
        <w:rPr>
          <w:color w:val="231F20"/>
          <w:spacing w:val="-10"/>
          <w:w w:val="105"/>
          <w:sz w:val="15"/>
        </w:rPr>
        <w:t> </w:t>
      </w:r>
      <w:r>
        <w:rPr>
          <w:color w:val="231F20"/>
          <w:w w:val="105"/>
          <w:sz w:val="15"/>
        </w:rPr>
        <w:t>NV,</w:t>
      </w:r>
      <w:r>
        <w:rPr>
          <w:color w:val="231F20"/>
          <w:spacing w:val="-9"/>
          <w:w w:val="105"/>
          <w:sz w:val="15"/>
        </w:rPr>
        <w:t> </w:t>
      </w:r>
      <w:r>
        <w:rPr>
          <w:color w:val="231F20"/>
          <w:w w:val="105"/>
          <w:sz w:val="15"/>
        </w:rPr>
        <w:t>Peters</w:t>
      </w:r>
      <w:r>
        <w:rPr>
          <w:color w:val="231F20"/>
          <w:spacing w:val="-10"/>
          <w:w w:val="105"/>
          <w:sz w:val="15"/>
        </w:rPr>
        <w:t> </w:t>
      </w:r>
      <w:r>
        <w:rPr>
          <w:color w:val="231F20"/>
          <w:w w:val="105"/>
          <w:sz w:val="15"/>
        </w:rPr>
        <w:t>JA,</w:t>
      </w:r>
      <w:r>
        <w:rPr>
          <w:color w:val="231F20"/>
          <w:spacing w:val="-9"/>
          <w:w w:val="105"/>
          <w:sz w:val="15"/>
        </w:rPr>
        <w:t> </w:t>
      </w:r>
      <w:r>
        <w:rPr>
          <w:color w:val="231F20"/>
          <w:w w:val="105"/>
          <w:sz w:val="15"/>
        </w:rPr>
        <w:t>Faccenda</w:t>
      </w:r>
      <w:r>
        <w:rPr>
          <w:color w:val="231F20"/>
          <w:spacing w:val="-9"/>
          <w:w w:val="105"/>
          <w:sz w:val="15"/>
        </w:rPr>
        <w:t> </w:t>
      </w:r>
      <w:r>
        <w:rPr>
          <w:color w:val="231F20"/>
          <w:w w:val="105"/>
          <w:sz w:val="15"/>
        </w:rPr>
        <w:t>E, Harding</w:t>
      </w:r>
      <w:r>
        <w:rPr>
          <w:color w:val="231F20"/>
          <w:spacing w:val="-7"/>
          <w:w w:val="105"/>
          <w:sz w:val="15"/>
        </w:rPr>
        <w:t> </w:t>
      </w:r>
      <w:r>
        <w:rPr>
          <w:color w:val="231F20"/>
          <w:w w:val="105"/>
          <w:sz w:val="15"/>
        </w:rPr>
        <w:t>SD,</w:t>
      </w:r>
      <w:r>
        <w:rPr>
          <w:color w:val="231F20"/>
          <w:spacing w:val="-7"/>
          <w:w w:val="105"/>
          <w:sz w:val="15"/>
        </w:rPr>
        <w:t> </w:t>
      </w:r>
      <w:r>
        <w:rPr>
          <w:rFonts w:ascii="Book Antiqua" w:hAnsi="Book Antiqua"/>
          <w:i/>
          <w:color w:val="231F20"/>
          <w:w w:val="105"/>
          <w:sz w:val="15"/>
        </w:rPr>
        <w:t>et</w:t>
      </w:r>
      <w:r>
        <w:rPr>
          <w:rFonts w:ascii="Book Antiqua" w:hAnsi="Book Antiqua"/>
          <w:i/>
          <w:color w:val="231F20"/>
          <w:spacing w:val="-8"/>
          <w:w w:val="105"/>
          <w:sz w:val="15"/>
        </w:rPr>
        <w:t> </w:t>
      </w:r>
      <w:r>
        <w:rPr>
          <w:rFonts w:ascii="Book Antiqua" w:hAnsi="Book Antiqua"/>
          <w:i/>
          <w:color w:val="231F20"/>
          <w:w w:val="105"/>
          <w:sz w:val="15"/>
        </w:rPr>
        <w:t>al</w:t>
      </w:r>
      <w:r>
        <w:rPr>
          <w:color w:val="231F20"/>
          <w:w w:val="105"/>
          <w:sz w:val="15"/>
        </w:rPr>
        <w:t>.</w:t>
      </w:r>
      <w:r>
        <w:rPr>
          <w:color w:val="231F20"/>
          <w:spacing w:val="-8"/>
          <w:w w:val="105"/>
          <w:sz w:val="15"/>
        </w:rPr>
        <w:t> </w:t>
      </w:r>
      <w:r>
        <w:rPr>
          <w:color w:val="231F20"/>
          <w:w w:val="105"/>
          <w:sz w:val="15"/>
        </w:rPr>
        <w:t>The</w:t>
      </w:r>
      <w:r>
        <w:rPr>
          <w:color w:val="231F20"/>
          <w:spacing w:val="-8"/>
          <w:w w:val="105"/>
          <w:sz w:val="15"/>
        </w:rPr>
        <w:t> </w:t>
      </w:r>
      <w:r>
        <w:rPr>
          <w:color w:val="231F20"/>
          <w:w w:val="105"/>
          <w:sz w:val="15"/>
        </w:rPr>
        <w:t>Concise</w:t>
      </w:r>
      <w:r>
        <w:rPr>
          <w:color w:val="231F20"/>
          <w:spacing w:val="-8"/>
          <w:w w:val="105"/>
          <w:sz w:val="15"/>
        </w:rPr>
        <w:t> </w:t>
      </w:r>
      <w:r>
        <w:rPr>
          <w:color w:val="231F20"/>
          <w:w w:val="105"/>
          <w:sz w:val="15"/>
        </w:rPr>
        <w:t>Guide</w:t>
      </w:r>
      <w:r>
        <w:rPr>
          <w:color w:val="231F20"/>
          <w:spacing w:val="-8"/>
          <w:w w:val="105"/>
          <w:sz w:val="15"/>
        </w:rPr>
        <w:t> </w:t>
      </w:r>
      <w:r>
        <w:rPr>
          <w:color w:val="231F20"/>
          <w:w w:val="105"/>
          <w:sz w:val="15"/>
        </w:rPr>
        <w:t>to</w:t>
      </w:r>
      <w:r>
        <w:rPr>
          <w:color w:val="231F20"/>
          <w:spacing w:val="-7"/>
          <w:w w:val="105"/>
          <w:sz w:val="15"/>
        </w:rPr>
        <w:t> </w:t>
      </w:r>
      <w:r>
        <w:rPr>
          <w:color w:val="231F20"/>
          <w:w w:val="105"/>
          <w:sz w:val="15"/>
        </w:rPr>
        <w:t>PHARMACOLOGY 2017/18: Transporters. 2017; 174:</w:t>
      </w:r>
      <w:r>
        <w:rPr>
          <w:color w:val="231F20"/>
          <w:spacing w:val="35"/>
          <w:w w:val="105"/>
          <w:sz w:val="15"/>
        </w:rPr>
        <w:t> </w:t>
      </w:r>
      <w:r>
        <w:rPr>
          <w:color w:val="231F20"/>
          <w:w w:val="105"/>
          <w:sz w:val="15"/>
        </w:rPr>
        <w:t>S360</w:t>
      </w:r>
      <w:r>
        <w:rPr>
          <w:rFonts w:ascii="Lucida Sans" w:hAnsi="Lucida Sans"/>
          <w:color w:val="231F20"/>
          <w:w w:val="105"/>
          <w:sz w:val="15"/>
        </w:rPr>
        <w:t>–</w:t>
      </w:r>
      <w:r>
        <w:rPr>
          <w:color w:val="231F20"/>
          <w:w w:val="105"/>
          <w:sz w:val="15"/>
        </w:rPr>
        <w:t>446.</w:t>
      </w:r>
    </w:p>
    <w:p>
      <w:pPr>
        <w:pStyle w:val="BodyText"/>
        <w:ind w:left="0"/>
        <w:rPr>
          <w:sz w:val="18"/>
        </w:rPr>
      </w:pPr>
    </w:p>
    <w:p>
      <w:pPr>
        <w:pStyle w:val="BodyText"/>
        <w:spacing w:before="11"/>
        <w:ind w:left="0"/>
        <w:rPr>
          <w:sz w:val="14"/>
        </w:rPr>
      </w:pPr>
    </w:p>
    <w:p>
      <w:pPr>
        <w:pStyle w:val="Heading1"/>
      </w:pPr>
      <w:r>
        <w:rPr>
          <w:color w:val="00AB54"/>
        </w:rPr>
        <w:t>Supporting Information</w:t>
      </w:r>
    </w:p>
    <w:p>
      <w:pPr>
        <w:pStyle w:val="BodyText"/>
        <w:spacing w:line="230" w:lineRule="auto" w:before="234"/>
        <w:ind w:right="54"/>
      </w:pPr>
      <w:r>
        <w:rPr>
          <w:color w:val="231F20"/>
          <w:w w:val="105"/>
        </w:rPr>
        <w:t>Additional Supporting Information may be found online in the supporting information tab for this article.</w:t>
      </w:r>
    </w:p>
    <w:p>
      <w:pPr>
        <w:pStyle w:val="BodyText"/>
        <w:spacing w:before="10"/>
        <w:ind w:left="0"/>
        <w:rPr>
          <w:sz w:val="15"/>
        </w:rPr>
      </w:pPr>
    </w:p>
    <w:p>
      <w:pPr>
        <w:pStyle w:val="BodyText"/>
      </w:pPr>
      <w:hyperlink r:id="rId28">
        <w:r>
          <w:rPr>
            <w:color w:val="231F20"/>
            <w:spacing w:val="-6"/>
            <w:w w:val="110"/>
          </w:rPr>
          <w:t>http://onlinelibrary.wiley.com/doi/10.1111/bcp.13519/suppinfo</w:t>
        </w:r>
      </w:hyperlink>
    </w:p>
    <w:p>
      <w:pPr>
        <w:pStyle w:val="BodyText"/>
        <w:spacing w:before="2"/>
        <w:ind w:left="0"/>
        <w:rPr>
          <w:sz w:val="16"/>
        </w:rPr>
      </w:pPr>
    </w:p>
    <w:p>
      <w:pPr>
        <w:pStyle w:val="BodyText"/>
        <w:spacing w:line="230" w:lineRule="auto"/>
        <w:ind w:right="54"/>
      </w:pPr>
      <w:r>
        <w:rPr>
          <w:rFonts w:ascii="Book Antiqua"/>
          <w:color w:val="00AB54"/>
          <w:w w:val="110"/>
        </w:rPr>
        <w:t>Table S1 </w:t>
      </w:r>
      <w:r>
        <w:rPr>
          <w:color w:val="231F20"/>
          <w:w w:val="110"/>
        </w:rPr>
        <w:t>Patients taking green </w:t>
      </w:r>
      <w:r>
        <w:rPr>
          <w:rFonts w:ascii="Book Antiqua"/>
          <w:i/>
          <w:color w:val="231F20"/>
          <w:w w:val="110"/>
        </w:rPr>
        <w:t>vs</w:t>
      </w:r>
      <w:r>
        <w:rPr>
          <w:color w:val="231F20"/>
          <w:w w:val="110"/>
        </w:rPr>
        <w:t>. amber concomitant med- ication of interest by trial (outcomes cohort)</w:t>
      </w:r>
    </w:p>
    <w:p>
      <w:pPr>
        <w:pStyle w:val="BodyText"/>
        <w:spacing w:line="230" w:lineRule="auto"/>
      </w:pPr>
      <w:r>
        <w:rPr>
          <w:rFonts w:ascii="Book Antiqua"/>
          <w:color w:val="00AB54"/>
          <w:w w:val="105"/>
        </w:rPr>
        <w:t>Table S2 </w:t>
      </w:r>
      <w:r>
        <w:rPr>
          <w:color w:val="231F20"/>
          <w:w w:val="105"/>
        </w:rPr>
        <w:t>Key baseline demographic and disease parameters (outcomes cohort)</w:t>
      </w:r>
    </w:p>
    <w:p>
      <w:pPr>
        <w:pStyle w:val="BodyText"/>
        <w:spacing w:line="230" w:lineRule="auto"/>
      </w:pPr>
      <w:r>
        <w:rPr>
          <w:rFonts w:ascii="Book Antiqua"/>
          <w:color w:val="00AB54"/>
          <w:w w:val="105"/>
        </w:rPr>
        <w:t>Table S3 </w:t>
      </w:r>
      <w:r>
        <w:rPr>
          <w:color w:val="231F20"/>
          <w:w w:val="105"/>
        </w:rPr>
        <w:t>Key baseline demographic and disease parameters (safety cohort)</w:t>
      </w:r>
    </w:p>
    <w:p>
      <w:pPr>
        <w:pStyle w:val="BodyText"/>
        <w:spacing w:line="230" w:lineRule="auto"/>
        <w:ind w:right="54"/>
      </w:pPr>
      <w:r>
        <w:rPr>
          <w:rFonts w:ascii="Book Antiqua"/>
          <w:color w:val="00AB54"/>
          <w:w w:val="105"/>
        </w:rPr>
        <w:t>Table S4 </w:t>
      </w:r>
      <w:r>
        <w:rPr>
          <w:color w:val="231F20"/>
          <w:w w:val="105"/>
        </w:rPr>
        <w:t>Frequency of adverse events of interest (safety cohort)</w:t>
      </w:r>
    </w:p>
    <w:sectPr>
      <w:type w:val="continuous"/>
      <w:pgSz w:w="11880" w:h="15670"/>
      <w:pgMar w:top="380" w:bottom="0" w:left="740" w:right="720"/>
      <w:cols w:num="2" w:equalWidth="0">
        <w:col w:w="4997" w:space="383"/>
        <w:col w:w="504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Lucida Sans">
    <w:altName w:val="Lucida Sans"/>
    <w:charset w:val="0"/>
    <w:family w:val="swiss"/>
    <w:pitch w:val="variable"/>
  </w:font>
  <w:font w:name="Arial">
    <w:altName w:val="Arial"/>
    <w:charset w:val="0"/>
    <w:family w:val="swiss"/>
    <w:pitch w:val="variable"/>
  </w:font>
  <w:font w:name="Book Antiqua">
    <w:altName w:val="Book Antiqua"/>
    <w:charset w:val="0"/>
    <w:family w:val="roman"/>
    <w:pitch w:val="variable"/>
  </w:font>
  <w:font w:name="Calibri">
    <w:altName w:val="Calibri"/>
    <w:charset w:val="0"/>
    <w:family w:val="swiss"/>
    <w:pitch w:val="variable"/>
  </w:font>
  <w:font w:name="Cambria">
    <w:altName w:val="Cambria"/>
    <w:charset w:val="0"/>
    <w:family w:val="roman"/>
    <w:pitch w:val="variable"/>
  </w:font>
  <w:font w:name="Lucida Sans Unicode">
    <w:altName w:val="Lucida Sans Unicode"/>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0.009399pt;margin-top:738.886658pt;width:148.950pt;height:11.5pt;mso-position-horizontal-relative:page;mso-position-vertical-relative:page;z-index:-30688" type="#_x0000_t202" filled="false" stroked="false">
          <v:textbox inset="0,0,0,0">
            <w:txbxContent>
              <w:p>
                <w:pPr>
                  <w:spacing w:before="17"/>
                  <w:ind w:left="40" w:right="0" w:firstLine="0"/>
                  <w:jc w:val="left"/>
                  <w:rPr>
                    <w:rFonts w:ascii="Arial" w:hAnsi="Arial"/>
                    <w:sz w:val="16"/>
                  </w:rPr>
                </w:pPr>
                <w:r>
                  <w:rPr/>
                  <w:fldChar w:fldCharType="begin"/>
                </w:r>
                <w:r>
                  <w:rPr>
                    <w:rFonts w:ascii="Calibri" w:hAnsi="Calibri"/>
                    <w:color w:val="231F20"/>
                    <w:w w:val="115"/>
                    <w:sz w:val="16"/>
                  </w:rPr>
                  <w:instrText> PAGE </w:instrText>
                </w:r>
                <w:r>
                  <w:rPr/>
                  <w:fldChar w:fldCharType="separate"/>
                </w:r>
                <w:r>
                  <w:rPr/>
                  <w:t>10</w:t>
                </w:r>
                <w:r>
                  <w:rPr/>
                  <w:fldChar w:fldCharType="end"/>
                </w:r>
                <w:r>
                  <w:rPr>
                    <w:rFonts w:ascii="Calibri" w:hAnsi="Calibri"/>
                    <w:color w:val="231F20"/>
                    <w:w w:val="115"/>
                    <w:sz w:val="16"/>
                  </w:rPr>
                  <w:t> Br J Clin Pharmacol (2018) </w:t>
                </w:r>
                <w:r>
                  <w:rPr>
                    <w:rFonts w:ascii="Arial" w:hAnsi="Arial"/>
                    <w:color w:val="231F20"/>
                    <w:w w:val="115"/>
                    <w:sz w:val="16"/>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05.147888pt;margin-top:738.886658pt;width:148.950pt;height:11.5pt;mso-position-horizontal-relative:page;mso-position-vertical-relative:page;z-index:-30664" type="#_x0000_t202" filled="false" stroked="false">
          <v:textbox inset="0,0,0,0">
            <w:txbxContent>
              <w:p>
                <w:pPr>
                  <w:spacing w:before="17"/>
                  <w:ind w:left="20" w:right="0" w:firstLine="0"/>
                  <w:jc w:val="left"/>
                  <w:rPr>
                    <w:rFonts w:ascii="Calibri" w:hAnsi="Calibri"/>
                    <w:sz w:val="16"/>
                  </w:rPr>
                </w:pPr>
                <w:r>
                  <w:rPr>
                    <w:rFonts w:ascii="Calibri" w:hAnsi="Calibri"/>
                    <w:color w:val="231F20"/>
                    <w:w w:val="115"/>
                    <w:sz w:val="16"/>
                  </w:rPr>
                  <w:t>Br J Clin Pharmacol (2018) </w:t>
                </w:r>
                <w:r>
                  <w:rPr>
                    <w:rFonts w:ascii="Arial" w:hAnsi="Arial"/>
                    <w:color w:val="231F20"/>
                    <w:w w:val="115"/>
                    <w:sz w:val="16"/>
                  </w:rPr>
                  <w:t>•• ••–•• </w:t>
                </w:r>
                <w:r>
                  <w:rPr/>
                  <w:fldChar w:fldCharType="begin"/>
                </w:r>
                <w:r>
                  <w:rPr>
                    <w:rFonts w:ascii="Calibri" w:hAnsi="Calibri"/>
                    <w:color w:val="231F20"/>
                    <w:w w:val="115"/>
                    <w:sz w:val="16"/>
                  </w:rPr>
                  <w:instrText> PAGE </w:instrText>
                </w:r>
                <w:r>
                  <w:rPr/>
                  <w:fldChar w:fldCharType="separate"/>
                </w:r>
                <w:r>
                  <w:rPr/>
                  <w:t>11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42.008999pt;margin-top:25.001989pt;width:25.15pt;height:24.5pt;mso-position-horizontal-relative:page;mso-position-vertical-relative:page;z-index:-30784" coordorigin="840,500" coordsize="503,490">
          <v:shape style="position:absolute;left:840;top:500;width:503;height:490" type="#_x0000_t75" stroked="false">
            <v:imagedata r:id="rId1" o:title=""/>
          </v:shape>
          <v:shape style="position:absolute;left:877;top:651;width:435;height:160" type="#_x0000_t75" stroked="false">
            <v:imagedata r:id="rId2" o:title=""/>
          </v:shape>
          <w10:wrap type="none"/>
        </v:group>
      </w:pict>
    </w:r>
    <w:r>
      <w:rPr/>
      <w:pict>
        <v:shapetype id="_x0000_t202" o:spt="202" coordsize="21600,21600" path="m,l,21600r21600,l21600,xe">
          <v:stroke joinstyle="miter"/>
          <v:path gradientshapeok="t" o:connecttype="rect"/>
        </v:shapetype>
        <v:shape style="position:absolute;margin-left:82.508598pt;margin-top:22.115095pt;width:63.65pt;height:13.9pt;mso-position-horizontal-relative:page;mso-position-vertical-relative:page;z-index:-30760" type="#_x0000_t202" filled="false" stroked="false">
          <v:textbox inset="0,0,0,0">
            <w:txbxContent>
              <w:p>
                <w:pPr>
                  <w:spacing w:before="17"/>
                  <w:ind w:left="20" w:right="0" w:firstLine="0"/>
                  <w:jc w:val="left"/>
                  <w:rPr>
                    <w:rFonts w:ascii="Calibri"/>
                    <w:sz w:val="20"/>
                  </w:rPr>
                </w:pPr>
                <w:r>
                  <w:rPr>
                    <w:rFonts w:ascii="Calibri"/>
                    <w:color w:val="231F20"/>
                    <w:w w:val="105"/>
                    <w:sz w:val="20"/>
                  </w:rPr>
                  <w:t>F. Marra et al.</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26.846985pt;margin-top:25.001989pt;width:25.15pt;height:24.5pt;mso-position-horizontal-relative:page;mso-position-vertical-relative:page;z-index:-30736" coordorigin="10537,500" coordsize="503,490">
          <v:shape style="position:absolute;left:10536;top:500;width:503;height:490" type="#_x0000_t75" stroked="false">
            <v:imagedata r:id="rId1" o:title=""/>
          </v:shape>
          <v:shape style="position:absolute;left:10574;top:651;width:435;height:160" type="#_x0000_t75" stroked="false">
            <v:imagedata r:id="rId2" o:title=""/>
          </v:shape>
          <w10:wrap type="none"/>
        </v:group>
      </w:pict>
    </w:r>
    <w:r>
      <w:rPr/>
      <w:pict>
        <v:shape style="position:absolute;margin-left:162.275604pt;margin-top:22.115095pt;width:349.35pt;height:13.9pt;mso-position-horizontal-relative:page;mso-position-vertical-relative:page;z-index:-30712" type="#_x0000_t202" filled="false" stroked="false">
          <v:textbox inset="0,0,0,0">
            <w:txbxContent>
              <w:p>
                <w:pPr>
                  <w:spacing w:before="17"/>
                  <w:ind w:left="20" w:right="0" w:firstLine="0"/>
                  <w:jc w:val="left"/>
                  <w:rPr>
                    <w:rFonts w:ascii="Calibri"/>
                    <w:sz w:val="20"/>
                  </w:rPr>
                </w:pPr>
                <w:r>
                  <w:rPr>
                    <w:rFonts w:ascii="Calibri"/>
                    <w:color w:val="231F20"/>
                    <w:w w:val="105"/>
                    <w:sz w:val="20"/>
                  </w:rPr>
                  <w:t>Clinical impact of PK interactions between SMV and concomitant medications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340" w:hanging="166"/>
        <w:jc w:val="right"/>
      </w:pPr>
      <w:rPr>
        <w:rFonts w:hint="default" w:ascii="Book Antiqua" w:hAnsi="Book Antiqua" w:eastAsia="Book Antiqua" w:cs="Book Antiqua"/>
        <w:color w:val="231F20"/>
        <w:w w:val="125"/>
        <w:sz w:val="15"/>
        <w:szCs w:val="15"/>
      </w:rPr>
    </w:lvl>
    <w:lvl w:ilvl="1">
      <w:start w:val="0"/>
      <w:numFmt w:val="bullet"/>
      <w:lvlText w:val="•"/>
      <w:lvlJc w:val="left"/>
      <w:pPr>
        <w:ind w:left="809" w:hanging="166"/>
      </w:pPr>
      <w:rPr>
        <w:rFonts w:hint="default"/>
      </w:rPr>
    </w:lvl>
    <w:lvl w:ilvl="2">
      <w:start w:val="0"/>
      <w:numFmt w:val="bullet"/>
      <w:lvlText w:val="•"/>
      <w:lvlJc w:val="left"/>
      <w:pPr>
        <w:ind w:left="1279" w:hanging="166"/>
      </w:pPr>
      <w:rPr>
        <w:rFonts w:hint="default"/>
      </w:rPr>
    </w:lvl>
    <w:lvl w:ilvl="3">
      <w:start w:val="0"/>
      <w:numFmt w:val="bullet"/>
      <w:lvlText w:val="•"/>
      <w:lvlJc w:val="left"/>
      <w:pPr>
        <w:ind w:left="1749" w:hanging="166"/>
      </w:pPr>
      <w:rPr>
        <w:rFonts w:hint="default"/>
      </w:rPr>
    </w:lvl>
    <w:lvl w:ilvl="4">
      <w:start w:val="0"/>
      <w:numFmt w:val="bullet"/>
      <w:lvlText w:val="•"/>
      <w:lvlJc w:val="left"/>
      <w:pPr>
        <w:ind w:left="2219" w:hanging="166"/>
      </w:pPr>
      <w:rPr>
        <w:rFonts w:hint="default"/>
      </w:rPr>
    </w:lvl>
    <w:lvl w:ilvl="5">
      <w:start w:val="0"/>
      <w:numFmt w:val="bullet"/>
      <w:lvlText w:val="•"/>
      <w:lvlJc w:val="left"/>
      <w:pPr>
        <w:ind w:left="2689" w:hanging="166"/>
      </w:pPr>
      <w:rPr>
        <w:rFonts w:hint="default"/>
      </w:rPr>
    </w:lvl>
    <w:lvl w:ilvl="6">
      <w:start w:val="0"/>
      <w:numFmt w:val="bullet"/>
      <w:lvlText w:val="•"/>
      <w:lvlJc w:val="left"/>
      <w:pPr>
        <w:ind w:left="3159" w:hanging="166"/>
      </w:pPr>
      <w:rPr>
        <w:rFonts w:hint="default"/>
      </w:rPr>
    </w:lvl>
    <w:lvl w:ilvl="7">
      <w:start w:val="0"/>
      <w:numFmt w:val="bullet"/>
      <w:lvlText w:val="•"/>
      <w:lvlJc w:val="left"/>
      <w:pPr>
        <w:ind w:left="3629" w:hanging="166"/>
      </w:pPr>
      <w:rPr>
        <w:rFonts w:hint="default"/>
      </w:rPr>
    </w:lvl>
    <w:lvl w:ilvl="8">
      <w:start w:val="0"/>
      <w:numFmt w:val="bullet"/>
      <w:lvlText w:val="•"/>
      <w:lvlJc w:val="left"/>
      <w:pPr>
        <w:ind w:left="4099" w:hanging="166"/>
      </w:pPr>
      <w:rPr>
        <w:rFonts w:hint="default"/>
      </w:rPr>
    </w:lvl>
  </w:abstractNum>
  <w:abstractNum w:abstractNumId="0">
    <w:multiLevelType w:val="hybridMultilevel"/>
    <w:lvl w:ilvl="0">
      <w:start w:val="0"/>
      <w:numFmt w:val="bullet"/>
      <w:lvlText w:val="•"/>
      <w:lvlJc w:val="left"/>
      <w:pPr>
        <w:ind w:left="256" w:hanging="157"/>
      </w:pPr>
      <w:rPr>
        <w:rFonts w:hint="default"/>
        <w:w w:val="79"/>
      </w:rPr>
    </w:lvl>
    <w:lvl w:ilvl="1">
      <w:start w:val="0"/>
      <w:numFmt w:val="bullet"/>
      <w:lvlText w:val="•"/>
      <w:lvlJc w:val="left"/>
      <w:pPr>
        <w:ind w:left="1275" w:hanging="157"/>
      </w:pPr>
      <w:rPr>
        <w:rFonts w:hint="default"/>
      </w:rPr>
    </w:lvl>
    <w:lvl w:ilvl="2">
      <w:start w:val="0"/>
      <w:numFmt w:val="bullet"/>
      <w:lvlText w:val="•"/>
      <w:lvlJc w:val="left"/>
      <w:pPr>
        <w:ind w:left="2291" w:hanging="157"/>
      </w:pPr>
      <w:rPr>
        <w:rFonts w:hint="default"/>
      </w:rPr>
    </w:lvl>
    <w:lvl w:ilvl="3">
      <w:start w:val="0"/>
      <w:numFmt w:val="bullet"/>
      <w:lvlText w:val="•"/>
      <w:lvlJc w:val="left"/>
      <w:pPr>
        <w:ind w:left="3307" w:hanging="157"/>
      </w:pPr>
      <w:rPr>
        <w:rFonts w:hint="default"/>
      </w:rPr>
    </w:lvl>
    <w:lvl w:ilvl="4">
      <w:start w:val="0"/>
      <w:numFmt w:val="bullet"/>
      <w:lvlText w:val="•"/>
      <w:lvlJc w:val="left"/>
      <w:pPr>
        <w:ind w:left="4323" w:hanging="157"/>
      </w:pPr>
      <w:rPr>
        <w:rFonts w:hint="default"/>
      </w:rPr>
    </w:lvl>
    <w:lvl w:ilvl="5">
      <w:start w:val="0"/>
      <w:numFmt w:val="bullet"/>
      <w:lvlText w:val="•"/>
      <w:lvlJc w:val="left"/>
      <w:pPr>
        <w:ind w:left="5339" w:hanging="157"/>
      </w:pPr>
      <w:rPr>
        <w:rFonts w:hint="default"/>
      </w:rPr>
    </w:lvl>
    <w:lvl w:ilvl="6">
      <w:start w:val="0"/>
      <w:numFmt w:val="bullet"/>
      <w:lvlText w:val="•"/>
      <w:lvlJc w:val="left"/>
      <w:pPr>
        <w:ind w:left="6355" w:hanging="157"/>
      </w:pPr>
      <w:rPr>
        <w:rFonts w:hint="default"/>
      </w:rPr>
    </w:lvl>
    <w:lvl w:ilvl="7">
      <w:start w:val="0"/>
      <w:numFmt w:val="bullet"/>
      <w:lvlText w:val="•"/>
      <w:lvlJc w:val="left"/>
      <w:pPr>
        <w:ind w:left="7371" w:hanging="157"/>
      </w:pPr>
      <w:rPr>
        <w:rFonts w:hint="default"/>
      </w:rPr>
    </w:lvl>
    <w:lvl w:ilvl="8">
      <w:start w:val="0"/>
      <w:numFmt w:val="bullet"/>
      <w:lvlText w:val="•"/>
      <w:lvlJc w:val="left"/>
      <w:pPr>
        <w:ind w:left="8387" w:hanging="157"/>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alatino Linotype" w:hAnsi="Palatino Linotype" w:eastAsia="Palatino Linotype" w:cs="Palatino Linotype"/>
    </w:rPr>
  </w:style>
  <w:style w:styleId="BodyText" w:type="paragraph">
    <w:name w:val="Body Text"/>
    <w:basedOn w:val="Normal"/>
    <w:uiPriority w:val="1"/>
    <w:qFormat/>
    <w:pPr>
      <w:ind w:left="100"/>
    </w:pPr>
    <w:rPr>
      <w:rFonts w:ascii="Palatino Linotype" w:hAnsi="Palatino Linotype" w:eastAsia="Palatino Linotype" w:cs="Palatino Linotype"/>
      <w:sz w:val="17"/>
      <w:szCs w:val="17"/>
    </w:rPr>
  </w:style>
  <w:style w:styleId="Heading1" w:type="paragraph">
    <w:name w:val="Heading 1"/>
    <w:basedOn w:val="Normal"/>
    <w:uiPriority w:val="1"/>
    <w:qFormat/>
    <w:pPr>
      <w:ind w:left="100"/>
      <w:outlineLvl w:val="1"/>
    </w:pPr>
    <w:rPr>
      <w:rFonts w:ascii="Lucida Sans" w:hAnsi="Lucida Sans" w:eastAsia="Lucida Sans" w:cs="Lucida Sans"/>
      <w:sz w:val="26"/>
      <w:szCs w:val="26"/>
    </w:rPr>
  </w:style>
  <w:style w:styleId="Heading2" w:type="paragraph">
    <w:name w:val="Heading 2"/>
    <w:basedOn w:val="Normal"/>
    <w:uiPriority w:val="1"/>
    <w:qFormat/>
    <w:pPr>
      <w:spacing w:line="277" w:lineRule="exact"/>
      <w:ind w:left="100"/>
      <w:outlineLvl w:val="2"/>
    </w:pPr>
    <w:rPr>
      <w:rFonts w:ascii="Book Antiqua" w:hAnsi="Book Antiqua" w:eastAsia="Book Antiqua" w:cs="Book Antiqua"/>
      <w:i/>
      <w:sz w:val="24"/>
      <w:szCs w:val="24"/>
    </w:rPr>
  </w:style>
  <w:style w:styleId="Heading3" w:type="paragraph">
    <w:name w:val="Heading 3"/>
    <w:basedOn w:val="Normal"/>
    <w:uiPriority w:val="1"/>
    <w:qFormat/>
    <w:pPr>
      <w:spacing w:before="96"/>
      <w:ind w:left="100"/>
      <w:outlineLvl w:val="3"/>
    </w:pPr>
    <w:rPr>
      <w:rFonts w:ascii="Lucida Sans" w:hAnsi="Lucida Sans" w:eastAsia="Lucida Sans" w:cs="Lucida Sans"/>
      <w:sz w:val="22"/>
      <w:szCs w:val="22"/>
    </w:rPr>
  </w:style>
  <w:style w:styleId="Heading4" w:type="paragraph">
    <w:name w:val="Heading 4"/>
    <w:basedOn w:val="Normal"/>
    <w:uiPriority w:val="1"/>
    <w:qFormat/>
    <w:pPr>
      <w:spacing w:before="17"/>
      <w:ind w:left="100"/>
      <w:outlineLvl w:val="4"/>
    </w:pPr>
    <w:rPr>
      <w:rFonts w:ascii="Palatino Linotype" w:hAnsi="Palatino Linotype" w:eastAsia="Palatino Linotype" w:cs="Palatino Linotype"/>
      <w:sz w:val="20"/>
      <w:szCs w:val="20"/>
    </w:rPr>
  </w:style>
  <w:style w:styleId="ListParagraph" w:type="paragraph">
    <w:name w:val="List Paragraph"/>
    <w:basedOn w:val="Normal"/>
    <w:uiPriority w:val="1"/>
    <w:qFormat/>
    <w:pPr>
      <w:spacing w:before="98"/>
      <w:ind w:left="362" w:right="72" w:hanging="262"/>
    </w:pPr>
    <w:rPr>
      <w:rFonts w:ascii="Palatino Linotype" w:hAnsi="Palatino Linotype" w:eastAsia="Palatino Linotype" w:cs="Palatino Linotype"/>
    </w:rPr>
  </w:style>
  <w:style w:styleId="TableParagraph" w:type="paragraph">
    <w:name w:val="Table Paragraph"/>
    <w:basedOn w:val="Normal"/>
    <w:uiPriority w:val="1"/>
    <w:qFormat/>
    <w:pPr>
      <w:spacing w:before="86"/>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64257;ona.marra@liverpool.ac.uk" TargetMode="External"/><Relationship Id="rId8" Type="http://schemas.openxmlformats.org/officeDocument/2006/relationships/hyperlink" Target="http://creativecommons.org/licenses/by-nc/4.0/" TargetMode="External"/><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guidetopharmacology.org/GRAC/FamilyDisplayForward?familyId=242" TargetMode="External"/><Relationship Id="rId14" Type="http://schemas.openxmlformats.org/officeDocument/2006/relationships/hyperlink" Target="http://www.guidetopharmacology.org/GRAC/LigandDisplayForward?ligandId=7367" TargetMode="External"/><Relationship Id="rId15" Type="http://schemas.openxmlformats.org/officeDocument/2006/relationships/hyperlink" Target="http://www.guidetopharmacology.org/GRAC/ObjectDisplayForward?objectId=1337" TargetMode="External"/><Relationship Id="rId16" Type="http://schemas.openxmlformats.org/officeDocument/2006/relationships/hyperlink" Target="http://www.guidetopharmacology.org/GRAC/ObjectDisplayForward?objectId=792" TargetMode="External"/><Relationship Id="rId17" Type="http://schemas.openxmlformats.org/officeDocument/2006/relationships/hyperlink" Target="http://www.guidetopharmacology.org/GRAC/LigandDisplayForward?ligandId=7368" TargetMode="External"/><Relationship Id="rId18" Type="http://schemas.openxmlformats.org/officeDocument/2006/relationships/hyperlink" Target="http://www.guidetopharmacology.org/GRAC/LigandDisplayForward?ligandId=6842" TargetMode="External"/><Relationship Id="rId19" Type="http://schemas.openxmlformats.org/officeDocument/2006/relationships/hyperlink" Target="http://www.clinicaltrials.gov/" TargetMode="External"/><Relationship Id="rId20" Type="http://schemas.openxmlformats.org/officeDocument/2006/relationships/hyperlink" Target="http://www.hep-druginteractions.org/" TargetMode="External"/><Relationship Id="rId21" Type="http://schemas.openxmlformats.org/officeDocument/2006/relationships/hyperlink" Target="http://www.guidetopharmacology.org/" TargetMode="External"/><Relationship Id="rId22" Type="http://schemas.openxmlformats.org/officeDocument/2006/relationships/image" Target="media/image5.jpeg"/><Relationship Id="rId23" Type="http://schemas.openxmlformats.org/officeDocument/2006/relationships/image" Target="media/image6.jpeg"/><Relationship Id="rId24" Type="http://schemas.openxmlformats.org/officeDocument/2006/relationships/image" Target="media/image7.jpeg"/><Relationship Id="rId25" Type="http://schemas.openxmlformats.org/officeDocument/2006/relationships/hyperlink" Target="http://www.ema.europa.eu/docs/en_GB/document_library/EPAR_-_Product_Information/human/002777/WC500167867.pdf" TargetMode="External"/><Relationship Id="rId26" Type="http://schemas.openxmlformats.org/officeDocument/2006/relationships/hyperlink" Target="https://doi.org/10.1111/hiv.12570" TargetMode="External"/><Relationship Id="rId27" Type="http://schemas.openxmlformats.org/officeDocument/2006/relationships/hyperlink" Target="https://doi.org/10.1111/tid.12696" TargetMode="External"/><Relationship Id="rId28" Type="http://schemas.openxmlformats.org/officeDocument/2006/relationships/hyperlink" Target="http://onlinelibrary.wiley.com/doi/10.1111/bcp.13519/suppinfo" TargetMode="External"/><Relationship Id="rId2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Marra, Christoph Höner zu Siederdissen, Saye Khoo, David Back, Michael Schlag, Sivi Ouwerkerk-Mahadevan, Ceyhun Bicer, Isabelle Lonjon-Domanec, Wolfgang Jessner, Maria Beumont-Mauviel, Ronald Kalmeijer, Markus Cornberg</dc:creator>
  <cp:keywords>10.1111/bcp.13519 and DDI; drug–drug interaction; HCV; hepatitis C virus; simeprevir; SMV</cp:keywords>
  <dc:title>Clinical impact of pharmacokinetic interactions between the HCV protease inhibitor simeprevir and frequently used concomitant medications</dc:title>
  <dcterms:created xsi:type="dcterms:W3CDTF">2018-04-30T11:27:06Z</dcterms:created>
  <dcterms:modified xsi:type="dcterms:W3CDTF">2018-04-30T11:27:06Z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Creator">
    <vt:lpwstr>Arbortext Advanced Print Publisher 9.0.114/W Unicode</vt:lpwstr>
  </property>
  <property fmtid="{D5CDD505-2E9C-101B-9397-08002B2CF9AE}" pid="4" name="LastSaved">
    <vt:filetime>2018-04-30T00:00:00Z</vt:filetime>
  </property>
  <property fmtid="{D5CDD505-2E9C-101B-9397-08002B2CF9AE}" pid="5" name="_AdHocReviewCycleID">
    <vt:i4>127440187</vt:i4>
  </property>
  <property fmtid="{D5CDD505-2E9C-101B-9397-08002B2CF9AE}" pid="6" name="_NewReviewCycle">
    <vt:lpwstr/>
  </property>
  <property fmtid="{D5CDD505-2E9C-101B-9397-08002B2CF9AE}" pid="7" name="_EmailSubject">
    <vt:lpwstr>simeprevir paper</vt:lpwstr>
  </property>
  <property fmtid="{D5CDD505-2E9C-101B-9397-08002B2CF9AE}" pid="8" name="_AuthorEmail">
    <vt:lpwstr>thomas@tomlifescience.com</vt:lpwstr>
  </property>
  <property fmtid="{D5CDD505-2E9C-101B-9397-08002B2CF9AE}" pid="9" name="_AuthorEmailDisplayName">
    <vt:lpwstr>Thomas Mertenskoetter</vt:lpwstr>
  </property>
</Properties>
</file>